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83BDF">
        <w:trPr>
          <w:trHeight w:val="1760"/>
        </w:trPr>
        <w:tc>
          <w:tcPr>
            <w:tcW w:w="4243" w:type="dxa"/>
          </w:tcPr>
          <w:p w:rsidR="000D7780" w:rsidRPr="00C83BDF" w:rsidRDefault="000D7780" w:rsidP="00F45372">
            <w:pPr>
              <w:rPr>
                <w:dstrike/>
                <w:lang w:val="es-ES_tradnl"/>
              </w:rPr>
            </w:pPr>
          </w:p>
        </w:tc>
        <w:tc>
          <w:tcPr>
            <w:tcW w:w="1646" w:type="dxa"/>
            <w:vAlign w:val="center"/>
          </w:tcPr>
          <w:p w:rsidR="000D7780" w:rsidRPr="00C83BDF" w:rsidRDefault="00156328" w:rsidP="00F45372">
            <w:pPr>
              <w:pStyle w:val="LogoUPOV"/>
              <w:rPr>
                <w:dstrike/>
                <w:lang w:val="es-ES_tradnl"/>
              </w:rPr>
            </w:pPr>
            <w:r w:rsidRPr="00C83BDF">
              <w:rPr>
                <w:noProof/>
                <w:lang w:val="es-ES_tradnl"/>
              </w:rPr>
              <w:drawing>
                <wp:inline distT="0" distB="0" distL="0" distR="0" wp14:anchorId="1C8C4F64" wp14:editId="4DCE62E1">
                  <wp:extent cx="981075" cy="4857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a:ln>
                            <a:noFill/>
                          </a:ln>
                        </pic:spPr>
                      </pic:pic>
                    </a:graphicData>
                  </a:graphic>
                </wp:inline>
              </w:drawing>
            </w:r>
          </w:p>
        </w:tc>
        <w:tc>
          <w:tcPr>
            <w:tcW w:w="4242" w:type="dxa"/>
            <w:vAlign w:val="center"/>
          </w:tcPr>
          <w:p w:rsidR="000D7780" w:rsidRPr="00C83BDF" w:rsidRDefault="00A47CDB" w:rsidP="00F45372">
            <w:pPr>
              <w:pStyle w:val="Lettrine"/>
              <w:rPr>
                <w:lang w:val="es-ES_tradnl"/>
              </w:rPr>
            </w:pPr>
            <w:r w:rsidRPr="00C83BDF">
              <w:rPr>
                <w:lang w:val="es-ES_tradnl"/>
              </w:rPr>
              <w:t>S</w:t>
            </w:r>
          </w:p>
          <w:p w:rsidR="000D7780" w:rsidRPr="00C83BDF" w:rsidRDefault="009A0B1E" w:rsidP="003E7998">
            <w:pPr>
              <w:pStyle w:val="Docoriginal"/>
              <w:ind w:left="880"/>
              <w:rPr>
                <w:lang w:val="es-ES_tradnl"/>
              </w:rPr>
            </w:pPr>
            <w:r w:rsidRPr="00C83BDF">
              <w:rPr>
                <w:lang w:val="es-ES_tradnl"/>
              </w:rPr>
              <w:t>C/49</w:t>
            </w:r>
            <w:r w:rsidR="00E80F31" w:rsidRPr="00C83BDF">
              <w:rPr>
                <w:lang w:val="es-ES_tradnl"/>
              </w:rPr>
              <w:t>/</w:t>
            </w:r>
            <w:bookmarkStart w:id="0" w:name="Code"/>
            <w:bookmarkEnd w:id="0"/>
            <w:r w:rsidR="00E65183" w:rsidRPr="00C83BDF">
              <w:rPr>
                <w:lang w:val="es-ES_tradnl"/>
              </w:rPr>
              <w:t>2</w:t>
            </w:r>
          </w:p>
          <w:p w:rsidR="000D7780" w:rsidRPr="00C83BDF" w:rsidRDefault="0061555F" w:rsidP="003E7998">
            <w:pPr>
              <w:pStyle w:val="Docoriginal"/>
              <w:ind w:left="880"/>
              <w:rPr>
                <w:b w:val="0"/>
                <w:spacing w:val="0"/>
                <w:lang w:val="es-ES_tradnl"/>
              </w:rPr>
            </w:pPr>
            <w:r w:rsidRPr="00C83BDF">
              <w:rPr>
                <w:rStyle w:val="StyleDoclangBold"/>
                <w:b/>
                <w:bCs/>
                <w:spacing w:val="0"/>
                <w:lang w:val="es-ES_tradnl"/>
              </w:rPr>
              <w:t>ORIGINAL</w:t>
            </w:r>
            <w:r w:rsidR="000D7780" w:rsidRPr="00C83BDF">
              <w:rPr>
                <w:rStyle w:val="StyleDoclangBold"/>
                <w:b/>
                <w:bCs/>
                <w:spacing w:val="0"/>
                <w:lang w:val="es-ES_tradnl"/>
              </w:rPr>
              <w:t>:</w:t>
            </w:r>
            <w:bookmarkStart w:id="1" w:name="Original"/>
            <w:bookmarkEnd w:id="1"/>
            <w:r w:rsidR="00D94EA2" w:rsidRPr="00C83BDF">
              <w:rPr>
                <w:rStyle w:val="StyleDoclangBold"/>
                <w:b/>
                <w:bCs/>
                <w:spacing w:val="0"/>
                <w:lang w:val="es-ES_tradnl"/>
              </w:rPr>
              <w:t xml:space="preserve">  </w:t>
            </w:r>
            <w:r w:rsidR="00A47CDB" w:rsidRPr="00C83BDF">
              <w:rPr>
                <w:b w:val="0"/>
                <w:spacing w:val="0"/>
                <w:lang w:val="es-ES_tradnl"/>
              </w:rPr>
              <w:t>Inglés</w:t>
            </w:r>
          </w:p>
          <w:p w:rsidR="000D7780" w:rsidRPr="00C83BDF" w:rsidRDefault="00A47CDB" w:rsidP="00E65183">
            <w:pPr>
              <w:pStyle w:val="Docoriginal"/>
              <w:ind w:left="880"/>
              <w:rPr>
                <w:dstrike/>
                <w:lang w:val="es-ES_tradnl"/>
              </w:rPr>
            </w:pPr>
            <w:r w:rsidRPr="00C83BDF">
              <w:rPr>
                <w:spacing w:val="0"/>
                <w:lang w:val="es-ES_tradnl"/>
              </w:rPr>
              <w:t>FECHA</w:t>
            </w:r>
            <w:r w:rsidR="000D7780" w:rsidRPr="00C83BDF">
              <w:rPr>
                <w:spacing w:val="0"/>
                <w:lang w:val="es-ES_tradnl"/>
              </w:rPr>
              <w:t>:</w:t>
            </w:r>
            <w:bookmarkStart w:id="2" w:name="Date"/>
            <w:bookmarkEnd w:id="2"/>
            <w:r w:rsidR="00D94EA2" w:rsidRPr="00C83BDF">
              <w:rPr>
                <w:spacing w:val="0"/>
                <w:lang w:val="es-ES_tradnl"/>
              </w:rPr>
              <w:t xml:space="preserve">  </w:t>
            </w:r>
            <w:r w:rsidR="005F5738" w:rsidRPr="00C83BDF">
              <w:rPr>
                <w:b w:val="0"/>
                <w:spacing w:val="0"/>
                <w:lang w:val="es-ES_tradnl"/>
              </w:rPr>
              <w:t>24</w:t>
            </w:r>
            <w:r w:rsidR="00E65183" w:rsidRPr="00C83BDF">
              <w:rPr>
                <w:b w:val="0"/>
                <w:spacing w:val="0"/>
                <w:lang w:val="es-ES_tradnl"/>
              </w:rPr>
              <w:t xml:space="preserve"> de septiembre de</w:t>
            </w:r>
            <w:r w:rsidR="00D94EA2" w:rsidRPr="00C83BDF">
              <w:rPr>
                <w:b w:val="0"/>
                <w:spacing w:val="0"/>
                <w:lang w:val="es-ES_tradnl"/>
              </w:rPr>
              <w:t> 2</w:t>
            </w:r>
            <w:r w:rsidR="00E65183" w:rsidRPr="00C83BDF">
              <w:rPr>
                <w:b w:val="0"/>
                <w:spacing w:val="0"/>
                <w:lang w:val="es-ES_tradnl"/>
              </w:rPr>
              <w:t>015</w:t>
            </w:r>
          </w:p>
        </w:tc>
      </w:tr>
      <w:tr w:rsidR="000D7780" w:rsidRPr="00C83BDF">
        <w:tc>
          <w:tcPr>
            <w:tcW w:w="10131" w:type="dxa"/>
            <w:gridSpan w:val="3"/>
          </w:tcPr>
          <w:p w:rsidR="000D7780" w:rsidRPr="00C83BDF" w:rsidRDefault="00A47CDB" w:rsidP="00F45372">
            <w:pPr>
              <w:pStyle w:val="upove"/>
              <w:rPr>
                <w:dstrike/>
                <w:sz w:val="28"/>
                <w:lang w:val="es-ES_tradnl"/>
              </w:rPr>
            </w:pPr>
            <w:r w:rsidRPr="00C83BDF">
              <w:rPr>
                <w:spacing w:val="2"/>
                <w:lang w:val="es-ES_tradnl"/>
              </w:rPr>
              <w:t>UNIÓN INTERNACIONAL PARA LA PROTECCIÓN DE LAS OBTENCIONES VEGETALES</w:t>
            </w:r>
          </w:p>
        </w:tc>
      </w:tr>
      <w:tr w:rsidR="000D7780" w:rsidRPr="00C83BDF">
        <w:tc>
          <w:tcPr>
            <w:tcW w:w="10131" w:type="dxa"/>
            <w:gridSpan w:val="3"/>
          </w:tcPr>
          <w:p w:rsidR="000D7780" w:rsidRPr="00C83BDF" w:rsidRDefault="00A47CDB" w:rsidP="00F45372">
            <w:pPr>
              <w:pStyle w:val="Country"/>
              <w:rPr>
                <w:lang w:val="es-ES_tradnl"/>
              </w:rPr>
            </w:pPr>
            <w:r w:rsidRPr="00C83BDF">
              <w:rPr>
                <w:lang w:val="es-ES_tradnl"/>
              </w:rPr>
              <w:t>Ginebra</w:t>
            </w:r>
          </w:p>
        </w:tc>
      </w:tr>
    </w:tbl>
    <w:p w:rsidR="000D7780" w:rsidRPr="00C83BDF" w:rsidRDefault="00E80F31" w:rsidP="00F45372">
      <w:pPr>
        <w:pStyle w:val="Sessiontc"/>
        <w:rPr>
          <w:lang w:val="es-ES_tradnl"/>
        </w:rPr>
      </w:pPr>
      <w:r w:rsidRPr="00C83BDF">
        <w:rPr>
          <w:lang w:val="es-ES_tradnl"/>
        </w:rPr>
        <w:t>CONSEJO</w:t>
      </w:r>
    </w:p>
    <w:p w:rsidR="00361821" w:rsidRPr="00C83BDF" w:rsidRDefault="00A47CDB" w:rsidP="00F45372">
      <w:pPr>
        <w:pStyle w:val="Sessiontcplacedate"/>
        <w:rPr>
          <w:lang w:val="es-ES_tradnl"/>
        </w:rPr>
      </w:pPr>
      <w:r w:rsidRPr="00C83BDF">
        <w:rPr>
          <w:lang w:val="es-ES_tradnl"/>
        </w:rPr>
        <w:t xml:space="preserve">Cuadragésima </w:t>
      </w:r>
      <w:r w:rsidR="009A0B1E" w:rsidRPr="00C83BDF">
        <w:rPr>
          <w:lang w:val="es-ES_tradnl"/>
        </w:rPr>
        <w:t xml:space="preserve">novena </w:t>
      </w:r>
      <w:r w:rsidR="00142198" w:rsidRPr="00C83BDF">
        <w:rPr>
          <w:lang w:val="es-ES_tradnl"/>
        </w:rPr>
        <w:t>sesión ordinaria</w:t>
      </w:r>
      <w:r w:rsidRPr="00C83BDF">
        <w:rPr>
          <w:lang w:val="es-ES_tradnl"/>
        </w:rPr>
        <w:br/>
        <w:t>Ginebra</w:t>
      </w:r>
      <w:r w:rsidR="00220E3C" w:rsidRPr="00C83BDF">
        <w:rPr>
          <w:lang w:val="es-ES_tradnl"/>
        </w:rPr>
        <w:t xml:space="preserve">, </w:t>
      </w:r>
      <w:r w:rsidR="00D94EA2" w:rsidRPr="00C83BDF">
        <w:rPr>
          <w:lang w:val="es-ES_tradnl"/>
        </w:rPr>
        <w:t>2</w:t>
      </w:r>
      <w:r w:rsidR="009A0B1E" w:rsidRPr="00C83BDF">
        <w:rPr>
          <w:lang w:val="es-ES_tradnl"/>
        </w:rPr>
        <w:t>9</w:t>
      </w:r>
      <w:r w:rsidR="00E80F31" w:rsidRPr="00C83BDF">
        <w:rPr>
          <w:lang w:val="es-ES_tradnl"/>
        </w:rPr>
        <w:t xml:space="preserve"> de </w:t>
      </w:r>
      <w:r w:rsidR="00F73179" w:rsidRPr="00C83BDF">
        <w:rPr>
          <w:lang w:val="es-ES_tradnl"/>
        </w:rPr>
        <w:t xml:space="preserve">octubre </w:t>
      </w:r>
      <w:r w:rsidR="00E80F31" w:rsidRPr="00C83BDF">
        <w:rPr>
          <w:lang w:val="es-ES_tradnl"/>
        </w:rPr>
        <w:t>de</w:t>
      </w:r>
      <w:r w:rsidR="00D94EA2" w:rsidRPr="00C83BDF">
        <w:rPr>
          <w:lang w:val="es-ES_tradnl"/>
        </w:rPr>
        <w:t> 2</w:t>
      </w:r>
      <w:r w:rsidRPr="00C83BDF">
        <w:rPr>
          <w:lang w:val="es-ES_tradnl"/>
        </w:rPr>
        <w:t>01</w:t>
      </w:r>
      <w:r w:rsidR="009A0B1E" w:rsidRPr="00C83BDF">
        <w:rPr>
          <w:lang w:val="es-ES_tradnl"/>
        </w:rPr>
        <w:t>5</w:t>
      </w:r>
    </w:p>
    <w:p w:rsidR="000D7780" w:rsidRPr="00C83BDF" w:rsidRDefault="00D94EA2" w:rsidP="0099231D">
      <w:pPr>
        <w:pStyle w:val="Titleofdoc0"/>
        <w:rPr>
          <w:lang w:val="es-ES_tradnl"/>
        </w:rPr>
      </w:pPr>
      <w:bookmarkStart w:id="3" w:name="TitleOfDoc"/>
      <w:bookmarkEnd w:id="3"/>
      <w:r w:rsidRPr="00C83BDF">
        <w:rPr>
          <w:lang w:val="es-ES_tradnl"/>
        </w:rPr>
        <w:t>INFORME ANUAL DEL SECRETARIO GENERAL CORRESPONDIENTE AL AÑO 2014</w:t>
      </w:r>
    </w:p>
    <w:p w:rsidR="000D7780" w:rsidRPr="00C83BDF" w:rsidRDefault="00612BD6" w:rsidP="0099231D">
      <w:pPr>
        <w:pStyle w:val="preparedby1"/>
        <w:rPr>
          <w:lang w:val="es-ES_tradnl"/>
        </w:rPr>
      </w:pPr>
      <w:bookmarkStart w:id="4" w:name="Prepared"/>
      <w:bookmarkEnd w:id="4"/>
      <w:r w:rsidRPr="00C83BDF">
        <w:rPr>
          <w:lang w:val="es-ES_tradnl"/>
        </w:rPr>
        <w:t>(año cuadragésimo sexto)</w:t>
      </w:r>
      <w:r w:rsidR="0000571E" w:rsidRPr="00C83BDF">
        <w:rPr>
          <w:lang w:val="es-ES_tradnl"/>
        </w:rPr>
        <w:br/>
      </w:r>
      <w:r w:rsidR="0000571E" w:rsidRPr="00C83BDF">
        <w:rPr>
          <w:lang w:val="es-ES_tradnl"/>
        </w:rPr>
        <w:br/>
      </w:r>
      <w:r w:rsidR="001C5971" w:rsidRPr="00C83BDF">
        <w:rPr>
          <w:color w:val="A6A6A6"/>
          <w:lang w:val="es-ES_tradnl"/>
        </w:rPr>
        <w:t>Descargo de responsabilidad:  el presente documento no constituye</w:t>
      </w:r>
      <w:r w:rsidR="001C5971" w:rsidRPr="00C83BDF">
        <w:rPr>
          <w:color w:val="A6A6A6"/>
          <w:lang w:val="es-ES_tradnl"/>
        </w:rPr>
        <w:br/>
        <w:t>un documento de política u orientación de la UPOV</w:t>
      </w:r>
    </w:p>
    <w:p w:rsidR="00E65183" w:rsidRPr="00C83BDF" w:rsidRDefault="0072381B" w:rsidP="00E65183">
      <w:pPr>
        <w:rPr>
          <w:lang w:val="es-ES_tradnl"/>
        </w:rPr>
      </w:pPr>
      <w:r w:rsidRPr="00C83BDF">
        <w:rPr>
          <w:lang w:val="es-ES_tradnl"/>
        </w:rPr>
        <w:t>El presente documento contiene el Informe anual del Secretario General correspondiente a 2014.</w:t>
      </w:r>
      <w:r w:rsidR="00E65183" w:rsidRPr="00C83BDF">
        <w:rPr>
          <w:lang w:val="es-ES_tradnl"/>
        </w:rPr>
        <w:t xml:space="preserve">  </w:t>
      </w:r>
      <w:r w:rsidRPr="00C83BDF">
        <w:rPr>
          <w:lang w:val="es-ES_tradnl"/>
        </w:rPr>
        <w:t>En el Anexo III del presente documento se ofrece un resumen de los resultados obtenidos en 2014</w:t>
      </w:r>
      <w:r w:rsidR="00220E3C" w:rsidRPr="00C83BDF">
        <w:rPr>
          <w:lang w:val="es-ES_tradnl"/>
        </w:rPr>
        <w:t xml:space="preserve">, </w:t>
      </w:r>
      <w:r w:rsidRPr="00C83BDF">
        <w:rPr>
          <w:lang w:val="es-ES_tradnl"/>
        </w:rPr>
        <w:t>estructurado con arreglo al programa y presupuesto para el bienio 2014</w:t>
      </w:r>
      <w:r w:rsidRPr="00C83BDF">
        <w:rPr>
          <w:lang w:val="es-ES_tradnl"/>
        </w:rPr>
        <w:noBreakHyphen/>
        <w:t>2015 (documento C/47/4 Rev.).</w:t>
      </w:r>
      <w:r w:rsidR="00E65183" w:rsidRPr="00C83BDF">
        <w:rPr>
          <w:lang w:val="es-ES_tradnl"/>
        </w:rPr>
        <w:t xml:space="preserve">  </w:t>
      </w:r>
      <w:r w:rsidRPr="00C83BDF">
        <w:rPr>
          <w:lang w:val="es-ES_tradnl"/>
        </w:rPr>
        <w:t>En el apéndice figura una lista de siglas y abreviaturas.</w:t>
      </w:r>
    </w:p>
    <w:p w:rsidR="00E65183" w:rsidRPr="00C83BDF" w:rsidRDefault="00E65183" w:rsidP="00E65183">
      <w:pPr>
        <w:rPr>
          <w:lang w:val="es-ES_tradnl"/>
        </w:rPr>
      </w:pPr>
    </w:p>
    <w:p w:rsidR="00E65183" w:rsidRPr="00C83BDF" w:rsidRDefault="00E65183" w:rsidP="00E65183">
      <w:pPr>
        <w:rPr>
          <w:lang w:val="es-ES_tradnl"/>
        </w:rPr>
      </w:pPr>
    </w:p>
    <w:p w:rsidR="00E65183" w:rsidRPr="00C83BDF" w:rsidRDefault="0072381B" w:rsidP="00E65183">
      <w:pPr>
        <w:rPr>
          <w:u w:val="single"/>
          <w:lang w:val="es-ES_tradnl"/>
        </w:rPr>
      </w:pPr>
      <w:r w:rsidRPr="00C83BDF">
        <w:rPr>
          <w:u w:val="single"/>
          <w:lang w:val="es-ES_tradnl"/>
        </w:rPr>
        <w:t>Índice</w:t>
      </w:r>
    </w:p>
    <w:p w:rsidR="005F5738" w:rsidRPr="00C83BDF" w:rsidRDefault="00082242" w:rsidP="005F5738">
      <w:pPr>
        <w:pStyle w:val="TOC1"/>
        <w:rPr>
          <w:rFonts w:asciiTheme="minorHAnsi" w:eastAsiaTheme="minorEastAsia" w:hAnsiTheme="minorHAnsi" w:cstheme="minorBidi"/>
          <w:sz w:val="22"/>
          <w:szCs w:val="22"/>
          <w:lang w:val="es-ES_tradnl"/>
        </w:rPr>
      </w:pPr>
      <w:r w:rsidRPr="00C83BDF">
        <w:rPr>
          <w:szCs w:val="22"/>
          <w:highlight w:val="yellow"/>
          <w:lang w:val="es-ES_tradnl"/>
        </w:rPr>
        <w:fldChar w:fldCharType="begin"/>
      </w:r>
      <w:r w:rsidR="00E65183" w:rsidRPr="00C83BDF">
        <w:rPr>
          <w:szCs w:val="22"/>
          <w:highlight w:val="yellow"/>
          <w:lang w:val="es-ES_tradnl"/>
        </w:rPr>
        <w:instrText xml:space="preserve"> TOC \o "1-2" \h \z </w:instrText>
      </w:r>
      <w:r w:rsidRPr="00C83BDF">
        <w:rPr>
          <w:szCs w:val="22"/>
          <w:highlight w:val="yellow"/>
          <w:lang w:val="es-ES_tradnl"/>
        </w:rPr>
        <w:fldChar w:fldCharType="separate"/>
      </w:r>
      <w:hyperlink w:anchor="_Toc431567583" w:history="1">
        <w:r w:rsidR="005F5738" w:rsidRPr="00C83BDF">
          <w:rPr>
            <w:rStyle w:val="Hyperlink"/>
            <w:lang w:val="es-ES_tradnl"/>
          </w:rPr>
          <w:t>I.</w:t>
        </w:r>
        <w:r w:rsidR="005F5738" w:rsidRPr="00C83BDF">
          <w:rPr>
            <w:rFonts w:asciiTheme="minorHAnsi" w:eastAsiaTheme="minorEastAsia" w:hAnsiTheme="minorHAnsi" w:cstheme="minorBidi"/>
            <w:sz w:val="22"/>
            <w:szCs w:val="22"/>
            <w:lang w:val="es-ES_tradnl"/>
          </w:rPr>
          <w:tab/>
        </w:r>
        <w:r w:rsidR="005F5738" w:rsidRPr="00C83BDF">
          <w:rPr>
            <w:rStyle w:val="Hyperlink"/>
            <w:lang w:val="es-ES_tradnl"/>
          </w:rPr>
          <w:t>COMPOSICIÓN DE LA UNIÓN</w:t>
        </w:r>
        <w:r w:rsidR="005F5738" w:rsidRPr="00C83BDF">
          <w:rPr>
            <w:webHidden/>
            <w:lang w:val="es-ES_tradnl"/>
          </w:rPr>
          <w:tab/>
        </w:r>
        <w:r w:rsidR="005F5738" w:rsidRPr="00C83BDF">
          <w:rPr>
            <w:webHidden/>
            <w:lang w:val="es-ES_tradnl"/>
          </w:rPr>
          <w:fldChar w:fldCharType="begin"/>
        </w:r>
        <w:r w:rsidR="005F5738" w:rsidRPr="00C83BDF">
          <w:rPr>
            <w:webHidden/>
            <w:lang w:val="es-ES_tradnl"/>
          </w:rPr>
          <w:instrText xml:space="preserve"> PAGEREF _Toc431567583 \h </w:instrText>
        </w:r>
        <w:r w:rsidR="005F5738" w:rsidRPr="00C83BDF">
          <w:rPr>
            <w:webHidden/>
            <w:lang w:val="es-ES_tradnl"/>
          </w:rPr>
        </w:r>
        <w:r w:rsidR="005F5738" w:rsidRPr="00C83BDF">
          <w:rPr>
            <w:webHidden/>
            <w:lang w:val="es-ES_tradnl"/>
          </w:rPr>
          <w:fldChar w:fldCharType="separate"/>
        </w:r>
        <w:r w:rsidR="00485049">
          <w:rPr>
            <w:webHidden/>
            <w:lang w:val="es-ES_tradnl"/>
          </w:rPr>
          <w:t>2</w:t>
        </w:r>
        <w:r w:rsidR="005F5738" w:rsidRPr="00C83BDF">
          <w:rPr>
            <w:webHidden/>
            <w:lang w:val="es-ES_tradnl"/>
          </w:rPr>
          <w:fldChar w:fldCharType="end"/>
        </w:r>
      </w:hyperlink>
    </w:p>
    <w:p w:rsidR="005F5738" w:rsidRPr="00C83BDF" w:rsidRDefault="00FC3A0C" w:rsidP="005F5738">
      <w:pPr>
        <w:pStyle w:val="TOC2"/>
        <w:rPr>
          <w:rFonts w:asciiTheme="minorHAnsi" w:eastAsiaTheme="minorEastAsia" w:hAnsiTheme="minorHAnsi" w:cstheme="minorBidi"/>
          <w:sz w:val="22"/>
          <w:szCs w:val="22"/>
          <w:lang w:val="es-ES_tradnl"/>
        </w:rPr>
      </w:pPr>
      <w:hyperlink w:anchor="_Toc431567584" w:history="1">
        <w:r w:rsidR="005F5738" w:rsidRPr="00C83BDF">
          <w:rPr>
            <w:rStyle w:val="Hyperlink"/>
            <w:lang w:val="es-ES_tradnl"/>
          </w:rPr>
          <w:t>Miembros</w:t>
        </w:r>
        <w:r w:rsidR="005F5738" w:rsidRPr="00C83BDF">
          <w:rPr>
            <w:webHidden/>
            <w:lang w:val="es-ES_tradnl"/>
          </w:rPr>
          <w:tab/>
        </w:r>
        <w:r w:rsidR="005F5738" w:rsidRPr="00C83BDF">
          <w:rPr>
            <w:webHidden/>
            <w:lang w:val="es-ES_tradnl"/>
          </w:rPr>
          <w:fldChar w:fldCharType="begin"/>
        </w:r>
        <w:r w:rsidR="005F5738" w:rsidRPr="00C83BDF">
          <w:rPr>
            <w:webHidden/>
            <w:lang w:val="es-ES_tradnl"/>
          </w:rPr>
          <w:instrText xml:space="preserve"> PAGEREF _Toc431567584 \h </w:instrText>
        </w:r>
        <w:r w:rsidR="005F5738" w:rsidRPr="00C83BDF">
          <w:rPr>
            <w:webHidden/>
            <w:lang w:val="es-ES_tradnl"/>
          </w:rPr>
        </w:r>
        <w:r w:rsidR="005F5738" w:rsidRPr="00C83BDF">
          <w:rPr>
            <w:webHidden/>
            <w:lang w:val="es-ES_tradnl"/>
          </w:rPr>
          <w:fldChar w:fldCharType="separate"/>
        </w:r>
        <w:r w:rsidR="00485049">
          <w:rPr>
            <w:webHidden/>
            <w:lang w:val="es-ES_tradnl"/>
          </w:rPr>
          <w:t>2</w:t>
        </w:r>
        <w:r w:rsidR="005F5738" w:rsidRPr="00C83BDF">
          <w:rPr>
            <w:webHidden/>
            <w:lang w:val="es-ES_tradnl"/>
          </w:rPr>
          <w:fldChar w:fldCharType="end"/>
        </w:r>
      </w:hyperlink>
    </w:p>
    <w:p w:rsidR="005F5738" w:rsidRPr="00C83BDF" w:rsidRDefault="00FC3A0C" w:rsidP="005F5738">
      <w:pPr>
        <w:pStyle w:val="TOC2"/>
        <w:rPr>
          <w:rFonts w:asciiTheme="minorHAnsi" w:eastAsiaTheme="minorEastAsia" w:hAnsiTheme="minorHAnsi" w:cstheme="minorBidi"/>
          <w:sz w:val="22"/>
          <w:szCs w:val="22"/>
          <w:lang w:val="es-ES_tradnl"/>
        </w:rPr>
      </w:pPr>
      <w:hyperlink w:anchor="_Toc431567585" w:history="1">
        <w:r w:rsidR="005F5738" w:rsidRPr="00C83BDF">
          <w:rPr>
            <w:rStyle w:val="Hyperlink"/>
            <w:lang w:val="es-ES_tradnl"/>
          </w:rPr>
          <w:t>Situación respecto de las distintas Actas del Convenio</w:t>
        </w:r>
        <w:r w:rsidR="005F5738" w:rsidRPr="00C83BDF">
          <w:rPr>
            <w:webHidden/>
            <w:lang w:val="es-ES_tradnl"/>
          </w:rPr>
          <w:tab/>
        </w:r>
        <w:r w:rsidR="005F5738" w:rsidRPr="00C83BDF">
          <w:rPr>
            <w:webHidden/>
            <w:lang w:val="es-ES_tradnl"/>
          </w:rPr>
          <w:fldChar w:fldCharType="begin"/>
        </w:r>
        <w:r w:rsidR="005F5738" w:rsidRPr="00C83BDF">
          <w:rPr>
            <w:webHidden/>
            <w:lang w:val="es-ES_tradnl"/>
          </w:rPr>
          <w:instrText xml:space="preserve"> PAGEREF _Toc431567585 \h </w:instrText>
        </w:r>
        <w:r w:rsidR="005F5738" w:rsidRPr="00C83BDF">
          <w:rPr>
            <w:webHidden/>
            <w:lang w:val="es-ES_tradnl"/>
          </w:rPr>
        </w:r>
        <w:r w:rsidR="005F5738" w:rsidRPr="00C83BDF">
          <w:rPr>
            <w:webHidden/>
            <w:lang w:val="es-ES_tradnl"/>
          </w:rPr>
          <w:fldChar w:fldCharType="separate"/>
        </w:r>
        <w:r w:rsidR="00485049">
          <w:rPr>
            <w:webHidden/>
            <w:lang w:val="es-ES_tradnl"/>
          </w:rPr>
          <w:t>2</w:t>
        </w:r>
        <w:r w:rsidR="005F5738" w:rsidRPr="00C83BDF">
          <w:rPr>
            <w:webHidden/>
            <w:lang w:val="es-ES_tradnl"/>
          </w:rPr>
          <w:fldChar w:fldCharType="end"/>
        </w:r>
      </w:hyperlink>
    </w:p>
    <w:p w:rsidR="005F5738" w:rsidRPr="00C83BDF" w:rsidRDefault="00FC3A0C" w:rsidP="005F5738">
      <w:pPr>
        <w:pStyle w:val="TOC2"/>
        <w:rPr>
          <w:rFonts w:asciiTheme="minorHAnsi" w:eastAsiaTheme="minorEastAsia" w:hAnsiTheme="minorHAnsi" w:cstheme="minorBidi"/>
          <w:sz w:val="22"/>
          <w:szCs w:val="22"/>
          <w:lang w:val="es-ES_tradnl"/>
        </w:rPr>
      </w:pPr>
      <w:hyperlink w:anchor="_Toc431567586" w:history="1">
        <w:r w:rsidR="005F5738" w:rsidRPr="00C83BDF">
          <w:rPr>
            <w:rStyle w:val="Hyperlink"/>
            <w:lang w:val="es-ES_tradnl"/>
          </w:rPr>
          <w:t>Estados/organizaciones que han iniciado el procedimiento para ser miembro de la Unión</w:t>
        </w:r>
        <w:r w:rsidR="005F5738" w:rsidRPr="00C83BDF">
          <w:rPr>
            <w:webHidden/>
            <w:lang w:val="es-ES_tradnl"/>
          </w:rPr>
          <w:tab/>
        </w:r>
        <w:r w:rsidR="005F5738" w:rsidRPr="00C83BDF">
          <w:rPr>
            <w:webHidden/>
            <w:lang w:val="es-ES_tradnl"/>
          </w:rPr>
          <w:fldChar w:fldCharType="begin"/>
        </w:r>
        <w:r w:rsidR="005F5738" w:rsidRPr="00C83BDF">
          <w:rPr>
            <w:webHidden/>
            <w:lang w:val="es-ES_tradnl"/>
          </w:rPr>
          <w:instrText xml:space="preserve"> PAGEREF _Toc431567586 \h </w:instrText>
        </w:r>
        <w:r w:rsidR="005F5738" w:rsidRPr="00C83BDF">
          <w:rPr>
            <w:webHidden/>
            <w:lang w:val="es-ES_tradnl"/>
          </w:rPr>
        </w:r>
        <w:r w:rsidR="005F5738" w:rsidRPr="00C83BDF">
          <w:rPr>
            <w:webHidden/>
            <w:lang w:val="es-ES_tradnl"/>
          </w:rPr>
          <w:fldChar w:fldCharType="separate"/>
        </w:r>
        <w:r w:rsidR="00485049">
          <w:rPr>
            <w:webHidden/>
            <w:lang w:val="es-ES_tradnl"/>
          </w:rPr>
          <w:t>2</w:t>
        </w:r>
        <w:r w:rsidR="005F5738" w:rsidRPr="00C83BDF">
          <w:rPr>
            <w:webHidden/>
            <w:lang w:val="es-ES_tradnl"/>
          </w:rPr>
          <w:fldChar w:fldCharType="end"/>
        </w:r>
      </w:hyperlink>
    </w:p>
    <w:p w:rsidR="005F5738" w:rsidRPr="00C83BDF" w:rsidRDefault="00FC3A0C" w:rsidP="005F5738">
      <w:pPr>
        <w:pStyle w:val="TOC1"/>
        <w:rPr>
          <w:rFonts w:asciiTheme="minorHAnsi" w:eastAsiaTheme="minorEastAsia" w:hAnsiTheme="minorHAnsi" w:cstheme="minorBidi"/>
          <w:sz w:val="22"/>
          <w:szCs w:val="22"/>
          <w:lang w:val="es-ES_tradnl"/>
        </w:rPr>
      </w:pPr>
      <w:hyperlink w:anchor="_Toc431567587" w:history="1">
        <w:r w:rsidR="005F5738" w:rsidRPr="00C83BDF">
          <w:rPr>
            <w:rStyle w:val="Hyperlink"/>
            <w:lang w:val="es-ES_tradnl"/>
          </w:rPr>
          <w:t>II.</w:t>
        </w:r>
        <w:r w:rsidR="005F5738" w:rsidRPr="00C83BDF">
          <w:rPr>
            <w:rFonts w:asciiTheme="minorHAnsi" w:eastAsiaTheme="minorEastAsia" w:hAnsiTheme="minorHAnsi" w:cstheme="minorBidi"/>
            <w:sz w:val="22"/>
            <w:szCs w:val="22"/>
            <w:lang w:val="es-ES_tradnl"/>
          </w:rPr>
          <w:tab/>
        </w:r>
        <w:r w:rsidR="005F5738" w:rsidRPr="00C83BDF">
          <w:rPr>
            <w:rStyle w:val="Hyperlink"/>
            <w:lang w:val="es-ES_tradnl"/>
          </w:rPr>
          <w:t>SESIONES DEL CONSEJO Y DE SUS ÓRGANOS SUBSIDIARIOS</w:t>
        </w:r>
        <w:r w:rsidR="005F5738" w:rsidRPr="00C83BDF">
          <w:rPr>
            <w:webHidden/>
            <w:lang w:val="es-ES_tradnl"/>
          </w:rPr>
          <w:tab/>
        </w:r>
        <w:r w:rsidR="005F5738" w:rsidRPr="00C83BDF">
          <w:rPr>
            <w:webHidden/>
            <w:lang w:val="es-ES_tradnl"/>
          </w:rPr>
          <w:fldChar w:fldCharType="begin"/>
        </w:r>
        <w:r w:rsidR="005F5738" w:rsidRPr="00C83BDF">
          <w:rPr>
            <w:webHidden/>
            <w:lang w:val="es-ES_tradnl"/>
          </w:rPr>
          <w:instrText xml:space="preserve"> PAGEREF _Toc431567587 \h </w:instrText>
        </w:r>
        <w:r w:rsidR="005F5738" w:rsidRPr="00C83BDF">
          <w:rPr>
            <w:webHidden/>
            <w:lang w:val="es-ES_tradnl"/>
          </w:rPr>
        </w:r>
        <w:r w:rsidR="005F5738" w:rsidRPr="00C83BDF">
          <w:rPr>
            <w:webHidden/>
            <w:lang w:val="es-ES_tradnl"/>
          </w:rPr>
          <w:fldChar w:fldCharType="separate"/>
        </w:r>
        <w:r w:rsidR="00485049">
          <w:rPr>
            <w:webHidden/>
            <w:lang w:val="es-ES_tradnl"/>
          </w:rPr>
          <w:t>3</w:t>
        </w:r>
        <w:r w:rsidR="005F5738" w:rsidRPr="00C83BDF">
          <w:rPr>
            <w:webHidden/>
            <w:lang w:val="es-ES_tradnl"/>
          </w:rPr>
          <w:fldChar w:fldCharType="end"/>
        </w:r>
      </w:hyperlink>
    </w:p>
    <w:p w:rsidR="005F5738" w:rsidRPr="00C83BDF" w:rsidRDefault="00FC3A0C" w:rsidP="005F5738">
      <w:pPr>
        <w:pStyle w:val="TOC2"/>
        <w:rPr>
          <w:rFonts w:asciiTheme="minorHAnsi" w:eastAsiaTheme="minorEastAsia" w:hAnsiTheme="minorHAnsi" w:cstheme="minorBidi"/>
          <w:sz w:val="22"/>
          <w:szCs w:val="22"/>
          <w:lang w:val="es-ES_tradnl"/>
        </w:rPr>
      </w:pPr>
      <w:hyperlink w:anchor="_Toc431567588" w:history="1">
        <w:r w:rsidR="005F5738" w:rsidRPr="00C83BDF">
          <w:rPr>
            <w:rStyle w:val="Hyperlink"/>
            <w:lang w:val="es-ES_tradnl"/>
          </w:rPr>
          <w:t>Consejo</w:t>
        </w:r>
        <w:r w:rsidR="005F5738" w:rsidRPr="00C83BDF">
          <w:rPr>
            <w:webHidden/>
            <w:lang w:val="es-ES_tradnl"/>
          </w:rPr>
          <w:tab/>
        </w:r>
        <w:r w:rsidR="005F5738" w:rsidRPr="00C83BDF">
          <w:rPr>
            <w:webHidden/>
            <w:lang w:val="es-ES_tradnl"/>
          </w:rPr>
          <w:fldChar w:fldCharType="begin"/>
        </w:r>
        <w:r w:rsidR="005F5738" w:rsidRPr="00C83BDF">
          <w:rPr>
            <w:webHidden/>
            <w:lang w:val="es-ES_tradnl"/>
          </w:rPr>
          <w:instrText xml:space="preserve"> PAGEREF _Toc431567588 \h </w:instrText>
        </w:r>
        <w:r w:rsidR="005F5738" w:rsidRPr="00C83BDF">
          <w:rPr>
            <w:webHidden/>
            <w:lang w:val="es-ES_tradnl"/>
          </w:rPr>
        </w:r>
        <w:r w:rsidR="005F5738" w:rsidRPr="00C83BDF">
          <w:rPr>
            <w:webHidden/>
            <w:lang w:val="es-ES_tradnl"/>
          </w:rPr>
          <w:fldChar w:fldCharType="separate"/>
        </w:r>
        <w:r w:rsidR="00485049">
          <w:rPr>
            <w:webHidden/>
            <w:lang w:val="es-ES_tradnl"/>
          </w:rPr>
          <w:t>3</w:t>
        </w:r>
        <w:r w:rsidR="005F5738" w:rsidRPr="00C83BDF">
          <w:rPr>
            <w:webHidden/>
            <w:lang w:val="es-ES_tradnl"/>
          </w:rPr>
          <w:fldChar w:fldCharType="end"/>
        </w:r>
      </w:hyperlink>
    </w:p>
    <w:p w:rsidR="005F5738" w:rsidRPr="00C83BDF" w:rsidRDefault="00FC3A0C" w:rsidP="005F5738">
      <w:pPr>
        <w:pStyle w:val="TOC2"/>
        <w:rPr>
          <w:rFonts w:asciiTheme="minorHAnsi" w:eastAsiaTheme="minorEastAsia" w:hAnsiTheme="minorHAnsi" w:cstheme="minorBidi"/>
          <w:sz w:val="22"/>
          <w:szCs w:val="22"/>
          <w:lang w:val="es-ES_tradnl"/>
        </w:rPr>
      </w:pPr>
      <w:hyperlink w:anchor="_Toc431567589" w:history="1">
        <w:r w:rsidR="005F5738" w:rsidRPr="00C83BDF">
          <w:rPr>
            <w:rStyle w:val="Hyperlink"/>
            <w:lang w:val="es-ES_tradnl"/>
          </w:rPr>
          <w:t>Comité Consultivo</w:t>
        </w:r>
        <w:r w:rsidR="005F5738" w:rsidRPr="00C83BDF">
          <w:rPr>
            <w:webHidden/>
            <w:lang w:val="es-ES_tradnl"/>
          </w:rPr>
          <w:tab/>
        </w:r>
        <w:r w:rsidR="005F5738" w:rsidRPr="00C83BDF">
          <w:rPr>
            <w:webHidden/>
            <w:lang w:val="es-ES_tradnl"/>
          </w:rPr>
          <w:fldChar w:fldCharType="begin"/>
        </w:r>
        <w:r w:rsidR="005F5738" w:rsidRPr="00C83BDF">
          <w:rPr>
            <w:webHidden/>
            <w:lang w:val="es-ES_tradnl"/>
          </w:rPr>
          <w:instrText xml:space="preserve"> PAGEREF _Toc431567589 \h </w:instrText>
        </w:r>
        <w:r w:rsidR="005F5738" w:rsidRPr="00C83BDF">
          <w:rPr>
            <w:webHidden/>
            <w:lang w:val="es-ES_tradnl"/>
          </w:rPr>
        </w:r>
        <w:r w:rsidR="005F5738" w:rsidRPr="00C83BDF">
          <w:rPr>
            <w:webHidden/>
            <w:lang w:val="es-ES_tradnl"/>
          </w:rPr>
          <w:fldChar w:fldCharType="separate"/>
        </w:r>
        <w:r w:rsidR="00485049">
          <w:rPr>
            <w:webHidden/>
            <w:lang w:val="es-ES_tradnl"/>
          </w:rPr>
          <w:t>5</w:t>
        </w:r>
        <w:r w:rsidR="005F5738" w:rsidRPr="00C83BDF">
          <w:rPr>
            <w:webHidden/>
            <w:lang w:val="es-ES_tradnl"/>
          </w:rPr>
          <w:fldChar w:fldCharType="end"/>
        </w:r>
      </w:hyperlink>
    </w:p>
    <w:p w:rsidR="005F5738" w:rsidRPr="00C83BDF" w:rsidRDefault="00FC3A0C" w:rsidP="005F5738">
      <w:pPr>
        <w:pStyle w:val="TOC2"/>
        <w:rPr>
          <w:rFonts w:asciiTheme="minorHAnsi" w:eastAsiaTheme="minorEastAsia" w:hAnsiTheme="minorHAnsi" w:cstheme="minorBidi"/>
          <w:sz w:val="22"/>
          <w:szCs w:val="22"/>
          <w:lang w:val="es-ES_tradnl"/>
        </w:rPr>
      </w:pPr>
      <w:hyperlink w:anchor="_Toc431567590" w:history="1">
        <w:r w:rsidR="005F5738" w:rsidRPr="00C83BDF">
          <w:rPr>
            <w:rStyle w:val="Hyperlink"/>
            <w:lang w:val="es-ES_tradnl"/>
          </w:rPr>
          <w:t>Comité Administrativo y Jurídico, Comité Técnico, Grupos de Trabajo Técnico y Grupo de Trabajo sobre Técnicas Bioquímicas y Moleculares, y Perfiles de ADN en particular</w:t>
        </w:r>
        <w:r w:rsidR="005F5738" w:rsidRPr="00C83BDF">
          <w:rPr>
            <w:webHidden/>
            <w:lang w:val="es-ES_tradnl"/>
          </w:rPr>
          <w:tab/>
        </w:r>
        <w:r w:rsidR="005F5738" w:rsidRPr="00C83BDF">
          <w:rPr>
            <w:webHidden/>
            <w:lang w:val="es-ES_tradnl"/>
          </w:rPr>
          <w:fldChar w:fldCharType="begin"/>
        </w:r>
        <w:r w:rsidR="005F5738" w:rsidRPr="00C83BDF">
          <w:rPr>
            <w:webHidden/>
            <w:lang w:val="es-ES_tradnl"/>
          </w:rPr>
          <w:instrText xml:space="preserve"> PAGEREF _Toc431567590 \h </w:instrText>
        </w:r>
        <w:r w:rsidR="005F5738" w:rsidRPr="00C83BDF">
          <w:rPr>
            <w:webHidden/>
            <w:lang w:val="es-ES_tradnl"/>
          </w:rPr>
        </w:r>
        <w:r w:rsidR="005F5738" w:rsidRPr="00C83BDF">
          <w:rPr>
            <w:webHidden/>
            <w:lang w:val="es-ES_tradnl"/>
          </w:rPr>
          <w:fldChar w:fldCharType="separate"/>
        </w:r>
        <w:r w:rsidR="00485049">
          <w:rPr>
            <w:webHidden/>
            <w:lang w:val="es-ES_tradnl"/>
          </w:rPr>
          <w:t>10</w:t>
        </w:r>
        <w:r w:rsidR="005F5738" w:rsidRPr="00C83BDF">
          <w:rPr>
            <w:webHidden/>
            <w:lang w:val="es-ES_tradnl"/>
          </w:rPr>
          <w:fldChar w:fldCharType="end"/>
        </w:r>
      </w:hyperlink>
    </w:p>
    <w:p w:rsidR="005F5738" w:rsidRPr="00C83BDF" w:rsidRDefault="00FC3A0C" w:rsidP="005F5738">
      <w:pPr>
        <w:pStyle w:val="TOC1"/>
        <w:rPr>
          <w:rFonts w:asciiTheme="minorHAnsi" w:eastAsiaTheme="minorEastAsia" w:hAnsiTheme="minorHAnsi" w:cstheme="minorBidi"/>
          <w:sz w:val="22"/>
          <w:szCs w:val="22"/>
          <w:lang w:val="es-ES_tradnl"/>
        </w:rPr>
      </w:pPr>
      <w:hyperlink w:anchor="_Toc431567591" w:history="1">
        <w:r w:rsidR="005F5738" w:rsidRPr="00C83BDF">
          <w:rPr>
            <w:rStyle w:val="Hyperlink"/>
            <w:lang w:val="es-ES_tradnl"/>
          </w:rPr>
          <w:t>III.</w:t>
        </w:r>
        <w:r w:rsidR="005F5738" w:rsidRPr="00C83BDF">
          <w:rPr>
            <w:rFonts w:asciiTheme="minorHAnsi" w:eastAsiaTheme="minorEastAsia" w:hAnsiTheme="minorHAnsi" w:cstheme="minorBidi"/>
            <w:sz w:val="22"/>
            <w:szCs w:val="22"/>
            <w:lang w:val="es-ES_tradnl"/>
          </w:rPr>
          <w:tab/>
        </w:r>
        <w:r w:rsidR="005F5738" w:rsidRPr="00C83BDF">
          <w:rPr>
            <w:rStyle w:val="Hyperlink"/>
            <w:lang w:val="es-ES_tradnl"/>
          </w:rPr>
          <w:t>CURSOS, SEMINARIOS, TALLERES, MISIONES, CONTACTOS IMPORTANTES</w:t>
        </w:r>
        <w:r w:rsidR="005F5738" w:rsidRPr="00C83BDF">
          <w:rPr>
            <w:webHidden/>
            <w:lang w:val="es-ES_tradnl"/>
          </w:rPr>
          <w:tab/>
        </w:r>
        <w:r w:rsidR="005F5738" w:rsidRPr="00C83BDF">
          <w:rPr>
            <w:webHidden/>
            <w:lang w:val="es-ES_tradnl"/>
          </w:rPr>
          <w:fldChar w:fldCharType="begin"/>
        </w:r>
        <w:r w:rsidR="005F5738" w:rsidRPr="00C83BDF">
          <w:rPr>
            <w:webHidden/>
            <w:lang w:val="es-ES_tradnl"/>
          </w:rPr>
          <w:instrText xml:space="preserve"> PAGEREF _Toc431567591 \h </w:instrText>
        </w:r>
        <w:r w:rsidR="005F5738" w:rsidRPr="00C83BDF">
          <w:rPr>
            <w:webHidden/>
            <w:lang w:val="es-ES_tradnl"/>
          </w:rPr>
        </w:r>
        <w:r w:rsidR="005F5738" w:rsidRPr="00C83BDF">
          <w:rPr>
            <w:webHidden/>
            <w:lang w:val="es-ES_tradnl"/>
          </w:rPr>
          <w:fldChar w:fldCharType="separate"/>
        </w:r>
        <w:r w:rsidR="00485049">
          <w:rPr>
            <w:webHidden/>
            <w:lang w:val="es-ES_tradnl"/>
          </w:rPr>
          <w:t>11</w:t>
        </w:r>
        <w:r w:rsidR="005F5738" w:rsidRPr="00C83BDF">
          <w:rPr>
            <w:webHidden/>
            <w:lang w:val="es-ES_tradnl"/>
          </w:rPr>
          <w:fldChar w:fldCharType="end"/>
        </w:r>
      </w:hyperlink>
    </w:p>
    <w:p w:rsidR="005F5738" w:rsidRPr="00C83BDF" w:rsidRDefault="00FC3A0C" w:rsidP="005F5738">
      <w:pPr>
        <w:pStyle w:val="TOC2"/>
        <w:rPr>
          <w:rFonts w:asciiTheme="minorHAnsi" w:eastAsiaTheme="minorEastAsia" w:hAnsiTheme="minorHAnsi" w:cstheme="minorBidi"/>
          <w:sz w:val="22"/>
          <w:szCs w:val="22"/>
          <w:lang w:val="es-ES_tradnl"/>
        </w:rPr>
      </w:pPr>
      <w:hyperlink w:anchor="_Toc431567592" w:history="1">
        <w:r w:rsidR="005F5738" w:rsidRPr="00C83BDF">
          <w:rPr>
            <w:rStyle w:val="Hyperlink"/>
            <w:lang w:val="es-ES_tradnl"/>
          </w:rPr>
          <w:t>Actividades individuales</w:t>
        </w:r>
        <w:r w:rsidR="005F5738" w:rsidRPr="00C83BDF">
          <w:rPr>
            <w:webHidden/>
            <w:lang w:val="es-ES_tradnl"/>
          </w:rPr>
          <w:tab/>
        </w:r>
        <w:r w:rsidR="005F5738" w:rsidRPr="00C83BDF">
          <w:rPr>
            <w:webHidden/>
            <w:lang w:val="es-ES_tradnl"/>
          </w:rPr>
          <w:fldChar w:fldCharType="begin"/>
        </w:r>
        <w:r w:rsidR="005F5738" w:rsidRPr="00C83BDF">
          <w:rPr>
            <w:webHidden/>
            <w:lang w:val="es-ES_tradnl"/>
          </w:rPr>
          <w:instrText xml:space="preserve"> PAGEREF _Toc431567592 \h </w:instrText>
        </w:r>
        <w:r w:rsidR="005F5738" w:rsidRPr="00C83BDF">
          <w:rPr>
            <w:webHidden/>
            <w:lang w:val="es-ES_tradnl"/>
          </w:rPr>
        </w:r>
        <w:r w:rsidR="005F5738" w:rsidRPr="00C83BDF">
          <w:rPr>
            <w:webHidden/>
            <w:lang w:val="es-ES_tradnl"/>
          </w:rPr>
          <w:fldChar w:fldCharType="separate"/>
        </w:r>
        <w:r w:rsidR="00485049">
          <w:rPr>
            <w:webHidden/>
            <w:lang w:val="es-ES_tradnl"/>
          </w:rPr>
          <w:t>11</w:t>
        </w:r>
        <w:r w:rsidR="005F5738" w:rsidRPr="00C83BDF">
          <w:rPr>
            <w:webHidden/>
            <w:lang w:val="es-ES_tradnl"/>
          </w:rPr>
          <w:fldChar w:fldCharType="end"/>
        </w:r>
      </w:hyperlink>
    </w:p>
    <w:p w:rsidR="005F5738" w:rsidRPr="00C83BDF" w:rsidRDefault="00FC3A0C" w:rsidP="005F5738">
      <w:pPr>
        <w:pStyle w:val="TOC2"/>
        <w:rPr>
          <w:rFonts w:asciiTheme="minorHAnsi" w:eastAsiaTheme="minorEastAsia" w:hAnsiTheme="minorHAnsi" w:cstheme="minorBidi"/>
          <w:sz w:val="22"/>
          <w:szCs w:val="22"/>
          <w:lang w:val="es-ES_tradnl"/>
        </w:rPr>
      </w:pPr>
      <w:hyperlink w:anchor="_Toc431567593" w:history="1">
        <w:r w:rsidR="005F5738" w:rsidRPr="00C83BDF">
          <w:rPr>
            <w:rStyle w:val="Hyperlink"/>
            <w:lang w:val="es-ES_tradnl"/>
          </w:rPr>
          <w:t>Cursos de enseñanza a distancia</w:t>
        </w:r>
        <w:r w:rsidR="005F5738" w:rsidRPr="00C83BDF">
          <w:rPr>
            <w:webHidden/>
            <w:lang w:val="es-ES_tradnl"/>
          </w:rPr>
          <w:tab/>
        </w:r>
        <w:r w:rsidR="005F5738" w:rsidRPr="00C83BDF">
          <w:rPr>
            <w:webHidden/>
            <w:lang w:val="es-ES_tradnl"/>
          </w:rPr>
          <w:fldChar w:fldCharType="begin"/>
        </w:r>
        <w:r w:rsidR="005F5738" w:rsidRPr="00C83BDF">
          <w:rPr>
            <w:webHidden/>
            <w:lang w:val="es-ES_tradnl"/>
          </w:rPr>
          <w:instrText xml:space="preserve"> PAGEREF _Toc431567593 \h </w:instrText>
        </w:r>
        <w:r w:rsidR="005F5738" w:rsidRPr="00C83BDF">
          <w:rPr>
            <w:webHidden/>
            <w:lang w:val="es-ES_tradnl"/>
          </w:rPr>
        </w:r>
        <w:r w:rsidR="005F5738" w:rsidRPr="00C83BDF">
          <w:rPr>
            <w:webHidden/>
            <w:lang w:val="es-ES_tradnl"/>
          </w:rPr>
          <w:fldChar w:fldCharType="separate"/>
        </w:r>
        <w:r w:rsidR="00485049">
          <w:rPr>
            <w:webHidden/>
            <w:lang w:val="es-ES_tradnl"/>
          </w:rPr>
          <w:t>19</w:t>
        </w:r>
        <w:r w:rsidR="005F5738" w:rsidRPr="00C83BDF">
          <w:rPr>
            <w:webHidden/>
            <w:lang w:val="es-ES_tradnl"/>
          </w:rPr>
          <w:fldChar w:fldCharType="end"/>
        </w:r>
      </w:hyperlink>
    </w:p>
    <w:p w:rsidR="005F5738" w:rsidRPr="00C83BDF" w:rsidRDefault="00FC3A0C" w:rsidP="005F5738">
      <w:pPr>
        <w:pStyle w:val="TOC1"/>
        <w:rPr>
          <w:rFonts w:asciiTheme="minorHAnsi" w:eastAsiaTheme="minorEastAsia" w:hAnsiTheme="minorHAnsi" w:cstheme="minorBidi"/>
          <w:sz w:val="22"/>
          <w:szCs w:val="22"/>
          <w:lang w:val="es-ES_tradnl"/>
        </w:rPr>
      </w:pPr>
      <w:hyperlink w:anchor="_Toc431567594" w:history="1">
        <w:r w:rsidR="005F5738" w:rsidRPr="00C83BDF">
          <w:rPr>
            <w:rStyle w:val="Hyperlink"/>
            <w:lang w:val="es-ES_tradnl"/>
          </w:rPr>
          <w:t>IV.</w:t>
        </w:r>
        <w:r w:rsidR="005F5738" w:rsidRPr="00C83BDF">
          <w:rPr>
            <w:rFonts w:asciiTheme="minorHAnsi" w:eastAsiaTheme="minorEastAsia" w:hAnsiTheme="minorHAnsi" w:cstheme="minorBidi"/>
            <w:sz w:val="22"/>
            <w:szCs w:val="22"/>
            <w:lang w:val="es-ES_tradnl"/>
          </w:rPr>
          <w:tab/>
        </w:r>
        <w:r w:rsidR="005F5738" w:rsidRPr="00C83BDF">
          <w:rPr>
            <w:rStyle w:val="Hyperlink"/>
            <w:lang w:val="es-ES_tradnl"/>
          </w:rPr>
          <w:t>RELACIONES CON ESTADOS Y ORGANIZACIONES</w:t>
        </w:r>
        <w:r w:rsidR="005F5738" w:rsidRPr="00C83BDF">
          <w:rPr>
            <w:webHidden/>
            <w:lang w:val="es-ES_tradnl"/>
          </w:rPr>
          <w:tab/>
        </w:r>
        <w:r w:rsidR="005F5738" w:rsidRPr="00C83BDF">
          <w:rPr>
            <w:webHidden/>
            <w:lang w:val="es-ES_tradnl"/>
          </w:rPr>
          <w:fldChar w:fldCharType="begin"/>
        </w:r>
        <w:r w:rsidR="005F5738" w:rsidRPr="00C83BDF">
          <w:rPr>
            <w:webHidden/>
            <w:lang w:val="es-ES_tradnl"/>
          </w:rPr>
          <w:instrText xml:space="preserve"> PAGEREF _Toc431567594 \h </w:instrText>
        </w:r>
        <w:r w:rsidR="005F5738" w:rsidRPr="00C83BDF">
          <w:rPr>
            <w:webHidden/>
            <w:lang w:val="es-ES_tradnl"/>
          </w:rPr>
        </w:r>
        <w:r w:rsidR="005F5738" w:rsidRPr="00C83BDF">
          <w:rPr>
            <w:webHidden/>
            <w:lang w:val="es-ES_tradnl"/>
          </w:rPr>
          <w:fldChar w:fldCharType="separate"/>
        </w:r>
        <w:r w:rsidR="00485049">
          <w:rPr>
            <w:webHidden/>
            <w:lang w:val="es-ES_tradnl"/>
          </w:rPr>
          <w:t>19</w:t>
        </w:r>
        <w:r w:rsidR="005F5738" w:rsidRPr="00C83BDF">
          <w:rPr>
            <w:webHidden/>
            <w:lang w:val="es-ES_tradnl"/>
          </w:rPr>
          <w:fldChar w:fldCharType="end"/>
        </w:r>
      </w:hyperlink>
    </w:p>
    <w:p w:rsidR="005F5738" w:rsidRPr="00C83BDF" w:rsidRDefault="00FC3A0C" w:rsidP="005F5738">
      <w:pPr>
        <w:pStyle w:val="TOC1"/>
        <w:rPr>
          <w:rFonts w:asciiTheme="minorHAnsi" w:eastAsiaTheme="minorEastAsia" w:hAnsiTheme="minorHAnsi" w:cstheme="minorBidi"/>
          <w:sz w:val="22"/>
          <w:szCs w:val="22"/>
          <w:lang w:val="es-ES_tradnl"/>
        </w:rPr>
      </w:pPr>
      <w:hyperlink w:anchor="_Toc431567595" w:history="1">
        <w:r w:rsidR="005F5738" w:rsidRPr="00C83BDF">
          <w:rPr>
            <w:rStyle w:val="Hyperlink"/>
            <w:lang w:val="es-ES_tradnl"/>
          </w:rPr>
          <w:t>V.</w:t>
        </w:r>
        <w:r w:rsidR="005F5738" w:rsidRPr="00C83BDF">
          <w:rPr>
            <w:rFonts w:asciiTheme="minorHAnsi" w:eastAsiaTheme="minorEastAsia" w:hAnsiTheme="minorHAnsi" w:cstheme="minorBidi"/>
            <w:sz w:val="22"/>
            <w:szCs w:val="22"/>
            <w:lang w:val="es-ES_tradnl"/>
          </w:rPr>
          <w:tab/>
        </w:r>
        <w:r w:rsidR="005F5738" w:rsidRPr="00C83BDF">
          <w:rPr>
            <w:rStyle w:val="Hyperlink"/>
            <w:lang w:val="es-ES_tradnl"/>
          </w:rPr>
          <w:t>Publicaciones</w:t>
        </w:r>
        <w:r w:rsidR="005F5738" w:rsidRPr="00C83BDF">
          <w:rPr>
            <w:webHidden/>
            <w:lang w:val="es-ES_tradnl"/>
          </w:rPr>
          <w:tab/>
        </w:r>
        <w:r w:rsidR="005F5738" w:rsidRPr="00C83BDF">
          <w:rPr>
            <w:webHidden/>
            <w:lang w:val="es-ES_tradnl"/>
          </w:rPr>
          <w:fldChar w:fldCharType="begin"/>
        </w:r>
        <w:r w:rsidR="005F5738" w:rsidRPr="00C83BDF">
          <w:rPr>
            <w:webHidden/>
            <w:lang w:val="es-ES_tradnl"/>
          </w:rPr>
          <w:instrText xml:space="preserve"> PAGEREF _Toc431567595 \h </w:instrText>
        </w:r>
        <w:r w:rsidR="005F5738" w:rsidRPr="00C83BDF">
          <w:rPr>
            <w:webHidden/>
            <w:lang w:val="es-ES_tradnl"/>
          </w:rPr>
        </w:r>
        <w:r w:rsidR="005F5738" w:rsidRPr="00C83BDF">
          <w:rPr>
            <w:webHidden/>
            <w:lang w:val="es-ES_tradnl"/>
          </w:rPr>
          <w:fldChar w:fldCharType="separate"/>
        </w:r>
        <w:r w:rsidR="00485049">
          <w:rPr>
            <w:webHidden/>
            <w:lang w:val="es-ES_tradnl"/>
          </w:rPr>
          <w:t>20</w:t>
        </w:r>
        <w:r w:rsidR="005F5738" w:rsidRPr="00C83BDF">
          <w:rPr>
            <w:webHidden/>
            <w:lang w:val="es-ES_tradnl"/>
          </w:rPr>
          <w:fldChar w:fldCharType="end"/>
        </w:r>
      </w:hyperlink>
    </w:p>
    <w:p w:rsidR="00E65183" w:rsidRPr="00C83BDF" w:rsidRDefault="00082242" w:rsidP="005F5738">
      <w:pPr>
        <w:rPr>
          <w:lang w:val="es-ES_tradnl"/>
        </w:rPr>
      </w:pPr>
      <w:r w:rsidRPr="00C83BDF">
        <w:rPr>
          <w:highlight w:val="yellow"/>
          <w:lang w:val="es-ES_tradnl"/>
        </w:rPr>
        <w:fldChar w:fldCharType="end"/>
      </w:r>
    </w:p>
    <w:p w:rsidR="00E65183" w:rsidRPr="00C83BDF" w:rsidRDefault="0072381B" w:rsidP="0072381B">
      <w:pPr>
        <w:spacing w:before="120"/>
        <w:ind w:left="1701" w:hanging="1275"/>
        <w:rPr>
          <w:noProof/>
          <w:lang w:val="es-ES_tradnl"/>
        </w:rPr>
      </w:pPr>
      <w:r w:rsidRPr="00C83BDF">
        <w:rPr>
          <w:lang w:val="es-ES_tradnl"/>
        </w:rPr>
        <w:t>ANEXO I:</w:t>
      </w:r>
      <w:r w:rsidR="00E65183" w:rsidRPr="00C83BDF">
        <w:rPr>
          <w:lang w:val="es-ES_tradnl"/>
        </w:rPr>
        <w:tab/>
      </w:r>
      <w:r w:rsidRPr="00C83BDF">
        <w:rPr>
          <w:lang w:val="es-ES_tradnl"/>
        </w:rPr>
        <w:t>Miembros de la Unión</w:t>
      </w:r>
    </w:p>
    <w:p w:rsidR="00E65183" w:rsidRPr="00C83BDF" w:rsidRDefault="0072381B" w:rsidP="0072381B">
      <w:pPr>
        <w:spacing w:before="120"/>
        <w:ind w:left="1701" w:hanging="1275"/>
        <w:rPr>
          <w:noProof/>
          <w:lang w:val="es-ES_tradnl"/>
        </w:rPr>
      </w:pPr>
      <w:r w:rsidRPr="00C83BDF">
        <w:rPr>
          <w:lang w:val="es-ES_tradnl"/>
        </w:rPr>
        <w:t>ANEXO II:</w:t>
      </w:r>
      <w:r w:rsidR="00E65183" w:rsidRPr="00C83BDF">
        <w:rPr>
          <w:noProof/>
          <w:lang w:val="es-ES_tradnl"/>
        </w:rPr>
        <w:tab/>
      </w:r>
      <w:r w:rsidRPr="00C83BDF">
        <w:rPr>
          <w:lang w:val="es-ES_tradnl"/>
        </w:rPr>
        <w:t>Reseña de las misiones realizadas en 2014</w:t>
      </w:r>
    </w:p>
    <w:p w:rsidR="00E65183" w:rsidRPr="00C83BDF" w:rsidRDefault="0072381B" w:rsidP="0072381B">
      <w:pPr>
        <w:spacing w:before="120"/>
        <w:ind w:left="1701" w:hanging="1275"/>
        <w:rPr>
          <w:noProof/>
          <w:lang w:val="es-ES_tradnl"/>
        </w:rPr>
      </w:pPr>
      <w:r w:rsidRPr="00C83BDF">
        <w:rPr>
          <w:lang w:val="es-ES_tradnl"/>
        </w:rPr>
        <w:t>ANEXO III:</w:t>
      </w:r>
      <w:r w:rsidR="00E65183" w:rsidRPr="00C83BDF">
        <w:rPr>
          <w:noProof/>
          <w:lang w:val="es-ES_tradnl"/>
        </w:rPr>
        <w:tab/>
      </w:r>
      <w:r w:rsidRPr="00C83BDF">
        <w:rPr>
          <w:lang w:val="es-ES_tradnl"/>
        </w:rPr>
        <w:t>Resultados e indicadores de rendimiento para 2014</w:t>
      </w:r>
    </w:p>
    <w:p w:rsidR="00E65183" w:rsidRPr="00C83BDF" w:rsidRDefault="0072381B" w:rsidP="0072381B">
      <w:pPr>
        <w:spacing w:before="120"/>
        <w:ind w:left="1701" w:hanging="1275"/>
        <w:rPr>
          <w:noProof/>
          <w:lang w:val="es-ES_tradnl"/>
        </w:rPr>
      </w:pPr>
      <w:r w:rsidRPr="00C83BDF">
        <w:rPr>
          <w:lang w:val="es-ES_tradnl"/>
        </w:rPr>
        <w:t>Apéndice:</w:t>
      </w:r>
      <w:r w:rsidR="00E65183" w:rsidRPr="00C83BDF">
        <w:rPr>
          <w:noProof/>
          <w:lang w:val="es-ES_tradnl"/>
        </w:rPr>
        <w:tab/>
      </w:r>
      <w:r w:rsidRPr="00C83BDF">
        <w:rPr>
          <w:lang w:val="es-ES_tradnl"/>
        </w:rPr>
        <w:t>Siglas y abreviaturas</w:t>
      </w:r>
    </w:p>
    <w:p w:rsidR="00E65183" w:rsidRPr="00C83BDF" w:rsidRDefault="00E65183" w:rsidP="00E65183">
      <w:pPr>
        <w:keepNext/>
        <w:rPr>
          <w:noProof/>
          <w:lang w:val="es-ES_tradnl"/>
        </w:rPr>
      </w:pPr>
      <w:r w:rsidRPr="00C83BDF">
        <w:rPr>
          <w:szCs w:val="24"/>
          <w:u w:val="single"/>
          <w:lang w:val="es-ES_tradnl"/>
        </w:rPr>
        <w:br w:type="page"/>
      </w:r>
    </w:p>
    <w:p w:rsidR="00E65183" w:rsidRPr="00C83BDF" w:rsidRDefault="0072381B" w:rsidP="00E65183">
      <w:pPr>
        <w:pStyle w:val="Heading1"/>
        <w:rPr>
          <w:lang w:val="es-ES_tradnl"/>
        </w:rPr>
      </w:pPr>
      <w:bookmarkStart w:id="5" w:name="_Toc431567583"/>
      <w:r w:rsidRPr="00C83BDF">
        <w:rPr>
          <w:lang w:val="es-ES_tradnl"/>
        </w:rPr>
        <w:lastRenderedPageBreak/>
        <w:t>I.</w:t>
      </w:r>
      <w:r w:rsidR="00E65183" w:rsidRPr="00C83BDF">
        <w:rPr>
          <w:lang w:val="es-ES_tradnl"/>
        </w:rPr>
        <w:tab/>
      </w:r>
      <w:r w:rsidRPr="00C83BDF">
        <w:rPr>
          <w:lang w:val="es-ES_tradnl"/>
        </w:rPr>
        <w:t>COMPOSICIÓN DE LA UNIÓN</w:t>
      </w:r>
      <w:bookmarkEnd w:id="5"/>
    </w:p>
    <w:p w:rsidR="00E65183" w:rsidRPr="00C83BDF" w:rsidRDefault="00E65183" w:rsidP="00E65183">
      <w:pPr>
        <w:rPr>
          <w:lang w:val="es-ES_tradnl"/>
        </w:rPr>
      </w:pPr>
    </w:p>
    <w:p w:rsidR="00E65183" w:rsidRPr="00C83BDF" w:rsidRDefault="0072381B" w:rsidP="00E65183">
      <w:pPr>
        <w:pStyle w:val="Heading2"/>
        <w:rPr>
          <w:lang w:val="es-ES_tradnl"/>
        </w:rPr>
      </w:pPr>
      <w:bookmarkStart w:id="6" w:name="_Toc431567584"/>
      <w:r w:rsidRPr="00C83BDF">
        <w:rPr>
          <w:lang w:val="es-ES_tradnl"/>
        </w:rPr>
        <w:t>Miembros</w:t>
      </w:r>
      <w:bookmarkEnd w:id="6"/>
    </w:p>
    <w:p w:rsidR="00E65183" w:rsidRPr="00C83BDF" w:rsidRDefault="00E65183" w:rsidP="00E65183">
      <w:pPr>
        <w:rPr>
          <w:lang w:val="es-ES_tradnl"/>
        </w:rPr>
      </w:pPr>
    </w:p>
    <w:p w:rsidR="007F3C6E" w:rsidRPr="00C83BDF" w:rsidRDefault="00082242" w:rsidP="007F3C6E">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72381B" w:rsidRPr="00C83BDF">
        <w:rPr>
          <w:lang w:val="es-ES_tradnl"/>
        </w:rPr>
        <w:t>Al 31 de diciembre de 2014</w:t>
      </w:r>
      <w:r w:rsidR="00220E3C" w:rsidRPr="00C83BDF">
        <w:rPr>
          <w:lang w:val="es-ES_tradnl"/>
        </w:rPr>
        <w:t xml:space="preserve">, </w:t>
      </w:r>
      <w:r w:rsidR="00FC3A0C" w:rsidRPr="00C83BDF">
        <w:rPr>
          <w:lang w:val="es-ES_tradnl"/>
        </w:rPr>
        <w:t xml:space="preserve">la Unión estaba formada por </w:t>
      </w:r>
      <w:r w:rsidR="0072381B" w:rsidRPr="00C83BDF">
        <w:rPr>
          <w:lang w:val="es-ES_tradnl"/>
        </w:rPr>
        <w:t>72 miembros:</w:t>
      </w:r>
      <w:r w:rsidR="00E65183" w:rsidRPr="00C83BDF">
        <w:rPr>
          <w:lang w:val="es-ES_tradnl"/>
        </w:rPr>
        <w:t xml:space="preserve">  </w:t>
      </w:r>
      <w:r w:rsidR="007148F6" w:rsidRPr="00C83BDF">
        <w:rPr>
          <w:lang w:val="es-ES_tradnl"/>
        </w:rPr>
        <w:t>Albania</w:t>
      </w:r>
      <w:r w:rsidR="00220E3C" w:rsidRPr="00C83BDF">
        <w:rPr>
          <w:lang w:val="es-ES_tradnl"/>
        </w:rPr>
        <w:t xml:space="preserve">, </w:t>
      </w:r>
      <w:r w:rsidR="007148F6" w:rsidRPr="00C83BDF">
        <w:rPr>
          <w:lang w:val="es-ES_tradnl"/>
        </w:rPr>
        <w:t>Alemania</w:t>
      </w:r>
      <w:r w:rsidR="00220E3C" w:rsidRPr="00C83BDF">
        <w:rPr>
          <w:lang w:val="es-ES_tradnl"/>
        </w:rPr>
        <w:t xml:space="preserve">, </w:t>
      </w:r>
      <w:r w:rsidR="007148F6" w:rsidRPr="00C83BDF">
        <w:rPr>
          <w:lang w:val="es-ES_tradnl"/>
        </w:rPr>
        <w:t>Argentina</w:t>
      </w:r>
      <w:r w:rsidR="00220E3C" w:rsidRPr="00C83BDF">
        <w:rPr>
          <w:lang w:val="es-ES_tradnl"/>
        </w:rPr>
        <w:t xml:space="preserve">, </w:t>
      </w:r>
      <w:r w:rsidR="007148F6" w:rsidRPr="00C83BDF">
        <w:rPr>
          <w:lang w:val="es-ES_tradnl"/>
        </w:rPr>
        <w:t>Australia</w:t>
      </w:r>
      <w:r w:rsidR="00220E3C" w:rsidRPr="00C83BDF">
        <w:rPr>
          <w:lang w:val="es-ES_tradnl"/>
        </w:rPr>
        <w:t xml:space="preserve">, </w:t>
      </w:r>
      <w:r w:rsidR="007148F6" w:rsidRPr="00C83BDF">
        <w:rPr>
          <w:lang w:val="es-ES_tradnl"/>
        </w:rPr>
        <w:t>Austria</w:t>
      </w:r>
      <w:r w:rsidR="00220E3C" w:rsidRPr="00C83BDF">
        <w:rPr>
          <w:lang w:val="es-ES_tradnl"/>
        </w:rPr>
        <w:t xml:space="preserve">, </w:t>
      </w:r>
      <w:r w:rsidR="007148F6" w:rsidRPr="00C83BDF">
        <w:rPr>
          <w:lang w:val="es-ES_tradnl"/>
        </w:rPr>
        <w:t>Azerbaiyán</w:t>
      </w:r>
      <w:r w:rsidR="00220E3C" w:rsidRPr="00C83BDF">
        <w:rPr>
          <w:lang w:val="es-ES_tradnl"/>
        </w:rPr>
        <w:t xml:space="preserve">, </w:t>
      </w:r>
      <w:r w:rsidR="007148F6" w:rsidRPr="00C83BDF">
        <w:rPr>
          <w:lang w:val="es-ES_tradnl"/>
        </w:rPr>
        <w:t>Belarús</w:t>
      </w:r>
      <w:r w:rsidR="00220E3C" w:rsidRPr="00C83BDF">
        <w:rPr>
          <w:lang w:val="es-ES_tradnl"/>
        </w:rPr>
        <w:t xml:space="preserve">, </w:t>
      </w:r>
      <w:r w:rsidR="007148F6" w:rsidRPr="00C83BDF">
        <w:rPr>
          <w:lang w:val="es-ES_tradnl"/>
        </w:rPr>
        <w:t>Bélgica</w:t>
      </w:r>
      <w:r w:rsidR="00220E3C" w:rsidRPr="00C83BDF">
        <w:rPr>
          <w:lang w:val="es-ES_tradnl"/>
        </w:rPr>
        <w:t xml:space="preserve">, </w:t>
      </w:r>
      <w:r w:rsidR="007148F6" w:rsidRPr="00C83BDF">
        <w:rPr>
          <w:lang w:val="es-ES_tradnl"/>
        </w:rPr>
        <w:t>Bolivia (Estado Plurinacional de)</w:t>
      </w:r>
      <w:r w:rsidR="00220E3C" w:rsidRPr="00C83BDF">
        <w:rPr>
          <w:lang w:val="es-ES_tradnl"/>
        </w:rPr>
        <w:t xml:space="preserve">, </w:t>
      </w:r>
      <w:r w:rsidR="007148F6" w:rsidRPr="00C83BDF">
        <w:rPr>
          <w:lang w:val="es-ES_tradnl"/>
        </w:rPr>
        <w:t>Brasil</w:t>
      </w:r>
      <w:r w:rsidR="00220E3C" w:rsidRPr="00C83BDF">
        <w:rPr>
          <w:lang w:val="es-ES_tradnl"/>
        </w:rPr>
        <w:t xml:space="preserve">, </w:t>
      </w:r>
      <w:r w:rsidR="007148F6" w:rsidRPr="00C83BDF">
        <w:rPr>
          <w:lang w:val="es-ES_tradnl"/>
        </w:rPr>
        <w:t>Bulgaria</w:t>
      </w:r>
      <w:r w:rsidR="00220E3C" w:rsidRPr="00C83BDF">
        <w:rPr>
          <w:lang w:val="es-ES_tradnl"/>
        </w:rPr>
        <w:t xml:space="preserve">, </w:t>
      </w:r>
      <w:r w:rsidR="007148F6" w:rsidRPr="00C83BDF">
        <w:rPr>
          <w:lang w:val="es-ES_tradnl"/>
        </w:rPr>
        <w:t>Canadá</w:t>
      </w:r>
      <w:r w:rsidR="00220E3C" w:rsidRPr="00C83BDF">
        <w:rPr>
          <w:lang w:val="es-ES_tradnl"/>
        </w:rPr>
        <w:t xml:space="preserve">, </w:t>
      </w:r>
      <w:r w:rsidR="007148F6" w:rsidRPr="00C83BDF">
        <w:rPr>
          <w:lang w:val="es-ES_tradnl"/>
        </w:rPr>
        <w:t>Colombia</w:t>
      </w:r>
      <w:r w:rsidR="00220E3C" w:rsidRPr="00C83BDF">
        <w:rPr>
          <w:lang w:val="es-ES_tradnl"/>
        </w:rPr>
        <w:t xml:space="preserve">, </w:t>
      </w:r>
      <w:r w:rsidR="007148F6" w:rsidRPr="00C83BDF">
        <w:rPr>
          <w:lang w:val="es-ES_tradnl"/>
        </w:rPr>
        <w:t>Costa Rica</w:t>
      </w:r>
      <w:r w:rsidR="00220E3C" w:rsidRPr="00C83BDF">
        <w:rPr>
          <w:lang w:val="es-ES_tradnl"/>
        </w:rPr>
        <w:t xml:space="preserve">, </w:t>
      </w:r>
      <w:r w:rsidR="007148F6" w:rsidRPr="00C83BDF">
        <w:rPr>
          <w:lang w:val="es-ES_tradnl"/>
        </w:rPr>
        <w:t>Croacia</w:t>
      </w:r>
      <w:r w:rsidR="00220E3C" w:rsidRPr="00C83BDF">
        <w:rPr>
          <w:lang w:val="es-ES_tradnl"/>
        </w:rPr>
        <w:t xml:space="preserve">, </w:t>
      </w:r>
      <w:r w:rsidR="007148F6" w:rsidRPr="00C83BDF">
        <w:rPr>
          <w:lang w:val="es-ES_tradnl"/>
        </w:rPr>
        <w:t>Chile</w:t>
      </w:r>
      <w:r w:rsidR="00220E3C" w:rsidRPr="00C83BDF">
        <w:rPr>
          <w:lang w:val="es-ES_tradnl"/>
        </w:rPr>
        <w:t xml:space="preserve">, </w:t>
      </w:r>
      <w:r w:rsidR="007148F6" w:rsidRPr="00C83BDF">
        <w:rPr>
          <w:lang w:val="es-ES_tradnl"/>
        </w:rPr>
        <w:t>China</w:t>
      </w:r>
      <w:r w:rsidR="00220E3C" w:rsidRPr="00C83BDF">
        <w:rPr>
          <w:lang w:val="es-ES_tradnl"/>
        </w:rPr>
        <w:t xml:space="preserve">, </w:t>
      </w:r>
      <w:r w:rsidR="007148F6" w:rsidRPr="00C83BDF">
        <w:rPr>
          <w:lang w:val="es-ES_tradnl"/>
        </w:rPr>
        <w:t>Dinamarca</w:t>
      </w:r>
      <w:r w:rsidR="00220E3C" w:rsidRPr="00C83BDF">
        <w:rPr>
          <w:lang w:val="es-ES_tradnl"/>
        </w:rPr>
        <w:t xml:space="preserve">, </w:t>
      </w:r>
      <w:r w:rsidR="007148F6" w:rsidRPr="00C83BDF">
        <w:rPr>
          <w:lang w:val="es-ES_tradnl"/>
        </w:rPr>
        <w:t>Ecuador</w:t>
      </w:r>
      <w:r w:rsidR="00220E3C" w:rsidRPr="00C83BDF">
        <w:rPr>
          <w:lang w:val="es-ES_tradnl"/>
        </w:rPr>
        <w:t xml:space="preserve">, </w:t>
      </w:r>
      <w:r w:rsidR="007148F6" w:rsidRPr="00C83BDF">
        <w:rPr>
          <w:lang w:val="es-ES_tradnl"/>
        </w:rPr>
        <w:t>Eslovaquia</w:t>
      </w:r>
      <w:r w:rsidR="00220E3C" w:rsidRPr="00C83BDF">
        <w:rPr>
          <w:lang w:val="es-ES_tradnl"/>
        </w:rPr>
        <w:t xml:space="preserve">, </w:t>
      </w:r>
      <w:r w:rsidR="007148F6" w:rsidRPr="00C83BDF">
        <w:rPr>
          <w:lang w:val="es-ES_tradnl"/>
        </w:rPr>
        <w:t>Eslovenia</w:t>
      </w:r>
      <w:r w:rsidR="00220E3C" w:rsidRPr="00C83BDF">
        <w:rPr>
          <w:lang w:val="es-ES_tradnl"/>
        </w:rPr>
        <w:t xml:space="preserve">, </w:t>
      </w:r>
      <w:r w:rsidR="007148F6" w:rsidRPr="00C83BDF">
        <w:rPr>
          <w:lang w:val="es-ES_tradnl"/>
        </w:rPr>
        <w:t>España</w:t>
      </w:r>
      <w:r w:rsidR="00220E3C" w:rsidRPr="00C83BDF">
        <w:rPr>
          <w:lang w:val="es-ES_tradnl"/>
        </w:rPr>
        <w:t xml:space="preserve">, </w:t>
      </w:r>
      <w:r w:rsidR="007148F6" w:rsidRPr="00C83BDF">
        <w:rPr>
          <w:lang w:val="es-ES_tradnl"/>
        </w:rPr>
        <w:t>Estados Unidos de América</w:t>
      </w:r>
      <w:r w:rsidR="00220E3C" w:rsidRPr="00C83BDF">
        <w:rPr>
          <w:lang w:val="es-ES_tradnl"/>
        </w:rPr>
        <w:t xml:space="preserve">, </w:t>
      </w:r>
      <w:r w:rsidR="007148F6" w:rsidRPr="00C83BDF">
        <w:rPr>
          <w:lang w:val="es-ES_tradnl"/>
        </w:rPr>
        <w:t>Estonia</w:t>
      </w:r>
      <w:r w:rsidR="00220E3C" w:rsidRPr="00C83BDF">
        <w:rPr>
          <w:lang w:val="es-ES_tradnl"/>
        </w:rPr>
        <w:t xml:space="preserve">, </w:t>
      </w:r>
      <w:r w:rsidR="007148F6" w:rsidRPr="00C83BDF">
        <w:rPr>
          <w:lang w:val="es-ES_tradnl"/>
        </w:rPr>
        <w:t>ex República Yugoslava de Macedonia</w:t>
      </w:r>
      <w:r w:rsidR="00220E3C" w:rsidRPr="00C83BDF">
        <w:rPr>
          <w:lang w:val="es-ES_tradnl"/>
        </w:rPr>
        <w:t xml:space="preserve">, </w:t>
      </w:r>
      <w:r w:rsidR="007148F6" w:rsidRPr="00C83BDF">
        <w:rPr>
          <w:lang w:val="es-ES_tradnl"/>
        </w:rPr>
        <w:t>Federación de Rusia</w:t>
      </w:r>
      <w:r w:rsidR="00220E3C" w:rsidRPr="00C83BDF">
        <w:rPr>
          <w:lang w:val="es-ES_tradnl"/>
        </w:rPr>
        <w:t xml:space="preserve">, </w:t>
      </w:r>
      <w:r w:rsidR="007148F6" w:rsidRPr="00C83BDF">
        <w:rPr>
          <w:lang w:val="es-ES_tradnl"/>
        </w:rPr>
        <w:t>Finlandia</w:t>
      </w:r>
      <w:r w:rsidR="00220E3C" w:rsidRPr="00C83BDF">
        <w:rPr>
          <w:lang w:val="es-ES_tradnl"/>
        </w:rPr>
        <w:t xml:space="preserve">, </w:t>
      </w:r>
      <w:r w:rsidR="007148F6" w:rsidRPr="00C83BDF">
        <w:rPr>
          <w:lang w:val="es-ES_tradnl"/>
        </w:rPr>
        <w:t>Francia</w:t>
      </w:r>
      <w:r w:rsidR="00220E3C" w:rsidRPr="00C83BDF">
        <w:rPr>
          <w:lang w:val="es-ES_tradnl"/>
        </w:rPr>
        <w:t xml:space="preserve">, </w:t>
      </w:r>
      <w:r w:rsidR="007148F6" w:rsidRPr="00C83BDF">
        <w:rPr>
          <w:lang w:val="es-ES_tradnl"/>
        </w:rPr>
        <w:t>Georgia</w:t>
      </w:r>
      <w:r w:rsidR="00220E3C" w:rsidRPr="00C83BDF">
        <w:rPr>
          <w:lang w:val="es-ES_tradnl"/>
        </w:rPr>
        <w:t xml:space="preserve">, </w:t>
      </w:r>
      <w:r w:rsidR="007148F6" w:rsidRPr="00C83BDF">
        <w:rPr>
          <w:lang w:val="es-ES_tradnl"/>
        </w:rPr>
        <w:t>Hungría</w:t>
      </w:r>
      <w:r w:rsidR="00220E3C" w:rsidRPr="00C83BDF">
        <w:rPr>
          <w:lang w:val="es-ES_tradnl"/>
        </w:rPr>
        <w:t xml:space="preserve">, </w:t>
      </w:r>
      <w:r w:rsidR="007148F6" w:rsidRPr="00C83BDF">
        <w:rPr>
          <w:lang w:val="es-ES_tradnl"/>
        </w:rPr>
        <w:t>Irlanda</w:t>
      </w:r>
      <w:r w:rsidR="00220E3C" w:rsidRPr="00C83BDF">
        <w:rPr>
          <w:lang w:val="es-ES_tradnl"/>
        </w:rPr>
        <w:t xml:space="preserve">, </w:t>
      </w:r>
      <w:r w:rsidR="007148F6" w:rsidRPr="00C83BDF">
        <w:rPr>
          <w:lang w:val="es-ES_tradnl"/>
        </w:rPr>
        <w:t>Islandia</w:t>
      </w:r>
      <w:r w:rsidR="00220E3C" w:rsidRPr="00C83BDF">
        <w:rPr>
          <w:lang w:val="es-ES_tradnl"/>
        </w:rPr>
        <w:t xml:space="preserve">, </w:t>
      </w:r>
      <w:r w:rsidR="007148F6" w:rsidRPr="00C83BDF">
        <w:rPr>
          <w:lang w:val="es-ES_tradnl"/>
        </w:rPr>
        <w:t>Israel</w:t>
      </w:r>
      <w:r w:rsidR="00220E3C" w:rsidRPr="00C83BDF">
        <w:rPr>
          <w:lang w:val="es-ES_tradnl"/>
        </w:rPr>
        <w:t xml:space="preserve">, </w:t>
      </w:r>
      <w:r w:rsidR="007148F6" w:rsidRPr="00C83BDF">
        <w:rPr>
          <w:lang w:val="es-ES_tradnl"/>
        </w:rPr>
        <w:t>Italia</w:t>
      </w:r>
      <w:r w:rsidR="00220E3C" w:rsidRPr="00C83BDF">
        <w:rPr>
          <w:lang w:val="es-ES_tradnl"/>
        </w:rPr>
        <w:t xml:space="preserve">, </w:t>
      </w:r>
      <w:r w:rsidR="007148F6" w:rsidRPr="00C83BDF">
        <w:rPr>
          <w:lang w:val="es-ES_tradnl"/>
        </w:rPr>
        <w:t>Japón</w:t>
      </w:r>
      <w:r w:rsidR="00220E3C" w:rsidRPr="00C83BDF">
        <w:rPr>
          <w:lang w:val="es-ES_tradnl"/>
        </w:rPr>
        <w:t xml:space="preserve">, </w:t>
      </w:r>
      <w:r w:rsidR="007148F6" w:rsidRPr="00C83BDF">
        <w:rPr>
          <w:lang w:val="es-ES_tradnl"/>
        </w:rPr>
        <w:t>Jordania</w:t>
      </w:r>
      <w:r w:rsidR="00220E3C" w:rsidRPr="00C83BDF">
        <w:rPr>
          <w:lang w:val="es-ES_tradnl"/>
        </w:rPr>
        <w:t xml:space="preserve">, </w:t>
      </w:r>
      <w:r w:rsidR="007148F6" w:rsidRPr="00C83BDF">
        <w:rPr>
          <w:lang w:val="es-ES_tradnl"/>
        </w:rPr>
        <w:t>Kenya</w:t>
      </w:r>
      <w:r w:rsidR="00220E3C" w:rsidRPr="00C83BDF">
        <w:rPr>
          <w:lang w:val="es-ES_tradnl"/>
        </w:rPr>
        <w:t xml:space="preserve">, </w:t>
      </w:r>
      <w:r w:rsidR="007148F6" w:rsidRPr="00C83BDF">
        <w:rPr>
          <w:lang w:val="es-ES_tradnl"/>
        </w:rPr>
        <w:t>Kirguistán</w:t>
      </w:r>
      <w:r w:rsidR="00220E3C" w:rsidRPr="00C83BDF">
        <w:rPr>
          <w:lang w:val="es-ES_tradnl"/>
        </w:rPr>
        <w:t xml:space="preserve">, </w:t>
      </w:r>
      <w:r w:rsidR="007148F6" w:rsidRPr="00C83BDF">
        <w:rPr>
          <w:lang w:val="es-ES_tradnl"/>
        </w:rPr>
        <w:t>Letonia</w:t>
      </w:r>
      <w:r w:rsidR="00220E3C" w:rsidRPr="00C83BDF">
        <w:rPr>
          <w:lang w:val="es-ES_tradnl"/>
        </w:rPr>
        <w:t xml:space="preserve">, </w:t>
      </w:r>
      <w:r w:rsidR="007148F6" w:rsidRPr="00C83BDF">
        <w:rPr>
          <w:lang w:val="es-ES_tradnl"/>
        </w:rPr>
        <w:t>Lituania</w:t>
      </w:r>
      <w:r w:rsidR="00220E3C" w:rsidRPr="00C83BDF">
        <w:rPr>
          <w:lang w:val="es-ES_tradnl"/>
        </w:rPr>
        <w:t xml:space="preserve">, </w:t>
      </w:r>
      <w:r w:rsidR="007148F6" w:rsidRPr="00C83BDF">
        <w:rPr>
          <w:lang w:val="es-ES_tradnl"/>
        </w:rPr>
        <w:t>Marruecos</w:t>
      </w:r>
      <w:r w:rsidR="00220E3C" w:rsidRPr="00C83BDF">
        <w:rPr>
          <w:lang w:val="es-ES_tradnl"/>
        </w:rPr>
        <w:t xml:space="preserve">, </w:t>
      </w:r>
      <w:r w:rsidR="007148F6" w:rsidRPr="00C83BDF">
        <w:rPr>
          <w:lang w:val="es-ES_tradnl"/>
        </w:rPr>
        <w:t>México</w:t>
      </w:r>
      <w:r w:rsidR="00220E3C" w:rsidRPr="00C83BDF">
        <w:rPr>
          <w:lang w:val="es-ES_tradnl"/>
        </w:rPr>
        <w:t xml:space="preserve">, </w:t>
      </w:r>
      <w:r w:rsidR="007148F6" w:rsidRPr="00C83BDF">
        <w:rPr>
          <w:lang w:val="es-ES_tradnl"/>
        </w:rPr>
        <w:t>Nicaragua</w:t>
      </w:r>
      <w:r w:rsidR="00220E3C" w:rsidRPr="00C83BDF">
        <w:rPr>
          <w:lang w:val="es-ES_tradnl"/>
        </w:rPr>
        <w:t xml:space="preserve">, </w:t>
      </w:r>
      <w:r w:rsidR="007148F6" w:rsidRPr="00C83BDF">
        <w:rPr>
          <w:lang w:val="es-ES_tradnl"/>
        </w:rPr>
        <w:t>Noruega</w:t>
      </w:r>
      <w:r w:rsidR="00220E3C" w:rsidRPr="00C83BDF">
        <w:rPr>
          <w:lang w:val="es-ES_tradnl"/>
        </w:rPr>
        <w:t xml:space="preserve">, </w:t>
      </w:r>
      <w:r w:rsidR="004B6043" w:rsidRPr="00C83BDF">
        <w:rPr>
          <w:lang w:val="es-ES_tradnl"/>
        </w:rPr>
        <w:t>Nueva </w:t>
      </w:r>
      <w:r w:rsidR="007148F6" w:rsidRPr="00C83BDF">
        <w:rPr>
          <w:lang w:val="es-ES_tradnl"/>
        </w:rPr>
        <w:t>Zelandia</w:t>
      </w:r>
      <w:r w:rsidR="00220E3C" w:rsidRPr="00C83BDF">
        <w:rPr>
          <w:lang w:val="es-ES_tradnl"/>
        </w:rPr>
        <w:t xml:space="preserve">, </w:t>
      </w:r>
      <w:r w:rsidR="007148F6" w:rsidRPr="00C83BDF">
        <w:rPr>
          <w:lang w:val="es-ES_tradnl"/>
        </w:rPr>
        <w:t>Omán</w:t>
      </w:r>
      <w:r w:rsidR="00220E3C" w:rsidRPr="00C83BDF">
        <w:rPr>
          <w:lang w:val="es-ES_tradnl"/>
        </w:rPr>
        <w:t xml:space="preserve">, </w:t>
      </w:r>
      <w:r w:rsidR="007148F6" w:rsidRPr="00C83BDF">
        <w:rPr>
          <w:lang w:val="es-ES_tradnl"/>
        </w:rPr>
        <w:t>Organización Africana de la Propiedad Intelectual</w:t>
      </w:r>
      <w:r w:rsidR="00220E3C" w:rsidRPr="00C83BDF">
        <w:rPr>
          <w:lang w:val="es-ES_tradnl"/>
        </w:rPr>
        <w:t xml:space="preserve">, </w:t>
      </w:r>
      <w:r w:rsidR="007148F6" w:rsidRPr="00C83BDF">
        <w:rPr>
          <w:lang w:val="es-ES_tradnl"/>
        </w:rPr>
        <w:t>Países</w:t>
      </w:r>
      <w:r w:rsidR="00DE6ADC" w:rsidRPr="00C83BDF">
        <w:rPr>
          <w:lang w:val="es-ES_tradnl"/>
        </w:rPr>
        <w:t> </w:t>
      </w:r>
      <w:r w:rsidR="007148F6" w:rsidRPr="00C83BDF">
        <w:rPr>
          <w:lang w:val="es-ES_tradnl"/>
        </w:rPr>
        <w:t>Bajos</w:t>
      </w:r>
      <w:r w:rsidR="00220E3C" w:rsidRPr="00C83BDF">
        <w:rPr>
          <w:lang w:val="es-ES_tradnl"/>
        </w:rPr>
        <w:t xml:space="preserve">, </w:t>
      </w:r>
      <w:r w:rsidR="007148F6" w:rsidRPr="00C83BDF">
        <w:rPr>
          <w:lang w:val="es-ES_tradnl"/>
        </w:rPr>
        <w:t>Panamá</w:t>
      </w:r>
      <w:r w:rsidR="00220E3C" w:rsidRPr="00C83BDF">
        <w:rPr>
          <w:lang w:val="es-ES_tradnl"/>
        </w:rPr>
        <w:t xml:space="preserve">, </w:t>
      </w:r>
      <w:r w:rsidR="007148F6" w:rsidRPr="00C83BDF">
        <w:rPr>
          <w:lang w:val="es-ES_tradnl"/>
        </w:rPr>
        <w:t>Paraguay</w:t>
      </w:r>
      <w:r w:rsidR="00220E3C" w:rsidRPr="00C83BDF">
        <w:rPr>
          <w:lang w:val="es-ES_tradnl"/>
        </w:rPr>
        <w:t xml:space="preserve">, </w:t>
      </w:r>
      <w:r w:rsidR="007148F6" w:rsidRPr="00C83BDF">
        <w:rPr>
          <w:lang w:val="es-ES_tradnl"/>
        </w:rPr>
        <w:t>Perú</w:t>
      </w:r>
      <w:r w:rsidR="00220E3C" w:rsidRPr="00C83BDF">
        <w:rPr>
          <w:lang w:val="es-ES_tradnl"/>
        </w:rPr>
        <w:t xml:space="preserve">, </w:t>
      </w:r>
      <w:r w:rsidR="007148F6" w:rsidRPr="00C83BDF">
        <w:rPr>
          <w:lang w:val="es-ES_tradnl"/>
        </w:rPr>
        <w:t>Polonia</w:t>
      </w:r>
      <w:r w:rsidR="00220E3C" w:rsidRPr="00C83BDF">
        <w:rPr>
          <w:lang w:val="es-ES_tradnl"/>
        </w:rPr>
        <w:t xml:space="preserve">, </w:t>
      </w:r>
      <w:r w:rsidR="007148F6" w:rsidRPr="00C83BDF">
        <w:rPr>
          <w:lang w:val="es-ES_tradnl"/>
        </w:rPr>
        <w:t>Portugal</w:t>
      </w:r>
      <w:r w:rsidR="00220E3C" w:rsidRPr="00C83BDF">
        <w:rPr>
          <w:lang w:val="es-ES_tradnl"/>
        </w:rPr>
        <w:t xml:space="preserve">, </w:t>
      </w:r>
      <w:r w:rsidR="007148F6" w:rsidRPr="00C83BDF">
        <w:rPr>
          <w:lang w:val="es-ES_tradnl"/>
        </w:rPr>
        <w:t>Reino Unido</w:t>
      </w:r>
      <w:r w:rsidR="00220E3C" w:rsidRPr="00C83BDF">
        <w:rPr>
          <w:lang w:val="es-ES_tradnl"/>
        </w:rPr>
        <w:t xml:space="preserve">, </w:t>
      </w:r>
      <w:r w:rsidR="007148F6" w:rsidRPr="00C83BDF">
        <w:rPr>
          <w:lang w:val="es-ES_tradnl"/>
        </w:rPr>
        <w:t>República Checa</w:t>
      </w:r>
      <w:r w:rsidR="00220E3C" w:rsidRPr="00C83BDF">
        <w:rPr>
          <w:lang w:val="es-ES_tradnl"/>
        </w:rPr>
        <w:t xml:space="preserve">, </w:t>
      </w:r>
      <w:r w:rsidR="007148F6" w:rsidRPr="00C83BDF">
        <w:rPr>
          <w:lang w:val="es-ES_tradnl"/>
        </w:rPr>
        <w:t>República de Corea</w:t>
      </w:r>
      <w:r w:rsidR="00220E3C" w:rsidRPr="00C83BDF">
        <w:rPr>
          <w:lang w:val="es-ES_tradnl"/>
        </w:rPr>
        <w:t xml:space="preserve">, </w:t>
      </w:r>
      <w:r w:rsidR="007148F6" w:rsidRPr="00C83BDF">
        <w:rPr>
          <w:lang w:val="es-ES_tradnl"/>
        </w:rPr>
        <w:t>República</w:t>
      </w:r>
      <w:r w:rsidR="00BD3926" w:rsidRPr="00C83BDF">
        <w:rPr>
          <w:lang w:val="es-ES_tradnl"/>
        </w:rPr>
        <w:t> </w:t>
      </w:r>
      <w:r w:rsidR="007148F6" w:rsidRPr="00C83BDF">
        <w:rPr>
          <w:lang w:val="es-ES_tradnl"/>
        </w:rPr>
        <w:t>Dominicana</w:t>
      </w:r>
      <w:r w:rsidR="00220E3C" w:rsidRPr="00C83BDF">
        <w:rPr>
          <w:lang w:val="es-ES_tradnl"/>
        </w:rPr>
        <w:t xml:space="preserve">, </w:t>
      </w:r>
      <w:r w:rsidR="007148F6" w:rsidRPr="00C83BDF">
        <w:rPr>
          <w:lang w:val="es-ES_tradnl"/>
        </w:rPr>
        <w:t>República de Moldova</w:t>
      </w:r>
      <w:r w:rsidR="00220E3C" w:rsidRPr="00C83BDF">
        <w:rPr>
          <w:lang w:val="es-ES_tradnl"/>
        </w:rPr>
        <w:t xml:space="preserve">, </w:t>
      </w:r>
      <w:r w:rsidR="007148F6" w:rsidRPr="00C83BDF">
        <w:rPr>
          <w:lang w:val="es-ES_tradnl"/>
        </w:rPr>
        <w:t>Rumania</w:t>
      </w:r>
      <w:r w:rsidR="00220E3C" w:rsidRPr="00C83BDF">
        <w:rPr>
          <w:lang w:val="es-ES_tradnl"/>
        </w:rPr>
        <w:t xml:space="preserve">, </w:t>
      </w:r>
      <w:r w:rsidR="007148F6" w:rsidRPr="00C83BDF">
        <w:rPr>
          <w:lang w:val="es-ES_tradnl"/>
        </w:rPr>
        <w:t>Serbia</w:t>
      </w:r>
      <w:r w:rsidR="00220E3C" w:rsidRPr="00C83BDF">
        <w:rPr>
          <w:lang w:val="es-ES_tradnl"/>
        </w:rPr>
        <w:t xml:space="preserve">, </w:t>
      </w:r>
      <w:r w:rsidR="007148F6" w:rsidRPr="00C83BDF">
        <w:rPr>
          <w:lang w:val="es-ES_tradnl"/>
        </w:rPr>
        <w:t>Singapur</w:t>
      </w:r>
      <w:r w:rsidR="00220E3C" w:rsidRPr="00C83BDF">
        <w:rPr>
          <w:lang w:val="es-ES_tradnl"/>
        </w:rPr>
        <w:t xml:space="preserve">, </w:t>
      </w:r>
      <w:r w:rsidR="007148F6" w:rsidRPr="00C83BDF">
        <w:rPr>
          <w:lang w:val="es-ES_tradnl"/>
        </w:rPr>
        <w:t>Sudáfrica</w:t>
      </w:r>
      <w:r w:rsidR="00220E3C" w:rsidRPr="00C83BDF">
        <w:rPr>
          <w:lang w:val="es-ES_tradnl"/>
        </w:rPr>
        <w:t xml:space="preserve">, </w:t>
      </w:r>
      <w:r w:rsidR="007148F6" w:rsidRPr="00C83BDF">
        <w:rPr>
          <w:lang w:val="es-ES_tradnl"/>
        </w:rPr>
        <w:t>Suecia</w:t>
      </w:r>
      <w:r w:rsidR="00220E3C" w:rsidRPr="00C83BDF">
        <w:rPr>
          <w:lang w:val="es-ES_tradnl"/>
        </w:rPr>
        <w:t xml:space="preserve">, </w:t>
      </w:r>
      <w:r w:rsidR="007148F6" w:rsidRPr="00C83BDF">
        <w:rPr>
          <w:lang w:val="es-ES_tradnl"/>
        </w:rPr>
        <w:t>Suiza</w:t>
      </w:r>
      <w:r w:rsidR="00220E3C" w:rsidRPr="00C83BDF">
        <w:rPr>
          <w:lang w:val="es-ES_tradnl"/>
        </w:rPr>
        <w:t xml:space="preserve">, </w:t>
      </w:r>
      <w:r w:rsidR="00E11F4C" w:rsidRPr="00C83BDF">
        <w:rPr>
          <w:lang w:val="es-ES_tradnl"/>
        </w:rPr>
        <w:t>Trinidad y Tabago</w:t>
      </w:r>
      <w:r w:rsidR="00220E3C" w:rsidRPr="00C83BDF">
        <w:rPr>
          <w:lang w:val="es-ES_tradnl"/>
        </w:rPr>
        <w:t xml:space="preserve">, </w:t>
      </w:r>
      <w:r w:rsidR="007148F6" w:rsidRPr="00C83BDF">
        <w:rPr>
          <w:lang w:val="es-ES_tradnl"/>
        </w:rPr>
        <w:t>Túnez</w:t>
      </w:r>
      <w:r w:rsidR="00220E3C" w:rsidRPr="00C83BDF">
        <w:rPr>
          <w:lang w:val="es-ES_tradnl"/>
        </w:rPr>
        <w:t xml:space="preserve">, </w:t>
      </w:r>
      <w:r w:rsidR="007148F6" w:rsidRPr="00C83BDF">
        <w:rPr>
          <w:lang w:val="es-ES_tradnl"/>
        </w:rPr>
        <w:t>Turquía</w:t>
      </w:r>
      <w:r w:rsidR="00220E3C" w:rsidRPr="00C83BDF">
        <w:rPr>
          <w:lang w:val="es-ES_tradnl"/>
        </w:rPr>
        <w:t xml:space="preserve">, </w:t>
      </w:r>
      <w:r w:rsidR="007148F6" w:rsidRPr="00C83BDF">
        <w:rPr>
          <w:lang w:val="es-ES_tradnl"/>
        </w:rPr>
        <w:t>Ucrania</w:t>
      </w:r>
      <w:r w:rsidR="00220E3C" w:rsidRPr="00C83BDF">
        <w:rPr>
          <w:lang w:val="es-ES_tradnl"/>
        </w:rPr>
        <w:t xml:space="preserve">, </w:t>
      </w:r>
      <w:r w:rsidR="007148F6" w:rsidRPr="00C83BDF">
        <w:rPr>
          <w:lang w:val="es-ES_tradnl"/>
        </w:rPr>
        <w:t>Unión</w:t>
      </w:r>
      <w:r w:rsidR="00D94455" w:rsidRPr="00C83BDF">
        <w:rPr>
          <w:lang w:val="es-ES_tradnl"/>
        </w:rPr>
        <w:t> </w:t>
      </w:r>
      <w:r w:rsidR="007148F6" w:rsidRPr="00C83BDF">
        <w:rPr>
          <w:lang w:val="es-ES_tradnl"/>
        </w:rPr>
        <w:t>Europea</w:t>
      </w:r>
      <w:r w:rsidR="00220E3C" w:rsidRPr="00C83BDF">
        <w:rPr>
          <w:lang w:val="es-ES_tradnl"/>
        </w:rPr>
        <w:t xml:space="preserve">, </w:t>
      </w:r>
      <w:r w:rsidR="007148F6" w:rsidRPr="00C83BDF">
        <w:rPr>
          <w:lang w:val="es-ES_tradnl"/>
        </w:rPr>
        <w:t>Uruguay</w:t>
      </w:r>
      <w:r w:rsidR="00220E3C" w:rsidRPr="00C83BDF">
        <w:rPr>
          <w:lang w:val="es-ES_tradnl"/>
        </w:rPr>
        <w:t xml:space="preserve">, </w:t>
      </w:r>
      <w:r w:rsidR="007148F6" w:rsidRPr="00C83BDF">
        <w:rPr>
          <w:lang w:val="es-ES_tradnl"/>
        </w:rPr>
        <w:t>Uzbekistán y Viet Nam.</w:t>
      </w:r>
    </w:p>
    <w:p w:rsidR="007F3C6E" w:rsidRPr="00C83BDF" w:rsidRDefault="007F3C6E" w:rsidP="007F3C6E">
      <w:pPr>
        <w:rPr>
          <w:lang w:val="es-ES_tradnl"/>
        </w:rPr>
      </w:pPr>
    </w:p>
    <w:p w:rsidR="007F3C6E" w:rsidRPr="00C83BDF" w:rsidRDefault="007F3C6E" w:rsidP="007F3C6E">
      <w:pPr>
        <w:tabs>
          <w:tab w:val="left" w:pos="567"/>
          <w:tab w:val="left" w:pos="1134"/>
        </w:tabs>
        <w:rPr>
          <w:lang w:val="es-ES_tradnl"/>
        </w:rPr>
      </w:pPr>
    </w:p>
    <w:p w:rsidR="007F3C6E" w:rsidRPr="00C83BDF" w:rsidRDefault="00DE6ADC" w:rsidP="007F3C6E">
      <w:pPr>
        <w:pStyle w:val="Heading2"/>
        <w:rPr>
          <w:lang w:val="es-ES_tradnl"/>
        </w:rPr>
      </w:pPr>
      <w:bookmarkStart w:id="7" w:name="_Toc431567585"/>
      <w:r w:rsidRPr="00C83BDF">
        <w:rPr>
          <w:lang w:val="es-ES_tradnl"/>
        </w:rPr>
        <w:t>Situación respecto de las distintas Actas del Convenio</w:t>
      </w:r>
      <w:bookmarkEnd w:id="7"/>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DE6ADC" w:rsidRPr="00C83BDF">
        <w:rPr>
          <w:lang w:val="es-ES_tradnl"/>
        </w:rPr>
        <w:t>El 31 de diciembre de 2014</w:t>
      </w:r>
      <w:r w:rsidR="00220E3C" w:rsidRPr="00C83BDF">
        <w:rPr>
          <w:lang w:val="es-ES_tradnl"/>
        </w:rPr>
        <w:t xml:space="preserve">, </w:t>
      </w:r>
      <w:r w:rsidR="00DE6ADC" w:rsidRPr="00C83BDF">
        <w:rPr>
          <w:lang w:val="es-ES_tradnl"/>
        </w:rPr>
        <w:t>la situación de los miembros de la Unión respecto de las distintas Actas del Convenio era la siguiente:</w:t>
      </w:r>
      <w:r w:rsidR="00E65183" w:rsidRPr="00C83BDF">
        <w:rPr>
          <w:lang w:val="es-ES_tradnl"/>
        </w:rPr>
        <w:t xml:space="preserve"> </w:t>
      </w:r>
    </w:p>
    <w:p w:rsidR="00E65183" w:rsidRPr="00C83BDF" w:rsidRDefault="00E65183" w:rsidP="00E65183">
      <w:pPr>
        <w:rPr>
          <w:lang w:val="es-ES_tradnl"/>
        </w:rPr>
      </w:pPr>
    </w:p>
    <w:p w:rsidR="00E65183" w:rsidRPr="00C83BDF" w:rsidRDefault="00E65183" w:rsidP="00E65183">
      <w:pPr>
        <w:rPr>
          <w:lang w:val="es-ES_tradnl"/>
        </w:rPr>
      </w:pPr>
      <w:r w:rsidRPr="00C83BDF">
        <w:rPr>
          <w:lang w:val="es-ES_tradnl"/>
        </w:rPr>
        <w:tab/>
      </w:r>
      <w:r w:rsidR="00DE6ADC" w:rsidRPr="00C83BDF">
        <w:rPr>
          <w:lang w:val="es-ES_tradnl"/>
        </w:rPr>
        <w:t>a)</w:t>
      </w:r>
      <w:r w:rsidRPr="00C83BDF">
        <w:rPr>
          <w:lang w:val="es-ES_tradnl"/>
        </w:rPr>
        <w:tab/>
      </w:r>
      <w:r w:rsidR="00DE6ADC" w:rsidRPr="00C83BDF">
        <w:rPr>
          <w:lang w:val="es-ES_tradnl"/>
        </w:rPr>
        <w:t>Bélgica estaba obligada por el Convenio de 1961 modificado por el Acta de 1972;</w:t>
      </w:r>
    </w:p>
    <w:p w:rsidR="00E65183" w:rsidRPr="00C83BDF" w:rsidRDefault="00E65183" w:rsidP="00E65183">
      <w:pPr>
        <w:rPr>
          <w:lang w:val="es-ES_tradnl"/>
        </w:rPr>
      </w:pPr>
    </w:p>
    <w:p w:rsidR="00E65183" w:rsidRPr="00C83BDF" w:rsidRDefault="00E65183" w:rsidP="00E65183">
      <w:pPr>
        <w:rPr>
          <w:lang w:val="es-ES_tradnl"/>
        </w:rPr>
      </w:pPr>
      <w:r w:rsidRPr="00C83BDF">
        <w:rPr>
          <w:lang w:val="es-ES_tradnl"/>
        </w:rPr>
        <w:tab/>
      </w:r>
      <w:r w:rsidR="00DE6ADC" w:rsidRPr="00C83BDF">
        <w:rPr>
          <w:lang w:val="es-ES_tradnl"/>
        </w:rPr>
        <w:t>b)</w:t>
      </w:r>
      <w:r w:rsidRPr="00C83BDF">
        <w:rPr>
          <w:lang w:val="es-ES_tradnl"/>
        </w:rPr>
        <w:tab/>
      </w:r>
      <w:r w:rsidR="00DE6ADC" w:rsidRPr="00C83BDF">
        <w:rPr>
          <w:lang w:val="es-ES_tradnl"/>
        </w:rPr>
        <w:t>19 miembros estaban obligados por el Acta de 1978</w:t>
      </w:r>
      <w:r w:rsidR="00220E3C" w:rsidRPr="00C83BDF">
        <w:rPr>
          <w:lang w:val="es-ES_tradnl"/>
        </w:rPr>
        <w:t xml:space="preserve">, </w:t>
      </w:r>
      <w:r w:rsidR="00DE6ADC" w:rsidRPr="00C83BDF">
        <w:rPr>
          <w:lang w:val="es-ES_tradnl"/>
        </w:rPr>
        <w:t>a saber:</w:t>
      </w:r>
      <w:r w:rsidRPr="00C83BDF">
        <w:rPr>
          <w:lang w:val="es-ES_tradnl"/>
        </w:rPr>
        <w:t xml:space="preserve">  </w:t>
      </w:r>
      <w:r w:rsidR="00DE6ADC" w:rsidRPr="00C83BDF">
        <w:rPr>
          <w:lang w:val="es-ES_tradnl"/>
        </w:rPr>
        <w:t>Argentina</w:t>
      </w:r>
      <w:r w:rsidR="00220E3C" w:rsidRPr="00C83BDF">
        <w:rPr>
          <w:lang w:val="es-ES_tradnl"/>
        </w:rPr>
        <w:t xml:space="preserve">, </w:t>
      </w:r>
      <w:r w:rsidR="00DE6ADC" w:rsidRPr="00C83BDF">
        <w:rPr>
          <w:lang w:val="es-ES_tradnl"/>
        </w:rPr>
        <w:t>Bolivia</w:t>
      </w:r>
      <w:r w:rsidR="00220E3C" w:rsidRPr="00C83BDF">
        <w:rPr>
          <w:lang w:val="es-ES_tradnl"/>
        </w:rPr>
        <w:t xml:space="preserve">, </w:t>
      </w:r>
      <w:r w:rsidR="00DE6ADC" w:rsidRPr="00C83BDF">
        <w:rPr>
          <w:lang w:val="es-ES_tradnl"/>
        </w:rPr>
        <w:t>Brasil</w:t>
      </w:r>
      <w:r w:rsidR="00220E3C" w:rsidRPr="00C83BDF">
        <w:rPr>
          <w:lang w:val="es-ES_tradnl"/>
        </w:rPr>
        <w:t xml:space="preserve">, </w:t>
      </w:r>
      <w:r w:rsidR="00DE6ADC" w:rsidRPr="00C83BDF">
        <w:rPr>
          <w:lang w:val="es-ES_tradnl"/>
        </w:rPr>
        <w:t>Canadá</w:t>
      </w:r>
      <w:r w:rsidR="00220E3C" w:rsidRPr="00C83BDF">
        <w:rPr>
          <w:lang w:val="es-ES_tradnl"/>
        </w:rPr>
        <w:t xml:space="preserve">, </w:t>
      </w:r>
      <w:r w:rsidR="00DE6ADC" w:rsidRPr="00C83BDF">
        <w:rPr>
          <w:lang w:val="es-ES_tradnl"/>
        </w:rPr>
        <w:t>Chile</w:t>
      </w:r>
      <w:r w:rsidR="00220E3C" w:rsidRPr="00C83BDF">
        <w:rPr>
          <w:lang w:val="es-ES_tradnl"/>
        </w:rPr>
        <w:t xml:space="preserve">, </w:t>
      </w:r>
      <w:r w:rsidR="00DE6ADC" w:rsidRPr="00C83BDF">
        <w:rPr>
          <w:lang w:val="es-ES_tradnl"/>
        </w:rPr>
        <w:t>China</w:t>
      </w:r>
      <w:r w:rsidR="00220E3C" w:rsidRPr="00C83BDF">
        <w:rPr>
          <w:lang w:val="es-ES_tradnl"/>
        </w:rPr>
        <w:t xml:space="preserve">, </w:t>
      </w:r>
      <w:r w:rsidR="00DE6ADC" w:rsidRPr="00C83BDF">
        <w:rPr>
          <w:lang w:val="es-ES_tradnl"/>
        </w:rPr>
        <w:t>Colombia</w:t>
      </w:r>
      <w:r w:rsidR="00220E3C" w:rsidRPr="00C83BDF">
        <w:rPr>
          <w:lang w:val="es-ES_tradnl"/>
        </w:rPr>
        <w:t xml:space="preserve">, </w:t>
      </w:r>
      <w:r w:rsidR="00DE6ADC" w:rsidRPr="00C83BDF">
        <w:rPr>
          <w:lang w:val="es-ES_tradnl"/>
        </w:rPr>
        <w:t>Ecuador</w:t>
      </w:r>
      <w:r w:rsidR="00220E3C" w:rsidRPr="00C83BDF">
        <w:rPr>
          <w:lang w:val="es-ES_tradnl"/>
        </w:rPr>
        <w:t xml:space="preserve">, </w:t>
      </w:r>
      <w:r w:rsidR="00DE6ADC" w:rsidRPr="00C83BDF">
        <w:rPr>
          <w:lang w:val="es-ES_tradnl"/>
        </w:rPr>
        <w:t>Italia</w:t>
      </w:r>
      <w:r w:rsidR="00220E3C" w:rsidRPr="00C83BDF">
        <w:rPr>
          <w:lang w:val="es-ES_tradnl"/>
        </w:rPr>
        <w:t xml:space="preserve">, </w:t>
      </w:r>
      <w:r w:rsidR="00DE6ADC" w:rsidRPr="00C83BDF">
        <w:rPr>
          <w:lang w:val="es-ES_tradnl"/>
        </w:rPr>
        <w:t>Kenya</w:t>
      </w:r>
      <w:r w:rsidR="00220E3C" w:rsidRPr="00C83BDF">
        <w:rPr>
          <w:lang w:val="es-ES_tradnl"/>
        </w:rPr>
        <w:t xml:space="preserve">, </w:t>
      </w:r>
      <w:r w:rsidR="00DE6ADC" w:rsidRPr="00C83BDF">
        <w:rPr>
          <w:lang w:val="es-ES_tradnl"/>
        </w:rPr>
        <w:t>México</w:t>
      </w:r>
      <w:r w:rsidR="00220E3C" w:rsidRPr="00C83BDF">
        <w:rPr>
          <w:lang w:val="es-ES_tradnl"/>
        </w:rPr>
        <w:t xml:space="preserve">, </w:t>
      </w:r>
      <w:r w:rsidR="00DE6ADC" w:rsidRPr="00C83BDF">
        <w:rPr>
          <w:lang w:val="es-ES_tradnl"/>
        </w:rPr>
        <w:t>Nicaragua</w:t>
      </w:r>
      <w:r w:rsidR="00220E3C" w:rsidRPr="00C83BDF">
        <w:rPr>
          <w:lang w:val="es-ES_tradnl"/>
        </w:rPr>
        <w:t xml:space="preserve">, </w:t>
      </w:r>
      <w:r w:rsidR="00DE6ADC" w:rsidRPr="00C83BDF">
        <w:rPr>
          <w:lang w:val="es-ES_tradnl"/>
        </w:rPr>
        <w:t>Noruega</w:t>
      </w:r>
      <w:r w:rsidR="00220E3C" w:rsidRPr="00C83BDF">
        <w:rPr>
          <w:lang w:val="es-ES_tradnl"/>
        </w:rPr>
        <w:t xml:space="preserve">, </w:t>
      </w:r>
      <w:r w:rsidR="00DE6ADC" w:rsidRPr="00C83BDF">
        <w:rPr>
          <w:lang w:val="es-ES_tradnl"/>
        </w:rPr>
        <w:t>Nueva Zelandia</w:t>
      </w:r>
      <w:r w:rsidR="00220E3C" w:rsidRPr="00C83BDF">
        <w:rPr>
          <w:lang w:val="es-ES_tradnl"/>
        </w:rPr>
        <w:t xml:space="preserve">, </w:t>
      </w:r>
      <w:r w:rsidR="00DE6ADC" w:rsidRPr="00C83BDF">
        <w:rPr>
          <w:lang w:val="es-ES_tradnl"/>
        </w:rPr>
        <w:t>Paraguay</w:t>
      </w:r>
      <w:r w:rsidR="00220E3C" w:rsidRPr="00C83BDF">
        <w:rPr>
          <w:lang w:val="es-ES_tradnl"/>
        </w:rPr>
        <w:t xml:space="preserve">, </w:t>
      </w:r>
      <w:r w:rsidR="00DE6ADC" w:rsidRPr="00C83BDF">
        <w:rPr>
          <w:lang w:val="es-ES_tradnl"/>
        </w:rPr>
        <w:t>Portugal</w:t>
      </w:r>
      <w:r w:rsidR="00220E3C" w:rsidRPr="00C83BDF">
        <w:rPr>
          <w:lang w:val="es-ES_tradnl"/>
        </w:rPr>
        <w:t xml:space="preserve">, </w:t>
      </w:r>
      <w:r w:rsidR="00DE6ADC" w:rsidRPr="00C83BDF">
        <w:rPr>
          <w:lang w:val="es-ES_tradnl"/>
        </w:rPr>
        <w:t>Sudáfrica</w:t>
      </w:r>
      <w:r w:rsidR="00220E3C" w:rsidRPr="00C83BDF">
        <w:rPr>
          <w:lang w:val="es-ES_tradnl"/>
        </w:rPr>
        <w:t xml:space="preserve">, </w:t>
      </w:r>
      <w:r w:rsidR="00E11F4C" w:rsidRPr="00C83BDF">
        <w:rPr>
          <w:lang w:val="es-ES_tradnl"/>
        </w:rPr>
        <w:t>Trinidad y Tabago</w:t>
      </w:r>
      <w:r w:rsidR="00DE6ADC" w:rsidRPr="00C83BDF">
        <w:rPr>
          <w:lang w:val="es-ES_tradnl"/>
        </w:rPr>
        <w:t xml:space="preserve"> y Uruguay;</w:t>
      </w:r>
    </w:p>
    <w:p w:rsidR="00E65183" w:rsidRPr="00C83BDF" w:rsidRDefault="00E65183" w:rsidP="00E65183">
      <w:pPr>
        <w:rPr>
          <w:lang w:val="es-ES_tradnl"/>
        </w:rPr>
      </w:pPr>
    </w:p>
    <w:p w:rsidR="00E65183" w:rsidRPr="00C83BDF" w:rsidRDefault="00E65183" w:rsidP="00E65183">
      <w:pPr>
        <w:rPr>
          <w:lang w:val="es-ES_tradnl"/>
        </w:rPr>
      </w:pPr>
      <w:r w:rsidRPr="00C83BDF">
        <w:rPr>
          <w:lang w:val="es-ES_tradnl"/>
        </w:rPr>
        <w:tab/>
      </w:r>
      <w:r w:rsidR="00DE6ADC" w:rsidRPr="00C83BDF">
        <w:rPr>
          <w:lang w:val="es-ES_tradnl"/>
        </w:rPr>
        <w:t>c)</w:t>
      </w:r>
      <w:r w:rsidRPr="00C83BDF">
        <w:rPr>
          <w:lang w:val="es-ES_tradnl"/>
        </w:rPr>
        <w:tab/>
      </w:r>
      <w:r w:rsidR="00DE6ADC" w:rsidRPr="00C83BDF">
        <w:rPr>
          <w:lang w:val="es-ES_tradnl"/>
        </w:rPr>
        <w:t>52 miembros estaban obligados por el Acta de 1991</w:t>
      </w:r>
      <w:r w:rsidR="00220E3C" w:rsidRPr="00C83BDF">
        <w:rPr>
          <w:lang w:val="es-ES_tradnl"/>
        </w:rPr>
        <w:t xml:space="preserve">, </w:t>
      </w:r>
      <w:r w:rsidR="00DE6ADC" w:rsidRPr="00C83BDF">
        <w:rPr>
          <w:lang w:val="es-ES_tradnl"/>
        </w:rPr>
        <w:t>a saber:</w:t>
      </w:r>
      <w:r w:rsidRPr="00C83BDF">
        <w:rPr>
          <w:lang w:val="es-ES_tradnl"/>
        </w:rPr>
        <w:t xml:space="preserve">  </w:t>
      </w:r>
      <w:r w:rsidR="00DE6ADC" w:rsidRPr="00C83BDF">
        <w:rPr>
          <w:lang w:val="es-ES_tradnl"/>
        </w:rPr>
        <w:t>Albania</w:t>
      </w:r>
      <w:r w:rsidR="00220E3C" w:rsidRPr="00C83BDF">
        <w:rPr>
          <w:lang w:val="es-ES_tradnl"/>
        </w:rPr>
        <w:t xml:space="preserve">, </w:t>
      </w:r>
      <w:r w:rsidR="00DE6ADC" w:rsidRPr="00C83BDF">
        <w:rPr>
          <w:lang w:val="es-ES_tradnl"/>
        </w:rPr>
        <w:t>Alemania</w:t>
      </w:r>
      <w:r w:rsidR="00220E3C" w:rsidRPr="00C83BDF">
        <w:rPr>
          <w:lang w:val="es-ES_tradnl"/>
        </w:rPr>
        <w:t xml:space="preserve">, </w:t>
      </w:r>
      <w:r w:rsidR="00DE6ADC" w:rsidRPr="00C83BDF">
        <w:rPr>
          <w:lang w:val="es-ES_tradnl"/>
        </w:rPr>
        <w:t>Australia</w:t>
      </w:r>
      <w:r w:rsidR="00220E3C" w:rsidRPr="00C83BDF">
        <w:rPr>
          <w:lang w:val="es-ES_tradnl"/>
        </w:rPr>
        <w:t xml:space="preserve">, </w:t>
      </w:r>
      <w:r w:rsidR="00DE6ADC" w:rsidRPr="00C83BDF">
        <w:rPr>
          <w:lang w:val="es-ES_tradnl"/>
        </w:rPr>
        <w:t>Austria</w:t>
      </w:r>
      <w:r w:rsidR="00220E3C" w:rsidRPr="00C83BDF">
        <w:rPr>
          <w:lang w:val="es-ES_tradnl"/>
        </w:rPr>
        <w:t xml:space="preserve">, </w:t>
      </w:r>
      <w:r w:rsidR="00DE6ADC" w:rsidRPr="00C83BDF">
        <w:rPr>
          <w:lang w:val="es-ES_tradnl"/>
        </w:rPr>
        <w:t>Azerbaiyán</w:t>
      </w:r>
      <w:r w:rsidR="00220E3C" w:rsidRPr="00C83BDF">
        <w:rPr>
          <w:lang w:val="es-ES_tradnl"/>
        </w:rPr>
        <w:t xml:space="preserve">, </w:t>
      </w:r>
      <w:r w:rsidR="00DE6ADC" w:rsidRPr="00C83BDF">
        <w:rPr>
          <w:lang w:val="es-ES_tradnl"/>
        </w:rPr>
        <w:t>Belarús</w:t>
      </w:r>
      <w:r w:rsidR="00220E3C" w:rsidRPr="00C83BDF">
        <w:rPr>
          <w:lang w:val="es-ES_tradnl"/>
        </w:rPr>
        <w:t xml:space="preserve">, </w:t>
      </w:r>
      <w:r w:rsidR="00DE6ADC" w:rsidRPr="00C83BDF">
        <w:rPr>
          <w:lang w:val="es-ES_tradnl"/>
        </w:rPr>
        <w:t>Bulgaria</w:t>
      </w:r>
      <w:r w:rsidR="00220E3C" w:rsidRPr="00C83BDF">
        <w:rPr>
          <w:lang w:val="es-ES_tradnl"/>
        </w:rPr>
        <w:t xml:space="preserve">, </w:t>
      </w:r>
      <w:r w:rsidR="00DE6ADC" w:rsidRPr="00C83BDF">
        <w:rPr>
          <w:lang w:val="es-ES_tradnl"/>
        </w:rPr>
        <w:t>Costa Rica</w:t>
      </w:r>
      <w:r w:rsidR="00220E3C" w:rsidRPr="00C83BDF">
        <w:rPr>
          <w:lang w:val="es-ES_tradnl"/>
        </w:rPr>
        <w:t xml:space="preserve">, </w:t>
      </w:r>
      <w:r w:rsidR="00DE6ADC" w:rsidRPr="00C83BDF">
        <w:rPr>
          <w:lang w:val="es-ES_tradnl"/>
        </w:rPr>
        <w:t>Croacia</w:t>
      </w:r>
      <w:r w:rsidR="00220E3C" w:rsidRPr="00C83BDF">
        <w:rPr>
          <w:lang w:val="es-ES_tradnl"/>
        </w:rPr>
        <w:t xml:space="preserve">, </w:t>
      </w:r>
      <w:r w:rsidR="00DE6ADC" w:rsidRPr="00C83BDF">
        <w:rPr>
          <w:lang w:val="es-ES_tradnl"/>
        </w:rPr>
        <w:t>Dinamarca</w:t>
      </w:r>
      <w:r w:rsidR="00220E3C" w:rsidRPr="00C83BDF">
        <w:rPr>
          <w:lang w:val="es-ES_tradnl"/>
        </w:rPr>
        <w:t xml:space="preserve">, </w:t>
      </w:r>
      <w:r w:rsidR="00DE6ADC" w:rsidRPr="00C83BDF">
        <w:rPr>
          <w:lang w:val="es-ES_tradnl"/>
        </w:rPr>
        <w:t>Eslovaquia</w:t>
      </w:r>
      <w:r w:rsidR="00220E3C" w:rsidRPr="00C83BDF">
        <w:rPr>
          <w:lang w:val="es-ES_tradnl"/>
        </w:rPr>
        <w:t xml:space="preserve">, </w:t>
      </w:r>
      <w:r w:rsidR="00DE6ADC" w:rsidRPr="00C83BDF">
        <w:rPr>
          <w:lang w:val="es-ES_tradnl"/>
        </w:rPr>
        <w:t>Eslovenia</w:t>
      </w:r>
      <w:r w:rsidR="00220E3C" w:rsidRPr="00C83BDF">
        <w:rPr>
          <w:lang w:val="es-ES_tradnl"/>
        </w:rPr>
        <w:t xml:space="preserve">, </w:t>
      </w:r>
      <w:r w:rsidR="00DE6ADC" w:rsidRPr="00C83BDF">
        <w:rPr>
          <w:lang w:val="es-ES_tradnl"/>
        </w:rPr>
        <w:t>España</w:t>
      </w:r>
      <w:r w:rsidR="00220E3C" w:rsidRPr="00C83BDF">
        <w:rPr>
          <w:lang w:val="es-ES_tradnl"/>
        </w:rPr>
        <w:t xml:space="preserve">, </w:t>
      </w:r>
      <w:r w:rsidR="00DE6ADC" w:rsidRPr="00C83BDF">
        <w:rPr>
          <w:lang w:val="es-ES_tradnl"/>
        </w:rPr>
        <w:t>Estados Unidos de América</w:t>
      </w:r>
      <w:r w:rsidR="00220E3C" w:rsidRPr="00C83BDF">
        <w:rPr>
          <w:lang w:val="es-ES_tradnl"/>
        </w:rPr>
        <w:t xml:space="preserve">, </w:t>
      </w:r>
      <w:r w:rsidR="00DE6ADC" w:rsidRPr="00C83BDF">
        <w:rPr>
          <w:lang w:val="es-ES_tradnl"/>
        </w:rPr>
        <w:t>Estonia</w:t>
      </w:r>
      <w:r w:rsidR="00220E3C" w:rsidRPr="00C83BDF">
        <w:rPr>
          <w:lang w:val="es-ES_tradnl"/>
        </w:rPr>
        <w:t xml:space="preserve">, </w:t>
      </w:r>
      <w:r w:rsidR="00DE6ADC" w:rsidRPr="00C83BDF">
        <w:rPr>
          <w:lang w:val="es-ES_tradnl"/>
        </w:rPr>
        <w:t>ex República Yugoslava de Macedonia</w:t>
      </w:r>
      <w:r w:rsidR="00220E3C" w:rsidRPr="00C83BDF">
        <w:rPr>
          <w:lang w:val="es-ES_tradnl"/>
        </w:rPr>
        <w:t xml:space="preserve">, </w:t>
      </w:r>
      <w:r w:rsidR="00DE6ADC" w:rsidRPr="00C83BDF">
        <w:rPr>
          <w:lang w:val="es-ES_tradnl"/>
        </w:rPr>
        <w:t>Federación de Rusia</w:t>
      </w:r>
      <w:r w:rsidR="00220E3C" w:rsidRPr="00C83BDF">
        <w:rPr>
          <w:lang w:val="es-ES_tradnl"/>
        </w:rPr>
        <w:t xml:space="preserve">, </w:t>
      </w:r>
      <w:r w:rsidR="00DE6ADC" w:rsidRPr="00C83BDF">
        <w:rPr>
          <w:lang w:val="es-ES_tradnl"/>
        </w:rPr>
        <w:t>Finlandia</w:t>
      </w:r>
      <w:r w:rsidR="00220E3C" w:rsidRPr="00C83BDF">
        <w:rPr>
          <w:lang w:val="es-ES_tradnl"/>
        </w:rPr>
        <w:t xml:space="preserve">, </w:t>
      </w:r>
      <w:r w:rsidR="00DE6ADC" w:rsidRPr="00C83BDF">
        <w:rPr>
          <w:lang w:val="es-ES_tradnl"/>
        </w:rPr>
        <w:t>Francia</w:t>
      </w:r>
      <w:r w:rsidR="00220E3C" w:rsidRPr="00C83BDF">
        <w:rPr>
          <w:lang w:val="es-ES_tradnl"/>
        </w:rPr>
        <w:t xml:space="preserve">, </w:t>
      </w:r>
      <w:r w:rsidR="00DE6ADC" w:rsidRPr="00C83BDF">
        <w:rPr>
          <w:lang w:val="es-ES_tradnl"/>
        </w:rPr>
        <w:t>Georgia</w:t>
      </w:r>
      <w:r w:rsidR="00220E3C" w:rsidRPr="00C83BDF">
        <w:rPr>
          <w:lang w:val="es-ES_tradnl"/>
        </w:rPr>
        <w:t xml:space="preserve">, </w:t>
      </w:r>
      <w:r w:rsidR="00DE6ADC" w:rsidRPr="00C83BDF">
        <w:rPr>
          <w:lang w:val="es-ES_tradnl"/>
        </w:rPr>
        <w:t>Hungría</w:t>
      </w:r>
      <w:r w:rsidR="00220E3C" w:rsidRPr="00C83BDF">
        <w:rPr>
          <w:lang w:val="es-ES_tradnl"/>
        </w:rPr>
        <w:t xml:space="preserve">, </w:t>
      </w:r>
      <w:r w:rsidR="00DE6ADC" w:rsidRPr="00C83BDF">
        <w:rPr>
          <w:lang w:val="es-ES_tradnl"/>
        </w:rPr>
        <w:t>Irlanda</w:t>
      </w:r>
      <w:r w:rsidR="00220E3C" w:rsidRPr="00C83BDF">
        <w:rPr>
          <w:lang w:val="es-ES_tradnl"/>
        </w:rPr>
        <w:t xml:space="preserve">, </w:t>
      </w:r>
      <w:r w:rsidR="00DE6ADC" w:rsidRPr="00C83BDF">
        <w:rPr>
          <w:lang w:val="es-ES_tradnl"/>
        </w:rPr>
        <w:t>Islandia</w:t>
      </w:r>
      <w:r w:rsidR="00220E3C" w:rsidRPr="00C83BDF">
        <w:rPr>
          <w:lang w:val="es-ES_tradnl"/>
        </w:rPr>
        <w:t xml:space="preserve">, </w:t>
      </w:r>
      <w:r w:rsidR="00DE6ADC" w:rsidRPr="00C83BDF">
        <w:rPr>
          <w:lang w:val="es-ES_tradnl"/>
        </w:rPr>
        <w:t>Israel</w:t>
      </w:r>
      <w:r w:rsidR="00220E3C" w:rsidRPr="00C83BDF">
        <w:rPr>
          <w:lang w:val="es-ES_tradnl"/>
        </w:rPr>
        <w:t xml:space="preserve">, </w:t>
      </w:r>
      <w:r w:rsidR="00DE6ADC" w:rsidRPr="00C83BDF">
        <w:rPr>
          <w:lang w:val="es-ES_tradnl"/>
        </w:rPr>
        <w:t>Japón</w:t>
      </w:r>
      <w:r w:rsidR="00220E3C" w:rsidRPr="00C83BDF">
        <w:rPr>
          <w:lang w:val="es-ES_tradnl"/>
        </w:rPr>
        <w:t xml:space="preserve">, </w:t>
      </w:r>
      <w:r w:rsidR="00DE6ADC" w:rsidRPr="00C83BDF">
        <w:rPr>
          <w:lang w:val="es-ES_tradnl"/>
        </w:rPr>
        <w:t>Jordania</w:t>
      </w:r>
      <w:r w:rsidR="00220E3C" w:rsidRPr="00C83BDF">
        <w:rPr>
          <w:lang w:val="es-ES_tradnl"/>
        </w:rPr>
        <w:t xml:space="preserve">, </w:t>
      </w:r>
      <w:r w:rsidR="00DE6ADC" w:rsidRPr="00C83BDF">
        <w:rPr>
          <w:lang w:val="es-ES_tradnl"/>
        </w:rPr>
        <w:t>Kirguistán</w:t>
      </w:r>
      <w:r w:rsidR="00220E3C" w:rsidRPr="00C83BDF">
        <w:rPr>
          <w:lang w:val="es-ES_tradnl"/>
        </w:rPr>
        <w:t xml:space="preserve">, </w:t>
      </w:r>
      <w:r w:rsidR="00DE6ADC" w:rsidRPr="00C83BDF">
        <w:rPr>
          <w:lang w:val="es-ES_tradnl"/>
        </w:rPr>
        <w:t>Letonia</w:t>
      </w:r>
      <w:r w:rsidR="00220E3C" w:rsidRPr="00C83BDF">
        <w:rPr>
          <w:lang w:val="es-ES_tradnl"/>
        </w:rPr>
        <w:t xml:space="preserve">, </w:t>
      </w:r>
      <w:r w:rsidR="00DE6ADC" w:rsidRPr="00C83BDF">
        <w:rPr>
          <w:lang w:val="es-ES_tradnl"/>
        </w:rPr>
        <w:t>Lituania</w:t>
      </w:r>
      <w:r w:rsidR="00220E3C" w:rsidRPr="00C83BDF">
        <w:rPr>
          <w:lang w:val="es-ES_tradnl"/>
        </w:rPr>
        <w:t xml:space="preserve">, </w:t>
      </w:r>
      <w:r w:rsidR="00DE6ADC" w:rsidRPr="00C83BDF">
        <w:rPr>
          <w:lang w:val="es-ES_tradnl"/>
        </w:rPr>
        <w:t>Marruecos</w:t>
      </w:r>
      <w:r w:rsidR="00220E3C" w:rsidRPr="00C83BDF">
        <w:rPr>
          <w:lang w:val="es-ES_tradnl"/>
        </w:rPr>
        <w:t xml:space="preserve">, </w:t>
      </w:r>
      <w:r w:rsidR="00DE6ADC" w:rsidRPr="00C83BDF">
        <w:rPr>
          <w:lang w:val="es-ES_tradnl"/>
        </w:rPr>
        <w:t>Omán</w:t>
      </w:r>
      <w:r w:rsidR="00220E3C" w:rsidRPr="00C83BDF">
        <w:rPr>
          <w:lang w:val="es-ES_tradnl"/>
        </w:rPr>
        <w:t xml:space="preserve">, </w:t>
      </w:r>
      <w:r w:rsidR="00DE6ADC" w:rsidRPr="00C83BDF">
        <w:rPr>
          <w:lang w:val="es-ES_tradnl"/>
        </w:rPr>
        <w:t>Organización Africana de la Propiedad Intelectual</w:t>
      </w:r>
      <w:r w:rsidR="00220E3C" w:rsidRPr="00C83BDF">
        <w:rPr>
          <w:lang w:val="es-ES_tradnl"/>
        </w:rPr>
        <w:t xml:space="preserve">, </w:t>
      </w:r>
      <w:r w:rsidR="00DE6ADC" w:rsidRPr="00C83BDF">
        <w:rPr>
          <w:lang w:val="es-ES_tradnl"/>
        </w:rPr>
        <w:t>Países Bajos</w:t>
      </w:r>
      <w:r w:rsidR="00220E3C" w:rsidRPr="00C83BDF">
        <w:rPr>
          <w:lang w:val="es-ES_tradnl"/>
        </w:rPr>
        <w:t xml:space="preserve">, </w:t>
      </w:r>
      <w:r w:rsidR="00DE6ADC" w:rsidRPr="00C83BDF">
        <w:rPr>
          <w:lang w:val="es-ES_tradnl"/>
        </w:rPr>
        <w:t>Panamá</w:t>
      </w:r>
      <w:r w:rsidR="00220E3C" w:rsidRPr="00C83BDF">
        <w:rPr>
          <w:lang w:val="es-ES_tradnl"/>
        </w:rPr>
        <w:t xml:space="preserve">, </w:t>
      </w:r>
      <w:r w:rsidR="00DE6ADC" w:rsidRPr="00C83BDF">
        <w:rPr>
          <w:lang w:val="es-ES_tradnl"/>
        </w:rPr>
        <w:t>Perú</w:t>
      </w:r>
      <w:r w:rsidR="00220E3C" w:rsidRPr="00C83BDF">
        <w:rPr>
          <w:lang w:val="es-ES_tradnl"/>
        </w:rPr>
        <w:t xml:space="preserve">, </w:t>
      </w:r>
      <w:r w:rsidR="00DE6ADC" w:rsidRPr="00C83BDF">
        <w:rPr>
          <w:lang w:val="es-ES_tradnl"/>
        </w:rPr>
        <w:t>Polonia</w:t>
      </w:r>
      <w:r w:rsidR="00220E3C" w:rsidRPr="00C83BDF">
        <w:rPr>
          <w:lang w:val="es-ES_tradnl"/>
        </w:rPr>
        <w:t xml:space="preserve">, </w:t>
      </w:r>
      <w:r w:rsidR="00DE6ADC" w:rsidRPr="00C83BDF">
        <w:rPr>
          <w:lang w:val="es-ES_tradnl"/>
        </w:rPr>
        <w:t>Reino Unido</w:t>
      </w:r>
      <w:r w:rsidR="00220E3C" w:rsidRPr="00C83BDF">
        <w:rPr>
          <w:lang w:val="es-ES_tradnl"/>
        </w:rPr>
        <w:t xml:space="preserve">, </w:t>
      </w:r>
      <w:r w:rsidR="00DE6ADC" w:rsidRPr="00C83BDF">
        <w:rPr>
          <w:lang w:val="es-ES_tradnl"/>
        </w:rPr>
        <w:t>República</w:t>
      </w:r>
      <w:r w:rsidR="00BD3926" w:rsidRPr="00C83BDF">
        <w:rPr>
          <w:lang w:val="es-ES_tradnl"/>
        </w:rPr>
        <w:t> </w:t>
      </w:r>
      <w:r w:rsidR="00DE6ADC" w:rsidRPr="00C83BDF">
        <w:rPr>
          <w:lang w:val="es-ES_tradnl"/>
        </w:rPr>
        <w:t>Checa</w:t>
      </w:r>
      <w:r w:rsidR="00220E3C" w:rsidRPr="00C83BDF">
        <w:rPr>
          <w:lang w:val="es-ES_tradnl"/>
        </w:rPr>
        <w:t xml:space="preserve">, </w:t>
      </w:r>
      <w:r w:rsidR="00DE6ADC" w:rsidRPr="00C83BDF">
        <w:rPr>
          <w:lang w:val="es-ES_tradnl"/>
        </w:rPr>
        <w:t>República de Corea</w:t>
      </w:r>
      <w:r w:rsidR="00220E3C" w:rsidRPr="00C83BDF">
        <w:rPr>
          <w:lang w:val="es-ES_tradnl"/>
        </w:rPr>
        <w:t xml:space="preserve">, </w:t>
      </w:r>
      <w:r w:rsidR="00DE6ADC" w:rsidRPr="00C83BDF">
        <w:rPr>
          <w:lang w:val="es-ES_tradnl"/>
        </w:rPr>
        <w:t>República</w:t>
      </w:r>
      <w:r w:rsidR="00BD3926" w:rsidRPr="00C83BDF">
        <w:rPr>
          <w:lang w:val="es-ES_tradnl"/>
        </w:rPr>
        <w:t> </w:t>
      </w:r>
      <w:r w:rsidR="00DE6ADC" w:rsidRPr="00C83BDF">
        <w:rPr>
          <w:lang w:val="es-ES_tradnl"/>
        </w:rPr>
        <w:t>Dominicana</w:t>
      </w:r>
      <w:r w:rsidR="00220E3C" w:rsidRPr="00C83BDF">
        <w:rPr>
          <w:lang w:val="es-ES_tradnl"/>
        </w:rPr>
        <w:t xml:space="preserve">, </w:t>
      </w:r>
      <w:r w:rsidR="00DE6ADC" w:rsidRPr="00C83BDF">
        <w:rPr>
          <w:lang w:val="es-ES_tradnl"/>
        </w:rPr>
        <w:t>República de Moldova</w:t>
      </w:r>
      <w:r w:rsidR="00220E3C" w:rsidRPr="00C83BDF">
        <w:rPr>
          <w:lang w:val="es-ES_tradnl"/>
        </w:rPr>
        <w:t xml:space="preserve">, </w:t>
      </w:r>
      <w:r w:rsidR="00DE6ADC" w:rsidRPr="00C83BDF">
        <w:rPr>
          <w:lang w:val="es-ES_tradnl"/>
        </w:rPr>
        <w:t>Rumania</w:t>
      </w:r>
      <w:r w:rsidR="00220E3C" w:rsidRPr="00C83BDF">
        <w:rPr>
          <w:lang w:val="es-ES_tradnl"/>
        </w:rPr>
        <w:t xml:space="preserve">, </w:t>
      </w:r>
      <w:r w:rsidR="00DE6ADC" w:rsidRPr="00C83BDF">
        <w:rPr>
          <w:lang w:val="es-ES_tradnl"/>
        </w:rPr>
        <w:t>Serbia</w:t>
      </w:r>
      <w:r w:rsidR="00220E3C" w:rsidRPr="00C83BDF">
        <w:rPr>
          <w:lang w:val="es-ES_tradnl"/>
        </w:rPr>
        <w:t xml:space="preserve">, </w:t>
      </w:r>
      <w:r w:rsidR="00DE6ADC" w:rsidRPr="00C83BDF">
        <w:rPr>
          <w:lang w:val="es-ES_tradnl"/>
        </w:rPr>
        <w:t>Singapur</w:t>
      </w:r>
      <w:r w:rsidR="00220E3C" w:rsidRPr="00C83BDF">
        <w:rPr>
          <w:lang w:val="es-ES_tradnl"/>
        </w:rPr>
        <w:t xml:space="preserve">, </w:t>
      </w:r>
      <w:r w:rsidR="00DE6ADC" w:rsidRPr="00C83BDF">
        <w:rPr>
          <w:lang w:val="es-ES_tradnl"/>
        </w:rPr>
        <w:t>Suecia</w:t>
      </w:r>
      <w:r w:rsidR="00220E3C" w:rsidRPr="00C83BDF">
        <w:rPr>
          <w:lang w:val="es-ES_tradnl"/>
        </w:rPr>
        <w:t xml:space="preserve">, </w:t>
      </w:r>
      <w:r w:rsidR="00DE6ADC" w:rsidRPr="00C83BDF">
        <w:rPr>
          <w:lang w:val="es-ES_tradnl"/>
        </w:rPr>
        <w:t>Suiza</w:t>
      </w:r>
      <w:r w:rsidR="00220E3C" w:rsidRPr="00C83BDF">
        <w:rPr>
          <w:lang w:val="es-ES_tradnl"/>
        </w:rPr>
        <w:t xml:space="preserve">, </w:t>
      </w:r>
      <w:r w:rsidR="00DE6ADC" w:rsidRPr="00C83BDF">
        <w:rPr>
          <w:lang w:val="es-ES_tradnl"/>
        </w:rPr>
        <w:t>Túnez</w:t>
      </w:r>
      <w:r w:rsidR="00220E3C" w:rsidRPr="00C83BDF">
        <w:rPr>
          <w:lang w:val="es-ES_tradnl"/>
        </w:rPr>
        <w:t xml:space="preserve">, </w:t>
      </w:r>
      <w:r w:rsidR="00DE6ADC" w:rsidRPr="00C83BDF">
        <w:rPr>
          <w:lang w:val="es-ES_tradnl"/>
        </w:rPr>
        <w:t>Turquía</w:t>
      </w:r>
      <w:r w:rsidR="00220E3C" w:rsidRPr="00C83BDF">
        <w:rPr>
          <w:lang w:val="es-ES_tradnl"/>
        </w:rPr>
        <w:t xml:space="preserve">, </w:t>
      </w:r>
      <w:r w:rsidR="00DE6ADC" w:rsidRPr="00C83BDF">
        <w:rPr>
          <w:lang w:val="es-ES_tradnl"/>
        </w:rPr>
        <w:t>Ucrania</w:t>
      </w:r>
      <w:r w:rsidR="00220E3C" w:rsidRPr="00C83BDF">
        <w:rPr>
          <w:lang w:val="es-ES_tradnl"/>
        </w:rPr>
        <w:t xml:space="preserve">, </w:t>
      </w:r>
      <w:r w:rsidR="00DE6ADC" w:rsidRPr="00C83BDF">
        <w:rPr>
          <w:lang w:val="es-ES_tradnl"/>
        </w:rPr>
        <w:t>Unión</w:t>
      </w:r>
      <w:r w:rsidR="00D94455" w:rsidRPr="00C83BDF">
        <w:rPr>
          <w:lang w:val="es-ES_tradnl"/>
        </w:rPr>
        <w:t> </w:t>
      </w:r>
      <w:r w:rsidR="00DE6ADC" w:rsidRPr="00C83BDF">
        <w:rPr>
          <w:lang w:val="es-ES_tradnl"/>
        </w:rPr>
        <w:t>Europea</w:t>
      </w:r>
      <w:r w:rsidR="00220E3C" w:rsidRPr="00C83BDF">
        <w:rPr>
          <w:lang w:val="es-ES_tradnl"/>
        </w:rPr>
        <w:t xml:space="preserve">, </w:t>
      </w:r>
      <w:r w:rsidR="00DE6ADC" w:rsidRPr="00C83BDF">
        <w:rPr>
          <w:lang w:val="es-ES_tradnl"/>
        </w:rPr>
        <w:t>Uzbekistán y Viet Nam.</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827285" w:rsidRPr="00C83BDF">
        <w:rPr>
          <w:lang w:val="es-ES_tradnl"/>
        </w:rPr>
        <w:t>En el Anexo I figura la situación de los miembros de la Unión en relación con las distintas Actas del Convenio al 31 de diciembre de 2014.</w:t>
      </w:r>
    </w:p>
    <w:p w:rsidR="00E65183" w:rsidRPr="00C83BDF" w:rsidRDefault="00E65183" w:rsidP="00E65183">
      <w:pPr>
        <w:rPr>
          <w:lang w:val="es-ES_tradnl"/>
        </w:rPr>
      </w:pPr>
    </w:p>
    <w:p w:rsidR="00E65183" w:rsidRPr="00C83BDF" w:rsidRDefault="00E65183" w:rsidP="00E65183">
      <w:pPr>
        <w:rPr>
          <w:lang w:val="es-ES_tradnl"/>
        </w:rPr>
      </w:pPr>
    </w:p>
    <w:p w:rsidR="00E65183" w:rsidRPr="00C83BDF" w:rsidRDefault="00827285" w:rsidP="00E65183">
      <w:pPr>
        <w:pStyle w:val="Heading2"/>
        <w:rPr>
          <w:lang w:val="es-ES_tradnl"/>
        </w:rPr>
      </w:pPr>
      <w:bookmarkStart w:id="8" w:name="_Toc431567586"/>
      <w:r w:rsidRPr="00C83BDF">
        <w:rPr>
          <w:lang w:val="es-ES_tradnl"/>
        </w:rPr>
        <w:t>Estados/organizaciones que han iniciado el procedimiento para ser miembro de la Unión</w:t>
      </w:r>
      <w:bookmarkEnd w:id="8"/>
    </w:p>
    <w:p w:rsidR="00E65183" w:rsidRPr="00C83BDF" w:rsidRDefault="00E65183" w:rsidP="00E65183">
      <w:pPr>
        <w:keepNext/>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827285" w:rsidRPr="00C83BDF">
        <w:rPr>
          <w:lang w:val="es-ES_tradnl"/>
        </w:rPr>
        <w:t>De conformidad con lo dispuesto en el artículo 34.3) del Acta de 1991</w:t>
      </w:r>
      <w:r w:rsidR="00220E3C" w:rsidRPr="00C83BDF">
        <w:rPr>
          <w:lang w:val="es-ES_tradnl"/>
        </w:rPr>
        <w:t xml:space="preserve">, </w:t>
      </w:r>
      <w:r w:rsidR="00827285" w:rsidRPr="00C83BDF">
        <w:rPr>
          <w:lang w:val="es-ES_tradnl"/>
        </w:rPr>
        <w:t>“antes de depositar su instrumento de adhesión</w:t>
      </w:r>
      <w:r w:rsidR="00220E3C" w:rsidRPr="00C83BDF">
        <w:rPr>
          <w:lang w:val="es-ES_tradnl"/>
        </w:rPr>
        <w:t xml:space="preserve">, </w:t>
      </w:r>
      <w:r w:rsidR="00827285" w:rsidRPr="00C83BDF">
        <w:rPr>
          <w:lang w:val="es-ES_tradnl"/>
        </w:rPr>
        <w:t>todo Estado que no sea miembro de la Unión o cualquier organización intergubernamental solicitará la opinión del Consejo acerca de la conformidad de su legislación con las disposiciones del presente Convenio”.</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827285" w:rsidRPr="00C83BDF">
        <w:rPr>
          <w:lang w:val="es-ES_tradnl"/>
        </w:rPr>
        <w:t>Mediante una carta de fecha 6 de marzo de 2014</w:t>
      </w:r>
      <w:r w:rsidR="00220E3C" w:rsidRPr="00C83BDF">
        <w:rPr>
          <w:lang w:val="es-ES_tradnl"/>
        </w:rPr>
        <w:t xml:space="preserve">, </w:t>
      </w:r>
      <w:r w:rsidR="00827285" w:rsidRPr="00C83BDF">
        <w:rPr>
          <w:lang w:val="es-ES_tradnl"/>
        </w:rPr>
        <w:t>la Organización Regional Africana de la Propiedad Intelectual (ARIPO) solicitó el examen de la conformidad del proyecto de Protocolo de la ARIPO para la Protección de las Obtenciones Vegetales con el Acta de 1991 del Convenio de la UPOV.</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827285" w:rsidRPr="00C83BDF">
        <w:rPr>
          <w:lang w:val="es-ES_tradnl"/>
        </w:rPr>
        <w:t>El Consejo</w:t>
      </w:r>
      <w:r w:rsidR="00220E3C" w:rsidRPr="00C83BDF">
        <w:rPr>
          <w:lang w:val="es-ES_tradnl"/>
        </w:rPr>
        <w:t xml:space="preserve">, </w:t>
      </w:r>
      <w:r w:rsidR="00827285" w:rsidRPr="00C83BDF">
        <w:rPr>
          <w:lang w:val="es-ES_tradnl"/>
        </w:rPr>
        <w:t>en su trigésima primera sesión extraordinaria</w:t>
      </w:r>
      <w:r w:rsidR="00220E3C" w:rsidRPr="00C83BDF">
        <w:rPr>
          <w:lang w:val="es-ES_tradnl"/>
        </w:rPr>
        <w:t xml:space="preserve">, </w:t>
      </w:r>
      <w:r w:rsidR="00827285" w:rsidRPr="00C83BDF">
        <w:rPr>
          <w:lang w:val="es-ES_tradnl"/>
        </w:rPr>
        <w:t>celebrada en Ginebra el 11 de abril de 2014</w:t>
      </w:r>
      <w:r w:rsidR="00220E3C" w:rsidRPr="00C83BDF">
        <w:rPr>
          <w:lang w:val="es-ES_tradnl"/>
        </w:rPr>
        <w:t xml:space="preserve">, </w:t>
      </w:r>
      <w:r w:rsidR="00827285" w:rsidRPr="00C83BDF">
        <w:rPr>
          <w:lang w:val="es-ES_tradnl"/>
        </w:rPr>
        <w:t>examinó la conformidad del proyecto de Protocolo de la ARIPO para la Protección de las Obtenciones Vegetales con el Acta de 1991 del Convenio de la UPOV.</w:t>
      </w:r>
    </w:p>
    <w:p w:rsidR="00E65183" w:rsidRPr="00C83BDF" w:rsidRDefault="00E65183" w:rsidP="00E65183">
      <w:pPr>
        <w:rPr>
          <w:lang w:val="es-ES_tradnl"/>
        </w:rPr>
      </w:pPr>
    </w:p>
    <w:p w:rsidR="00E65183" w:rsidRPr="00C83BDF" w:rsidRDefault="00082242" w:rsidP="00E65183">
      <w:pPr>
        <w:rPr>
          <w:rFonts w:cs="Arial"/>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827285" w:rsidRPr="00C83BDF">
        <w:rPr>
          <w:lang w:val="es-ES_tradnl"/>
        </w:rPr>
        <w:t>El Consejo adoptó las decisiones siguientes:</w:t>
      </w:r>
    </w:p>
    <w:p w:rsidR="00E65183" w:rsidRPr="00C83BDF" w:rsidRDefault="00E65183" w:rsidP="00E65183">
      <w:pPr>
        <w:rPr>
          <w:rFonts w:cs="Arial"/>
          <w:lang w:val="es-ES_tradnl"/>
        </w:rPr>
      </w:pPr>
    </w:p>
    <w:p w:rsidR="00E65183" w:rsidRPr="00C83BDF" w:rsidRDefault="00E65183" w:rsidP="00E65183">
      <w:pPr>
        <w:ind w:left="567" w:right="567"/>
        <w:rPr>
          <w:rFonts w:cs="Arial"/>
          <w:sz w:val="18"/>
          <w:szCs w:val="18"/>
          <w:lang w:val="es-ES_tradnl"/>
        </w:rPr>
      </w:pPr>
      <w:r w:rsidRPr="00C83BDF">
        <w:rPr>
          <w:rFonts w:cs="Arial"/>
          <w:sz w:val="18"/>
          <w:szCs w:val="18"/>
          <w:lang w:val="es-ES_tradnl"/>
        </w:rPr>
        <w:tab/>
      </w:r>
      <w:r w:rsidR="00827285" w:rsidRPr="00C83BDF">
        <w:rPr>
          <w:rFonts w:cs="Arial"/>
          <w:sz w:val="18"/>
          <w:szCs w:val="18"/>
          <w:lang w:val="es-ES_tradnl"/>
        </w:rPr>
        <w:t>“a)</w:t>
      </w:r>
      <w:r w:rsidRPr="00C83BDF">
        <w:rPr>
          <w:rFonts w:cs="Arial"/>
          <w:sz w:val="18"/>
          <w:szCs w:val="18"/>
          <w:lang w:val="es-ES_tradnl"/>
        </w:rPr>
        <w:tab/>
      </w:r>
      <w:r w:rsidR="00827285" w:rsidRPr="00C83BDF">
        <w:rPr>
          <w:rFonts w:cs="Arial"/>
          <w:sz w:val="18"/>
          <w:szCs w:val="18"/>
          <w:lang w:val="es-ES_tradnl"/>
        </w:rPr>
        <w:t>tomar nota del análisis expuesto en el presente documento [C(Extr.)/31/2];</w:t>
      </w:r>
    </w:p>
    <w:p w:rsidR="00E65183" w:rsidRPr="00C83BDF" w:rsidRDefault="00E65183" w:rsidP="00E65183">
      <w:pPr>
        <w:ind w:left="567" w:right="567"/>
        <w:rPr>
          <w:rFonts w:cs="Arial"/>
          <w:sz w:val="18"/>
          <w:szCs w:val="18"/>
          <w:lang w:val="es-ES_tradnl"/>
        </w:rPr>
      </w:pPr>
    </w:p>
    <w:p w:rsidR="00E65183" w:rsidRPr="00C83BDF" w:rsidRDefault="00E65183" w:rsidP="00E65183">
      <w:pPr>
        <w:ind w:left="567" w:right="567"/>
        <w:rPr>
          <w:rFonts w:cs="Arial"/>
          <w:sz w:val="18"/>
          <w:szCs w:val="18"/>
          <w:lang w:val="es-ES_tradnl"/>
        </w:rPr>
      </w:pPr>
      <w:r w:rsidRPr="00C83BDF">
        <w:rPr>
          <w:rFonts w:cs="Arial"/>
          <w:sz w:val="18"/>
          <w:szCs w:val="18"/>
          <w:lang w:val="es-ES_tradnl"/>
        </w:rPr>
        <w:tab/>
      </w:r>
      <w:r w:rsidR="00827285" w:rsidRPr="00C83BDF">
        <w:rPr>
          <w:rFonts w:cs="Arial"/>
          <w:sz w:val="18"/>
          <w:szCs w:val="18"/>
          <w:lang w:val="es-ES_tradnl"/>
        </w:rPr>
        <w:t>b)</w:t>
      </w:r>
      <w:r w:rsidRPr="00C83BDF">
        <w:rPr>
          <w:rFonts w:cs="Arial"/>
          <w:sz w:val="18"/>
          <w:szCs w:val="18"/>
          <w:lang w:val="es-ES_tradnl"/>
        </w:rPr>
        <w:tab/>
      </w:r>
      <w:r w:rsidR="00827285" w:rsidRPr="00C83BDF">
        <w:rPr>
          <w:rFonts w:cs="Arial"/>
          <w:sz w:val="18"/>
          <w:szCs w:val="18"/>
          <w:lang w:val="es-ES_tradnl"/>
        </w:rPr>
        <w:t>tomar nota de que el texto de las letras “c)” y “d)” de los artículos 11</w:t>
      </w:r>
      <w:r w:rsidR="00220E3C" w:rsidRPr="00C83BDF">
        <w:rPr>
          <w:rFonts w:cs="Arial"/>
          <w:sz w:val="18"/>
          <w:szCs w:val="18"/>
          <w:lang w:val="es-ES_tradnl"/>
        </w:rPr>
        <w:t xml:space="preserve">, </w:t>
      </w:r>
      <w:r w:rsidR="00827285" w:rsidRPr="00C83BDF">
        <w:rPr>
          <w:rFonts w:cs="Arial"/>
          <w:sz w:val="18"/>
          <w:szCs w:val="18"/>
          <w:lang w:val="es-ES_tradnl"/>
        </w:rPr>
        <w:t>12.1 y 3 y 19.6 del Anexo II del documento C(Extr.)/31/2 deberán ser “a)” y “b)” y que se debe eliminar la palabra “no” del artículo 27.5 de conformidad con el texto original del proyecto de Protocolo;</w:t>
      </w:r>
    </w:p>
    <w:p w:rsidR="00E65183" w:rsidRPr="00C83BDF" w:rsidRDefault="00E65183" w:rsidP="00E65183">
      <w:pPr>
        <w:ind w:left="567" w:right="567"/>
        <w:rPr>
          <w:rFonts w:cs="Arial"/>
          <w:sz w:val="18"/>
          <w:szCs w:val="18"/>
          <w:lang w:val="es-ES_tradnl"/>
        </w:rPr>
      </w:pPr>
    </w:p>
    <w:p w:rsidR="00E65183" w:rsidRPr="00C83BDF" w:rsidRDefault="00E65183" w:rsidP="00E65183">
      <w:pPr>
        <w:ind w:left="567" w:right="567"/>
        <w:rPr>
          <w:rFonts w:cs="Arial"/>
          <w:sz w:val="18"/>
          <w:szCs w:val="18"/>
          <w:lang w:val="es-ES_tradnl"/>
        </w:rPr>
      </w:pPr>
      <w:r w:rsidRPr="00C83BDF">
        <w:rPr>
          <w:rFonts w:cs="Arial"/>
          <w:sz w:val="18"/>
          <w:szCs w:val="18"/>
          <w:lang w:val="es-ES_tradnl"/>
        </w:rPr>
        <w:lastRenderedPageBreak/>
        <w:tab/>
      </w:r>
      <w:r w:rsidR="00827285" w:rsidRPr="00C83BDF">
        <w:rPr>
          <w:rFonts w:cs="Arial"/>
          <w:sz w:val="18"/>
          <w:szCs w:val="18"/>
          <w:lang w:val="es-ES_tradnl"/>
        </w:rPr>
        <w:t>c)</w:t>
      </w:r>
      <w:r w:rsidRPr="00C83BDF">
        <w:rPr>
          <w:rFonts w:cs="Arial"/>
          <w:sz w:val="18"/>
          <w:szCs w:val="18"/>
          <w:lang w:val="es-ES_tradnl"/>
        </w:rPr>
        <w:tab/>
      </w:r>
      <w:r w:rsidR="00827285" w:rsidRPr="00C83BDF">
        <w:rPr>
          <w:rFonts w:cs="Arial"/>
          <w:sz w:val="18"/>
          <w:szCs w:val="18"/>
          <w:lang w:val="es-ES_tradnl"/>
        </w:rPr>
        <w:t xml:space="preserve">tomar una decisión positiva acerca de la conformidad </w:t>
      </w:r>
      <w:r w:rsidR="00C97FBB" w:rsidRPr="00C83BDF">
        <w:rPr>
          <w:rFonts w:cs="Arial"/>
          <w:sz w:val="18"/>
          <w:szCs w:val="18"/>
          <w:lang w:val="es-ES_tradnl"/>
        </w:rPr>
        <w:t>d</w:t>
      </w:r>
      <w:r w:rsidR="00827285" w:rsidRPr="00C83BDF">
        <w:rPr>
          <w:rFonts w:cs="Arial"/>
          <w:sz w:val="18"/>
          <w:szCs w:val="18"/>
          <w:lang w:val="es-ES_tradnl"/>
        </w:rPr>
        <w:t>el proyecto de Protocolo de la ARIPO para la Protección de las Obtenciones Vegetales con las disposiciones del Acta de 1991 del Convenio Internacional para la Protección de las Obtenciones Vegetales</w:t>
      </w:r>
      <w:r w:rsidR="00220E3C" w:rsidRPr="00C83BDF">
        <w:rPr>
          <w:rFonts w:cs="Arial"/>
          <w:sz w:val="18"/>
          <w:szCs w:val="18"/>
          <w:lang w:val="es-ES_tradnl"/>
        </w:rPr>
        <w:t xml:space="preserve">, </w:t>
      </w:r>
      <w:r w:rsidR="00827285" w:rsidRPr="00C83BDF">
        <w:rPr>
          <w:rFonts w:cs="Arial"/>
          <w:sz w:val="18"/>
          <w:szCs w:val="18"/>
          <w:lang w:val="es-ES_tradnl"/>
        </w:rPr>
        <w:t>lo que permite a:</w:t>
      </w:r>
    </w:p>
    <w:p w:rsidR="00E65183" w:rsidRPr="00C83BDF" w:rsidRDefault="00E65183" w:rsidP="00E65183">
      <w:pPr>
        <w:ind w:left="567" w:right="567"/>
        <w:rPr>
          <w:rFonts w:cs="Arial"/>
          <w:sz w:val="18"/>
          <w:szCs w:val="18"/>
          <w:lang w:val="es-ES_tradnl"/>
        </w:rPr>
      </w:pPr>
    </w:p>
    <w:p w:rsidR="00E65183" w:rsidRPr="00C83BDF" w:rsidRDefault="00E65183" w:rsidP="00E65183">
      <w:pPr>
        <w:keepNext/>
        <w:ind w:left="567" w:right="567"/>
        <w:rPr>
          <w:rFonts w:cs="Arial"/>
          <w:sz w:val="18"/>
          <w:szCs w:val="18"/>
          <w:lang w:val="es-ES_tradnl"/>
        </w:rPr>
      </w:pPr>
      <w:r w:rsidRPr="00C83BDF">
        <w:rPr>
          <w:rFonts w:cs="Arial"/>
          <w:sz w:val="18"/>
          <w:szCs w:val="18"/>
          <w:lang w:val="es-ES_tradnl"/>
        </w:rPr>
        <w:tab/>
      </w:r>
      <w:r w:rsidRPr="00C83BDF">
        <w:rPr>
          <w:rFonts w:cs="Arial"/>
          <w:sz w:val="18"/>
          <w:szCs w:val="18"/>
          <w:lang w:val="es-ES_tradnl"/>
        </w:rPr>
        <w:tab/>
      </w:r>
      <w:r w:rsidR="00827285" w:rsidRPr="00C83BDF">
        <w:rPr>
          <w:rFonts w:cs="Arial"/>
          <w:sz w:val="18"/>
          <w:szCs w:val="18"/>
          <w:lang w:val="es-ES_tradnl"/>
        </w:rPr>
        <w:t>i)</w:t>
      </w:r>
      <w:r w:rsidRPr="00C83BDF">
        <w:rPr>
          <w:rFonts w:cs="Arial"/>
          <w:sz w:val="18"/>
          <w:szCs w:val="18"/>
          <w:lang w:val="es-ES_tradnl"/>
        </w:rPr>
        <w:tab/>
      </w:r>
      <w:r w:rsidR="00827285" w:rsidRPr="00C83BDF">
        <w:rPr>
          <w:rFonts w:cs="Arial"/>
          <w:sz w:val="18"/>
          <w:szCs w:val="18"/>
          <w:lang w:val="es-ES_tradnl"/>
        </w:rPr>
        <w:t>los Estados Contratantes vinculados al Protocolo que no sean miembros de la Unión obligados por el Acta de 1991</w:t>
      </w:r>
      <w:r w:rsidR="00220E3C" w:rsidRPr="00C83BDF">
        <w:rPr>
          <w:rFonts w:cs="Arial"/>
          <w:sz w:val="18"/>
          <w:szCs w:val="18"/>
          <w:lang w:val="es-ES_tradnl"/>
        </w:rPr>
        <w:t xml:space="preserve">, </w:t>
      </w:r>
      <w:r w:rsidR="00827285" w:rsidRPr="00C83BDF">
        <w:rPr>
          <w:rFonts w:cs="Arial"/>
          <w:sz w:val="18"/>
          <w:szCs w:val="18"/>
          <w:lang w:val="es-ES_tradnl"/>
        </w:rPr>
        <w:t>y</w:t>
      </w:r>
    </w:p>
    <w:p w:rsidR="00E65183" w:rsidRPr="00C83BDF" w:rsidRDefault="00E65183" w:rsidP="00E65183">
      <w:pPr>
        <w:keepNext/>
        <w:ind w:left="567" w:right="567"/>
        <w:rPr>
          <w:rFonts w:cs="Arial"/>
          <w:sz w:val="18"/>
          <w:szCs w:val="18"/>
          <w:lang w:val="es-ES_tradnl"/>
        </w:rPr>
      </w:pPr>
    </w:p>
    <w:p w:rsidR="00E65183" w:rsidRPr="00C83BDF" w:rsidRDefault="00E65183" w:rsidP="00E65183">
      <w:pPr>
        <w:ind w:left="567" w:right="567"/>
        <w:rPr>
          <w:rFonts w:cs="Arial"/>
          <w:sz w:val="18"/>
          <w:szCs w:val="18"/>
          <w:lang w:val="es-ES_tradnl"/>
        </w:rPr>
      </w:pPr>
      <w:r w:rsidRPr="00C83BDF">
        <w:rPr>
          <w:rFonts w:cs="Arial"/>
          <w:sz w:val="18"/>
          <w:szCs w:val="18"/>
          <w:lang w:val="es-ES_tradnl"/>
        </w:rPr>
        <w:tab/>
      </w:r>
      <w:r w:rsidRPr="00C83BDF">
        <w:rPr>
          <w:rFonts w:cs="Arial"/>
          <w:sz w:val="18"/>
          <w:szCs w:val="18"/>
          <w:lang w:val="es-ES_tradnl"/>
        </w:rPr>
        <w:tab/>
      </w:r>
      <w:r w:rsidR="00827285" w:rsidRPr="00C83BDF">
        <w:rPr>
          <w:rFonts w:cs="Arial"/>
          <w:sz w:val="18"/>
          <w:szCs w:val="18"/>
          <w:lang w:val="es-ES_tradnl"/>
        </w:rPr>
        <w:t>ii)</w:t>
      </w:r>
      <w:r w:rsidRPr="00C83BDF">
        <w:rPr>
          <w:rFonts w:cs="Arial"/>
          <w:sz w:val="18"/>
          <w:szCs w:val="18"/>
          <w:lang w:val="es-ES_tradnl"/>
        </w:rPr>
        <w:tab/>
      </w:r>
      <w:r w:rsidR="00827285" w:rsidRPr="00C83BDF">
        <w:rPr>
          <w:rFonts w:cs="Arial"/>
          <w:sz w:val="18"/>
          <w:szCs w:val="18"/>
          <w:lang w:val="es-ES_tradnl"/>
        </w:rPr>
        <w:t>la ARIPO</w:t>
      </w:r>
      <w:r w:rsidR="00220E3C" w:rsidRPr="00C83BDF">
        <w:rPr>
          <w:rFonts w:cs="Arial"/>
          <w:sz w:val="18"/>
          <w:szCs w:val="18"/>
          <w:lang w:val="es-ES_tradnl"/>
        </w:rPr>
        <w:t xml:space="preserve">, </w:t>
      </w:r>
      <w:r w:rsidR="00827285" w:rsidRPr="00C83BDF">
        <w:rPr>
          <w:rFonts w:cs="Arial"/>
          <w:sz w:val="18"/>
          <w:szCs w:val="18"/>
          <w:lang w:val="es-ES_tradnl"/>
        </w:rPr>
        <w:t>en relación con los territorios de los Estados Contratantes vinculados al Protocolo,</w:t>
      </w:r>
    </w:p>
    <w:p w:rsidR="00E65183" w:rsidRPr="00C83BDF" w:rsidRDefault="00E65183" w:rsidP="00E65183">
      <w:pPr>
        <w:ind w:left="567" w:right="567"/>
        <w:rPr>
          <w:rFonts w:cs="Arial"/>
          <w:sz w:val="18"/>
          <w:szCs w:val="18"/>
          <w:lang w:val="es-ES_tradnl"/>
        </w:rPr>
      </w:pPr>
    </w:p>
    <w:p w:rsidR="00E65183" w:rsidRPr="00C83BDF" w:rsidRDefault="00827285" w:rsidP="00E65183">
      <w:pPr>
        <w:ind w:left="567" w:right="567"/>
        <w:rPr>
          <w:rFonts w:cs="Arial"/>
          <w:sz w:val="18"/>
          <w:szCs w:val="18"/>
          <w:lang w:val="es-ES_tradnl"/>
        </w:rPr>
      </w:pPr>
      <w:r w:rsidRPr="00C83BDF">
        <w:rPr>
          <w:rFonts w:cs="Arial"/>
          <w:sz w:val="18"/>
          <w:szCs w:val="18"/>
          <w:lang w:val="es-ES_tradnl"/>
        </w:rPr>
        <w:t>una vez que el proyecto de Protocolo se haya adoptado</w:t>
      </w:r>
      <w:r w:rsidR="00220E3C" w:rsidRPr="00C83BDF">
        <w:rPr>
          <w:rFonts w:cs="Arial"/>
          <w:sz w:val="18"/>
          <w:szCs w:val="18"/>
          <w:lang w:val="es-ES_tradnl"/>
        </w:rPr>
        <w:t xml:space="preserve">, </w:t>
      </w:r>
      <w:r w:rsidRPr="00C83BDF">
        <w:rPr>
          <w:rFonts w:cs="Arial"/>
          <w:sz w:val="18"/>
          <w:szCs w:val="18"/>
          <w:lang w:val="es-ES_tradnl"/>
        </w:rPr>
        <w:t>sin modificaciones</w:t>
      </w:r>
      <w:r w:rsidR="00220E3C" w:rsidRPr="00C83BDF">
        <w:rPr>
          <w:rFonts w:cs="Arial"/>
          <w:sz w:val="18"/>
          <w:szCs w:val="18"/>
          <w:lang w:val="es-ES_tradnl"/>
        </w:rPr>
        <w:t xml:space="preserve">, </w:t>
      </w:r>
      <w:r w:rsidRPr="00C83BDF">
        <w:rPr>
          <w:rFonts w:cs="Arial"/>
          <w:sz w:val="18"/>
          <w:szCs w:val="18"/>
          <w:lang w:val="es-ES_tradnl"/>
        </w:rPr>
        <w:t>y que el Protocolo esté en vigor</w:t>
      </w:r>
      <w:r w:rsidR="00220E3C" w:rsidRPr="00C83BDF">
        <w:rPr>
          <w:rFonts w:cs="Arial"/>
          <w:sz w:val="18"/>
          <w:szCs w:val="18"/>
          <w:lang w:val="es-ES_tradnl"/>
        </w:rPr>
        <w:t xml:space="preserve">, </w:t>
      </w:r>
      <w:r w:rsidRPr="00C83BDF">
        <w:rPr>
          <w:rFonts w:cs="Arial"/>
          <w:sz w:val="18"/>
          <w:szCs w:val="18"/>
          <w:lang w:val="es-ES_tradnl"/>
        </w:rPr>
        <w:t>depositar sus instrumentos de adhesión al Acta de 1991;</w:t>
      </w:r>
      <w:r w:rsidR="00D94EA2" w:rsidRPr="00C83BDF">
        <w:rPr>
          <w:rFonts w:cs="Arial"/>
          <w:sz w:val="18"/>
          <w:szCs w:val="18"/>
          <w:lang w:val="es-ES_tradnl"/>
        </w:rPr>
        <w:t xml:space="preserve">  </w:t>
      </w:r>
      <w:r w:rsidRPr="00C83BDF">
        <w:rPr>
          <w:rFonts w:cs="Arial"/>
          <w:sz w:val="18"/>
          <w:szCs w:val="18"/>
          <w:lang w:val="es-ES_tradnl"/>
        </w:rPr>
        <w:t>y</w:t>
      </w:r>
    </w:p>
    <w:p w:rsidR="00E65183" w:rsidRPr="00C83BDF" w:rsidRDefault="00E65183" w:rsidP="00E65183">
      <w:pPr>
        <w:ind w:left="567" w:right="567"/>
        <w:rPr>
          <w:rFonts w:cs="Arial"/>
          <w:sz w:val="18"/>
          <w:szCs w:val="18"/>
          <w:lang w:val="es-ES_tradnl"/>
        </w:rPr>
      </w:pPr>
    </w:p>
    <w:p w:rsidR="00E65183" w:rsidRPr="00C83BDF" w:rsidRDefault="00E65183" w:rsidP="00E65183">
      <w:pPr>
        <w:ind w:left="567" w:right="567"/>
        <w:rPr>
          <w:rFonts w:cs="Arial"/>
          <w:sz w:val="18"/>
          <w:szCs w:val="18"/>
          <w:lang w:val="es-ES_tradnl"/>
        </w:rPr>
      </w:pPr>
      <w:r w:rsidRPr="00C83BDF">
        <w:rPr>
          <w:rFonts w:cs="Arial"/>
          <w:sz w:val="18"/>
          <w:szCs w:val="18"/>
          <w:lang w:val="es-ES_tradnl"/>
        </w:rPr>
        <w:tab/>
      </w:r>
      <w:r w:rsidR="00827285" w:rsidRPr="00C83BDF">
        <w:rPr>
          <w:rFonts w:cs="Arial"/>
          <w:sz w:val="18"/>
          <w:szCs w:val="18"/>
          <w:lang w:val="es-ES_tradnl"/>
        </w:rPr>
        <w:t>d)</w:t>
      </w:r>
      <w:r w:rsidRPr="00C83BDF">
        <w:rPr>
          <w:rFonts w:cs="Arial"/>
          <w:sz w:val="18"/>
          <w:szCs w:val="18"/>
          <w:lang w:val="es-ES_tradnl"/>
        </w:rPr>
        <w:tab/>
      </w:r>
      <w:r w:rsidR="00827285" w:rsidRPr="00C83BDF">
        <w:rPr>
          <w:rFonts w:cs="Arial"/>
          <w:sz w:val="18"/>
          <w:szCs w:val="18"/>
          <w:lang w:val="es-ES_tradnl"/>
        </w:rPr>
        <w:t>autorizar al Secretario General a informar de esa decisión a la ARIPO.</w:t>
      </w:r>
      <w:r w:rsidRPr="00C83BDF">
        <w:rPr>
          <w:rFonts w:cs="Arial"/>
          <w:sz w:val="18"/>
          <w:szCs w:val="18"/>
          <w:lang w:val="es-ES_tradnl"/>
        </w:rPr>
        <w:t>”</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5F5738" w:rsidRPr="00C83BDF">
        <w:rPr>
          <w:szCs w:val="22"/>
          <w:lang w:val="es-ES_tradnl"/>
        </w:rPr>
        <w:t xml:space="preserve">El 18 de agosto de </w:t>
      </w:r>
      <w:r w:rsidR="00B04ED7" w:rsidRPr="00C83BDF">
        <w:rPr>
          <w:szCs w:val="22"/>
          <w:lang w:val="es-ES_tradnl"/>
        </w:rPr>
        <w:t>2014</w:t>
      </w:r>
      <w:r w:rsidR="00220E3C" w:rsidRPr="00C83BDF">
        <w:rPr>
          <w:szCs w:val="22"/>
          <w:lang w:val="es-ES_tradnl"/>
        </w:rPr>
        <w:t xml:space="preserve">, </w:t>
      </w:r>
      <w:r w:rsidR="00B04ED7" w:rsidRPr="00C83BDF">
        <w:rPr>
          <w:szCs w:val="22"/>
          <w:lang w:val="es-ES_tradnl"/>
        </w:rPr>
        <w:t>el Secretario General recibió una</w:t>
      </w:r>
      <w:r w:rsidR="005F5738" w:rsidRPr="00C83BDF">
        <w:rPr>
          <w:szCs w:val="22"/>
          <w:lang w:val="es-ES_tradnl"/>
        </w:rPr>
        <w:t xml:space="preserve"> carta de la Excma. Sra. Sophia </w:t>
      </w:r>
      <w:r w:rsidR="00B04ED7" w:rsidRPr="00C83BDF">
        <w:rPr>
          <w:szCs w:val="22"/>
          <w:lang w:val="es-ES_tradnl"/>
        </w:rPr>
        <w:t>E.</w:t>
      </w:r>
      <w:r w:rsidR="00842604" w:rsidRPr="00C83BDF">
        <w:rPr>
          <w:szCs w:val="22"/>
          <w:lang w:val="es-ES_tradnl"/>
        </w:rPr>
        <w:t> </w:t>
      </w:r>
      <w:r w:rsidR="00B04ED7" w:rsidRPr="00C83BDF">
        <w:rPr>
          <w:szCs w:val="22"/>
          <w:lang w:val="es-ES_tradnl"/>
        </w:rPr>
        <w:t>Kaduma</w:t>
      </w:r>
      <w:r w:rsidR="00220E3C" w:rsidRPr="00C83BDF">
        <w:rPr>
          <w:szCs w:val="22"/>
          <w:lang w:val="es-ES_tradnl"/>
        </w:rPr>
        <w:t xml:space="preserve">, </w:t>
      </w:r>
      <w:r w:rsidR="00B04ED7" w:rsidRPr="00C83BDF">
        <w:rPr>
          <w:szCs w:val="22"/>
          <w:lang w:val="es-ES_tradnl"/>
        </w:rPr>
        <w:t>Secretaria Permanente del Ministerio de Agricultura</w:t>
      </w:r>
      <w:r w:rsidR="00220E3C" w:rsidRPr="00C83BDF">
        <w:rPr>
          <w:szCs w:val="22"/>
          <w:lang w:val="es-ES_tradnl"/>
        </w:rPr>
        <w:t xml:space="preserve">, </w:t>
      </w:r>
      <w:r w:rsidR="00B04ED7" w:rsidRPr="00C83BDF">
        <w:rPr>
          <w:szCs w:val="22"/>
          <w:lang w:val="es-ES_tradnl"/>
        </w:rPr>
        <w:t>Seguridad Alimentaria y Cooperativas de la República Unida de Tanzanía</w:t>
      </w:r>
      <w:r w:rsidR="00220E3C" w:rsidRPr="00C83BDF">
        <w:rPr>
          <w:szCs w:val="22"/>
          <w:lang w:val="es-ES_tradnl"/>
        </w:rPr>
        <w:t xml:space="preserve">, </w:t>
      </w:r>
      <w:r w:rsidR="00B04ED7" w:rsidRPr="00C83BDF">
        <w:rPr>
          <w:szCs w:val="22"/>
          <w:lang w:val="es-ES_tradnl"/>
        </w:rPr>
        <w:t>en la que se le comunicaba que</w:t>
      </w:r>
      <w:r w:rsidR="00220E3C" w:rsidRPr="00C83BDF">
        <w:rPr>
          <w:szCs w:val="22"/>
          <w:lang w:val="es-ES_tradnl"/>
        </w:rPr>
        <w:t xml:space="preserve">, </w:t>
      </w:r>
      <w:r w:rsidR="00B04ED7" w:rsidRPr="00C83BDF">
        <w:rPr>
          <w:szCs w:val="22"/>
          <w:lang w:val="es-ES_tradnl"/>
        </w:rPr>
        <w:t>el 22 de enero de 2014</w:t>
      </w:r>
      <w:r w:rsidR="00220E3C" w:rsidRPr="00C83BDF">
        <w:rPr>
          <w:szCs w:val="22"/>
          <w:lang w:val="es-ES_tradnl"/>
        </w:rPr>
        <w:t xml:space="preserve">, </w:t>
      </w:r>
      <w:r w:rsidR="00B04ED7" w:rsidRPr="00C83BDF">
        <w:rPr>
          <w:szCs w:val="22"/>
          <w:lang w:val="es-ES_tradnl"/>
        </w:rPr>
        <w:t>la Cámara de Representantes de Zanzíbar adoptó la Ley de 2014 de Derechos de Obtentor de Zanzíbar</w:t>
      </w:r>
      <w:r w:rsidR="00220E3C" w:rsidRPr="00C83BDF">
        <w:rPr>
          <w:szCs w:val="22"/>
          <w:lang w:val="es-ES_tradnl"/>
        </w:rPr>
        <w:t xml:space="preserve">, </w:t>
      </w:r>
      <w:r w:rsidR="00B04ED7" w:rsidRPr="00C83BDF">
        <w:rPr>
          <w:szCs w:val="22"/>
          <w:lang w:val="es-ES_tradnl"/>
        </w:rPr>
        <w:t>y que</w:t>
      </w:r>
      <w:r w:rsidR="00220E3C" w:rsidRPr="00C83BDF">
        <w:rPr>
          <w:szCs w:val="22"/>
          <w:lang w:val="es-ES_tradnl"/>
        </w:rPr>
        <w:t xml:space="preserve">, </w:t>
      </w:r>
      <w:r w:rsidR="00B04ED7" w:rsidRPr="00C83BDF">
        <w:rPr>
          <w:szCs w:val="22"/>
          <w:lang w:val="es-ES_tradnl"/>
        </w:rPr>
        <w:t>durante el procedimiento de adopción de la Ley</w:t>
      </w:r>
      <w:r w:rsidR="00220E3C" w:rsidRPr="00C83BDF">
        <w:rPr>
          <w:szCs w:val="22"/>
          <w:lang w:val="es-ES_tradnl"/>
        </w:rPr>
        <w:t xml:space="preserve">, </w:t>
      </w:r>
      <w:r w:rsidR="00B04ED7" w:rsidRPr="00C83BDF">
        <w:rPr>
          <w:szCs w:val="22"/>
          <w:lang w:val="es-ES_tradnl"/>
        </w:rPr>
        <w:t>se introdujeron cambios adicionales que no formaban parte de la decisión del Consejo de la UPOV de 22 de marzo de 2013</w:t>
      </w:r>
      <w:r w:rsidR="00827285" w:rsidRPr="00C83BDF">
        <w:rPr>
          <w:szCs w:val="22"/>
          <w:lang w:val="es-ES_tradnl"/>
        </w:rPr>
        <w:t xml:space="preserve"> (</w:t>
      </w:r>
      <w:r w:rsidR="00827285" w:rsidRPr="00C83BDF">
        <w:rPr>
          <w:lang w:val="es-ES_tradnl"/>
        </w:rPr>
        <w:t xml:space="preserve">véase el </w:t>
      </w:r>
      <w:r w:rsidR="00B04ED7" w:rsidRPr="00C83BDF">
        <w:rPr>
          <w:lang w:val="es-ES_tradnl"/>
        </w:rPr>
        <w:t xml:space="preserve">párrafo 13 del </w:t>
      </w:r>
      <w:r w:rsidR="00827285" w:rsidRPr="00C83BDF">
        <w:rPr>
          <w:lang w:val="es-ES_tradnl"/>
        </w:rPr>
        <w:t>documento C(Extr.)/30/8 “Informe”)</w:t>
      </w:r>
      <w:r w:rsidR="00827285" w:rsidRPr="00C83BDF">
        <w:rPr>
          <w:szCs w:val="22"/>
          <w:lang w:val="es-ES_tradnl"/>
        </w:rPr>
        <w:t>.</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220E3C" w:rsidRPr="00C83BDF">
        <w:rPr>
          <w:lang w:val="es-ES_tradnl"/>
        </w:rPr>
        <w:t>En su cuadragésima octava sesión ordinaria, celebrada en Ginebra el 16 de octubre de 2014, el Consejo</w:t>
      </w:r>
      <w:r w:rsidR="00220E3C" w:rsidRPr="00C83BDF">
        <w:rPr>
          <w:szCs w:val="22"/>
          <w:lang w:val="es-ES_tradnl"/>
        </w:rPr>
        <w:t xml:space="preserve"> </w:t>
      </w:r>
      <w:r w:rsidR="00A75198" w:rsidRPr="00C83BDF">
        <w:rPr>
          <w:lang w:val="es-ES_tradnl"/>
        </w:rPr>
        <w:t>examinó las novedades relativas a la Ley de Derechos de Obtentor de Zanzíbar, en relación con su decisión del 22 de marzo de 2013</w:t>
      </w:r>
      <w:r w:rsidR="00220E3C" w:rsidRPr="00C83BDF">
        <w:rPr>
          <w:szCs w:val="22"/>
          <w:lang w:val="es-ES_tradnl"/>
        </w:rPr>
        <w:t xml:space="preserve">, </w:t>
      </w:r>
      <w:r w:rsidR="00A75198" w:rsidRPr="00C83BDF">
        <w:rPr>
          <w:lang w:val="es-ES_tradnl"/>
        </w:rPr>
        <w:t>y decidió</w:t>
      </w:r>
      <w:r w:rsidR="00220E3C" w:rsidRPr="00C83BDF">
        <w:rPr>
          <w:lang w:val="es-ES_tradnl"/>
        </w:rPr>
        <w:t>:</w:t>
      </w:r>
      <w:r w:rsidR="00E65183" w:rsidRPr="00C83BDF">
        <w:rPr>
          <w:lang w:val="es-ES_tradnl"/>
        </w:rPr>
        <w:t xml:space="preserve"> </w:t>
      </w:r>
    </w:p>
    <w:p w:rsidR="00E65183" w:rsidRPr="00C83BDF" w:rsidRDefault="00E65183" w:rsidP="00E65183">
      <w:pPr>
        <w:rPr>
          <w:lang w:val="es-ES_tradnl"/>
        </w:rPr>
      </w:pPr>
    </w:p>
    <w:p w:rsidR="00E65183" w:rsidRPr="00C83BDF" w:rsidRDefault="00E65183" w:rsidP="00E65183">
      <w:pPr>
        <w:ind w:left="567" w:right="567"/>
        <w:rPr>
          <w:sz w:val="18"/>
          <w:lang w:val="es-ES_tradnl"/>
        </w:rPr>
      </w:pPr>
      <w:r w:rsidRPr="00C83BDF">
        <w:rPr>
          <w:sz w:val="18"/>
          <w:lang w:val="es-ES_tradnl"/>
        </w:rPr>
        <w:tab/>
      </w:r>
      <w:r w:rsidR="00A75198" w:rsidRPr="00C83BDF">
        <w:rPr>
          <w:sz w:val="18"/>
          <w:lang w:val="es-ES_tradnl"/>
        </w:rPr>
        <w:t>“a)</w:t>
      </w:r>
      <w:r w:rsidRPr="00C83BDF">
        <w:rPr>
          <w:sz w:val="18"/>
          <w:lang w:val="es-ES_tradnl"/>
        </w:rPr>
        <w:tab/>
      </w:r>
      <w:r w:rsidR="00A75198" w:rsidRPr="00C83BDF">
        <w:rPr>
          <w:sz w:val="18"/>
          <w:lang w:val="es-ES_tradnl"/>
        </w:rPr>
        <w:t>tomar nota de que la Ley de Derechos de Obtentor de Zanzíbar, que fue adoptada por la Cámara de Representantes de Zanzíbar, incorpora los cambios contenidos en la decisión del Consejo de 22 de marzo de 2013 (véase el párrafo 13 del documento C(Extr.)/30/8 “Informe” y el párrafo 2 del documento C/48/18);</w:t>
      </w:r>
    </w:p>
    <w:p w:rsidR="00E65183" w:rsidRPr="00C83BDF" w:rsidRDefault="00E65183" w:rsidP="00E65183">
      <w:pPr>
        <w:ind w:left="567" w:right="567"/>
        <w:rPr>
          <w:sz w:val="18"/>
          <w:lang w:val="es-ES_tradnl"/>
        </w:rPr>
      </w:pPr>
    </w:p>
    <w:p w:rsidR="00E65183" w:rsidRPr="00C83BDF" w:rsidRDefault="00E65183" w:rsidP="00E65183">
      <w:pPr>
        <w:ind w:left="567" w:right="567"/>
        <w:rPr>
          <w:spacing w:val="-2"/>
          <w:sz w:val="18"/>
          <w:lang w:val="es-ES_tradnl"/>
        </w:rPr>
      </w:pPr>
      <w:r w:rsidRPr="00C83BDF">
        <w:rPr>
          <w:spacing w:val="-2"/>
          <w:sz w:val="18"/>
          <w:lang w:val="es-ES_tradnl"/>
        </w:rPr>
        <w:tab/>
      </w:r>
      <w:r w:rsidR="00A75198" w:rsidRPr="00C83BDF">
        <w:rPr>
          <w:spacing w:val="-2"/>
          <w:sz w:val="18"/>
          <w:lang w:val="es-ES_tradnl"/>
        </w:rPr>
        <w:t>b)</w:t>
      </w:r>
      <w:r w:rsidRPr="00C83BDF">
        <w:rPr>
          <w:spacing w:val="-2"/>
          <w:sz w:val="18"/>
          <w:lang w:val="es-ES_tradnl"/>
        </w:rPr>
        <w:tab/>
      </w:r>
      <w:r w:rsidR="00A75198" w:rsidRPr="00C83BDF">
        <w:rPr>
          <w:spacing w:val="-2"/>
          <w:sz w:val="18"/>
          <w:lang w:val="es-ES_tradnl"/>
        </w:rPr>
        <w:t>acordar que los cambios adicionales que se exponen en el Anexo II del documento C/48/18 no afectan a las disposiciones sustantivas del Acta de 1991 del Convenio de la UPOV;</w:t>
      </w:r>
      <w:r w:rsidRPr="00C83BDF">
        <w:rPr>
          <w:spacing w:val="-2"/>
          <w:sz w:val="18"/>
          <w:lang w:val="es-ES_tradnl"/>
        </w:rPr>
        <w:t xml:space="preserve">  </w:t>
      </w:r>
      <w:r w:rsidR="00A75198" w:rsidRPr="00C83BDF">
        <w:rPr>
          <w:spacing w:val="-2"/>
          <w:sz w:val="18"/>
          <w:lang w:val="es-ES_tradnl"/>
        </w:rPr>
        <w:t>y</w:t>
      </w:r>
      <w:r w:rsidRPr="00C83BDF">
        <w:rPr>
          <w:spacing w:val="-2"/>
          <w:sz w:val="18"/>
          <w:lang w:val="es-ES_tradnl"/>
        </w:rPr>
        <w:t xml:space="preserve"> </w:t>
      </w:r>
    </w:p>
    <w:p w:rsidR="00E65183" w:rsidRPr="00C83BDF" w:rsidRDefault="00E65183" w:rsidP="00E65183">
      <w:pPr>
        <w:ind w:left="567" w:right="567"/>
        <w:rPr>
          <w:spacing w:val="-2"/>
          <w:sz w:val="18"/>
          <w:lang w:val="es-ES_tradnl"/>
        </w:rPr>
      </w:pPr>
    </w:p>
    <w:p w:rsidR="00E65183" w:rsidRPr="00C83BDF" w:rsidRDefault="00E65183" w:rsidP="00E65183">
      <w:pPr>
        <w:ind w:left="567" w:right="567"/>
        <w:rPr>
          <w:spacing w:val="-2"/>
          <w:sz w:val="18"/>
          <w:lang w:val="es-ES_tradnl"/>
        </w:rPr>
      </w:pPr>
      <w:r w:rsidRPr="00C83BDF">
        <w:rPr>
          <w:spacing w:val="-2"/>
          <w:sz w:val="18"/>
          <w:lang w:val="es-ES_tradnl"/>
        </w:rPr>
        <w:tab/>
      </w:r>
      <w:r w:rsidR="00A75198" w:rsidRPr="00C83BDF">
        <w:rPr>
          <w:spacing w:val="-2"/>
          <w:sz w:val="18"/>
          <w:lang w:val="es-ES_tradnl"/>
        </w:rPr>
        <w:t>c)</w:t>
      </w:r>
      <w:r w:rsidRPr="00C83BDF">
        <w:rPr>
          <w:spacing w:val="-2"/>
          <w:sz w:val="18"/>
          <w:lang w:val="es-ES_tradnl"/>
        </w:rPr>
        <w:tab/>
      </w:r>
      <w:r w:rsidR="00A75198" w:rsidRPr="00C83BDF">
        <w:rPr>
          <w:spacing w:val="-2"/>
          <w:sz w:val="18"/>
          <w:lang w:val="es-ES_tradnl"/>
        </w:rPr>
        <w:t>confirmar la decisión sobre la conformidad de 22 de marzo de 2013 y comunicar al Gobierno de la República Unida de Tanzanía que el instrumento de adhesión de la República Unida de Tanzanía podrá ser depositado.</w:t>
      </w:r>
      <w:r w:rsidRPr="00C83BDF">
        <w:rPr>
          <w:spacing w:val="-2"/>
          <w:sz w:val="18"/>
          <w:lang w:val="es-ES_tradnl"/>
        </w:rPr>
        <w:t>”</w:t>
      </w:r>
    </w:p>
    <w:p w:rsidR="00E65183" w:rsidRPr="00C83BDF" w:rsidRDefault="00E65183" w:rsidP="00E65183">
      <w:pPr>
        <w:rPr>
          <w:lang w:val="es-ES_tradnl"/>
        </w:rPr>
      </w:pPr>
    </w:p>
    <w:p w:rsidR="00E65183" w:rsidRPr="00C83BDF" w:rsidRDefault="00E65183" w:rsidP="00E65183">
      <w:pPr>
        <w:rPr>
          <w:lang w:val="es-ES_tradnl"/>
        </w:rPr>
      </w:pPr>
    </w:p>
    <w:p w:rsidR="00E65183" w:rsidRPr="00C83BDF" w:rsidRDefault="00E65183" w:rsidP="00E65183">
      <w:pPr>
        <w:rPr>
          <w:lang w:val="es-ES_tradnl"/>
        </w:rPr>
      </w:pPr>
    </w:p>
    <w:p w:rsidR="00E65183" w:rsidRPr="00C83BDF" w:rsidRDefault="00A75198" w:rsidP="00E65183">
      <w:pPr>
        <w:pStyle w:val="Heading1"/>
        <w:rPr>
          <w:lang w:val="es-ES_tradnl"/>
        </w:rPr>
      </w:pPr>
      <w:bookmarkStart w:id="9" w:name="_Toc431567587"/>
      <w:r w:rsidRPr="00C83BDF">
        <w:rPr>
          <w:lang w:val="es-ES_tradnl"/>
        </w:rPr>
        <w:t>II.</w:t>
      </w:r>
      <w:r w:rsidR="00E65183" w:rsidRPr="00C83BDF">
        <w:rPr>
          <w:lang w:val="es-ES_tradnl"/>
        </w:rPr>
        <w:tab/>
      </w:r>
      <w:r w:rsidRPr="00C83BDF">
        <w:rPr>
          <w:lang w:val="es-ES_tradnl"/>
        </w:rPr>
        <w:t>SESIONES DEL CONSEJO Y DE SUS ÓRGANOS SUBSIDIARIOS</w:t>
      </w:r>
      <w:bookmarkEnd w:id="9"/>
    </w:p>
    <w:p w:rsidR="00E65183" w:rsidRPr="00C83BDF" w:rsidRDefault="00E65183" w:rsidP="00E65183">
      <w:pPr>
        <w:keepNext/>
        <w:rPr>
          <w:lang w:val="es-ES_tradnl"/>
        </w:rPr>
      </w:pPr>
    </w:p>
    <w:p w:rsidR="00E65183" w:rsidRPr="00C83BDF" w:rsidRDefault="00A75198" w:rsidP="00E65183">
      <w:pPr>
        <w:pStyle w:val="Heading2"/>
        <w:rPr>
          <w:lang w:val="es-ES_tradnl"/>
        </w:rPr>
      </w:pPr>
      <w:bookmarkStart w:id="10" w:name="_Toc431567588"/>
      <w:r w:rsidRPr="00C83BDF">
        <w:rPr>
          <w:lang w:val="es-ES_tradnl"/>
        </w:rPr>
        <w:t>Consejo</w:t>
      </w:r>
      <w:bookmarkEnd w:id="10"/>
    </w:p>
    <w:p w:rsidR="00E65183" w:rsidRPr="00C83BDF" w:rsidRDefault="00E65183" w:rsidP="00E65183">
      <w:pPr>
        <w:keepNext/>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E937BA" w:rsidRPr="00C83BDF">
        <w:rPr>
          <w:lang w:val="es-ES_tradnl"/>
        </w:rPr>
        <w:t>El Consejo celebró su trigésima primera sesión extraordinaria el 11 de abril de 2014, bajo la presidencia de la Sra. Kitisri Sukhapinda (Estados Unidos de América), Presidenta del Consejo.</w:t>
      </w:r>
      <w:r w:rsidR="00E65183" w:rsidRPr="00C83BDF">
        <w:rPr>
          <w:lang w:val="es-ES_tradnl"/>
        </w:rPr>
        <w:t xml:space="preserve">  </w:t>
      </w:r>
      <w:r w:rsidR="00E937BA" w:rsidRPr="00C83BDF">
        <w:rPr>
          <w:lang w:val="es-ES_tradnl"/>
        </w:rPr>
        <w:t>Asistieron a la sesión 38 miembros de la Unión, además de un Estado y cinco organizaciones en calidad de observadores.</w:t>
      </w:r>
      <w:r w:rsidR="00E65183" w:rsidRPr="00C83BDF">
        <w:rPr>
          <w:lang w:val="es-ES_tradnl"/>
        </w:rPr>
        <w:t xml:space="preserve">  </w:t>
      </w:r>
      <w:r w:rsidR="00E937BA" w:rsidRPr="00C83BDF">
        <w:rPr>
          <w:lang w:val="es-ES_tradnl"/>
        </w:rPr>
        <w:t>El informe de esa sesión se recoge en el documento C(Extr.)/31/6.</w:t>
      </w:r>
      <w:r w:rsidR="00E65183" w:rsidRPr="00C83BDF">
        <w:rPr>
          <w:lang w:val="es-ES_tradnl"/>
        </w:rPr>
        <w:t xml:space="preserve">  </w:t>
      </w:r>
      <w:r w:rsidR="00E937BA" w:rsidRPr="00C83BDF">
        <w:rPr>
          <w:lang w:val="es-ES_tradnl"/>
        </w:rPr>
        <w:t>En dicha sesión, el Consejo:</w:t>
      </w:r>
    </w:p>
    <w:p w:rsidR="00E65183" w:rsidRPr="00C83BDF" w:rsidRDefault="00E65183" w:rsidP="00E65183">
      <w:pPr>
        <w:rPr>
          <w:lang w:val="es-ES_tradnl"/>
        </w:rPr>
      </w:pPr>
    </w:p>
    <w:p w:rsidR="00E65183" w:rsidRPr="00C83BDF" w:rsidRDefault="00E65183" w:rsidP="00E65183">
      <w:pPr>
        <w:rPr>
          <w:rFonts w:cs="Arial"/>
          <w:lang w:val="es-ES_tradnl"/>
        </w:rPr>
      </w:pPr>
      <w:r w:rsidRPr="00C83BDF">
        <w:rPr>
          <w:lang w:val="es-ES_tradnl"/>
        </w:rPr>
        <w:tab/>
      </w:r>
      <w:r w:rsidR="00E937BA" w:rsidRPr="00C83BDF">
        <w:rPr>
          <w:lang w:val="es-ES_tradnl"/>
        </w:rPr>
        <w:t>a)</w:t>
      </w:r>
      <w:r w:rsidRPr="00C83BDF">
        <w:rPr>
          <w:lang w:val="es-ES_tradnl"/>
        </w:rPr>
        <w:tab/>
      </w:r>
      <w:r w:rsidR="00E937BA" w:rsidRPr="00C83BDF">
        <w:rPr>
          <w:lang w:val="es-ES_tradnl"/>
        </w:rPr>
        <w:t>examinó la conformidad del proyecto de Protocolo de la ARIPO para la Protección de las Obtenciones Vegetales con el Acta de 1991 del Convenio de la UPOV;</w:t>
      </w:r>
    </w:p>
    <w:p w:rsidR="00E65183" w:rsidRPr="00C83BDF" w:rsidRDefault="00E65183" w:rsidP="00E65183">
      <w:pPr>
        <w:rPr>
          <w:rFonts w:cs="Arial"/>
          <w:lang w:val="es-ES_tradnl"/>
        </w:rPr>
      </w:pPr>
    </w:p>
    <w:p w:rsidR="00E65183" w:rsidRPr="00C83BDF" w:rsidRDefault="00E65183" w:rsidP="00E65183">
      <w:pPr>
        <w:rPr>
          <w:lang w:val="es-ES_tradnl"/>
        </w:rPr>
      </w:pPr>
      <w:r w:rsidRPr="00C83BDF">
        <w:rPr>
          <w:rFonts w:cs="Arial"/>
          <w:lang w:val="es-ES_tradnl"/>
        </w:rPr>
        <w:tab/>
      </w:r>
      <w:r w:rsidR="00E937BA" w:rsidRPr="00C83BDF">
        <w:rPr>
          <w:rFonts w:cs="Arial"/>
          <w:lang w:val="es-ES_tradnl"/>
        </w:rPr>
        <w:t>b)</w:t>
      </w:r>
      <w:r w:rsidRPr="00C83BDF">
        <w:rPr>
          <w:rFonts w:cs="Arial"/>
          <w:lang w:val="es-ES_tradnl"/>
        </w:rPr>
        <w:tab/>
      </w:r>
      <w:r w:rsidR="00E937BA" w:rsidRPr="00C83BDF">
        <w:rPr>
          <w:snapToGrid w:val="0"/>
          <w:lang w:val="es-ES_tradnl"/>
        </w:rPr>
        <w:t>aprobó una modificación del calendario de reuniones previstas para 2014 y la correspondiente revisión del documento C/47/8 Rev. “Calendario revisado de reuniones para 2014”;</w:t>
      </w:r>
    </w:p>
    <w:p w:rsidR="00E65183" w:rsidRPr="00C83BDF" w:rsidRDefault="00E65183" w:rsidP="00E65183">
      <w:pPr>
        <w:rPr>
          <w:lang w:val="es-ES_tradnl"/>
        </w:rPr>
      </w:pPr>
    </w:p>
    <w:p w:rsidR="00E65183" w:rsidRPr="00C83BDF" w:rsidRDefault="00E65183" w:rsidP="00E65183">
      <w:pPr>
        <w:rPr>
          <w:snapToGrid w:val="0"/>
          <w:lang w:val="es-ES_tradnl"/>
        </w:rPr>
      </w:pPr>
      <w:r w:rsidRPr="00C83BDF">
        <w:rPr>
          <w:lang w:val="es-ES_tradnl"/>
        </w:rPr>
        <w:tab/>
      </w:r>
      <w:r w:rsidR="00E937BA" w:rsidRPr="00C83BDF">
        <w:rPr>
          <w:lang w:val="es-ES_tradnl"/>
        </w:rPr>
        <w:t>c)</w:t>
      </w:r>
      <w:r w:rsidRPr="00C83BDF">
        <w:rPr>
          <w:lang w:val="es-ES_tradnl"/>
        </w:rPr>
        <w:tab/>
      </w:r>
      <w:r w:rsidR="00E937BA" w:rsidRPr="00C83BDF">
        <w:rPr>
          <w:lang w:val="es-ES_tradnl"/>
        </w:rPr>
        <w:t>adoptó las respuestas a las preguntas frecuentes que figuran en el Anexo del documento C(Extr.)/31/3;</w:t>
      </w:r>
    </w:p>
    <w:p w:rsidR="00E65183" w:rsidRPr="00C83BDF" w:rsidRDefault="00E65183" w:rsidP="00E65183">
      <w:pPr>
        <w:rPr>
          <w:lang w:val="es-ES_tradnl"/>
        </w:rPr>
      </w:pPr>
    </w:p>
    <w:p w:rsidR="00E65183" w:rsidRPr="00C83BDF" w:rsidRDefault="00E65183" w:rsidP="00E65183">
      <w:pPr>
        <w:rPr>
          <w:lang w:val="es-ES_tradnl"/>
        </w:rPr>
      </w:pPr>
      <w:r w:rsidRPr="00C83BDF">
        <w:rPr>
          <w:lang w:val="es-ES_tradnl"/>
        </w:rPr>
        <w:tab/>
      </w:r>
      <w:r w:rsidR="00E937BA" w:rsidRPr="00C83BDF">
        <w:rPr>
          <w:lang w:val="es-ES_tradnl"/>
        </w:rPr>
        <w:t>d)</w:t>
      </w:r>
      <w:r w:rsidRPr="00C83BDF">
        <w:rPr>
          <w:lang w:val="es-ES_tradnl"/>
        </w:rPr>
        <w:tab/>
      </w:r>
      <w:r w:rsidR="005E721D" w:rsidRPr="00C83BDF">
        <w:rPr>
          <w:lang w:val="es-ES_tradnl"/>
        </w:rPr>
        <w:t>decidió crear una cuenta especial de la UPOV para financiar proyectos extrapresupuestarios acordados por el Consejo (Cuenta de proyectos) y transferir a esa cuenta el importe del fondo de reserva que supere el</w:t>
      </w:r>
      <w:r w:rsidR="0037019B" w:rsidRPr="00C83BDF">
        <w:rPr>
          <w:lang w:val="es-ES_tradnl"/>
        </w:rPr>
        <w:t> </w:t>
      </w:r>
      <w:r w:rsidR="005E721D" w:rsidRPr="00C83BDF">
        <w:rPr>
          <w:lang w:val="es-ES_tradnl"/>
        </w:rPr>
        <w:t>15% de los ingresos totales del bienio 2012</w:t>
      </w:r>
      <w:r w:rsidR="0037019B" w:rsidRPr="00C83BDF">
        <w:rPr>
          <w:lang w:val="es-ES_tradnl"/>
        </w:rPr>
        <w:noBreakHyphen/>
      </w:r>
      <w:r w:rsidR="005E721D" w:rsidRPr="00C83BDF">
        <w:rPr>
          <w:lang w:val="es-ES_tradnl"/>
        </w:rPr>
        <w:t>2013;</w:t>
      </w:r>
    </w:p>
    <w:p w:rsidR="00E65183" w:rsidRPr="00C83BDF" w:rsidRDefault="00E65183" w:rsidP="00E65183">
      <w:pPr>
        <w:rPr>
          <w:lang w:val="es-ES_tradnl"/>
        </w:rPr>
      </w:pPr>
    </w:p>
    <w:p w:rsidR="00E65183" w:rsidRPr="00C83BDF" w:rsidRDefault="00E65183" w:rsidP="00E65183">
      <w:pPr>
        <w:rPr>
          <w:lang w:val="es-ES_tradnl"/>
        </w:rPr>
      </w:pPr>
      <w:r w:rsidRPr="00C83BDF">
        <w:rPr>
          <w:lang w:val="es-ES_tradnl"/>
        </w:rPr>
        <w:tab/>
      </w:r>
      <w:r w:rsidR="0037019B" w:rsidRPr="00C83BDF">
        <w:rPr>
          <w:lang w:val="es-ES_tradnl"/>
        </w:rPr>
        <w:t>e)</w:t>
      </w:r>
      <w:r w:rsidRPr="00C83BDF">
        <w:rPr>
          <w:lang w:val="es-ES_tradnl"/>
        </w:rPr>
        <w:tab/>
      </w:r>
      <w:r w:rsidR="0037019B" w:rsidRPr="00C83BDF">
        <w:rPr>
          <w:snapToGrid w:val="0"/>
          <w:lang w:val="es-ES_tradnl"/>
        </w:rPr>
        <w:t>transmitió su reconocimiento al Órgano Rector del Tratado Internacional sobre los Recursos Fitogenéticos para la Alimentación y la Agricultura (ITPGRFA) por el agradecimiento manifestado a la UPOV en relación con el apoyo práctico que la Unión había prestado al ITPGRFA y el Consejo confirmó que mantendrá su compromiso con el apoyo mutuo.</w:t>
      </w:r>
      <w:r w:rsidRPr="00C83BDF">
        <w:rPr>
          <w:snapToGrid w:val="0"/>
          <w:lang w:val="es-ES_tradnl"/>
        </w:rPr>
        <w:t xml:space="preserve">  </w:t>
      </w:r>
      <w:r w:rsidR="0037019B" w:rsidRPr="00C83BDF">
        <w:rPr>
          <w:snapToGrid w:val="0"/>
          <w:lang w:val="es-ES_tradnl"/>
        </w:rPr>
        <w:t>En respuesta a una invitación del Órgano Rector a determinar, junto con el Secretario del ITPGRFA y la Secretaría de la Organización Mundial de la Propiedad Intelectual (OMPI), las posibles esferas de interrelación de los instrumentos internacionales del ITPGRFA, la OMPI y la UPOV, el Consejo decidió analizar la idea de elaborar una publicación conjunta sobre las cuestiones interrelacionadas en lo que concierne a la innovación y los recursos fitogenéticos y otras iniciativas apropiadas;</w:t>
      </w:r>
    </w:p>
    <w:p w:rsidR="00E65183" w:rsidRPr="00C83BDF" w:rsidRDefault="00E65183" w:rsidP="00E65183">
      <w:pPr>
        <w:rPr>
          <w:lang w:val="es-ES_tradnl"/>
        </w:rPr>
      </w:pPr>
    </w:p>
    <w:p w:rsidR="00E65183" w:rsidRPr="00C83BDF" w:rsidRDefault="00E65183" w:rsidP="00E65183">
      <w:pPr>
        <w:rPr>
          <w:lang w:val="es-ES_tradnl"/>
        </w:rPr>
      </w:pPr>
      <w:r w:rsidRPr="00C83BDF">
        <w:rPr>
          <w:lang w:val="es-ES_tradnl"/>
        </w:rPr>
        <w:tab/>
      </w:r>
      <w:r w:rsidR="0037019B" w:rsidRPr="00C83BDF">
        <w:rPr>
          <w:lang w:val="es-ES_tradnl"/>
        </w:rPr>
        <w:t>f)</w:t>
      </w:r>
      <w:r w:rsidRPr="00C83BDF">
        <w:rPr>
          <w:lang w:val="es-ES_tradnl"/>
        </w:rPr>
        <w:tab/>
      </w:r>
      <w:r w:rsidR="0037019B" w:rsidRPr="00C83BDF">
        <w:rPr>
          <w:lang w:val="es-ES_tradnl"/>
        </w:rPr>
        <w:t>tomó nota de la labor del Comité Consultivo en su octogésima séptima sesión, celebrada el 11 de abril de 2014, tal como se expone en el documento C(Extr.)/31/3;</w:t>
      </w:r>
      <w:r w:rsidR="00D94EA2" w:rsidRPr="00C83BDF">
        <w:rPr>
          <w:lang w:val="es-ES_tradnl"/>
        </w:rPr>
        <w:t xml:space="preserve">  </w:t>
      </w:r>
      <w:r w:rsidR="0037019B" w:rsidRPr="00C83BDF">
        <w:rPr>
          <w:lang w:val="es-ES_tradnl"/>
        </w:rPr>
        <w:t>y</w:t>
      </w:r>
    </w:p>
    <w:p w:rsidR="00E65183" w:rsidRPr="00C83BDF" w:rsidRDefault="00E65183" w:rsidP="00E65183">
      <w:pPr>
        <w:rPr>
          <w:lang w:val="es-ES_tradnl"/>
        </w:rPr>
      </w:pPr>
    </w:p>
    <w:p w:rsidR="00E65183" w:rsidRPr="00C83BDF" w:rsidRDefault="00E65183" w:rsidP="00E65183">
      <w:pPr>
        <w:rPr>
          <w:lang w:val="es-ES_tradnl"/>
        </w:rPr>
      </w:pPr>
      <w:r w:rsidRPr="00C83BDF">
        <w:rPr>
          <w:lang w:val="es-ES_tradnl"/>
        </w:rPr>
        <w:tab/>
      </w:r>
      <w:r w:rsidR="0037019B" w:rsidRPr="00C83BDF">
        <w:rPr>
          <w:lang w:val="es-ES_tradnl"/>
        </w:rPr>
        <w:t>g)</w:t>
      </w:r>
      <w:r w:rsidRPr="00C83BDF">
        <w:rPr>
          <w:lang w:val="es-ES_tradnl"/>
        </w:rPr>
        <w:tab/>
      </w:r>
      <w:r w:rsidR="0037019B" w:rsidRPr="00C83BDF">
        <w:rPr>
          <w:lang w:val="es-ES_tradnl"/>
        </w:rPr>
        <w:t>examinó y aprobó un borrador de comunicado de prensa.</w:t>
      </w:r>
    </w:p>
    <w:p w:rsidR="00E65183" w:rsidRPr="00C83BDF" w:rsidRDefault="00E65183" w:rsidP="00E65183">
      <w:pPr>
        <w:rPr>
          <w:lang w:val="es-ES_tradnl"/>
        </w:rPr>
      </w:pPr>
    </w:p>
    <w:p w:rsidR="00E65183" w:rsidRPr="00C83BDF" w:rsidRDefault="00082242" w:rsidP="00E65183">
      <w:pPr>
        <w:ind w:right="-1"/>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37019B" w:rsidRPr="00C83BDF">
        <w:rPr>
          <w:lang w:val="es-ES_tradnl"/>
        </w:rPr>
        <w:t xml:space="preserve">El Consejo celebró su cuadragésima octava sesión ordinaria el 16 de octubre de 2014, bajo la presidencia de la Sra. Kitisri Sukhapinda </w:t>
      </w:r>
      <w:r w:rsidR="0037019B" w:rsidRPr="00C83BDF">
        <w:rPr>
          <w:lang w:val="es-ES_tradnl" w:eastAsia="fr-FR"/>
        </w:rPr>
        <w:t>(Estados Unidos de América)</w:t>
      </w:r>
      <w:r w:rsidR="0037019B" w:rsidRPr="00C83BDF">
        <w:rPr>
          <w:lang w:val="es-ES_tradnl"/>
        </w:rPr>
        <w:t>, Presidenta del Consejo.</w:t>
      </w:r>
      <w:r w:rsidR="00E65183" w:rsidRPr="00C83BDF">
        <w:rPr>
          <w:lang w:val="es-ES_tradnl"/>
        </w:rPr>
        <w:t xml:space="preserve">  </w:t>
      </w:r>
      <w:r w:rsidR="0037019B" w:rsidRPr="00C83BDF">
        <w:rPr>
          <w:lang w:val="es-ES_tradnl"/>
        </w:rPr>
        <w:t>Asistieron a la sesión 43 miembros de la Unión, además de dos Estados y cinco organizaciones en calidad de observadores.</w:t>
      </w:r>
      <w:r w:rsidR="00E65183" w:rsidRPr="00C83BDF">
        <w:rPr>
          <w:lang w:val="es-ES_tradnl"/>
        </w:rPr>
        <w:t xml:space="preserve">  </w:t>
      </w:r>
      <w:r w:rsidR="0037019B" w:rsidRPr="00C83BDF">
        <w:rPr>
          <w:lang w:val="es-ES_tradnl"/>
        </w:rPr>
        <w:t>El informe de esa sesión se recoge en el documento C/48/22.</w:t>
      </w:r>
      <w:r w:rsidR="00E65183" w:rsidRPr="00C83BDF">
        <w:rPr>
          <w:lang w:val="es-ES_tradnl"/>
        </w:rPr>
        <w:t xml:space="preserve">  </w:t>
      </w:r>
      <w:r w:rsidR="0037019B" w:rsidRPr="00C83BDF">
        <w:rPr>
          <w:lang w:val="es-ES_tradnl"/>
        </w:rPr>
        <w:t>En dicha sesión, el Consejo:</w:t>
      </w:r>
    </w:p>
    <w:p w:rsidR="00E65183" w:rsidRPr="00C83BDF" w:rsidRDefault="00E65183" w:rsidP="00E65183">
      <w:pPr>
        <w:ind w:right="-1"/>
        <w:rPr>
          <w:lang w:val="es-ES_tradnl"/>
        </w:rPr>
      </w:pPr>
    </w:p>
    <w:p w:rsidR="00E65183" w:rsidRPr="00C83BDF" w:rsidRDefault="00E65183" w:rsidP="00E65183">
      <w:pPr>
        <w:tabs>
          <w:tab w:val="left" w:pos="567"/>
          <w:tab w:val="num" w:pos="1134"/>
        </w:tabs>
        <w:rPr>
          <w:rFonts w:cs="Arial"/>
          <w:lang w:val="es-ES_tradnl"/>
        </w:rPr>
      </w:pPr>
      <w:r w:rsidRPr="00C83BDF">
        <w:rPr>
          <w:lang w:val="es-ES_tradnl"/>
        </w:rPr>
        <w:tab/>
      </w:r>
      <w:r w:rsidR="0037019B" w:rsidRPr="00C83BDF">
        <w:rPr>
          <w:lang w:val="es-ES_tradnl"/>
        </w:rPr>
        <w:t>a)</w:t>
      </w:r>
      <w:r w:rsidRPr="00C83BDF">
        <w:rPr>
          <w:lang w:val="es-ES_tradnl"/>
        </w:rPr>
        <w:tab/>
      </w:r>
      <w:r w:rsidR="0037019B" w:rsidRPr="00C83BDF">
        <w:rPr>
          <w:lang w:val="es-ES_tradnl"/>
        </w:rPr>
        <w:t>decidió nombrar al Sr. Francis Gurry Secretario General de la UPOV para el período comprendido entre el 16 de octubre de 2014 y el 30 de septiembre de 2020;</w:t>
      </w:r>
    </w:p>
    <w:p w:rsidR="00E65183" w:rsidRPr="00C83BDF" w:rsidRDefault="00E65183" w:rsidP="00E65183">
      <w:pPr>
        <w:tabs>
          <w:tab w:val="left" w:pos="567"/>
          <w:tab w:val="num" w:pos="1134"/>
        </w:tabs>
        <w:rPr>
          <w:rFonts w:cs="Arial"/>
          <w:lang w:val="es-ES_tradnl"/>
        </w:rPr>
      </w:pPr>
    </w:p>
    <w:p w:rsidR="00E65183" w:rsidRPr="00C83BDF" w:rsidRDefault="00E65183" w:rsidP="00E65183">
      <w:pPr>
        <w:rPr>
          <w:szCs w:val="22"/>
          <w:lang w:val="es-ES_tradnl"/>
        </w:rPr>
      </w:pPr>
      <w:r w:rsidRPr="00C83BDF">
        <w:rPr>
          <w:rFonts w:cs="Arial"/>
          <w:lang w:val="es-ES_tradnl"/>
        </w:rPr>
        <w:tab/>
      </w:r>
      <w:r w:rsidR="0037019B" w:rsidRPr="00C83BDF">
        <w:rPr>
          <w:rFonts w:cs="Arial"/>
          <w:lang w:val="es-ES_tradnl"/>
        </w:rPr>
        <w:t>b)</w:t>
      </w:r>
      <w:r w:rsidRPr="00C83BDF">
        <w:rPr>
          <w:rFonts w:cs="Arial"/>
          <w:lang w:val="es-ES_tradnl"/>
        </w:rPr>
        <w:tab/>
      </w:r>
      <w:r w:rsidR="0037019B" w:rsidRPr="00C83BDF">
        <w:rPr>
          <w:rFonts w:cs="Arial"/>
          <w:lang w:val="es-ES_tradnl"/>
        </w:rPr>
        <w:t xml:space="preserve">tomó nota de las novedades relativas a la Ley sobre los Derechos de Obtentor para Zanzíbar </w:t>
      </w:r>
      <w:r w:rsidR="009145F4" w:rsidRPr="00C83BDF">
        <w:rPr>
          <w:rFonts w:cs="Arial"/>
          <w:lang w:val="es-ES_tradnl"/>
        </w:rPr>
        <w:t>y confirmó su decisión sobre la conformidad de 22 de marzo de 2013;</w:t>
      </w:r>
    </w:p>
    <w:p w:rsidR="00E65183" w:rsidRPr="00C83BDF" w:rsidRDefault="00E65183" w:rsidP="00E65183">
      <w:pPr>
        <w:rPr>
          <w:szCs w:val="22"/>
          <w:lang w:val="es-ES_tradnl"/>
        </w:rPr>
      </w:pPr>
    </w:p>
    <w:p w:rsidR="00E65183" w:rsidRPr="00C83BDF" w:rsidRDefault="00E65183" w:rsidP="00E65183">
      <w:pPr>
        <w:rPr>
          <w:lang w:val="es-ES_tradnl"/>
        </w:rPr>
      </w:pPr>
      <w:r w:rsidRPr="00C83BDF">
        <w:rPr>
          <w:lang w:val="es-ES_tradnl"/>
        </w:rPr>
        <w:tab/>
      </w:r>
      <w:r w:rsidR="009145F4" w:rsidRPr="00C83BDF">
        <w:rPr>
          <w:lang w:val="es-ES_tradnl"/>
        </w:rPr>
        <w:t>c)</w:t>
      </w:r>
      <w:r w:rsidRPr="00C83BDF">
        <w:rPr>
          <w:lang w:val="es-ES_tradnl"/>
        </w:rPr>
        <w:tab/>
      </w:r>
      <w:r w:rsidR="009145F4" w:rsidRPr="00C83BDF">
        <w:rPr>
          <w:lang w:val="es-ES_tradnl"/>
        </w:rPr>
        <w:t>adoptó las respue</w:t>
      </w:r>
      <w:r w:rsidR="00AD4EA4" w:rsidRPr="00C83BDF">
        <w:rPr>
          <w:lang w:val="es-ES_tradnl"/>
        </w:rPr>
        <w:t>stas a las preguntas frecuentes</w:t>
      </w:r>
      <w:r w:rsidR="009145F4" w:rsidRPr="00C83BDF">
        <w:rPr>
          <w:lang w:val="es-ES_tradnl"/>
        </w:rPr>
        <w:t xml:space="preserve"> que figuran en los párrafos 46 y 47 del documento C/48/19;</w:t>
      </w:r>
    </w:p>
    <w:p w:rsidR="00E65183" w:rsidRPr="00C83BDF" w:rsidRDefault="00E65183" w:rsidP="00E65183">
      <w:pPr>
        <w:rPr>
          <w:lang w:val="es-ES_tradnl"/>
        </w:rPr>
      </w:pPr>
    </w:p>
    <w:p w:rsidR="00E65183" w:rsidRPr="00C83BDF" w:rsidRDefault="00E65183" w:rsidP="00E65183">
      <w:pPr>
        <w:rPr>
          <w:lang w:val="es-ES_tradnl"/>
        </w:rPr>
      </w:pPr>
      <w:r w:rsidRPr="00C83BDF">
        <w:rPr>
          <w:lang w:val="es-ES_tradnl"/>
        </w:rPr>
        <w:tab/>
      </w:r>
      <w:r w:rsidR="009145F4" w:rsidRPr="00C83BDF">
        <w:rPr>
          <w:lang w:val="es-ES_tradnl"/>
        </w:rPr>
        <w:t>d)</w:t>
      </w:r>
      <w:r w:rsidRPr="00C83BDF">
        <w:rPr>
          <w:lang w:val="es-ES_tradnl"/>
        </w:rPr>
        <w:tab/>
      </w:r>
      <w:r w:rsidR="009145F4" w:rsidRPr="00C83BDF">
        <w:rPr>
          <w:lang w:val="es-ES_tradnl"/>
        </w:rPr>
        <w:t>aprobó la utilización del fondo para proyectos especiales con fines de formación, como figura en el párrafo 32 del documento C/48/19;</w:t>
      </w:r>
    </w:p>
    <w:p w:rsidR="00E65183" w:rsidRPr="00C83BDF" w:rsidRDefault="00E65183" w:rsidP="00E65183">
      <w:pPr>
        <w:rPr>
          <w:lang w:val="es-ES_tradnl"/>
        </w:rPr>
      </w:pPr>
    </w:p>
    <w:p w:rsidR="00E65183" w:rsidRPr="00C83BDF" w:rsidRDefault="00E65183" w:rsidP="00E65183">
      <w:pPr>
        <w:rPr>
          <w:lang w:val="es-ES_tradnl"/>
        </w:rPr>
      </w:pPr>
      <w:r w:rsidRPr="00C83BDF">
        <w:rPr>
          <w:lang w:val="es-ES_tradnl"/>
        </w:rPr>
        <w:tab/>
      </w:r>
      <w:r w:rsidR="009145F4" w:rsidRPr="00C83BDF">
        <w:rPr>
          <w:lang w:val="es-ES_tradnl"/>
        </w:rPr>
        <w:t>e)</w:t>
      </w:r>
      <w:r w:rsidRPr="00C83BDF">
        <w:rPr>
          <w:lang w:val="es-ES_tradnl"/>
        </w:rPr>
        <w:tab/>
      </w:r>
      <w:r w:rsidR="009145F4" w:rsidRPr="00C83BDF">
        <w:rPr>
          <w:lang w:val="es-ES_tradnl"/>
        </w:rPr>
        <w:t xml:space="preserve">tomó nota de la labor de la octogésima octava sesión del Comité Consultivo, celebrada los días 15 y 16 de octubre de 2014, </w:t>
      </w:r>
      <w:r w:rsidR="000120FF" w:rsidRPr="00C83BDF">
        <w:rPr>
          <w:lang w:val="es-ES_tradnl"/>
        </w:rPr>
        <w:t>que</w:t>
      </w:r>
      <w:r w:rsidR="009145F4" w:rsidRPr="00C83BDF">
        <w:rPr>
          <w:lang w:val="es-ES_tradnl"/>
        </w:rPr>
        <w:t xml:space="preserve"> expone en el documento C/48/19;</w:t>
      </w:r>
    </w:p>
    <w:p w:rsidR="00E65183" w:rsidRPr="00C83BDF" w:rsidRDefault="00E65183" w:rsidP="00E65183">
      <w:pPr>
        <w:tabs>
          <w:tab w:val="left" w:pos="567"/>
          <w:tab w:val="num" w:pos="1134"/>
        </w:tabs>
        <w:rPr>
          <w:lang w:val="es-ES_tradnl"/>
        </w:rPr>
      </w:pPr>
    </w:p>
    <w:p w:rsidR="00E65183" w:rsidRPr="00C83BDF" w:rsidRDefault="00E65183" w:rsidP="00E65183">
      <w:pPr>
        <w:tabs>
          <w:tab w:val="left" w:pos="567"/>
          <w:tab w:val="num" w:pos="1134"/>
        </w:tabs>
        <w:rPr>
          <w:lang w:val="es-ES_tradnl"/>
        </w:rPr>
      </w:pPr>
      <w:r w:rsidRPr="00C83BDF">
        <w:rPr>
          <w:lang w:val="es-ES_tradnl"/>
        </w:rPr>
        <w:tab/>
      </w:r>
      <w:r w:rsidR="009145F4" w:rsidRPr="00C83BDF">
        <w:rPr>
          <w:lang w:val="es-ES_tradnl"/>
        </w:rPr>
        <w:t>f)</w:t>
      </w:r>
      <w:r w:rsidRPr="00C83BDF">
        <w:rPr>
          <w:lang w:val="es-ES_tradnl"/>
        </w:rPr>
        <w:tab/>
      </w:r>
      <w:r w:rsidR="009145F4" w:rsidRPr="00C83BDF">
        <w:rPr>
          <w:lang w:val="es-ES_tradnl"/>
        </w:rPr>
        <w:t>aprobó los documentos siguientes:</w:t>
      </w:r>
    </w:p>
    <w:p w:rsidR="00E65183" w:rsidRPr="00C83BDF" w:rsidRDefault="00E65183" w:rsidP="00E65183">
      <w:pPr>
        <w:tabs>
          <w:tab w:val="left" w:pos="567"/>
          <w:tab w:val="num" w:pos="1134"/>
        </w:tabs>
        <w:rPr>
          <w:lang w:val="es-ES_tradnl"/>
        </w:rPr>
      </w:pPr>
    </w:p>
    <w:p w:rsidR="00E65183" w:rsidRPr="00C83BDF" w:rsidRDefault="009145F4" w:rsidP="000120FF">
      <w:pPr>
        <w:pStyle w:val="ListParagraph"/>
        <w:numPr>
          <w:ilvl w:val="0"/>
          <w:numId w:val="1"/>
        </w:numPr>
        <w:spacing w:after="240"/>
        <w:ind w:left="1134" w:hanging="561"/>
        <w:contextualSpacing w:val="0"/>
        <w:rPr>
          <w:lang w:val="es-ES_tradnl"/>
        </w:rPr>
      </w:pPr>
      <w:r w:rsidRPr="00C83BDF">
        <w:rPr>
          <w:lang w:val="es-ES_tradnl"/>
        </w:rPr>
        <w:t>TGP/2 “Lista de directrices de examen aprobadas por la UPOV” (revisión) (documento TGP/2/2);</w:t>
      </w:r>
    </w:p>
    <w:p w:rsidR="00E65183" w:rsidRPr="00C83BDF" w:rsidRDefault="009145F4" w:rsidP="000120FF">
      <w:pPr>
        <w:pStyle w:val="ListParagraph"/>
        <w:numPr>
          <w:ilvl w:val="0"/>
          <w:numId w:val="1"/>
        </w:numPr>
        <w:spacing w:after="240"/>
        <w:ind w:left="1134" w:hanging="561"/>
        <w:contextualSpacing w:val="0"/>
        <w:rPr>
          <w:lang w:val="es-ES_tradnl"/>
        </w:rPr>
      </w:pPr>
      <w:r w:rsidRPr="00C83BDF">
        <w:rPr>
          <w:lang w:val="es-ES_tradnl"/>
        </w:rPr>
        <w:t>TGP/5 “Experiencia y cooperación en el examen DHE”, sección 10 “Notificación de caracteres y niveles de expresión adicionales” (revisión) (sección 10/3 del documento TGP/5);</w:t>
      </w:r>
    </w:p>
    <w:p w:rsidR="00E65183" w:rsidRPr="00C83BDF" w:rsidRDefault="009145F4" w:rsidP="000120FF">
      <w:pPr>
        <w:pStyle w:val="ListParagraph"/>
        <w:numPr>
          <w:ilvl w:val="0"/>
          <w:numId w:val="1"/>
        </w:numPr>
        <w:spacing w:after="240"/>
        <w:ind w:left="1134" w:hanging="561"/>
        <w:contextualSpacing w:val="0"/>
        <w:rPr>
          <w:lang w:val="es-ES_tradnl"/>
        </w:rPr>
      </w:pPr>
      <w:r w:rsidRPr="00C83BDF">
        <w:rPr>
          <w:lang w:val="es-ES_tradnl"/>
        </w:rPr>
        <w:t>TGP/7 “Elaboración de las directrices de examen” (revisión) (documento TGP/7/4);</w:t>
      </w:r>
    </w:p>
    <w:p w:rsidR="00E65183" w:rsidRPr="00C83BDF" w:rsidRDefault="009145F4" w:rsidP="000120FF">
      <w:pPr>
        <w:pStyle w:val="ListParagraph"/>
        <w:numPr>
          <w:ilvl w:val="0"/>
          <w:numId w:val="1"/>
        </w:numPr>
        <w:spacing w:after="240"/>
        <w:ind w:left="1134" w:hanging="561"/>
        <w:contextualSpacing w:val="0"/>
        <w:rPr>
          <w:lang w:val="es-ES_tradnl"/>
        </w:rPr>
      </w:pPr>
      <w:r w:rsidRPr="00C83BDF">
        <w:rPr>
          <w:lang w:val="es-ES_tradnl"/>
        </w:rPr>
        <w:t>TGP/8 “Diseño de ensayos y técnicas utilizados en el examen de la distinción, la homogeneidad y la estabilidad” (revisión) (documento TGP/8/2);</w:t>
      </w:r>
    </w:p>
    <w:p w:rsidR="00E65183" w:rsidRPr="00C83BDF" w:rsidRDefault="009145F4" w:rsidP="000120FF">
      <w:pPr>
        <w:pStyle w:val="ListParagraph"/>
        <w:numPr>
          <w:ilvl w:val="0"/>
          <w:numId w:val="1"/>
        </w:numPr>
        <w:spacing w:after="240"/>
        <w:ind w:left="1134" w:hanging="561"/>
        <w:contextualSpacing w:val="0"/>
        <w:rPr>
          <w:lang w:val="es-ES_tradnl"/>
        </w:rPr>
      </w:pPr>
      <w:r w:rsidRPr="00C83BDF">
        <w:rPr>
          <w:lang w:val="es-ES_tradnl"/>
        </w:rPr>
        <w:t>la corrección de la versión española del documento TGP/14: Sección 2: Subsección 3: Color, párrafo 2.2.2 (documento TGP/14/2 Corr. (S));</w:t>
      </w:r>
    </w:p>
    <w:p w:rsidR="00E65183" w:rsidRPr="00C83BDF" w:rsidRDefault="009145F4" w:rsidP="000120FF">
      <w:pPr>
        <w:pStyle w:val="ListParagraph"/>
        <w:numPr>
          <w:ilvl w:val="0"/>
          <w:numId w:val="1"/>
        </w:numPr>
        <w:spacing w:after="240"/>
        <w:ind w:left="1134" w:hanging="561"/>
        <w:contextualSpacing w:val="0"/>
        <w:rPr>
          <w:lang w:val="es-ES_tradnl"/>
        </w:rPr>
      </w:pPr>
      <w:r w:rsidRPr="00C83BDF">
        <w:rPr>
          <w:lang w:val="es-ES_tradnl"/>
        </w:rPr>
        <w:t>TGP/0 “Lista de documentos TGP y fechas de última publicación” (revisión) (documento TGP/0/7);</w:t>
      </w:r>
    </w:p>
    <w:p w:rsidR="00E65183" w:rsidRPr="00C83BDF" w:rsidRDefault="009145F4" w:rsidP="000120FF">
      <w:pPr>
        <w:pStyle w:val="ListParagraph"/>
        <w:numPr>
          <w:ilvl w:val="0"/>
          <w:numId w:val="1"/>
        </w:numPr>
        <w:spacing w:after="240"/>
        <w:ind w:left="1134" w:hanging="561"/>
        <w:contextualSpacing w:val="0"/>
        <w:rPr>
          <w:lang w:val="es-ES_tradnl"/>
        </w:rPr>
      </w:pPr>
      <w:r w:rsidRPr="00C83BDF">
        <w:rPr>
          <w:lang w:val="es-ES_tradnl"/>
        </w:rPr>
        <w:t>UPOV/INF/16 “Programas informáticos para intercambio” (revisión) (documento UPOV/INF/16/4);</w:t>
      </w:r>
    </w:p>
    <w:p w:rsidR="00E65183" w:rsidRPr="00C83BDF" w:rsidRDefault="009145F4" w:rsidP="000120FF">
      <w:pPr>
        <w:pStyle w:val="ListParagraph"/>
        <w:numPr>
          <w:ilvl w:val="0"/>
          <w:numId w:val="1"/>
        </w:numPr>
        <w:spacing w:after="240"/>
        <w:ind w:left="1134" w:hanging="561"/>
        <w:contextualSpacing w:val="0"/>
        <w:rPr>
          <w:lang w:val="es-ES_tradnl"/>
        </w:rPr>
      </w:pPr>
      <w:r w:rsidRPr="00C83BDF">
        <w:rPr>
          <w:lang w:val="es-ES_tradnl"/>
        </w:rPr>
        <w:t>UPOV/INF/22 “Programas informáticos y equipos utilizados por los miembros de la Unión” (documento UPOV/INF/22/1);</w:t>
      </w:r>
    </w:p>
    <w:p w:rsidR="00E65183" w:rsidRPr="00C83BDF" w:rsidRDefault="009145F4" w:rsidP="000120FF">
      <w:pPr>
        <w:pStyle w:val="ListParagraph"/>
        <w:numPr>
          <w:ilvl w:val="0"/>
          <w:numId w:val="1"/>
        </w:numPr>
        <w:spacing w:after="240"/>
        <w:ind w:left="1134" w:hanging="561"/>
        <w:contextualSpacing w:val="0"/>
        <w:rPr>
          <w:lang w:val="es-ES_tradnl"/>
        </w:rPr>
      </w:pPr>
      <w:r w:rsidRPr="00C83BDF">
        <w:rPr>
          <w:lang w:val="es-ES_tradnl"/>
        </w:rPr>
        <w:t>UPOV/INF</w:t>
      </w:r>
      <w:r w:rsidRPr="00C83BDF">
        <w:rPr>
          <w:lang w:val="es-ES_tradnl"/>
        </w:rPr>
        <w:noBreakHyphen/>
        <w:t>EXN “Lista de documentos INF</w:t>
      </w:r>
      <w:r w:rsidRPr="00C83BDF">
        <w:rPr>
          <w:lang w:val="es-ES_tradnl"/>
        </w:rPr>
        <w:noBreakHyphen/>
        <w:t>EXN y fechas de última publicación” (revisión) (documento UPOV/INF</w:t>
      </w:r>
      <w:r w:rsidRPr="00C83BDF">
        <w:rPr>
          <w:lang w:val="es-ES_tradnl"/>
        </w:rPr>
        <w:noBreakHyphen/>
      </w:r>
      <w:r w:rsidRPr="00C83BDF">
        <w:rPr>
          <w:rFonts w:cs="Arial"/>
          <w:lang w:val="es-ES_tradnl"/>
        </w:rPr>
        <w:t>EXN/2);</w:t>
      </w:r>
    </w:p>
    <w:p w:rsidR="00E65183" w:rsidRPr="00C83BDF" w:rsidRDefault="00E65183" w:rsidP="00E65183">
      <w:pPr>
        <w:tabs>
          <w:tab w:val="left" w:pos="567"/>
          <w:tab w:val="num" w:pos="1134"/>
        </w:tabs>
        <w:rPr>
          <w:lang w:val="es-ES_tradnl"/>
        </w:rPr>
      </w:pPr>
      <w:r w:rsidRPr="00C83BDF">
        <w:rPr>
          <w:lang w:val="es-ES_tradnl"/>
        </w:rPr>
        <w:tab/>
      </w:r>
      <w:r w:rsidR="009145F4" w:rsidRPr="00C83BDF">
        <w:rPr>
          <w:lang w:val="es-ES_tradnl"/>
        </w:rPr>
        <w:t>g)</w:t>
      </w:r>
      <w:r w:rsidRPr="00C83BDF">
        <w:rPr>
          <w:lang w:val="es-ES_tradnl"/>
        </w:rPr>
        <w:tab/>
      </w:r>
      <w:r w:rsidR="009145F4" w:rsidRPr="00C83BDF">
        <w:rPr>
          <w:lang w:val="es-ES_tradnl"/>
        </w:rPr>
        <w:t>aprobó los estados financieros de 2013 y tomó nota del informe de auditoría del Auditor Externo;</w:t>
      </w:r>
      <w:r w:rsidRPr="00C83BDF">
        <w:rPr>
          <w:lang w:val="es-ES_tradnl"/>
        </w:rPr>
        <w:t xml:space="preserve"> </w:t>
      </w:r>
    </w:p>
    <w:p w:rsidR="00E65183" w:rsidRPr="00C83BDF" w:rsidRDefault="00E65183" w:rsidP="00E65183">
      <w:pPr>
        <w:tabs>
          <w:tab w:val="left" w:pos="567"/>
          <w:tab w:val="num" w:pos="1134"/>
        </w:tabs>
        <w:rPr>
          <w:lang w:val="es-ES_tradnl"/>
        </w:rPr>
      </w:pPr>
    </w:p>
    <w:p w:rsidR="00E65183" w:rsidRPr="00C83BDF" w:rsidRDefault="00E65183" w:rsidP="00E65183">
      <w:pPr>
        <w:tabs>
          <w:tab w:val="left" w:pos="567"/>
          <w:tab w:val="num" w:pos="1134"/>
        </w:tabs>
        <w:rPr>
          <w:lang w:val="es-ES_tradnl"/>
        </w:rPr>
      </w:pPr>
      <w:r w:rsidRPr="00C83BDF">
        <w:rPr>
          <w:snapToGrid w:val="0"/>
          <w:lang w:val="es-ES_tradnl"/>
        </w:rPr>
        <w:tab/>
      </w:r>
      <w:r w:rsidR="009145F4" w:rsidRPr="00C83BDF">
        <w:rPr>
          <w:snapToGrid w:val="0"/>
          <w:lang w:val="es-ES_tradnl"/>
        </w:rPr>
        <w:t>h)</w:t>
      </w:r>
      <w:r w:rsidRPr="00C83BDF">
        <w:rPr>
          <w:snapToGrid w:val="0"/>
          <w:lang w:val="es-ES_tradnl"/>
        </w:rPr>
        <w:tab/>
      </w:r>
      <w:r w:rsidR="009145F4" w:rsidRPr="00C83BDF">
        <w:rPr>
          <w:lang w:val="es-ES_tradnl"/>
        </w:rPr>
        <w:t>tomó nota de la situación del pago de las contribuciones al 30 de septiembre de 2014;</w:t>
      </w:r>
    </w:p>
    <w:p w:rsidR="00E65183" w:rsidRPr="00C83BDF" w:rsidRDefault="00E65183" w:rsidP="00E65183">
      <w:pPr>
        <w:tabs>
          <w:tab w:val="left" w:pos="567"/>
          <w:tab w:val="num" w:pos="1134"/>
        </w:tabs>
        <w:rPr>
          <w:lang w:val="es-ES_tradnl"/>
        </w:rPr>
      </w:pPr>
    </w:p>
    <w:p w:rsidR="00E65183" w:rsidRPr="00C83BDF" w:rsidRDefault="00E65183" w:rsidP="00E65183">
      <w:pPr>
        <w:tabs>
          <w:tab w:val="left" w:pos="567"/>
          <w:tab w:val="num" w:pos="1134"/>
        </w:tabs>
        <w:rPr>
          <w:lang w:val="es-ES_tradnl"/>
        </w:rPr>
      </w:pPr>
      <w:r w:rsidRPr="00C83BDF">
        <w:rPr>
          <w:lang w:val="es-ES_tradnl"/>
        </w:rPr>
        <w:tab/>
      </w:r>
      <w:r w:rsidR="009145F4" w:rsidRPr="00C83BDF">
        <w:rPr>
          <w:lang w:val="es-ES_tradnl"/>
        </w:rPr>
        <w:t>i)</w:t>
      </w:r>
      <w:r w:rsidRPr="00C83BDF">
        <w:rPr>
          <w:lang w:val="es-ES_tradnl"/>
        </w:rPr>
        <w:tab/>
      </w:r>
      <w:r w:rsidR="00D641E1" w:rsidRPr="00C83BDF">
        <w:rPr>
          <w:lang w:val="es-ES_tradnl"/>
        </w:rPr>
        <w:t>aprobó el informe de gestión financiera del período financiero 2012</w:t>
      </w:r>
      <w:r w:rsidR="00D641E1" w:rsidRPr="00C83BDF">
        <w:rPr>
          <w:lang w:val="es-ES_tradnl"/>
        </w:rPr>
        <w:noBreakHyphen/>
        <w:t>2013;</w:t>
      </w:r>
    </w:p>
    <w:p w:rsidR="00E65183" w:rsidRPr="00C83BDF" w:rsidRDefault="00E65183" w:rsidP="00E65183">
      <w:pPr>
        <w:tabs>
          <w:tab w:val="left" w:pos="567"/>
          <w:tab w:val="num" w:pos="1134"/>
        </w:tabs>
        <w:rPr>
          <w:lang w:val="es-ES_tradnl"/>
        </w:rPr>
      </w:pPr>
    </w:p>
    <w:p w:rsidR="00E65183" w:rsidRPr="00C83BDF" w:rsidRDefault="00E65183" w:rsidP="00E65183">
      <w:pPr>
        <w:tabs>
          <w:tab w:val="left" w:pos="567"/>
          <w:tab w:val="num" w:pos="1134"/>
        </w:tabs>
        <w:rPr>
          <w:lang w:val="es-ES_tradnl"/>
        </w:rPr>
      </w:pPr>
      <w:r w:rsidRPr="00C83BDF">
        <w:rPr>
          <w:lang w:val="es-ES_tradnl"/>
        </w:rPr>
        <w:tab/>
      </w:r>
      <w:r w:rsidR="00D641E1" w:rsidRPr="00C83BDF">
        <w:rPr>
          <w:lang w:val="es-ES_tradnl"/>
        </w:rPr>
        <w:t>j)</w:t>
      </w:r>
      <w:r w:rsidRPr="00C83BDF">
        <w:rPr>
          <w:lang w:val="es-ES_tradnl"/>
        </w:rPr>
        <w:tab/>
      </w:r>
      <w:r w:rsidR="00D641E1" w:rsidRPr="00C83BDF">
        <w:rPr>
          <w:lang w:val="es-ES_tradnl"/>
        </w:rPr>
        <w:t>tomó nota del informe del Secretario</w:t>
      </w:r>
      <w:r w:rsidR="000120FF" w:rsidRPr="00C83BDF">
        <w:rPr>
          <w:lang w:val="es-ES_tradnl"/>
        </w:rPr>
        <w:t> </w:t>
      </w:r>
      <w:r w:rsidR="00D641E1" w:rsidRPr="00C83BDF">
        <w:rPr>
          <w:lang w:val="es-ES_tradnl"/>
        </w:rPr>
        <w:t xml:space="preserve">General sobre las actividades de la Unión en 2013 </w:t>
      </w:r>
      <w:r w:rsidR="00867822" w:rsidRPr="00C83BDF">
        <w:rPr>
          <w:lang w:val="es-ES_tradnl"/>
        </w:rPr>
        <w:t>y los resultados e indicadores de rendimiento para</w:t>
      </w:r>
      <w:r w:rsidR="00D641E1" w:rsidRPr="00C83BDF">
        <w:rPr>
          <w:lang w:val="es-ES_tradnl"/>
        </w:rPr>
        <w:t> 2013, así como del informe sobre las actividades realizadas en los nueve primeros meses de</w:t>
      </w:r>
      <w:r w:rsidR="00867822" w:rsidRPr="00C83BDF">
        <w:rPr>
          <w:lang w:val="es-ES_tradnl"/>
        </w:rPr>
        <w:t> </w:t>
      </w:r>
      <w:r w:rsidR="00D641E1" w:rsidRPr="00C83BDF">
        <w:rPr>
          <w:lang w:val="es-ES_tradnl"/>
        </w:rPr>
        <w:t>2014;</w:t>
      </w:r>
    </w:p>
    <w:p w:rsidR="00E65183" w:rsidRPr="00C83BDF" w:rsidRDefault="00E65183" w:rsidP="00E65183">
      <w:pPr>
        <w:tabs>
          <w:tab w:val="left" w:pos="567"/>
          <w:tab w:val="num" w:pos="1134"/>
        </w:tabs>
        <w:rPr>
          <w:lang w:val="es-ES_tradnl"/>
        </w:rPr>
      </w:pPr>
    </w:p>
    <w:p w:rsidR="00E65183" w:rsidRPr="00C83BDF" w:rsidRDefault="00E65183" w:rsidP="00E65183">
      <w:pPr>
        <w:tabs>
          <w:tab w:val="left" w:pos="567"/>
          <w:tab w:val="num" w:pos="1134"/>
        </w:tabs>
        <w:rPr>
          <w:lang w:val="es-ES_tradnl"/>
        </w:rPr>
      </w:pPr>
      <w:r w:rsidRPr="00C83BDF">
        <w:rPr>
          <w:lang w:val="es-ES_tradnl"/>
        </w:rPr>
        <w:tab/>
      </w:r>
      <w:r w:rsidR="00867822" w:rsidRPr="00C83BDF">
        <w:rPr>
          <w:lang w:val="es-ES_tradnl"/>
        </w:rPr>
        <w:t>k)</w:t>
      </w:r>
      <w:r w:rsidRPr="00C83BDF">
        <w:rPr>
          <w:lang w:val="es-ES_tradnl"/>
        </w:rPr>
        <w:tab/>
      </w:r>
      <w:r w:rsidR="00867822" w:rsidRPr="00C83BDF">
        <w:rPr>
          <w:lang w:val="es-ES_tradnl"/>
        </w:rPr>
        <w:t>tomó nota de la labor del CAJ y aprobó el programa de trabajo de la septuagésima primera sesión del CAJ;</w:t>
      </w:r>
    </w:p>
    <w:p w:rsidR="00E65183" w:rsidRPr="00C83BDF" w:rsidRDefault="00E65183" w:rsidP="00E65183">
      <w:pPr>
        <w:tabs>
          <w:tab w:val="left" w:pos="567"/>
          <w:tab w:val="num" w:pos="1134"/>
        </w:tabs>
        <w:rPr>
          <w:lang w:val="es-ES_tradnl"/>
        </w:rPr>
      </w:pPr>
    </w:p>
    <w:p w:rsidR="00E65183" w:rsidRPr="00C83BDF" w:rsidRDefault="00E65183" w:rsidP="00E65183">
      <w:pPr>
        <w:tabs>
          <w:tab w:val="left" w:pos="567"/>
          <w:tab w:val="num" w:pos="1134"/>
        </w:tabs>
        <w:rPr>
          <w:lang w:val="es-ES_tradnl"/>
        </w:rPr>
      </w:pPr>
      <w:r w:rsidRPr="00C83BDF">
        <w:rPr>
          <w:lang w:val="es-ES_tradnl"/>
        </w:rPr>
        <w:tab/>
      </w:r>
      <w:r w:rsidR="00867822" w:rsidRPr="00C83BDF">
        <w:rPr>
          <w:lang w:val="es-ES_tradnl"/>
        </w:rPr>
        <w:t>l)</w:t>
      </w:r>
      <w:r w:rsidRPr="00C83BDF">
        <w:rPr>
          <w:lang w:val="es-ES_tradnl"/>
        </w:rPr>
        <w:tab/>
      </w:r>
      <w:r w:rsidR="00867822" w:rsidRPr="00C83BDF">
        <w:rPr>
          <w:lang w:val="es-ES_tradnl"/>
        </w:rPr>
        <w:t>tomó nota de las actividades realizadas por el TC, los TWP y el BMT, y aprobó los respectivos programas de trabajo;</w:t>
      </w:r>
    </w:p>
    <w:p w:rsidR="00E65183" w:rsidRPr="00C83BDF" w:rsidRDefault="00E65183" w:rsidP="00E65183">
      <w:pPr>
        <w:tabs>
          <w:tab w:val="left" w:pos="567"/>
          <w:tab w:val="num" w:pos="1134"/>
        </w:tabs>
        <w:rPr>
          <w:lang w:val="es-ES_tradnl"/>
        </w:rPr>
      </w:pPr>
    </w:p>
    <w:p w:rsidR="00E65183" w:rsidRPr="00C83BDF" w:rsidRDefault="00E65183" w:rsidP="00E65183">
      <w:pPr>
        <w:tabs>
          <w:tab w:val="left" w:pos="567"/>
          <w:tab w:val="num" w:pos="1134"/>
        </w:tabs>
        <w:rPr>
          <w:lang w:val="es-ES_tradnl"/>
        </w:rPr>
      </w:pPr>
      <w:r w:rsidRPr="00C83BDF">
        <w:rPr>
          <w:lang w:val="es-ES_tradnl"/>
        </w:rPr>
        <w:tab/>
      </w:r>
      <w:r w:rsidR="00867822" w:rsidRPr="00C83BDF">
        <w:rPr>
          <w:lang w:val="es-ES_tradnl"/>
        </w:rPr>
        <w:t>m)</w:t>
      </w:r>
      <w:r w:rsidRPr="00C83BDF">
        <w:rPr>
          <w:lang w:val="es-ES_tradnl"/>
        </w:rPr>
        <w:tab/>
      </w:r>
      <w:r w:rsidR="00867822" w:rsidRPr="00C83BDF">
        <w:rPr>
          <w:lang w:val="es-ES_tradnl"/>
        </w:rPr>
        <w:t>aprobó el calendario de reuniones de 2015;</w:t>
      </w:r>
    </w:p>
    <w:p w:rsidR="00E65183" w:rsidRPr="00C83BDF" w:rsidRDefault="00E65183" w:rsidP="00E65183">
      <w:pPr>
        <w:tabs>
          <w:tab w:val="left" w:pos="567"/>
          <w:tab w:val="num" w:pos="1134"/>
        </w:tabs>
        <w:rPr>
          <w:lang w:val="es-ES_tradnl"/>
        </w:rPr>
      </w:pPr>
    </w:p>
    <w:p w:rsidR="00E65183" w:rsidRPr="00C83BDF" w:rsidRDefault="00E65183" w:rsidP="00E65183">
      <w:pPr>
        <w:rPr>
          <w:rFonts w:cs="Arial"/>
          <w:lang w:val="es-ES_tradnl"/>
        </w:rPr>
      </w:pPr>
      <w:r w:rsidRPr="00C83BDF">
        <w:rPr>
          <w:lang w:val="es-ES_tradnl"/>
        </w:rPr>
        <w:tab/>
      </w:r>
      <w:r w:rsidR="00867822" w:rsidRPr="00C83BDF">
        <w:rPr>
          <w:lang w:val="es-ES_tradnl"/>
        </w:rPr>
        <w:t>n)</w:t>
      </w:r>
      <w:r w:rsidRPr="00C83BDF">
        <w:rPr>
          <w:lang w:val="es-ES_tradnl"/>
        </w:rPr>
        <w:tab/>
      </w:r>
      <w:r w:rsidR="00867822" w:rsidRPr="00C83BDF">
        <w:rPr>
          <w:rFonts w:cs="Arial"/>
          <w:lang w:val="es-ES_tradnl"/>
        </w:rPr>
        <w:t>eligió a las personas siguientes, en cada caso por un mandato de tres años, que concluirá con la quincuagésima primera sesión ordinaria del Consejo en 2017:</w:t>
      </w:r>
    </w:p>
    <w:p w:rsidR="00E65183" w:rsidRPr="00C83BDF" w:rsidRDefault="00E65183" w:rsidP="00E65183">
      <w:pPr>
        <w:rPr>
          <w:rFonts w:cs="Arial"/>
          <w:lang w:val="es-ES_tradnl"/>
        </w:rPr>
      </w:pPr>
    </w:p>
    <w:p w:rsidR="00E65183" w:rsidRPr="00C83BDF" w:rsidRDefault="00E65183" w:rsidP="00E65183">
      <w:pPr>
        <w:tabs>
          <w:tab w:val="left" w:pos="567"/>
        </w:tabs>
        <w:ind w:left="1134" w:hanging="1134"/>
        <w:rPr>
          <w:rFonts w:cs="Arial"/>
          <w:lang w:val="es-ES_tradnl"/>
        </w:rPr>
      </w:pPr>
      <w:r w:rsidRPr="00C83BDF">
        <w:rPr>
          <w:rFonts w:cs="Arial"/>
          <w:lang w:val="es-ES_tradnl"/>
        </w:rPr>
        <w:tab/>
        <w:t>–</w:t>
      </w:r>
      <w:r w:rsidRPr="00C83BDF">
        <w:rPr>
          <w:rFonts w:cs="Arial"/>
          <w:lang w:val="es-ES_tradnl"/>
        </w:rPr>
        <w:tab/>
      </w:r>
      <w:r w:rsidR="00867822" w:rsidRPr="00C83BDF">
        <w:rPr>
          <w:rFonts w:cs="Arial"/>
          <w:lang w:val="es-ES_tradnl"/>
        </w:rPr>
        <w:t>Sr. Tanvir Hossain (Australia), Presidente del TWA;</w:t>
      </w:r>
    </w:p>
    <w:p w:rsidR="00E65183" w:rsidRPr="00C83BDF" w:rsidRDefault="00E65183" w:rsidP="00E65183">
      <w:pPr>
        <w:tabs>
          <w:tab w:val="left" w:pos="567"/>
        </w:tabs>
        <w:ind w:left="1134" w:hanging="1134"/>
        <w:rPr>
          <w:rFonts w:cs="Arial"/>
          <w:lang w:val="es-ES_tradnl"/>
        </w:rPr>
      </w:pPr>
    </w:p>
    <w:p w:rsidR="00E65183" w:rsidRPr="00C83BDF" w:rsidRDefault="00E65183" w:rsidP="00E65183">
      <w:pPr>
        <w:tabs>
          <w:tab w:val="left" w:pos="567"/>
        </w:tabs>
        <w:ind w:left="1134" w:hanging="1134"/>
        <w:rPr>
          <w:rFonts w:cs="Arial"/>
          <w:lang w:val="es-ES_tradnl"/>
        </w:rPr>
      </w:pPr>
      <w:r w:rsidRPr="00C83BDF">
        <w:rPr>
          <w:rFonts w:cs="Arial"/>
          <w:lang w:val="es-ES_tradnl"/>
        </w:rPr>
        <w:tab/>
        <w:t>–</w:t>
      </w:r>
      <w:r w:rsidRPr="00C83BDF">
        <w:rPr>
          <w:rFonts w:cs="Arial"/>
          <w:lang w:val="es-ES_tradnl"/>
        </w:rPr>
        <w:tab/>
      </w:r>
      <w:r w:rsidR="000120FF" w:rsidRPr="00C83BDF">
        <w:rPr>
          <w:rFonts w:cs="Arial"/>
          <w:lang w:val="es-ES_tradnl"/>
        </w:rPr>
        <w:t>Sr. Adrian Roberts (Reino </w:t>
      </w:r>
      <w:r w:rsidR="00867822" w:rsidRPr="00C83BDF">
        <w:rPr>
          <w:rFonts w:cs="Arial"/>
          <w:lang w:val="es-ES_tradnl"/>
        </w:rPr>
        <w:t>Unido), Presidente del TWC;</w:t>
      </w:r>
    </w:p>
    <w:p w:rsidR="00E65183" w:rsidRPr="00C83BDF" w:rsidRDefault="00E65183" w:rsidP="00E65183">
      <w:pPr>
        <w:tabs>
          <w:tab w:val="left" w:pos="567"/>
        </w:tabs>
        <w:ind w:left="1134" w:hanging="1134"/>
        <w:rPr>
          <w:rFonts w:cs="Arial"/>
          <w:lang w:val="es-ES_tradnl"/>
        </w:rPr>
      </w:pPr>
    </w:p>
    <w:p w:rsidR="00E65183" w:rsidRPr="00C83BDF" w:rsidRDefault="00E65183" w:rsidP="00E65183">
      <w:pPr>
        <w:tabs>
          <w:tab w:val="left" w:pos="567"/>
        </w:tabs>
        <w:ind w:left="1134" w:hanging="1134"/>
        <w:rPr>
          <w:rFonts w:cs="Arial"/>
          <w:lang w:val="es-ES_tradnl"/>
        </w:rPr>
      </w:pPr>
      <w:r w:rsidRPr="00C83BDF">
        <w:rPr>
          <w:rFonts w:cs="Arial"/>
          <w:lang w:val="es-ES_tradnl"/>
        </w:rPr>
        <w:tab/>
        <w:t>–</w:t>
      </w:r>
      <w:r w:rsidRPr="00C83BDF">
        <w:rPr>
          <w:rFonts w:cs="Arial"/>
          <w:lang w:val="es-ES_tradnl"/>
        </w:rPr>
        <w:tab/>
      </w:r>
      <w:r w:rsidR="00867822" w:rsidRPr="00C83BDF">
        <w:rPr>
          <w:rFonts w:cs="Arial"/>
          <w:lang w:val="es-ES_tradnl"/>
        </w:rPr>
        <w:t>Sr. Katsumi Yamaguchi (Japón), Presidente del TWF;</w:t>
      </w:r>
    </w:p>
    <w:p w:rsidR="00E65183" w:rsidRPr="00C83BDF" w:rsidRDefault="00E65183" w:rsidP="00E65183">
      <w:pPr>
        <w:tabs>
          <w:tab w:val="left" w:pos="567"/>
        </w:tabs>
        <w:ind w:left="1134" w:hanging="1134"/>
        <w:rPr>
          <w:rFonts w:cs="Arial"/>
          <w:lang w:val="es-ES_tradnl"/>
        </w:rPr>
      </w:pPr>
    </w:p>
    <w:p w:rsidR="00E65183" w:rsidRPr="00C83BDF" w:rsidRDefault="00E65183" w:rsidP="00E65183">
      <w:pPr>
        <w:tabs>
          <w:tab w:val="left" w:pos="567"/>
        </w:tabs>
        <w:ind w:left="1134" w:hanging="1134"/>
        <w:rPr>
          <w:rFonts w:cs="Arial"/>
          <w:lang w:val="es-ES_tradnl"/>
        </w:rPr>
      </w:pPr>
      <w:r w:rsidRPr="00C83BDF">
        <w:rPr>
          <w:rFonts w:cs="Arial"/>
          <w:lang w:val="es-ES_tradnl"/>
        </w:rPr>
        <w:tab/>
        <w:t>–</w:t>
      </w:r>
      <w:r w:rsidRPr="00C83BDF">
        <w:rPr>
          <w:rFonts w:cs="Arial"/>
          <w:lang w:val="es-ES_tradnl"/>
        </w:rPr>
        <w:tab/>
      </w:r>
      <w:r w:rsidR="00867822" w:rsidRPr="00C83BDF">
        <w:rPr>
          <w:rFonts w:cs="Arial"/>
          <w:lang w:val="es-ES_tradnl"/>
        </w:rPr>
        <w:t>Sr. Kenji Numaguchi (Japón), Presidente del TWO;</w:t>
      </w:r>
    </w:p>
    <w:p w:rsidR="00E65183" w:rsidRPr="00C83BDF" w:rsidRDefault="00E65183" w:rsidP="00E65183">
      <w:pPr>
        <w:tabs>
          <w:tab w:val="left" w:pos="567"/>
        </w:tabs>
        <w:ind w:left="1134" w:hanging="1134"/>
        <w:rPr>
          <w:rFonts w:cs="Arial"/>
          <w:lang w:val="es-ES_tradnl"/>
        </w:rPr>
      </w:pPr>
    </w:p>
    <w:p w:rsidR="00E65183" w:rsidRPr="00C83BDF" w:rsidRDefault="00E65183" w:rsidP="00E65183">
      <w:pPr>
        <w:tabs>
          <w:tab w:val="left" w:pos="567"/>
        </w:tabs>
        <w:ind w:left="1134" w:hanging="1134"/>
        <w:rPr>
          <w:rFonts w:cs="Arial"/>
          <w:lang w:val="es-ES_tradnl"/>
        </w:rPr>
      </w:pPr>
      <w:r w:rsidRPr="00C83BDF">
        <w:rPr>
          <w:rFonts w:cs="Arial"/>
          <w:lang w:val="es-ES_tradnl"/>
        </w:rPr>
        <w:tab/>
        <w:t>–</w:t>
      </w:r>
      <w:r w:rsidRPr="00C83BDF">
        <w:rPr>
          <w:rFonts w:cs="Arial"/>
          <w:lang w:val="es-ES_tradnl"/>
        </w:rPr>
        <w:tab/>
      </w:r>
      <w:r w:rsidR="00867822" w:rsidRPr="00C83BDF">
        <w:rPr>
          <w:rFonts w:cs="Arial"/>
          <w:lang w:val="es-ES_tradnl"/>
        </w:rPr>
        <w:t>Sra. Swenja Tams (Alemania), Presidenta del TWV;</w:t>
      </w:r>
      <w:r w:rsidR="00F757BE" w:rsidRPr="00C83BDF">
        <w:rPr>
          <w:rFonts w:cs="Arial"/>
          <w:lang w:val="es-ES_tradnl"/>
        </w:rPr>
        <w:t xml:space="preserve">  </w:t>
      </w:r>
      <w:r w:rsidR="00867822" w:rsidRPr="00C83BDF">
        <w:rPr>
          <w:rFonts w:cs="Arial"/>
          <w:lang w:val="es-ES_tradnl"/>
        </w:rPr>
        <w:t>y</w:t>
      </w:r>
    </w:p>
    <w:p w:rsidR="00E65183" w:rsidRPr="00C83BDF" w:rsidRDefault="00E65183" w:rsidP="00E65183">
      <w:pPr>
        <w:tabs>
          <w:tab w:val="left" w:pos="567"/>
        </w:tabs>
        <w:ind w:left="1134" w:hanging="1134"/>
        <w:rPr>
          <w:rFonts w:cs="Arial"/>
          <w:lang w:val="es-ES_tradnl"/>
        </w:rPr>
      </w:pPr>
    </w:p>
    <w:p w:rsidR="00E65183" w:rsidRPr="00C83BDF" w:rsidRDefault="00E65183" w:rsidP="00E65183">
      <w:pPr>
        <w:tabs>
          <w:tab w:val="left" w:pos="567"/>
        </w:tabs>
        <w:ind w:left="1134" w:hanging="1134"/>
        <w:rPr>
          <w:rFonts w:cs="Arial"/>
          <w:lang w:val="es-ES_tradnl"/>
        </w:rPr>
      </w:pPr>
      <w:r w:rsidRPr="00C83BDF">
        <w:rPr>
          <w:rFonts w:cs="Arial"/>
          <w:lang w:val="es-ES_tradnl"/>
        </w:rPr>
        <w:tab/>
        <w:t>–</w:t>
      </w:r>
      <w:r w:rsidRPr="00C83BDF">
        <w:rPr>
          <w:rFonts w:cs="Arial"/>
          <w:lang w:val="es-ES_tradnl"/>
        </w:rPr>
        <w:tab/>
      </w:r>
      <w:r w:rsidR="00867822" w:rsidRPr="00C83BDF">
        <w:rPr>
          <w:rFonts w:cs="Arial"/>
          <w:lang w:val="es-ES_tradnl"/>
        </w:rPr>
        <w:t>Sr. </w:t>
      </w:r>
      <w:r w:rsidR="000120FF" w:rsidRPr="00C83BDF">
        <w:rPr>
          <w:rFonts w:cs="Arial"/>
          <w:lang w:val="es-ES_tradnl"/>
        </w:rPr>
        <w:t>Kees van Ettekoven (Países </w:t>
      </w:r>
      <w:r w:rsidR="00867822" w:rsidRPr="00C83BDF">
        <w:rPr>
          <w:rFonts w:cs="Arial"/>
          <w:lang w:val="es-ES_tradnl"/>
        </w:rPr>
        <w:t>Bajos), Presidente del BMT;</w:t>
      </w:r>
    </w:p>
    <w:p w:rsidR="00E65183" w:rsidRPr="00C83BDF" w:rsidRDefault="00E65183" w:rsidP="00E65183">
      <w:pPr>
        <w:rPr>
          <w:lang w:val="es-ES_tradnl"/>
        </w:rPr>
      </w:pPr>
    </w:p>
    <w:p w:rsidR="00E65183" w:rsidRPr="00C83BDF" w:rsidRDefault="00E65183" w:rsidP="00E65183">
      <w:pPr>
        <w:tabs>
          <w:tab w:val="left" w:pos="567"/>
          <w:tab w:val="num" w:pos="1134"/>
        </w:tabs>
        <w:rPr>
          <w:lang w:val="es-ES_tradnl"/>
        </w:rPr>
      </w:pPr>
      <w:r w:rsidRPr="00C83BDF">
        <w:rPr>
          <w:lang w:val="es-ES_tradnl"/>
        </w:rPr>
        <w:tab/>
      </w:r>
      <w:r w:rsidR="00867822" w:rsidRPr="00C83BDF">
        <w:rPr>
          <w:lang w:val="es-ES_tradnl"/>
        </w:rPr>
        <w:t>o)</w:t>
      </w:r>
      <w:r w:rsidRPr="00C83BDF">
        <w:rPr>
          <w:lang w:val="es-ES_tradnl"/>
        </w:rPr>
        <w:tab/>
      </w:r>
      <w:r w:rsidR="00867822" w:rsidRPr="00C83BDF">
        <w:rPr>
          <w:lang w:val="es-ES_tradnl"/>
        </w:rPr>
        <w:t xml:space="preserve">tomó nota de los documentos y los informes verbales sobre la situación en los </w:t>
      </w:r>
      <w:r w:rsidR="00803823" w:rsidRPr="00C83BDF">
        <w:rPr>
          <w:lang w:val="es-ES_tradnl"/>
        </w:rPr>
        <w:t>campos</w:t>
      </w:r>
      <w:r w:rsidR="00867822" w:rsidRPr="00C83BDF">
        <w:rPr>
          <w:lang w:val="es-ES_tradnl"/>
        </w:rPr>
        <w:t xml:space="preserve"> legislativo, administrativo y técnico </w:t>
      </w:r>
      <w:r w:rsidR="00803823" w:rsidRPr="00C83BDF">
        <w:rPr>
          <w:lang w:val="es-ES_tradnl"/>
        </w:rPr>
        <w:t>respecto de</w:t>
      </w:r>
      <w:r w:rsidR="00867822" w:rsidRPr="00C83BDF">
        <w:rPr>
          <w:lang w:val="es-ES_tradnl"/>
        </w:rPr>
        <w:t xml:space="preserve"> la protección de las variedades vegetales, tal y como los presentaron miembros y observadores.</w:t>
      </w:r>
      <w:r w:rsidRPr="00C83BDF">
        <w:rPr>
          <w:lang w:val="es-ES_tradnl"/>
        </w:rPr>
        <w:t xml:space="preserve"> </w:t>
      </w:r>
    </w:p>
    <w:p w:rsidR="00E65183" w:rsidRPr="00C83BDF" w:rsidRDefault="00E65183" w:rsidP="00E65183">
      <w:pPr>
        <w:tabs>
          <w:tab w:val="left" w:pos="567"/>
          <w:tab w:val="num" w:pos="1134"/>
        </w:tabs>
        <w:rPr>
          <w:lang w:val="es-ES_tradnl"/>
        </w:rPr>
      </w:pPr>
    </w:p>
    <w:p w:rsidR="00E65183" w:rsidRPr="00C83BDF" w:rsidRDefault="00E65183" w:rsidP="00E65183">
      <w:pPr>
        <w:tabs>
          <w:tab w:val="left" w:pos="567"/>
          <w:tab w:val="num" w:pos="1134"/>
        </w:tabs>
        <w:rPr>
          <w:lang w:val="es-ES_tradnl"/>
        </w:rPr>
      </w:pPr>
      <w:r w:rsidRPr="00C83BDF">
        <w:rPr>
          <w:lang w:val="es-ES_tradnl"/>
        </w:rPr>
        <w:tab/>
      </w:r>
      <w:r w:rsidR="00803823" w:rsidRPr="00C83BDF">
        <w:rPr>
          <w:lang w:val="es-ES_tradnl"/>
        </w:rPr>
        <w:t>p)</w:t>
      </w:r>
      <w:r w:rsidRPr="00C83BDF">
        <w:rPr>
          <w:lang w:val="es-ES_tradnl"/>
        </w:rPr>
        <w:tab/>
      </w:r>
      <w:r w:rsidR="00803823" w:rsidRPr="00C83BDF">
        <w:rPr>
          <w:lang w:val="es-ES_tradnl"/>
        </w:rPr>
        <w:t>examinó y aprobó un borrador de comunicado de prensa.</w:t>
      </w:r>
    </w:p>
    <w:p w:rsidR="00E65183" w:rsidRPr="00C83BDF" w:rsidRDefault="00E65183" w:rsidP="00E65183">
      <w:pPr>
        <w:tabs>
          <w:tab w:val="left" w:pos="567"/>
          <w:tab w:val="num" w:pos="1134"/>
        </w:tabs>
        <w:rPr>
          <w:lang w:val="es-ES_tradnl"/>
        </w:rPr>
      </w:pPr>
    </w:p>
    <w:p w:rsidR="00E65183" w:rsidRPr="00C83BDF" w:rsidRDefault="00E65183" w:rsidP="00E65183">
      <w:pPr>
        <w:rPr>
          <w:lang w:val="es-ES_tradnl"/>
        </w:rPr>
      </w:pPr>
    </w:p>
    <w:p w:rsidR="00E65183" w:rsidRPr="00C83BDF" w:rsidRDefault="00803823" w:rsidP="00E65183">
      <w:pPr>
        <w:pStyle w:val="Heading2"/>
        <w:rPr>
          <w:lang w:val="es-ES_tradnl"/>
        </w:rPr>
      </w:pPr>
      <w:bookmarkStart w:id="11" w:name="_Toc431567589"/>
      <w:r w:rsidRPr="00C83BDF">
        <w:rPr>
          <w:lang w:val="es-ES_tradnl"/>
        </w:rPr>
        <w:t>Comité Consultivo</w:t>
      </w:r>
      <w:bookmarkEnd w:id="11"/>
    </w:p>
    <w:p w:rsidR="00E65183" w:rsidRPr="00C83BDF" w:rsidRDefault="00E65183" w:rsidP="00E65183">
      <w:pPr>
        <w:keepNext/>
        <w:ind w:left="567" w:hanging="567"/>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2C13A8" w:rsidRPr="00C83BDF">
        <w:rPr>
          <w:lang w:val="es-ES_tradnl"/>
        </w:rPr>
        <w:t>El Comité Consultivo celebró su octogésima séptima sesión el 11 de abril de 2014, bajo la presidencia de la Sra. Kitisri Sukhapinda (Estados Unidos de América).</w:t>
      </w:r>
      <w:r w:rsidR="00E65183" w:rsidRPr="00C83BDF">
        <w:rPr>
          <w:lang w:val="es-ES_tradnl"/>
        </w:rPr>
        <w:t xml:space="preserve">  </w:t>
      </w:r>
      <w:r w:rsidR="002C13A8" w:rsidRPr="00C83BDF">
        <w:rPr>
          <w:lang w:val="es-ES_tradnl"/>
        </w:rPr>
        <w:t>En esa sesión, además de realizar el examen preliminar de la proyecto de Protocolo de la ARIPO para la Protección de las Obtenciones Vegetales y de proporcionar asesoramiento sobre la preparaci</w:t>
      </w:r>
      <w:r w:rsidR="002C13A8" w:rsidRPr="00C83BDF">
        <w:rPr>
          <w:rFonts w:ascii="Tahoma" w:hAnsi="Tahoma" w:cs="Tahoma"/>
          <w:lang w:val="es-ES_tradnl"/>
        </w:rPr>
        <w:t>ó</w:t>
      </w:r>
      <w:r w:rsidR="002C13A8" w:rsidRPr="00C83BDF">
        <w:rPr>
          <w:lang w:val="es-ES_tradnl"/>
        </w:rPr>
        <w:t>n del calendario de reuniones y el comunicado de prensa (véase el párrafo 10 anterior), el Comité Consultivo:</w:t>
      </w:r>
    </w:p>
    <w:p w:rsidR="00E65183" w:rsidRPr="00C83BDF" w:rsidRDefault="00E65183" w:rsidP="00E65183">
      <w:pPr>
        <w:rPr>
          <w:lang w:val="es-ES_tradnl"/>
        </w:rPr>
      </w:pPr>
    </w:p>
    <w:p w:rsidR="00E65183" w:rsidRPr="00C83BDF" w:rsidRDefault="00E65183" w:rsidP="00E65183">
      <w:pPr>
        <w:shd w:val="clear" w:color="auto" w:fill="FFFFFF"/>
        <w:rPr>
          <w:lang w:val="es-ES_tradnl"/>
        </w:rPr>
      </w:pPr>
      <w:r w:rsidRPr="00C83BDF">
        <w:rPr>
          <w:lang w:val="es-ES_tradnl"/>
        </w:rPr>
        <w:tab/>
      </w:r>
      <w:r w:rsidR="002C13A8" w:rsidRPr="00C83BDF">
        <w:rPr>
          <w:lang w:val="es-ES_tradnl"/>
        </w:rPr>
        <w:t>a)</w:t>
      </w:r>
      <w:r w:rsidRPr="00C83BDF">
        <w:rPr>
          <w:lang w:val="es-ES_tradnl"/>
        </w:rPr>
        <w:tab/>
      </w:r>
      <w:r w:rsidR="002C13A8" w:rsidRPr="00C83BDF">
        <w:rPr>
          <w:lang w:val="es-ES_tradnl"/>
        </w:rPr>
        <w:t xml:space="preserve">tomó nota de la solicitud de la </w:t>
      </w:r>
      <w:r w:rsidR="002C13A8" w:rsidRPr="00C83BDF">
        <w:rPr>
          <w:i/>
          <w:lang w:val="es-ES_tradnl"/>
        </w:rPr>
        <w:t>Association for Plant Breeding for the Benefit of Society</w:t>
      </w:r>
      <w:r w:rsidR="002C13A8" w:rsidRPr="00C83BDF">
        <w:rPr>
          <w:lang w:val="es-ES_tradnl"/>
        </w:rPr>
        <w:t xml:space="preserve"> (APBREBES), dirigida a la Oficina de la Unión, para participar en el Comité Consultivo con objeto de presentar los puntos de vista de la APBREBES sobre el proyecto de Protocolo de la ARIPO para la Protección de las Obtenciones Vegetales.</w:t>
      </w:r>
      <w:r w:rsidRPr="00C83BDF">
        <w:rPr>
          <w:lang w:val="es-ES_tradnl"/>
        </w:rPr>
        <w:t xml:space="preserve">  </w:t>
      </w:r>
      <w:r w:rsidR="002C13A8" w:rsidRPr="00C83BDF">
        <w:rPr>
          <w:lang w:val="es-ES_tradnl"/>
        </w:rPr>
        <w:t>El Comité Consultivo señaló que se respondería a la APBREBES de conformidad con el documento UPOV/INF/19/1.</w:t>
      </w:r>
      <w:r w:rsidRPr="00C83BDF">
        <w:rPr>
          <w:rFonts w:cs="Arial"/>
          <w:lang w:val="es-ES_tradnl"/>
        </w:rPr>
        <w:t xml:space="preserve">  </w:t>
      </w:r>
      <w:r w:rsidR="002C13A8" w:rsidRPr="00C83BDF">
        <w:rPr>
          <w:lang w:val="es-ES_tradnl"/>
        </w:rPr>
        <w:t xml:space="preserve">El Comité Consultivo observó además que se había recibido un correo electrónico de fecha 11 de abril de 2014 de la APBREBES, enviado a la Oficina de la Unión, en el que se solicitaba que se compartiera con los miembros de la Unión una carta abierta de la </w:t>
      </w:r>
      <w:r w:rsidR="00621497" w:rsidRPr="00C83BDF">
        <w:rPr>
          <w:i/>
          <w:lang w:val="es-ES_tradnl"/>
        </w:rPr>
        <w:t>Alliance for Food Sovereignty in Africa</w:t>
      </w:r>
      <w:r w:rsidR="00621497" w:rsidRPr="00C83BDF">
        <w:rPr>
          <w:lang w:val="es-ES_tradnl"/>
        </w:rPr>
        <w:t xml:space="preserve"> </w:t>
      </w:r>
      <w:r w:rsidR="002C13A8" w:rsidRPr="00C83BDF">
        <w:rPr>
          <w:lang w:val="es-ES_tradnl"/>
        </w:rPr>
        <w:t>(AFSA) dirigida a ellos.</w:t>
      </w:r>
      <w:r w:rsidRPr="00C83BDF">
        <w:rPr>
          <w:lang w:val="es-ES_tradnl"/>
        </w:rPr>
        <w:t xml:space="preserve">  </w:t>
      </w:r>
      <w:r w:rsidR="002C13A8" w:rsidRPr="00C83BDF">
        <w:rPr>
          <w:lang w:val="es-ES_tradnl"/>
        </w:rPr>
        <w:t>El Comité Consultivo tomó nota de que se habían distribuido ejemplares de dicha carta;</w:t>
      </w:r>
    </w:p>
    <w:p w:rsidR="00E65183" w:rsidRPr="00C83BDF" w:rsidRDefault="00E65183" w:rsidP="00E65183">
      <w:pPr>
        <w:rPr>
          <w:lang w:val="es-ES_tradnl"/>
        </w:rPr>
      </w:pPr>
    </w:p>
    <w:p w:rsidR="00E65183" w:rsidRPr="00C83BDF" w:rsidRDefault="00E65183" w:rsidP="00E65183">
      <w:pPr>
        <w:rPr>
          <w:spacing w:val="-2"/>
          <w:lang w:val="es-ES_tradnl"/>
        </w:rPr>
      </w:pPr>
      <w:r w:rsidRPr="00C83BDF">
        <w:rPr>
          <w:lang w:val="es-ES_tradnl"/>
        </w:rPr>
        <w:tab/>
      </w:r>
      <w:r w:rsidR="002C13A8" w:rsidRPr="00C83BDF">
        <w:rPr>
          <w:lang w:val="es-ES_tradnl"/>
        </w:rPr>
        <w:t>b)</w:t>
      </w:r>
      <w:r w:rsidRPr="00C83BDF">
        <w:rPr>
          <w:lang w:val="es-ES_tradnl"/>
        </w:rPr>
        <w:tab/>
      </w:r>
      <w:r w:rsidR="002C13A8" w:rsidRPr="00C83BDF">
        <w:rPr>
          <w:lang w:val="es-ES_tradnl"/>
        </w:rPr>
        <w:t>tomó nota de que, conforme a la evaluación de riesgos de la UPOV, no se había realizado ninguna auditoría interna de la UPOV en el año 2013 y que el plan de trabajo anual de la División de Auditoría y Supervisión Internas para 2014 no contemplaba una auditoría interna de la UPOV.</w:t>
      </w:r>
      <w:r w:rsidRPr="00C83BDF">
        <w:rPr>
          <w:lang w:val="es-ES_tradnl"/>
        </w:rPr>
        <w:t xml:space="preserve">  </w:t>
      </w:r>
      <w:r w:rsidR="002C13A8" w:rsidRPr="00C83BDF">
        <w:rPr>
          <w:lang w:val="es-ES_tradnl"/>
        </w:rPr>
        <w:t>También tomó nota de la información que figura en los informes trimestrales de 2013 de la Comisión Consultiva Independiente de Supervisión (CCIS) de la OMPI (documentos WO/IAOC/28/2, WO/IAOC/29/2, WO/IAOC/30/2 y WO/IAOC/31/2) y en el informe anual 2012</w:t>
      </w:r>
      <w:r w:rsidR="002C13A8" w:rsidRPr="00C83BDF">
        <w:rPr>
          <w:lang w:val="es-ES_tradnl"/>
        </w:rPr>
        <w:noBreakHyphen/>
        <w:t>2013 de la CCIS (documento WO/GA/43/5);</w:t>
      </w:r>
    </w:p>
    <w:p w:rsidR="00E65183" w:rsidRPr="00C83BDF" w:rsidRDefault="00E65183" w:rsidP="00E65183">
      <w:pPr>
        <w:rPr>
          <w:spacing w:val="-2"/>
          <w:lang w:val="es-ES_tradnl"/>
        </w:rPr>
      </w:pPr>
    </w:p>
    <w:p w:rsidR="00E65183" w:rsidRPr="00C83BDF" w:rsidRDefault="00E65183" w:rsidP="00E65183">
      <w:pPr>
        <w:rPr>
          <w:spacing w:val="-2"/>
          <w:lang w:val="es-ES_tradnl"/>
        </w:rPr>
      </w:pPr>
      <w:r w:rsidRPr="00C83BDF">
        <w:rPr>
          <w:lang w:val="es-ES_tradnl"/>
        </w:rPr>
        <w:tab/>
      </w:r>
      <w:r w:rsidR="002C13A8" w:rsidRPr="00C83BDF">
        <w:rPr>
          <w:lang w:val="es-ES_tradnl"/>
        </w:rPr>
        <w:t>c)</w:t>
      </w:r>
      <w:r w:rsidRPr="00C83BDF">
        <w:rPr>
          <w:lang w:val="es-ES_tradnl"/>
        </w:rPr>
        <w:tab/>
      </w:r>
      <w:r w:rsidR="002C13A8" w:rsidRPr="00C83BDF">
        <w:rPr>
          <w:snapToGrid w:val="0"/>
          <w:lang w:val="es-ES_tradnl"/>
        </w:rPr>
        <w:t>acordó sustituir el título del punto habitual del orden del día por “Auditoría interna e informes de la Comisión Consultiva Independiente de Supervisión de la OMPI”;</w:t>
      </w:r>
    </w:p>
    <w:p w:rsidR="00E65183" w:rsidRPr="00C83BDF" w:rsidRDefault="00E65183" w:rsidP="00E65183">
      <w:pPr>
        <w:rPr>
          <w:lang w:val="es-ES_tradnl"/>
        </w:rPr>
      </w:pPr>
    </w:p>
    <w:p w:rsidR="00E65183" w:rsidRPr="00C83BDF" w:rsidRDefault="00E65183" w:rsidP="00E65183">
      <w:pPr>
        <w:rPr>
          <w:snapToGrid w:val="0"/>
          <w:lang w:val="es-ES_tradnl"/>
        </w:rPr>
      </w:pPr>
      <w:r w:rsidRPr="00C83BDF">
        <w:rPr>
          <w:snapToGrid w:val="0"/>
          <w:lang w:val="es-ES_tradnl"/>
        </w:rPr>
        <w:tab/>
      </w:r>
      <w:r w:rsidR="002C13A8" w:rsidRPr="00C83BDF">
        <w:rPr>
          <w:snapToGrid w:val="0"/>
          <w:lang w:val="es-ES_tradnl"/>
        </w:rPr>
        <w:t>d)</w:t>
      </w:r>
      <w:r w:rsidRPr="00C83BDF">
        <w:rPr>
          <w:snapToGrid w:val="0"/>
          <w:lang w:val="es-ES_tradnl"/>
        </w:rPr>
        <w:tab/>
      </w:r>
      <w:r w:rsidR="002C13A8" w:rsidRPr="00C83BDF">
        <w:rPr>
          <w:snapToGrid w:val="0"/>
          <w:lang w:val="es-ES_tradnl"/>
        </w:rPr>
        <w:t>tomó nota de los planes de digitalización y publicación en el sitio web de la UPOV de importantes documentos que no se habían publicado en dicho sitio web;</w:t>
      </w:r>
    </w:p>
    <w:p w:rsidR="00E65183" w:rsidRPr="00C83BDF" w:rsidRDefault="00E65183" w:rsidP="00E65183">
      <w:pPr>
        <w:rPr>
          <w:snapToGrid w:val="0"/>
          <w:lang w:val="es-ES_tradnl"/>
        </w:rPr>
      </w:pPr>
    </w:p>
    <w:p w:rsidR="00E65183" w:rsidRPr="00C83BDF" w:rsidRDefault="00E65183" w:rsidP="00E65183">
      <w:pPr>
        <w:rPr>
          <w:snapToGrid w:val="0"/>
          <w:lang w:val="es-ES_tradnl"/>
        </w:rPr>
      </w:pPr>
      <w:r w:rsidRPr="00C83BDF">
        <w:rPr>
          <w:snapToGrid w:val="0"/>
          <w:lang w:val="es-ES_tradnl"/>
        </w:rPr>
        <w:tab/>
      </w:r>
      <w:r w:rsidR="002C13A8" w:rsidRPr="00C83BDF">
        <w:rPr>
          <w:snapToGrid w:val="0"/>
          <w:lang w:val="es-ES_tradnl"/>
        </w:rPr>
        <w:t>e)</w:t>
      </w:r>
      <w:r w:rsidRPr="00C83BDF">
        <w:rPr>
          <w:snapToGrid w:val="0"/>
          <w:lang w:val="es-ES_tradnl"/>
        </w:rPr>
        <w:tab/>
      </w:r>
      <w:r w:rsidR="002C13A8" w:rsidRPr="00C83BDF">
        <w:rPr>
          <w:snapToGrid w:val="0"/>
          <w:lang w:val="es-ES_tradnl"/>
        </w:rPr>
        <w:t>acordó el procedimiento de comprobación de las traducciones antes de su publicación en el sitio web de la UPOV;</w:t>
      </w:r>
    </w:p>
    <w:p w:rsidR="00E65183" w:rsidRPr="00C83BDF" w:rsidRDefault="00E65183" w:rsidP="00E65183">
      <w:pPr>
        <w:rPr>
          <w:snapToGrid w:val="0"/>
          <w:lang w:val="es-ES_tradnl"/>
        </w:rPr>
      </w:pPr>
    </w:p>
    <w:p w:rsidR="00E65183" w:rsidRPr="00C83BDF" w:rsidRDefault="00E65183" w:rsidP="00E65183">
      <w:pPr>
        <w:rPr>
          <w:snapToGrid w:val="0"/>
          <w:lang w:val="es-ES_tradnl"/>
        </w:rPr>
      </w:pPr>
      <w:r w:rsidRPr="00C83BDF">
        <w:rPr>
          <w:snapToGrid w:val="0"/>
          <w:lang w:val="es-ES_tradnl"/>
        </w:rPr>
        <w:tab/>
      </w:r>
      <w:r w:rsidR="002C13A8" w:rsidRPr="00C83BDF">
        <w:rPr>
          <w:snapToGrid w:val="0"/>
          <w:lang w:val="es-ES_tradnl"/>
        </w:rPr>
        <w:t>f)</w:t>
      </w:r>
      <w:r w:rsidRPr="00C83BDF">
        <w:rPr>
          <w:snapToGrid w:val="0"/>
          <w:lang w:val="es-ES_tradnl"/>
        </w:rPr>
        <w:tab/>
      </w:r>
      <w:r w:rsidR="002C13A8" w:rsidRPr="00C83BDF">
        <w:rPr>
          <w:snapToGrid w:val="0"/>
          <w:lang w:val="es-ES_tradnl"/>
        </w:rPr>
        <w:t xml:space="preserve">tomó nota de que los recursos de la Oficina de la Unión no habían permitido hasta ahora publicar en el sitio </w:t>
      </w:r>
      <w:r w:rsidR="00017B95" w:rsidRPr="00C83BDF">
        <w:rPr>
          <w:snapToGrid w:val="0"/>
          <w:lang w:val="es-ES_tradnl"/>
        </w:rPr>
        <w:t xml:space="preserve">web </w:t>
      </w:r>
      <w:r w:rsidR="002C13A8" w:rsidRPr="00C83BDF">
        <w:rPr>
          <w:snapToGrid w:val="0"/>
          <w:lang w:val="es-ES_tradnl"/>
        </w:rPr>
        <w:t>de la UPOV la fecha de la concesión de la condición de observador en la lista de observadores ante los órganos de la UPOV;</w:t>
      </w:r>
    </w:p>
    <w:p w:rsidR="00E65183" w:rsidRPr="00C83BDF" w:rsidRDefault="00E65183" w:rsidP="00E65183">
      <w:pPr>
        <w:rPr>
          <w:snapToGrid w:val="0"/>
          <w:lang w:val="es-ES_tradnl"/>
        </w:rPr>
      </w:pPr>
    </w:p>
    <w:p w:rsidR="00E65183" w:rsidRPr="00C83BDF" w:rsidRDefault="00E65183" w:rsidP="00E65183">
      <w:pPr>
        <w:rPr>
          <w:snapToGrid w:val="0"/>
          <w:lang w:val="es-ES_tradnl"/>
        </w:rPr>
      </w:pPr>
      <w:r w:rsidRPr="00C83BDF">
        <w:rPr>
          <w:snapToGrid w:val="0"/>
          <w:lang w:val="es-ES_tradnl"/>
        </w:rPr>
        <w:tab/>
      </w:r>
      <w:r w:rsidR="00017B95" w:rsidRPr="00C83BDF">
        <w:rPr>
          <w:snapToGrid w:val="0"/>
          <w:lang w:val="es-ES_tradnl"/>
        </w:rPr>
        <w:t>g)</w:t>
      </w:r>
      <w:r w:rsidRPr="00C83BDF">
        <w:rPr>
          <w:snapToGrid w:val="0"/>
          <w:lang w:val="es-ES_tradnl"/>
        </w:rPr>
        <w:tab/>
      </w:r>
      <w:r w:rsidR="00AE1E6B" w:rsidRPr="00C83BDF">
        <w:rPr>
          <w:snapToGrid w:val="0"/>
          <w:lang w:val="es-ES_tradnl"/>
        </w:rPr>
        <w:t>tomó nota de información relativa a los consultores a los que la UPOV recurrió en 2013;</w:t>
      </w:r>
    </w:p>
    <w:p w:rsidR="00E65183" w:rsidRPr="00C83BDF" w:rsidRDefault="00E65183" w:rsidP="00E65183">
      <w:pPr>
        <w:rPr>
          <w:lang w:val="es-ES_tradnl"/>
        </w:rPr>
      </w:pPr>
    </w:p>
    <w:p w:rsidR="00E65183" w:rsidRPr="00C83BDF" w:rsidRDefault="00E65183" w:rsidP="00E65183">
      <w:pPr>
        <w:rPr>
          <w:lang w:val="es-ES_tradnl"/>
        </w:rPr>
      </w:pPr>
      <w:r w:rsidRPr="00C83BDF">
        <w:rPr>
          <w:lang w:val="es-ES_tradnl"/>
        </w:rPr>
        <w:tab/>
      </w:r>
      <w:r w:rsidR="00AE1E6B" w:rsidRPr="00C83BDF">
        <w:rPr>
          <w:lang w:val="es-ES_tradnl"/>
        </w:rPr>
        <w:t>h)</w:t>
      </w:r>
      <w:r w:rsidRPr="00C83BDF">
        <w:rPr>
          <w:lang w:val="es-ES_tradnl"/>
        </w:rPr>
        <w:tab/>
      </w:r>
      <w:r w:rsidR="000A351A" w:rsidRPr="00C83BDF">
        <w:rPr>
          <w:lang w:val="es-ES_tradnl"/>
        </w:rPr>
        <w:t>recomendó al Consejo la adopción de las respuestas a las preguntas frecuentes, que figuran en el Anexo del documento C(Extr.)/31/3, y solicitó a la Oficina de la Unión que redactara propuestas de preguntas y respuestas relativas a las siguientes cuestiones, basándose en las contribuciones de los miembros de la Unión:</w:t>
      </w:r>
    </w:p>
    <w:p w:rsidR="00E65183" w:rsidRPr="00C83BDF" w:rsidRDefault="00E65183" w:rsidP="00E65183">
      <w:pPr>
        <w:rPr>
          <w:lang w:val="es-ES_tradnl"/>
        </w:rPr>
      </w:pPr>
    </w:p>
    <w:p w:rsidR="00E65183" w:rsidRPr="00C83BDF" w:rsidRDefault="000A351A" w:rsidP="003C51F7">
      <w:pPr>
        <w:pStyle w:val="ListParagraph"/>
        <w:numPr>
          <w:ilvl w:val="0"/>
          <w:numId w:val="14"/>
        </w:numPr>
        <w:spacing w:after="60"/>
        <w:ind w:left="568" w:hanging="284"/>
        <w:contextualSpacing w:val="0"/>
        <w:rPr>
          <w:lang w:val="es-ES_tradnl"/>
        </w:rPr>
      </w:pPr>
      <w:r w:rsidRPr="00C83BDF">
        <w:rPr>
          <w:lang w:val="es-ES_tradnl"/>
        </w:rPr>
        <w:t>el Convenio de la UPOV no regula las condiciones de utilización de las variedades que no son objeto de la protección de derechos de obtentor;</w:t>
      </w:r>
    </w:p>
    <w:p w:rsidR="00E65183" w:rsidRPr="00C83BDF" w:rsidRDefault="007E683B" w:rsidP="003C51F7">
      <w:pPr>
        <w:pStyle w:val="ListParagraph"/>
        <w:numPr>
          <w:ilvl w:val="0"/>
          <w:numId w:val="14"/>
        </w:numPr>
        <w:spacing w:after="60"/>
        <w:ind w:left="568" w:hanging="284"/>
        <w:contextualSpacing w:val="0"/>
        <w:rPr>
          <w:lang w:val="es-ES_tradnl"/>
        </w:rPr>
      </w:pPr>
      <w:r w:rsidRPr="00C83BDF">
        <w:rPr>
          <w:lang w:val="es-ES_tradnl"/>
        </w:rPr>
        <w:t>la posibilidad de los agricultores de subsistencia de intercambiar cantidades insignificantes o sin importancia de un producto alimenticio cosechado por otros bienes vitales dentro de la comunidad local;</w:t>
      </w:r>
    </w:p>
    <w:p w:rsidR="00E65183" w:rsidRPr="00C83BDF" w:rsidRDefault="007E683B" w:rsidP="003C51F7">
      <w:pPr>
        <w:pStyle w:val="ListParagraph"/>
        <w:numPr>
          <w:ilvl w:val="0"/>
          <w:numId w:val="14"/>
        </w:numPr>
        <w:spacing w:after="60"/>
        <w:ind w:left="568" w:hanging="284"/>
        <w:contextualSpacing w:val="0"/>
        <w:rPr>
          <w:lang w:val="es-ES_tradnl"/>
        </w:rPr>
      </w:pPr>
      <w:r w:rsidRPr="00C83BDF">
        <w:rPr>
          <w:lang w:val="es-ES_tradnl"/>
        </w:rPr>
        <w:t>en virtud del sistema de la UPOV, los obtentores deciden las condiciones y las limitaciones a las que está sujeta la autorización de la explotación de sus variedades protegidas.</w:t>
      </w:r>
      <w:r w:rsidR="00E65183" w:rsidRPr="00C83BDF">
        <w:rPr>
          <w:lang w:val="es-ES_tradnl"/>
        </w:rPr>
        <w:t xml:space="preserve">  </w:t>
      </w:r>
      <w:r w:rsidR="00F81CA2" w:rsidRPr="00C83BDF">
        <w:rPr>
          <w:lang w:val="es-ES_tradnl"/>
        </w:rPr>
        <w:t>Por ejemplo, pueden permitir a los agricultores intercambiar semillas libremente dentro de la comunidad local;</w:t>
      </w:r>
    </w:p>
    <w:p w:rsidR="00E65183" w:rsidRPr="00C83BDF" w:rsidRDefault="00F81CA2" w:rsidP="00E65183">
      <w:pPr>
        <w:pStyle w:val="ListParagraph"/>
        <w:numPr>
          <w:ilvl w:val="0"/>
          <w:numId w:val="14"/>
        </w:numPr>
        <w:ind w:left="567" w:hanging="283"/>
        <w:rPr>
          <w:lang w:val="es-ES_tradnl"/>
        </w:rPr>
      </w:pPr>
      <w:r w:rsidRPr="00C83BDF">
        <w:rPr>
          <w:lang w:val="es-ES_tradnl"/>
        </w:rPr>
        <w:t>la presentación de información sobre la situación en la UPOV en lo que respecta al uso de técnicas moleculares, para un público más amplio, que incluya al público en general</w:t>
      </w:r>
    </w:p>
    <w:p w:rsidR="00E65183" w:rsidRPr="00C83BDF" w:rsidRDefault="00E65183" w:rsidP="00E65183">
      <w:pPr>
        <w:rPr>
          <w:lang w:val="es-ES_tradnl"/>
        </w:rPr>
      </w:pPr>
    </w:p>
    <w:p w:rsidR="00E65183" w:rsidRPr="00C83BDF" w:rsidRDefault="00E65183" w:rsidP="00E65183">
      <w:pPr>
        <w:rPr>
          <w:snapToGrid w:val="0"/>
          <w:lang w:val="es-ES_tradnl"/>
        </w:rPr>
      </w:pPr>
      <w:r w:rsidRPr="00C83BDF">
        <w:rPr>
          <w:snapToGrid w:val="0"/>
          <w:lang w:val="es-ES_tradnl"/>
        </w:rPr>
        <w:tab/>
      </w:r>
      <w:r w:rsidR="00F81CA2" w:rsidRPr="00C83BDF">
        <w:rPr>
          <w:snapToGrid w:val="0"/>
          <w:lang w:val="es-ES_tradnl"/>
        </w:rPr>
        <w:t>i)</w:t>
      </w:r>
      <w:r w:rsidRPr="00C83BDF">
        <w:rPr>
          <w:snapToGrid w:val="0"/>
          <w:lang w:val="es-ES_tradnl"/>
        </w:rPr>
        <w:tab/>
      </w:r>
      <w:r w:rsidR="00F81CA2" w:rsidRPr="00C83BDF">
        <w:rPr>
          <w:snapToGrid w:val="0"/>
          <w:lang w:val="es-ES_tradnl"/>
        </w:rPr>
        <w:t>tomó nota de las novedades relativas al material de información y las bases de datos de descripciones de variedades;</w:t>
      </w:r>
    </w:p>
    <w:p w:rsidR="00E65183" w:rsidRPr="00C83BDF" w:rsidRDefault="00E65183" w:rsidP="00E65183">
      <w:pPr>
        <w:rPr>
          <w:snapToGrid w:val="0"/>
          <w:lang w:val="es-ES_tradnl"/>
        </w:rPr>
      </w:pPr>
    </w:p>
    <w:p w:rsidR="00E65183" w:rsidRPr="00C83BDF" w:rsidRDefault="00E65183" w:rsidP="00E65183">
      <w:pPr>
        <w:rPr>
          <w:snapToGrid w:val="0"/>
          <w:lang w:val="es-ES_tradnl"/>
        </w:rPr>
      </w:pPr>
      <w:r w:rsidRPr="00C83BDF">
        <w:rPr>
          <w:snapToGrid w:val="0"/>
          <w:lang w:val="es-ES_tradnl"/>
        </w:rPr>
        <w:tab/>
      </w:r>
      <w:r w:rsidR="00F81CA2" w:rsidRPr="00C83BDF">
        <w:rPr>
          <w:snapToGrid w:val="0"/>
          <w:lang w:val="es-ES_tradnl"/>
        </w:rPr>
        <w:t>j)</w:t>
      </w:r>
      <w:r w:rsidRPr="00C83BDF">
        <w:rPr>
          <w:snapToGrid w:val="0"/>
          <w:lang w:val="es-ES_tradnl"/>
        </w:rPr>
        <w:tab/>
      </w:r>
      <w:r w:rsidR="00F81CA2" w:rsidRPr="00C83BDF">
        <w:rPr>
          <w:snapToGrid w:val="0"/>
          <w:lang w:val="es-ES_tradnl"/>
        </w:rPr>
        <w:t xml:space="preserve">convino en invitar a la </w:t>
      </w:r>
      <w:r w:rsidR="00F81CA2" w:rsidRPr="00C83BDF">
        <w:rPr>
          <w:i/>
          <w:snapToGrid w:val="0"/>
          <w:lang w:val="es-ES_tradnl"/>
        </w:rPr>
        <w:t>International Seed Federation</w:t>
      </w:r>
      <w:r w:rsidR="00F81CA2" w:rsidRPr="00C83BDF">
        <w:rPr>
          <w:snapToGrid w:val="0"/>
          <w:lang w:val="es-ES_tradnl"/>
        </w:rPr>
        <w:t xml:space="preserve"> (ISF), la </w:t>
      </w:r>
      <w:r w:rsidR="00B455CA" w:rsidRPr="00C83BDF">
        <w:rPr>
          <w:snapToGrid w:val="0"/>
          <w:color w:val="000000"/>
          <w:lang w:val="es-ES_tradnl"/>
        </w:rPr>
        <w:t xml:space="preserve">Comunidad Internacional de Obtentores de Variedades Ornamentales y Frutales de Reproducción Asexuada </w:t>
      </w:r>
      <w:r w:rsidR="00F81CA2" w:rsidRPr="00C83BDF">
        <w:rPr>
          <w:snapToGrid w:val="0"/>
          <w:lang w:val="es-ES_tradnl"/>
        </w:rPr>
        <w:t>(CIOPORA) y CropLife International a dar detalles sobre los problemas que se plantean en la situación actual y las posibles soluciones que ofrecerían un sistema internacional de presentación de solicitudes, un programa de control de calidad de la UPOV y un sistema central para el examen de denominaciones de variedades, para someterlos al examen del Comité Consultivo en su octogésima octava sesión que se celebrar</w:t>
      </w:r>
      <w:r w:rsidR="00E15BDE" w:rsidRPr="00C83BDF">
        <w:rPr>
          <w:snapToGrid w:val="0"/>
          <w:lang w:val="es-ES_tradnl"/>
        </w:rPr>
        <w:t>ía</w:t>
      </w:r>
      <w:r w:rsidR="00F81CA2" w:rsidRPr="00C83BDF">
        <w:rPr>
          <w:snapToGrid w:val="0"/>
          <w:lang w:val="es-ES_tradnl"/>
        </w:rPr>
        <w:t xml:space="preserve"> en octubre de 2014.</w:t>
      </w:r>
      <w:r w:rsidRPr="00C83BDF">
        <w:rPr>
          <w:snapToGrid w:val="0"/>
          <w:lang w:val="es-ES_tradnl"/>
        </w:rPr>
        <w:t xml:space="preserve">  </w:t>
      </w:r>
      <w:r w:rsidR="00F81CA2" w:rsidRPr="00C83BDF">
        <w:rPr>
          <w:snapToGrid w:val="0"/>
          <w:lang w:val="es-ES_tradnl"/>
        </w:rPr>
        <w:t>El Comité Consultivo convino además en invitar a la ISF, la CIOPORA y CropLife International a estar presentes en la parte pertinente de su octogésima octava sesión, para facilitar información complementaria en respuesta a las preguntas que formule el Comité Consultivo.</w:t>
      </w:r>
      <w:r w:rsidRPr="00C83BDF">
        <w:rPr>
          <w:rFonts w:eastAsia="MS Mincho" w:cs="Arial"/>
          <w:color w:val="000000"/>
          <w:lang w:val="es-ES_tradnl" w:eastAsia="ja-JP"/>
        </w:rPr>
        <w:t xml:space="preserve">  </w:t>
      </w:r>
      <w:r w:rsidR="00F81CA2" w:rsidRPr="00C83BDF">
        <w:rPr>
          <w:snapToGrid w:val="0"/>
          <w:lang w:val="es-ES_tradnl"/>
        </w:rPr>
        <w:t>El Comité Consultivo solicitó a la Oficina de la Unión que facilite información pertinente sobre los sistemas internacionales de presentación de solicitudes de la OMPI en su octogésima octava sesión;</w:t>
      </w:r>
    </w:p>
    <w:p w:rsidR="00E65183" w:rsidRPr="00C83BDF" w:rsidRDefault="00E65183" w:rsidP="00E65183">
      <w:pPr>
        <w:rPr>
          <w:lang w:val="es-ES_tradnl"/>
        </w:rPr>
      </w:pPr>
    </w:p>
    <w:p w:rsidR="00E65183" w:rsidRPr="00C83BDF" w:rsidRDefault="00E65183" w:rsidP="00E65183">
      <w:pPr>
        <w:rPr>
          <w:snapToGrid w:val="0"/>
          <w:lang w:val="es-ES_tradnl"/>
        </w:rPr>
      </w:pPr>
      <w:r w:rsidRPr="00C83BDF">
        <w:rPr>
          <w:snapToGrid w:val="0"/>
          <w:lang w:val="es-ES_tradnl"/>
        </w:rPr>
        <w:tab/>
      </w:r>
      <w:r w:rsidR="00F81CA2" w:rsidRPr="00C83BDF">
        <w:rPr>
          <w:snapToGrid w:val="0"/>
          <w:lang w:val="es-ES_tradnl"/>
        </w:rPr>
        <w:t>k)</w:t>
      </w:r>
      <w:r w:rsidRPr="00C83BDF">
        <w:rPr>
          <w:snapToGrid w:val="0"/>
          <w:lang w:val="es-ES_tradnl"/>
        </w:rPr>
        <w:tab/>
      </w:r>
      <w:r w:rsidR="00F81CA2" w:rsidRPr="00C83BDF">
        <w:rPr>
          <w:snapToGrid w:val="0"/>
          <w:lang w:val="es-ES_tradnl"/>
        </w:rPr>
        <w:t>convino en la división del curso DL</w:t>
      </w:r>
      <w:r w:rsidR="00F81CA2" w:rsidRPr="00C83BDF">
        <w:rPr>
          <w:snapToGrid w:val="0"/>
          <w:lang w:val="es-ES_tradnl"/>
        </w:rPr>
        <w:noBreakHyphen/>
        <w:t>305 en dos cursos independientes, el DL</w:t>
      </w:r>
      <w:r w:rsidR="00F81CA2" w:rsidRPr="00C83BDF">
        <w:rPr>
          <w:snapToGrid w:val="0"/>
          <w:lang w:val="es-ES_tradnl"/>
        </w:rPr>
        <w:noBreakHyphen/>
        <w:t>305</w:t>
      </w:r>
      <w:r w:rsidR="00F81CA2" w:rsidRPr="00C83BDF">
        <w:rPr>
          <w:snapToGrid w:val="0"/>
          <w:lang w:val="es-ES_tradnl"/>
        </w:rPr>
        <w:noBreakHyphen/>
        <w:t>1 “Administración de los derechos de obtentor” y el DL</w:t>
      </w:r>
      <w:r w:rsidR="00F81CA2" w:rsidRPr="00C83BDF">
        <w:rPr>
          <w:snapToGrid w:val="0"/>
          <w:lang w:val="es-ES_tradnl"/>
        </w:rPr>
        <w:noBreakHyphen/>
        <w:t>305</w:t>
      </w:r>
      <w:r w:rsidR="00F81CA2" w:rsidRPr="00C83BDF">
        <w:rPr>
          <w:snapToGrid w:val="0"/>
          <w:lang w:val="es-ES_tradnl"/>
        </w:rPr>
        <w:noBreakHyphen/>
        <w:t>2 “Examen DHE”</w:t>
      </w:r>
      <w:r w:rsidR="004C61C7" w:rsidRPr="00C83BDF">
        <w:rPr>
          <w:snapToGrid w:val="0"/>
          <w:lang w:val="es-ES_tradnl"/>
        </w:rPr>
        <w:t>,</w:t>
      </w:r>
      <w:r w:rsidR="00F81CA2" w:rsidRPr="00C83BDF">
        <w:rPr>
          <w:snapToGrid w:val="0"/>
          <w:lang w:val="es-ES_tradnl"/>
        </w:rPr>
        <w:t xml:space="preserve"> y aprobó el siguiente programa propuesto para los cursos de enseñanza a distancia en 2014 y 2015:</w:t>
      </w:r>
    </w:p>
    <w:p w:rsidR="00E65183" w:rsidRPr="00C83BDF" w:rsidRDefault="00E65183" w:rsidP="00E65183">
      <w:pPr>
        <w:rPr>
          <w:snapToGrid w:val="0"/>
          <w:lang w:val="es-ES_tradnl"/>
        </w:rPr>
      </w:pPr>
    </w:p>
    <w:p w:rsidR="00E65183" w:rsidRPr="00C83BDF" w:rsidRDefault="00F81CA2" w:rsidP="00FC3A0C">
      <w:pPr>
        <w:ind w:left="567"/>
        <w:rPr>
          <w:rFonts w:cs="Arial"/>
          <w:lang w:val="es-ES_tradnl"/>
        </w:rPr>
      </w:pPr>
      <w:r w:rsidRPr="00C83BDF">
        <w:rPr>
          <w:rFonts w:cs="Arial"/>
          <w:lang w:val="es-ES_tradnl"/>
        </w:rPr>
        <w:t>Del 31 de marzo al 11 de mayo de 2014</w:t>
      </w:r>
      <w:r w:rsidR="00E65183" w:rsidRPr="00C83BDF">
        <w:rPr>
          <w:rFonts w:cs="Arial"/>
          <w:lang w:val="es-ES_tradnl"/>
        </w:rPr>
        <w:tab/>
      </w:r>
      <w:r w:rsidR="00E65183" w:rsidRPr="00C83BDF">
        <w:rPr>
          <w:rFonts w:cs="Arial"/>
          <w:lang w:val="es-ES_tradnl"/>
        </w:rPr>
        <w:tab/>
      </w:r>
      <w:r w:rsidRPr="00C83BDF">
        <w:rPr>
          <w:rFonts w:cs="Arial"/>
          <w:lang w:val="es-ES_tradnl"/>
        </w:rPr>
        <w:t>curso DL</w:t>
      </w:r>
      <w:r w:rsidRPr="00C83BDF">
        <w:rPr>
          <w:rFonts w:cs="Arial"/>
          <w:lang w:val="es-ES_tradnl"/>
        </w:rPr>
        <w:noBreakHyphen/>
        <w:t>305 completo (solo en inglés)</w:t>
      </w:r>
    </w:p>
    <w:p w:rsidR="00E65183" w:rsidRPr="00C83BDF" w:rsidRDefault="00F81CA2" w:rsidP="00FC3A0C">
      <w:pPr>
        <w:ind w:left="567"/>
        <w:rPr>
          <w:rFonts w:cs="Arial"/>
          <w:lang w:val="es-ES_tradnl"/>
        </w:rPr>
      </w:pPr>
      <w:r w:rsidRPr="00C83BDF">
        <w:rPr>
          <w:rFonts w:cs="Arial"/>
          <w:lang w:val="es-ES_tradnl"/>
        </w:rPr>
        <w:t>Del 5 de mayo al 8 de junio de 2014</w:t>
      </w:r>
      <w:r w:rsidR="00E65183" w:rsidRPr="00C83BDF">
        <w:rPr>
          <w:rFonts w:cs="Arial"/>
          <w:lang w:val="es-ES_tradnl"/>
        </w:rPr>
        <w:tab/>
      </w:r>
      <w:r w:rsidR="00E65183" w:rsidRPr="00C83BDF">
        <w:rPr>
          <w:rFonts w:cs="Arial"/>
          <w:lang w:val="es-ES_tradnl"/>
        </w:rPr>
        <w:tab/>
      </w:r>
      <w:r w:rsidR="00E65183" w:rsidRPr="00C83BDF">
        <w:rPr>
          <w:rFonts w:cs="Arial"/>
          <w:lang w:val="es-ES_tradnl"/>
        </w:rPr>
        <w:tab/>
      </w:r>
      <w:r w:rsidRPr="00C83BDF">
        <w:rPr>
          <w:rFonts w:cs="Arial"/>
          <w:lang w:val="es-ES_tradnl"/>
        </w:rPr>
        <w:t>DL</w:t>
      </w:r>
      <w:r w:rsidRPr="00C83BDF">
        <w:rPr>
          <w:rFonts w:cs="Arial"/>
          <w:lang w:val="es-ES_tradnl"/>
        </w:rPr>
        <w:noBreakHyphen/>
        <w:t>205 (alemán, español, francés, inglés)</w:t>
      </w:r>
    </w:p>
    <w:p w:rsidR="00E65183" w:rsidRPr="00C83BDF" w:rsidRDefault="00F81CA2" w:rsidP="00FC3A0C">
      <w:pPr>
        <w:ind w:left="567"/>
        <w:rPr>
          <w:rFonts w:cs="Arial"/>
          <w:lang w:val="es-ES_tradnl"/>
        </w:rPr>
      </w:pPr>
      <w:r w:rsidRPr="00C83BDF">
        <w:rPr>
          <w:rFonts w:cs="Arial"/>
          <w:lang w:val="es-ES_tradnl"/>
        </w:rPr>
        <w:t>Del 6 de octubre al 9 de noviembre de 2014</w:t>
      </w:r>
      <w:r w:rsidR="00E65183" w:rsidRPr="00C83BDF">
        <w:rPr>
          <w:rFonts w:cs="Arial"/>
          <w:lang w:val="es-ES_tradnl"/>
        </w:rPr>
        <w:tab/>
      </w:r>
      <w:r w:rsidR="00E65183" w:rsidRPr="00C83BDF">
        <w:rPr>
          <w:rFonts w:cs="Arial"/>
          <w:lang w:val="es-ES_tradnl"/>
        </w:rPr>
        <w:tab/>
      </w:r>
      <w:r w:rsidRPr="00C83BDF">
        <w:rPr>
          <w:rFonts w:cs="Arial"/>
          <w:lang w:val="es-ES_tradnl"/>
        </w:rPr>
        <w:t>DL</w:t>
      </w:r>
      <w:r w:rsidRPr="00C83BDF">
        <w:rPr>
          <w:rFonts w:cs="Arial"/>
          <w:lang w:val="es-ES_tradnl"/>
        </w:rPr>
        <w:noBreakHyphen/>
        <w:t>205 (alemán, español, francés, inglés)</w:t>
      </w:r>
    </w:p>
    <w:p w:rsidR="00E65183" w:rsidRPr="00C83BDF" w:rsidRDefault="00E65183" w:rsidP="00FC3A0C">
      <w:pPr>
        <w:ind w:left="567"/>
        <w:rPr>
          <w:rFonts w:cs="Arial"/>
          <w:lang w:val="es-ES_tradnl"/>
        </w:rPr>
      </w:pPr>
    </w:p>
    <w:p w:rsidR="00E65183" w:rsidRPr="00C83BDF" w:rsidRDefault="00F81CA2" w:rsidP="00FC3A0C">
      <w:pPr>
        <w:ind w:left="567"/>
        <w:rPr>
          <w:rFonts w:cs="Arial"/>
          <w:lang w:val="es-ES_tradnl"/>
        </w:rPr>
      </w:pPr>
      <w:r w:rsidRPr="00C83BDF">
        <w:rPr>
          <w:rFonts w:cs="Arial"/>
          <w:lang w:val="es-ES_tradnl"/>
        </w:rPr>
        <w:t>Febrero/marzo de 2015</w:t>
      </w:r>
      <w:r w:rsidR="00E65183" w:rsidRPr="00C83BDF">
        <w:rPr>
          <w:rFonts w:cs="Arial"/>
          <w:lang w:val="es-ES_tradnl"/>
        </w:rPr>
        <w:tab/>
      </w:r>
      <w:r w:rsidR="00E65183" w:rsidRPr="00C83BDF">
        <w:rPr>
          <w:rFonts w:cs="Arial"/>
          <w:lang w:val="es-ES_tradnl"/>
        </w:rPr>
        <w:tab/>
      </w:r>
      <w:r w:rsidR="00E65183" w:rsidRPr="00C83BDF">
        <w:rPr>
          <w:rFonts w:cs="Arial"/>
          <w:lang w:val="es-ES_tradnl"/>
        </w:rPr>
        <w:tab/>
      </w:r>
      <w:r w:rsidR="006D4483" w:rsidRPr="00C83BDF">
        <w:rPr>
          <w:rFonts w:cs="Arial"/>
          <w:lang w:val="es-ES_tradnl"/>
        </w:rPr>
        <w:tab/>
      </w:r>
      <w:r w:rsidR="006D4483" w:rsidRPr="00C83BDF">
        <w:rPr>
          <w:rFonts w:cs="Arial"/>
          <w:lang w:val="es-ES_tradnl"/>
        </w:rPr>
        <w:tab/>
      </w:r>
      <w:r w:rsidRPr="00C83BDF">
        <w:rPr>
          <w:rFonts w:cs="Arial"/>
          <w:lang w:val="es-ES_tradnl"/>
        </w:rPr>
        <w:t>DL</w:t>
      </w:r>
      <w:r w:rsidRPr="00C83BDF">
        <w:rPr>
          <w:rFonts w:cs="Arial"/>
          <w:lang w:val="es-ES_tradnl"/>
        </w:rPr>
        <w:noBreakHyphen/>
        <w:t>305</w:t>
      </w:r>
      <w:r w:rsidRPr="00C83BDF">
        <w:rPr>
          <w:rFonts w:cs="Arial"/>
          <w:lang w:val="es-ES_tradnl"/>
        </w:rPr>
        <w:noBreakHyphen/>
        <w:t>1 (español, francés, inglés)</w:t>
      </w:r>
    </w:p>
    <w:p w:rsidR="00E65183" w:rsidRPr="00C83BDF" w:rsidRDefault="00F81CA2" w:rsidP="00FC3A0C">
      <w:pPr>
        <w:ind w:left="567"/>
        <w:rPr>
          <w:rFonts w:cs="Arial"/>
          <w:lang w:val="es-ES_tradnl"/>
        </w:rPr>
      </w:pPr>
      <w:r w:rsidRPr="00C83BDF">
        <w:rPr>
          <w:rFonts w:cs="Arial"/>
          <w:lang w:val="es-ES_tradnl"/>
        </w:rPr>
        <w:t>Abril/mayo de 2015</w:t>
      </w:r>
      <w:r w:rsidR="00E65183" w:rsidRPr="00C83BDF">
        <w:rPr>
          <w:rFonts w:cs="Arial"/>
          <w:lang w:val="es-ES_tradnl"/>
        </w:rPr>
        <w:tab/>
      </w:r>
      <w:r w:rsidR="00E65183" w:rsidRPr="00C83BDF">
        <w:rPr>
          <w:rFonts w:cs="Arial"/>
          <w:lang w:val="es-ES_tradnl"/>
        </w:rPr>
        <w:tab/>
      </w:r>
      <w:r w:rsidR="00E65183" w:rsidRPr="00C83BDF">
        <w:rPr>
          <w:rFonts w:cs="Arial"/>
          <w:lang w:val="es-ES_tradnl"/>
        </w:rPr>
        <w:tab/>
      </w:r>
      <w:r w:rsidR="00E65183" w:rsidRPr="00C83BDF">
        <w:rPr>
          <w:rFonts w:cs="Arial"/>
          <w:lang w:val="es-ES_tradnl"/>
        </w:rPr>
        <w:tab/>
      </w:r>
      <w:r w:rsidR="006D4483" w:rsidRPr="00C83BDF">
        <w:rPr>
          <w:rFonts w:cs="Arial"/>
          <w:lang w:val="es-ES_tradnl"/>
        </w:rPr>
        <w:tab/>
      </w:r>
      <w:r w:rsidRPr="00C83BDF">
        <w:rPr>
          <w:rFonts w:cs="Arial"/>
          <w:lang w:val="es-ES_tradnl"/>
        </w:rPr>
        <w:t>DL</w:t>
      </w:r>
      <w:r w:rsidRPr="00C83BDF">
        <w:rPr>
          <w:rFonts w:cs="Arial"/>
          <w:lang w:val="es-ES_tradnl"/>
        </w:rPr>
        <w:noBreakHyphen/>
        <w:t>305</w:t>
      </w:r>
      <w:r w:rsidRPr="00C83BDF">
        <w:rPr>
          <w:rFonts w:cs="Arial"/>
          <w:lang w:val="es-ES_tradnl"/>
        </w:rPr>
        <w:noBreakHyphen/>
        <w:t>2 (español, francés, inglés)</w:t>
      </w:r>
    </w:p>
    <w:p w:rsidR="00E65183" w:rsidRPr="00C83BDF" w:rsidRDefault="00E65183" w:rsidP="00FC3A0C">
      <w:pPr>
        <w:ind w:left="567"/>
        <w:rPr>
          <w:rFonts w:cs="Arial"/>
          <w:lang w:val="es-ES_tradnl"/>
        </w:rPr>
      </w:pPr>
    </w:p>
    <w:p w:rsidR="00E65183" w:rsidRPr="00C83BDF" w:rsidRDefault="00F81CA2" w:rsidP="00FC3A0C">
      <w:pPr>
        <w:ind w:left="567"/>
        <w:rPr>
          <w:rFonts w:cs="Arial"/>
          <w:lang w:val="es-ES_tradnl"/>
        </w:rPr>
      </w:pPr>
      <w:r w:rsidRPr="00C83BDF">
        <w:rPr>
          <w:rFonts w:cs="Arial"/>
          <w:lang w:val="es-ES_tradnl"/>
        </w:rPr>
        <w:t>Octubre/noviembre de 2015</w:t>
      </w:r>
      <w:r w:rsidR="00E65183" w:rsidRPr="00C83BDF">
        <w:rPr>
          <w:rFonts w:cs="Arial"/>
          <w:lang w:val="es-ES_tradnl"/>
        </w:rPr>
        <w:tab/>
      </w:r>
      <w:r w:rsidR="00E65183" w:rsidRPr="00C83BDF">
        <w:rPr>
          <w:rFonts w:cs="Arial"/>
          <w:lang w:val="es-ES_tradnl"/>
        </w:rPr>
        <w:tab/>
      </w:r>
      <w:r w:rsidR="00E65183" w:rsidRPr="00C83BDF">
        <w:rPr>
          <w:rFonts w:cs="Arial"/>
          <w:lang w:val="es-ES_tradnl"/>
        </w:rPr>
        <w:tab/>
      </w:r>
      <w:r w:rsidR="006D4483" w:rsidRPr="00C83BDF">
        <w:rPr>
          <w:rFonts w:cs="Arial"/>
          <w:lang w:val="es-ES_tradnl"/>
        </w:rPr>
        <w:tab/>
      </w:r>
      <w:r w:rsidRPr="00C83BDF">
        <w:rPr>
          <w:rFonts w:cs="Arial"/>
          <w:lang w:val="es-ES_tradnl"/>
        </w:rPr>
        <w:t>DL</w:t>
      </w:r>
      <w:r w:rsidRPr="00C83BDF">
        <w:rPr>
          <w:rFonts w:cs="Arial"/>
          <w:lang w:val="es-ES_tradnl"/>
        </w:rPr>
        <w:noBreakHyphen/>
        <w:t>205 (alemán, español, francés, inglés)</w:t>
      </w:r>
    </w:p>
    <w:p w:rsidR="00E65183" w:rsidRPr="00C83BDF" w:rsidRDefault="00E65183" w:rsidP="00E65183">
      <w:pPr>
        <w:rPr>
          <w:snapToGrid w:val="0"/>
          <w:lang w:val="es-ES_tradnl"/>
        </w:rPr>
      </w:pPr>
    </w:p>
    <w:p w:rsidR="00E65183" w:rsidRPr="00C83BDF" w:rsidRDefault="00E65183" w:rsidP="00E65183">
      <w:pPr>
        <w:rPr>
          <w:snapToGrid w:val="0"/>
          <w:lang w:val="es-ES_tradnl"/>
        </w:rPr>
      </w:pPr>
      <w:r w:rsidRPr="00C83BDF">
        <w:rPr>
          <w:snapToGrid w:val="0"/>
          <w:lang w:val="es-ES_tradnl"/>
        </w:rPr>
        <w:tab/>
      </w:r>
      <w:r w:rsidR="003C74BE" w:rsidRPr="00C83BDF">
        <w:rPr>
          <w:snapToGrid w:val="0"/>
          <w:lang w:val="es-ES_tradnl"/>
        </w:rPr>
        <w:t>l)</w:t>
      </w:r>
      <w:r w:rsidRPr="00C83BDF">
        <w:rPr>
          <w:snapToGrid w:val="0"/>
          <w:lang w:val="es-ES_tradnl"/>
        </w:rPr>
        <w:tab/>
      </w:r>
      <w:r w:rsidR="003C74BE" w:rsidRPr="00C83BDF">
        <w:rPr>
          <w:snapToGrid w:val="0"/>
          <w:lang w:val="es-ES_tradnl"/>
        </w:rPr>
        <w:t>recomendó al Consejo que transmita su reconocimiento al Órgano Rector del ITPGRFA por el agradecimiento manifestado por dicho Órgano en relación con el apoyo práctico que la UPOV ha prestado al ITPGRFA y confirme su compromiso de apoyo mutuo.</w:t>
      </w:r>
      <w:r w:rsidRPr="00C83BDF">
        <w:rPr>
          <w:snapToGrid w:val="0"/>
          <w:lang w:val="es-ES_tradnl"/>
        </w:rPr>
        <w:t xml:space="preserve">  </w:t>
      </w:r>
      <w:r w:rsidR="00F54B44" w:rsidRPr="00C83BDF">
        <w:rPr>
          <w:snapToGrid w:val="0"/>
          <w:lang w:val="es-ES_tradnl"/>
        </w:rPr>
        <w:t>El Comité Consultivo pidió a la Oficina de la Unión que determine, junto con el Secretario del ITPGRFA y la Secretaría de la OMPI, las posibles esferas de interrelación de los instrumentos internacionales del ITPGRFA, la OMPI y la UPOV con miras a la elaboración de una publicación conjunta sobre las cuestiones interrelacionadas en los ámbitos de la innovación y los recursos fitogenéticos</w:t>
      </w:r>
      <w:r w:rsidR="004C61C7" w:rsidRPr="00C83BDF">
        <w:rPr>
          <w:snapToGrid w:val="0"/>
          <w:lang w:val="es-ES_tradnl"/>
        </w:rPr>
        <w:t>, así como otras posibles iniciativas</w:t>
      </w:r>
      <w:r w:rsidR="00F54B44" w:rsidRPr="00C83BDF">
        <w:rPr>
          <w:snapToGrid w:val="0"/>
          <w:lang w:val="es-ES_tradnl"/>
        </w:rPr>
        <w:t>, y presente propuestas que se someterán al examen del Comité Consultivo en su octogésima octava sesión;</w:t>
      </w:r>
    </w:p>
    <w:p w:rsidR="00E65183" w:rsidRPr="00C83BDF" w:rsidRDefault="00E65183" w:rsidP="00E65183">
      <w:pPr>
        <w:rPr>
          <w:snapToGrid w:val="0"/>
          <w:lang w:val="es-ES_tradnl"/>
        </w:rPr>
      </w:pPr>
    </w:p>
    <w:p w:rsidR="00272465" w:rsidRPr="00C83BDF" w:rsidRDefault="00E65183" w:rsidP="00272465">
      <w:pPr>
        <w:rPr>
          <w:snapToGrid w:val="0"/>
          <w:lang w:val="es-ES_tradnl"/>
        </w:rPr>
      </w:pPr>
      <w:r w:rsidRPr="00C83BDF">
        <w:rPr>
          <w:snapToGrid w:val="0"/>
          <w:lang w:val="es-ES_tradnl"/>
        </w:rPr>
        <w:tab/>
      </w:r>
      <w:r w:rsidR="00F54B44" w:rsidRPr="00C83BDF">
        <w:rPr>
          <w:snapToGrid w:val="0"/>
          <w:lang w:val="es-ES_tradnl"/>
        </w:rPr>
        <w:t>m)</w:t>
      </w:r>
      <w:r w:rsidRPr="00C83BDF">
        <w:rPr>
          <w:snapToGrid w:val="0"/>
          <w:lang w:val="es-ES_tradnl"/>
        </w:rPr>
        <w:tab/>
      </w:r>
      <w:r w:rsidR="00EF4BE4" w:rsidRPr="00C83BDF">
        <w:rPr>
          <w:snapToGrid w:val="0"/>
          <w:lang w:val="es-ES_tradnl"/>
        </w:rPr>
        <w:t>tomó nota de las novedades relativas al Comité Intergubernamental sobre Propiedad Intelectual y Recursos Genéticos, Conocimientos Tradicionales y Folclore (CIG) de la OMPI;</w:t>
      </w:r>
    </w:p>
    <w:p w:rsidR="00272465" w:rsidRPr="00C83BDF" w:rsidRDefault="00272465" w:rsidP="00272465">
      <w:pPr>
        <w:rPr>
          <w:snapToGrid w:val="0"/>
          <w:lang w:val="es-ES_tradnl"/>
        </w:rPr>
      </w:pPr>
    </w:p>
    <w:p w:rsidR="00272465" w:rsidRPr="00C83BDF" w:rsidRDefault="00272465" w:rsidP="00272465">
      <w:pPr>
        <w:rPr>
          <w:snapToGrid w:val="0"/>
          <w:lang w:val="es-ES_tradnl"/>
        </w:rPr>
      </w:pPr>
      <w:r w:rsidRPr="00C83BDF">
        <w:rPr>
          <w:snapToGrid w:val="0"/>
          <w:lang w:val="es-ES_tradnl"/>
        </w:rPr>
        <w:tab/>
      </w:r>
      <w:r w:rsidR="00EF4BE4" w:rsidRPr="00C83BDF">
        <w:rPr>
          <w:snapToGrid w:val="0"/>
          <w:lang w:val="es-ES_tradnl"/>
        </w:rPr>
        <w:t>n)</w:t>
      </w:r>
      <w:r w:rsidRPr="00C83BDF">
        <w:rPr>
          <w:snapToGrid w:val="0"/>
          <w:lang w:val="es-ES_tradnl"/>
        </w:rPr>
        <w:tab/>
      </w:r>
      <w:r w:rsidR="00EF4BE4" w:rsidRPr="00C83BDF">
        <w:rPr>
          <w:snapToGrid w:val="0"/>
          <w:lang w:val="es-ES_tradnl"/>
        </w:rPr>
        <w:t>tomó nota de las novedades relativas a la Organización Mundial del Comercio (OMC);</w:t>
      </w:r>
    </w:p>
    <w:p w:rsidR="00E65183" w:rsidRPr="00C83BDF" w:rsidRDefault="00E65183" w:rsidP="00E65183">
      <w:pPr>
        <w:rPr>
          <w:snapToGrid w:val="0"/>
          <w:lang w:val="es-ES_tradnl"/>
        </w:rPr>
      </w:pPr>
    </w:p>
    <w:p w:rsidR="00E65183" w:rsidRPr="00C83BDF" w:rsidRDefault="00E65183" w:rsidP="00E65183">
      <w:pPr>
        <w:rPr>
          <w:rFonts w:cs="Arial"/>
          <w:lang w:val="es-ES_tradnl"/>
        </w:rPr>
      </w:pPr>
      <w:r w:rsidRPr="00C83BDF">
        <w:rPr>
          <w:snapToGrid w:val="0"/>
          <w:lang w:val="es-ES_tradnl"/>
        </w:rPr>
        <w:tab/>
      </w:r>
      <w:r w:rsidR="00EF4BE4" w:rsidRPr="00C83BDF">
        <w:rPr>
          <w:snapToGrid w:val="0"/>
          <w:lang w:val="es-ES_tradnl"/>
        </w:rPr>
        <w:t>o)</w:t>
      </w:r>
      <w:r w:rsidRPr="00C83BDF">
        <w:rPr>
          <w:snapToGrid w:val="0"/>
          <w:lang w:val="es-ES_tradnl"/>
        </w:rPr>
        <w:tab/>
      </w:r>
      <w:r w:rsidR="00EF4BE4" w:rsidRPr="00C83BDF">
        <w:rPr>
          <w:snapToGrid w:val="0"/>
          <w:lang w:val="es-ES_tradnl"/>
        </w:rPr>
        <w:t>tomó nota de que el Comité de Alto Nivel sobre Gestión de la Junta de los Jefes Ejecutivos del Sistema de las Naciones Unidas para la Coordinación (CEB) había señalado como una de las cuestiones prioritarias para el período 2013</w:t>
      </w:r>
      <w:r w:rsidR="00EF4BE4" w:rsidRPr="00C83BDF">
        <w:rPr>
          <w:snapToGrid w:val="0"/>
          <w:lang w:val="es-ES_tradnl"/>
        </w:rPr>
        <w:noBreakHyphen/>
        <w:t>2016 la necesidad de adoptar un enfoque común con respecto al seguro médico después de la separación del servicio (ASHI), con respecto a la gestión de fondos y la financiación de pasivos.</w:t>
      </w:r>
      <w:r w:rsidR="00D94EA2" w:rsidRPr="00C83BDF">
        <w:rPr>
          <w:rFonts w:cs="Arial"/>
          <w:lang w:val="es-ES_tradnl"/>
        </w:rPr>
        <w:t xml:space="preserve">  </w:t>
      </w:r>
      <w:r w:rsidR="00EF4BE4" w:rsidRPr="00C83BDF">
        <w:rPr>
          <w:rFonts w:cs="Arial"/>
          <w:lang w:val="es-ES_tradnl"/>
        </w:rPr>
        <w:t>La Red de Presupuesto y Finanzas de la CEB ha creado un grupo de trabajo para examinar los posibles enfoques que puedan adoptarse con respecto a la financiación y la gestión de pasivos por prestaciones de seguro médico después de la separación del servicio y para presentar informes al respecto.</w:t>
      </w:r>
      <w:r w:rsidR="00D94EA2" w:rsidRPr="00C83BDF">
        <w:rPr>
          <w:rFonts w:cs="Arial"/>
          <w:lang w:val="es-ES_tradnl"/>
        </w:rPr>
        <w:t xml:space="preserve">  </w:t>
      </w:r>
      <w:r w:rsidR="00EF4BE4" w:rsidRPr="00C83BDF">
        <w:rPr>
          <w:rFonts w:cs="Arial"/>
          <w:lang w:val="es-ES_tradnl"/>
        </w:rPr>
        <w:t>Se espera que el grupo de trabajo presente sus conclusiones en octubre de 2014.</w:t>
      </w:r>
      <w:r w:rsidRPr="00C83BDF">
        <w:rPr>
          <w:rFonts w:cs="Arial"/>
          <w:lang w:val="es-ES_tradnl"/>
        </w:rPr>
        <w:t xml:space="preserve">  </w:t>
      </w:r>
      <w:r w:rsidR="00EF4BE4" w:rsidRPr="00C83BDF">
        <w:rPr>
          <w:rFonts w:cs="Arial"/>
          <w:lang w:val="es-ES_tradnl"/>
        </w:rPr>
        <w:t>El Comité Consultivo convino en posponer el debate sobre la financiación de las prestaciones a largo plazo para los empleados hasta disponer de las conclusiones del grupo de trabajo sobre la Red de Presupuesto y Finanzas de la CEB.</w:t>
      </w:r>
      <w:r w:rsidRPr="00C83BDF">
        <w:rPr>
          <w:rFonts w:cs="Arial"/>
          <w:lang w:val="es-ES_tradnl"/>
        </w:rPr>
        <w:t xml:space="preserve">  </w:t>
      </w:r>
      <w:r w:rsidR="00EF4BE4" w:rsidRPr="00C83BDF">
        <w:rPr>
          <w:rFonts w:cs="Arial"/>
          <w:lang w:val="es-ES_tradnl"/>
        </w:rPr>
        <w:t>Acordó contemplar la posibilidad de crear un grupo de trabajo de la UPOV en ese momento;</w:t>
      </w:r>
    </w:p>
    <w:p w:rsidR="00E65183" w:rsidRPr="00C83BDF" w:rsidRDefault="00E65183" w:rsidP="00E65183">
      <w:pPr>
        <w:rPr>
          <w:rFonts w:cs="Arial"/>
          <w:lang w:val="es-ES_tradnl"/>
        </w:rPr>
      </w:pPr>
    </w:p>
    <w:p w:rsidR="00E65183" w:rsidRPr="00C83BDF" w:rsidRDefault="00E65183" w:rsidP="00E65183">
      <w:pPr>
        <w:rPr>
          <w:rFonts w:cs="Arial"/>
          <w:lang w:val="es-ES_tradnl"/>
        </w:rPr>
      </w:pPr>
      <w:r w:rsidRPr="00C83BDF">
        <w:rPr>
          <w:rFonts w:cs="Arial"/>
          <w:lang w:val="es-ES_tradnl"/>
        </w:rPr>
        <w:tab/>
      </w:r>
      <w:r w:rsidR="00EF4BE4" w:rsidRPr="00C83BDF">
        <w:rPr>
          <w:rFonts w:cs="Arial"/>
          <w:lang w:val="es-ES_tradnl"/>
        </w:rPr>
        <w:t>p)</w:t>
      </w:r>
      <w:r w:rsidRPr="00C83BDF">
        <w:rPr>
          <w:rFonts w:cs="Arial"/>
          <w:lang w:val="es-ES_tradnl"/>
        </w:rPr>
        <w:tab/>
      </w:r>
      <w:r w:rsidR="0024058A" w:rsidRPr="00C83BDF">
        <w:rPr>
          <w:rFonts w:cs="Arial"/>
          <w:lang w:val="es-ES_tradnl"/>
        </w:rPr>
        <w:t>recordó que cualquier decisión relativa a fondos que superen el 15% de los ingresos totales para el futuro bienio se contemplará en su debido momento, de conformidad con el Reglamento Financiero y Reglamentación Financiera de la UPOV (documento UPOV/INF/4/3);</w:t>
      </w:r>
      <w:r w:rsidR="00D94EA2" w:rsidRPr="00C83BDF">
        <w:rPr>
          <w:rFonts w:cs="Arial"/>
          <w:lang w:val="es-ES_tradnl"/>
        </w:rPr>
        <w:t xml:space="preserve">  </w:t>
      </w:r>
      <w:r w:rsidR="0024058A" w:rsidRPr="00C83BDF">
        <w:rPr>
          <w:rFonts w:cs="Arial"/>
          <w:lang w:val="es-ES_tradnl"/>
        </w:rPr>
        <w:t>y</w:t>
      </w:r>
    </w:p>
    <w:p w:rsidR="00E65183" w:rsidRPr="00C83BDF" w:rsidRDefault="00E65183" w:rsidP="00E65183">
      <w:pPr>
        <w:rPr>
          <w:snapToGrid w:val="0"/>
          <w:lang w:val="es-ES_tradnl"/>
        </w:rPr>
      </w:pPr>
    </w:p>
    <w:p w:rsidR="00E65183" w:rsidRPr="00C83BDF" w:rsidRDefault="00E65183" w:rsidP="00E65183">
      <w:pPr>
        <w:rPr>
          <w:lang w:val="es-ES_tradnl"/>
        </w:rPr>
      </w:pPr>
      <w:r w:rsidRPr="00C83BDF">
        <w:rPr>
          <w:lang w:val="es-ES_tradnl"/>
        </w:rPr>
        <w:tab/>
      </w:r>
      <w:r w:rsidR="0024058A" w:rsidRPr="00C83BDF">
        <w:rPr>
          <w:lang w:val="es-ES_tradnl"/>
        </w:rPr>
        <w:t>q)</w:t>
      </w:r>
      <w:r w:rsidRPr="00C83BDF">
        <w:rPr>
          <w:lang w:val="es-ES_tradnl"/>
        </w:rPr>
        <w:tab/>
      </w:r>
      <w:r w:rsidR="0024058A" w:rsidRPr="00C83BDF">
        <w:rPr>
          <w:lang w:val="es-ES_tradnl"/>
        </w:rPr>
        <w:t>recomendó al Consejo la creación de una cuenta especial de la UPOV para financiar proyectos extrapresupuestarios acordados por el Consejo (Cuenta de proyectos) y transferir a esa cuenta el importe del fondo de reserva que supere el 15% de los ingresos totales para el bienio 2012</w:t>
      </w:r>
      <w:r w:rsidR="0024058A" w:rsidRPr="00C83BDF">
        <w:rPr>
          <w:lang w:val="es-ES_tradnl"/>
        </w:rPr>
        <w:noBreakHyphen/>
        <w:t>2013.</w:t>
      </w:r>
      <w:r w:rsidRPr="00C83BDF">
        <w:rPr>
          <w:lang w:val="es-ES_tradnl"/>
        </w:rPr>
        <w:t xml:space="preserve">  </w:t>
      </w:r>
      <w:r w:rsidR="0024058A" w:rsidRPr="00C83BDF">
        <w:rPr>
          <w:lang w:val="es-ES_tradnl"/>
        </w:rPr>
        <w:t>Asimismo, solicitó a la Oficina de la Unión que preparara un documento para someterlo a examen en su octogésima octava sesión que describa los posibles proyectos y pidió a los miembros de la Unión que formulen propuestas a la Oficina de la Unión</w:t>
      </w:r>
      <w:r w:rsidR="00F63EBA" w:rsidRPr="00C83BDF">
        <w:rPr>
          <w:lang w:val="es-ES_tradnl"/>
        </w:rPr>
        <w:t>.</w:t>
      </w:r>
    </w:p>
    <w:p w:rsidR="00E65183" w:rsidRPr="00C83BDF" w:rsidRDefault="00E65183" w:rsidP="00E65183">
      <w:pPr>
        <w:rPr>
          <w:snapToGrid w:val="0"/>
          <w:lang w:val="es-ES_tradnl"/>
        </w:rPr>
      </w:pPr>
    </w:p>
    <w:p w:rsidR="00E65183" w:rsidRPr="00C83BDF" w:rsidRDefault="00082242" w:rsidP="00E65183">
      <w:pPr>
        <w:rPr>
          <w:snapToGrid w:val="0"/>
          <w:lang w:val="es-ES_tradnl"/>
        </w:rPr>
      </w:pPr>
      <w:r w:rsidRPr="00C83BDF">
        <w:rPr>
          <w:snapToGrid w:val="0"/>
          <w:lang w:val="es-ES_tradnl"/>
        </w:rPr>
        <w:fldChar w:fldCharType="begin"/>
      </w:r>
      <w:r w:rsidR="00E65183" w:rsidRPr="00C83BDF">
        <w:rPr>
          <w:snapToGrid w:val="0"/>
          <w:lang w:val="es-ES_tradnl"/>
        </w:rPr>
        <w:instrText xml:space="preserve"> AUTONUM  </w:instrText>
      </w:r>
      <w:r w:rsidRPr="00C83BDF">
        <w:rPr>
          <w:snapToGrid w:val="0"/>
          <w:lang w:val="es-ES_tradnl"/>
        </w:rPr>
        <w:fldChar w:fldCharType="end"/>
      </w:r>
      <w:r w:rsidR="00E65183" w:rsidRPr="00C83BDF">
        <w:rPr>
          <w:snapToGrid w:val="0"/>
          <w:lang w:val="es-ES_tradnl"/>
        </w:rPr>
        <w:tab/>
      </w:r>
      <w:r w:rsidR="008374B2" w:rsidRPr="00C83BDF">
        <w:rPr>
          <w:snapToGrid w:val="0"/>
          <w:lang w:val="es-ES_tradnl"/>
        </w:rPr>
        <w:t>El documento C(Extr.)/31/3 contiene un informe sobre la labor realizada en la octogésima séptima</w:t>
      </w:r>
      <w:r w:rsidR="008374B2" w:rsidRPr="00C83BDF">
        <w:rPr>
          <w:lang w:val="es-ES_tradnl"/>
        </w:rPr>
        <w:t xml:space="preserve"> </w:t>
      </w:r>
      <w:r w:rsidR="008374B2" w:rsidRPr="00C83BDF">
        <w:rPr>
          <w:snapToGrid w:val="0"/>
          <w:lang w:val="es-ES_tradnl"/>
        </w:rPr>
        <w:t>sesión del Comité Consultivo.</w:t>
      </w:r>
    </w:p>
    <w:p w:rsidR="00E65183" w:rsidRPr="00C83BDF" w:rsidRDefault="00E65183" w:rsidP="00E65183">
      <w:pPr>
        <w:rPr>
          <w:snapToGrid w:val="0"/>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8374B2" w:rsidRPr="00C83BDF">
        <w:rPr>
          <w:lang w:val="es-ES_tradnl"/>
        </w:rPr>
        <w:t xml:space="preserve">El Comité Consultivo celebró su octogésima octava sesión los días 15 y 16 de octubre de 2014, bajo la presidencia de la Sra. Kitisri Sukhapinda (Estados Unidos de América).  En esa sesión, además de proporcionar asesoramiento sobre </w:t>
      </w:r>
      <w:r w:rsidR="005F467B" w:rsidRPr="00C83BDF">
        <w:rPr>
          <w:lang w:val="es-ES_tradnl"/>
        </w:rPr>
        <w:t>el nombramiento del Secretario</w:t>
      </w:r>
      <w:r w:rsidR="00412B9D" w:rsidRPr="00C83BDF">
        <w:rPr>
          <w:lang w:val="es-ES_tradnl"/>
        </w:rPr>
        <w:t> </w:t>
      </w:r>
      <w:r w:rsidR="005F467B" w:rsidRPr="00C83BDF">
        <w:rPr>
          <w:lang w:val="es-ES_tradnl"/>
        </w:rPr>
        <w:t xml:space="preserve">General, las </w:t>
      </w:r>
      <w:r w:rsidR="00A84BB3" w:rsidRPr="00C83BDF">
        <w:rPr>
          <w:lang w:val="es-ES_tradnl"/>
        </w:rPr>
        <w:t>novedades relativas a la Ley de Derechos de Obtentor de Zanzíbar</w:t>
      </w:r>
      <w:r w:rsidR="005F467B" w:rsidRPr="00C83BDF">
        <w:rPr>
          <w:lang w:val="es-ES_tradnl"/>
        </w:rPr>
        <w:t xml:space="preserve">, </w:t>
      </w:r>
      <w:r w:rsidR="00A84BB3" w:rsidRPr="00C83BDF">
        <w:rPr>
          <w:lang w:val="es-ES_tradnl"/>
        </w:rPr>
        <w:t xml:space="preserve">la aprobación de documentos, los estados financieros de 2013, </w:t>
      </w:r>
      <w:r w:rsidR="004A43EB" w:rsidRPr="00C83BDF">
        <w:rPr>
          <w:lang w:val="es-ES_tradnl"/>
        </w:rPr>
        <w:t xml:space="preserve">los atrasos en el pago de las contribuciones al 30 de septiembre de 2014, el informe de gestión financiera del </w:t>
      </w:r>
      <w:r w:rsidR="00F34627" w:rsidRPr="00C83BDF">
        <w:rPr>
          <w:lang w:val="es-ES_tradnl"/>
        </w:rPr>
        <w:t>bienio </w:t>
      </w:r>
      <w:r w:rsidR="004A43EB" w:rsidRPr="00C83BDF">
        <w:rPr>
          <w:lang w:val="es-ES_tradnl"/>
        </w:rPr>
        <w:t>2012</w:t>
      </w:r>
      <w:r w:rsidR="004A43EB" w:rsidRPr="00C83BDF">
        <w:rPr>
          <w:lang w:val="es-ES_tradnl"/>
        </w:rPr>
        <w:noBreakHyphen/>
        <w:t xml:space="preserve">2013, </w:t>
      </w:r>
      <w:r w:rsidR="00994A5D" w:rsidRPr="00C83BDF">
        <w:rPr>
          <w:lang w:val="es-ES_tradnl"/>
        </w:rPr>
        <w:t>la preparación del calendario de reuniones, la adopción de preguntas frecuentes y el comunicado de prensa (véase el párrafo 11 anterior), el Comité Consultivo:</w:t>
      </w:r>
    </w:p>
    <w:p w:rsidR="00E65183" w:rsidRPr="00C83BDF" w:rsidRDefault="00E65183" w:rsidP="00E65183">
      <w:pPr>
        <w:rPr>
          <w:lang w:val="es-ES_tradnl"/>
        </w:rPr>
      </w:pPr>
    </w:p>
    <w:p w:rsidR="00E65183" w:rsidRPr="00C83BDF" w:rsidRDefault="00E65183" w:rsidP="00E65183">
      <w:pPr>
        <w:rPr>
          <w:snapToGrid w:val="0"/>
          <w:lang w:val="es-ES_tradnl"/>
        </w:rPr>
      </w:pPr>
      <w:r w:rsidRPr="00C83BDF">
        <w:rPr>
          <w:snapToGrid w:val="0"/>
          <w:lang w:val="es-ES_tradnl"/>
        </w:rPr>
        <w:tab/>
      </w:r>
      <w:r w:rsidR="00F34627" w:rsidRPr="00C83BDF">
        <w:rPr>
          <w:snapToGrid w:val="0"/>
          <w:lang w:val="es-ES_tradnl"/>
        </w:rPr>
        <w:t>a)</w:t>
      </w:r>
      <w:r w:rsidRPr="00C83BDF">
        <w:rPr>
          <w:snapToGrid w:val="0"/>
          <w:lang w:val="es-ES_tradnl"/>
        </w:rPr>
        <w:tab/>
      </w:r>
      <w:r w:rsidR="00F34627" w:rsidRPr="00C83BDF">
        <w:rPr>
          <w:snapToGrid w:val="0"/>
          <w:lang w:val="es-ES_tradnl"/>
        </w:rPr>
        <w:t>tomó nota de la presentación de información en los documentos C/48/2 “Informe anual del Secretario General correspondiente al año 2013” y C/48/12 “Informe sobre el rendimiento en el bienio 2012</w:t>
      </w:r>
      <w:r w:rsidR="00F34627" w:rsidRPr="00C83BDF">
        <w:rPr>
          <w:snapToGrid w:val="0"/>
          <w:lang w:val="es-ES_tradnl"/>
        </w:rPr>
        <w:noBreakHyphen/>
        <w:t>2013”;</w:t>
      </w:r>
    </w:p>
    <w:p w:rsidR="00E65183" w:rsidRPr="00C83BDF" w:rsidRDefault="00E65183" w:rsidP="00E65183">
      <w:pPr>
        <w:rPr>
          <w:snapToGrid w:val="0"/>
          <w:sz w:val="16"/>
          <w:lang w:val="es-ES_tradnl"/>
        </w:rPr>
      </w:pPr>
    </w:p>
    <w:p w:rsidR="00E65183" w:rsidRPr="00C83BDF" w:rsidRDefault="00E65183" w:rsidP="00E65183">
      <w:pPr>
        <w:rPr>
          <w:snapToGrid w:val="0"/>
          <w:lang w:val="es-ES_tradnl"/>
        </w:rPr>
      </w:pPr>
      <w:r w:rsidRPr="00C83BDF">
        <w:rPr>
          <w:snapToGrid w:val="0"/>
          <w:lang w:val="es-ES_tradnl"/>
        </w:rPr>
        <w:tab/>
      </w:r>
      <w:r w:rsidR="00F34627" w:rsidRPr="00C83BDF">
        <w:rPr>
          <w:snapToGrid w:val="0"/>
          <w:lang w:val="es-ES_tradnl"/>
        </w:rPr>
        <w:t>b)</w:t>
      </w:r>
      <w:r w:rsidRPr="00C83BDF">
        <w:rPr>
          <w:snapToGrid w:val="0"/>
          <w:lang w:val="es-ES_tradnl"/>
        </w:rPr>
        <w:tab/>
      </w:r>
      <w:r w:rsidR="00AD6753" w:rsidRPr="00C83BDF">
        <w:rPr>
          <w:snapToGrid w:val="0"/>
          <w:lang w:val="es-ES_tradnl"/>
        </w:rPr>
        <w:t>tomó nota de que se había enviado a los miembros del Comité Técnico una copia de la solicitud de información para la preparación del documento C/48/5 “Cooperación en materia de examen”;</w:t>
      </w:r>
    </w:p>
    <w:p w:rsidR="00E65183" w:rsidRPr="00C83BDF" w:rsidRDefault="00E65183" w:rsidP="00E65183">
      <w:pPr>
        <w:rPr>
          <w:snapToGrid w:val="0"/>
          <w:sz w:val="16"/>
          <w:lang w:val="es-ES_tradnl"/>
        </w:rPr>
      </w:pPr>
    </w:p>
    <w:p w:rsidR="00E65183" w:rsidRPr="00C83BDF" w:rsidRDefault="00E65183" w:rsidP="00E65183">
      <w:pPr>
        <w:rPr>
          <w:snapToGrid w:val="0"/>
          <w:lang w:val="es-ES_tradnl"/>
        </w:rPr>
      </w:pPr>
      <w:r w:rsidRPr="00C83BDF">
        <w:rPr>
          <w:snapToGrid w:val="0"/>
          <w:lang w:val="es-ES_tradnl"/>
        </w:rPr>
        <w:tab/>
      </w:r>
      <w:r w:rsidR="00AD6753" w:rsidRPr="00C83BDF">
        <w:rPr>
          <w:snapToGrid w:val="0"/>
          <w:lang w:val="es-ES_tradnl"/>
        </w:rPr>
        <w:t>c)</w:t>
      </w:r>
      <w:r w:rsidRPr="00C83BDF">
        <w:rPr>
          <w:snapToGrid w:val="0"/>
          <w:lang w:val="es-ES_tradnl"/>
        </w:rPr>
        <w:tab/>
      </w:r>
      <w:r w:rsidR="00AD6753" w:rsidRPr="00C83BDF">
        <w:rPr>
          <w:snapToGrid w:val="0"/>
          <w:lang w:val="es-ES_tradnl"/>
        </w:rPr>
        <w:t>examinó los planes de la Oficina de la Unión de utilizar encuestas;</w:t>
      </w:r>
    </w:p>
    <w:p w:rsidR="00E65183" w:rsidRPr="00C83BDF" w:rsidRDefault="00E65183" w:rsidP="00E65183">
      <w:pPr>
        <w:rPr>
          <w:snapToGrid w:val="0"/>
          <w:lang w:val="es-ES_tradnl"/>
        </w:rPr>
      </w:pPr>
    </w:p>
    <w:p w:rsidR="00E65183" w:rsidRPr="00C83BDF" w:rsidRDefault="00E65183" w:rsidP="00E65183">
      <w:pPr>
        <w:rPr>
          <w:snapToGrid w:val="0"/>
          <w:lang w:val="es-ES_tradnl"/>
        </w:rPr>
      </w:pPr>
      <w:r w:rsidRPr="00C83BDF">
        <w:rPr>
          <w:snapToGrid w:val="0"/>
          <w:lang w:val="es-ES_tradnl"/>
        </w:rPr>
        <w:tab/>
      </w:r>
      <w:r w:rsidR="00AD6753" w:rsidRPr="00C83BDF">
        <w:rPr>
          <w:snapToGrid w:val="0"/>
          <w:lang w:val="es-ES_tradnl"/>
        </w:rPr>
        <w:t>d)</w:t>
      </w:r>
      <w:r w:rsidRPr="00C83BDF">
        <w:rPr>
          <w:snapToGrid w:val="0"/>
          <w:lang w:val="es-ES_tradnl"/>
        </w:rPr>
        <w:tab/>
      </w:r>
      <w:r w:rsidR="00100F07" w:rsidRPr="00C83BDF">
        <w:rPr>
          <w:lang w:val="es-ES_tradnl"/>
        </w:rPr>
        <w:t xml:space="preserve">recordó la intervención de la Delegación de la Unión Europea sobre la financiación de las prestaciones a largo plazo para los empleados y el informe presentado por la Contralor relativo al grupo de trabajo sobre la Red de Presupuesto y Finanzas de la CEB de las Naciones Unidas en el punto 8 “Informe de gestión financiera”, y tomó nota de que, en su octogésima novena sesión, </w:t>
      </w:r>
      <w:r w:rsidR="00E15BDE" w:rsidRPr="00C83BDF">
        <w:rPr>
          <w:lang w:val="es-ES_tradnl"/>
        </w:rPr>
        <w:t xml:space="preserve">que se celebraría en marzo </w:t>
      </w:r>
      <w:r w:rsidR="00100F07" w:rsidRPr="00C83BDF">
        <w:rPr>
          <w:lang w:val="es-ES_tradnl"/>
        </w:rPr>
        <w:t>de 2015, se informar</w:t>
      </w:r>
      <w:r w:rsidR="00E15BDE" w:rsidRPr="00C83BDF">
        <w:rPr>
          <w:lang w:val="es-ES_tradnl"/>
        </w:rPr>
        <w:t>ía</w:t>
      </w:r>
      <w:r w:rsidR="00100F07" w:rsidRPr="00C83BDF">
        <w:rPr>
          <w:lang w:val="es-ES_tradnl"/>
        </w:rPr>
        <w:t xml:space="preserve"> de todos los avances relativos a la financiación de las prestaciones a largo plazo para los empleados;</w:t>
      </w:r>
    </w:p>
    <w:p w:rsidR="00E65183" w:rsidRPr="00C83BDF" w:rsidRDefault="00E65183" w:rsidP="00E65183">
      <w:pPr>
        <w:rPr>
          <w:snapToGrid w:val="0"/>
          <w:lang w:val="es-ES_tradnl"/>
        </w:rPr>
      </w:pPr>
    </w:p>
    <w:p w:rsidR="00E65183" w:rsidRPr="00C83BDF" w:rsidRDefault="00E65183" w:rsidP="00E65183">
      <w:pPr>
        <w:rPr>
          <w:snapToGrid w:val="0"/>
          <w:lang w:val="es-ES_tradnl"/>
        </w:rPr>
      </w:pPr>
      <w:r w:rsidRPr="00C83BDF">
        <w:rPr>
          <w:snapToGrid w:val="0"/>
          <w:lang w:val="es-ES_tradnl"/>
        </w:rPr>
        <w:tab/>
      </w:r>
      <w:r w:rsidR="00100F07" w:rsidRPr="00C83BDF">
        <w:rPr>
          <w:snapToGrid w:val="0"/>
          <w:lang w:val="es-ES_tradnl"/>
        </w:rPr>
        <w:t>e)</w:t>
      </w:r>
      <w:r w:rsidRPr="00C83BDF">
        <w:rPr>
          <w:snapToGrid w:val="0"/>
          <w:lang w:val="es-ES_tradnl"/>
        </w:rPr>
        <w:tab/>
      </w:r>
      <w:r w:rsidR="00100F07" w:rsidRPr="00C83BDF">
        <w:rPr>
          <w:lang w:val="es-ES_tradnl"/>
        </w:rPr>
        <w:t>recordó que el Consejo, en su trigésima primera sesión extraordinaria, celebrada en Ginebra el 11 de abril de 2014, había decidido crear un fondo para proyectos especiales con el importe del fondo de reserva que supere el 15% de los ingresos totales para el bienio</w:t>
      </w:r>
      <w:r w:rsidR="00100F07" w:rsidRPr="00C83BDF">
        <w:rPr>
          <w:rFonts w:cs="Arial"/>
          <w:lang w:val="es-ES_tradnl"/>
        </w:rPr>
        <w:t> 2012</w:t>
      </w:r>
      <w:r w:rsidR="00100F07" w:rsidRPr="00C83BDF">
        <w:rPr>
          <w:rFonts w:cs="Arial"/>
          <w:lang w:val="es-ES_tradnl"/>
        </w:rPr>
        <w:noBreakHyphen/>
        <w:t>2013.</w:t>
      </w:r>
      <w:r w:rsidR="007A0614" w:rsidRPr="00C83BDF">
        <w:rPr>
          <w:rFonts w:cs="Arial"/>
          <w:lang w:val="es-ES_tradnl"/>
        </w:rPr>
        <w:t xml:space="preserve">  </w:t>
      </w:r>
      <w:r w:rsidR="00CC5868" w:rsidRPr="00C83BDF">
        <w:rPr>
          <w:rFonts w:cs="Arial"/>
          <w:lang w:val="es-ES_tradnl"/>
        </w:rPr>
        <w:t>El Comité Consultivo recomendó al Consejo, en su cuadragésima octava sesión ordinaria, aprobar el uso del fondo para proyectos especiales con fines de capacitación.</w:t>
      </w:r>
      <w:r w:rsidRPr="00C83BDF">
        <w:rPr>
          <w:rFonts w:cs="Arial"/>
          <w:lang w:val="es-ES_tradnl"/>
        </w:rPr>
        <w:t xml:space="preserve">  </w:t>
      </w:r>
      <w:r w:rsidR="00CC5868" w:rsidRPr="00C83BDF">
        <w:rPr>
          <w:rFonts w:cs="Arial"/>
          <w:lang w:val="es-ES_tradnl"/>
        </w:rPr>
        <w:t xml:space="preserve">A reserva de la aprobación del Consejo, el Comité Consultivo solicitó un informe sobre la manera prevista de llevar a la práctica el uso de los fondos con fines de capacitación en su octogésima novena sesión, </w:t>
      </w:r>
      <w:r w:rsidR="00E15BDE" w:rsidRPr="00C83BDF">
        <w:rPr>
          <w:rFonts w:cs="Arial"/>
          <w:lang w:val="es-ES_tradnl"/>
        </w:rPr>
        <w:t xml:space="preserve">que se celebraría en marzo </w:t>
      </w:r>
      <w:r w:rsidR="00CC5868" w:rsidRPr="00C83BDF">
        <w:rPr>
          <w:rFonts w:cs="Arial"/>
          <w:lang w:val="es-ES_tradnl"/>
        </w:rPr>
        <w:t>de 2015;</w:t>
      </w:r>
    </w:p>
    <w:p w:rsidR="00E65183" w:rsidRPr="00C83BDF" w:rsidRDefault="00E65183" w:rsidP="00E65183">
      <w:pPr>
        <w:rPr>
          <w:snapToGrid w:val="0"/>
          <w:lang w:val="es-ES_tradnl"/>
        </w:rPr>
      </w:pPr>
    </w:p>
    <w:p w:rsidR="00E65183" w:rsidRPr="00C83BDF" w:rsidRDefault="00E65183" w:rsidP="00E65183">
      <w:pPr>
        <w:rPr>
          <w:snapToGrid w:val="0"/>
          <w:color w:val="000000"/>
          <w:lang w:val="es-ES_tradnl"/>
        </w:rPr>
      </w:pPr>
      <w:r w:rsidRPr="00C83BDF">
        <w:rPr>
          <w:lang w:val="es-ES_tradnl"/>
        </w:rPr>
        <w:tab/>
      </w:r>
      <w:r w:rsidR="00CC5868" w:rsidRPr="00C83BDF">
        <w:rPr>
          <w:lang w:val="es-ES_tradnl"/>
        </w:rPr>
        <w:t>f)</w:t>
      </w:r>
      <w:r w:rsidRPr="00C83BDF">
        <w:rPr>
          <w:lang w:val="es-ES_tradnl"/>
        </w:rPr>
        <w:tab/>
      </w:r>
      <w:r w:rsidR="00CC5868" w:rsidRPr="00C83BDF">
        <w:rPr>
          <w:snapToGrid w:val="0"/>
          <w:color w:val="000000"/>
          <w:lang w:val="es-ES_tradnl"/>
        </w:rPr>
        <w:t>tomó nota de la información sobre el Sistema internacional de patentes (PCT) de la OMPI, el Sistema internacional de marcas (Madrid) y el Sistema internacional de dibujos y modelos industriales (La Haya) y examinó la contribución formulada por escrito por la ISF, la CIOPORA y CropLife International, junto con su presentación conjunta en la octogésima octava sesión del Comité Consultivo.</w:t>
      </w:r>
      <w:r w:rsidRPr="00C83BDF">
        <w:rPr>
          <w:snapToGrid w:val="0"/>
          <w:color w:val="000000"/>
          <w:lang w:val="es-ES_tradnl"/>
        </w:rPr>
        <w:t xml:space="preserve">  </w:t>
      </w:r>
      <w:r w:rsidR="00B455CA" w:rsidRPr="00C83BDF">
        <w:rPr>
          <w:snapToGrid w:val="0"/>
          <w:color w:val="000000"/>
          <w:lang w:val="es-ES_tradnl"/>
        </w:rPr>
        <w:t>Asimismo, solicitó a la Oficina de la Unión que preparara un documento para aclarar las cuestiones planteadas y las posibles vías de resolución relativas a un sistema internacional de cooperación, a fin de que el propio Comité las considerase en su octogésima novena sesión que se celebraría en marzo de 2015;</w:t>
      </w:r>
    </w:p>
    <w:p w:rsidR="00E65183" w:rsidRPr="00C83BDF" w:rsidRDefault="00E65183" w:rsidP="00E65183">
      <w:pPr>
        <w:rPr>
          <w:snapToGrid w:val="0"/>
          <w:lang w:val="es-ES_tradnl"/>
        </w:rPr>
      </w:pPr>
    </w:p>
    <w:p w:rsidR="00E65183" w:rsidRPr="00C83BDF" w:rsidRDefault="00E65183" w:rsidP="00E65183">
      <w:pPr>
        <w:rPr>
          <w:snapToGrid w:val="0"/>
          <w:lang w:val="es-ES_tradnl"/>
        </w:rPr>
      </w:pPr>
      <w:r w:rsidRPr="00C83BDF">
        <w:rPr>
          <w:snapToGrid w:val="0"/>
          <w:lang w:val="es-ES_tradnl"/>
        </w:rPr>
        <w:tab/>
      </w:r>
      <w:r w:rsidR="00B455CA" w:rsidRPr="00C83BDF">
        <w:rPr>
          <w:snapToGrid w:val="0"/>
          <w:lang w:val="es-ES_tradnl"/>
        </w:rPr>
        <w:t>g)</w:t>
      </w:r>
      <w:r w:rsidRPr="00C83BDF">
        <w:rPr>
          <w:snapToGrid w:val="0"/>
          <w:lang w:val="es-ES_tradnl"/>
        </w:rPr>
        <w:tab/>
      </w:r>
      <w:r w:rsidR="006805D6" w:rsidRPr="00C83BDF">
        <w:rPr>
          <w:snapToGrid w:val="0"/>
          <w:lang w:val="es-ES_tradnl"/>
        </w:rPr>
        <w:t xml:space="preserve">tomó nota de las invitaciones </w:t>
      </w:r>
      <w:r w:rsidR="006805D6" w:rsidRPr="00C83BDF">
        <w:rPr>
          <w:i/>
          <w:snapToGrid w:val="0"/>
          <w:lang w:val="es-ES_tradnl"/>
        </w:rPr>
        <w:t>ad hoc</w:t>
      </w:r>
      <w:r w:rsidR="006805D6" w:rsidRPr="00C83BDF">
        <w:rPr>
          <w:snapToGrid w:val="0"/>
          <w:lang w:val="es-ES_tradnl"/>
        </w:rPr>
        <w:t xml:space="preserve"> cursadas a expertos </w:t>
      </w:r>
      <w:r w:rsidR="00DB5180" w:rsidRPr="00C83BDF">
        <w:rPr>
          <w:snapToGrid w:val="0"/>
          <w:lang w:val="es-ES_tradnl"/>
        </w:rPr>
        <w:t>para que asistan a las reuniones de los órganos de la UPOV</w:t>
      </w:r>
      <w:r w:rsidR="006805D6" w:rsidRPr="00C83BDF">
        <w:rPr>
          <w:snapToGrid w:val="0"/>
          <w:lang w:val="es-ES_tradnl"/>
        </w:rPr>
        <w:t>;</w:t>
      </w:r>
    </w:p>
    <w:p w:rsidR="00E65183" w:rsidRPr="00C83BDF" w:rsidRDefault="00E65183" w:rsidP="00E65183">
      <w:pPr>
        <w:rPr>
          <w:snapToGrid w:val="0"/>
          <w:lang w:val="es-ES_tradnl"/>
        </w:rPr>
      </w:pPr>
    </w:p>
    <w:p w:rsidR="00E65183" w:rsidRPr="00C83BDF" w:rsidRDefault="00E65183" w:rsidP="00E65183">
      <w:pPr>
        <w:rPr>
          <w:snapToGrid w:val="0"/>
          <w:lang w:val="es-ES_tradnl"/>
        </w:rPr>
      </w:pPr>
      <w:r w:rsidRPr="00C83BDF">
        <w:rPr>
          <w:snapToGrid w:val="0"/>
          <w:lang w:val="es-ES_tradnl"/>
        </w:rPr>
        <w:tab/>
      </w:r>
      <w:r w:rsidR="00DB5180" w:rsidRPr="00C83BDF">
        <w:rPr>
          <w:snapToGrid w:val="0"/>
          <w:lang w:val="es-ES_tradnl"/>
        </w:rPr>
        <w:t>h)</w:t>
      </w:r>
      <w:r w:rsidRPr="00C83BDF">
        <w:rPr>
          <w:snapToGrid w:val="0"/>
          <w:lang w:val="es-ES_tradnl"/>
        </w:rPr>
        <w:tab/>
      </w:r>
      <w:r w:rsidR="00DB5180" w:rsidRPr="00C83BDF">
        <w:rPr>
          <w:snapToGrid w:val="0"/>
          <w:lang w:val="es-ES_tradnl"/>
        </w:rPr>
        <w:t>examinó la información proporcionada por el Comité Mundial de Consulta de los Amigos (FWCC), en su octogésima octava sesión, en relación con la solicitud del FWCC de concesión de la condición de observador ante el Consejo y el CAJ.</w:t>
      </w:r>
      <w:r w:rsidRPr="00C83BDF">
        <w:rPr>
          <w:snapToGrid w:val="0"/>
          <w:lang w:val="es-ES_tradnl"/>
        </w:rPr>
        <w:t xml:space="preserve">  </w:t>
      </w:r>
      <w:r w:rsidR="00DB5180" w:rsidRPr="00C83BDF">
        <w:rPr>
          <w:snapToGrid w:val="0"/>
          <w:lang w:val="es-ES_tradnl"/>
        </w:rPr>
        <w:t>El Comité Consultivo concluyó que no era posible decidir si el FWCC había demostrado su “competencia en ámbitos directamente pertinentes en relación con las cuestiones que rige el Convenio de la UPOV”;</w:t>
      </w:r>
    </w:p>
    <w:p w:rsidR="00E65183" w:rsidRPr="00C83BDF" w:rsidRDefault="00E65183" w:rsidP="00E65183">
      <w:pPr>
        <w:rPr>
          <w:snapToGrid w:val="0"/>
          <w:lang w:val="es-ES_tradnl"/>
        </w:rPr>
      </w:pPr>
    </w:p>
    <w:p w:rsidR="00E65183" w:rsidRPr="00C83BDF" w:rsidRDefault="00E65183" w:rsidP="00E65183">
      <w:pPr>
        <w:rPr>
          <w:lang w:val="es-ES_tradnl"/>
        </w:rPr>
      </w:pPr>
      <w:r w:rsidRPr="00C83BDF">
        <w:rPr>
          <w:rFonts w:cs="Arial"/>
          <w:lang w:val="es-ES_tradnl"/>
        </w:rPr>
        <w:tab/>
      </w:r>
      <w:r w:rsidR="00DB5180" w:rsidRPr="00C83BDF">
        <w:rPr>
          <w:rFonts w:cs="Arial"/>
          <w:lang w:val="es-ES_tradnl"/>
        </w:rPr>
        <w:t>i)</w:t>
      </w:r>
      <w:r w:rsidRPr="00C83BDF">
        <w:rPr>
          <w:rFonts w:cs="Arial"/>
          <w:lang w:val="es-ES_tradnl"/>
        </w:rPr>
        <w:tab/>
      </w:r>
      <w:r w:rsidR="00DB5180" w:rsidRPr="00C83BDF">
        <w:rPr>
          <w:rFonts w:cs="Arial"/>
          <w:lang w:val="es-ES_tradnl"/>
        </w:rPr>
        <w:t>decidió conceder a Centro del Sur la condición de observador ante el Consejo y el CAJ;</w:t>
      </w:r>
    </w:p>
    <w:p w:rsidR="00E65183" w:rsidRPr="00C83BDF" w:rsidRDefault="00E65183" w:rsidP="00E65183">
      <w:pPr>
        <w:rPr>
          <w:lang w:val="es-ES_tradnl"/>
        </w:rPr>
      </w:pPr>
    </w:p>
    <w:p w:rsidR="00E65183" w:rsidRPr="00C83BDF" w:rsidRDefault="00E65183" w:rsidP="00E65183">
      <w:pPr>
        <w:rPr>
          <w:rFonts w:cs="Arial"/>
          <w:lang w:val="es-ES_tradnl"/>
        </w:rPr>
      </w:pPr>
      <w:r w:rsidRPr="00C83BDF">
        <w:rPr>
          <w:lang w:val="es-ES_tradnl"/>
        </w:rPr>
        <w:tab/>
      </w:r>
      <w:r w:rsidR="00DB5180" w:rsidRPr="00C83BDF">
        <w:rPr>
          <w:lang w:val="es-ES_tradnl"/>
        </w:rPr>
        <w:t>j)</w:t>
      </w:r>
      <w:r w:rsidRPr="00C83BDF">
        <w:rPr>
          <w:lang w:val="es-ES_tradnl"/>
        </w:rPr>
        <w:tab/>
      </w:r>
      <w:r w:rsidR="00DB5180" w:rsidRPr="00C83BDF">
        <w:rPr>
          <w:lang w:val="es-ES_tradnl"/>
        </w:rPr>
        <w:t xml:space="preserve">decidió conceder a la Organización Mundial de Agricultores (OMA) la condición de observador ante el Consejo, el CAJ y el </w:t>
      </w:r>
      <w:r w:rsidR="00DB5180" w:rsidRPr="00C83BDF">
        <w:rPr>
          <w:snapToGrid w:val="0"/>
          <w:lang w:val="es-ES_tradnl"/>
        </w:rPr>
        <w:t>TC;</w:t>
      </w:r>
    </w:p>
    <w:p w:rsidR="00E65183" w:rsidRPr="00C83BDF" w:rsidRDefault="00E65183" w:rsidP="00E65183">
      <w:pPr>
        <w:rPr>
          <w:snapToGrid w:val="0"/>
          <w:lang w:val="es-ES_tradnl"/>
        </w:rPr>
      </w:pPr>
    </w:p>
    <w:p w:rsidR="00E65183" w:rsidRPr="00C83BDF" w:rsidRDefault="00E65183" w:rsidP="00E65183">
      <w:pPr>
        <w:rPr>
          <w:color w:val="000000"/>
          <w:lang w:val="es-ES_tradnl"/>
        </w:rPr>
      </w:pPr>
      <w:r w:rsidRPr="00C83BDF">
        <w:rPr>
          <w:snapToGrid w:val="0"/>
          <w:lang w:val="es-ES_tradnl"/>
        </w:rPr>
        <w:tab/>
      </w:r>
      <w:r w:rsidR="00DB5180" w:rsidRPr="00C83BDF">
        <w:rPr>
          <w:snapToGrid w:val="0"/>
          <w:lang w:val="es-ES_tradnl"/>
        </w:rPr>
        <w:t>k)</w:t>
      </w:r>
      <w:r w:rsidRPr="00C83BDF">
        <w:rPr>
          <w:snapToGrid w:val="0"/>
          <w:lang w:val="es-ES_tradnl"/>
        </w:rPr>
        <w:tab/>
      </w:r>
      <w:r w:rsidR="00DB5180" w:rsidRPr="00C83BDF">
        <w:rPr>
          <w:color w:val="000000"/>
          <w:lang w:val="es-ES_tradnl"/>
        </w:rPr>
        <w:t>tomó nota de que en total se habían digitalizado aproximadamente 7.000 documentos, que se han reproducido en forma electrónica y reconocible en Word.</w:t>
      </w:r>
      <w:r w:rsidR="00D94EA2" w:rsidRPr="00C83BDF">
        <w:rPr>
          <w:color w:val="000000"/>
          <w:lang w:val="es-ES_tradnl"/>
        </w:rPr>
        <w:t xml:space="preserve">  </w:t>
      </w:r>
      <w:r w:rsidR="00DE40A5" w:rsidRPr="00C83BDF">
        <w:rPr>
          <w:color w:val="000000"/>
          <w:lang w:val="es-ES_tradnl"/>
        </w:rPr>
        <w:t xml:space="preserve">Tomó nota, además, de que ya se habían incorporado al sitio web de la UPOV las actas de las conferencias diplomáticas sobre las revisiones del Convenio de la UPOV, los documentos de reuniones de la UPOV con organizaciones internacionales (documentos IOM) y los números de la </w:t>
      </w:r>
      <w:r w:rsidR="00DE40A5" w:rsidRPr="00C83BDF">
        <w:rPr>
          <w:i/>
          <w:color w:val="000000"/>
          <w:lang w:val="es-ES_tradnl"/>
        </w:rPr>
        <w:t xml:space="preserve">Gazette </w:t>
      </w:r>
      <w:r w:rsidR="00644ACE" w:rsidRPr="00C83BDF">
        <w:rPr>
          <w:i/>
          <w:color w:val="000000"/>
          <w:lang w:val="es-ES_tradnl"/>
        </w:rPr>
        <w:t>and</w:t>
      </w:r>
      <w:r w:rsidR="00DE40A5" w:rsidRPr="00C83BDF">
        <w:rPr>
          <w:i/>
          <w:color w:val="000000"/>
          <w:lang w:val="es-ES_tradnl"/>
        </w:rPr>
        <w:t xml:space="preserve"> Newsletter</w:t>
      </w:r>
      <w:r w:rsidR="00DE40A5" w:rsidRPr="00C83BDF">
        <w:rPr>
          <w:color w:val="000000"/>
          <w:lang w:val="es-ES_tradnl"/>
        </w:rPr>
        <w:t xml:space="preserve"> sobre la protección de las obtenciones vegetales.</w:t>
      </w:r>
      <w:r w:rsidRPr="00C83BDF">
        <w:rPr>
          <w:color w:val="000000"/>
          <w:lang w:val="es-ES_tradnl"/>
        </w:rPr>
        <w:t xml:space="preserve">  </w:t>
      </w:r>
      <w:r w:rsidR="00DE40A5" w:rsidRPr="00C83BDF">
        <w:rPr>
          <w:color w:val="000000"/>
          <w:lang w:val="es-ES_tradnl"/>
        </w:rPr>
        <w:t>Paralelamente a ese proceso, el Comité Consultivo ha tenido noticias de que se está llevando a cabo un examen sistemático de los documentos ya publicados en el apartado “Documentos de reunión” de la UPOV a fin de detectar y rectificar los errores y las omisiones que se habían producido durante la migración al nuevo sitio web en 2011</w:t>
      </w:r>
      <w:r w:rsidR="00DE40A5" w:rsidRPr="00C83BDF">
        <w:rPr>
          <w:color w:val="000000"/>
          <w:lang w:val="es-ES_tradnl"/>
        </w:rPr>
        <w:noBreakHyphen/>
        <w:t>2012.</w:t>
      </w:r>
      <w:r w:rsidR="00D94EA2" w:rsidRPr="00C83BDF">
        <w:rPr>
          <w:color w:val="000000"/>
          <w:lang w:val="es-ES_tradnl"/>
        </w:rPr>
        <w:t xml:space="preserve">  </w:t>
      </w:r>
      <w:r w:rsidR="00115975" w:rsidRPr="00C83BDF">
        <w:rPr>
          <w:color w:val="000000"/>
          <w:lang w:val="es-ES_tradnl"/>
        </w:rPr>
        <w:t xml:space="preserve">Con respecto al trabajo pendiente, señaló que la incorporación de los documentos más antiguos de sesiones y de seminarios de la UPOV se efectuaría con carácter </w:t>
      </w:r>
      <w:r w:rsidR="00115975" w:rsidRPr="00C83BDF">
        <w:rPr>
          <w:i/>
          <w:color w:val="000000"/>
          <w:lang w:val="es-ES_tradnl"/>
        </w:rPr>
        <w:t>ad hoc</w:t>
      </w:r>
      <w:r w:rsidR="00115975" w:rsidRPr="00C83BDF">
        <w:rPr>
          <w:color w:val="000000"/>
          <w:lang w:val="es-ES_tradnl"/>
        </w:rPr>
        <w:t>, en la medida en que lo permitieran los recursos.</w:t>
      </w:r>
      <w:r w:rsidRPr="00C83BDF">
        <w:rPr>
          <w:color w:val="000000"/>
          <w:lang w:val="es-ES_tradnl"/>
        </w:rPr>
        <w:t xml:space="preserve">  </w:t>
      </w:r>
      <w:r w:rsidR="00115975" w:rsidRPr="00C83BDF">
        <w:rPr>
          <w:color w:val="000000"/>
          <w:lang w:val="es-ES_tradnl"/>
        </w:rPr>
        <w:t>El Comité Consultivo tomó nota de que no se dará una gran prioridad a la tarea, porque la demanda de los documentos correspondientes había sido limitada y porque los documentos ya estaban todos disponibles en versión electrónica y se podían facilitar previa petición.</w:t>
      </w:r>
    </w:p>
    <w:p w:rsidR="00E65183" w:rsidRPr="00C83BDF" w:rsidRDefault="00E65183" w:rsidP="00E65183">
      <w:pPr>
        <w:rPr>
          <w:color w:val="000000"/>
          <w:lang w:val="es-ES_tradnl"/>
        </w:rPr>
      </w:pPr>
    </w:p>
    <w:p w:rsidR="00E65183" w:rsidRPr="00C83BDF" w:rsidRDefault="00E65183" w:rsidP="00E65183">
      <w:pPr>
        <w:rPr>
          <w:snapToGrid w:val="0"/>
          <w:lang w:val="es-ES_tradnl"/>
        </w:rPr>
      </w:pPr>
      <w:r w:rsidRPr="00C83BDF">
        <w:rPr>
          <w:color w:val="000000"/>
          <w:lang w:val="es-ES_tradnl"/>
        </w:rPr>
        <w:tab/>
      </w:r>
      <w:r w:rsidR="003539A1" w:rsidRPr="00C83BDF">
        <w:rPr>
          <w:lang w:val="es-ES_tradnl"/>
        </w:rPr>
        <w:t>l)</w:t>
      </w:r>
      <w:r w:rsidRPr="00C83BDF">
        <w:rPr>
          <w:color w:val="000000"/>
          <w:lang w:val="es-ES_tradnl"/>
        </w:rPr>
        <w:tab/>
      </w:r>
      <w:r w:rsidR="00DD5A40" w:rsidRPr="00C83BDF">
        <w:rPr>
          <w:snapToGrid w:val="0"/>
          <w:lang w:val="es-ES_tradnl"/>
        </w:rPr>
        <w:t>tomó nota de que los recursos de la Oficina de la Unión no habían permitido hasta ahora publicar en el sitio web de la UPOV la fecha de la concesión de la condición de observador en la lista de observadores ante los órganos de la UPOV;</w:t>
      </w:r>
    </w:p>
    <w:p w:rsidR="00E65183" w:rsidRPr="00C83BDF" w:rsidRDefault="00E65183" w:rsidP="00E65183">
      <w:pPr>
        <w:rPr>
          <w:snapToGrid w:val="0"/>
          <w:lang w:val="es-ES_tradnl"/>
        </w:rPr>
      </w:pPr>
    </w:p>
    <w:p w:rsidR="00E65183" w:rsidRPr="00C83BDF" w:rsidRDefault="00E65183" w:rsidP="00E65183">
      <w:pPr>
        <w:rPr>
          <w:color w:val="000000"/>
          <w:lang w:val="es-ES_tradnl"/>
        </w:rPr>
      </w:pPr>
      <w:r w:rsidRPr="00C83BDF">
        <w:rPr>
          <w:snapToGrid w:val="0"/>
          <w:lang w:val="es-ES_tradnl"/>
        </w:rPr>
        <w:tab/>
      </w:r>
      <w:r w:rsidR="00DD5A40" w:rsidRPr="00C83BDF">
        <w:rPr>
          <w:snapToGrid w:val="0"/>
          <w:lang w:val="es-ES_tradnl"/>
        </w:rPr>
        <w:t>m)</w:t>
      </w:r>
      <w:r w:rsidRPr="00C83BDF">
        <w:rPr>
          <w:snapToGrid w:val="0"/>
          <w:lang w:val="es-ES_tradnl"/>
        </w:rPr>
        <w:tab/>
      </w:r>
      <w:r w:rsidR="00781093" w:rsidRPr="00C83BDF">
        <w:rPr>
          <w:color w:val="000000"/>
          <w:lang w:val="es-ES_tradnl"/>
        </w:rPr>
        <w:t>convino en que la información sobre los consultores a los que la UPOV había recurrido durante 2014 se presentara al Comité Consultivo en su nonagésima sesión, que se celebrará en octubre de 2015, con los mismos criterios que figuran en el Anexo del documento CC/87/3;</w:t>
      </w:r>
    </w:p>
    <w:p w:rsidR="00E65183" w:rsidRPr="00C83BDF" w:rsidRDefault="00E65183" w:rsidP="00E65183">
      <w:pPr>
        <w:rPr>
          <w:snapToGrid w:val="0"/>
          <w:lang w:val="es-ES_tradnl"/>
        </w:rPr>
      </w:pPr>
    </w:p>
    <w:p w:rsidR="00E65183" w:rsidRPr="00C83BDF" w:rsidRDefault="00E65183" w:rsidP="00E65183">
      <w:pPr>
        <w:rPr>
          <w:snapToGrid w:val="0"/>
          <w:lang w:val="es-ES_tradnl"/>
        </w:rPr>
      </w:pPr>
      <w:r w:rsidRPr="00C83BDF">
        <w:rPr>
          <w:snapToGrid w:val="0"/>
          <w:lang w:val="es-ES_tradnl"/>
        </w:rPr>
        <w:tab/>
      </w:r>
      <w:r w:rsidR="00781093" w:rsidRPr="00C83BDF">
        <w:rPr>
          <w:snapToGrid w:val="0"/>
          <w:lang w:val="es-ES_tradnl"/>
        </w:rPr>
        <w:t>n)</w:t>
      </w:r>
      <w:r w:rsidRPr="00C83BDF">
        <w:rPr>
          <w:snapToGrid w:val="0"/>
          <w:lang w:val="es-ES_tradnl"/>
        </w:rPr>
        <w:tab/>
      </w:r>
      <w:r w:rsidR="00781093" w:rsidRPr="00C83BDF">
        <w:rPr>
          <w:snapToGrid w:val="0"/>
          <w:lang w:val="es-ES_tradnl"/>
        </w:rPr>
        <w:t>suscribió los planes para poner en marcha el curso DL</w:t>
      </w:r>
      <w:r w:rsidR="00781093" w:rsidRPr="00C83BDF">
        <w:rPr>
          <w:snapToGrid w:val="0"/>
          <w:lang w:val="es-ES_tradnl"/>
        </w:rPr>
        <w:noBreakHyphen/>
        <w:t>305 “Examen de solicitudes de derechos de obtentor”, como un curso completo y como dos cursos independientes:</w:t>
      </w:r>
      <w:r w:rsidRPr="00C83BDF">
        <w:rPr>
          <w:snapToGrid w:val="0"/>
          <w:lang w:val="es-ES_tradnl"/>
        </w:rPr>
        <w:t xml:space="preserve">  </w:t>
      </w:r>
      <w:r w:rsidR="00781093" w:rsidRPr="00C83BDF">
        <w:rPr>
          <w:snapToGrid w:val="0"/>
          <w:lang w:val="es-ES_tradnl"/>
        </w:rPr>
        <w:t>DL</w:t>
      </w:r>
      <w:r w:rsidR="00781093" w:rsidRPr="00C83BDF">
        <w:rPr>
          <w:snapToGrid w:val="0"/>
          <w:lang w:val="es-ES_tradnl"/>
        </w:rPr>
        <w:noBreakHyphen/>
        <w:t>305A “Administración de los derechos de obtentor”</w:t>
      </w:r>
      <w:r w:rsidRPr="00C83BDF">
        <w:rPr>
          <w:snapToGrid w:val="0"/>
          <w:lang w:val="es-ES_tradnl"/>
        </w:rPr>
        <w:t xml:space="preserve"> </w:t>
      </w:r>
      <w:r w:rsidR="00781093" w:rsidRPr="00C83BDF">
        <w:rPr>
          <w:snapToGrid w:val="0"/>
          <w:lang w:val="es-ES_tradnl"/>
        </w:rPr>
        <w:t>y DL</w:t>
      </w:r>
      <w:r w:rsidR="00781093" w:rsidRPr="00C83BDF">
        <w:rPr>
          <w:snapToGrid w:val="0"/>
          <w:lang w:val="es-ES_tradnl"/>
        </w:rPr>
        <w:noBreakHyphen/>
        <w:t>305B “Examen DHE”;</w:t>
      </w:r>
    </w:p>
    <w:p w:rsidR="00E65183" w:rsidRPr="00C83BDF" w:rsidRDefault="00E65183" w:rsidP="00E65183">
      <w:pPr>
        <w:rPr>
          <w:snapToGrid w:val="0"/>
          <w:lang w:val="es-ES_tradnl"/>
        </w:rPr>
      </w:pPr>
    </w:p>
    <w:p w:rsidR="00E65183" w:rsidRPr="00C83BDF" w:rsidRDefault="00E65183" w:rsidP="00E65183">
      <w:pPr>
        <w:rPr>
          <w:snapToGrid w:val="0"/>
          <w:color w:val="000000"/>
          <w:lang w:val="es-ES_tradnl"/>
        </w:rPr>
      </w:pPr>
      <w:r w:rsidRPr="00C83BDF">
        <w:rPr>
          <w:snapToGrid w:val="0"/>
          <w:lang w:val="es-ES_tradnl"/>
        </w:rPr>
        <w:tab/>
      </w:r>
      <w:r w:rsidR="00781093" w:rsidRPr="00C83BDF">
        <w:rPr>
          <w:snapToGrid w:val="0"/>
          <w:lang w:val="es-ES_tradnl"/>
        </w:rPr>
        <w:t>o)</w:t>
      </w:r>
      <w:r w:rsidRPr="00C83BDF">
        <w:rPr>
          <w:snapToGrid w:val="0"/>
          <w:lang w:val="es-ES_tradnl"/>
        </w:rPr>
        <w:tab/>
      </w:r>
      <w:r w:rsidR="008F44C4" w:rsidRPr="00C83BDF">
        <w:rPr>
          <w:snapToGrid w:val="0"/>
          <w:color w:val="000000"/>
          <w:lang w:val="es-ES_tradnl"/>
        </w:rPr>
        <w:t>aprobó la elaboración de una propuesta de un nuevo logo para que el Comité Consultivo la examine en su octogésima novena sesión y el Consejo la apruebe en su trigésima segunda sesión extraordinaria, en marzo de 2015;</w:t>
      </w:r>
    </w:p>
    <w:p w:rsidR="00E65183" w:rsidRPr="00C83BDF" w:rsidRDefault="00E65183" w:rsidP="00E65183">
      <w:pPr>
        <w:rPr>
          <w:snapToGrid w:val="0"/>
          <w:color w:val="000000"/>
          <w:lang w:val="es-ES_tradnl"/>
        </w:rPr>
      </w:pPr>
    </w:p>
    <w:p w:rsidR="00E65183" w:rsidRPr="00C83BDF" w:rsidRDefault="00E65183" w:rsidP="00E65183">
      <w:pPr>
        <w:rPr>
          <w:snapToGrid w:val="0"/>
          <w:color w:val="000000"/>
          <w:lang w:val="es-ES_tradnl"/>
        </w:rPr>
      </w:pPr>
      <w:r w:rsidRPr="00C83BDF">
        <w:rPr>
          <w:snapToGrid w:val="0"/>
          <w:color w:val="000000"/>
          <w:lang w:val="es-ES_tradnl"/>
        </w:rPr>
        <w:tab/>
      </w:r>
      <w:r w:rsidR="00CD753B" w:rsidRPr="00C83BDF">
        <w:rPr>
          <w:snapToGrid w:val="0"/>
          <w:lang w:val="es-ES_tradnl"/>
        </w:rPr>
        <w:t>p)</w:t>
      </w:r>
      <w:r w:rsidRPr="00C83BDF">
        <w:rPr>
          <w:snapToGrid w:val="0"/>
          <w:color w:val="000000"/>
          <w:lang w:val="es-ES_tradnl"/>
        </w:rPr>
        <w:tab/>
      </w:r>
      <w:r w:rsidR="00CD753B" w:rsidRPr="00C83BDF">
        <w:rPr>
          <w:snapToGrid w:val="0"/>
          <w:color w:val="000000"/>
          <w:lang w:val="es-ES_tradnl"/>
        </w:rPr>
        <w:t>tomó nota de que la Trilogía,</w:t>
      </w:r>
      <w:r w:rsidR="00CD753B" w:rsidRPr="00C83BDF">
        <w:rPr>
          <w:rStyle w:val="FootnoteReference"/>
          <w:snapToGrid w:val="0"/>
          <w:color w:val="000000"/>
          <w:lang w:val="es-ES_tradnl"/>
        </w:rPr>
        <w:footnoteReference w:id="2"/>
      </w:r>
      <w:r w:rsidR="00CD753B" w:rsidRPr="00C83BDF">
        <w:rPr>
          <w:snapToGrid w:val="0"/>
          <w:color w:val="000000"/>
          <w:lang w:val="es-ES_tradnl"/>
        </w:rPr>
        <w:t xml:space="preserve"> incluido el Resumen, se había publicado en francés.</w:t>
      </w:r>
      <w:r w:rsidRPr="00C83BDF">
        <w:rPr>
          <w:snapToGrid w:val="0"/>
          <w:color w:val="000000"/>
          <w:lang w:val="es-ES_tradnl"/>
        </w:rPr>
        <w:t xml:space="preserve">  </w:t>
      </w:r>
      <w:r w:rsidR="00F572FD" w:rsidRPr="00C83BDF">
        <w:rPr>
          <w:snapToGrid w:val="0"/>
          <w:color w:val="000000"/>
          <w:lang w:val="es-ES_tradnl"/>
        </w:rPr>
        <w:t>También tomó nota de que el Resumen se había publicado en español y que la totalidad de la publicación estará lista en breve;</w:t>
      </w:r>
    </w:p>
    <w:p w:rsidR="00E65183" w:rsidRPr="00C83BDF" w:rsidRDefault="00E65183" w:rsidP="00E65183">
      <w:pPr>
        <w:rPr>
          <w:snapToGrid w:val="0"/>
          <w:color w:val="000000"/>
          <w:lang w:val="es-ES_tradnl"/>
        </w:rPr>
      </w:pPr>
    </w:p>
    <w:p w:rsidR="00E65183" w:rsidRPr="00C83BDF" w:rsidRDefault="00E65183" w:rsidP="00E65183">
      <w:pPr>
        <w:rPr>
          <w:snapToGrid w:val="0"/>
          <w:color w:val="000000"/>
          <w:lang w:val="es-ES_tradnl"/>
        </w:rPr>
      </w:pPr>
      <w:r w:rsidRPr="00C83BDF">
        <w:rPr>
          <w:color w:val="000000"/>
          <w:lang w:val="es-ES_tradnl"/>
        </w:rPr>
        <w:tab/>
      </w:r>
      <w:r w:rsidR="00F572FD" w:rsidRPr="00C83BDF">
        <w:rPr>
          <w:lang w:val="es-ES_tradnl"/>
        </w:rPr>
        <w:t>q)</w:t>
      </w:r>
      <w:r w:rsidRPr="00C83BDF">
        <w:rPr>
          <w:color w:val="000000"/>
          <w:lang w:val="es-ES_tradnl"/>
        </w:rPr>
        <w:tab/>
      </w:r>
      <w:r w:rsidR="00F572FD" w:rsidRPr="00C83BDF">
        <w:rPr>
          <w:snapToGrid w:val="0"/>
          <w:color w:val="000000"/>
          <w:lang w:val="es-ES_tradnl"/>
        </w:rPr>
        <w:t>tomó nota de los planes para introducir funciones para sectores interesados específicos en el sitio web de la UPOV durante 2015;</w:t>
      </w:r>
    </w:p>
    <w:p w:rsidR="00E65183" w:rsidRPr="00C83BDF" w:rsidRDefault="00E65183" w:rsidP="00E65183">
      <w:pPr>
        <w:rPr>
          <w:snapToGrid w:val="0"/>
          <w:color w:val="000000"/>
          <w:lang w:val="es-ES_tradnl"/>
        </w:rPr>
      </w:pPr>
    </w:p>
    <w:p w:rsidR="00E65183" w:rsidRPr="00C83BDF" w:rsidRDefault="00E65183" w:rsidP="00E65183">
      <w:pPr>
        <w:rPr>
          <w:snapToGrid w:val="0"/>
          <w:color w:val="000000"/>
          <w:lang w:val="es-ES_tradnl"/>
        </w:rPr>
      </w:pPr>
      <w:r w:rsidRPr="00C83BDF">
        <w:rPr>
          <w:snapToGrid w:val="0"/>
          <w:color w:val="000000"/>
          <w:lang w:val="es-ES_tradnl"/>
        </w:rPr>
        <w:tab/>
      </w:r>
      <w:r w:rsidR="00F572FD" w:rsidRPr="00C83BDF">
        <w:rPr>
          <w:snapToGrid w:val="0"/>
          <w:lang w:val="es-ES_tradnl"/>
        </w:rPr>
        <w:t>r)</w:t>
      </w:r>
      <w:r w:rsidRPr="00C83BDF">
        <w:rPr>
          <w:snapToGrid w:val="0"/>
          <w:color w:val="000000"/>
          <w:lang w:val="es-ES_tradnl"/>
        </w:rPr>
        <w:tab/>
      </w:r>
      <w:r w:rsidR="00F572FD" w:rsidRPr="00C83BDF">
        <w:rPr>
          <w:snapToGrid w:val="0"/>
          <w:color w:val="000000"/>
          <w:lang w:val="es-ES_tradnl"/>
        </w:rPr>
        <w:t>convino en que las preguntas frecuentes propuestas relativas a la información sobre la situación en la UPOV en lo que respecta al uso de técnicas moleculares, para un público más amplio, que incluya al público en general, debían someterse a la consideración del Comité Técnico;</w:t>
      </w:r>
    </w:p>
    <w:p w:rsidR="00E65183" w:rsidRPr="00C83BDF" w:rsidRDefault="00E65183" w:rsidP="00E65183">
      <w:pPr>
        <w:rPr>
          <w:snapToGrid w:val="0"/>
          <w:color w:val="000000"/>
          <w:lang w:val="es-ES_tradnl"/>
        </w:rPr>
      </w:pPr>
    </w:p>
    <w:p w:rsidR="00E65183" w:rsidRPr="00C83BDF" w:rsidRDefault="00E65183" w:rsidP="00E65183">
      <w:pPr>
        <w:rPr>
          <w:snapToGrid w:val="0"/>
          <w:color w:val="000000"/>
          <w:lang w:val="es-ES_tradnl"/>
        </w:rPr>
      </w:pPr>
      <w:r w:rsidRPr="00C83BDF">
        <w:rPr>
          <w:color w:val="000000"/>
          <w:lang w:val="es-ES_tradnl"/>
        </w:rPr>
        <w:tab/>
      </w:r>
      <w:r w:rsidR="00F572FD" w:rsidRPr="00C83BDF">
        <w:rPr>
          <w:lang w:val="es-ES_tradnl"/>
        </w:rPr>
        <w:t>s)</w:t>
      </w:r>
      <w:r w:rsidRPr="00C83BDF">
        <w:rPr>
          <w:color w:val="000000"/>
          <w:lang w:val="es-ES_tradnl"/>
        </w:rPr>
        <w:tab/>
      </w:r>
      <w:r w:rsidR="006B767F" w:rsidRPr="00C83BDF">
        <w:rPr>
          <w:snapToGrid w:val="0"/>
          <w:color w:val="000000"/>
          <w:lang w:val="es-ES_tradnl"/>
        </w:rPr>
        <w:t>tomó nota de los planes para elaborar una explicación breve e ilustrativa de los beneficios del sistema de la UPOV, dirigida a personas sin conocimientos previos sobre fitomejoramiento ni sobre protección de las obtenciones vegetales, o ejemplos ilustrativos de los beneficios de la protección de las obtenciones vegetales</w:t>
      </w:r>
      <w:r w:rsidR="00F572FD" w:rsidRPr="00C83BDF">
        <w:rPr>
          <w:snapToGrid w:val="0"/>
          <w:color w:val="000000"/>
          <w:lang w:val="es-ES_tradnl"/>
        </w:rPr>
        <w:t>;</w:t>
      </w:r>
    </w:p>
    <w:p w:rsidR="00E65183" w:rsidRPr="00C83BDF" w:rsidRDefault="00E65183" w:rsidP="00E65183">
      <w:pPr>
        <w:rPr>
          <w:snapToGrid w:val="0"/>
          <w:color w:val="000000"/>
          <w:lang w:val="es-ES_tradnl"/>
        </w:rPr>
      </w:pPr>
    </w:p>
    <w:p w:rsidR="00E65183" w:rsidRPr="00C83BDF" w:rsidRDefault="00E65183" w:rsidP="00E65183">
      <w:pPr>
        <w:rPr>
          <w:snapToGrid w:val="0"/>
          <w:color w:val="000000"/>
          <w:lang w:val="es-ES_tradnl"/>
        </w:rPr>
      </w:pPr>
      <w:r w:rsidRPr="00C83BDF">
        <w:rPr>
          <w:color w:val="000000"/>
          <w:lang w:val="es-ES_tradnl"/>
        </w:rPr>
        <w:tab/>
      </w:r>
      <w:r w:rsidR="006B767F" w:rsidRPr="00C83BDF">
        <w:rPr>
          <w:lang w:val="es-ES_tradnl"/>
        </w:rPr>
        <w:t>t)</w:t>
      </w:r>
      <w:r w:rsidRPr="00C83BDF">
        <w:rPr>
          <w:color w:val="000000"/>
          <w:lang w:val="es-ES_tradnl"/>
        </w:rPr>
        <w:tab/>
      </w:r>
      <w:r w:rsidR="006B767F" w:rsidRPr="00C83BDF">
        <w:rPr>
          <w:snapToGrid w:val="0"/>
          <w:color w:val="000000"/>
          <w:lang w:val="es-ES_tradnl"/>
        </w:rPr>
        <w:t>difirió los planes de actualización del Estudio de incidencia al estar pendiente la labor de determinar, junto con el Secretario del ITPGRFA y la Secretaría de la OMPI, las posibles esferas de interrelación de los instrumentos internacionales del ITPGRFA, la OMPI y la UPOV con miras a la elaboración de una publicación conjunta sobre las cuestiones interrelacionadas en lo que concierne a la innovación y los recursos fitogenéticos;</w:t>
      </w:r>
    </w:p>
    <w:p w:rsidR="00E65183" w:rsidRPr="00C83BDF" w:rsidRDefault="00E65183" w:rsidP="00E65183">
      <w:pPr>
        <w:rPr>
          <w:snapToGrid w:val="0"/>
          <w:color w:val="000000"/>
          <w:lang w:val="es-ES_tradnl"/>
        </w:rPr>
      </w:pPr>
    </w:p>
    <w:p w:rsidR="00E65183" w:rsidRPr="00C83BDF" w:rsidRDefault="00E65183" w:rsidP="00E65183">
      <w:pPr>
        <w:rPr>
          <w:snapToGrid w:val="0"/>
          <w:color w:val="000000"/>
          <w:lang w:val="es-ES_tradnl"/>
        </w:rPr>
      </w:pPr>
      <w:r w:rsidRPr="00C83BDF">
        <w:rPr>
          <w:color w:val="000000"/>
          <w:lang w:val="es-ES_tradnl"/>
        </w:rPr>
        <w:tab/>
      </w:r>
      <w:r w:rsidR="006B767F" w:rsidRPr="00C83BDF">
        <w:rPr>
          <w:lang w:val="es-ES_tradnl"/>
        </w:rPr>
        <w:t>u)</w:t>
      </w:r>
      <w:r w:rsidRPr="00C83BDF">
        <w:rPr>
          <w:color w:val="000000"/>
          <w:lang w:val="es-ES_tradnl"/>
        </w:rPr>
        <w:tab/>
      </w:r>
      <w:r w:rsidR="006B767F" w:rsidRPr="00C83BDF">
        <w:rPr>
          <w:snapToGrid w:val="0"/>
          <w:color w:val="000000"/>
          <w:lang w:val="es-ES_tradnl"/>
        </w:rPr>
        <w:t>tomó nota del uso de los talleres electrónicos para impartir formación sobre la utilización de la plantilla en Internet de los documentos TG a los expertos principales;</w:t>
      </w:r>
    </w:p>
    <w:p w:rsidR="00E65183" w:rsidRPr="00C83BDF" w:rsidRDefault="00E65183" w:rsidP="00E65183">
      <w:pPr>
        <w:rPr>
          <w:snapToGrid w:val="0"/>
          <w:color w:val="000000"/>
          <w:lang w:val="es-ES_tradnl"/>
        </w:rPr>
      </w:pPr>
    </w:p>
    <w:p w:rsidR="00E65183" w:rsidRPr="00C83BDF" w:rsidRDefault="00E65183" w:rsidP="00E65183">
      <w:pPr>
        <w:rPr>
          <w:snapToGrid w:val="0"/>
          <w:color w:val="000000"/>
          <w:lang w:val="es-ES_tradnl"/>
        </w:rPr>
      </w:pPr>
      <w:r w:rsidRPr="00C83BDF">
        <w:rPr>
          <w:color w:val="000000"/>
          <w:lang w:val="es-ES_tradnl"/>
        </w:rPr>
        <w:tab/>
      </w:r>
      <w:r w:rsidR="006B767F" w:rsidRPr="00C83BDF">
        <w:rPr>
          <w:lang w:val="es-ES_tradnl"/>
        </w:rPr>
        <w:t>v)</w:t>
      </w:r>
      <w:r w:rsidRPr="00C83BDF">
        <w:rPr>
          <w:color w:val="000000"/>
          <w:lang w:val="es-ES_tradnl"/>
        </w:rPr>
        <w:tab/>
      </w:r>
      <w:r w:rsidR="006B767F" w:rsidRPr="00C83BDF">
        <w:rPr>
          <w:snapToGrid w:val="0"/>
          <w:color w:val="000000"/>
          <w:lang w:val="es-ES_tradnl"/>
        </w:rPr>
        <w:t>tomó nota de que el calendario previsto para la puesta en marcha de un canal de la UPOV en YouTube reflejará la posible elaboración de un nuevo logo de la UPOV;</w:t>
      </w:r>
    </w:p>
    <w:p w:rsidR="00E65183" w:rsidRPr="00C83BDF" w:rsidRDefault="00E65183" w:rsidP="00E65183">
      <w:pPr>
        <w:rPr>
          <w:snapToGrid w:val="0"/>
          <w:color w:val="000000"/>
          <w:lang w:val="es-ES_tradnl"/>
        </w:rPr>
      </w:pPr>
    </w:p>
    <w:p w:rsidR="00E65183" w:rsidRPr="00C83BDF" w:rsidRDefault="00E65183" w:rsidP="00E65183">
      <w:pPr>
        <w:rPr>
          <w:snapToGrid w:val="0"/>
          <w:color w:val="000000"/>
          <w:lang w:val="es-ES_tradnl"/>
        </w:rPr>
      </w:pPr>
      <w:r w:rsidRPr="00C83BDF">
        <w:rPr>
          <w:color w:val="000000"/>
          <w:lang w:val="es-ES_tradnl"/>
        </w:rPr>
        <w:tab/>
      </w:r>
      <w:r w:rsidR="006B767F" w:rsidRPr="00C83BDF">
        <w:rPr>
          <w:color w:val="000000"/>
          <w:lang w:val="es-ES_tradnl"/>
        </w:rPr>
        <w:t>w)</w:t>
      </w:r>
      <w:r w:rsidRPr="00C83BDF">
        <w:rPr>
          <w:color w:val="000000"/>
          <w:lang w:val="es-ES_tradnl"/>
        </w:rPr>
        <w:tab/>
      </w:r>
      <w:r w:rsidR="006B767F" w:rsidRPr="00C83BDF">
        <w:rPr>
          <w:snapToGrid w:val="0"/>
          <w:color w:val="000000"/>
          <w:lang w:val="es-ES_tradnl"/>
        </w:rPr>
        <w:t>tomó nota de que se informará de los resultados de la estrategia de comunicación como parte del informe anual de la Secretaría General y el informe sobre el rendimiento en el bienio;</w:t>
      </w:r>
    </w:p>
    <w:p w:rsidR="00E65183" w:rsidRPr="00C83BDF" w:rsidRDefault="00E65183" w:rsidP="00E65183">
      <w:pPr>
        <w:rPr>
          <w:snapToGrid w:val="0"/>
          <w:lang w:val="es-ES_tradnl"/>
        </w:rPr>
      </w:pPr>
    </w:p>
    <w:p w:rsidR="00E65183" w:rsidRPr="00C83BDF" w:rsidRDefault="00E65183" w:rsidP="00E65183">
      <w:pPr>
        <w:rPr>
          <w:snapToGrid w:val="0"/>
          <w:lang w:val="es-ES_tradnl"/>
        </w:rPr>
      </w:pPr>
      <w:r w:rsidRPr="00C83BDF">
        <w:rPr>
          <w:snapToGrid w:val="0"/>
          <w:lang w:val="es-ES_tradnl"/>
        </w:rPr>
        <w:tab/>
      </w:r>
      <w:r w:rsidR="006B767F" w:rsidRPr="00C83BDF">
        <w:rPr>
          <w:snapToGrid w:val="0"/>
          <w:lang w:val="es-ES_tradnl"/>
        </w:rPr>
        <w:t>x)</w:t>
      </w:r>
      <w:r w:rsidRPr="00C83BDF">
        <w:rPr>
          <w:snapToGrid w:val="0"/>
          <w:lang w:val="es-ES_tradnl"/>
        </w:rPr>
        <w:tab/>
      </w:r>
      <w:r w:rsidR="006B767F" w:rsidRPr="00C83BDF">
        <w:rPr>
          <w:snapToGrid w:val="0"/>
          <w:lang w:val="es-ES_tradnl"/>
        </w:rPr>
        <w:t>tomó nota de la comunicación recibida de la Oficina del Secretario del ITPGRFA, en la que se pasa reseña a las novedades relativas a la invitación formulada por la Secretaría del ITPGRFA a la UPOV y a la OMPI a determinar conjuntamente las posibles esferas de interrelación de los respectivos instrumentos internacionales de la UPOV, la OMPI y el ITPGRFA;</w:t>
      </w:r>
    </w:p>
    <w:p w:rsidR="00E65183" w:rsidRPr="00C83BDF" w:rsidRDefault="00E65183" w:rsidP="00E65183">
      <w:pPr>
        <w:rPr>
          <w:snapToGrid w:val="0"/>
          <w:lang w:val="es-ES_tradnl"/>
        </w:rPr>
      </w:pPr>
    </w:p>
    <w:p w:rsidR="00E65183" w:rsidRPr="00C83BDF" w:rsidRDefault="00E65183" w:rsidP="00E65183">
      <w:pPr>
        <w:rPr>
          <w:snapToGrid w:val="0"/>
          <w:lang w:val="es-ES_tradnl"/>
        </w:rPr>
      </w:pPr>
      <w:r w:rsidRPr="00C83BDF">
        <w:rPr>
          <w:snapToGrid w:val="0"/>
          <w:lang w:val="es-ES_tradnl"/>
        </w:rPr>
        <w:tab/>
      </w:r>
      <w:r w:rsidR="006B767F" w:rsidRPr="00C83BDF">
        <w:rPr>
          <w:snapToGrid w:val="0"/>
          <w:lang w:val="es-ES_tradnl"/>
        </w:rPr>
        <w:t>y)</w:t>
      </w:r>
      <w:r w:rsidRPr="00C83BDF">
        <w:rPr>
          <w:snapToGrid w:val="0"/>
          <w:lang w:val="es-ES_tradnl"/>
        </w:rPr>
        <w:tab/>
      </w:r>
      <w:r w:rsidR="006B767F" w:rsidRPr="00C83BDF">
        <w:rPr>
          <w:snapToGrid w:val="0"/>
          <w:lang w:val="es-ES_tradnl"/>
        </w:rPr>
        <w:t>tomó nota de los planes relativos a proporcionar información sobre el tipo de cultivo correspondiente a cada uno de los códigos UPOV que figuran en la base de datos GENIE como base para obtener estadísticas sobre la protección de las obtenciones vegetales a partir de la base de datos PLUTO, teniendo en cuenta las limitaciones que inciden en la exactitud e integridad de cualquier análisis de esa índole;</w:t>
      </w:r>
    </w:p>
    <w:p w:rsidR="00E65183" w:rsidRPr="00C83BDF" w:rsidRDefault="00E65183" w:rsidP="00E65183">
      <w:pPr>
        <w:rPr>
          <w:snapToGrid w:val="0"/>
          <w:lang w:val="es-ES_tradnl"/>
        </w:rPr>
      </w:pPr>
    </w:p>
    <w:p w:rsidR="00E65183" w:rsidRPr="00C83BDF" w:rsidRDefault="00E65183" w:rsidP="00E65183">
      <w:pPr>
        <w:rPr>
          <w:lang w:val="es-ES_tradnl"/>
        </w:rPr>
      </w:pPr>
      <w:r w:rsidRPr="00C83BDF">
        <w:rPr>
          <w:snapToGrid w:val="0"/>
          <w:lang w:val="es-ES_tradnl"/>
        </w:rPr>
        <w:tab/>
      </w:r>
      <w:r w:rsidR="006B767F" w:rsidRPr="00C83BDF">
        <w:rPr>
          <w:snapToGrid w:val="0"/>
          <w:lang w:val="es-ES_tradnl"/>
        </w:rPr>
        <w:t>z)</w:t>
      </w:r>
      <w:r w:rsidRPr="00C83BDF">
        <w:rPr>
          <w:snapToGrid w:val="0"/>
          <w:lang w:val="es-ES_tradnl"/>
        </w:rPr>
        <w:tab/>
      </w:r>
      <w:r w:rsidR="006B767F" w:rsidRPr="00C83BDF">
        <w:rPr>
          <w:lang w:val="es-ES_tradnl"/>
        </w:rPr>
        <w:t>tomó nota del informe sobre la situación relativa a los Estados y las organizaciones intergubernamentales que han iniciado el procedimiento de adhesión al Convenio de la UPOV o que han entrado en contacto con la Oficina de la Unión para solicitarle asistencia en la elaboración de leyes basadas en el Convenio de la UPOV;</w:t>
      </w:r>
    </w:p>
    <w:p w:rsidR="00E65183" w:rsidRPr="00C83BDF" w:rsidRDefault="00E65183" w:rsidP="00E65183">
      <w:pPr>
        <w:rPr>
          <w:lang w:val="es-ES_tradnl"/>
        </w:rPr>
      </w:pPr>
    </w:p>
    <w:p w:rsidR="00E65183" w:rsidRPr="00C83BDF" w:rsidRDefault="00E65183" w:rsidP="00E65183">
      <w:pPr>
        <w:rPr>
          <w:snapToGrid w:val="0"/>
          <w:lang w:val="es-ES_tradnl"/>
        </w:rPr>
      </w:pPr>
      <w:r w:rsidRPr="00C83BDF">
        <w:rPr>
          <w:lang w:val="es-ES_tradnl"/>
        </w:rPr>
        <w:tab/>
      </w:r>
      <w:r w:rsidR="006B767F" w:rsidRPr="00C83BDF">
        <w:rPr>
          <w:lang w:val="es-ES_tradnl"/>
        </w:rPr>
        <w:t>aa)</w:t>
      </w:r>
      <w:r w:rsidRPr="00C83BDF">
        <w:rPr>
          <w:lang w:val="es-ES_tradnl"/>
        </w:rPr>
        <w:tab/>
      </w:r>
      <w:r w:rsidR="006B767F" w:rsidRPr="00C83BDF">
        <w:rPr>
          <w:snapToGrid w:val="0"/>
          <w:lang w:val="es-ES_tradnl"/>
        </w:rPr>
        <w:t>tomó nota de que no había sido posible para Omán presentar una ponencia en 2014 y convino en reiterar la invitación para que lo haga en una futura sesión del Comité Consultivo, si procede;</w:t>
      </w:r>
    </w:p>
    <w:p w:rsidR="00E65183" w:rsidRPr="00C83BDF" w:rsidRDefault="00E65183" w:rsidP="00E65183">
      <w:pPr>
        <w:rPr>
          <w:snapToGrid w:val="0"/>
          <w:lang w:val="es-ES_tradnl"/>
        </w:rPr>
      </w:pPr>
    </w:p>
    <w:p w:rsidR="00E65183" w:rsidRPr="00C83BDF" w:rsidRDefault="00E65183" w:rsidP="00E65183">
      <w:pPr>
        <w:rPr>
          <w:lang w:val="es-ES_tradnl"/>
        </w:rPr>
      </w:pPr>
      <w:r w:rsidRPr="00C83BDF">
        <w:rPr>
          <w:lang w:val="es-ES_tradnl"/>
        </w:rPr>
        <w:tab/>
      </w:r>
      <w:r w:rsidR="006B767F" w:rsidRPr="00C83BDF">
        <w:rPr>
          <w:lang w:val="es-ES_tradnl"/>
        </w:rPr>
        <w:t>bb)</w:t>
      </w:r>
      <w:r w:rsidRPr="00C83BDF">
        <w:rPr>
          <w:lang w:val="es-ES_tradnl"/>
        </w:rPr>
        <w:tab/>
      </w:r>
      <w:r w:rsidR="006B767F" w:rsidRPr="00C83BDF">
        <w:rPr>
          <w:lang w:val="es-ES_tradnl"/>
        </w:rPr>
        <w:t xml:space="preserve">acogió favorablemente las </w:t>
      </w:r>
      <w:r w:rsidR="00AA7D84" w:rsidRPr="00C83BDF">
        <w:rPr>
          <w:lang w:val="es-ES_tradnl"/>
        </w:rPr>
        <w:t>ponencias presentadas por Costa </w:t>
      </w:r>
      <w:r w:rsidR="006B767F" w:rsidRPr="00C83BDF">
        <w:rPr>
          <w:lang w:val="es-ES_tradnl"/>
        </w:rPr>
        <w:t>Rica y Georgia sobre la marcha de la aplicación del sistema de la UPOV y sobre las esferas en las que desearían recibir orientación o asistencia;</w:t>
      </w:r>
    </w:p>
    <w:p w:rsidR="00E65183" w:rsidRPr="00C83BDF" w:rsidRDefault="00E65183" w:rsidP="00E65183">
      <w:pPr>
        <w:rPr>
          <w:lang w:val="es-ES_tradnl"/>
        </w:rPr>
      </w:pPr>
    </w:p>
    <w:p w:rsidR="00E65183" w:rsidRPr="00C83BDF" w:rsidRDefault="00E65183" w:rsidP="00E65183">
      <w:pPr>
        <w:rPr>
          <w:lang w:val="es-ES_tradnl"/>
        </w:rPr>
      </w:pPr>
      <w:r w:rsidRPr="00C83BDF">
        <w:rPr>
          <w:lang w:val="es-ES_tradnl"/>
        </w:rPr>
        <w:tab/>
      </w:r>
      <w:r w:rsidR="006B767F" w:rsidRPr="00C83BDF">
        <w:rPr>
          <w:lang w:val="es-ES_tradnl"/>
        </w:rPr>
        <w:t>cc)</w:t>
      </w:r>
      <w:r w:rsidRPr="00C83BDF">
        <w:rPr>
          <w:lang w:val="es-ES_tradnl"/>
        </w:rPr>
        <w:tab/>
      </w:r>
      <w:r w:rsidR="006B767F" w:rsidRPr="00C83BDF">
        <w:rPr>
          <w:lang w:val="es-ES_tradnl"/>
        </w:rPr>
        <w:t>aprobó que se cursen invitaciones a la ex República Yugoslava de Macedonia y al Perú a presentar ponencias en la nonagésima sesión del Comité Consultivo, que se celebrará en octubre de 2015;</w:t>
      </w:r>
    </w:p>
    <w:p w:rsidR="00E65183" w:rsidRPr="00C83BDF" w:rsidRDefault="00E65183" w:rsidP="00E65183">
      <w:pPr>
        <w:rPr>
          <w:lang w:val="es-ES_tradnl"/>
        </w:rPr>
      </w:pPr>
    </w:p>
    <w:p w:rsidR="005B69D8" w:rsidRPr="00C83BDF" w:rsidRDefault="005B69D8">
      <w:pPr>
        <w:jc w:val="left"/>
        <w:rPr>
          <w:lang w:val="es-ES_tradnl"/>
        </w:rPr>
      </w:pPr>
      <w:r w:rsidRPr="00C83BDF">
        <w:rPr>
          <w:lang w:val="es-ES_tradnl"/>
        </w:rPr>
        <w:br w:type="page"/>
      </w:r>
    </w:p>
    <w:p w:rsidR="00E65183" w:rsidRPr="00C83BDF" w:rsidRDefault="00E65183" w:rsidP="00E65183">
      <w:pPr>
        <w:rPr>
          <w:lang w:val="es-ES_tradnl"/>
        </w:rPr>
      </w:pPr>
      <w:r w:rsidRPr="00C83BDF">
        <w:rPr>
          <w:lang w:val="es-ES_tradnl"/>
        </w:rPr>
        <w:tab/>
      </w:r>
      <w:r w:rsidR="006B767F" w:rsidRPr="00C83BDF">
        <w:rPr>
          <w:lang w:val="es-ES_tradnl"/>
        </w:rPr>
        <w:t>dd)</w:t>
      </w:r>
      <w:r w:rsidRPr="00C83BDF">
        <w:rPr>
          <w:lang w:val="es-ES_tradnl"/>
        </w:rPr>
        <w:tab/>
      </w:r>
      <w:r w:rsidR="006B767F" w:rsidRPr="00C83BDF">
        <w:rPr>
          <w:lang w:val="es-ES_tradnl"/>
        </w:rPr>
        <w:t>tomó nota de las novedades que se han producido en relación con:</w:t>
      </w:r>
    </w:p>
    <w:p w:rsidR="00E65183" w:rsidRPr="00C83BDF" w:rsidRDefault="00E65183" w:rsidP="00E65183">
      <w:pPr>
        <w:rPr>
          <w:lang w:val="es-ES_tradnl"/>
        </w:rPr>
      </w:pPr>
    </w:p>
    <w:p w:rsidR="00E65183" w:rsidRPr="00C83BDF" w:rsidRDefault="00E65183" w:rsidP="00E65183">
      <w:pPr>
        <w:ind w:left="567"/>
        <w:rPr>
          <w:lang w:val="es-ES_tradnl"/>
        </w:rPr>
      </w:pPr>
      <w:r w:rsidRPr="00C83BDF">
        <w:rPr>
          <w:lang w:val="es-ES_tradnl"/>
        </w:rPr>
        <w:tab/>
      </w:r>
      <w:r w:rsidR="006B767F" w:rsidRPr="00C83BDF">
        <w:rPr>
          <w:lang w:val="es-ES_tradnl"/>
        </w:rPr>
        <w:t>i)</w:t>
      </w:r>
      <w:r w:rsidRPr="00C83BDF">
        <w:rPr>
          <w:lang w:val="es-ES_tradnl"/>
        </w:rPr>
        <w:tab/>
      </w:r>
      <w:r w:rsidR="006B767F" w:rsidRPr="00C83BDF">
        <w:rPr>
          <w:lang w:val="es-ES_tradnl"/>
        </w:rPr>
        <w:t>el Foro de Asia Oriental para la Protección de las Obtenciones Vegetales (Foro EAPVP);</w:t>
      </w:r>
    </w:p>
    <w:p w:rsidR="00E65183" w:rsidRPr="00C83BDF" w:rsidRDefault="00E65183" w:rsidP="00E65183">
      <w:pPr>
        <w:ind w:left="567"/>
        <w:rPr>
          <w:lang w:val="es-ES_tradnl"/>
        </w:rPr>
      </w:pPr>
    </w:p>
    <w:p w:rsidR="00E65183" w:rsidRPr="00C83BDF" w:rsidRDefault="00E65183" w:rsidP="00E65183">
      <w:pPr>
        <w:ind w:left="567"/>
        <w:rPr>
          <w:lang w:val="es-ES_tradnl"/>
        </w:rPr>
      </w:pPr>
      <w:r w:rsidRPr="00C83BDF">
        <w:rPr>
          <w:lang w:val="es-ES_tradnl"/>
        </w:rPr>
        <w:tab/>
      </w:r>
      <w:r w:rsidR="006B767F" w:rsidRPr="00C83BDF">
        <w:rPr>
          <w:lang w:val="es-ES_tradnl"/>
        </w:rPr>
        <w:t>ii)</w:t>
      </w:r>
      <w:r w:rsidRPr="00C83BDF">
        <w:rPr>
          <w:lang w:val="es-ES_tradnl"/>
        </w:rPr>
        <w:tab/>
      </w:r>
      <w:r w:rsidR="006B767F" w:rsidRPr="00C83BDF">
        <w:rPr>
          <w:lang w:val="es-ES_tradnl"/>
        </w:rPr>
        <w:t>el Convenio sobre la Diversidad Biológica (CDB), y de que, en la septuagésima sesión del CAJ, celebrada en Ginebra el 13 de octubre  2014, el CAJ había tomado nota del interés por tratar de la relación entre el “</w:t>
      </w:r>
      <w:r w:rsidR="00DD0D60" w:rsidRPr="00C83BDF">
        <w:rPr>
          <w:rFonts w:cs="Arial"/>
          <w:lang w:val="es-ES_tradnl"/>
        </w:rPr>
        <w:t xml:space="preserve">Protocolo de Nagoya sobre Acceso a los Recursos Genéticos y Participación Justa y Equitativa en los Beneficios que se Deriven de su Utilización </w:t>
      </w:r>
      <w:r w:rsidR="006B767F" w:rsidRPr="00C83BDF">
        <w:rPr>
          <w:lang w:val="es-ES_tradnl"/>
        </w:rPr>
        <w:t>al Convenio sobre la Diversidad Biológica” y la exención de los obtentores y los efectos de aquél sobre ésta (véase el párrafo 40 del documento CAJ/70/10 “Informe sobre las conclusiones”);</w:t>
      </w:r>
    </w:p>
    <w:p w:rsidR="00E65183" w:rsidRPr="00C83BDF" w:rsidRDefault="00E65183" w:rsidP="00E65183">
      <w:pPr>
        <w:ind w:left="567"/>
        <w:rPr>
          <w:lang w:val="es-ES_tradnl"/>
        </w:rPr>
      </w:pPr>
    </w:p>
    <w:p w:rsidR="00E65183" w:rsidRPr="00C83BDF" w:rsidRDefault="00E65183" w:rsidP="00E65183">
      <w:pPr>
        <w:ind w:left="567"/>
        <w:rPr>
          <w:lang w:val="es-ES_tradnl"/>
        </w:rPr>
      </w:pPr>
      <w:r w:rsidRPr="00C83BDF">
        <w:rPr>
          <w:lang w:val="es-ES_tradnl"/>
        </w:rPr>
        <w:tab/>
      </w:r>
      <w:r w:rsidR="006B767F" w:rsidRPr="00C83BDF">
        <w:rPr>
          <w:lang w:val="es-ES_tradnl"/>
        </w:rPr>
        <w:t>iii)</w:t>
      </w:r>
      <w:r w:rsidRPr="00C83BDF">
        <w:rPr>
          <w:lang w:val="es-ES_tradnl"/>
        </w:rPr>
        <w:tab/>
      </w:r>
      <w:r w:rsidR="006B767F" w:rsidRPr="00C83BDF">
        <w:rPr>
          <w:lang w:val="es-ES_tradnl"/>
        </w:rPr>
        <w:t xml:space="preserve">el Sistema </w:t>
      </w:r>
      <w:r w:rsidR="00BC2AA6" w:rsidRPr="00C83BDF">
        <w:rPr>
          <w:lang w:val="es-ES_tradnl"/>
        </w:rPr>
        <w:t xml:space="preserve">de la Organización para la Cooperación y el Desarrollo Económicos (OCDE) </w:t>
      </w:r>
      <w:r w:rsidR="006B767F" w:rsidRPr="00C83BDF">
        <w:rPr>
          <w:lang w:val="es-ES_tradnl"/>
        </w:rPr>
        <w:t>para la certificación d</w:t>
      </w:r>
      <w:r w:rsidR="00BC2AA6" w:rsidRPr="00C83BDF">
        <w:rPr>
          <w:lang w:val="es-ES_tradnl"/>
        </w:rPr>
        <w:t>e semillas y plantas forestales</w:t>
      </w:r>
      <w:r w:rsidR="006B767F" w:rsidRPr="00C83BDF">
        <w:rPr>
          <w:lang w:val="es-ES_tradnl"/>
        </w:rPr>
        <w:t>, y de que, en su reunión anual celebrada en París los días 24 y 25 de septiembre de 2014, dicho Sistema había convenido en modificar el reglamento del sistema de certificación para añadir una definición de derechos de obtentor y hacer una referencia a la definición de “variedad” con arreglo al Convenio de la UPOV;</w:t>
      </w:r>
    </w:p>
    <w:p w:rsidR="00E65183" w:rsidRPr="00C83BDF" w:rsidRDefault="00E65183" w:rsidP="00E65183">
      <w:pPr>
        <w:ind w:left="567"/>
        <w:rPr>
          <w:lang w:val="es-ES_tradnl"/>
        </w:rPr>
      </w:pPr>
    </w:p>
    <w:p w:rsidR="00E65183" w:rsidRPr="00C83BDF" w:rsidRDefault="00E65183" w:rsidP="00E65183">
      <w:pPr>
        <w:ind w:left="567"/>
        <w:rPr>
          <w:lang w:val="es-ES_tradnl"/>
        </w:rPr>
      </w:pPr>
      <w:r w:rsidRPr="00C83BDF">
        <w:rPr>
          <w:lang w:val="es-ES_tradnl"/>
        </w:rPr>
        <w:tab/>
      </w:r>
      <w:r w:rsidR="00D34C5E" w:rsidRPr="00C83BDF">
        <w:rPr>
          <w:lang w:val="es-ES_tradnl"/>
        </w:rPr>
        <w:t>iv)</w:t>
      </w:r>
      <w:r w:rsidRPr="00C83BDF">
        <w:rPr>
          <w:lang w:val="es-ES_tradnl"/>
        </w:rPr>
        <w:tab/>
      </w:r>
      <w:r w:rsidR="00D34C5E" w:rsidRPr="00C83BDF">
        <w:rPr>
          <w:lang w:val="es-ES_tradnl"/>
        </w:rPr>
        <w:t>la Comisión de Recursos Genéticos para la Alimentación y la Agricultura (CRGAA) de la Organización de las Naciones Unidas para la Agricultura y la Alimentación (FAO);</w:t>
      </w:r>
    </w:p>
    <w:p w:rsidR="00E65183" w:rsidRPr="00C83BDF" w:rsidRDefault="00E65183" w:rsidP="00E65183">
      <w:pPr>
        <w:ind w:left="567"/>
        <w:rPr>
          <w:lang w:val="es-ES_tradnl"/>
        </w:rPr>
      </w:pPr>
    </w:p>
    <w:p w:rsidR="00E65183" w:rsidRPr="00C83BDF" w:rsidRDefault="00E65183" w:rsidP="00E65183">
      <w:pPr>
        <w:ind w:left="567"/>
        <w:rPr>
          <w:lang w:val="es-ES_tradnl"/>
        </w:rPr>
      </w:pPr>
      <w:r w:rsidRPr="00C83BDF">
        <w:rPr>
          <w:lang w:val="es-ES_tradnl"/>
        </w:rPr>
        <w:tab/>
      </w:r>
      <w:r w:rsidR="00D34C5E" w:rsidRPr="00C83BDF">
        <w:rPr>
          <w:lang w:val="es-ES_tradnl"/>
        </w:rPr>
        <w:t>v)</w:t>
      </w:r>
      <w:r w:rsidRPr="00C83BDF">
        <w:rPr>
          <w:lang w:val="es-ES_tradnl"/>
        </w:rPr>
        <w:tab/>
      </w:r>
      <w:r w:rsidR="00D34C5E" w:rsidRPr="00C83BDF">
        <w:rPr>
          <w:lang w:val="es-ES_tradnl"/>
        </w:rPr>
        <w:t>el CIG de la OMPI;</w:t>
      </w:r>
    </w:p>
    <w:p w:rsidR="00E65183" w:rsidRPr="00C83BDF" w:rsidRDefault="00E65183" w:rsidP="00E65183">
      <w:pPr>
        <w:ind w:left="567"/>
        <w:rPr>
          <w:lang w:val="es-ES_tradnl"/>
        </w:rPr>
      </w:pPr>
    </w:p>
    <w:p w:rsidR="00E65183" w:rsidRPr="00C83BDF" w:rsidRDefault="00E65183" w:rsidP="00E65183">
      <w:pPr>
        <w:ind w:left="567"/>
        <w:rPr>
          <w:lang w:val="es-ES_tradnl"/>
        </w:rPr>
      </w:pPr>
      <w:r w:rsidRPr="00C83BDF">
        <w:rPr>
          <w:lang w:val="es-ES_tradnl"/>
        </w:rPr>
        <w:tab/>
      </w:r>
      <w:r w:rsidR="00D34C5E" w:rsidRPr="00C83BDF">
        <w:rPr>
          <w:lang w:val="es-ES_tradnl"/>
        </w:rPr>
        <w:t>vi)</w:t>
      </w:r>
      <w:r w:rsidRPr="00C83BDF">
        <w:rPr>
          <w:lang w:val="es-ES_tradnl"/>
        </w:rPr>
        <w:tab/>
      </w:r>
      <w:r w:rsidR="00D34C5E" w:rsidRPr="00C83BDF">
        <w:rPr>
          <w:lang w:val="es-ES_tradnl"/>
        </w:rPr>
        <w:t>la OMC;</w:t>
      </w:r>
      <w:r w:rsidR="00D94EA2" w:rsidRPr="00C83BDF">
        <w:rPr>
          <w:lang w:val="es-ES_tradnl"/>
        </w:rPr>
        <w:t xml:space="preserve">  </w:t>
      </w:r>
      <w:r w:rsidR="00D34C5E" w:rsidRPr="00C83BDF">
        <w:rPr>
          <w:lang w:val="es-ES_tradnl"/>
        </w:rPr>
        <w:t>y</w:t>
      </w:r>
    </w:p>
    <w:p w:rsidR="00E65183" w:rsidRPr="00C83BDF" w:rsidRDefault="00E65183" w:rsidP="00E65183">
      <w:pPr>
        <w:ind w:left="567"/>
        <w:rPr>
          <w:lang w:val="es-ES_tradnl"/>
        </w:rPr>
      </w:pPr>
    </w:p>
    <w:p w:rsidR="00E65183" w:rsidRPr="00C83BDF" w:rsidRDefault="00E65183" w:rsidP="00E65183">
      <w:pPr>
        <w:ind w:left="567"/>
        <w:rPr>
          <w:lang w:val="es-ES_tradnl"/>
        </w:rPr>
      </w:pPr>
      <w:r w:rsidRPr="00C83BDF">
        <w:rPr>
          <w:lang w:val="es-ES_tradnl"/>
        </w:rPr>
        <w:tab/>
      </w:r>
      <w:r w:rsidR="00D34C5E" w:rsidRPr="00C83BDF">
        <w:rPr>
          <w:lang w:val="es-ES_tradnl"/>
        </w:rPr>
        <w:t>vii)</w:t>
      </w:r>
      <w:r w:rsidRPr="00C83BDF">
        <w:rPr>
          <w:lang w:val="es-ES_tradnl"/>
        </w:rPr>
        <w:tab/>
      </w:r>
      <w:r w:rsidR="00D34C5E" w:rsidRPr="00C83BDF">
        <w:rPr>
          <w:lang w:val="es-ES_tradnl"/>
        </w:rPr>
        <w:t>el proyecto “</w:t>
      </w:r>
      <w:r w:rsidR="00D34C5E" w:rsidRPr="00C83BDF">
        <w:rPr>
          <w:i/>
          <w:lang w:val="es-ES_tradnl"/>
        </w:rPr>
        <w:t>Benchmarking the Business of Agriculture</w:t>
      </w:r>
      <w:r w:rsidR="002C2AF7" w:rsidRPr="00C83BDF">
        <w:rPr>
          <w:lang w:val="es-ES_tradnl"/>
        </w:rPr>
        <w:t>” (proyecto BBA)</w:t>
      </w:r>
      <w:r w:rsidR="00D34C5E" w:rsidRPr="00C83BDF">
        <w:rPr>
          <w:lang w:val="es-ES_tradnl"/>
        </w:rPr>
        <w:t xml:space="preserve"> del Banco Mundial y la Corporación Financiera Internacional;</w:t>
      </w:r>
    </w:p>
    <w:p w:rsidR="00E65183" w:rsidRPr="00C83BDF" w:rsidRDefault="00E65183" w:rsidP="00E65183">
      <w:pPr>
        <w:rPr>
          <w:lang w:val="es-ES_tradnl"/>
        </w:rPr>
      </w:pPr>
    </w:p>
    <w:p w:rsidR="00E65183" w:rsidRPr="00C83BDF" w:rsidRDefault="00E65183" w:rsidP="00E65183">
      <w:pPr>
        <w:rPr>
          <w:lang w:val="es-ES_tradnl"/>
        </w:rPr>
      </w:pPr>
      <w:r w:rsidRPr="00C83BDF">
        <w:rPr>
          <w:lang w:val="es-ES_tradnl"/>
        </w:rPr>
        <w:tab/>
      </w:r>
      <w:r w:rsidR="00D34C5E" w:rsidRPr="00C83BDF">
        <w:rPr>
          <w:lang w:val="es-ES_tradnl"/>
        </w:rPr>
        <w:t>ee)</w:t>
      </w:r>
      <w:r w:rsidRPr="00C83BDF">
        <w:rPr>
          <w:lang w:val="es-ES_tradnl"/>
        </w:rPr>
        <w:tab/>
      </w:r>
      <w:r w:rsidR="00D34C5E" w:rsidRPr="00C83BDF">
        <w:rPr>
          <w:lang w:val="es-ES_tradnl"/>
        </w:rPr>
        <w:t>tomó nota de que el Comité Permanente sobre el Derecho de Patentes (SCP) de la OMPI, en su vigésima primera sesión, que se celebraría en Ginebra del 3 al 7 de noviembre de 2014, examinaría los documentos relativos a las excepciones, incluida la exención del obtentor.</w:t>
      </w:r>
      <w:r w:rsidRPr="00C83BDF">
        <w:rPr>
          <w:lang w:val="es-ES_tradnl"/>
        </w:rPr>
        <w:t xml:space="preserve">  </w:t>
      </w:r>
      <w:r w:rsidR="00D34C5E" w:rsidRPr="00C83BDF">
        <w:rPr>
          <w:lang w:val="es-ES_tradnl"/>
        </w:rPr>
        <w:t>El Comité Consultivo solicitó a la Oficina de la Unión que present</w:t>
      </w:r>
      <w:r w:rsidR="00E15BDE" w:rsidRPr="00C83BDF">
        <w:rPr>
          <w:lang w:val="es-ES_tradnl"/>
        </w:rPr>
        <w:t>ara</w:t>
      </w:r>
      <w:r w:rsidR="00D34C5E" w:rsidRPr="00C83BDF">
        <w:rPr>
          <w:lang w:val="es-ES_tradnl"/>
        </w:rPr>
        <w:t xml:space="preserve"> un informe sobre el debate mantenido en el seno del SCP sobre esa cuestión en la octogésima novena sesión del Comité Consultivo </w:t>
      </w:r>
      <w:r w:rsidR="00E15BDE" w:rsidRPr="00C83BDF">
        <w:rPr>
          <w:lang w:val="es-ES_tradnl"/>
        </w:rPr>
        <w:t xml:space="preserve">que se celebraría en marzo </w:t>
      </w:r>
      <w:r w:rsidR="00D34C5E" w:rsidRPr="00C83BDF">
        <w:rPr>
          <w:lang w:val="es-ES_tradnl"/>
        </w:rPr>
        <w:t>de 2015;</w:t>
      </w:r>
    </w:p>
    <w:p w:rsidR="00E65183" w:rsidRPr="00C83BDF" w:rsidRDefault="00E65183" w:rsidP="00E65183">
      <w:pPr>
        <w:rPr>
          <w:snapToGrid w:val="0"/>
          <w:lang w:val="es-ES_tradnl"/>
        </w:rPr>
      </w:pPr>
    </w:p>
    <w:p w:rsidR="00E65183" w:rsidRPr="00C83BDF" w:rsidRDefault="00E65183" w:rsidP="00E65183">
      <w:pPr>
        <w:rPr>
          <w:lang w:val="es-ES_tradnl"/>
        </w:rPr>
      </w:pPr>
      <w:r w:rsidRPr="00C83BDF">
        <w:rPr>
          <w:lang w:val="es-ES_tradnl"/>
        </w:rPr>
        <w:tab/>
      </w:r>
      <w:r w:rsidR="00D34C5E" w:rsidRPr="00C83BDF">
        <w:rPr>
          <w:lang w:val="es-ES_tradnl"/>
        </w:rPr>
        <w:t>ff)</w:t>
      </w:r>
      <w:r w:rsidRPr="00C83BDF">
        <w:rPr>
          <w:lang w:val="es-ES_tradnl"/>
        </w:rPr>
        <w:tab/>
      </w:r>
      <w:r w:rsidR="00D34C5E" w:rsidRPr="00C83BDF">
        <w:rPr>
          <w:lang w:val="es-ES_tradnl"/>
        </w:rPr>
        <w:t xml:space="preserve">tomó nota de que, a petición de la Secretaría de la OMPI, </w:t>
      </w:r>
      <w:r w:rsidR="006F1FE2" w:rsidRPr="00C83BDF">
        <w:rPr>
          <w:lang w:val="es-ES_tradnl"/>
        </w:rPr>
        <w:t>la Oficina prev</w:t>
      </w:r>
      <w:r w:rsidR="00F517F3" w:rsidRPr="00C83BDF">
        <w:rPr>
          <w:lang w:val="es-ES_tradnl"/>
        </w:rPr>
        <w:t>eía</w:t>
      </w:r>
      <w:r w:rsidR="006F1FE2" w:rsidRPr="00C83BDF">
        <w:rPr>
          <w:lang w:val="es-ES_tradnl"/>
        </w:rPr>
        <w:t xml:space="preserve"> formular, antes de finales de febrero de 2015, propuestas de actualización del Capítulo 27 “Convenio Internacional para la Protección de las Obtenciones Vegetales” de la publicación de la OMPI de 1997 “</w:t>
      </w:r>
      <w:r w:rsidR="006F1FE2" w:rsidRPr="00C83BDF">
        <w:rPr>
          <w:i/>
          <w:lang w:val="es-ES_tradnl"/>
        </w:rPr>
        <w:t>Introduction to Intellectual Property – Theory and Practice</w:t>
      </w:r>
      <w:r w:rsidR="006F1FE2" w:rsidRPr="00C83BDF">
        <w:rPr>
          <w:lang w:val="es-ES_tradnl"/>
        </w:rPr>
        <w:t xml:space="preserve">” (publicado por Kluwer Law International (ISBN: 90-411-0938-2)) </w:t>
      </w:r>
      <w:r w:rsidR="00F517F3" w:rsidRPr="00C83BDF">
        <w:rPr>
          <w:lang w:val="es-ES_tradnl"/>
        </w:rPr>
        <w:t>sobre la base del curso de enseñanza a distancia DL</w:t>
      </w:r>
      <w:r w:rsidR="00F517F3" w:rsidRPr="00C83BDF">
        <w:rPr>
          <w:lang w:val="es-ES_tradnl"/>
        </w:rPr>
        <w:noBreakHyphen/>
        <w:t>205 “Introducción al sistema de la UPOV de protección de las obtenciones vegetales en virtud del Convenio de la UPOV” y de material de información aprobado por el Consejo, incluidas las “preguntas frecuentes”</w:t>
      </w:r>
      <w:r w:rsidR="00D34C5E" w:rsidRPr="00C83BDF">
        <w:rPr>
          <w:lang w:val="es-ES_tradnl"/>
        </w:rPr>
        <w:t>;</w:t>
      </w:r>
      <w:r w:rsidR="00D94EA2" w:rsidRPr="00C83BDF">
        <w:rPr>
          <w:lang w:val="es-ES_tradnl"/>
        </w:rPr>
        <w:t xml:space="preserve">  </w:t>
      </w:r>
      <w:r w:rsidR="00F517F3" w:rsidRPr="00C83BDF">
        <w:rPr>
          <w:lang w:val="es-ES_tradnl"/>
        </w:rPr>
        <w:t>y</w:t>
      </w:r>
    </w:p>
    <w:p w:rsidR="00E65183" w:rsidRPr="00C83BDF" w:rsidRDefault="00E65183" w:rsidP="00E65183">
      <w:pPr>
        <w:rPr>
          <w:lang w:val="es-ES_tradnl"/>
        </w:rPr>
      </w:pPr>
    </w:p>
    <w:p w:rsidR="00E65183" w:rsidRPr="00C83BDF" w:rsidRDefault="00E65183" w:rsidP="00E65183">
      <w:pPr>
        <w:rPr>
          <w:lang w:val="es-ES_tradnl"/>
        </w:rPr>
      </w:pPr>
      <w:r w:rsidRPr="00C83BDF">
        <w:rPr>
          <w:lang w:val="es-ES_tradnl"/>
        </w:rPr>
        <w:tab/>
      </w:r>
      <w:r w:rsidR="00F517F3" w:rsidRPr="00C83BDF">
        <w:rPr>
          <w:lang w:val="es-ES_tradnl"/>
        </w:rPr>
        <w:t>gg)</w:t>
      </w:r>
      <w:r w:rsidRPr="00C83BDF">
        <w:rPr>
          <w:lang w:val="es-ES_tradnl"/>
        </w:rPr>
        <w:tab/>
      </w:r>
      <w:r w:rsidR="005C11C9" w:rsidRPr="00C83BDF">
        <w:rPr>
          <w:lang w:val="es-ES_tradnl"/>
        </w:rPr>
        <w:t>tomó nota de que la Oficina ha continuado informándose sobre las novedades relativas a la EXPO 2015, en previsión de la participación de la UPOV</w:t>
      </w:r>
      <w:r w:rsidR="00F517F3" w:rsidRPr="00C83BDF">
        <w:rPr>
          <w:lang w:val="es-ES_tradnl"/>
        </w:rPr>
        <w:t>.</w:t>
      </w:r>
      <w:r w:rsidR="00D94EA2" w:rsidRPr="00C83BDF">
        <w:rPr>
          <w:lang w:val="es-ES_tradnl"/>
        </w:rPr>
        <w:t xml:space="preserve">  </w:t>
      </w:r>
      <w:r w:rsidR="005C11C9" w:rsidRPr="00C83BDF">
        <w:rPr>
          <w:lang w:val="es-ES_tradnl"/>
        </w:rPr>
        <w:t>Sin embargo, no ha sido viable su participación en las iniciativas ofrecidas hasta la fecha:</w:t>
      </w:r>
    </w:p>
    <w:p w:rsidR="00E65183" w:rsidRPr="00C83BDF" w:rsidRDefault="00E65183" w:rsidP="00E65183">
      <w:pPr>
        <w:rPr>
          <w:lang w:val="es-ES_tradnl"/>
        </w:rPr>
      </w:pPr>
    </w:p>
    <w:p w:rsidR="00E65183" w:rsidRPr="00C83BDF" w:rsidRDefault="00082242" w:rsidP="00E65183">
      <w:pPr>
        <w:rPr>
          <w:snapToGrid w:val="0"/>
          <w:lang w:val="es-ES_tradnl"/>
        </w:rPr>
      </w:pPr>
      <w:r w:rsidRPr="00C83BDF">
        <w:rPr>
          <w:snapToGrid w:val="0"/>
          <w:lang w:val="es-ES_tradnl"/>
        </w:rPr>
        <w:fldChar w:fldCharType="begin"/>
      </w:r>
      <w:r w:rsidR="00E65183" w:rsidRPr="00C83BDF">
        <w:rPr>
          <w:snapToGrid w:val="0"/>
          <w:lang w:val="es-ES_tradnl"/>
        </w:rPr>
        <w:instrText xml:space="preserve"> AUTONUM  </w:instrText>
      </w:r>
      <w:r w:rsidRPr="00C83BDF">
        <w:rPr>
          <w:snapToGrid w:val="0"/>
          <w:lang w:val="es-ES_tradnl"/>
        </w:rPr>
        <w:fldChar w:fldCharType="end"/>
      </w:r>
      <w:r w:rsidR="00E65183" w:rsidRPr="00C83BDF">
        <w:rPr>
          <w:snapToGrid w:val="0"/>
          <w:lang w:val="es-ES_tradnl"/>
        </w:rPr>
        <w:tab/>
      </w:r>
      <w:r w:rsidR="005C11C9" w:rsidRPr="00C83BDF">
        <w:rPr>
          <w:snapToGrid w:val="0"/>
          <w:lang w:val="es-ES_tradnl"/>
        </w:rPr>
        <w:t>El documento C/48/19 contiene información adicional sobre la labor realizada en la octogésima octava</w:t>
      </w:r>
      <w:r w:rsidR="005C11C9" w:rsidRPr="00C83BDF">
        <w:rPr>
          <w:lang w:val="es-ES_tradnl"/>
        </w:rPr>
        <w:t xml:space="preserve"> </w:t>
      </w:r>
      <w:r w:rsidR="005C11C9" w:rsidRPr="00C83BDF">
        <w:rPr>
          <w:snapToGrid w:val="0"/>
          <w:lang w:val="es-ES_tradnl"/>
        </w:rPr>
        <w:t>sesión del Comité Consultivo.</w:t>
      </w:r>
    </w:p>
    <w:p w:rsidR="00E65183" w:rsidRPr="00C83BDF" w:rsidRDefault="00E65183" w:rsidP="00E65183">
      <w:pPr>
        <w:rPr>
          <w:color w:val="000000"/>
          <w:lang w:val="es-ES_tradnl"/>
        </w:rPr>
      </w:pPr>
    </w:p>
    <w:p w:rsidR="00E65183" w:rsidRPr="00C83BDF" w:rsidRDefault="00E65183" w:rsidP="00E65183">
      <w:pPr>
        <w:rPr>
          <w:color w:val="000000"/>
          <w:lang w:val="es-ES_tradnl"/>
        </w:rPr>
      </w:pPr>
    </w:p>
    <w:p w:rsidR="00E65183" w:rsidRPr="00C83BDF" w:rsidRDefault="005C11C9" w:rsidP="00E65183">
      <w:pPr>
        <w:pStyle w:val="Heading2"/>
        <w:rPr>
          <w:lang w:val="es-ES_tradnl"/>
        </w:rPr>
      </w:pPr>
      <w:bookmarkStart w:id="12" w:name="_Toc431567590"/>
      <w:r w:rsidRPr="00C83BDF">
        <w:rPr>
          <w:lang w:val="es-ES_tradnl"/>
        </w:rPr>
        <w:t>Comité Administrativo y Jurídico, Comité Técnico, Grupos de Trabajo Técnico y Grupo de Trabajo sobre Técnicas Bioquímicas y Moleculares, y Perfiles de ADN en particular</w:t>
      </w:r>
      <w:bookmarkEnd w:id="12"/>
    </w:p>
    <w:p w:rsidR="00E65183" w:rsidRPr="00C83BDF" w:rsidRDefault="00E65183" w:rsidP="00E65183">
      <w:pPr>
        <w:keepNext/>
        <w:rPr>
          <w:u w:val="single"/>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5C11C9" w:rsidRPr="00C83BDF">
        <w:rPr>
          <w:lang w:val="es-ES_tradnl"/>
        </w:rPr>
        <w:t xml:space="preserve">El CAJ celebró su sexagésima </w:t>
      </w:r>
      <w:r w:rsidR="004E68FF" w:rsidRPr="00C83BDF">
        <w:rPr>
          <w:lang w:val="es-ES_tradnl"/>
        </w:rPr>
        <w:t xml:space="preserve">novena </w:t>
      </w:r>
      <w:r w:rsidR="005C11C9" w:rsidRPr="00C83BDF">
        <w:rPr>
          <w:lang w:val="es-ES_tradnl"/>
        </w:rPr>
        <w:t xml:space="preserve">sesión el 10 de </w:t>
      </w:r>
      <w:r w:rsidR="004E68FF" w:rsidRPr="00C83BDF">
        <w:rPr>
          <w:lang w:val="es-ES_tradnl"/>
        </w:rPr>
        <w:t xml:space="preserve">abril </w:t>
      </w:r>
      <w:r w:rsidR="005C11C9" w:rsidRPr="00C83BDF">
        <w:rPr>
          <w:lang w:val="es-ES_tradnl"/>
        </w:rPr>
        <w:t xml:space="preserve">de 2014, y su </w:t>
      </w:r>
      <w:r w:rsidR="004E68FF" w:rsidRPr="00C83BDF">
        <w:rPr>
          <w:lang w:val="es-ES_tradnl"/>
        </w:rPr>
        <w:t xml:space="preserve">septuagésima </w:t>
      </w:r>
      <w:r w:rsidR="005C11C9" w:rsidRPr="00C83BDF">
        <w:rPr>
          <w:lang w:val="es-ES_tradnl"/>
        </w:rPr>
        <w:t>sesión, el 13 de octubre de 2014.</w:t>
      </w:r>
      <w:r w:rsidR="00E65183" w:rsidRPr="00C83BDF">
        <w:rPr>
          <w:lang w:val="es-ES_tradnl"/>
        </w:rPr>
        <w:t xml:space="preserve">  </w:t>
      </w:r>
      <w:r w:rsidR="00201F3E" w:rsidRPr="00C83BDF">
        <w:rPr>
          <w:lang w:val="es-ES_tradnl"/>
        </w:rPr>
        <w:t>El CAJ</w:t>
      </w:r>
      <w:r w:rsidR="00201F3E" w:rsidRPr="00C83BDF">
        <w:rPr>
          <w:lang w:val="es-ES_tradnl"/>
        </w:rPr>
        <w:noBreakHyphen/>
        <w:t>AG celebró su novena sesión los días 14 y 17 de octubre de 2014.</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201F3E" w:rsidRPr="00C83BDF">
        <w:rPr>
          <w:lang w:val="es-ES_tradnl"/>
        </w:rPr>
        <w:t>El TC celebró su quincuagésima sesión del 7 al 9 de abril de 2014.</w:t>
      </w:r>
      <w:r w:rsidR="00E65183" w:rsidRPr="00C83BDF">
        <w:rPr>
          <w:lang w:val="es-ES_tradnl"/>
        </w:rPr>
        <w:t xml:space="preserve">  </w:t>
      </w:r>
      <w:r w:rsidR="00201F3E" w:rsidRPr="00C83BDF">
        <w:rPr>
          <w:lang w:val="es-ES_tradnl"/>
        </w:rPr>
        <w:t>El TC</w:t>
      </w:r>
      <w:r w:rsidR="00201F3E" w:rsidRPr="00C83BDF">
        <w:rPr>
          <w:lang w:val="es-ES_tradnl"/>
        </w:rPr>
        <w:noBreakHyphen/>
        <w:t>EDC celebró reuniones los días 8 y 9 de enero y 7 y 8 de abril de 2014.</w:t>
      </w:r>
      <w:r w:rsidR="00E65183" w:rsidRPr="00C83BDF">
        <w:rPr>
          <w:szCs w:val="24"/>
          <w:lang w:val="es-ES_tradnl"/>
        </w:rPr>
        <w:t xml:space="preserve">  </w:t>
      </w:r>
      <w:r w:rsidR="0043498D" w:rsidRPr="00C83BDF">
        <w:rPr>
          <w:lang w:val="es-ES_tradnl"/>
        </w:rPr>
        <w:t>El TWA celebró su cuadragésima tercera sesión en Mar del Plata (Argentina) del 17 al 21 de noviembre de 2014.</w:t>
      </w:r>
      <w:r w:rsidR="00E65183" w:rsidRPr="00C83BDF">
        <w:rPr>
          <w:lang w:val="es-ES_tradnl"/>
        </w:rPr>
        <w:t xml:space="preserve">  </w:t>
      </w:r>
      <w:r w:rsidR="0043498D" w:rsidRPr="00C83BDF">
        <w:rPr>
          <w:lang w:val="es-ES_tradnl"/>
        </w:rPr>
        <w:t>El TWC celebró su trigésima segunda sesión en Helsinki (Finlandia) del 3 al 6 de junio de 2014.</w:t>
      </w:r>
      <w:r w:rsidR="00E65183" w:rsidRPr="00C83BDF">
        <w:rPr>
          <w:lang w:val="es-ES_tradnl"/>
        </w:rPr>
        <w:t xml:space="preserve">  </w:t>
      </w:r>
      <w:r w:rsidR="0043498D" w:rsidRPr="00C83BDF">
        <w:rPr>
          <w:lang w:val="es-ES_tradnl"/>
        </w:rPr>
        <w:t xml:space="preserve">El TWF celebró su cuadragésima quinta </w:t>
      </w:r>
      <w:r w:rsidR="00711688" w:rsidRPr="00C83BDF">
        <w:rPr>
          <w:lang w:val="es-ES_tradnl"/>
        </w:rPr>
        <w:t>sesión en Marrakech (Marruecos)</w:t>
      </w:r>
      <w:r w:rsidR="0043498D" w:rsidRPr="00C83BDF">
        <w:rPr>
          <w:lang w:val="es-ES_tradnl"/>
        </w:rPr>
        <w:t xml:space="preserve"> del 26 al 30 de mayo de 2014.</w:t>
      </w:r>
      <w:r w:rsidR="00E65183" w:rsidRPr="00C83BDF">
        <w:rPr>
          <w:lang w:val="es-ES_tradnl"/>
        </w:rPr>
        <w:t xml:space="preserve">  </w:t>
      </w:r>
      <w:r w:rsidR="0043498D" w:rsidRPr="00C83BDF">
        <w:rPr>
          <w:lang w:val="es-ES_tradnl"/>
        </w:rPr>
        <w:t>El TWO celebró su cuadragésima sép</w:t>
      </w:r>
      <w:r w:rsidR="00711688" w:rsidRPr="00C83BDF">
        <w:rPr>
          <w:lang w:val="es-ES_tradnl"/>
        </w:rPr>
        <w:t>tima sesión en Naivasha (Kenya)</w:t>
      </w:r>
      <w:r w:rsidR="0043498D" w:rsidRPr="00C83BDF">
        <w:rPr>
          <w:lang w:val="es-ES_tradnl"/>
        </w:rPr>
        <w:t xml:space="preserve"> del 19 al 23 de mayo de 2014.</w:t>
      </w:r>
      <w:r w:rsidR="00E65183" w:rsidRPr="00C83BDF">
        <w:rPr>
          <w:spacing w:val="-2"/>
          <w:lang w:val="es-ES_tradnl"/>
        </w:rPr>
        <w:t xml:space="preserve">  </w:t>
      </w:r>
      <w:r w:rsidR="0043498D" w:rsidRPr="00C83BDF">
        <w:rPr>
          <w:spacing w:val="-2"/>
          <w:szCs w:val="24"/>
          <w:lang w:val="es-ES_tradnl"/>
        </w:rPr>
        <w:t>El TWV</w:t>
      </w:r>
      <w:r w:rsidR="0043498D" w:rsidRPr="00C83BDF">
        <w:rPr>
          <w:spacing w:val="-2"/>
          <w:lang w:val="es-ES_tradnl"/>
        </w:rPr>
        <w:t xml:space="preserve"> celebró su cuadragésima oc</w:t>
      </w:r>
      <w:r w:rsidR="00711688" w:rsidRPr="00C83BDF">
        <w:rPr>
          <w:spacing w:val="-2"/>
          <w:lang w:val="es-ES_tradnl"/>
        </w:rPr>
        <w:t>tava sesión en Paestum (Italia)</w:t>
      </w:r>
      <w:r w:rsidR="0043498D" w:rsidRPr="00C83BDF">
        <w:rPr>
          <w:spacing w:val="-2"/>
          <w:lang w:val="es-ES_tradnl"/>
        </w:rPr>
        <w:t xml:space="preserve"> del</w:t>
      </w:r>
      <w:r w:rsidR="0043498D" w:rsidRPr="00C83BDF">
        <w:rPr>
          <w:lang w:val="es-ES_tradnl"/>
        </w:rPr>
        <w:t> 23</w:t>
      </w:r>
      <w:r w:rsidR="0043498D" w:rsidRPr="00C83BDF">
        <w:rPr>
          <w:spacing w:val="-2"/>
          <w:lang w:val="es-ES_tradnl"/>
        </w:rPr>
        <w:t xml:space="preserve"> al</w:t>
      </w:r>
      <w:r w:rsidR="0043498D" w:rsidRPr="00C83BDF">
        <w:rPr>
          <w:lang w:val="es-ES_tradnl"/>
        </w:rPr>
        <w:t> 27</w:t>
      </w:r>
      <w:r w:rsidR="0043498D" w:rsidRPr="00C83BDF">
        <w:rPr>
          <w:spacing w:val="-2"/>
          <w:lang w:val="es-ES_tradnl"/>
        </w:rPr>
        <w:t xml:space="preserve"> de junio de 2014</w:t>
      </w:r>
      <w:r w:rsidR="0043498D" w:rsidRPr="00C83BDF">
        <w:rPr>
          <w:lang w:val="es-ES_tradnl"/>
        </w:rPr>
        <w:t>.</w:t>
      </w:r>
      <w:r w:rsidR="00E65183" w:rsidRPr="00C83BDF">
        <w:rPr>
          <w:lang w:val="es-ES_tradnl"/>
        </w:rPr>
        <w:t xml:space="preserve">  </w:t>
      </w:r>
      <w:r w:rsidR="0043498D" w:rsidRPr="00C83BDF">
        <w:rPr>
          <w:lang w:val="es-ES_tradnl"/>
        </w:rPr>
        <w:t>Antes de cada una de las sesiones de los TWP se realizó un taller preparatorio.</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43498D" w:rsidRPr="00C83BDF">
        <w:rPr>
          <w:lang w:val="es-ES_tradnl"/>
        </w:rPr>
        <w:t>Los documentos C/48/9 y C/49/9 “Informe sobre la marcha de los trabajos del Comité Administrativo y Jurídico”, y C/48/10 y C/49/10 “Informe sobre la marcha de la labor del Comité Técnico, los Grupos de Trabajo Técnico y el Grupo de Trabajo sobre Técnicas Bioquímicas y Moleculares, y Perfiles de ADN en particular” contienen más información sobre la labor del CAJ, el TC y los TWP.</w:t>
      </w:r>
    </w:p>
    <w:p w:rsidR="00E65183" w:rsidRPr="00C83BDF" w:rsidRDefault="00E65183" w:rsidP="00E65183">
      <w:pPr>
        <w:rPr>
          <w:lang w:val="es-ES_tradnl"/>
        </w:rPr>
      </w:pPr>
    </w:p>
    <w:p w:rsidR="00E65183" w:rsidRPr="00C83BDF" w:rsidRDefault="00E65183" w:rsidP="00E65183">
      <w:pPr>
        <w:rPr>
          <w:lang w:val="es-ES_tradnl"/>
        </w:rPr>
      </w:pPr>
    </w:p>
    <w:p w:rsidR="00E65183" w:rsidRPr="00C83BDF" w:rsidRDefault="00E65183" w:rsidP="00E65183">
      <w:pPr>
        <w:rPr>
          <w:lang w:val="es-ES_tradnl"/>
        </w:rPr>
      </w:pPr>
    </w:p>
    <w:p w:rsidR="00E65183" w:rsidRPr="00C83BDF" w:rsidRDefault="0043498D" w:rsidP="00E65183">
      <w:pPr>
        <w:pStyle w:val="Heading1"/>
        <w:rPr>
          <w:lang w:val="es-ES_tradnl"/>
        </w:rPr>
      </w:pPr>
      <w:bookmarkStart w:id="13" w:name="_Toc431567591"/>
      <w:r w:rsidRPr="00C83BDF">
        <w:rPr>
          <w:lang w:val="es-ES_tradnl"/>
        </w:rPr>
        <w:t>III.</w:t>
      </w:r>
      <w:r w:rsidR="00E65183" w:rsidRPr="00C83BDF">
        <w:rPr>
          <w:lang w:val="es-ES_tradnl"/>
        </w:rPr>
        <w:tab/>
      </w:r>
      <w:r w:rsidRPr="00C83BDF">
        <w:rPr>
          <w:lang w:val="es-ES_tradnl"/>
        </w:rPr>
        <w:t>CURSOS, SEMINARIOS, TALLERES, MISIONES,</w:t>
      </w:r>
      <w:r w:rsidRPr="00C83BDF">
        <w:rPr>
          <w:rStyle w:val="FootnoteReference"/>
          <w:lang w:val="es-ES_tradnl"/>
        </w:rPr>
        <w:footnoteReference w:customMarkFollows="1" w:id="3"/>
        <w:t>*</w:t>
      </w:r>
      <w:r w:rsidRPr="00C83BDF">
        <w:rPr>
          <w:lang w:val="es-ES_tradnl"/>
        </w:rPr>
        <w:t xml:space="preserve"> CONTACTOS IMPORTANTES</w:t>
      </w:r>
      <w:bookmarkEnd w:id="13"/>
    </w:p>
    <w:p w:rsidR="00E65183" w:rsidRPr="00C83BDF" w:rsidRDefault="00E65183" w:rsidP="00E65183">
      <w:pPr>
        <w:keepNext/>
        <w:rPr>
          <w:lang w:val="es-ES_tradnl"/>
        </w:rPr>
      </w:pPr>
    </w:p>
    <w:p w:rsidR="00E65183" w:rsidRPr="00C83BDF" w:rsidRDefault="0035616F" w:rsidP="00E65183">
      <w:pPr>
        <w:pStyle w:val="Heading2"/>
        <w:rPr>
          <w:lang w:val="es-ES_tradnl"/>
        </w:rPr>
      </w:pPr>
      <w:bookmarkStart w:id="14" w:name="_Toc431567592"/>
      <w:r w:rsidRPr="00C83BDF">
        <w:rPr>
          <w:lang w:val="es-ES_tradnl"/>
        </w:rPr>
        <w:t>Actividades individuales</w:t>
      </w:r>
      <w:bookmarkEnd w:id="14"/>
    </w:p>
    <w:p w:rsidR="00E65183" w:rsidRPr="00C83BDF" w:rsidRDefault="00E65183" w:rsidP="00E65183">
      <w:pPr>
        <w:keepNext/>
        <w:rPr>
          <w:szCs w:val="24"/>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602EAE" w:rsidRPr="00C83BDF">
        <w:rPr>
          <w:lang w:val="es-ES_tradnl"/>
        </w:rPr>
        <w:t>El 8 de enero, en Ginebra, la Oficina recibió la visita de la Sra. Serin Kang, el Sr. Jien Hwang, el Sr. Seyoung Jung y el Sr. Eunyoun Im, cuatro alumnos de la Universidad Nacional de Gyeongsang, ciudad de Jinju (República de Corea), que realizaban investigaciones sobre la protección de las obtenciones vegetales.</w:t>
      </w:r>
      <w:r w:rsidR="00E65183" w:rsidRPr="00C83BDF">
        <w:rPr>
          <w:lang w:val="es-ES_tradnl"/>
        </w:rPr>
        <w:t xml:space="preserve"> </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602EAE" w:rsidRPr="00C83BDF">
        <w:rPr>
          <w:lang w:val="es-ES_tradnl"/>
        </w:rPr>
        <w:t>El 16 de enero, en Ginebra, la Oficina participó en una entrevista a la Sra. Liza Rubach, Auxiliar de Investigaciones del Instituto Universitario de Altos Estudios Internacionales y Desarrollo de Suiza (IHEID) en relación con el estudio sobre “Ginebra internacional” que están llevando a cabo conjuntamente el IHEID, la Universidad de Ginebra, la Escuela Politécnica Federal de Lausana (EPFL) y la Universidad de Lausana (Suiza).</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602EAE" w:rsidRPr="00C83BDF">
        <w:rPr>
          <w:lang w:val="es-ES_tradnl"/>
        </w:rPr>
        <w:t>El 22 de enero, en Ginebra, la Oficina recibió la visita del Sr. Tejan</w:t>
      </w:r>
      <w:r w:rsidR="00602EAE" w:rsidRPr="00C83BDF">
        <w:rPr>
          <w:lang w:val="es-ES_tradnl"/>
        </w:rPr>
        <w:noBreakHyphen/>
        <w:t>Cole, Asesor Jurídico de la Fundación de Tecnología Agrícola Africana (AATF), para analizar las novedades que se han producido en la AATF y la UPOV.</w:t>
      </w:r>
      <w:r w:rsidR="00E65183" w:rsidRPr="00C83BDF">
        <w:rPr>
          <w:lang w:val="es-ES_tradnl"/>
        </w:rPr>
        <w:t xml:space="preserve"> </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425E15" w:rsidRPr="00C83BDF">
        <w:rPr>
          <w:lang w:val="es-ES_tradnl"/>
        </w:rPr>
        <w:t>El 24 de enero, en Ginebra, la Oficina participó en una reunión por vía electrónica (Internet) con representantes del Comité Ejecutivo del Proyecto Mundial de Semillas (integrado por la FAO, la ISF, la Asociación Internacional para el Ensayo de Semillas (ISTA), la OCDE y la UPOV) para examinar la marcha del Proyecto Mundial de Semillas.</w:t>
      </w:r>
      <w:r w:rsidR="00E65183" w:rsidRPr="00C83BDF">
        <w:rPr>
          <w:lang w:val="es-ES_tradnl"/>
        </w:rPr>
        <w:t xml:space="preserve">  </w:t>
      </w:r>
      <w:r w:rsidR="00E57EA4" w:rsidRPr="00C83BDF">
        <w:rPr>
          <w:lang w:val="es-ES_tradnl"/>
        </w:rPr>
        <w:t>Se celebraron reuniones adicionales por vía electrónica el 21 de febrero, el 10 de marzo, el 12 de mayo y el 30 de septiembre.</w:t>
      </w:r>
      <w:r w:rsidR="00E65183" w:rsidRPr="00C83BDF">
        <w:rPr>
          <w:lang w:val="es-ES_tradnl"/>
        </w:rPr>
        <w:t xml:space="preserve"> </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B100E4" w:rsidRPr="00C83BDF">
        <w:rPr>
          <w:lang w:val="es-ES_tradnl"/>
        </w:rPr>
        <w:t xml:space="preserve">Del 28 al 31 de enero, en Edimburgo (Reino Unido), la Oficina asistió a las reuniones de los sistemas de semillas de la OCDE y presentó una ponencia acerca de las orientaciones de la UPOV sobre el uso de técnicas moleculares en el examen DHE, en el Grupo de Trabajo </w:t>
      </w:r>
      <w:r w:rsidR="00B100E4" w:rsidRPr="00C83BDF">
        <w:rPr>
          <w:i/>
          <w:lang w:val="es-ES_tradnl"/>
        </w:rPr>
        <w:t>Ad hoc</w:t>
      </w:r>
      <w:r w:rsidR="00B100E4" w:rsidRPr="00C83BDF">
        <w:rPr>
          <w:lang w:val="es-ES_tradnl"/>
        </w:rPr>
        <w:t xml:space="preserve"> de Expertos en Técnicas Bioquímicas y Moleculares.</w:t>
      </w:r>
      <w:r w:rsidR="00E65183" w:rsidRPr="00C83BDF">
        <w:rPr>
          <w:lang w:val="es-ES_tradnl"/>
        </w:rPr>
        <w:t xml:space="preserve">  </w:t>
      </w:r>
      <w:r w:rsidR="00B100E4" w:rsidRPr="00C83BDF">
        <w:rPr>
          <w:lang w:val="es-ES_tradnl"/>
        </w:rPr>
        <w:t>La Oficina también participó en la Decimocuarta Reunión del Grupo de Trabajo Técnico sobre la Identidad y la Pureza de las Variedades.</w:t>
      </w:r>
      <w:r w:rsidR="00E65183" w:rsidRPr="00C83BDF">
        <w:rPr>
          <w:lang w:val="es-ES_tradnl"/>
        </w:rPr>
        <w:t xml:space="preserve"> </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66354C" w:rsidRPr="00C83BDF">
        <w:rPr>
          <w:lang w:val="es-ES_tradnl"/>
        </w:rPr>
        <w:t>El 31 de enero, en Ginebra, la Oficina recibió la visita del Sr. Mohammed Al</w:t>
      </w:r>
      <w:r w:rsidR="0066354C" w:rsidRPr="00C83BDF">
        <w:rPr>
          <w:lang w:val="es-ES_tradnl"/>
        </w:rPr>
        <w:noBreakHyphen/>
        <w:t>Shabibi, Director de la Sección de Comercio Internacional del Ministerio de Agricultura y Pesca de Omán, para analizar la aplicación de la protección de las variedades vegetales en Omán y las posibles actividades de cooperación.</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66354C" w:rsidRPr="00C83BDF">
        <w:rPr>
          <w:lang w:val="es-ES_tradnl"/>
        </w:rPr>
        <w:t>Entre el 3 y el 7 de febrero, en Ginebra, la Oficina asistió a las partes pertinentes de la vigésima sexta sesión del Comité Intergubernamental sobre Propiedad Intelectual y Recursos Genéticos, Conocimientos Tradicionales y Folclore de la Organización Mundial de la Propiedad Intelectual (CIG de la OMPI).</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66354C" w:rsidRPr="00C83BDF">
        <w:rPr>
          <w:lang w:val="es-ES_tradnl"/>
        </w:rPr>
        <w:t>El 7 de febrero, en Ginebra, la Oficina se reunió con el Sr. Emmanuel Sackey, Examinador Principal de la Dirección de la Propiedad Industrial de la ARIPO, para analizar las novedades que se han producido en la ARIPO.</w:t>
      </w:r>
      <w:r w:rsidR="00E65183" w:rsidRPr="00C83BDF">
        <w:rPr>
          <w:lang w:val="es-ES_tradnl"/>
        </w:rPr>
        <w:t xml:space="preserve"> </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66354C" w:rsidRPr="00C83BDF">
        <w:rPr>
          <w:lang w:val="es-ES_tradnl"/>
        </w:rPr>
        <w:t xml:space="preserve">Del 24 al 27 de febrero, en San Fernando de Henares (España), la Oficina ofreció conferencias en el curso nacional de formación para expertos en el examen DHE titulado </w:t>
      </w:r>
      <w:r w:rsidR="00AA648D" w:rsidRPr="00C83BDF">
        <w:rPr>
          <w:rFonts w:cs="Arial"/>
          <w:snapToGrid w:val="0"/>
          <w:color w:val="008000"/>
          <w:lang w:val="es-ES_tradnl"/>
        </w:rPr>
        <w:t>“</w:t>
      </w:r>
      <w:r w:rsidR="00AA648D" w:rsidRPr="00C83BDF">
        <w:rPr>
          <w:rFonts w:cs="Arial"/>
          <w:snapToGrid w:val="0"/>
          <w:lang w:val="es-ES_tradnl"/>
        </w:rPr>
        <w:t xml:space="preserve">Armonización de los trabajos de distinción, homogeneidad y estabilidad de nuevas variedades para los centros acreditados por la </w:t>
      </w:r>
      <w:r w:rsidR="00AA648D" w:rsidRPr="00C83BDF">
        <w:rPr>
          <w:lang w:val="es-ES_tradnl"/>
        </w:rPr>
        <w:t xml:space="preserve">OCVV, </w:t>
      </w:r>
      <w:r w:rsidR="00AA648D" w:rsidRPr="00C83BDF">
        <w:rPr>
          <w:rFonts w:cs="Arial"/>
          <w:snapToGrid w:val="0"/>
          <w:lang w:val="es-ES_tradnl"/>
        </w:rPr>
        <w:t>normativa española, de la UE y de la UPOV</w:t>
      </w:r>
      <w:r w:rsidR="0066354C" w:rsidRPr="00C83BDF">
        <w:rPr>
          <w:lang w:val="es-ES_tradnl"/>
        </w:rPr>
        <w:t>”.</w:t>
      </w:r>
      <w:r w:rsidR="00E65183" w:rsidRPr="00C83BDF">
        <w:rPr>
          <w:rFonts w:cs="Arial"/>
          <w:snapToGrid w:val="0"/>
          <w:lang w:val="es-ES_tradnl"/>
        </w:rPr>
        <w:t xml:space="preserve">  </w:t>
      </w:r>
      <w:r w:rsidR="0066354C" w:rsidRPr="00C83BDF">
        <w:rPr>
          <w:lang w:val="es-ES_tradnl"/>
        </w:rPr>
        <w:t xml:space="preserve">El curso de formación fue organizado conjuntamente por la Oficina Española de Variedades Vegetales (OEVV), </w:t>
      </w:r>
      <w:r w:rsidR="00AA648D" w:rsidRPr="00C83BDF">
        <w:rPr>
          <w:lang w:val="es-ES_tradnl"/>
        </w:rPr>
        <w:t xml:space="preserve">la Oficina Comunitaria de Variedades Vegetales (OCVV) de la Unión Europea </w:t>
      </w:r>
      <w:r w:rsidR="0066354C" w:rsidRPr="00C83BDF">
        <w:rPr>
          <w:lang w:val="es-ES_tradnl"/>
        </w:rPr>
        <w:t>y la UPOV y asistieron 43 participantes procedentes de España</w:t>
      </w:r>
      <w:r w:rsidR="0066354C" w:rsidRPr="00C83BDF">
        <w:rPr>
          <w:rFonts w:cs="Arial"/>
          <w:lang w:val="es-ES_tradnl"/>
        </w:rPr>
        <w:t>.</w:t>
      </w:r>
      <w:r w:rsidR="00E65183" w:rsidRPr="00C83BDF">
        <w:rPr>
          <w:rFonts w:cs="Arial"/>
          <w:lang w:val="es-ES_tradnl"/>
        </w:rPr>
        <w:t xml:space="preserve"> </w:t>
      </w:r>
    </w:p>
    <w:p w:rsidR="00E65183" w:rsidRPr="00C83BDF" w:rsidRDefault="00E65183" w:rsidP="00E65183">
      <w:pPr>
        <w:rPr>
          <w:lang w:val="es-ES_tradnl"/>
        </w:rPr>
      </w:pPr>
    </w:p>
    <w:p w:rsidR="00E65183" w:rsidRPr="00C83BDF" w:rsidRDefault="00082242" w:rsidP="00E65183">
      <w:pPr>
        <w:rPr>
          <w:snapToGrid w:val="0"/>
          <w:color w:val="000000"/>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3346AC" w:rsidRPr="00C83BDF">
        <w:rPr>
          <w:lang w:val="es-ES_tradnl"/>
        </w:rPr>
        <w:t xml:space="preserve">Del 24 al 28 de febrero, en Pyeongchang (República de Corea), la Oficina participó en la tercera reunión del Comité Intergubernamental Especial de Composición Abierta para el </w:t>
      </w:r>
      <w:r w:rsidR="00677B58" w:rsidRPr="00C83BDF">
        <w:rPr>
          <w:lang w:val="es-ES_tradnl"/>
        </w:rPr>
        <w:t xml:space="preserve">Protocolo de Nagoya sobre Acceso a los Recursos Genéticos y Participación Justa y Equitativa en los Beneficios que se Deriven de su Utilización </w:t>
      </w:r>
      <w:r w:rsidR="003346AC" w:rsidRPr="00C83BDF">
        <w:rPr>
          <w:lang w:val="es-ES_tradnl"/>
        </w:rPr>
        <w:t>(</w:t>
      </w:r>
      <w:r w:rsidR="00292DC3" w:rsidRPr="00C83BDF">
        <w:rPr>
          <w:lang w:val="es-ES_tradnl"/>
        </w:rPr>
        <w:t>CIPE</w:t>
      </w:r>
      <w:r w:rsidR="003346AC" w:rsidRPr="00C83BDF">
        <w:rPr>
          <w:lang w:val="es-ES_tradnl"/>
        </w:rPr>
        <w:noBreakHyphen/>
        <w:t>3).</w:t>
      </w:r>
      <w:r w:rsidR="00E65183" w:rsidRPr="00C83BDF">
        <w:rPr>
          <w:snapToGrid w:val="0"/>
          <w:color w:val="000000"/>
          <w:lang w:val="es-ES_tradnl"/>
        </w:rPr>
        <w:t xml:space="preserve"> </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3346AC" w:rsidRPr="00C83BDF">
        <w:rPr>
          <w:lang w:val="es-ES_tradnl"/>
        </w:rPr>
        <w:t>El 25 de febrero, en la sede de la OMC en Ginebra, la Oficina asistió a las sesiones pertinentes de la reunión del Consejo de los Aspectos de los Derechos de Propiedad Intelectual relacionados con el Comercio (Consejo de los ADPIC).</w:t>
      </w:r>
      <w:r w:rsidR="00E65183" w:rsidRPr="00C83BDF">
        <w:rPr>
          <w:szCs w:val="24"/>
          <w:lang w:val="es-ES_tradnl"/>
        </w:rPr>
        <w:t xml:space="preserve"> </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3346AC" w:rsidRPr="00C83BDF">
        <w:rPr>
          <w:lang w:val="es-ES_tradnl"/>
        </w:rPr>
        <w:t xml:space="preserve">El 27 de febrero, en Ginebra, la Oficina organizó una visita de estudio a la sede de la UPOV para el </w:t>
      </w:r>
      <w:r w:rsidR="003346AC" w:rsidRPr="00C83BDF">
        <w:rPr>
          <w:i/>
          <w:lang w:val="es-ES_tradnl"/>
        </w:rPr>
        <w:t>Groupement technique horticole de Genève</w:t>
      </w:r>
      <w:r w:rsidR="003346AC" w:rsidRPr="00C83BDF">
        <w:rPr>
          <w:lang w:val="es-ES_tradnl"/>
        </w:rPr>
        <w:t xml:space="preserve"> (una asociación profesional suiza de horticultura) en el marco de la asamblea general ordinaria de la asociación.</w:t>
      </w:r>
      <w:r w:rsidR="00E65183" w:rsidRPr="00C83BDF">
        <w:rPr>
          <w:rFonts w:cs="Arial"/>
          <w:lang w:val="es-ES_tradnl"/>
        </w:rPr>
        <w:t xml:space="preserve"> </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D5410A" w:rsidRPr="00C83BDF">
        <w:rPr>
          <w:lang w:val="es-ES_tradnl"/>
        </w:rPr>
        <w:t>El 27 de febrero, en Putrajaya (Malasia), la Oficina ofreció conferencias</w:t>
      </w:r>
      <w:r w:rsidR="003D4F38" w:rsidRPr="00C83BDF">
        <w:rPr>
          <w:lang w:val="es-ES_tradnl"/>
        </w:rPr>
        <w:t>,</w:t>
      </w:r>
      <w:r w:rsidR="00D5410A" w:rsidRPr="00C83BDF">
        <w:rPr>
          <w:lang w:val="es-ES_tradnl"/>
        </w:rPr>
        <w:t xml:space="preserve"> en una Sesión de sensibilización de alto nivel sobre la Armonización internacional del sistema de protección de las variedades vegetales, al Directorio de Variedades Vegetales de Malasia y los principales funcionarios de los ministerios pertinentes.</w:t>
      </w:r>
      <w:r w:rsidR="00E65183" w:rsidRPr="00C83BDF">
        <w:rPr>
          <w:lang w:val="es-ES_tradnl"/>
        </w:rPr>
        <w:t xml:space="preserve"> </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861288" w:rsidRPr="00C83BDF">
        <w:rPr>
          <w:lang w:val="es-ES_tradnl"/>
        </w:rPr>
        <w:t xml:space="preserve">El 3 de marzo, en Túnez (Túnez), al margen del Congreso de la AFSTA (véase el párrafo 35 </w:t>
      </w:r>
      <w:r w:rsidR="00861288" w:rsidRPr="00C83BDF">
        <w:rPr>
          <w:i/>
          <w:lang w:val="es-ES_tradnl"/>
        </w:rPr>
        <w:t>infra</w:t>
      </w:r>
      <w:r w:rsidR="00861288" w:rsidRPr="00C83BDF">
        <w:rPr>
          <w:lang w:val="es-ES_tradnl"/>
        </w:rPr>
        <w:t>), se celebró una reunión del Comité Ejecutivo del Proyecto Mundial de Semillas (FAO, ISF, ISTA, OCDE y UPOV).</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861288" w:rsidRPr="00C83BDF">
        <w:rPr>
          <w:lang w:val="es-ES_tradnl"/>
        </w:rPr>
        <w:t>El 3 de marzo, en Túnez, la Oficina organizó junto con la ISTA y la OCDE un Taller previo al congreso sobre “Sistemas internacionales para crear un entorno propicio a la seguridad alimentaria y el desarrollo económico fortaleciendo al sector semillero”.</w:t>
      </w:r>
      <w:r w:rsidR="00E65183" w:rsidRPr="00C83BDF">
        <w:rPr>
          <w:lang w:val="es-ES_tradnl"/>
        </w:rPr>
        <w:t xml:space="preserve"> </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861288" w:rsidRPr="00C83BDF">
        <w:rPr>
          <w:lang w:val="es-ES_tradnl"/>
        </w:rPr>
        <w:t>El 4 de marzo de 2014, en Túnez, la Oficina visitó la Dirección General de protección y control de calidad de los productos agrícolas del Ministerio de Agricultura de Túnez.</w:t>
      </w:r>
      <w:r w:rsidR="00E65183" w:rsidRPr="00C83BDF">
        <w:rPr>
          <w:lang w:val="es-ES_tradnl"/>
        </w:rPr>
        <w:t xml:space="preserve"> </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861288" w:rsidRPr="00C83BDF">
        <w:rPr>
          <w:lang w:val="es-ES_tradnl"/>
        </w:rPr>
        <w:t xml:space="preserve">Del 4 al 7 de marzo, en Túnez, la Oficina participó en el </w:t>
      </w:r>
      <w:r w:rsidR="00AB20E5" w:rsidRPr="00C83BDF">
        <w:rPr>
          <w:lang w:val="es-ES_tradnl"/>
        </w:rPr>
        <w:t xml:space="preserve">decimocuarto congreso anual </w:t>
      </w:r>
      <w:r w:rsidR="00861288" w:rsidRPr="00C83BDF">
        <w:rPr>
          <w:lang w:val="es-ES_tradnl"/>
        </w:rPr>
        <w:t>de la Asociación Africana de Comercio de Semillas (AFSTA).</w:t>
      </w:r>
      <w:r w:rsidR="00E65183" w:rsidRPr="00C83BDF">
        <w:rPr>
          <w:lang w:val="es-ES_tradnl"/>
        </w:rPr>
        <w:t xml:space="preserve"> </w:t>
      </w:r>
    </w:p>
    <w:p w:rsidR="00E65183" w:rsidRPr="00C83BDF" w:rsidRDefault="00E65183" w:rsidP="00E65183">
      <w:pPr>
        <w:rPr>
          <w:lang w:val="es-ES_tradnl"/>
        </w:rPr>
      </w:pPr>
    </w:p>
    <w:p w:rsidR="00E65183" w:rsidRPr="00C83BDF" w:rsidRDefault="00082242" w:rsidP="00E65183">
      <w:pPr>
        <w:rPr>
          <w:rFonts w:cs="Arial"/>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861288" w:rsidRPr="00C83BDF">
        <w:rPr>
          <w:lang w:val="es-ES_tradnl"/>
        </w:rPr>
        <w:t>Del 5 al 7 de marzo, en Port</w:t>
      </w:r>
      <w:r w:rsidR="00F8693F" w:rsidRPr="00C83BDF">
        <w:rPr>
          <w:lang w:val="es-ES_tradnl"/>
        </w:rPr>
        <w:t> </w:t>
      </w:r>
      <w:r w:rsidR="00861288" w:rsidRPr="00C83BDF">
        <w:rPr>
          <w:lang w:val="es-ES_tradnl"/>
        </w:rPr>
        <w:t>Louis (Mauricio), la Oficina asistió a un taller acerca del Acuerdo sobre los ADPIC y las cuestiones que atañen a la P.I., organizado por la OMC, donde presentó una ponencia sobre la protección de las variedades vegetales.</w:t>
      </w:r>
      <w:r w:rsidR="00E65183" w:rsidRPr="00C83BDF">
        <w:rPr>
          <w:lang w:val="es-ES_tradnl"/>
        </w:rPr>
        <w:t xml:space="preserve">  </w:t>
      </w:r>
      <w:r w:rsidR="00915AEE" w:rsidRPr="00C83BDF">
        <w:rPr>
          <w:lang w:val="es-ES_tradnl"/>
        </w:rPr>
        <w:t>La Oficina también participó en consultas jurídicas con los funcionarios pertinentes, relativas a la parte V “Protección de las obtenciones vegetales” del proyecto de Ley de la Propiedad Industrial de Mauricio, y explicó el procedimiento de ingreso en la UPOV.</w:t>
      </w:r>
      <w:r w:rsidR="00E65183" w:rsidRPr="00C83BDF">
        <w:rPr>
          <w:lang w:val="es-ES_tradnl"/>
        </w:rPr>
        <w:t xml:space="preserve">  </w:t>
      </w:r>
      <w:r w:rsidR="00915AEE" w:rsidRPr="00C83BDF">
        <w:rPr>
          <w:lang w:val="es-ES_tradnl"/>
        </w:rPr>
        <w:t>El 7 de marzo, la Oficina visitó el Instituto de Investigaciones en Caña de Azúcar (MSIRI) de Mauricio.</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303DA0" w:rsidRPr="00C83BDF">
        <w:rPr>
          <w:lang w:val="es-ES_tradnl"/>
        </w:rPr>
        <w:t>El 10 de marzo, en Ginebra, la Oficina recibió la visita del Sr. Madoka Koshibe, ex presidente de la Asociación de Semillas de Asia y el Pacífico (APSA) y presidente (Presidente del Consejo) de Mikado Kyowa Seed Co. Ltd., del Japón.</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303DA0" w:rsidRPr="00C83BDF">
        <w:rPr>
          <w:lang w:val="es-ES_tradnl"/>
        </w:rPr>
        <w:t>El 18 y el 19 de marzo en Nitra (Eslovaquia), la Oficina asistió a una reunión del Consejo Administrativo de la OCVV y ofreció una conferencia sobre “Perspectiva y orientaciones de la UPOV en materia de semillas conservadas en finca”, en un seminario internacional en el que participaron obtentores eslovacos.</w:t>
      </w:r>
      <w:r w:rsidR="00E65183" w:rsidRPr="00C83BDF">
        <w:rPr>
          <w:lang w:val="es-ES_tradnl"/>
        </w:rPr>
        <w:t xml:space="preserve"> </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303DA0" w:rsidRPr="00C83BDF">
        <w:rPr>
          <w:lang w:val="es-ES_tradnl"/>
        </w:rPr>
        <w:t xml:space="preserve">El 24 de marzo, en Ginebra, la Oficina ofreció conferencias en un programa para un grupo de alumnos de doctorado de la Universidad Nacional Euroasiática </w:t>
      </w:r>
      <w:r w:rsidR="00796CE1" w:rsidRPr="00C83BDF">
        <w:rPr>
          <w:lang w:val="es-ES_tradnl"/>
        </w:rPr>
        <w:t>L. N.</w:t>
      </w:r>
      <w:r w:rsidR="00303DA0" w:rsidRPr="00C83BDF">
        <w:rPr>
          <w:lang w:val="es-ES_tradnl"/>
        </w:rPr>
        <w:t> Gumilyov de Kazajstán, organizado por la OMPI y la Universidad de Estudios Empresariales e Internacionales (UBIS).</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C72007" w:rsidRPr="00C83BDF">
        <w:rPr>
          <w:lang w:val="es-ES_tradnl"/>
        </w:rPr>
        <w:t>Entre el 24 de marzo y el 4 de abril, en Ginebra, la Oficina participó en las partes pertinentes de la vigésima séptima sesión del CIG de la OMPI.</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9A6FD5" w:rsidRPr="00C83BDF">
        <w:rPr>
          <w:lang w:val="es-ES_tradnl"/>
        </w:rPr>
        <w:t>El 25 de marzo, en Ginebra, la Oficina recibió la visita del Sr. Michael Turner, consultor en semillas, para analizar las últimas novedades relativas a la protección de las obtenciones vegetales en África y Asia.</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9A6FD5" w:rsidRPr="00C83BDF">
        <w:rPr>
          <w:lang w:val="es-ES_tradnl"/>
        </w:rPr>
        <w:t xml:space="preserve">Del 25 al 27 de marzo, en Buenos Aires (Argentina), la Oficina asistió a la Asamblea General de la </w:t>
      </w:r>
      <w:r w:rsidR="0019698C" w:rsidRPr="00C83BDF">
        <w:rPr>
          <w:lang w:val="es-ES_tradnl"/>
        </w:rPr>
        <w:t xml:space="preserve">OMA </w:t>
      </w:r>
      <w:r w:rsidR="009A6FD5" w:rsidRPr="00C83BDF">
        <w:rPr>
          <w:lang w:val="es-ES_tradnl"/>
        </w:rPr>
        <w:t>y pronunció un discurso en la sesión inaugural de dicha Asamblea General y presentó una ponencia en el taller “Capital Intelectual de los Agricultores:  innovación y práctica”.</w:t>
      </w:r>
      <w:r w:rsidR="00E65183" w:rsidRPr="00C83BDF">
        <w:rPr>
          <w:lang w:val="es-ES_tradnl"/>
        </w:rPr>
        <w:t xml:space="preserve">  </w:t>
      </w:r>
      <w:r w:rsidR="009A6FD5" w:rsidRPr="00C83BDF">
        <w:rPr>
          <w:lang w:val="es-ES_tradnl"/>
        </w:rPr>
        <w:t>También participó en el grupo de la sesión temática sobre innovación.</w:t>
      </w:r>
      <w:r w:rsidR="00E65183" w:rsidRPr="00C83BDF">
        <w:rPr>
          <w:lang w:val="es-ES_tradnl"/>
        </w:rPr>
        <w:t xml:space="preserve"> </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81354B" w:rsidRPr="00C83BDF">
        <w:rPr>
          <w:lang w:val="es-ES_tradnl"/>
        </w:rPr>
        <w:t>Los días 1 y 2 de abril, en La </w:t>
      </w:r>
      <w:r w:rsidR="009A6FD5" w:rsidRPr="00C83BDF">
        <w:rPr>
          <w:lang w:val="es-ES_tradnl"/>
        </w:rPr>
        <w:t>Haya (Países Bajos), la Oficina asistió a la reunión anual general de la CIOPORA.</w:t>
      </w:r>
      <w:r w:rsidR="00E65183" w:rsidRPr="00C83BDF">
        <w:rPr>
          <w:lang w:val="es-ES_tradnl"/>
        </w:rPr>
        <w:t xml:space="preserve"> </w:t>
      </w:r>
    </w:p>
    <w:p w:rsidR="00E65183" w:rsidRPr="00C83BDF" w:rsidRDefault="00E65183" w:rsidP="00E65183">
      <w:pPr>
        <w:tabs>
          <w:tab w:val="left" w:pos="6915"/>
        </w:tabs>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4B2DEA" w:rsidRPr="00C83BDF">
        <w:rPr>
          <w:lang w:val="es-ES_tradnl"/>
        </w:rPr>
        <w:t>Los días 14 y 15 de abril, en Yaundé (Camerún), la Oficina participó en sesiones informativas junto con 24 funcionarios de la Organización Africana de la Propiedad Intelectual (OAPI).</w:t>
      </w:r>
      <w:r w:rsidR="00E65183" w:rsidRPr="00C83BDF">
        <w:rPr>
          <w:lang w:val="es-ES_tradnl"/>
        </w:rPr>
        <w:t xml:space="preserve">  </w:t>
      </w:r>
      <w:r w:rsidR="004B2DEA" w:rsidRPr="00C83BDF">
        <w:rPr>
          <w:lang w:val="es-ES_tradnl"/>
        </w:rPr>
        <w:t>El objetivo de las sesiones informativas fue asistir a la OAPI en las cuestiones relativas al procedimiento para depositar el instrumento de adhesión al Convenio de la UPOV, explicar la labor de los órganos de la UPOV y los mecanismos de cooperación entre los miembros de la UPOV y ofrecer orientación sobre la aplicación del sistema de la UPOV.</w:t>
      </w:r>
      <w:r w:rsidR="00E65183" w:rsidRPr="00C83BDF">
        <w:rPr>
          <w:lang w:val="es-ES_tradnl"/>
        </w:rPr>
        <w:t xml:space="preserve">  </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B62FB4" w:rsidRPr="00C83BDF">
        <w:rPr>
          <w:lang w:val="es-ES_tradnl"/>
        </w:rPr>
        <w:t>El 23 de abril, en Ginebra, la Oficina recibió la visita de la Sra. Margaret Munroe, del IHEID, en relación con sus investigaciones sobre la relevancia del paradigma de la innovación abierta para el desarrollo agrícola.</w:t>
      </w:r>
      <w:r w:rsidR="00E65183" w:rsidRPr="00C83BDF">
        <w:rPr>
          <w:lang w:val="es-ES_tradnl"/>
        </w:rPr>
        <w:t xml:space="preserve"> </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B62FB4" w:rsidRPr="00C83BDF">
        <w:rPr>
          <w:lang w:val="es-ES_tradnl"/>
        </w:rPr>
        <w:t>El 29 de abril, en París (Francia), la Oficina asistió a una reunión del Grupo de Trabajo Técnico del Sistema de la OCDE de certificación del material forestal de reproducción destinado al comercio internacional y presentó una ponencia sobre la definición de variedad con arreglo al Convenio de la UPOV.</w:t>
      </w:r>
      <w:r w:rsidR="00E65183" w:rsidRPr="00C83BDF">
        <w:rPr>
          <w:lang w:val="es-ES_tradnl"/>
        </w:rPr>
        <w:t xml:space="preserve"> </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B62FB4" w:rsidRPr="00C83BDF">
        <w:rPr>
          <w:lang w:val="es-ES_tradnl"/>
        </w:rPr>
        <w:t>El 7 de mayo, en Roma, en la sede de la FAO, la Oficina asistió a una reunión del Comité Ejecutivo del Proyecto Mundial de Semillas (FAO, ISF, ISTA, OCDE y UPOV) con representantes de Ghana y la República Unida de Tanzanía.</w:t>
      </w:r>
      <w:r w:rsidR="00E65183" w:rsidRPr="00C83BDF">
        <w:rPr>
          <w:lang w:val="es-ES_tradnl"/>
        </w:rPr>
        <w:t xml:space="preserve"> </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B62FB4" w:rsidRPr="00C83BDF">
        <w:rPr>
          <w:lang w:val="es-ES_tradnl"/>
        </w:rPr>
        <w:t>El 13 de mayo, en la sede de Ginebra de las Naciones Unidas, la Oficina asistió a una recepción de reconocimiento al Directorio de la Fundación de las Naciones Unidas.</w:t>
      </w:r>
      <w:r w:rsidR="00E65183" w:rsidRPr="00C83BDF">
        <w:rPr>
          <w:lang w:val="es-ES_tradnl"/>
        </w:rPr>
        <w:t xml:space="preserve"> </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A54C84" w:rsidRPr="00C83BDF">
        <w:rPr>
          <w:lang w:val="es-ES_tradnl"/>
        </w:rPr>
        <w:t xml:space="preserve">El 15 y 16 de mayo, en Brisbane (Australia), en la </w:t>
      </w:r>
      <w:r w:rsidR="00A54C84" w:rsidRPr="00C83BDF">
        <w:rPr>
          <w:i/>
          <w:lang w:val="es-ES_tradnl"/>
        </w:rPr>
        <w:t>Queensland University of Technology</w:t>
      </w:r>
      <w:r w:rsidR="00A54C84" w:rsidRPr="00C83BDF">
        <w:rPr>
          <w:lang w:val="es-ES_tradnl"/>
        </w:rPr>
        <w:t xml:space="preserve"> (QUT), el Sr. Doug Waterhouse, en nombre de la Oficina, impartió conferencias sobre la protección de las variedades vegetales en el sistema de la UPOV, en la quinta edición de la Maestría OMPI</w:t>
      </w:r>
      <w:r w:rsidR="00A54C84" w:rsidRPr="00C83BDF">
        <w:rPr>
          <w:lang w:val="es-ES_tradnl"/>
        </w:rPr>
        <w:noBreakHyphen/>
        <w:t>QUT en Derecho de Propiedad Intelectual.</w:t>
      </w:r>
      <w:r w:rsidR="00B62FB4" w:rsidRPr="00C83BDF">
        <w:rPr>
          <w:lang w:val="es-ES_tradnl"/>
        </w:rPr>
        <w:t xml:space="preserve">  </w:t>
      </w:r>
      <w:r w:rsidR="00A54C84" w:rsidRPr="00C83BDF">
        <w:rPr>
          <w:lang w:val="es-ES_tradnl"/>
        </w:rPr>
        <w:t>Asistieron al programa participantes de Australia, China, Fiji, Indonesia, Irán (República Islámica del), Nepal, Pakistán, República de Corea y Tailandia.</w:t>
      </w:r>
      <w:r w:rsidR="00E65183" w:rsidRPr="00C83BDF">
        <w:rPr>
          <w:lang w:val="es-ES_tradnl"/>
        </w:rPr>
        <w:t xml:space="preserve"> </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A54C84" w:rsidRPr="00C83BDF">
        <w:rPr>
          <w:lang w:val="es-ES_tradnl"/>
        </w:rPr>
        <w:t>El 20 de mayo, en Ginebra, la Oficina recibió la visita del Sr. Aamir Hasan, Director General de la Organización de la Propiedad Intelectual de Pakistán, para hablar sobre el sistema de la UPOV de protección de las variedades vegetales.</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A54C84" w:rsidRPr="00C83BDF">
        <w:rPr>
          <w:lang w:val="es-ES_tradnl"/>
        </w:rPr>
        <w:t>Del 26 al 28 de mayo, en Beijing (China), la Oficina participó en el Congreso Mundial de Semillas de 2014 de la ISF, donde presentó una ponencia sobre las novedades que se han producido en la UPOV, en el marco de la Reunión Pública del Comité de Obtentores.</w:t>
      </w:r>
      <w:r w:rsidR="00E65183" w:rsidRPr="00C83BDF">
        <w:rPr>
          <w:lang w:val="es-ES_tradnl"/>
        </w:rPr>
        <w:t xml:space="preserve">  </w:t>
      </w:r>
      <w:r w:rsidR="00A54C84" w:rsidRPr="00C83BDF">
        <w:rPr>
          <w:lang w:val="es-ES_tradnl"/>
        </w:rPr>
        <w:t>También se invitó a la Oficina a asistir a una parte de la reunión del Comité de Propiedad Intelectual de la ISF, el 26 de mayo, para tratar la invitación de la UPOV a dar detalles sobre los problemas que se plantean en la situación actual y las posibles soluciones que ofrecerían un sistema internacional de presentación de solicitudes, un programa de control de calidad de la UPOV y un sistema central para el examen de denominaciones de variedades, a fin de someterlos al examen del Comité Consultivo en su octogésima octava sesión que se celebrar</w:t>
      </w:r>
      <w:r w:rsidR="00E15BDE" w:rsidRPr="00C83BDF">
        <w:rPr>
          <w:lang w:val="es-ES_tradnl"/>
        </w:rPr>
        <w:t>ía</w:t>
      </w:r>
      <w:r w:rsidR="00A54C84" w:rsidRPr="00C83BDF">
        <w:rPr>
          <w:lang w:val="es-ES_tradnl"/>
        </w:rPr>
        <w:t xml:space="preserve"> en octubre de 2014.</w:t>
      </w:r>
      <w:r w:rsidR="00E65183" w:rsidRPr="00C83BDF">
        <w:rPr>
          <w:lang w:val="es-ES_tradnl"/>
        </w:rPr>
        <w:t xml:space="preserve"> </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A54C84" w:rsidRPr="00C83BDF">
        <w:rPr>
          <w:lang w:val="es-ES_tradnl"/>
        </w:rPr>
        <w:t>El 27 de mayo, en Beijing, la Oficina se reunió con funcionarios del Ministerio de Agricultura y la Administración Estatal de Silvicultura (SFA) de China para tratar las novedades que se han producido en China y en la UPOV.</w:t>
      </w:r>
      <w:r w:rsidR="00E65183" w:rsidRPr="00C83BDF">
        <w:rPr>
          <w:lang w:val="es-ES_tradnl"/>
        </w:rPr>
        <w:t xml:space="preserve"> </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A54C84" w:rsidRPr="00C83BDF">
        <w:rPr>
          <w:lang w:val="es-ES_tradnl"/>
        </w:rPr>
        <w:t>El 5 y el 6 de junio, en Taskent (Uzbekistán), la Oficina asistió a una conferencia internacional “Sobre las principales reservas para la aplicación del programa alimentario en Uzbekistán”, donde presentó una ponencia sobre el sistema de la UPOV de protección de las variedades vegetales durante la IV Sesión de Trabajo “Introducción de conocimientos científicos y técnicos avanzados para aumentar la eficiencia y la productividad, el fitomejoramiento, la producción de semilla y el desarrollo de nuevas variedades de hortalizas y vid resistentes a enfermedades y mejorar sus propiedades útiles, sabor y calidad”.</w:t>
      </w:r>
      <w:r w:rsidR="00E65183" w:rsidRPr="00C83BDF">
        <w:rPr>
          <w:lang w:val="es-ES_tradnl"/>
        </w:rPr>
        <w:t xml:space="preserve">  </w:t>
      </w:r>
      <w:r w:rsidR="00A54C84" w:rsidRPr="00C83BDF">
        <w:rPr>
          <w:lang w:val="es-ES_tradnl"/>
        </w:rPr>
        <w:t>Al margen de la conferencia, la Oficina se reunió con funcionarios del Ministerio de Agricultura y Recursos Hídricos para comentar la situación relativa a la protección de las obtenciones vegetales en Uzbekistán.</w:t>
      </w:r>
      <w:r w:rsidR="00E65183" w:rsidRPr="00C83BDF">
        <w:rPr>
          <w:lang w:val="es-ES_tradnl"/>
        </w:rPr>
        <w:t xml:space="preserve"> </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EC6B51" w:rsidRPr="00C83BDF">
        <w:rPr>
          <w:lang w:val="es-ES_tradnl"/>
        </w:rPr>
        <w:t>El 10 de junio, en Ginebra, la Oficina recibió la visita del Sr. Paulin Edou Edou, Director General de la OAPI, quien depositó el instrumento de adhesión de su organización a la UPOV, por el que la OAPI pasó a ser el septuagésimo segundo miembro de la Unión el 10 de julio de 2014.</w:t>
      </w:r>
      <w:r w:rsidR="00E65183" w:rsidRPr="00C83BDF">
        <w:rPr>
          <w:lang w:val="es-ES_tradnl"/>
        </w:rPr>
        <w:t xml:space="preserve">  </w:t>
      </w:r>
      <w:r w:rsidR="00EC6B51" w:rsidRPr="00C83BDF">
        <w:rPr>
          <w:lang w:val="es-ES_tradnl"/>
        </w:rPr>
        <w:t>En esa ocasión, el Secretario General de la UPOV ofreció un almuerzo al que asistieron representantes de la OAPI y representantes de las Misiones Permanentes en Ginebra de los Estados miembros de la OAPI.</w:t>
      </w:r>
      <w:r w:rsidR="00E65183" w:rsidRPr="00C83BDF">
        <w:rPr>
          <w:lang w:val="es-ES_tradnl"/>
        </w:rPr>
        <w:t xml:space="preserve"> </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EC6B51" w:rsidRPr="00C83BDF">
        <w:rPr>
          <w:rFonts w:cs="Arial"/>
          <w:lang w:val="es-ES_tradnl"/>
        </w:rPr>
        <w:t xml:space="preserve">Del 10 al 13 de junio, en Zagreb (Croacia), la Oficina asistió a la reunión anual de los </w:t>
      </w:r>
      <w:r w:rsidR="0045016F" w:rsidRPr="00C83BDF">
        <w:rPr>
          <w:rFonts w:cs="Arial"/>
          <w:lang w:val="es-ES_tradnl"/>
        </w:rPr>
        <w:t xml:space="preserve">sistemas </w:t>
      </w:r>
      <w:r w:rsidR="00EC6B51" w:rsidRPr="00C83BDF">
        <w:rPr>
          <w:rFonts w:cs="Arial"/>
          <w:lang w:val="es-ES_tradnl"/>
        </w:rPr>
        <w:t xml:space="preserve">de semillas de la OCDE, incluidas las reuniones del Grupo de Trabajo </w:t>
      </w:r>
      <w:r w:rsidR="00EC6B51" w:rsidRPr="00C83BDF">
        <w:rPr>
          <w:rFonts w:cs="Arial"/>
          <w:i/>
          <w:iCs/>
          <w:lang w:val="es-ES_tradnl"/>
        </w:rPr>
        <w:t xml:space="preserve">Ad hoc </w:t>
      </w:r>
      <w:r w:rsidR="00EC6B51" w:rsidRPr="00C83BDF">
        <w:rPr>
          <w:rFonts w:cs="Arial"/>
          <w:lang w:val="es-ES_tradnl"/>
        </w:rPr>
        <w:t>de Expertos en Técnicas Bioquímicas y Moleculares para la Descripción y/o Identificación de Variedades del Grupo de Trabajo Técnico sobre la Identidad y la Pureza de las Variedades.</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EC6B51" w:rsidRPr="00C83BDF">
        <w:rPr>
          <w:lang w:val="es-ES_tradnl"/>
        </w:rPr>
        <w:t>El 11 de junio, en Ginebra, la Oficina recibió la visita de la Sra. Liz Francis, Directora de Dibujos y Modelos de Patentes y Protección de las Obtenciones Vegetales de la Oficina de Propiedad Intelectual de Nueva Zelandia, con quien examinaron las novedades que se han producido en Nueva Zelandia y la UPOV.</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EC6B51" w:rsidRPr="00C83BDF">
        <w:rPr>
          <w:lang w:val="es-ES_tradnl"/>
        </w:rPr>
        <w:t>El 11 de junio, en la sede de la OMC en Ginebra, la Oficina asistió a las sesiones pertinentes de la reunión del Consejo de los ADPIC.</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EC6B51" w:rsidRPr="00C83BDF">
        <w:rPr>
          <w:rFonts w:cs="Arial"/>
          <w:lang w:val="es-ES_tradnl"/>
        </w:rPr>
        <w:t>El 13 de junio en Ginebra, la Oficina recibió la visita del Sr. Eldiyor Toshmatov, Agregado, y el Sr. Elyorjon Hamraliev, Oficial Financiero de la Misión Permanente de Uzbekistán, para grabar una entrevista en video relativa a la Conferencia internacional “Sobre las principales reservas para aplicar el programa alimentario en Uzbekistán”, celebrada en Taskent, el 5 y el 6 de junio de 2014 (véase el párrafo 53).</w:t>
      </w:r>
    </w:p>
    <w:p w:rsidR="00E65183" w:rsidRPr="00C83BDF" w:rsidRDefault="00E65183" w:rsidP="00E65183">
      <w:pPr>
        <w:rPr>
          <w:lang w:val="es-ES_tradnl"/>
        </w:rPr>
      </w:pPr>
    </w:p>
    <w:p w:rsidR="00E65183" w:rsidRPr="00C83BDF" w:rsidRDefault="00082242" w:rsidP="00E65183">
      <w:pPr>
        <w:rPr>
          <w:color w:val="000000"/>
          <w:lang w:val="es-ES_tradnl"/>
        </w:rPr>
      </w:pPr>
      <w:r w:rsidRPr="00C83BDF">
        <w:rPr>
          <w:color w:val="000000"/>
          <w:lang w:val="es-ES_tradnl"/>
        </w:rPr>
        <w:fldChar w:fldCharType="begin"/>
      </w:r>
      <w:r w:rsidR="00E65183" w:rsidRPr="00C83BDF">
        <w:rPr>
          <w:color w:val="000000"/>
          <w:lang w:val="es-ES_tradnl"/>
        </w:rPr>
        <w:instrText xml:space="preserve"> AUTONUM  </w:instrText>
      </w:r>
      <w:r w:rsidRPr="00C83BDF">
        <w:rPr>
          <w:color w:val="000000"/>
          <w:lang w:val="es-ES_tradnl"/>
        </w:rPr>
        <w:fldChar w:fldCharType="end"/>
      </w:r>
      <w:r w:rsidR="00E65183" w:rsidRPr="00C83BDF">
        <w:rPr>
          <w:color w:val="000000"/>
          <w:lang w:val="es-ES_tradnl"/>
        </w:rPr>
        <w:tab/>
      </w:r>
      <w:r w:rsidR="00F84CD1" w:rsidRPr="00C83BDF">
        <w:rPr>
          <w:color w:val="000000"/>
          <w:lang w:val="es-ES_tradnl"/>
        </w:rPr>
        <w:t xml:space="preserve">El 17 de junio, en Wageningen (Países Bajos), la Oficina ofreció una sesión de formación, de un día de duración, sobre la UPOV en el decimoséptimo Curso </w:t>
      </w:r>
      <w:r w:rsidR="00DA1ACF" w:rsidRPr="00C83BDF">
        <w:rPr>
          <w:color w:val="000000"/>
          <w:lang w:val="es-ES_tradnl"/>
        </w:rPr>
        <w:t>internacional sobre protección de las variedades vegetales</w:t>
      </w:r>
      <w:r w:rsidR="00F84CD1" w:rsidRPr="00C83BDF">
        <w:rPr>
          <w:color w:val="000000"/>
          <w:lang w:val="es-ES_tradnl"/>
        </w:rPr>
        <w:t xml:space="preserve">, organizado por </w:t>
      </w:r>
      <w:r w:rsidR="00EC7ED5" w:rsidRPr="00C83BDF">
        <w:rPr>
          <w:lang w:val="es-ES_tradnl"/>
        </w:rPr>
        <w:t>la Oficina de Examen holandesa (Naktuinbouw)</w:t>
      </w:r>
      <w:r w:rsidR="00F84CD1" w:rsidRPr="00C83BDF">
        <w:rPr>
          <w:color w:val="000000"/>
          <w:lang w:val="es-ES_tradnl"/>
        </w:rPr>
        <w:t>.</w:t>
      </w:r>
      <w:r w:rsidR="00E65183" w:rsidRPr="00C83BDF">
        <w:rPr>
          <w:color w:val="000000"/>
          <w:lang w:val="es-ES_tradnl"/>
        </w:rPr>
        <w:t xml:space="preserve">  </w:t>
      </w:r>
      <w:r w:rsidR="00F84CD1" w:rsidRPr="00C83BDF">
        <w:rPr>
          <w:color w:val="000000"/>
          <w:lang w:val="es-ES_tradnl"/>
        </w:rPr>
        <w:t>Asistieron al curso participantes de los países y la organización siguientes:</w:t>
      </w:r>
      <w:r w:rsidR="00E65183" w:rsidRPr="00C83BDF">
        <w:rPr>
          <w:rFonts w:cs="Arial"/>
          <w:lang w:val="es-ES_tradnl"/>
        </w:rPr>
        <w:t xml:space="preserve">  </w:t>
      </w:r>
      <w:r w:rsidR="00F84CD1" w:rsidRPr="00C83BDF">
        <w:rPr>
          <w:color w:val="000000"/>
          <w:lang w:val="es-ES_tradnl"/>
        </w:rPr>
        <w:t>Albania, Bosnia y Herzegovina, Croacia, ex República Yugoslava de Macedonia, Ghana, India, Kenya, Nigeria, Senegal, Serbia, Turquía y Unión Europea.</w:t>
      </w:r>
      <w:r w:rsidR="00E65183" w:rsidRPr="00C83BDF">
        <w:rPr>
          <w:color w:val="000000"/>
          <w:lang w:val="es-ES_tradnl"/>
        </w:rPr>
        <w:t xml:space="preserve">  </w:t>
      </w:r>
      <w:r w:rsidR="008C4A21" w:rsidRPr="00C83BDF">
        <w:rPr>
          <w:rFonts w:cs="Arial"/>
          <w:lang w:val="es-ES_tradnl"/>
        </w:rPr>
        <w:t>También asistió un participante de Kosovo.</w:t>
      </w:r>
      <w:r w:rsidR="00E65183" w:rsidRPr="00C83BDF">
        <w:rPr>
          <w:rFonts w:cs="Arial"/>
          <w:lang w:val="es-ES_tradnl"/>
        </w:rPr>
        <w:t xml:space="preserve">  </w:t>
      </w:r>
      <w:r w:rsidR="008C4A21" w:rsidRPr="00C83BDF">
        <w:rPr>
          <w:lang w:val="es-ES_tradnl"/>
        </w:rPr>
        <w:t>Antes del curso, los alumnos participaron en el Curso de Enseñanza a Distancia DL</w:t>
      </w:r>
      <w:r w:rsidR="008C4A21" w:rsidRPr="00C83BDF">
        <w:rPr>
          <w:lang w:val="es-ES_tradnl"/>
        </w:rPr>
        <w:noBreakHyphen/>
        <w:t>205 de la UPOV.</w:t>
      </w:r>
      <w:r w:rsidR="00E65183" w:rsidRPr="00C83BDF">
        <w:rPr>
          <w:color w:val="000000"/>
          <w:lang w:val="es-ES_tradnl"/>
        </w:rPr>
        <w:t xml:space="preserve">  </w:t>
      </w:r>
      <w:r w:rsidR="008C4A21" w:rsidRPr="00C83BDF">
        <w:rPr>
          <w:lang w:val="es-ES_tradnl"/>
        </w:rPr>
        <w:t>Se ofreció también a los participantes la posibilidad de mantener conversaciones bilaterales con representantes de la UPOV al final de la sesión de formación.</w:t>
      </w:r>
      <w:r w:rsidR="00E65183" w:rsidRPr="00C83BDF">
        <w:rPr>
          <w:color w:val="000000"/>
          <w:lang w:val="es-ES_tradnl"/>
        </w:rPr>
        <w:t xml:space="preserve">  </w:t>
      </w:r>
      <w:r w:rsidR="008C4A21" w:rsidRPr="00C83BDF">
        <w:rPr>
          <w:lang w:val="es-ES_tradnl"/>
        </w:rPr>
        <w:t>Se facilitó información a los participantes de ex República Yugoslava de Macedonia, Ghana, India, Kenya, Nigeria y Senegal.</w:t>
      </w:r>
      <w:r w:rsidR="00E65183" w:rsidRPr="00C83BDF">
        <w:rPr>
          <w:color w:val="000000"/>
          <w:lang w:val="es-ES_tradnl"/>
        </w:rPr>
        <w:t xml:space="preserve"> </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FC3A0C" w:rsidRPr="00C83BDF">
        <w:rPr>
          <w:lang w:val="es-ES_tradnl"/>
        </w:rPr>
        <w:t xml:space="preserve">El </w:t>
      </w:r>
      <w:r w:rsidR="008C4A21" w:rsidRPr="00C83BDF">
        <w:rPr>
          <w:lang w:val="es-ES_tradnl"/>
        </w:rPr>
        <w:t>23 de junio, en la sede de la OMC en Ginebra, la Oficina presentó una ponencia sobre la “Protección de las Obtenciones Vegetales” en el Coloquio OMPI</w:t>
      </w:r>
      <w:r w:rsidR="008C4A21" w:rsidRPr="00C83BDF">
        <w:rPr>
          <w:lang w:val="es-ES_tradnl"/>
        </w:rPr>
        <w:noBreakHyphen/>
        <w:t>OMC para docentes de propiedad intelectual.</w:t>
      </w:r>
      <w:r w:rsidR="00E65183" w:rsidRPr="00C83BDF">
        <w:rPr>
          <w:szCs w:val="24"/>
          <w:lang w:val="es-ES_tradnl"/>
        </w:rPr>
        <w:t xml:space="preserve">  </w:t>
      </w:r>
      <w:r w:rsidR="008C4A21" w:rsidRPr="00C83BDF">
        <w:rPr>
          <w:szCs w:val="24"/>
          <w:lang w:val="es-ES_tradnl"/>
        </w:rPr>
        <w:t>Asistieron al Coloquio los participantes de los países siguientes:</w:t>
      </w:r>
      <w:r w:rsidR="00E65183" w:rsidRPr="00C83BDF">
        <w:rPr>
          <w:rFonts w:cs="Arial"/>
          <w:lang w:val="es-ES_tradnl"/>
        </w:rPr>
        <w:t xml:space="preserve">  </w:t>
      </w:r>
      <w:r w:rsidR="008C4A21" w:rsidRPr="00C83BDF">
        <w:rPr>
          <w:szCs w:val="24"/>
          <w:lang w:val="es-ES_tradnl"/>
        </w:rPr>
        <w:t>Argentina, Bosnia y Herzegovina, Brasil, Bulgaria, China, Colombia, Egipto, Etiopía, Federación de Rusia, Filipinas, India, Kenya, Malasia, Malawi, Marruecos, México, Países Bajos, Senegal, Tailandia, Uzbekistán, Venezuela, Viet Nam y Zimbabwe.</w:t>
      </w:r>
      <w:r w:rsidR="00E65183" w:rsidRPr="00C83BDF">
        <w:rPr>
          <w:szCs w:val="24"/>
          <w:lang w:val="es-ES_tradnl" w:eastAsia="ja-JP"/>
        </w:rPr>
        <w:t xml:space="preserve">  </w:t>
      </w:r>
      <w:r w:rsidR="008C4A21" w:rsidRPr="00C83BDF">
        <w:rPr>
          <w:rFonts w:cs="Arial"/>
          <w:lang w:val="es-ES_tradnl"/>
        </w:rPr>
        <w:t>También asistió un participante de Palestina.</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FC3A0C" w:rsidRPr="00C83BDF">
        <w:rPr>
          <w:lang w:val="es-ES_tradnl"/>
        </w:rPr>
        <w:t xml:space="preserve">El </w:t>
      </w:r>
      <w:r w:rsidR="008C4A21" w:rsidRPr="00C83BDF">
        <w:rPr>
          <w:lang w:val="es-ES_tradnl"/>
        </w:rPr>
        <w:t>27 de junio, en la sede de la OMPI en Ginebra, la Oficina presentó una ponencia sobre “La protección de las variedades vegetales y la Unión Internacional para la Protección de las Obtenciones Vegetales (UPOV)” en el Curso de verano sobre propiedad intelectual de la OMPI y la Universidad de Ginebra (UNIGE).</w:t>
      </w:r>
      <w:r w:rsidR="00E65183" w:rsidRPr="00C83BDF">
        <w:rPr>
          <w:lang w:val="es-ES_tradnl"/>
        </w:rPr>
        <w:t xml:space="preserve">  </w:t>
      </w:r>
      <w:r w:rsidR="008C4A21" w:rsidRPr="00C83BDF">
        <w:rPr>
          <w:lang w:val="es-ES_tradnl"/>
        </w:rPr>
        <w:t>Asistieron al Curso de verano OMPI</w:t>
      </w:r>
      <w:r w:rsidR="008C4A21" w:rsidRPr="00C83BDF">
        <w:rPr>
          <w:lang w:val="es-ES_tradnl"/>
        </w:rPr>
        <w:noBreakHyphen/>
        <w:t>UNIGE participantes de Albania, Alemania, Armenia, Australia, Belarús, Brasil, Camerún, Canadá, China, Ecuador, Eslovaquia, Eslovenia, España, Estados Unidos de América, Federación de Rusia, Francia, Grecia, India, Islas Salomón, Italia, Japón, Letonia, Países Bajos, Panamá, Polonia, Reino Unido, República Checa, República de Corea, República Dominicana, Rumania, Suiza, Tailandia, Ucrania y Zimbabwe.</w:t>
      </w:r>
      <w:r w:rsidR="00E65183" w:rsidRPr="00C83BDF">
        <w:rPr>
          <w:lang w:val="es-ES_tradnl"/>
        </w:rPr>
        <w:t xml:space="preserve"> </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8C4A21" w:rsidRPr="00C83BDF">
        <w:rPr>
          <w:lang w:val="es-ES_tradnl"/>
        </w:rPr>
        <w:t>Del 30 de junio al 2 de julio, en Seúl (República de Corea), la Oficina ofreció conferencias sobre la protección de las variedades vegetales en virtud del Convenio de la UPOV en el Curso de formación sobre “Protección de las variedades vegetales y examen DHE”, organizado por la Agencia de Cooperación Internacional de Corea (KOICA), en colaboración con el Servicio de Semillas y Variedades de Corea (KSVS).</w:t>
      </w:r>
      <w:r w:rsidR="00E65183" w:rsidRPr="00C83BDF">
        <w:rPr>
          <w:snapToGrid w:val="0"/>
          <w:color w:val="000000"/>
          <w:lang w:val="es-ES_tradnl" w:eastAsia="ja-JP"/>
        </w:rPr>
        <w:t xml:space="preserve">  </w:t>
      </w:r>
      <w:r w:rsidR="008C4A21" w:rsidRPr="00C83BDF">
        <w:rPr>
          <w:lang w:val="es-ES_tradnl"/>
        </w:rPr>
        <w:t>Asistieron al curso participantes de Camboya, Egipto, Filipinas, Indonesia, Kenya, Myanmar, República Unida de Tanzanía y Uganda, y se les ofreció la oportunidad de participar en el Curso de la UPOV de enseñanza a distancia DL</w:t>
      </w:r>
      <w:r w:rsidR="008C4A21" w:rsidRPr="00C83BDF">
        <w:rPr>
          <w:lang w:val="es-ES_tradnl"/>
        </w:rPr>
        <w:noBreakHyphen/>
        <w:t>205.</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8C4A21" w:rsidRPr="00C83BDF">
        <w:rPr>
          <w:lang w:val="es-ES_tradnl"/>
        </w:rPr>
        <w:t>Del 30 de junio al 2 de julio, en Alemania, tres miembros del personal de la UPOV visitaron la Oficina Federal de Variedades Vegetales de Alemania (</w:t>
      </w:r>
      <w:r w:rsidR="008C4A21" w:rsidRPr="00C83BDF">
        <w:rPr>
          <w:rFonts w:cs="Arial"/>
          <w:i/>
          <w:snapToGrid w:val="0"/>
          <w:lang w:val="es-ES_tradnl"/>
        </w:rPr>
        <w:t>Bundessortenamt</w:t>
      </w:r>
      <w:r w:rsidR="008C4A21" w:rsidRPr="00C83BDF">
        <w:rPr>
          <w:lang w:val="es-ES_tradnl"/>
        </w:rPr>
        <w:t>) para mejorar su comprensión de los aspectos prácticos del examen DHE y la administración de los derechos de obtentor.</w:t>
      </w:r>
      <w:r w:rsidR="00E65183" w:rsidRPr="00C83BDF">
        <w:rPr>
          <w:rFonts w:cs="Arial"/>
          <w:snapToGrid w:val="0"/>
          <w:lang w:val="es-ES_tradnl"/>
        </w:rPr>
        <w:t xml:space="preserve">  </w:t>
      </w:r>
      <w:r w:rsidR="008C4A21" w:rsidRPr="00C83BDF">
        <w:rPr>
          <w:rFonts w:cs="Arial"/>
          <w:snapToGrid w:val="0"/>
          <w:lang w:val="es-ES_tradnl"/>
        </w:rPr>
        <w:t>Los miembros del personal visitaron los centros de examen de Wurzen, Nossen y Hannover.</w:t>
      </w:r>
      <w:r w:rsidR="00E65183" w:rsidRPr="00C83BDF">
        <w:rPr>
          <w:rFonts w:cs="Arial"/>
          <w:snapToGrid w:val="0"/>
          <w:lang w:val="es-ES_tradnl"/>
        </w:rPr>
        <w:t xml:space="preserve"> </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8C4A21" w:rsidRPr="00C83BDF">
        <w:rPr>
          <w:lang w:val="es-ES_tradnl"/>
        </w:rPr>
        <w:t>El 3 de julio, en Ginebra, la Oficina recibió la visita del Sr. Shakeel Bhatti, Secretario del ITPGRFA, para tratar las posibles esferas de interrelación de los instrumentos internacionales pertinentes del Tratado Internacional, la OMPI y la UPOV con miras a la elaboración de una publicación conjunta sobre las cuestiones interrelacionadas en los ámbitos de la innovación y los recursos fitogenéticos y otras posibles iniciativas.</w:t>
      </w:r>
      <w:r w:rsidR="00E65183" w:rsidRPr="00C83BDF">
        <w:rPr>
          <w:lang w:val="es-ES_tradnl"/>
        </w:rPr>
        <w:t xml:space="preserve"> </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8C4A21" w:rsidRPr="00C83BDF">
        <w:rPr>
          <w:lang w:val="es-ES_tradnl"/>
        </w:rPr>
        <w:t>El 3 de julio, en la sede de la Organización de las Naciones Unidas en Ginebra, la Oficina asistió a las Celebraciones del décimo aniversario de la entrada en vigor del Tratado Internacional sobre los Recursos Fitogenéticos para la Alimentación y la Agricultura</w:t>
      </w:r>
      <w:r w:rsidR="00F91253" w:rsidRPr="00C83BDF">
        <w:rPr>
          <w:lang w:val="es-ES_tradnl"/>
        </w:rPr>
        <w:t xml:space="preserve"> (</w:t>
      </w:r>
      <w:r w:rsidR="00F91253" w:rsidRPr="00C83BDF">
        <w:rPr>
          <w:color w:val="000000"/>
          <w:sz w:val="18"/>
          <w:szCs w:val="18"/>
          <w:lang w:val="es-ES_tradnl"/>
        </w:rPr>
        <w:t>ITPGRFA</w:t>
      </w:r>
      <w:r w:rsidR="00F91253" w:rsidRPr="00C83BDF">
        <w:rPr>
          <w:lang w:val="es-ES_tradnl"/>
        </w:rPr>
        <w:t>)</w:t>
      </w:r>
      <w:r w:rsidR="008C4A21" w:rsidRPr="00C83BDF">
        <w:rPr>
          <w:lang w:val="es-ES_tradnl"/>
        </w:rPr>
        <w:t>.</w:t>
      </w:r>
      <w:r w:rsidR="00E65183" w:rsidRPr="00C83BDF">
        <w:rPr>
          <w:lang w:val="es-ES_tradnl"/>
        </w:rPr>
        <w:t xml:space="preserve"> </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8C4A21" w:rsidRPr="00C83BDF">
        <w:rPr>
          <w:lang w:val="es-ES_tradnl"/>
        </w:rPr>
        <w:t>Entre el 7 y 9 de julio, en Ginebra, la Oficina participó en las partes pertinentes de la vigésima octava sesión del CIG de la OMPI.</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8C4A21" w:rsidRPr="00C83BDF">
        <w:rPr>
          <w:lang w:val="es-ES_tradnl"/>
        </w:rPr>
        <w:t>El 8 de julio, en Ginebra, la Oficina recibió la visita del Sr. Juan Carlos Castrillón, Ministro de la Misión Permanente del Ecuador en Ginebra, y de la Sra. Lilian Carrera, Directora Nacional de Protección de Obtenciones Vegetales del Instituto de la Propiedad Intelectual del Ecuador (IEPI), para tratar la organización de un seminario sobre la protección de obtenciones vegetales que se celebraría en Guayaquil (Ecuador), en octubre de 2014.</w:t>
      </w:r>
      <w:r w:rsidR="00E65183" w:rsidRPr="00C83BDF">
        <w:rPr>
          <w:lang w:val="es-ES_tradnl"/>
        </w:rPr>
        <w:t xml:space="preserve"> </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8C4A21" w:rsidRPr="00C83BDF">
        <w:rPr>
          <w:lang w:val="es-ES_tradnl"/>
        </w:rPr>
        <w:t>El 9 de julio de 2014, en Kampala (Uganda), la Oficina participó en la </w:t>
      </w:r>
      <w:r w:rsidR="008C4A21" w:rsidRPr="00C83BDF">
        <w:rPr>
          <w:i/>
          <w:lang w:val="es-ES_tradnl"/>
        </w:rPr>
        <w:t>10K Seed Company Convening</w:t>
      </w:r>
      <w:r w:rsidR="008C4A21" w:rsidRPr="00C83BDF">
        <w:rPr>
          <w:lang w:val="es-ES_tradnl"/>
        </w:rPr>
        <w:t>, organizada por la Alianza para la Revolución Verde en África (AGRA), donde presentó una ponencia titulada “Introducción a la UPOV: valor añadido de la UPOV a la industria semillera en África”.</w:t>
      </w:r>
    </w:p>
    <w:p w:rsidR="00E65183" w:rsidRPr="00C83BDF" w:rsidRDefault="00E65183" w:rsidP="00E65183">
      <w:pPr>
        <w:rPr>
          <w:rFonts w:cs="Arial"/>
          <w:snapToGrid w:val="0"/>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8C4A21" w:rsidRPr="00C83BDF">
        <w:rPr>
          <w:lang w:val="es-ES_tradnl"/>
        </w:rPr>
        <w:t>El 10 de julio de 2014, en Kampala, la Oficina se reunió con funcionarios gubernamentales de la Oficina de Servicios de Registro de Uganda (URSB) para tratar las novedades relativas al proyecto de ley sobre los derechos de obtentor de Uganda.</w:t>
      </w:r>
      <w:r w:rsidR="00E65183" w:rsidRPr="00C83BDF">
        <w:rPr>
          <w:szCs w:val="22"/>
          <w:lang w:val="es-ES_tradnl"/>
        </w:rPr>
        <w:t xml:space="preserve"> </w:t>
      </w:r>
    </w:p>
    <w:p w:rsidR="00E65183" w:rsidRPr="00C83BDF" w:rsidRDefault="00E65183" w:rsidP="00E65183">
      <w:pPr>
        <w:rPr>
          <w:lang w:val="es-ES_tradnl"/>
        </w:rPr>
      </w:pPr>
    </w:p>
    <w:p w:rsidR="00E65183" w:rsidRPr="00C83BDF" w:rsidRDefault="00082242" w:rsidP="00E65183">
      <w:pPr>
        <w:rPr>
          <w:lang w:val="es-ES_tradnl" w:eastAsia="ja-JP"/>
        </w:rPr>
      </w:pPr>
      <w:r w:rsidRPr="00C83BDF">
        <w:rPr>
          <w:lang w:val="es-ES_tradnl" w:eastAsia="ja-JP"/>
        </w:rPr>
        <w:fldChar w:fldCharType="begin"/>
      </w:r>
      <w:r w:rsidR="00E65183" w:rsidRPr="00C83BDF">
        <w:rPr>
          <w:lang w:val="es-ES_tradnl" w:eastAsia="ja-JP"/>
        </w:rPr>
        <w:instrText xml:space="preserve"> AUTONUM  </w:instrText>
      </w:r>
      <w:r w:rsidRPr="00C83BDF">
        <w:rPr>
          <w:lang w:val="es-ES_tradnl" w:eastAsia="ja-JP"/>
        </w:rPr>
        <w:fldChar w:fldCharType="end"/>
      </w:r>
      <w:r w:rsidR="00E65183" w:rsidRPr="00C83BDF">
        <w:rPr>
          <w:lang w:val="es-ES_tradnl" w:eastAsia="ja-JP"/>
        </w:rPr>
        <w:tab/>
      </w:r>
      <w:r w:rsidR="008C4A21" w:rsidRPr="00C83BDF">
        <w:rPr>
          <w:lang w:val="es-ES_tradnl" w:eastAsia="ja-JP"/>
        </w:rPr>
        <w:t xml:space="preserve">Del 9 al 11 de julio, en Roma, en la sede de la FAO, la Oficina asistió a la séptima sesión del Grupo de Trabajo Técnico Intergubernamental sobre los Recursos Fitogenéticos para la Alimentación y la Agricultura de la </w:t>
      </w:r>
      <w:r w:rsidR="00F91253" w:rsidRPr="00C83BDF">
        <w:rPr>
          <w:lang w:val="es-ES_tradnl"/>
        </w:rPr>
        <w:t xml:space="preserve">CRGAA </w:t>
      </w:r>
      <w:r w:rsidR="008C4A21" w:rsidRPr="00C83BDF">
        <w:rPr>
          <w:lang w:val="es-ES_tradnl" w:eastAsia="ja-JP"/>
        </w:rPr>
        <w:t>de la FAO y presentó un informe de las actividades llevadas a cabo por la UPOV en relación con los recursos fitogenéticos.</w:t>
      </w:r>
      <w:r w:rsidR="00E65183" w:rsidRPr="00C83BDF">
        <w:rPr>
          <w:lang w:val="es-ES_tradnl"/>
        </w:rPr>
        <w:t xml:space="preserve">  </w:t>
      </w:r>
      <w:r w:rsidR="008C4A21" w:rsidRPr="00C83BDF">
        <w:rPr>
          <w:lang w:val="es-ES_tradnl"/>
        </w:rPr>
        <w:t>El 10 de julio la Oficina celebró una actividad paralela titulada “UPOV:  promoción del uso de los recursos genéticos en beneficio de la sociedad”.</w:t>
      </w:r>
    </w:p>
    <w:p w:rsidR="00E65183" w:rsidRPr="00C83BDF" w:rsidRDefault="00E65183" w:rsidP="00E65183">
      <w:pPr>
        <w:rPr>
          <w:lang w:val="es-ES_tradnl" w:eastAsia="ja-JP"/>
        </w:rPr>
      </w:pPr>
    </w:p>
    <w:p w:rsidR="00E65183" w:rsidRPr="00C83BDF" w:rsidRDefault="00082242" w:rsidP="00E65183">
      <w:pPr>
        <w:rPr>
          <w:lang w:val="es-ES_tradnl" w:eastAsia="ja-JP"/>
        </w:rPr>
      </w:pPr>
      <w:r w:rsidRPr="00C83BDF">
        <w:rPr>
          <w:lang w:val="es-ES_tradnl" w:eastAsia="ja-JP"/>
        </w:rPr>
        <w:fldChar w:fldCharType="begin"/>
      </w:r>
      <w:r w:rsidR="00E65183" w:rsidRPr="00C83BDF">
        <w:rPr>
          <w:lang w:val="es-ES_tradnl" w:eastAsia="ja-JP"/>
        </w:rPr>
        <w:instrText xml:space="preserve"> AUTONUM  </w:instrText>
      </w:r>
      <w:r w:rsidRPr="00C83BDF">
        <w:rPr>
          <w:lang w:val="es-ES_tradnl" w:eastAsia="ja-JP"/>
        </w:rPr>
        <w:fldChar w:fldCharType="end"/>
      </w:r>
      <w:r w:rsidR="00E65183" w:rsidRPr="00C83BDF">
        <w:rPr>
          <w:lang w:val="es-ES_tradnl" w:eastAsia="ja-JP"/>
        </w:rPr>
        <w:tab/>
      </w:r>
      <w:r w:rsidR="008C4A21" w:rsidRPr="00C83BDF">
        <w:rPr>
          <w:lang w:val="es-ES_tradnl" w:eastAsia="ja-JP"/>
        </w:rPr>
        <w:t>El 15 de julio, en Ginebra, la Oficina recibió la visita del Sr. Yehan Cui, Director de División de la Oficina de Protección de las Obtenciones Vegetales del Ministerio de Agricultura de China, con quien examinó las novedades que se han producido en China y la UPOV.</w:t>
      </w:r>
      <w:r w:rsidR="00E65183" w:rsidRPr="00C83BDF">
        <w:rPr>
          <w:lang w:val="es-ES_tradnl" w:eastAsia="ja-JP"/>
        </w:rPr>
        <w:t xml:space="preserve"> </w:t>
      </w:r>
    </w:p>
    <w:p w:rsidR="00E65183" w:rsidRPr="00C83BDF" w:rsidRDefault="00E65183" w:rsidP="00E65183">
      <w:pPr>
        <w:rPr>
          <w:lang w:val="es-ES_tradnl" w:eastAsia="ja-JP"/>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EC7ED5" w:rsidRPr="00C83BDF">
        <w:rPr>
          <w:lang w:val="es-ES_tradnl"/>
        </w:rPr>
        <w:t>El 16 de julio, en Roelofarendsveen (Países Bajos), la Oficina asistió a una reunión en la sede del Naktuinbouw, para examinar las novedades que se han producido en los Países Bajos y la UPOV.</w:t>
      </w:r>
      <w:r w:rsidR="00E65183" w:rsidRPr="00C83BDF">
        <w:rPr>
          <w:lang w:val="es-ES_tradnl"/>
        </w:rPr>
        <w:t xml:space="preserve"> </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EC7ED5" w:rsidRPr="00C83BDF">
        <w:rPr>
          <w:lang w:val="es-ES_tradnl"/>
        </w:rPr>
        <w:t>El 17 de julio, en Ginebra, la oficina recibió la visita de la Sra. Susan H. Bragdon, Representante de Alimentos y Sostenibilidad de la Oficina Cuáquera ante las Naciones Unidas (QUNO), el Sr. Geoffrey Hawtlin, Consejero Técnico Superior de la Secretaría del ITPGRFA y el Prof. Hartwig de Haen de la Universidad de Göttingen, para debatir el proyecto QUNO sobre la seguridad alimentaria, la propiedad intelectual y el comercio agrícola.</w:t>
      </w:r>
      <w:r w:rsidR="00E65183" w:rsidRPr="00C83BDF">
        <w:rPr>
          <w:lang w:val="es-ES_tradnl"/>
        </w:rPr>
        <w:t xml:space="preserve"> </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EC7ED5" w:rsidRPr="00C83BDF">
        <w:rPr>
          <w:lang w:val="es-ES_tradnl"/>
        </w:rPr>
        <w:t xml:space="preserve">El 24 de julio, en Ginebra, la Oficina participó en una entrevista a la Sra. Cathy Savioz, especializada en edición de contenidos de Internet y relaciones con los medios de comunicación, en referencia a un artículo sobre el sistema de protección de las obtenciones vegetales de la UPOV que se publicará en la revista </w:t>
      </w:r>
      <w:r w:rsidR="00EC7ED5" w:rsidRPr="00C83BDF">
        <w:rPr>
          <w:i/>
          <w:lang w:val="es-ES_tradnl"/>
        </w:rPr>
        <w:t>Moneta</w:t>
      </w:r>
      <w:r w:rsidR="00EC7ED5" w:rsidRPr="00C83BDF">
        <w:rPr>
          <w:lang w:val="es-ES_tradnl"/>
        </w:rPr>
        <w:t>.</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EC7ED5" w:rsidRPr="00C83BDF">
        <w:rPr>
          <w:lang w:val="es-ES_tradnl"/>
        </w:rPr>
        <w:t>El 25 de julio, en Ginebra, la Oficina recibió la visita del Sr. Cheon Se-Chang, Director General, el Sr. Park Hyun</w:t>
      </w:r>
      <w:r w:rsidR="00EC7ED5" w:rsidRPr="00C83BDF">
        <w:rPr>
          <w:lang w:val="es-ES_tradnl"/>
        </w:rPr>
        <w:noBreakHyphen/>
        <w:t>Soo, Director Adjunto Superior, y el Sr. Jin</w:t>
      </w:r>
      <w:r w:rsidR="00EC7ED5" w:rsidRPr="00C83BDF">
        <w:rPr>
          <w:lang w:val="es-ES_tradnl"/>
        </w:rPr>
        <w:noBreakHyphen/>
        <w:t>O Yoo, Director Adjunto de la Oficina de Examen de Patentes 1 de la Oficina Surcoreana de Propiedad Intelectual (KIPO), para examinar el sistema de la UPOV para la protección de las obtenciones vegetales.</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EC7ED5" w:rsidRPr="00C83BDF">
        <w:rPr>
          <w:lang w:val="es-ES_tradnl"/>
        </w:rPr>
        <w:t>El 7 de agosto, en Ginebra, la Oficina recibió la visita de la Sra. Flor García, Consejera de la Misión Permanente de Guatemala en la OMC, a fin de examinar el procedimiento de adhesión al Con</w:t>
      </w:r>
      <w:r w:rsidR="00FC3A0C" w:rsidRPr="00C83BDF">
        <w:rPr>
          <w:lang w:val="es-ES_tradnl"/>
        </w:rPr>
        <w:t>venio de la </w:t>
      </w:r>
      <w:r w:rsidR="00EC7ED5" w:rsidRPr="00C83BDF">
        <w:rPr>
          <w:lang w:val="es-ES_tradnl"/>
        </w:rPr>
        <w:t>UPOV.</w:t>
      </w:r>
      <w:r w:rsidR="00E65183" w:rsidRPr="00C83BDF">
        <w:rPr>
          <w:lang w:val="es-ES_tradnl"/>
        </w:rPr>
        <w:t xml:space="preserve"> </w:t>
      </w:r>
    </w:p>
    <w:p w:rsidR="00E65183" w:rsidRPr="00C83BDF" w:rsidRDefault="00E65183" w:rsidP="00E65183">
      <w:pPr>
        <w:rPr>
          <w:lang w:val="es-ES_tradnl"/>
        </w:rPr>
      </w:pPr>
    </w:p>
    <w:p w:rsidR="00E65183" w:rsidRPr="00C83BDF" w:rsidRDefault="00082242" w:rsidP="00E65183">
      <w:pPr>
        <w:rPr>
          <w:rFonts w:cs="Arial"/>
          <w:snapToGrid w:val="0"/>
          <w:color w:val="000000"/>
          <w:lang w:val="es-ES_tradnl" w:eastAsia="ja-JP"/>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EC7ED5" w:rsidRPr="00C83BDF">
        <w:rPr>
          <w:lang w:val="es-ES_tradnl"/>
        </w:rPr>
        <w:t xml:space="preserve">El 7 y el 8 de agosto, en Vientián (República Democrática Popular Lao), la Oficina participó en la </w:t>
      </w:r>
      <w:r w:rsidR="007D1D1A" w:rsidRPr="00C83BDF">
        <w:rPr>
          <w:lang w:val="es-ES_tradnl"/>
        </w:rPr>
        <w:t xml:space="preserve">séptima reunión anual </w:t>
      </w:r>
      <w:r w:rsidR="00EC7ED5" w:rsidRPr="00C83BDF">
        <w:rPr>
          <w:lang w:val="es-ES_tradnl"/>
        </w:rPr>
        <w:t>del Foro de Asia Oriental para la protección de las variedades vegetales (Foro EAPVP), donde presentó una ponencia sobre las “Novedades de la UPOV” y en el Simposio “El fitomejoramiento y la protección de los derechos de obtentor son claves para el desarrollo agrícola”, en el que expuso las ventajas del sistema de protección de las obtenciones vegetales con arreglo al Convenio de la UPOV y la relación entre el Convenio de la UPOV y los otros tratados internacionales.</w:t>
      </w:r>
      <w:r w:rsidR="00B62FB4" w:rsidRPr="00C83BDF">
        <w:rPr>
          <w:rFonts w:cs="Arial"/>
          <w:snapToGrid w:val="0"/>
          <w:color w:val="000000"/>
          <w:lang w:val="es-ES_tradnl"/>
        </w:rPr>
        <w:t xml:space="preserve">  </w:t>
      </w:r>
      <w:r w:rsidR="00EC7ED5" w:rsidRPr="00C83BDF">
        <w:rPr>
          <w:rFonts w:cs="Arial"/>
          <w:snapToGrid w:val="0"/>
          <w:lang w:val="es-ES_tradnl"/>
        </w:rPr>
        <w:t>Asistieron a estas reuniones participantes de los siguientes miembros de la Asociación de Naciones del Sudeste Asiático (ASEAN):</w:t>
      </w:r>
      <w:r w:rsidR="00E65183" w:rsidRPr="00C83BDF">
        <w:rPr>
          <w:rFonts w:cs="Arial"/>
          <w:snapToGrid w:val="0"/>
          <w:color w:val="000000"/>
          <w:lang w:val="es-ES_tradnl"/>
        </w:rPr>
        <w:t xml:space="preserve"> </w:t>
      </w:r>
      <w:r w:rsidR="00EC7ED5" w:rsidRPr="00C83BDF">
        <w:rPr>
          <w:rFonts w:cs="Arial"/>
          <w:snapToGrid w:val="0"/>
          <w:lang w:val="es-ES_tradnl"/>
        </w:rPr>
        <w:t>Brunei Darussalam, Camboya, Filipinas, Indonesia, Malasia, Myanmar, República Popular Democrática de Lao, Singapur, Tailandia y Viet Nam y también China, Japón y República de Corea.</w:t>
      </w:r>
    </w:p>
    <w:p w:rsidR="00E65183" w:rsidRPr="00C83BDF" w:rsidRDefault="00E65183" w:rsidP="00E65183">
      <w:pPr>
        <w:rPr>
          <w:rFonts w:cs="Arial"/>
          <w:snapToGrid w:val="0"/>
          <w:color w:val="000000"/>
          <w:lang w:val="es-ES_tradnl"/>
        </w:rPr>
      </w:pPr>
    </w:p>
    <w:p w:rsidR="00E65183" w:rsidRPr="00C83BDF" w:rsidRDefault="00082242" w:rsidP="00E65183">
      <w:pPr>
        <w:rPr>
          <w:rFonts w:cs="Arial"/>
          <w:lang w:val="es-ES_tradnl" w:eastAsia="ja-JP"/>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EC7ED5" w:rsidRPr="00C83BDF">
        <w:rPr>
          <w:lang w:val="es-ES_tradnl"/>
        </w:rPr>
        <w:t>Del 13 al 21 de agosto, en Tsukuba (Japón), la Oficina participó en el curso de formación “Sistema de control de la calidad de las semillas y plántulas para facilitar la distribución de semillas de alta calidad”, organizado por la Agencia Japonesa de Cooperación Internacional (JICA) en colaboración con el Gobierno del Japón, en el que ofreció conferencias sobre la protección de las obtenciones vegetales en virtud del Convenio de la UPOV.</w:t>
      </w:r>
      <w:r w:rsidR="00E65183" w:rsidRPr="00C83BDF">
        <w:rPr>
          <w:rFonts w:eastAsia="MS Mincho" w:cs="Arial"/>
          <w:lang w:val="es-ES_tradnl" w:eastAsia="ja-JP"/>
        </w:rPr>
        <w:t xml:space="preserve">  </w:t>
      </w:r>
      <w:r w:rsidR="000C1BA1" w:rsidRPr="00C83BDF">
        <w:rPr>
          <w:rFonts w:cs="Arial"/>
          <w:snapToGrid w:val="0"/>
          <w:lang w:val="es-ES_tradnl" w:eastAsia="ja-JP"/>
        </w:rPr>
        <w:t>Asistieron al curso participantes de Burkina Faso, Camboya, Etiopía, Indonesia, Kenya, Malasia, Myanmar, República Democrática Popular Lao, República de Moldova, Sri Lanka y Viet Nam, y se les ofreció la oportunidad de participar en el Curso de la UPOV de enseñanza a distancia DL</w:t>
      </w:r>
      <w:r w:rsidR="000C1BA1" w:rsidRPr="00C83BDF">
        <w:rPr>
          <w:rFonts w:cs="Arial"/>
          <w:snapToGrid w:val="0"/>
          <w:lang w:val="es-ES_tradnl" w:eastAsia="ja-JP"/>
        </w:rPr>
        <w:noBreakHyphen/>
        <w:t>205.</w:t>
      </w:r>
    </w:p>
    <w:p w:rsidR="00E65183" w:rsidRPr="00C83BDF" w:rsidRDefault="00E65183" w:rsidP="00E65183">
      <w:pPr>
        <w:rPr>
          <w:rFonts w:cs="Arial"/>
          <w:lang w:val="es-ES_tradnl" w:eastAsia="ja-JP"/>
        </w:rPr>
      </w:pPr>
    </w:p>
    <w:p w:rsidR="00E65183" w:rsidRPr="00C83BDF" w:rsidRDefault="00082242" w:rsidP="00E65183">
      <w:pPr>
        <w:rPr>
          <w:rFonts w:cs="Arial"/>
          <w:snapToGrid w:val="0"/>
          <w:color w:val="000000"/>
          <w:lang w:val="es-ES_tradnl"/>
        </w:rPr>
      </w:pPr>
      <w:r w:rsidRPr="00C83BDF">
        <w:rPr>
          <w:rFonts w:cs="Arial"/>
          <w:snapToGrid w:val="0"/>
          <w:color w:val="000000"/>
          <w:lang w:val="es-ES_tradnl"/>
        </w:rPr>
        <w:fldChar w:fldCharType="begin"/>
      </w:r>
      <w:r w:rsidR="00E65183" w:rsidRPr="00C83BDF">
        <w:rPr>
          <w:rFonts w:cs="Arial"/>
          <w:snapToGrid w:val="0"/>
          <w:color w:val="000000"/>
          <w:lang w:val="es-ES_tradnl"/>
        </w:rPr>
        <w:instrText xml:space="preserve"> AUTONUM  </w:instrText>
      </w:r>
      <w:r w:rsidRPr="00C83BDF">
        <w:rPr>
          <w:rFonts w:cs="Arial"/>
          <w:snapToGrid w:val="0"/>
          <w:color w:val="000000"/>
          <w:lang w:val="es-ES_tradnl"/>
        </w:rPr>
        <w:fldChar w:fldCharType="end"/>
      </w:r>
      <w:r w:rsidR="00E65183" w:rsidRPr="00C83BDF">
        <w:rPr>
          <w:rFonts w:cs="Arial"/>
          <w:snapToGrid w:val="0"/>
          <w:color w:val="000000"/>
          <w:lang w:val="es-ES_tradnl"/>
        </w:rPr>
        <w:tab/>
      </w:r>
      <w:r w:rsidR="000C1BA1" w:rsidRPr="00C83BDF">
        <w:rPr>
          <w:rFonts w:cs="Arial"/>
          <w:snapToGrid w:val="0"/>
          <w:lang w:val="es-ES_tradnl"/>
        </w:rPr>
        <w:t>El 18 de agosto, en Ginebra, la Oficina participó en una reunión por Internet con el Sr. Shakeel Bhatti, Secretario del ITPGRFA, y el Sr. Carsten Fink, Economista Jefe de la División de Economía y Estadística de la OMPI, con miras a la elaboración de una publicación conjunta sobre las cuestiones interrelacionadas en los ámbitos la innovación y los recursos fitogenéticos y otras posibles iniciativas.</w:t>
      </w:r>
      <w:r w:rsidR="00E65183" w:rsidRPr="00C83BDF">
        <w:rPr>
          <w:lang w:val="es-ES_tradnl"/>
        </w:rPr>
        <w:t xml:space="preserve"> </w:t>
      </w:r>
    </w:p>
    <w:p w:rsidR="00E65183" w:rsidRPr="00C83BDF" w:rsidRDefault="00E65183" w:rsidP="00E65183">
      <w:pPr>
        <w:rPr>
          <w:rFonts w:cs="Arial"/>
          <w:snapToGrid w:val="0"/>
          <w:color w:val="000000"/>
          <w:lang w:val="es-ES_tradnl"/>
        </w:rPr>
      </w:pPr>
    </w:p>
    <w:p w:rsidR="00E65183" w:rsidRPr="00C83BDF" w:rsidRDefault="00082242" w:rsidP="00E65183">
      <w:pPr>
        <w:rPr>
          <w:lang w:val="es-ES_tradnl"/>
        </w:rPr>
      </w:pPr>
      <w:r w:rsidRPr="00C83BDF">
        <w:rPr>
          <w:rFonts w:cs="Arial"/>
          <w:snapToGrid w:val="0"/>
          <w:color w:val="000000"/>
          <w:lang w:val="es-ES_tradnl"/>
        </w:rPr>
        <w:fldChar w:fldCharType="begin"/>
      </w:r>
      <w:r w:rsidR="00E65183" w:rsidRPr="00C83BDF">
        <w:rPr>
          <w:rFonts w:cs="Arial"/>
          <w:snapToGrid w:val="0"/>
          <w:color w:val="000000"/>
          <w:lang w:val="es-ES_tradnl"/>
        </w:rPr>
        <w:instrText xml:space="preserve"> AUTONUM  </w:instrText>
      </w:r>
      <w:r w:rsidRPr="00C83BDF">
        <w:rPr>
          <w:rFonts w:cs="Arial"/>
          <w:snapToGrid w:val="0"/>
          <w:color w:val="000000"/>
          <w:lang w:val="es-ES_tradnl"/>
        </w:rPr>
        <w:fldChar w:fldCharType="end"/>
      </w:r>
      <w:r w:rsidR="00E65183" w:rsidRPr="00C83BDF">
        <w:rPr>
          <w:rFonts w:cs="Arial"/>
          <w:snapToGrid w:val="0"/>
          <w:color w:val="000000"/>
          <w:lang w:val="es-ES_tradnl"/>
        </w:rPr>
        <w:tab/>
      </w:r>
      <w:r w:rsidR="00CF3A3B" w:rsidRPr="00C83BDF">
        <w:rPr>
          <w:lang w:val="es-ES_tradnl"/>
        </w:rPr>
        <w:t xml:space="preserve">Del 25 al 29 de agosto, en la ciudad de México, la Oficina ofreció conferencias en el </w:t>
      </w:r>
      <w:r w:rsidR="00CF3A3B" w:rsidRPr="00C83BDF">
        <w:rPr>
          <w:rFonts w:cs="Arial"/>
          <w:snapToGrid w:val="0"/>
          <w:lang w:val="es-ES_tradnl"/>
        </w:rPr>
        <w:t xml:space="preserve">“Seminario sobre </w:t>
      </w:r>
      <w:r w:rsidR="00DA1ACF" w:rsidRPr="00C83BDF">
        <w:rPr>
          <w:rFonts w:cs="Arial"/>
          <w:snapToGrid w:val="0"/>
          <w:lang w:val="es-ES_tradnl"/>
        </w:rPr>
        <w:t>protección al derecho de obtentor</w:t>
      </w:r>
      <w:r w:rsidR="00CF3A3B" w:rsidRPr="00C83BDF">
        <w:rPr>
          <w:rFonts w:cs="Arial"/>
          <w:snapToGrid w:val="0"/>
          <w:lang w:val="es-ES_tradnl"/>
        </w:rPr>
        <w:t xml:space="preserve">” </w:t>
      </w:r>
      <w:r w:rsidR="00CF3A3B" w:rsidRPr="00C83BDF">
        <w:rPr>
          <w:lang w:val="es-ES_tradnl"/>
        </w:rPr>
        <w:t>y el “</w:t>
      </w:r>
      <w:r w:rsidR="00CF3A3B" w:rsidRPr="00C83BDF">
        <w:rPr>
          <w:rFonts w:cs="Arial"/>
          <w:snapToGrid w:val="0"/>
          <w:lang w:val="es-ES_tradnl"/>
        </w:rPr>
        <w:t>X</w:t>
      </w:r>
      <w:r w:rsidR="00E853D8" w:rsidRPr="00C83BDF">
        <w:rPr>
          <w:rFonts w:cs="Arial"/>
          <w:snapToGrid w:val="0"/>
          <w:lang w:val="es-ES_tradnl"/>
        </w:rPr>
        <w:t> </w:t>
      </w:r>
      <w:r w:rsidR="00CF3A3B" w:rsidRPr="00C83BDF">
        <w:rPr>
          <w:rFonts w:cs="Arial"/>
          <w:snapToGrid w:val="0"/>
          <w:lang w:val="es-ES_tradnl"/>
        </w:rPr>
        <w:t xml:space="preserve">Taller </w:t>
      </w:r>
      <w:r w:rsidR="00DA1ACF" w:rsidRPr="00C83BDF">
        <w:rPr>
          <w:rFonts w:cs="Arial"/>
          <w:snapToGrid w:val="0"/>
          <w:lang w:val="es-ES_tradnl"/>
        </w:rPr>
        <w:t xml:space="preserve">internacional de evaluación de la distinción, homogeneidad y estabilidad </w:t>
      </w:r>
      <w:r w:rsidR="00CF3A3B" w:rsidRPr="00C83BDF">
        <w:rPr>
          <w:rFonts w:cs="Arial"/>
          <w:snapToGrid w:val="0"/>
          <w:lang w:val="es-ES_tradnl"/>
        </w:rPr>
        <w:t xml:space="preserve">(DHE) de </w:t>
      </w:r>
      <w:r w:rsidR="00DA1ACF" w:rsidRPr="00C83BDF">
        <w:rPr>
          <w:rFonts w:cs="Arial"/>
          <w:snapToGrid w:val="0"/>
          <w:lang w:val="es-ES_tradnl"/>
        </w:rPr>
        <w:t>variedades vegetales</w:t>
      </w:r>
      <w:r w:rsidR="00CF3A3B" w:rsidRPr="00C83BDF">
        <w:rPr>
          <w:lang w:val="es-ES_tradnl"/>
        </w:rPr>
        <w:t>”.</w:t>
      </w:r>
      <w:r w:rsidR="00E65183" w:rsidRPr="00C83BDF">
        <w:rPr>
          <w:rFonts w:cs="Arial"/>
          <w:snapToGrid w:val="0"/>
          <w:lang w:val="es-ES_tradnl"/>
        </w:rPr>
        <w:t xml:space="preserve">  </w:t>
      </w:r>
      <w:r w:rsidR="00CF3A3B" w:rsidRPr="00C83BDF">
        <w:rPr>
          <w:rFonts w:cs="Arial"/>
          <w:lang w:val="es-ES_tradnl"/>
        </w:rPr>
        <w:t>Asistieron al seminario y el taller participantes de Brasil, Chile, Colombia, México y Paraguay.</w:t>
      </w:r>
      <w:r w:rsidR="00E65183" w:rsidRPr="00C83BDF">
        <w:rPr>
          <w:rFonts w:cs="Arial"/>
          <w:lang w:val="es-ES_tradnl"/>
        </w:rPr>
        <w:t xml:space="preserve"> </w:t>
      </w:r>
    </w:p>
    <w:p w:rsidR="00E65183" w:rsidRPr="00C83BDF" w:rsidRDefault="00E65183" w:rsidP="00E65183">
      <w:pPr>
        <w:rPr>
          <w:rFonts w:cs="Arial"/>
          <w:snapToGrid w:val="0"/>
          <w:color w:val="000000"/>
          <w:lang w:val="es-ES_tradnl"/>
        </w:rPr>
      </w:pPr>
    </w:p>
    <w:p w:rsidR="00E65183" w:rsidRPr="00C83BDF" w:rsidRDefault="00082242" w:rsidP="00E65183">
      <w:pPr>
        <w:rPr>
          <w:snapToGrid w:val="0"/>
          <w:color w:val="000000"/>
          <w:lang w:val="es-ES_tradnl" w:eastAsia="ja-JP"/>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CF3A3B" w:rsidRPr="00C83BDF">
        <w:rPr>
          <w:rFonts w:cs="Arial"/>
          <w:lang w:val="es-ES_tradnl" w:eastAsia="ja-JP"/>
        </w:rPr>
        <w:t xml:space="preserve">El 22 de agosto, en Kasaoka (Japón), la Oficina presentó una ponencia en </w:t>
      </w:r>
      <w:r w:rsidR="005A38E3" w:rsidRPr="00C83BDF">
        <w:rPr>
          <w:rFonts w:cs="Arial"/>
          <w:lang w:val="es-ES_tradnl" w:eastAsia="ja-JP"/>
        </w:rPr>
        <w:t xml:space="preserve">la Estación Nishi Nihon del Centro Nacional de Semillas y Plántulas (NCSS) </w:t>
      </w:r>
      <w:r w:rsidR="00CF3A3B" w:rsidRPr="00C83BDF">
        <w:rPr>
          <w:rFonts w:cs="Arial"/>
          <w:lang w:val="es-ES_tradnl" w:eastAsia="ja-JP"/>
        </w:rPr>
        <w:t>sobre las novedades que se han producido en la UPOV.</w:t>
      </w:r>
      <w:r w:rsidR="00E65183" w:rsidRPr="00C83BDF">
        <w:rPr>
          <w:snapToGrid w:val="0"/>
          <w:color w:val="000000"/>
          <w:lang w:val="es-ES_tradnl" w:eastAsia="ja-JP"/>
        </w:rPr>
        <w:t xml:space="preserve">  </w:t>
      </w:r>
      <w:r w:rsidR="00CF3A3B" w:rsidRPr="00C83BDF">
        <w:rPr>
          <w:snapToGrid w:val="0"/>
          <w:lang w:val="es-ES_tradnl" w:eastAsia="ja-JP"/>
        </w:rPr>
        <w:t>Asistieron a la sesión expertos en el examen DHE de dicha estación.</w:t>
      </w:r>
    </w:p>
    <w:p w:rsidR="00E65183" w:rsidRPr="00C83BDF" w:rsidRDefault="00E65183" w:rsidP="00E65183">
      <w:pPr>
        <w:rPr>
          <w:rFonts w:cs="Arial"/>
          <w:snapToGrid w:val="0"/>
          <w:color w:val="000000"/>
          <w:lang w:val="es-ES_tradnl" w:eastAsia="ja-JP"/>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CF3A3B" w:rsidRPr="00C83BDF">
        <w:rPr>
          <w:lang w:val="es-ES_tradnl"/>
        </w:rPr>
        <w:t>El 3 de septiembre, en Ginebra, la Oficina se reunió con el Prof. John Humphrey, Decano Administrativo de la Facultad de Derecho, y el Prof. Kamal Puri, Profesor de Propiedad Intelectual y Director de la Maestría OMPI</w:t>
      </w:r>
      <w:r w:rsidR="00CF3A3B" w:rsidRPr="00C83BDF">
        <w:rPr>
          <w:lang w:val="es-ES_tradnl"/>
        </w:rPr>
        <w:noBreakHyphen/>
        <w:t>QUT en Derecho de la Propiedad Intelectual</w:t>
      </w:r>
      <w:r w:rsidR="00382771" w:rsidRPr="00C83BDF">
        <w:rPr>
          <w:lang w:val="es-ES_tradnl"/>
        </w:rPr>
        <w:t xml:space="preserve"> de la</w:t>
      </w:r>
      <w:r w:rsidR="00CF3A3B" w:rsidRPr="00C83BDF">
        <w:rPr>
          <w:lang w:val="es-ES_tradnl"/>
        </w:rPr>
        <w:t xml:space="preserve"> QUT de Brisbane (Australia).</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CF3A3B" w:rsidRPr="00C83BDF">
        <w:rPr>
          <w:lang w:val="es-ES_tradnl"/>
        </w:rPr>
        <w:t>El 22 de septiembre, la Oficina participó en una teleconferencia con el Sr. Milan Kondic, la Sra. Valerie Erica Marechal y el Sr. Robert De Lescaille del Banco Mundial y la Corporación Financiera Internacional.</w:t>
      </w:r>
      <w:r w:rsidR="00E65183" w:rsidRPr="00C83BDF">
        <w:rPr>
          <w:lang w:val="es-ES_tradnl"/>
        </w:rPr>
        <w:t xml:space="preserve">  </w:t>
      </w:r>
      <w:r w:rsidR="00CF3A3B" w:rsidRPr="00C83BDF">
        <w:rPr>
          <w:lang w:val="es-ES_tradnl"/>
        </w:rPr>
        <w:t>El Sr. Kondic informó sobre la elaboración del proyecto “Estudio Comparativo del Clima de Negocios en Agricultura” (</w:t>
      </w:r>
      <w:r w:rsidR="00CF3A3B" w:rsidRPr="00C83BDF">
        <w:rPr>
          <w:i/>
          <w:lang w:val="es-ES_tradnl"/>
        </w:rPr>
        <w:t>Benchmarking the Business of Agriculture</w:t>
      </w:r>
      <w:r w:rsidR="00CF3A3B" w:rsidRPr="00C83BDF">
        <w:rPr>
          <w:lang w:val="es-ES_tradnl"/>
        </w:rPr>
        <w:t>, BBA).</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CF3A3B" w:rsidRPr="00C83BDF">
        <w:rPr>
          <w:lang w:val="es-ES_tradnl"/>
        </w:rPr>
        <w:t>El 23 de septiembre, en Ginebra, la Oficina recibió la visita de la Sra. Susan H. Bragdon, Representante de Alimentos y Sostenibilidad, y el Sr. David Elliott, Auxiliar del Programa de Alimentos y Sostenibilidad y Cambio Climático de la QUNO, en relación con el procedimiento de concesión de la condición de observador ante los órganos de la UPOV.</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CF3A3B" w:rsidRPr="00C83BDF">
        <w:rPr>
          <w:lang w:val="es-ES_tradnl"/>
        </w:rPr>
        <w:t>Los días 23 y 24 de septiembre, en París (Francia), la Oficina asistió a una Reunión del Grupo de Trabajo Técnico y a la reunión anual del Sistema de la OCDE para las semillas y plantas forestales.</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CF3A3B" w:rsidRPr="00C83BDF">
        <w:rPr>
          <w:lang w:val="es-ES_tradnl"/>
        </w:rPr>
        <w:t>Del 23 al 25 de septiembre, en Namur (Bélgica), la Oficina asistió a “</w:t>
      </w:r>
      <w:r w:rsidR="00CF3A3B" w:rsidRPr="00C83BDF">
        <w:rPr>
          <w:i/>
          <w:lang w:val="es-ES_tradnl"/>
        </w:rPr>
        <w:t>Le Forum francophone de l’innovation</w:t>
      </w:r>
      <w:r w:rsidR="00CF3A3B" w:rsidRPr="00C83BDF">
        <w:rPr>
          <w:lang w:val="es-ES_tradnl"/>
        </w:rPr>
        <w:t xml:space="preserve">”, organizado por la </w:t>
      </w:r>
      <w:r w:rsidR="00CF3A3B" w:rsidRPr="00C83BDF">
        <w:rPr>
          <w:i/>
          <w:lang w:val="es-ES_tradnl"/>
        </w:rPr>
        <w:t xml:space="preserve">Organisation internationale de la </w:t>
      </w:r>
      <w:r w:rsidR="00BF330D" w:rsidRPr="00C83BDF">
        <w:rPr>
          <w:i/>
          <w:lang w:val="es-ES_tradnl"/>
        </w:rPr>
        <w:t>francophonie</w:t>
      </w:r>
      <w:r w:rsidR="00BF330D" w:rsidRPr="00C83BDF">
        <w:rPr>
          <w:lang w:val="es-ES_tradnl"/>
        </w:rPr>
        <w:t xml:space="preserve"> </w:t>
      </w:r>
      <w:r w:rsidR="00CF3A3B" w:rsidRPr="00C83BDF">
        <w:rPr>
          <w:lang w:val="es-ES_tradnl"/>
        </w:rPr>
        <w:t>(OIF).</w:t>
      </w:r>
      <w:r w:rsidR="00D94EA2" w:rsidRPr="00C83BDF">
        <w:rPr>
          <w:lang w:val="es-ES_tradnl"/>
        </w:rPr>
        <w:t xml:space="preserve">  </w:t>
      </w:r>
      <w:r w:rsidR="00CF3A3B" w:rsidRPr="00C83BDF">
        <w:rPr>
          <w:lang w:val="es-ES_tradnl"/>
        </w:rPr>
        <w:t>La Oficina presentó una ponencia titulada “Introducción a la UPOV” en el taller de innovación en la agricultura.</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CF3A3B" w:rsidRPr="00C83BDF">
        <w:rPr>
          <w:lang w:val="es-ES_tradnl"/>
        </w:rPr>
        <w:t xml:space="preserve">El 24 de septiembre, en Ginebra, la Oficina presentó una ponencia sobre la UPOV en una reunión de directores de oficinas de la propiedad intelectual de los países del Caribe, con la presencia de participantes de Antigua y Barbuda, Belice, Dominica, Granada, Haití, Jamaica, Saint Kitts y Nevis, Santa Lucía y </w:t>
      </w:r>
      <w:r w:rsidR="00E11F4C" w:rsidRPr="00C83BDF">
        <w:rPr>
          <w:lang w:val="es-ES_tradnl"/>
        </w:rPr>
        <w:t>Trinidad y Tabago</w:t>
      </w:r>
      <w:r w:rsidR="00CF3A3B" w:rsidRPr="00C83BDF">
        <w:rPr>
          <w:lang w:val="es-ES_tradnl"/>
        </w:rPr>
        <w:t>.</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CF3A3B" w:rsidRPr="00C83BDF">
        <w:rPr>
          <w:lang w:val="es-ES_tradnl"/>
        </w:rPr>
        <w:t xml:space="preserve">El 25 de septiembre, en Ginebra, la Oficina recibió la visita del Sr. Regan Asgarali, Controlador (Ag.), y el Sr. Richard Aching, Director de Examen Técnico de la Oficina de la Propiedad Intelectual de </w:t>
      </w:r>
      <w:r w:rsidR="00E11F4C" w:rsidRPr="00C83BDF">
        <w:rPr>
          <w:lang w:val="es-ES_tradnl"/>
        </w:rPr>
        <w:t>Trinidad y Tabago</w:t>
      </w:r>
      <w:r w:rsidR="00CF3A3B" w:rsidRPr="00C83BDF">
        <w:rPr>
          <w:lang w:val="es-ES_tradnl"/>
        </w:rPr>
        <w:t>, con quienes examinó las actividades de cooperación.</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CF3A3B" w:rsidRPr="00C83BDF">
        <w:rPr>
          <w:lang w:val="es-ES_tradnl"/>
        </w:rPr>
        <w:t>El 25 de septiembre, en Ginebra, la Oficina recibió la visita del Sr. Mir Yaqub Seyidov, Director de la Oficina de Patentes del Comité Estatal de Normalización, Metrología y Patentes de la República de Azerbaiyán, Representante ante el Consejo de la UPOV, y del Sr. Niyazi Rahimov, Director Administrativo Adjunto.</w:t>
      </w:r>
      <w:r w:rsidR="00E65183" w:rsidRPr="00C83BDF">
        <w:rPr>
          <w:lang w:val="es-ES_tradnl"/>
        </w:rPr>
        <w:t xml:space="preserve">  </w:t>
      </w:r>
      <w:r w:rsidR="00CF3A3B" w:rsidRPr="00C83BDF">
        <w:rPr>
          <w:lang w:val="es-ES_tradnl"/>
        </w:rPr>
        <w:t>Los acompañaba el Sr. Ilya Gribkov, Administrador del Programa del Departamento para los Países en Transición y Países Desarrollados (TDC) de la OMPI.</w:t>
      </w:r>
      <w:r w:rsidR="00E65183" w:rsidRPr="00C83BDF">
        <w:rPr>
          <w:lang w:val="es-ES_tradnl"/>
        </w:rPr>
        <w:t xml:space="preserve">  </w:t>
      </w:r>
      <w:r w:rsidR="00CF3A3B" w:rsidRPr="00C83BDF">
        <w:rPr>
          <w:lang w:val="es-ES_tradnl"/>
        </w:rPr>
        <w:t>La Oficina facilitó información sobre la UPOV, incluidos los aspectos legislativos.</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CF3A3B" w:rsidRPr="00C83BDF">
        <w:rPr>
          <w:lang w:val="es-ES_tradnl"/>
        </w:rPr>
        <w:t>El 26 de septiembre, en Ginebra, la Oficina recibió la visita del Sr. Twebaze Bemanya, Registrador General, la Sra. Judy Obitre-Gama, Secretaria del Consejo, y del Sr. Gilbert Agaba, Funcionario Superior de Registro, Derechos de Propiedad Intelectual de la Oficina de Servicios de Registro de Uganda (URSB), para examinar las últimas novedades que se han producido en relación con el proyecto de ley de protección de las obtenciones vegetales de Uganda.</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BB0106" w:rsidRPr="00C83BDF">
        <w:rPr>
          <w:lang w:val="es-ES_tradnl"/>
        </w:rPr>
        <w:t>El 29 de septiembre, en Ginebra, la Oficina recibió la visita del Sr. Berhanu Adello, Director General de la Oficina de la Propiedad Intelectual de Etiopía (EIPO), acompañado por el Sr. Kifle Shenkoru, Director de la División de Países Menos Adelantados de la OMPI, para examinar la situación de la protección de las obtenciones vegetales en Etiopía.</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BB0106" w:rsidRPr="00C83BDF">
        <w:rPr>
          <w:lang w:val="es-ES_tradnl"/>
        </w:rPr>
        <w:t xml:space="preserve">El 29 de septiembre, en Ginebra, la Oficina se reunió con el Sr. Maurice Batanga, </w:t>
      </w:r>
      <w:r w:rsidR="00BB0106" w:rsidRPr="00C83BDF">
        <w:rPr>
          <w:i/>
          <w:lang w:val="es-ES_tradnl"/>
        </w:rPr>
        <w:t xml:space="preserve">Chef de service de la </w:t>
      </w:r>
      <w:r w:rsidR="00233AB9" w:rsidRPr="00C83BDF">
        <w:rPr>
          <w:i/>
          <w:lang w:val="es-ES_tradnl"/>
        </w:rPr>
        <w:t>coopération</w:t>
      </w:r>
      <w:r w:rsidR="00BB0106" w:rsidRPr="00C83BDF">
        <w:rPr>
          <w:i/>
          <w:lang w:val="es-ES_tradnl"/>
        </w:rPr>
        <w:t xml:space="preserve"> et des affaires juridiques</w:t>
      </w:r>
      <w:r w:rsidR="00BB0106" w:rsidRPr="00C83BDF">
        <w:rPr>
          <w:lang w:val="es-ES_tradnl"/>
        </w:rPr>
        <w:t xml:space="preserve"> de la OAPI, y examinó las últimas novedades que se han producido en la OAPI y la UPOV.</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BB0106" w:rsidRPr="00C83BDF">
        <w:rPr>
          <w:lang w:val="es-ES_tradnl"/>
        </w:rPr>
        <w:t>El 29 de septiembre, en Ginebra, la Oficina recibió la visita del Sr. Fernando António Dos Santos, Director General, y del Sr. Christopher Kiige, Director de la Propiedad Industrial de la ARIPO, para examinar las actividades de cooperación.</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BB0106" w:rsidRPr="00C83BDF">
        <w:rPr>
          <w:lang w:val="es-ES_tradnl"/>
        </w:rPr>
        <w:t>El 29 de septiembre, en Ginebra, la Oficina recibió la visita del Sr. Abdelhafiz Ibrahim Abdelmonim, Asesor Jurídico del Consejo para la Protección de los Derechos de Autor, Derechos Relacionados y Obras Artísticas y Literarias del Ministerio de Cultura del Sudán, y del Sr. Yasser Kbashi, Funcionario Ejecutivo de la Oficina Ejecutiva del Ministro, Ministerio de Cultura del Sudán.</w:t>
      </w:r>
      <w:r w:rsidR="00E65183" w:rsidRPr="00C83BDF">
        <w:rPr>
          <w:lang w:val="es-ES_tradnl"/>
        </w:rPr>
        <w:t xml:space="preserve">  </w:t>
      </w:r>
      <w:r w:rsidR="00BB0106" w:rsidRPr="00C83BDF">
        <w:rPr>
          <w:lang w:val="es-ES_tradnl"/>
        </w:rPr>
        <w:t>La Oficina facilitó información sobre la UPOV, incluida la relativa a la protección de las obtenciones vegetales.</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407569" w:rsidRPr="00C83BDF">
        <w:rPr>
          <w:lang w:val="es-ES_tradnl"/>
        </w:rPr>
        <w:t>El 30 de septiembre, en Ginebra, la Oficina recibió la visita de la Sra. Grace Issahaque, Fiscal Principal del Estado (Ghana), y examinó las últimas novedades que se han producido en Ghana.</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2E5B9D" w:rsidRPr="00C83BDF">
        <w:rPr>
          <w:lang w:val="es-ES_tradnl"/>
        </w:rPr>
        <w:t>El 2 de octubre, en Ginebra, la Oficina se reunió con el Sr. </w:t>
      </w:r>
      <w:r w:rsidR="002E5B9D" w:rsidRPr="00C83BDF">
        <w:rPr>
          <w:rFonts w:cs="Arial"/>
          <w:lang w:val="es-ES_tradnl"/>
        </w:rPr>
        <w:t>Marco Marzano de</w:t>
      </w:r>
      <w:r w:rsidR="003F0D12" w:rsidRPr="00C83BDF">
        <w:rPr>
          <w:rFonts w:cs="Arial"/>
          <w:lang w:val="es-ES_tradnl"/>
        </w:rPr>
        <w:t> </w:t>
      </w:r>
      <w:r w:rsidR="002E5B9D" w:rsidRPr="00C83BDF">
        <w:rPr>
          <w:rFonts w:cs="Arial"/>
          <w:lang w:val="es-ES_tradnl"/>
        </w:rPr>
        <w:t xml:space="preserve">Marinis, Director Ejecutivo, el Sr. Ron Bonnett, miembro de la Junta Directiva (Canadá), y el Sr. Luis Miguel Etchevehere, miembro de la Junta Directiva (Argentina) de la </w:t>
      </w:r>
      <w:r w:rsidR="0019698C" w:rsidRPr="00C83BDF">
        <w:rPr>
          <w:lang w:val="es-ES_tradnl"/>
        </w:rPr>
        <w:t xml:space="preserve">OMA </w:t>
      </w:r>
      <w:r w:rsidR="002E5B9D" w:rsidRPr="00C83BDF">
        <w:rPr>
          <w:rFonts w:cs="Arial"/>
          <w:lang w:val="es-ES_tradnl"/>
        </w:rPr>
        <w:t xml:space="preserve">para analizar las novedades que se han producido en la </w:t>
      </w:r>
      <w:r w:rsidR="0019698C" w:rsidRPr="00C83BDF">
        <w:rPr>
          <w:lang w:val="es-ES_tradnl"/>
        </w:rPr>
        <w:t>OMA</w:t>
      </w:r>
      <w:r w:rsidR="002E5B9D" w:rsidRPr="00C83BDF">
        <w:rPr>
          <w:rFonts w:cs="Arial"/>
          <w:lang w:val="es-ES_tradnl"/>
        </w:rPr>
        <w:t xml:space="preserve"> y la UPOV.</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2E5B9D" w:rsidRPr="00C83BDF">
        <w:rPr>
          <w:lang w:val="es-ES_tradnl"/>
        </w:rPr>
        <w:t>El 2 de octubre, en Bruselas (Bélgica), la Oficina asistió a una reunión del Consejo Administrativo de la OCVV.</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2E5B9D" w:rsidRPr="00C83BDF">
        <w:rPr>
          <w:rFonts w:cs="Arial"/>
          <w:snapToGrid w:val="0"/>
          <w:lang w:val="es-ES_tradnl"/>
        </w:rPr>
        <w:t xml:space="preserve">El 21 de octubre, en Valencia (España), la Oficina participó en </w:t>
      </w:r>
      <w:r w:rsidR="00E30407" w:rsidRPr="00C83BDF">
        <w:rPr>
          <w:rFonts w:cs="Arial"/>
          <w:snapToGrid w:val="0"/>
          <w:lang w:val="es-ES_tradnl"/>
        </w:rPr>
        <w:t>un</w:t>
      </w:r>
      <w:r w:rsidR="002E5B9D" w:rsidRPr="00C83BDF">
        <w:rPr>
          <w:rFonts w:cs="Arial"/>
          <w:snapToGrid w:val="0"/>
          <w:lang w:val="es-ES_tradnl"/>
        </w:rPr>
        <w:t xml:space="preserve">a </w:t>
      </w:r>
      <w:r w:rsidR="004215EB" w:rsidRPr="00C83BDF">
        <w:rPr>
          <w:rFonts w:cs="Arial"/>
          <w:snapToGrid w:val="0"/>
          <w:lang w:val="es-ES_tradnl"/>
        </w:rPr>
        <w:t>Jornada</w:t>
      </w:r>
      <w:r w:rsidR="00E30407" w:rsidRPr="00C83BDF">
        <w:rPr>
          <w:rFonts w:cs="Arial"/>
          <w:snapToGrid w:val="0"/>
          <w:lang w:val="es-ES_tradnl"/>
        </w:rPr>
        <w:t xml:space="preserve"> </w:t>
      </w:r>
      <w:r w:rsidR="002E5B9D" w:rsidRPr="00C83BDF">
        <w:rPr>
          <w:rFonts w:cs="Arial"/>
          <w:snapToGrid w:val="0"/>
          <w:lang w:val="es-ES_tradnl"/>
        </w:rPr>
        <w:t>de puertas abiertas de</w:t>
      </w:r>
      <w:r w:rsidR="00E30407" w:rsidRPr="00C83BDF">
        <w:rPr>
          <w:rFonts w:cs="Arial"/>
          <w:snapToGrid w:val="0"/>
          <w:lang w:val="es-ES_tradnl"/>
        </w:rPr>
        <w:t>dicada a las</w:t>
      </w:r>
      <w:r w:rsidR="002E5B9D" w:rsidRPr="00C83BDF">
        <w:rPr>
          <w:rFonts w:cs="Arial"/>
          <w:snapToGrid w:val="0"/>
          <w:lang w:val="es-ES_tradnl"/>
        </w:rPr>
        <w:t xml:space="preserve"> variedades hortícolas, organizada conjuntamente por la OCVV, la OEVV y el Instituto Nacional de Investigación y Tecnología Agraria y Alimentaria (INIA)</w:t>
      </w:r>
      <w:r w:rsidR="00CD1B3B" w:rsidRPr="00C83BDF">
        <w:rPr>
          <w:rFonts w:cs="Arial"/>
          <w:snapToGrid w:val="0"/>
          <w:lang w:val="es-ES_tradnl"/>
        </w:rPr>
        <w:t xml:space="preserve"> de España</w:t>
      </w:r>
      <w:r w:rsidR="002E5B9D" w:rsidRPr="00C83BDF">
        <w:rPr>
          <w:rFonts w:cs="Arial"/>
          <w:snapToGrid w:val="0"/>
          <w:lang w:val="es-ES_tradnl"/>
        </w:rPr>
        <w:t>.</w:t>
      </w:r>
    </w:p>
    <w:p w:rsidR="00E65183" w:rsidRPr="00C83BDF" w:rsidRDefault="00E65183" w:rsidP="00E65183">
      <w:pPr>
        <w:rPr>
          <w:lang w:val="es-ES_tradnl"/>
        </w:rPr>
      </w:pPr>
    </w:p>
    <w:p w:rsidR="00E65183" w:rsidRPr="00C83BDF" w:rsidRDefault="00082242" w:rsidP="00E65183">
      <w:pPr>
        <w:rPr>
          <w:rFonts w:cs="Arial"/>
          <w:iCs/>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FC6714" w:rsidRPr="00C83BDF">
        <w:rPr>
          <w:rFonts w:cs="Arial"/>
          <w:iCs/>
          <w:lang w:val="es-ES_tradnl"/>
        </w:rPr>
        <w:t xml:space="preserve">Los días 23 y 24 de octubre, en Santiago (Chile), la Oficina </w:t>
      </w:r>
      <w:r w:rsidR="00FC6714" w:rsidRPr="00C83BDF">
        <w:rPr>
          <w:rFonts w:cs="Arial"/>
          <w:snapToGrid w:val="0"/>
          <w:lang w:val="es-ES_tradnl"/>
        </w:rPr>
        <w:t xml:space="preserve">participó en una serie de reuniones con el Ministerio de Agricultura y en un taller con la Asociación Nacional de </w:t>
      </w:r>
      <w:r w:rsidR="001D4B97" w:rsidRPr="00C83BDF">
        <w:rPr>
          <w:rFonts w:cs="Arial"/>
          <w:snapToGrid w:val="0"/>
          <w:lang w:val="es-ES_tradnl"/>
        </w:rPr>
        <w:t xml:space="preserve">Productores de </w:t>
      </w:r>
      <w:r w:rsidR="00FC6714" w:rsidRPr="00C83BDF">
        <w:rPr>
          <w:rFonts w:cs="Arial"/>
          <w:snapToGrid w:val="0"/>
          <w:lang w:val="es-ES_tradnl"/>
        </w:rPr>
        <w:t xml:space="preserve">Semillas de Chile para explicar </w:t>
      </w:r>
      <w:r w:rsidR="003B2891" w:rsidRPr="00C83BDF">
        <w:rPr>
          <w:rFonts w:cs="Arial"/>
          <w:iCs/>
          <w:lang w:val="es-ES_tradnl"/>
        </w:rPr>
        <w:t>l</w:t>
      </w:r>
      <w:r w:rsidR="006B235F" w:rsidRPr="00C83BDF">
        <w:rPr>
          <w:rFonts w:cs="Arial"/>
          <w:iCs/>
          <w:lang w:val="es-ES_tradnl"/>
        </w:rPr>
        <w:t>a</w:t>
      </w:r>
      <w:r w:rsidR="003B2891" w:rsidRPr="00C83BDF">
        <w:rPr>
          <w:rFonts w:cs="Arial"/>
          <w:iCs/>
          <w:lang w:val="es-ES_tradnl"/>
        </w:rPr>
        <w:t xml:space="preserve">s </w:t>
      </w:r>
      <w:r w:rsidR="006B235F" w:rsidRPr="00C83BDF">
        <w:rPr>
          <w:rFonts w:cs="Arial"/>
          <w:iCs/>
          <w:lang w:val="es-ES_tradnl"/>
        </w:rPr>
        <w:t>características</w:t>
      </w:r>
      <w:r w:rsidR="003B2891" w:rsidRPr="00C83BDF">
        <w:rPr>
          <w:rFonts w:cs="Arial"/>
          <w:iCs/>
          <w:lang w:val="es-ES_tradnl"/>
        </w:rPr>
        <w:t xml:space="preserve"> </w:t>
      </w:r>
      <w:r w:rsidR="006B235F" w:rsidRPr="00C83BDF">
        <w:rPr>
          <w:rFonts w:cs="Arial"/>
          <w:iCs/>
          <w:lang w:val="es-ES_tradnl"/>
        </w:rPr>
        <w:t>fundamentales</w:t>
      </w:r>
      <w:r w:rsidR="003B2891" w:rsidRPr="00C83BDF">
        <w:rPr>
          <w:rFonts w:cs="Arial"/>
          <w:iCs/>
          <w:lang w:val="es-ES_tradnl"/>
        </w:rPr>
        <w:t xml:space="preserve"> </w:t>
      </w:r>
      <w:r w:rsidR="003B2891" w:rsidRPr="00C83BDF">
        <w:rPr>
          <w:rFonts w:cs="Arial"/>
          <w:snapToGrid w:val="0"/>
          <w:lang w:val="es-ES_tradnl"/>
        </w:rPr>
        <w:t>del</w:t>
      </w:r>
      <w:r w:rsidR="00FC6714" w:rsidRPr="00C83BDF">
        <w:rPr>
          <w:rFonts w:cs="Arial"/>
          <w:snapToGrid w:val="0"/>
          <w:lang w:val="es-ES_tradnl"/>
        </w:rPr>
        <w:t xml:space="preserve"> Acta </w:t>
      </w:r>
      <w:r w:rsidR="003B2891" w:rsidRPr="00C83BDF">
        <w:rPr>
          <w:rFonts w:cs="Arial"/>
          <w:snapToGrid w:val="0"/>
          <w:lang w:val="es-ES_tradnl"/>
        </w:rPr>
        <w:t>de </w:t>
      </w:r>
      <w:r w:rsidR="00FC6714" w:rsidRPr="00C83BDF">
        <w:rPr>
          <w:rFonts w:cs="Arial"/>
          <w:snapToGrid w:val="0"/>
          <w:lang w:val="es-ES_tradnl"/>
        </w:rPr>
        <w:t xml:space="preserve">1991 </w:t>
      </w:r>
      <w:r w:rsidR="003B2891" w:rsidRPr="00C83BDF">
        <w:rPr>
          <w:rFonts w:cs="Arial"/>
          <w:snapToGrid w:val="0"/>
          <w:lang w:val="es-ES_tradnl"/>
        </w:rPr>
        <w:t xml:space="preserve">del </w:t>
      </w:r>
      <w:r w:rsidR="00FC6714" w:rsidRPr="00C83BDF">
        <w:rPr>
          <w:rFonts w:cs="Arial"/>
          <w:snapToGrid w:val="0"/>
          <w:lang w:val="es-ES_tradnl"/>
        </w:rPr>
        <w:t xml:space="preserve">Convenio </w:t>
      </w:r>
      <w:r w:rsidR="003B2891" w:rsidRPr="00C83BDF">
        <w:rPr>
          <w:rFonts w:cs="Arial"/>
          <w:snapToGrid w:val="0"/>
          <w:lang w:val="es-ES_tradnl"/>
        </w:rPr>
        <w:t xml:space="preserve">de la </w:t>
      </w:r>
      <w:r w:rsidR="00FC6714" w:rsidRPr="00C83BDF">
        <w:rPr>
          <w:rFonts w:cs="Arial"/>
          <w:snapToGrid w:val="0"/>
          <w:lang w:val="es-ES_tradnl"/>
        </w:rPr>
        <w:t>UPOV</w:t>
      </w:r>
      <w:r w:rsidR="00FC6714" w:rsidRPr="00C83BDF">
        <w:rPr>
          <w:rFonts w:cs="Arial"/>
          <w:iCs/>
          <w:lang w:val="es-ES_tradnl"/>
        </w:rPr>
        <w:t>.</w:t>
      </w:r>
    </w:p>
    <w:p w:rsidR="00E65183" w:rsidRPr="00C83BDF" w:rsidRDefault="00E65183" w:rsidP="00E65183">
      <w:pPr>
        <w:rPr>
          <w:rFonts w:cs="Arial"/>
          <w:iCs/>
          <w:lang w:val="es-ES_tradnl"/>
        </w:rPr>
      </w:pPr>
    </w:p>
    <w:p w:rsidR="00E65183" w:rsidRPr="00C83BDF" w:rsidRDefault="00082242" w:rsidP="00E65183">
      <w:pPr>
        <w:rPr>
          <w:rFonts w:cs="Arial"/>
          <w:iCs/>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6B235F" w:rsidRPr="00C83BDF">
        <w:rPr>
          <w:rFonts w:cs="Arial"/>
          <w:iCs/>
          <w:lang w:val="es-ES_tradnl"/>
        </w:rPr>
        <w:t xml:space="preserve">Los días 27 y 28 de octubre, en Quevedo (Ecuador), la Oficina participó en un </w:t>
      </w:r>
      <w:r w:rsidR="00473E50" w:rsidRPr="00C83BDF">
        <w:rPr>
          <w:rFonts w:cs="Arial"/>
          <w:snapToGrid w:val="0"/>
          <w:lang w:val="es-ES_tradnl"/>
        </w:rPr>
        <w:t xml:space="preserve">seminario y un </w:t>
      </w:r>
      <w:r w:rsidR="00473E50" w:rsidRPr="00C83BDF">
        <w:rPr>
          <w:rFonts w:cs="Arial"/>
          <w:iCs/>
          <w:lang w:val="es-ES_tradnl"/>
        </w:rPr>
        <w:t xml:space="preserve">taller </w:t>
      </w:r>
      <w:r w:rsidR="006B235F" w:rsidRPr="00C83BDF">
        <w:rPr>
          <w:rFonts w:cs="Arial"/>
          <w:iCs/>
          <w:lang w:val="es-ES_tradnl"/>
        </w:rPr>
        <w:t xml:space="preserve">sobre la protección de las </w:t>
      </w:r>
      <w:r w:rsidR="006B235F" w:rsidRPr="00C83BDF">
        <w:rPr>
          <w:rFonts w:cs="Arial"/>
          <w:snapToGrid w:val="0"/>
          <w:lang w:val="es-ES_tradnl"/>
        </w:rPr>
        <w:t xml:space="preserve">obtenciones vegetales para explicar </w:t>
      </w:r>
      <w:r w:rsidR="006B235F" w:rsidRPr="00C83BDF">
        <w:rPr>
          <w:rFonts w:cs="Arial"/>
          <w:iCs/>
          <w:lang w:val="es-ES_tradnl"/>
        </w:rPr>
        <w:t xml:space="preserve">las características </w:t>
      </w:r>
      <w:r w:rsidR="006B235F" w:rsidRPr="00C83BDF">
        <w:rPr>
          <w:rFonts w:cs="Arial"/>
          <w:snapToGrid w:val="0"/>
          <w:lang w:val="es-ES_tradnl"/>
        </w:rPr>
        <w:t>fundamentales del Acta de 1991 del Convenio de la UPOV y, en particular, el examen DHE</w:t>
      </w:r>
      <w:r w:rsidR="006B235F" w:rsidRPr="00C83BDF">
        <w:rPr>
          <w:rFonts w:cs="Arial"/>
          <w:iCs/>
          <w:lang w:val="es-ES_tradnl"/>
        </w:rPr>
        <w:t>.</w:t>
      </w:r>
    </w:p>
    <w:p w:rsidR="00E65183" w:rsidRPr="00C83BDF" w:rsidRDefault="00E65183" w:rsidP="00E65183">
      <w:pPr>
        <w:rPr>
          <w:rFonts w:cs="Arial"/>
          <w:iCs/>
          <w:lang w:val="es-ES_tradnl"/>
        </w:rPr>
      </w:pPr>
    </w:p>
    <w:p w:rsidR="00E65183" w:rsidRPr="00C83BDF" w:rsidRDefault="00082242" w:rsidP="00E65183">
      <w:pPr>
        <w:rPr>
          <w:rFonts w:cs="Arial"/>
          <w:iCs/>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6B235F" w:rsidRPr="00C83BDF">
        <w:rPr>
          <w:lang w:val="es-ES_tradnl"/>
        </w:rPr>
        <w:t>Los días 28 y 29 de octubre, en la sede de la OMC en Ginebra, la Oficina asistió a las sesiones pertinentes de la reunión del Consejo de los ADPIC.</w:t>
      </w:r>
    </w:p>
    <w:p w:rsidR="00E65183" w:rsidRPr="00C83BDF" w:rsidRDefault="00E65183" w:rsidP="00E65183">
      <w:pPr>
        <w:rPr>
          <w:rFonts w:cs="Arial"/>
          <w:iCs/>
          <w:lang w:val="es-ES_tradnl"/>
        </w:rPr>
      </w:pPr>
    </w:p>
    <w:p w:rsidR="00E65183" w:rsidRPr="00C83BDF" w:rsidRDefault="00082242" w:rsidP="00E65183">
      <w:pPr>
        <w:rPr>
          <w:rFonts w:cs="Arial"/>
          <w:iCs/>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6B235F" w:rsidRPr="00C83BDF">
        <w:rPr>
          <w:lang w:val="es-ES_tradnl"/>
        </w:rPr>
        <w:t xml:space="preserve">Los días 29 y 30 de octubre, en </w:t>
      </w:r>
      <w:r w:rsidR="006B235F" w:rsidRPr="00C83BDF">
        <w:rPr>
          <w:rFonts w:cs="Arial"/>
          <w:szCs w:val="22"/>
          <w:lang w:val="es-ES_tradnl"/>
        </w:rPr>
        <w:t xml:space="preserve">Skopie (ex República Yugoslava de Macedonia), la Oficina impartió conferencias en un </w:t>
      </w:r>
      <w:r w:rsidR="006B235F" w:rsidRPr="00C83BDF">
        <w:rPr>
          <w:lang w:val="es-ES_tradnl"/>
        </w:rPr>
        <w:t xml:space="preserve">Taller sobre aplicación de un régimen de protección de las variedades vegetales y sensibilización, </w:t>
      </w:r>
      <w:r w:rsidR="006B235F" w:rsidRPr="00C83BDF">
        <w:rPr>
          <w:szCs w:val="22"/>
          <w:lang w:val="es-ES_tradnl"/>
        </w:rPr>
        <w:t xml:space="preserve">organizado por el Ministerio de Agricultura, Silvicultura y Recursos Hídricos </w:t>
      </w:r>
      <w:r w:rsidR="00431EE7" w:rsidRPr="00C83BDF">
        <w:rPr>
          <w:szCs w:val="22"/>
          <w:lang w:val="es-ES_tradnl"/>
        </w:rPr>
        <w:t>en</w:t>
      </w:r>
      <w:r w:rsidR="006B235F" w:rsidRPr="00C83BDF">
        <w:rPr>
          <w:szCs w:val="22"/>
          <w:lang w:val="es-ES_tradnl"/>
        </w:rPr>
        <w:t xml:space="preserve"> colaboración </w:t>
      </w:r>
      <w:r w:rsidR="00431EE7" w:rsidRPr="00C83BDF">
        <w:rPr>
          <w:szCs w:val="22"/>
          <w:lang w:val="es-ES_tradnl"/>
        </w:rPr>
        <w:t xml:space="preserve">con </w:t>
      </w:r>
      <w:r w:rsidR="006B235F" w:rsidRPr="00C83BDF">
        <w:rPr>
          <w:szCs w:val="22"/>
          <w:lang w:val="es-ES_tradnl"/>
        </w:rPr>
        <w:t xml:space="preserve">la </w:t>
      </w:r>
      <w:r w:rsidR="006B235F" w:rsidRPr="00C83BDF">
        <w:rPr>
          <w:lang w:val="es-ES_tradnl"/>
        </w:rPr>
        <w:t xml:space="preserve">UPOV, </w:t>
      </w:r>
      <w:r w:rsidR="00BC3FB4" w:rsidRPr="00C83BDF">
        <w:rPr>
          <w:szCs w:val="22"/>
          <w:lang w:val="es-ES_tradnl"/>
        </w:rPr>
        <w:t xml:space="preserve">con participación de expertos de Alemania, la República Checa y la OCVV y asistencia del Programa multibeneficiarios </w:t>
      </w:r>
      <w:r w:rsidR="006B235F" w:rsidRPr="00C83BDF">
        <w:rPr>
          <w:szCs w:val="22"/>
          <w:lang w:val="es-ES_tradnl"/>
        </w:rPr>
        <w:t>de la Unión Europea (MBP).</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BC3FB4" w:rsidRPr="00C83BDF">
        <w:rPr>
          <w:lang w:val="es-ES_tradnl"/>
        </w:rPr>
        <w:t>Del 29 al 31 de octubre de 2014,</w:t>
      </w:r>
      <w:r w:rsidR="00BC3FB4" w:rsidRPr="00C83BDF">
        <w:rPr>
          <w:color w:val="008000"/>
          <w:lang w:val="es-ES_tradnl"/>
        </w:rPr>
        <w:t xml:space="preserve"> </w:t>
      </w:r>
      <w:r w:rsidR="00BC3FB4" w:rsidRPr="00C83BDF">
        <w:rPr>
          <w:lang w:val="es-ES_tradnl"/>
        </w:rPr>
        <w:t>en Harare (Zimbabwe), la Oficina participó en un Taller regional sobre el proyecto de Protocolo de la ARIPO para la Protección de las Obtenciones Vegetales, organizado por la ARIPO en colaboración con la UPOV y con asistencia de la Oficina de Patentes y Marcas de los Estados Unidos de América (USPTO).</w:t>
      </w:r>
      <w:r w:rsidR="00D94EA2" w:rsidRPr="00C83BDF">
        <w:rPr>
          <w:lang w:val="es-ES_tradnl"/>
        </w:rPr>
        <w:t xml:space="preserve">  </w:t>
      </w:r>
      <w:r w:rsidR="00BC3FB4" w:rsidRPr="00C83BDF">
        <w:rPr>
          <w:lang w:val="es-ES_tradnl"/>
        </w:rPr>
        <w:t xml:space="preserve">La Oficina presentó las ponencias tituladas “Introducción a la UPOV”, “Relación entre el Convenio de la UPOV y otros tratados internacionales”, “La función de la protección de las obtenciones vegetales en la transferencia de tecnología </w:t>
      </w:r>
      <w:r w:rsidR="00942544" w:rsidRPr="00C83BDF">
        <w:rPr>
          <w:lang w:val="es-ES_tradnl"/>
        </w:rPr>
        <w:t xml:space="preserve">mediante </w:t>
      </w:r>
      <w:r w:rsidR="003D11D9" w:rsidRPr="00C83BDF">
        <w:rPr>
          <w:rFonts w:cs="Arial"/>
          <w:lang w:val="es-ES_tradnl"/>
        </w:rPr>
        <w:t>la colaboración público</w:t>
      </w:r>
      <w:r w:rsidR="00DC67F2" w:rsidRPr="00C83BDF">
        <w:rPr>
          <w:rFonts w:cs="Arial"/>
          <w:lang w:val="es-ES_tradnl"/>
        </w:rPr>
        <w:noBreakHyphen/>
      </w:r>
      <w:r w:rsidR="003D11D9" w:rsidRPr="00C83BDF">
        <w:rPr>
          <w:rFonts w:cs="Arial"/>
          <w:lang w:val="es-ES_tradnl"/>
        </w:rPr>
        <w:t>privada</w:t>
      </w:r>
      <w:r w:rsidR="00BC3FB4" w:rsidRPr="00C83BDF">
        <w:rPr>
          <w:lang w:val="es-ES_tradnl"/>
        </w:rPr>
        <w:t>” y “</w:t>
      </w:r>
      <w:r w:rsidR="00942544" w:rsidRPr="00C83BDF">
        <w:rPr>
          <w:lang w:val="es-ES_tradnl"/>
        </w:rPr>
        <w:t>Disposiciones relativas al examen DHE</w:t>
      </w:r>
      <w:r w:rsidR="00BC3FB4" w:rsidRPr="00C83BDF">
        <w:rPr>
          <w:lang w:val="es-ES_tradnl"/>
        </w:rPr>
        <w:t>”.</w:t>
      </w:r>
      <w:r w:rsidR="00B62FB4" w:rsidRPr="00C83BDF">
        <w:rPr>
          <w:lang w:val="es-ES_tradnl"/>
        </w:rPr>
        <w:t xml:space="preserve">  </w:t>
      </w:r>
      <w:r w:rsidR="00942544" w:rsidRPr="00C83BDF">
        <w:rPr>
          <w:lang w:val="es-ES_tradnl"/>
        </w:rPr>
        <w:t>Asistieron al taller 14 Estados Miembros de la ARIPO, a saber:</w:t>
      </w:r>
      <w:r w:rsidR="00E65183" w:rsidRPr="00C83BDF">
        <w:rPr>
          <w:lang w:val="es-ES_tradnl"/>
        </w:rPr>
        <w:t xml:space="preserve"> </w:t>
      </w:r>
      <w:r w:rsidR="00942544" w:rsidRPr="00C83BDF">
        <w:rPr>
          <w:lang w:val="es-ES_tradnl"/>
        </w:rPr>
        <w:t>Botswana, Gambia, Ghana, Kenya, Malawi, Mozambique, Namibia, República Unida de Tanzanía, Rwanda, Sudán, Swazilandia, Uganda, Zambia y Zimbabwe.</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942544" w:rsidRPr="00C83BDF">
        <w:rPr>
          <w:lang w:val="es-ES_tradnl"/>
        </w:rPr>
        <w:t>Los días 3 y 4 de noviembre, la Oficina impartió, por medios electrónicos, conferencias en un Taller sobre protección de las obtenciones vegetales organizado por la Asociación de Semillas de las Américas (SAA) en Sao Paulo (Brasil).</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942544" w:rsidRPr="00C83BDF">
        <w:rPr>
          <w:lang w:val="es-ES_tradnl"/>
        </w:rPr>
        <w:t xml:space="preserve">El 6 de noviembre, en Ginebra, la Oficina recibió la visita del Sr. Parviz Miraliev, </w:t>
      </w:r>
      <w:r w:rsidR="0066557D" w:rsidRPr="00C83BDF">
        <w:rPr>
          <w:lang w:val="es-ES_tradnl"/>
        </w:rPr>
        <w:t xml:space="preserve">Director de la División de </w:t>
      </w:r>
      <w:r w:rsidR="00942544" w:rsidRPr="00C83BDF">
        <w:rPr>
          <w:lang w:val="es-ES_tradnl"/>
        </w:rPr>
        <w:t xml:space="preserve">Cooperación </w:t>
      </w:r>
      <w:r w:rsidR="0066557D" w:rsidRPr="00C83BDF">
        <w:rPr>
          <w:lang w:val="es-ES_tradnl"/>
        </w:rPr>
        <w:t xml:space="preserve">Internacional del Centro </w:t>
      </w:r>
      <w:r w:rsidR="00942544" w:rsidRPr="00C83BDF">
        <w:rPr>
          <w:lang w:val="es-ES_tradnl"/>
        </w:rPr>
        <w:t xml:space="preserve">Nacional </w:t>
      </w:r>
      <w:r w:rsidR="0066557D" w:rsidRPr="00C83BDF">
        <w:rPr>
          <w:lang w:val="es-ES_tradnl"/>
        </w:rPr>
        <w:t>de</w:t>
      </w:r>
      <w:r w:rsidR="00942544" w:rsidRPr="00C83BDF">
        <w:rPr>
          <w:lang w:val="es-ES_tradnl"/>
        </w:rPr>
        <w:t xml:space="preserve"> Patentes </w:t>
      </w:r>
      <w:r w:rsidR="0066557D" w:rsidRPr="00C83BDF">
        <w:rPr>
          <w:lang w:val="es-ES_tradnl"/>
        </w:rPr>
        <w:t>e</w:t>
      </w:r>
      <w:r w:rsidR="00942544" w:rsidRPr="00C83BDF">
        <w:rPr>
          <w:lang w:val="es-ES_tradnl"/>
        </w:rPr>
        <w:t xml:space="preserve"> Información</w:t>
      </w:r>
      <w:r w:rsidR="0066557D" w:rsidRPr="00C83BDF">
        <w:rPr>
          <w:lang w:val="es-ES_tradnl"/>
        </w:rPr>
        <w:t xml:space="preserve"> de</w:t>
      </w:r>
      <w:r w:rsidR="00942544" w:rsidRPr="00C83BDF">
        <w:rPr>
          <w:lang w:val="es-ES_tradnl"/>
        </w:rPr>
        <w:t xml:space="preserve"> Tayikistán, </w:t>
      </w:r>
      <w:r w:rsidR="00971B06" w:rsidRPr="00C83BDF">
        <w:rPr>
          <w:lang w:val="es-ES_tradnl"/>
        </w:rPr>
        <w:t>para examinar los</w:t>
      </w:r>
      <w:r w:rsidR="00942544" w:rsidRPr="00C83BDF">
        <w:rPr>
          <w:lang w:val="es-ES_tradnl"/>
        </w:rPr>
        <w:t xml:space="preserve"> </w:t>
      </w:r>
      <w:r w:rsidR="00971B06" w:rsidRPr="00C83BDF">
        <w:rPr>
          <w:lang w:val="es-ES_tradnl"/>
        </w:rPr>
        <w:t xml:space="preserve">próximos pasos del </w:t>
      </w:r>
      <w:r w:rsidR="00942544" w:rsidRPr="00C83BDF">
        <w:rPr>
          <w:lang w:val="es-ES_tradnl"/>
        </w:rPr>
        <w:t xml:space="preserve">procedimiento </w:t>
      </w:r>
      <w:r w:rsidR="00971B06" w:rsidRPr="00C83BDF">
        <w:rPr>
          <w:lang w:val="es-ES_tradnl"/>
        </w:rPr>
        <w:t>de adhesión de</w:t>
      </w:r>
      <w:r w:rsidR="00942544" w:rsidRPr="00C83BDF">
        <w:rPr>
          <w:lang w:val="es-ES_tradnl"/>
        </w:rPr>
        <w:t xml:space="preserve"> Tayikistán </w:t>
      </w:r>
      <w:r w:rsidR="00971B06" w:rsidRPr="00C83BDF">
        <w:rPr>
          <w:lang w:val="es-ES_tradnl"/>
        </w:rPr>
        <w:t xml:space="preserve">a </w:t>
      </w:r>
      <w:r w:rsidR="00942544" w:rsidRPr="00C83BDF">
        <w:rPr>
          <w:lang w:val="es-ES_tradnl"/>
        </w:rPr>
        <w:t>la UPOV.</w:t>
      </w:r>
      <w:r w:rsidR="00E65183" w:rsidRPr="00C83BDF">
        <w:rPr>
          <w:lang w:val="es-ES_tradnl"/>
        </w:rPr>
        <w:t xml:space="preserve"> </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971B06" w:rsidRPr="00C83BDF">
        <w:rPr>
          <w:lang w:val="es-ES_tradnl"/>
        </w:rPr>
        <w:t>El 10 de noviembre, en Londres (Reino Unido), la Oficina presentó una ponencia en la reunión del Grupo de Trabajo del Proyecto XML4IP, para informar sobre los avances respecto del proyecto de formulario electrónico de solicitud de la UPOV y la propuesta de esquema PVP</w:t>
      </w:r>
      <w:r w:rsidR="003A57C8" w:rsidRPr="00C83BDF">
        <w:rPr>
          <w:lang w:val="es-ES_tradnl"/>
        </w:rPr>
        <w:noBreakHyphen/>
      </w:r>
      <w:r w:rsidR="00971B06" w:rsidRPr="00C83BDF">
        <w:rPr>
          <w:lang w:val="es-ES_tradnl"/>
        </w:rPr>
        <w:t>XML.</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971B06" w:rsidRPr="00C83BDF">
        <w:rPr>
          <w:lang w:val="es-ES_tradnl"/>
        </w:rPr>
        <w:t xml:space="preserve">El 12 de noviembre, en Macao (China), </w:t>
      </w:r>
      <w:r w:rsidR="009761F6" w:rsidRPr="00C83BDF">
        <w:rPr>
          <w:lang w:val="es-ES_tradnl"/>
        </w:rPr>
        <w:t xml:space="preserve">durante la sesión sobre derechos de propiedad intelectual del Congreso de la APSA de 2014, </w:t>
      </w:r>
      <w:r w:rsidR="00971B06" w:rsidRPr="00C83BDF">
        <w:rPr>
          <w:lang w:val="es-ES_tradnl"/>
        </w:rPr>
        <w:t>la Oficina presentó una ponencia sobre las novedades más recientes acaecidas en la UPOV.</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2A4760" w:rsidRPr="00C83BDF">
        <w:rPr>
          <w:lang w:val="es-ES_tradnl"/>
        </w:rPr>
        <w:t>El 12 de noviembre, en Seúl (República de Corea), la Oficina participó en el Taller conjunto OCDE</w:t>
      </w:r>
      <w:r w:rsidR="002A4760" w:rsidRPr="00C83BDF">
        <w:rPr>
          <w:lang w:val="es-ES_tradnl"/>
        </w:rPr>
        <w:noBreakHyphen/>
        <w:t>UPOV</w:t>
      </w:r>
      <w:r w:rsidR="002A4760" w:rsidRPr="00C83BDF">
        <w:rPr>
          <w:lang w:val="es-ES_tradnl"/>
        </w:rPr>
        <w:noBreakHyphen/>
        <w:t>ISTA sobre técnicas moleculares, que se celebró en paralelo con la decimocuarta reunión del BMT.</w:t>
      </w:r>
      <w:r w:rsidR="006819F1" w:rsidRPr="00C83BDF">
        <w:rPr>
          <w:lang w:val="es-ES_tradnl" w:eastAsia="ja-JP"/>
        </w:rPr>
        <w:t xml:space="preserve">  </w:t>
      </w:r>
      <w:r w:rsidR="00971B06" w:rsidRPr="00C83BDF">
        <w:rPr>
          <w:lang w:val="es-ES_tradnl" w:eastAsia="ja-JP"/>
        </w:rPr>
        <w:t xml:space="preserve">Asistieron al taller participantes de China, los Estados Unidos de América, la Federación de Rusia, Francia, Irán (República Islámica del), el Japón, México, los Países Bajos, el Reino Unido, la República de Corea, la Unión Europea, la </w:t>
      </w:r>
      <w:r w:rsidR="00971B06" w:rsidRPr="00C83BDF">
        <w:rPr>
          <w:i/>
          <w:lang w:val="es-ES_tradnl" w:eastAsia="ja-JP"/>
        </w:rPr>
        <w:t>American Seed Trade Association</w:t>
      </w:r>
      <w:r w:rsidR="00971B06" w:rsidRPr="00C83BDF">
        <w:rPr>
          <w:lang w:val="es-ES_tradnl" w:eastAsia="ja-JP"/>
        </w:rPr>
        <w:t xml:space="preserve"> (ASTA), CropLife International, la ISF, la ISTA y la OCDE.</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971B06" w:rsidRPr="00C83BDF">
        <w:rPr>
          <w:lang w:val="es-ES_tradnl"/>
        </w:rPr>
        <w:t xml:space="preserve">Los días 13 y 14 de noviembre, en Alicante (España), la Oficina impartió conferencias en el Módulo intensivo </w:t>
      </w:r>
      <w:r w:rsidR="00C26EAA" w:rsidRPr="00C83BDF">
        <w:rPr>
          <w:lang w:val="es-ES_tradnl"/>
        </w:rPr>
        <w:t>de derechos de obtentor vegetal sobre protección de las obtenciones vegetales</w:t>
      </w:r>
      <w:r w:rsidR="00971B06" w:rsidRPr="00C83BDF">
        <w:rPr>
          <w:lang w:val="es-ES_tradnl"/>
        </w:rPr>
        <w:t xml:space="preserve"> del Máster en propiedad intelectual (Magister Lvcentinvs) de la Universidad de Alicante.</w:t>
      </w:r>
    </w:p>
    <w:p w:rsidR="00E65183" w:rsidRPr="00C83BDF" w:rsidRDefault="00E65183" w:rsidP="00E65183">
      <w:pPr>
        <w:rPr>
          <w:lang w:val="es-ES_tradnl"/>
        </w:rPr>
      </w:pPr>
    </w:p>
    <w:p w:rsidR="00E65183" w:rsidRPr="00C83BDF" w:rsidRDefault="00082242" w:rsidP="00E65183">
      <w:pPr>
        <w:rPr>
          <w:lang w:val="es-ES_tradnl" w:eastAsia="ja-JP"/>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9D27B2" w:rsidRPr="00C83BDF">
        <w:rPr>
          <w:lang w:val="es-ES_tradnl" w:eastAsia="ja-JP"/>
        </w:rPr>
        <w:t>El</w:t>
      </w:r>
      <w:r w:rsidR="0029767D" w:rsidRPr="00C83BDF">
        <w:rPr>
          <w:lang w:val="es-ES_tradnl" w:eastAsia="ja-JP"/>
        </w:rPr>
        <w:t> </w:t>
      </w:r>
      <w:r w:rsidR="009D27B2" w:rsidRPr="00C83BDF">
        <w:rPr>
          <w:lang w:val="es-ES_tradnl" w:eastAsia="ja-JP"/>
        </w:rPr>
        <w:t xml:space="preserve">14 de noviembre, en Seúl (República de Corea), la Oficina participó en </w:t>
      </w:r>
      <w:r w:rsidR="006153EB" w:rsidRPr="00C83BDF">
        <w:rPr>
          <w:lang w:val="es-ES_tradnl" w:eastAsia="ja-JP"/>
        </w:rPr>
        <w:t xml:space="preserve">un Simposio conjunto sobre la situación </w:t>
      </w:r>
      <w:r w:rsidR="004F70BB" w:rsidRPr="00C83BDF">
        <w:rPr>
          <w:lang w:val="es-ES_tradnl" w:eastAsia="ja-JP"/>
        </w:rPr>
        <w:t xml:space="preserve">actual y la estrategia de utilización de </w:t>
      </w:r>
      <w:r w:rsidR="00D97721" w:rsidRPr="00C83BDF">
        <w:rPr>
          <w:lang w:val="es-ES_tradnl" w:eastAsia="ja-JP"/>
        </w:rPr>
        <w:t xml:space="preserve">los </w:t>
      </w:r>
      <w:r w:rsidR="004F70BB" w:rsidRPr="00C83BDF">
        <w:rPr>
          <w:lang w:val="es-ES_tradnl" w:eastAsia="ja-JP"/>
        </w:rPr>
        <w:t xml:space="preserve">marcadores moleculares en la protección de </w:t>
      </w:r>
      <w:r w:rsidR="00D97721" w:rsidRPr="00C83BDF">
        <w:rPr>
          <w:lang w:val="es-ES_tradnl" w:eastAsia="ja-JP"/>
        </w:rPr>
        <w:t>variedades</w:t>
      </w:r>
      <w:r w:rsidR="004F70BB" w:rsidRPr="00C83BDF">
        <w:rPr>
          <w:lang w:val="es-ES_tradnl" w:eastAsia="ja-JP"/>
        </w:rPr>
        <w:t xml:space="preserve">, organizado por el </w:t>
      </w:r>
      <w:r w:rsidR="004F70BB" w:rsidRPr="00C83BDF">
        <w:rPr>
          <w:rFonts w:cs="Arial"/>
          <w:color w:val="000000"/>
          <w:lang w:val="es-ES_tradnl" w:eastAsia="ja-JP" w:bidi="km-KH"/>
        </w:rPr>
        <w:t>KSVS y la</w:t>
      </w:r>
      <w:r w:rsidR="004F70BB" w:rsidRPr="00C83BDF">
        <w:rPr>
          <w:lang w:val="es-ES_tradnl" w:eastAsia="ja-JP"/>
        </w:rPr>
        <w:t xml:space="preserve"> </w:t>
      </w:r>
      <w:r w:rsidR="004F70BB" w:rsidRPr="00C83BDF">
        <w:rPr>
          <w:rFonts w:cs="Arial"/>
          <w:color w:val="000000"/>
          <w:lang w:val="es-ES_tradnl" w:eastAsia="ja-JP" w:bidi="km-KH"/>
        </w:rPr>
        <w:t xml:space="preserve">Cooperativa de Investigación de Marcadores Moleculares Vegetales de </w:t>
      </w:r>
      <w:r w:rsidR="004F70BB" w:rsidRPr="00C83BDF">
        <w:rPr>
          <w:lang w:val="es-ES_tradnl" w:eastAsia="ja-JP"/>
        </w:rPr>
        <w:t xml:space="preserve">Corea </w:t>
      </w:r>
      <w:r w:rsidR="004F70BB" w:rsidRPr="00C83BDF">
        <w:rPr>
          <w:rFonts w:cs="Arial"/>
          <w:color w:val="000000"/>
          <w:lang w:val="es-ES_tradnl" w:eastAsia="ja-JP" w:bidi="km-KH"/>
        </w:rPr>
        <w:t>(KPMMRC)</w:t>
      </w:r>
      <w:r w:rsidR="004F70BB" w:rsidRPr="00C83BDF">
        <w:rPr>
          <w:lang w:val="es-ES_tradnl" w:eastAsia="ja-JP"/>
        </w:rPr>
        <w:t>, en el que presentó una ponencia sobre la situación en la UPOV en lo que respecta al uso de técnicas moleculares</w:t>
      </w:r>
      <w:r w:rsidR="009D27B2" w:rsidRPr="00C83BDF">
        <w:rPr>
          <w:lang w:val="es-ES_tradnl" w:eastAsia="ja-JP"/>
        </w:rPr>
        <w:t>.</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D97721" w:rsidRPr="00C83BDF">
        <w:rPr>
          <w:lang w:val="es-ES_tradnl"/>
        </w:rPr>
        <w:t>El 17 de noviembre, en Victoria </w:t>
      </w:r>
      <w:r w:rsidR="004F70BB" w:rsidRPr="00C83BDF">
        <w:rPr>
          <w:lang w:val="es-ES_tradnl"/>
        </w:rPr>
        <w:t>Falls (Zimbabwe), la Oficina asistió a la trigésima octava sesión del Consejo de Administración de la ARIPO.</w:t>
      </w:r>
      <w:r w:rsidR="00E65183" w:rsidRPr="00C83BDF">
        <w:rPr>
          <w:lang w:val="es-ES_tradnl"/>
        </w:rPr>
        <w:t xml:space="preserve"> </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4F70BB" w:rsidRPr="00C83BDF">
        <w:rPr>
          <w:lang w:val="es-ES_tradnl"/>
        </w:rPr>
        <w:t>El 19 de noviembre, en Ginebra, la Oficina recibió la visita de la Sra. Susan H. Bragdon, Representante de Alimentos y Sostenibilidad de la QUNO (FWCC), para examinar el procedimiento de concesión de la condición de observador ante los órganos de la UPOV.</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720921" w:rsidRPr="00C83BDF">
        <w:rPr>
          <w:lang w:val="es-ES_tradnl"/>
        </w:rPr>
        <w:t xml:space="preserve">El 25 de noviembre, en </w:t>
      </w:r>
      <w:r w:rsidR="004F70BB" w:rsidRPr="00C83BDF">
        <w:rPr>
          <w:lang w:val="es-ES_tradnl"/>
        </w:rPr>
        <w:t>Arusha</w:t>
      </w:r>
      <w:r w:rsidR="00720921" w:rsidRPr="00C83BDF">
        <w:rPr>
          <w:lang w:val="es-ES_tradnl"/>
        </w:rPr>
        <w:t xml:space="preserve"> (</w:t>
      </w:r>
      <w:r w:rsidR="004F70BB" w:rsidRPr="00C83BDF">
        <w:rPr>
          <w:lang w:val="es-ES_tradnl"/>
        </w:rPr>
        <w:t xml:space="preserve">República Unida </w:t>
      </w:r>
      <w:r w:rsidR="00720921" w:rsidRPr="00C83BDF">
        <w:rPr>
          <w:lang w:val="es-ES_tradnl"/>
        </w:rPr>
        <w:t xml:space="preserve">de </w:t>
      </w:r>
      <w:r w:rsidR="004F70BB" w:rsidRPr="00C83BDF">
        <w:rPr>
          <w:lang w:val="es-ES_tradnl"/>
        </w:rPr>
        <w:t>Tanzanía</w:t>
      </w:r>
      <w:r w:rsidR="00720921" w:rsidRPr="00C83BDF">
        <w:rPr>
          <w:lang w:val="es-ES_tradnl"/>
        </w:rPr>
        <w:t>)</w:t>
      </w:r>
      <w:r w:rsidR="004F70BB" w:rsidRPr="00C83BDF">
        <w:rPr>
          <w:lang w:val="es-ES_tradnl"/>
        </w:rPr>
        <w:t xml:space="preserve">, </w:t>
      </w:r>
      <w:r w:rsidR="006A14BF" w:rsidRPr="00C83BDF">
        <w:rPr>
          <w:lang w:val="es-ES_tradnl"/>
        </w:rPr>
        <w:t>se presentó un</w:t>
      </w:r>
      <w:r w:rsidR="004F70BB" w:rsidRPr="00C83BDF">
        <w:rPr>
          <w:lang w:val="es-ES_tradnl"/>
        </w:rPr>
        <w:t>a ponencia</w:t>
      </w:r>
      <w:r w:rsidR="006A14BF" w:rsidRPr="00C83BDF">
        <w:rPr>
          <w:lang w:val="es-ES_tradnl"/>
        </w:rPr>
        <w:t xml:space="preserve"> en nombre de la </w:t>
      </w:r>
      <w:r w:rsidR="004F70BB" w:rsidRPr="00C83BDF">
        <w:rPr>
          <w:lang w:val="es-ES_tradnl"/>
        </w:rPr>
        <w:t xml:space="preserve">Oficina </w:t>
      </w:r>
      <w:r w:rsidR="00431121" w:rsidRPr="00C83BDF">
        <w:rPr>
          <w:lang w:val="es-ES_tradnl"/>
        </w:rPr>
        <w:t>en</w:t>
      </w:r>
      <w:r w:rsidR="006A14BF" w:rsidRPr="00C83BDF">
        <w:rPr>
          <w:lang w:val="es-ES_tradnl"/>
        </w:rPr>
        <w:t xml:space="preserve"> el </w:t>
      </w:r>
      <w:r w:rsidR="00431121" w:rsidRPr="00C83BDF">
        <w:rPr>
          <w:lang w:val="es-ES_tradnl"/>
        </w:rPr>
        <w:t>Curso de formación de 2014 sobre protección de las obtenciones vegetales</w:t>
      </w:r>
      <w:r w:rsidR="004F70BB" w:rsidRPr="00C83BDF">
        <w:rPr>
          <w:lang w:val="es-ES_tradnl"/>
        </w:rPr>
        <w:t xml:space="preserve">, organizado por </w:t>
      </w:r>
      <w:r w:rsidR="00431121" w:rsidRPr="00C83BDF">
        <w:rPr>
          <w:lang w:val="es-ES_tradnl"/>
        </w:rPr>
        <w:t xml:space="preserve">el </w:t>
      </w:r>
      <w:r w:rsidR="004F70BB" w:rsidRPr="00C83BDF">
        <w:rPr>
          <w:lang w:val="es-ES_tradnl"/>
        </w:rPr>
        <w:t>Naktuinbouw.</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431121" w:rsidRPr="00C83BDF">
        <w:rPr>
          <w:lang w:val="es-ES_tradnl"/>
        </w:rPr>
        <w:t>El 27 y el 28 de noviembre, en Ciudad del Cabo (Sudáfrica), la Oficina asistió a la Mesa redonda de alto nivel sobre la protección de las obtenciones vegetales en África, organizad</w:t>
      </w:r>
      <w:r w:rsidR="004215EB" w:rsidRPr="00C83BDF">
        <w:rPr>
          <w:lang w:val="es-ES_tradnl"/>
        </w:rPr>
        <w:t>a</w:t>
      </w:r>
      <w:r w:rsidR="00431121" w:rsidRPr="00C83BDF">
        <w:rPr>
          <w:lang w:val="es-ES_tradnl"/>
        </w:rPr>
        <w:t xml:space="preserve"> por el </w:t>
      </w:r>
      <w:r w:rsidR="004215EB" w:rsidRPr="00C83BDF">
        <w:rPr>
          <w:lang w:val="es-ES_tradnl"/>
        </w:rPr>
        <w:t xml:space="preserve">Programa </w:t>
      </w:r>
      <w:r w:rsidR="004215EB" w:rsidRPr="00C83BDF">
        <w:rPr>
          <w:i/>
          <w:lang w:val="es-ES_tradnl"/>
        </w:rPr>
        <w:t>Integrated Seed Sector Development (ISSD) in Africa</w:t>
      </w:r>
      <w:r w:rsidR="00431121" w:rsidRPr="00C83BDF">
        <w:rPr>
          <w:lang w:val="es-ES_tradnl"/>
        </w:rPr>
        <w:t>.</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431121" w:rsidRPr="00C83BDF">
        <w:rPr>
          <w:lang w:val="es-ES_tradnl"/>
        </w:rPr>
        <w:t>Los días 9 y 10 de diciembre, en Angers (Francia), la Oficina asistió a la decimoctava reunión anual de la OCVV con sus oficinas de examen.</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431121" w:rsidRPr="00C83BDF">
        <w:rPr>
          <w:lang w:val="es-ES_tradnl"/>
        </w:rPr>
        <w:t>Del 9 al 11 de diciembre, en Ginebra, la Oficina organizó el primer curso de formación “Aportación de datos a la base de datos PLUTO”.</w:t>
      </w:r>
      <w:r w:rsidR="00E65183" w:rsidRPr="00C83BDF">
        <w:rPr>
          <w:lang w:val="es-ES_tradnl"/>
        </w:rPr>
        <w:t xml:space="preserve">  </w:t>
      </w:r>
      <w:r w:rsidR="00431121" w:rsidRPr="00C83BDF">
        <w:rPr>
          <w:lang w:val="es-ES_tradnl"/>
        </w:rPr>
        <w:t>El propósito del curso es prestar asistencia a los miembros de la Unión que no aportan datos a la base de datos PLUTO o que no lo hacen con regularidad, para que puedan hacerlo periódicamente.</w:t>
      </w:r>
      <w:r w:rsidR="00E65183" w:rsidRPr="00C83BDF">
        <w:rPr>
          <w:lang w:val="es-ES_tradnl"/>
        </w:rPr>
        <w:t xml:space="preserve">  </w:t>
      </w:r>
      <w:r w:rsidR="00431121" w:rsidRPr="00C83BDF">
        <w:rPr>
          <w:lang w:val="es-ES_tradnl"/>
        </w:rPr>
        <w:t xml:space="preserve">Asistieron al curso 11 participantes de Albania, Belarús, China, Georgia, Jordania, República de Moldova, </w:t>
      </w:r>
      <w:r w:rsidR="00E11F4C" w:rsidRPr="00C83BDF">
        <w:rPr>
          <w:lang w:val="es-ES_tradnl"/>
        </w:rPr>
        <w:t>Trinidad y Tabago</w:t>
      </w:r>
      <w:r w:rsidR="00431121" w:rsidRPr="00C83BDF">
        <w:rPr>
          <w:lang w:val="es-ES_tradnl"/>
        </w:rPr>
        <w:t>, Uzbekistán y Viet Nam.</w:t>
      </w:r>
      <w:r w:rsidR="00E65183" w:rsidRPr="00C83BDF">
        <w:rPr>
          <w:lang w:val="es-ES_tradnl"/>
        </w:rPr>
        <w:t xml:space="preserve"> </w:t>
      </w:r>
    </w:p>
    <w:p w:rsidR="00E65183" w:rsidRPr="00C83BDF" w:rsidRDefault="00E65183" w:rsidP="00E65183">
      <w:pPr>
        <w:rPr>
          <w:lang w:val="es-ES_tradnl"/>
        </w:rPr>
      </w:pPr>
    </w:p>
    <w:p w:rsidR="00E65183" w:rsidRPr="00C83BDF" w:rsidRDefault="00082242" w:rsidP="00E65183">
      <w:pPr>
        <w:autoSpaceDE w:val="0"/>
        <w:autoSpaceDN w:val="0"/>
        <w:adjustRightInd w:val="0"/>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431121" w:rsidRPr="00C83BDF">
        <w:rPr>
          <w:rFonts w:cs="Arial"/>
          <w:lang w:val="es-ES_tradnl"/>
        </w:rPr>
        <w:t>Del 10 al 12 de diciembre, en Stone</w:t>
      </w:r>
      <w:r w:rsidR="004215EB" w:rsidRPr="00C83BDF">
        <w:rPr>
          <w:rFonts w:cs="Arial"/>
          <w:lang w:val="es-ES_tradnl"/>
        </w:rPr>
        <w:t> </w:t>
      </w:r>
      <w:r w:rsidR="00431121" w:rsidRPr="00C83BDF">
        <w:rPr>
          <w:rFonts w:cs="Arial"/>
          <w:lang w:val="es-ES_tradnl"/>
        </w:rPr>
        <w:t xml:space="preserve">Town, </w:t>
      </w:r>
      <w:r w:rsidR="00431121" w:rsidRPr="00C83BDF">
        <w:rPr>
          <w:rFonts w:cs="Arial"/>
          <w:snapToGrid w:val="0"/>
          <w:color w:val="000000"/>
          <w:lang w:val="es-ES_tradnl" w:eastAsia="ja-JP"/>
        </w:rPr>
        <w:t xml:space="preserve">Zanzíbar (República Unida </w:t>
      </w:r>
      <w:r w:rsidR="00D97721" w:rsidRPr="00C83BDF">
        <w:rPr>
          <w:rFonts w:cs="Arial"/>
          <w:snapToGrid w:val="0"/>
          <w:color w:val="000000"/>
          <w:lang w:val="es-ES_tradnl" w:eastAsia="ja-JP"/>
        </w:rPr>
        <w:t>de Tanzanía</w:t>
      </w:r>
      <w:r w:rsidR="00431121" w:rsidRPr="00C83BDF">
        <w:rPr>
          <w:rFonts w:cs="Arial"/>
          <w:snapToGrid w:val="0"/>
          <w:color w:val="000000"/>
          <w:lang w:val="es-ES_tradnl" w:eastAsia="ja-JP"/>
        </w:rPr>
        <w:t xml:space="preserve">), la </w:t>
      </w:r>
      <w:r w:rsidR="00431121" w:rsidRPr="00C83BDF">
        <w:rPr>
          <w:rFonts w:cs="Arial"/>
          <w:lang w:val="es-ES_tradnl"/>
        </w:rPr>
        <w:t xml:space="preserve">Oficina participó en un </w:t>
      </w:r>
      <w:r w:rsidR="00781042" w:rsidRPr="00C83BDF">
        <w:rPr>
          <w:rFonts w:cs="Arial"/>
          <w:lang w:val="es-ES_tradnl"/>
        </w:rPr>
        <w:t xml:space="preserve">Taller </w:t>
      </w:r>
      <w:r w:rsidR="007F6C8C" w:rsidRPr="00C83BDF">
        <w:rPr>
          <w:rFonts w:cs="Arial"/>
          <w:lang w:val="es-ES_tradnl"/>
        </w:rPr>
        <w:t xml:space="preserve">sobre la calidad de las semillas y los derechos de obtentor, organizado por el Ministerio de Agricultura y Recursos Naturales de Zanzíbar (MANR) en colaboración con la </w:t>
      </w:r>
      <w:r w:rsidR="00431121" w:rsidRPr="00C83BDF">
        <w:rPr>
          <w:rFonts w:cs="Arial"/>
          <w:lang w:val="es-ES_tradnl"/>
        </w:rPr>
        <w:t>KOICA.</w:t>
      </w:r>
      <w:r w:rsidR="00E65183" w:rsidRPr="00C83BDF">
        <w:rPr>
          <w:rFonts w:cs="Arial"/>
          <w:lang w:val="es-ES_tradnl"/>
        </w:rPr>
        <w:t xml:space="preserve">  </w:t>
      </w:r>
      <w:r w:rsidR="007F6C8C" w:rsidRPr="00C83BDF">
        <w:rPr>
          <w:rFonts w:cs="Arial"/>
          <w:lang w:val="es-ES_tradnl"/>
        </w:rPr>
        <w:t xml:space="preserve">La Oficina presentó las </w:t>
      </w:r>
      <w:r w:rsidR="007F6C8C" w:rsidRPr="00C83BDF">
        <w:rPr>
          <w:rFonts w:cs="Arial"/>
          <w:snapToGrid w:val="0"/>
          <w:lang w:val="es-ES_tradnl"/>
        </w:rPr>
        <w:t xml:space="preserve">ponencias tituladas </w:t>
      </w:r>
      <w:r w:rsidR="007F6C8C" w:rsidRPr="00C83BDF">
        <w:rPr>
          <w:lang w:val="es-ES_tradnl"/>
        </w:rPr>
        <w:t xml:space="preserve">“Introducción a la UPOV y ventajas del sistema de la UPOV para la protección de las obtenciones vegetales”, </w:t>
      </w:r>
      <w:r w:rsidR="00171679" w:rsidRPr="00C83BDF">
        <w:rPr>
          <w:lang w:val="es-ES_tradnl"/>
        </w:rPr>
        <w:t xml:space="preserve">“Disposiciones fundamentales </w:t>
      </w:r>
      <w:r w:rsidR="00171679" w:rsidRPr="00C83BDF">
        <w:rPr>
          <w:rFonts w:cs="Arial"/>
          <w:lang w:val="es-ES_tradnl"/>
        </w:rPr>
        <w:t xml:space="preserve">del </w:t>
      </w:r>
      <w:r w:rsidR="007F6C8C" w:rsidRPr="00C83BDF">
        <w:rPr>
          <w:lang w:val="es-ES_tradnl"/>
        </w:rPr>
        <w:t xml:space="preserve">Convenio </w:t>
      </w:r>
      <w:r w:rsidR="00171679" w:rsidRPr="00C83BDF">
        <w:rPr>
          <w:lang w:val="es-ES_tradnl"/>
        </w:rPr>
        <w:t xml:space="preserve">de la </w:t>
      </w:r>
      <w:r w:rsidR="007F6C8C" w:rsidRPr="00C83BDF">
        <w:rPr>
          <w:lang w:val="es-ES_tradnl"/>
        </w:rPr>
        <w:t>UPOV” y “</w:t>
      </w:r>
      <w:r w:rsidR="00171679" w:rsidRPr="00C83BDF">
        <w:rPr>
          <w:lang w:val="es-ES_tradnl"/>
        </w:rPr>
        <w:t xml:space="preserve">Preparativos para el examen de la distinción, la homogeneidad y la estabilidad </w:t>
      </w:r>
      <w:r w:rsidR="007F6C8C" w:rsidRPr="00C83BDF">
        <w:rPr>
          <w:lang w:val="es-ES_tradnl"/>
        </w:rPr>
        <w:t>(DHE)”.</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171679" w:rsidRPr="00C83BDF">
        <w:rPr>
          <w:rFonts w:cs="Arial"/>
          <w:lang w:val="es-ES_tradnl"/>
        </w:rPr>
        <w:t xml:space="preserve">Del 14 al 19 de diciembre, en Montevideo (Uruguay), la UPOV, en colaboración con la OMPI, la Agencia Española de Cooperación Internacional (AECID), la OEVV y el Ministerio de Agricultura de España (MAGRAMA), organizó el </w:t>
      </w:r>
      <w:r w:rsidR="00F2587C" w:rsidRPr="00C83BDF">
        <w:rPr>
          <w:rFonts w:cs="Arial"/>
          <w:lang w:val="es-ES_tradnl"/>
        </w:rPr>
        <w:t>“Curso de formación de capacitadores para países iberoamericanos:</w:t>
      </w:r>
      <w:r w:rsidR="00D94EA2" w:rsidRPr="00C83BDF">
        <w:rPr>
          <w:rFonts w:cs="Arial"/>
          <w:snapToGrid w:val="0"/>
          <w:lang w:val="es-ES_tradnl"/>
        </w:rPr>
        <w:t xml:space="preserve">  </w:t>
      </w:r>
      <w:r w:rsidR="00F2587C" w:rsidRPr="00C83BDF">
        <w:rPr>
          <w:rFonts w:cs="Arial"/>
          <w:snapToGrid w:val="0"/>
          <w:lang w:val="es-ES_tradnl"/>
        </w:rPr>
        <w:t>protección de obtenciones vegetales según el Convenio de la UPOV y formas complementarias de propiedad intelectual”.</w:t>
      </w:r>
      <w:r w:rsidR="00E65183" w:rsidRPr="00C83BDF">
        <w:rPr>
          <w:rFonts w:cs="Arial"/>
          <w:snapToGrid w:val="0"/>
          <w:lang w:val="es-ES_tradnl"/>
        </w:rPr>
        <w:t xml:space="preserve">  </w:t>
      </w:r>
      <w:r w:rsidR="00F2587C" w:rsidRPr="00C83BDF">
        <w:rPr>
          <w:rFonts w:cs="Arial"/>
          <w:snapToGrid w:val="0"/>
          <w:lang w:val="es-ES_tradnl"/>
        </w:rPr>
        <w:t>Asistieron al curso 21 expertos de 16 países latinoamericanos:</w:t>
      </w:r>
      <w:r w:rsidR="00E65183" w:rsidRPr="00C83BDF">
        <w:rPr>
          <w:rFonts w:cs="Arial"/>
          <w:snapToGrid w:val="0"/>
          <w:lang w:val="es-ES_tradnl"/>
        </w:rPr>
        <w:t xml:space="preserve"> </w:t>
      </w:r>
      <w:r w:rsidR="00F2587C" w:rsidRPr="00C83BDF">
        <w:rPr>
          <w:lang w:val="es-ES_tradnl"/>
        </w:rPr>
        <w:t>Argentina, Bolivia, Brasil, Chile, Colombia, Costa Rica, Cuba, Ecuador, Guatemala, Honduras, México, Nicaragua, Panamá, Paraguay, República Dominicana y Uruguay</w:t>
      </w:r>
      <w:r w:rsidR="00F2587C" w:rsidRPr="00C83BDF">
        <w:rPr>
          <w:rFonts w:cs="Arial"/>
          <w:snapToGrid w:val="0"/>
          <w:lang w:val="es-ES_tradnl"/>
        </w:rPr>
        <w:t>.</w:t>
      </w:r>
      <w:r w:rsidR="00E65183" w:rsidRPr="00C83BDF">
        <w:rPr>
          <w:rFonts w:cs="Arial"/>
          <w:snapToGrid w:val="0"/>
          <w:lang w:val="es-ES_tradnl"/>
        </w:rPr>
        <w:t xml:space="preserve">  </w:t>
      </w:r>
      <w:r w:rsidR="00F2587C" w:rsidRPr="00C83BDF">
        <w:rPr>
          <w:rFonts w:cs="Arial"/>
          <w:snapToGrid w:val="0"/>
          <w:lang w:val="es-ES_tradnl"/>
        </w:rPr>
        <w:t xml:space="preserve">Pronunciaron conferencias </w:t>
      </w:r>
      <w:r w:rsidR="0050522A" w:rsidRPr="00C83BDF">
        <w:rPr>
          <w:rFonts w:cs="Arial"/>
          <w:snapToGrid w:val="0"/>
          <w:lang w:val="es-ES_tradnl"/>
        </w:rPr>
        <w:t>ponentes</w:t>
      </w:r>
      <w:r w:rsidR="00F2587C" w:rsidRPr="00C83BDF">
        <w:rPr>
          <w:rFonts w:cs="Arial"/>
          <w:snapToGrid w:val="0"/>
          <w:lang w:val="es-ES_tradnl"/>
        </w:rPr>
        <w:t xml:space="preserve"> internacionales procedentes de la Argentina, España, la Unión Europea (OCVV), el Uruguay, la OMPI y la UPOV.</w:t>
      </w:r>
      <w:r w:rsidR="00E65183" w:rsidRPr="00C83BDF">
        <w:rPr>
          <w:rFonts w:cs="Arial"/>
          <w:snapToGrid w:val="0"/>
          <w:lang w:val="es-ES_tradnl"/>
        </w:rPr>
        <w:t xml:space="preserve">  </w:t>
      </w:r>
      <w:r w:rsidR="0050522A" w:rsidRPr="00C83BDF">
        <w:rPr>
          <w:rFonts w:cs="Arial"/>
          <w:snapToGrid w:val="0"/>
          <w:lang w:val="es-ES_tradnl"/>
        </w:rPr>
        <w:t>Antes del inicio del curso de formación, se invitó a los participantes a asistir al curso de la UPOV de enseñanza a distancia DL</w:t>
      </w:r>
      <w:r w:rsidR="0050522A" w:rsidRPr="00C83BDF">
        <w:rPr>
          <w:rFonts w:cs="Arial"/>
          <w:snapToGrid w:val="0"/>
          <w:lang w:val="es-ES_tradnl"/>
        </w:rPr>
        <w:noBreakHyphen/>
        <w:t>205.</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50522A" w:rsidRPr="00C83BDF">
        <w:rPr>
          <w:lang w:val="es-ES_tradnl"/>
        </w:rPr>
        <w:t>El 15 de diciembre, en Ginebra, la Oficina recibió la visita del Sr. Madoka Koshibe, ex presidente de la APSA y presidente (Presidente del Consejo) de Mikado Kyowa Seed Co. Ltd., del Japón.</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50522A" w:rsidRPr="00C83BDF">
        <w:rPr>
          <w:lang w:val="es-ES_tradnl"/>
        </w:rPr>
        <w:t>Los días 15 y 16 de diciembre, la Oficina recibió la visita del Sr. Shakeel Bhatti, Secretario del ITPGRFA, con el que analizó las áreas de interrelación del ITPGRFA con la UPOV y la OMPI.</w:t>
      </w:r>
    </w:p>
    <w:p w:rsidR="00E65183" w:rsidRPr="00C83BDF" w:rsidRDefault="00E65183" w:rsidP="00E65183">
      <w:pPr>
        <w:rPr>
          <w:lang w:val="es-ES_tradnl"/>
        </w:rPr>
      </w:pPr>
    </w:p>
    <w:p w:rsidR="00E65183" w:rsidRPr="00C83BDF" w:rsidRDefault="00082242" w:rsidP="00E65183">
      <w:pPr>
        <w:rPr>
          <w:szCs w:val="22"/>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50522A" w:rsidRPr="00C83BDF">
        <w:rPr>
          <w:lang w:val="es-ES_tradnl"/>
        </w:rPr>
        <w:t xml:space="preserve">Los días 15 y 16 de diciembre, en Lima (Perú), la Oficina impartió conferencias en </w:t>
      </w:r>
      <w:r w:rsidR="00414C82" w:rsidRPr="00C83BDF">
        <w:rPr>
          <w:lang w:val="es-ES_tradnl"/>
        </w:rPr>
        <w:t>un</w:t>
      </w:r>
      <w:r w:rsidR="0050522A" w:rsidRPr="00C83BDF">
        <w:rPr>
          <w:lang w:val="es-ES_tradnl"/>
        </w:rPr>
        <w:t xml:space="preserve"> </w:t>
      </w:r>
      <w:r w:rsidR="002F190A" w:rsidRPr="00C83BDF">
        <w:rPr>
          <w:rFonts w:cs="Arial"/>
          <w:lang w:val="es-ES_tradnl"/>
        </w:rPr>
        <w:t xml:space="preserve">Seminario </w:t>
      </w:r>
      <w:r w:rsidR="0050522A" w:rsidRPr="00C83BDF">
        <w:rPr>
          <w:rFonts w:cs="Arial"/>
          <w:lang w:val="es-ES_tradnl"/>
        </w:rPr>
        <w:t xml:space="preserve">sobre </w:t>
      </w:r>
      <w:r w:rsidR="00414C82" w:rsidRPr="00C83BDF">
        <w:rPr>
          <w:rFonts w:cs="Arial"/>
          <w:lang w:val="es-ES_tradnl"/>
        </w:rPr>
        <w:t xml:space="preserve">fitomejoramiento </w:t>
      </w:r>
      <w:r w:rsidR="0050522A" w:rsidRPr="00C83BDF">
        <w:rPr>
          <w:rFonts w:cs="Arial"/>
          <w:lang w:val="es-ES_tradnl"/>
        </w:rPr>
        <w:t xml:space="preserve">en el Perú con arreglo al Convenio de la UPOV, </w:t>
      </w:r>
      <w:r w:rsidR="0050522A" w:rsidRPr="00C83BDF">
        <w:rPr>
          <w:szCs w:val="22"/>
          <w:lang w:val="es-ES_tradnl"/>
        </w:rPr>
        <w:t xml:space="preserve">organizado por el Instituto Nacional de Defensa de la Competencia y de la Protección de la Propiedad Intelectual (INDECOPI) en colaboración con la UPOV y el Instituto Nacional de Innovación Agraria, </w:t>
      </w:r>
      <w:r w:rsidR="00414C82" w:rsidRPr="00C83BDF">
        <w:rPr>
          <w:szCs w:val="22"/>
          <w:lang w:val="es-ES_tradnl"/>
        </w:rPr>
        <w:t>en el que</w:t>
      </w:r>
      <w:r w:rsidR="0050522A" w:rsidRPr="00C83BDF">
        <w:rPr>
          <w:szCs w:val="22"/>
          <w:lang w:val="es-ES_tradnl"/>
        </w:rPr>
        <w:t xml:space="preserve"> </w:t>
      </w:r>
      <w:r w:rsidR="0050522A" w:rsidRPr="00C83BDF">
        <w:rPr>
          <w:lang w:val="es-ES_tradnl"/>
        </w:rPr>
        <w:t>participa</w:t>
      </w:r>
      <w:r w:rsidR="00414C82" w:rsidRPr="00C83BDF">
        <w:rPr>
          <w:lang w:val="es-ES_tradnl"/>
        </w:rPr>
        <w:t>ron</w:t>
      </w:r>
      <w:r w:rsidR="0050522A" w:rsidRPr="00C83BDF">
        <w:rPr>
          <w:lang w:val="es-ES_tradnl"/>
        </w:rPr>
        <w:t xml:space="preserve"> expertos de </w:t>
      </w:r>
      <w:r w:rsidR="0050522A" w:rsidRPr="00C83BDF">
        <w:rPr>
          <w:szCs w:val="22"/>
          <w:lang w:val="es-ES_tradnl"/>
        </w:rPr>
        <w:t>México y el Uruguay.</w:t>
      </w:r>
    </w:p>
    <w:p w:rsidR="00E65183" w:rsidRPr="00C83BDF" w:rsidRDefault="00E65183" w:rsidP="00E65183">
      <w:pPr>
        <w:rPr>
          <w:lang w:val="es-ES_tradnl"/>
        </w:rPr>
      </w:pPr>
    </w:p>
    <w:p w:rsidR="00E65183" w:rsidRPr="00C83BDF" w:rsidRDefault="00E65183" w:rsidP="00E65183">
      <w:pPr>
        <w:rPr>
          <w:lang w:val="es-ES_tradnl"/>
        </w:rPr>
      </w:pPr>
    </w:p>
    <w:p w:rsidR="00E65183" w:rsidRPr="00C83BDF" w:rsidRDefault="00414C82" w:rsidP="00E65183">
      <w:pPr>
        <w:pStyle w:val="Heading2"/>
        <w:rPr>
          <w:lang w:val="es-ES_tradnl"/>
        </w:rPr>
      </w:pPr>
      <w:bookmarkStart w:id="15" w:name="_Toc431567593"/>
      <w:r w:rsidRPr="00C83BDF">
        <w:rPr>
          <w:lang w:val="es-ES_tradnl"/>
        </w:rPr>
        <w:t>Cursos de enseñanza a distancia</w:t>
      </w:r>
      <w:bookmarkEnd w:id="15"/>
    </w:p>
    <w:p w:rsidR="00E65183" w:rsidRPr="00C83BDF" w:rsidRDefault="00E65183" w:rsidP="00E65183">
      <w:pPr>
        <w:keepNext/>
        <w:rPr>
          <w:szCs w:val="24"/>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414C82" w:rsidRPr="00C83BDF">
        <w:rPr>
          <w:lang w:val="es-ES_tradnl"/>
        </w:rPr>
        <w:t>Del 5 de mayo al 8 de junio de 2014 y del 6 de octubre al 9 de noviembre de 2014 se celebraron dos sesiones del curso de la UPOV de enseñanza a distancia DL</w:t>
      </w:r>
      <w:r w:rsidR="00414C82" w:rsidRPr="00C83BDF">
        <w:rPr>
          <w:lang w:val="es-ES_tradnl"/>
        </w:rPr>
        <w:noBreakHyphen/>
        <w:t>205 en alemán, español, francés e inglés.</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414C82" w:rsidRPr="00C83BDF">
        <w:rPr>
          <w:lang w:val="es-ES_tradnl"/>
        </w:rPr>
        <w:t>Del 31 de marzo al 11 de mayo de 2014 se impartió una sesión del curso de la UPOV de enseñanza a distancia DL</w:t>
      </w:r>
      <w:r w:rsidR="00414C82" w:rsidRPr="00C83BDF">
        <w:rPr>
          <w:lang w:val="es-ES_tradnl"/>
        </w:rPr>
        <w:noBreakHyphen/>
        <w:t>305 “Examen de solicitudes de derechos de obtentor” en inglés.</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414C82" w:rsidRPr="00C83BDF">
        <w:rPr>
          <w:lang w:val="es-ES_tradnl"/>
        </w:rPr>
        <w:t>En el Anexo III, Subprograma UV.3, Indicador de rendimiento 4.a) “Participación en cursos de enseñanza a distancia”, se ofrece una relación de los estudiantes que participaron en los cursos DL</w:t>
      </w:r>
      <w:r w:rsidR="00414C82" w:rsidRPr="00C83BDF">
        <w:rPr>
          <w:lang w:val="es-ES_tradnl"/>
        </w:rPr>
        <w:noBreakHyphen/>
        <w:t>205 y DL</w:t>
      </w:r>
      <w:r w:rsidR="00414C82" w:rsidRPr="00C83BDF">
        <w:rPr>
          <w:lang w:val="es-ES_tradnl"/>
        </w:rPr>
        <w:noBreakHyphen/>
        <w:t>305.</w:t>
      </w:r>
    </w:p>
    <w:p w:rsidR="00E65183" w:rsidRPr="00C83BDF" w:rsidRDefault="00E65183" w:rsidP="00E65183">
      <w:pPr>
        <w:rPr>
          <w:szCs w:val="24"/>
          <w:lang w:val="es-ES_tradnl"/>
        </w:rPr>
      </w:pPr>
    </w:p>
    <w:p w:rsidR="00E65183" w:rsidRPr="00C83BDF" w:rsidRDefault="00E65183" w:rsidP="00E65183">
      <w:pPr>
        <w:rPr>
          <w:szCs w:val="24"/>
          <w:lang w:val="es-ES_tradnl"/>
        </w:rPr>
      </w:pPr>
    </w:p>
    <w:p w:rsidR="00E65183" w:rsidRPr="00C83BDF" w:rsidRDefault="00414C82" w:rsidP="00E65183">
      <w:pPr>
        <w:pStyle w:val="Heading1"/>
        <w:rPr>
          <w:lang w:val="es-ES_tradnl"/>
        </w:rPr>
      </w:pPr>
      <w:bookmarkStart w:id="16" w:name="_Toc367779773"/>
      <w:bookmarkStart w:id="17" w:name="_Toc431567594"/>
      <w:r w:rsidRPr="00C83BDF">
        <w:rPr>
          <w:lang w:val="es-ES_tradnl"/>
        </w:rPr>
        <w:t>IV.</w:t>
      </w:r>
      <w:r w:rsidR="00E65183" w:rsidRPr="00C83BDF">
        <w:rPr>
          <w:lang w:val="es-ES_tradnl"/>
        </w:rPr>
        <w:tab/>
      </w:r>
      <w:bookmarkEnd w:id="16"/>
      <w:r w:rsidRPr="00C83BDF">
        <w:rPr>
          <w:lang w:val="es-ES_tradnl"/>
        </w:rPr>
        <w:t>RELACIONES CON ESTADOS Y ORGANIZACIONES</w:t>
      </w:r>
      <w:bookmarkEnd w:id="17"/>
    </w:p>
    <w:p w:rsidR="00E65183" w:rsidRPr="00C83BDF" w:rsidRDefault="00E65183" w:rsidP="00E65183">
      <w:pPr>
        <w:pStyle w:val="BodyText"/>
        <w:keepNext/>
        <w:rPr>
          <w:lang w:val="es-ES_tradnl"/>
        </w:rPr>
      </w:pPr>
    </w:p>
    <w:p w:rsidR="00E65183" w:rsidRPr="00C83BDF" w:rsidRDefault="00082242" w:rsidP="00E65183">
      <w:pPr>
        <w:pStyle w:val="BodyText"/>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19698C" w:rsidRPr="00C83BDF">
        <w:rPr>
          <w:lang w:val="es-ES_tradnl"/>
        </w:rPr>
        <w:t>La Oficina prestó asistencia sobre legislación en materia de protección de las obtenciones vegetales a los miembros siguientes:</w:t>
      </w:r>
      <w:r w:rsidR="00E65183" w:rsidRPr="00C83BDF">
        <w:rPr>
          <w:lang w:val="es-ES_tradnl"/>
        </w:rPr>
        <w:t xml:space="preserve">  </w:t>
      </w:r>
      <w:r w:rsidR="0019698C" w:rsidRPr="00C83BDF">
        <w:rPr>
          <w:lang w:val="es-ES_tradnl"/>
        </w:rPr>
        <w:t>Canadá, Colombia, República Dominicana y Singapur.</w:t>
      </w:r>
      <w:r w:rsidR="00E65183" w:rsidRPr="00C83BDF">
        <w:rPr>
          <w:lang w:val="es-ES_tradnl"/>
        </w:rPr>
        <w:t xml:space="preserve"> </w:t>
      </w:r>
    </w:p>
    <w:p w:rsidR="00E65183" w:rsidRPr="00C83BDF" w:rsidRDefault="00E65183" w:rsidP="00E65183">
      <w:pPr>
        <w:pStyle w:val="BodyText"/>
        <w:rPr>
          <w:lang w:val="es-ES_tradnl"/>
        </w:rPr>
      </w:pPr>
    </w:p>
    <w:p w:rsidR="00E65183" w:rsidRPr="00C83BDF" w:rsidRDefault="00082242" w:rsidP="00E65183">
      <w:pPr>
        <w:pStyle w:val="BodyText"/>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19698C" w:rsidRPr="00C83BDF">
        <w:rPr>
          <w:lang w:val="es-ES_tradnl"/>
        </w:rPr>
        <w:t>La Oficina facilitó información sobre los elementos necesarios para depositar un instrumento de adhesión al Acta de 1991 del Convenio de la UPOV o de ratificación de esta a los miembros siguientes:</w:t>
      </w:r>
      <w:r w:rsidR="00E65183" w:rsidRPr="00C83BDF">
        <w:rPr>
          <w:lang w:val="es-ES_tradnl"/>
        </w:rPr>
        <w:t xml:space="preserve">  </w:t>
      </w:r>
      <w:r w:rsidR="0019698C" w:rsidRPr="00C83BDF">
        <w:rPr>
          <w:lang w:val="es-ES_tradnl"/>
        </w:rPr>
        <w:t>Bélgica, Canadá, Chile, Kenya y OAPI.</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19698C" w:rsidRPr="00C83BDF">
        <w:rPr>
          <w:lang w:val="es-ES_tradnl"/>
        </w:rPr>
        <w:t>La Oficina proporcionó asesoramiento y asistencia en relación con la elaboración de legislación para la protección de las variedades vegetales de conformidad con el Acta de 1991 del Convenio de la UPOV y/o sobre el procedimiento de adhesión al Convenio de la UPOV a países que podrían formar parte de la Unión.</w:t>
      </w:r>
      <w:r w:rsidR="00E65183" w:rsidRPr="00C83BDF">
        <w:rPr>
          <w:lang w:val="es-ES_tradnl"/>
        </w:rPr>
        <w:t xml:space="preserve">  </w:t>
      </w:r>
      <w:r w:rsidR="0019698C" w:rsidRPr="00C83BDF">
        <w:rPr>
          <w:lang w:val="es-ES_tradnl"/>
        </w:rPr>
        <w:t>A ese respecto, la Oficina entabló contacto con ARIPO, Bosnia y Herzegovina, Brunei Darussalam, Camboya, Egipto, Emiratos Árabes Unidos, Guatemala, Malasia, Mauricio, Myanmar, Pakistán, República Unida de Tanzanía, Senegal, Tayikistán, Uganda y Zimbabwe.</w:t>
      </w:r>
    </w:p>
    <w:p w:rsidR="00E65183" w:rsidRPr="00C83BDF" w:rsidRDefault="00E65183" w:rsidP="00E65183">
      <w:pPr>
        <w:pStyle w:val="BodyText"/>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19698C" w:rsidRPr="00C83BDF">
        <w:rPr>
          <w:lang w:val="es-ES_tradnl"/>
        </w:rPr>
        <w:t>La Oficina se reunió con representantes de varias organizaciones intergubernamentales para coordinar actividades u ofrecer información sobre la UPOV.</w:t>
      </w:r>
      <w:r w:rsidR="00E65183" w:rsidRPr="00C83BDF">
        <w:rPr>
          <w:lang w:val="es-ES_tradnl"/>
        </w:rPr>
        <w:t xml:space="preserve">  </w:t>
      </w:r>
      <w:r w:rsidR="0019698C" w:rsidRPr="00C83BDF">
        <w:rPr>
          <w:lang w:val="es-ES_tradnl"/>
        </w:rPr>
        <w:t xml:space="preserve">La Oficina participó en reuniones y debates con ARIPO, FAO, ISTA, OAPI, </w:t>
      </w:r>
      <w:r w:rsidR="00507FDF" w:rsidRPr="00C83BDF">
        <w:rPr>
          <w:lang w:val="es-ES_tradnl"/>
        </w:rPr>
        <w:t>OCDE, OIF, OMC, OMPI y Unión Europea (OCVV)</w:t>
      </w:r>
      <w:r w:rsidR="0019698C" w:rsidRPr="00C83BDF">
        <w:rPr>
          <w:lang w:val="es-ES_tradnl"/>
        </w:rPr>
        <w:t>.</w:t>
      </w:r>
    </w:p>
    <w:p w:rsidR="00E65183" w:rsidRPr="00C83BDF" w:rsidRDefault="00E65183" w:rsidP="00E65183">
      <w:pPr>
        <w:rPr>
          <w:lang w:val="es-ES_tradnl"/>
        </w:rPr>
      </w:pPr>
    </w:p>
    <w:p w:rsidR="00E65183" w:rsidRPr="00C83BDF" w:rsidRDefault="00082242" w:rsidP="00E65183">
      <w:pPr>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19698C" w:rsidRPr="00C83BDF">
        <w:rPr>
          <w:lang w:val="es-ES_tradnl"/>
        </w:rPr>
        <w:t>La Oficina participó en eventos organizados por las siguientes asociaciones profesionales a fin de mantenerse al tanto de la aplicación práctica de la protección de las obtenciones vegetales a escala regional y mundial:</w:t>
      </w:r>
      <w:r w:rsidR="00E65183" w:rsidRPr="00C83BDF">
        <w:rPr>
          <w:lang w:val="es-ES_tradnl"/>
        </w:rPr>
        <w:t xml:space="preserve">  </w:t>
      </w:r>
      <w:r w:rsidR="0019698C" w:rsidRPr="00C83BDF">
        <w:rPr>
          <w:lang w:val="es-ES_tradnl"/>
        </w:rPr>
        <w:t>AFSTA, APSA, CIOPORA, ISF, OMA y SAA.</w:t>
      </w:r>
      <w:r w:rsidR="00E65183" w:rsidRPr="00C83BDF">
        <w:rPr>
          <w:lang w:val="es-ES_tradnl"/>
        </w:rPr>
        <w:t xml:space="preserve"> </w:t>
      </w:r>
    </w:p>
    <w:p w:rsidR="00E65183" w:rsidRPr="00C83BDF" w:rsidRDefault="00E65183" w:rsidP="00E65183">
      <w:pPr>
        <w:pStyle w:val="BodyText"/>
        <w:rPr>
          <w:lang w:val="es-ES_tradnl"/>
        </w:rPr>
      </w:pPr>
    </w:p>
    <w:p w:rsidR="00E65183" w:rsidRPr="00C83BDF" w:rsidRDefault="00E65183" w:rsidP="00E65183">
      <w:pPr>
        <w:rPr>
          <w:lang w:val="es-ES_tradnl"/>
        </w:rPr>
      </w:pPr>
    </w:p>
    <w:p w:rsidR="00E65183" w:rsidRPr="00C83BDF" w:rsidRDefault="0019698C" w:rsidP="00E65183">
      <w:pPr>
        <w:pStyle w:val="Heading1"/>
        <w:rPr>
          <w:lang w:val="es-ES_tradnl"/>
        </w:rPr>
      </w:pPr>
      <w:bookmarkStart w:id="18" w:name="_Toc367779774"/>
      <w:bookmarkStart w:id="19" w:name="_Toc431567595"/>
      <w:r w:rsidRPr="00C83BDF">
        <w:rPr>
          <w:lang w:val="es-ES_tradnl"/>
        </w:rPr>
        <w:t>V.</w:t>
      </w:r>
      <w:r w:rsidR="00E65183" w:rsidRPr="00C83BDF">
        <w:rPr>
          <w:lang w:val="es-ES_tradnl"/>
        </w:rPr>
        <w:tab/>
      </w:r>
      <w:bookmarkEnd w:id="18"/>
      <w:r w:rsidRPr="00C83BDF">
        <w:rPr>
          <w:lang w:val="es-ES_tradnl"/>
        </w:rPr>
        <w:t>Publicaciones</w:t>
      </w:r>
      <w:bookmarkEnd w:id="19"/>
    </w:p>
    <w:p w:rsidR="00E65183" w:rsidRPr="00C83BDF" w:rsidRDefault="00E65183" w:rsidP="00E65183">
      <w:pPr>
        <w:keepNext/>
        <w:rPr>
          <w:lang w:val="es-ES_tradnl"/>
        </w:rPr>
      </w:pPr>
    </w:p>
    <w:p w:rsidR="00E65183" w:rsidRPr="00C83BDF" w:rsidRDefault="00082242" w:rsidP="00E65183">
      <w:pPr>
        <w:keepNext/>
        <w:rPr>
          <w:lang w:val="es-ES_tradnl"/>
        </w:rPr>
      </w:pPr>
      <w:r w:rsidRPr="00C83BDF">
        <w:rPr>
          <w:lang w:val="es-ES_tradnl"/>
        </w:rPr>
        <w:fldChar w:fldCharType="begin"/>
      </w:r>
      <w:r w:rsidR="00E65183" w:rsidRPr="00C83BDF">
        <w:rPr>
          <w:lang w:val="es-ES_tradnl"/>
        </w:rPr>
        <w:instrText xml:space="preserve"> AUTONUM  </w:instrText>
      </w:r>
      <w:r w:rsidRPr="00C83BDF">
        <w:rPr>
          <w:lang w:val="es-ES_tradnl"/>
        </w:rPr>
        <w:fldChar w:fldCharType="end"/>
      </w:r>
      <w:r w:rsidR="00E65183" w:rsidRPr="00C83BDF">
        <w:rPr>
          <w:lang w:val="es-ES_tradnl"/>
        </w:rPr>
        <w:tab/>
      </w:r>
      <w:r w:rsidR="0019698C" w:rsidRPr="00C83BDF">
        <w:rPr>
          <w:lang w:val="es-ES_tradnl"/>
        </w:rPr>
        <w:t>La Oficina publicó:</w:t>
      </w:r>
    </w:p>
    <w:p w:rsidR="00E65183" w:rsidRPr="00C83BDF" w:rsidRDefault="00E65183" w:rsidP="00E65183">
      <w:pPr>
        <w:keepNext/>
        <w:rPr>
          <w:lang w:val="es-ES_tradnl"/>
        </w:rPr>
      </w:pPr>
    </w:p>
    <w:p w:rsidR="00E65183" w:rsidRPr="00C83BDF" w:rsidRDefault="00E65183" w:rsidP="00E65183">
      <w:pPr>
        <w:rPr>
          <w:rFonts w:cs="Arial"/>
          <w:lang w:val="es-ES_tradnl"/>
        </w:rPr>
      </w:pPr>
      <w:r w:rsidRPr="00C83BDF">
        <w:rPr>
          <w:lang w:val="es-ES_tradnl"/>
        </w:rPr>
        <w:tab/>
      </w:r>
      <w:r w:rsidR="0019698C" w:rsidRPr="00C83BDF">
        <w:rPr>
          <w:lang w:val="es-ES_tradnl"/>
        </w:rPr>
        <w:t>a)</w:t>
      </w:r>
      <w:r w:rsidRPr="00C83BDF">
        <w:rPr>
          <w:lang w:val="es-ES_tradnl"/>
        </w:rPr>
        <w:tab/>
      </w:r>
      <w:r w:rsidR="0019698C" w:rsidRPr="00C83BDF">
        <w:rPr>
          <w:lang w:val="es-ES_tradnl"/>
        </w:rPr>
        <w:t>48 actualizaciones de la base de datos sobre variedades vegetales (PLUTO);</w:t>
      </w:r>
    </w:p>
    <w:p w:rsidR="00E65183" w:rsidRPr="00C83BDF" w:rsidRDefault="00E65183" w:rsidP="00E65183">
      <w:pPr>
        <w:rPr>
          <w:rFonts w:cs="Arial"/>
          <w:lang w:val="es-ES_tradnl"/>
        </w:rPr>
      </w:pPr>
    </w:p>
    <w:p w:rsidR="00E65183" w:rsidRPr="00C83BDF" w:rsidRDefault="00E65183" w:rsidP="00E65183">
      <w:pPr>
        <w:rPr>
          <w:rFonts w:cs="Arial"/>
          <w:lang w:val="es-ES_tradnl"/>
        </w:rPr>
      </w:pPr>
      <w:r w:rsidRPr="00C83BDF">
        <w:rPr>
          <w:rFonts w:cs="Arial"/>
          <w:lang w:val="es-ES_tradnl"/>
        </w:rPr>
        <w:tab/>
      </w:r>
      <w:r w:rsidR="0019698C" w:rsidRPr="00C83BDF">
        <w:rPr>
          <w:rFonts w:cs="Arial"/>
          <w:lang w:val="es-ES_tradnl"/>
        </w:rPr>
        <w:t>b)</w:t>
      </w:r>
      <w:r w:rsidRPr="00C83BDF">
        <w:rPr>
          <w:rFonts w:cs="Arial"/>
          <w:lang w:val="es-ES_tradnl"/>
        </w:rPr>
        <w:tab/>
      </w:r>
      <w:r w:rsidR="003D11D9" w:rsidRPr="00C83BDF">
        <w:rPr>
          <w:rFonts w:cs="Arial"/>
          <w:lang w:val="es-ES_tradnl"/>
        </w:rPr>
        <w:t>la Trilogía de la UPOV (publicación 357) en alemán, francés e inglés, que incluye un Resumen (publicación 357.1) y las actas de las actividades siguientes:</w:t>
      </w:r>
    </w:p>
    <w:p w:rsidR="00E65183" w:rsidRPr="00C83BDF" w:rsidRDefault="00E65183" w:rsidP="00E65183">
      <w:pPr>
        <w:rPr>
          <w:rFonts w:cs="Arial"/>
          <w:lang w:val="es-ES_tradnl"/>
        </w:rPr>
      </w:pPr>
    </w:p>
    <w:p w:rsidR="00E65183" w:rsidRPr="00C83BDF" w:rsidRDefault="003D11D9" w:rsidP="00E65183">
      <w:pPr>
        <w:pStyle w:val="ListParagraph"/>
        <w:numPr>
          <w:ilvl w:val="0"/>
          <w:numId w:val="13"/>
        </w:numPr>
        <w:rPr>
          <w:rFonts w:cs="Arial"/>
          <w:lang w:val="es-ES_tradnl"/>
        </w:rPr>
      </w:pPr>
      <w:r w:rsidRPr="00C83BDF">
        <w:rPr>
          <w:rFonts w:cs="Arial"/>
          <w:lang w:val="es-ES_tradnl"/>
        </w:rPr>
        <w:t>Simposio sobre el fitomejoramiento para el futuro (2011) (publicación 357.2)</w:t>
      </w:r>
    </w:p>
    <w:p w:rsidR="00E65183" w:rsidRPr="00C83BDF" w:rsidRDefault="003D11D9" w:rsidP="00E65183">
      <w:pPr>
        <w:pStyle w:val="ListParagraph"/>
        <w:numPr>
          <w:ilvl w:val="0"/>
          <w:numId w:val="13"/>
        </w:numPr>
        <w:rPr>
          <w:rFonts w:cs="Arial"/>
          <w:lang w:val="es-ES_tradnl"/>
        </w:rPr>
      </w:pPr>
      <w:r w:rsidRPr="00C83BDF">
        <w:rPr>
          <w:rFonts w:cs="Arial"/>
          <w:lang w:val="es-ES_tradnl"/>
        </w:rPr>
        <w:t>Seminario sobre la protección de las variedades vegetales y la transferencia de tecnología:</w:t>
      </w:r>
      <w:r w:rsidR="00E65183" w:rsidRPr="00C83BDF">
        <w:rPr>
          <w:rFonts w:cs="Arial"/>
          <w:lang w:val="es-ES_tradnl"/>
        </w:rPr>
        <w:t xml:space="preserve">  </w:t>
      </w:r>
      <w:r w:rsidRPr="00C83BDF">
        <w:rPr>
          <w:rFonts w:cs="Arial"/>
          <w:lang w:val="es-ES_tradnl"/>
        </w:rPr>
        <w:t>beneficios de la colaboración público</w:t>
      </w:r>
      <w:r w:rsidR="008E1113" w:rsidRPr="00C83BDF">
        <w:rPr>
          <w:rFonts w:cs="Arial"/>
          <w:lang w:val="es-ES_tradnl"/>
        </w:rPr>
        <w:noBreakHyphen/>
      </w:r>
      <w:r w:rsidRPr="00C83BDF">
        <w:rPr>
          <w:rFonts w:cs="Arial"/>
          <w:lang w:val="es-ES_tradnl"/>
        </w:rPr>
        <w:t>privada (2011) (publicación 357.3)</w:t>
      </w:r>
    </w:p>
    <w:p w:rsidR="00E65183" w:rsidRPr="00C83BDF" w:rsidRDefault="003D11D9" w:rsidP="00E65183">
      <w:pPr>
        <w:pStyle w:val="ListParagraph"/>
        <w:numPr>
          <w:ilvl w:val="0"/>
          <w:numId w:val="13"/>
        </w:numPr>
        <w:rPr>
          <w:rFonts w:cs="Arial"/>
          <w:lang w:val="es-ES_tradnl"/>
        </w:rPr>
      </w:pPr>
      <w:r w:rsidRPr="00C83BDF">
        <w:rPr>
          <w:rFonts w:cs="Arial"/>
          <w:lang w:val="es-ES_tradnl"/>
        </w:rPr>
        <w:t>Simposio sobre las ventajas de la protección de las obtenciones vegetales para los agricultores y los productores (2012) (publicación 357.4)</w:t>
      </w:r>
    </w:p>
    <w:p w:rsidR="00E65183" w:rsidRPr="00C83BDF" w:rsidRDefault="00E65183" w:rsidP="00E65183">
      <w:pPr>
        <w:ind w:firstLine="567"/>
        <w:rPr>
          <w:lang w:val="es-ES_tradnl"/>
        </w:rPr>
      </w:pPr>
    </w:p>
    <w:p w:rsidR="00E65183" w:rsidRPr="00C83BDF" w:rsidRDefault="003D11D9" w:rsidP="00E65183">
      <w:pPr>
        <w:ind w:firstLine="567"/>
        <w:rPr>
          <w:lang w:val="es-ES_tradnl"/>
        </w:rPr>
      </w:pPr>
      <w:r w:rsidRPr="00C83BDF">
        <w:rPr>
          <w:lang w:val="es-ES_tradnl"/>
        </w:rPr>
        <w:t>c)</w:t>
      </w:r>
      <w:r w:rsidR="00E65183" w:rsidRPr="00C83BDF">
        <w:rPr>
          <w:lang w:val="es-ES_tradnl"/>
        </w:rPr>
        <w:tab/>
      </w:r>
      <w:r w:rsidRPr="00C83BDF">
        <w:rPr>
          <w:lang w:val="es-ES_tradnl"/>
        </w:rPr>
        <w:t>las actas del Seminario sobre variedades esencialmente derivadas, celebrado en Ginebra el 22 de octubre de 2013 (publicación 358), en alemán, español, francés e inglés;</w:t>
      </w:r>
    </w:p>
    <w:p w:rsidR="00E65183" w:rsidRPr="00C83BDF" w:rsidRDefault="00E65183" w:rsidP="00E65183">
      <w:pPr>
        <w:ind w:firstLine="567"/>
        <w:rPr>
          <w:lang w:val="es-ES_tradnl"/>
        </w:rPr>
      </w:pPr>
    </w:p>
    <w:p w:rsidR="00E65183" w:rsidRPr="00C83BDF" w:rsidRDefault="003D11D9" w:rsidP="00E65183">
      <w:pPr>
        <w:ind w:firstLine="567"/>
        <w:rPr>
          <w:lang w:val="es-ES_tradnl"/>
        </w:rPr>
      </w:pPr>
      <w:r w:rsidRPr="00C83BDF">
        <w:rPr>
          <w:lang w:val="es-ES_tradnl"/>
        </w:rPr>
        <w:t>d)</w:t>
      </w:r>
      <w:r w:rsidR="00E65183" w:rsidRPr="00C83BDF">
        <w:rPr>
          <w:lang w:val="es-ES_tradnl"/>
        </w:rPr>
        <w:tab/>
      </w:r>
      <w:r w:rsidRPr="00C83BDF">
        <w:rPr>
          <w:lang w:val="es-ES_tradnl"/>
        </w:rPr>
        <w:t>ediciones actualizadas del folleto de información de la UPOV titulado “Sus actividades, su cometido”, que versa sobre la UPOV y la protección de las variedades vegetales, en alemán, español, francés e inglés (publicación nº 437);</w:t>
      </w:r>
    </w:p>
    <w:p w:rsidR="00E65183" w:rsidRPr="00C83BDF" w:rsidRDefault="00E65183" w:rsidP="00E65183">
      <w:pPr>
        <w:ind w:firstLine="567"/>
        <w:rPr>
          <w:lang w:val="es-ES_tradnl"/>
        </w:rPr>
      </w:pPr>
    </w:p>
    <w:p w:rsidR="00E65183" w:rsidRPr="00C83BDF" w:rsidRDefault="003D11D9" w:rsidP="00E65183">
      <w:pPr>
        <w:ind w:firstLine="567"/>
        <w:rPr>
          <w:lang w:val="es-ES_tradnl"/>
        </w:rPr>
      </w:pPr>
      <w:r w:rsidRPr="00C83BDF">
        <w:rPr>
          <w:lang w:val="es-ES_tradnl"/>
        </w:rPr>
        <w:t>e)</w:t>
      </w:r>
      <w:r w:rsidR="00E65183" w:rsidRPr="00C83BDF">
        <w:rPr>
          <w:lang w:val="es-ES_tradnl"/>
        </w:rPr>
        <w:tab/>
      </w:r>
      <w:r w:rsidRPr="00C83BDF">
        <w:rPr>
          <w:lang w:val="es-ES_tradnl"/>
        </w:rPr>
        <w:t>respuestas a las preguntas frecuentes (véase</w:t>
      </w:r>
      <w:r w:rsidR="00E65183" w:rsidRPr="00C83BDF">
        <w:rPr>
          <w:lang w:val="es-ES_tradnl"/>
        </w:rPr>
        <w:t xml:space="preserve"> </w:t>
      </w:r>
      <w:hyperlink r:id="rId9" w:history="1">
        <w:r w:rsidRPr="00C83BDF">
          <w:rPr>
            <w:rStyle w:val="Hyperlink"/>
            <w:lang w:val="es-ES_tradnl"/>
          </w:rPr>
          <w:t>http://www.upov.int/about/es/faq.html</w:t>
        </w:r>
      </w:hyperlink>
      <w:r w:rsidR="00E65183" w:rsidRPr="00C83BDF">
        <w:rPr>
          <w:lang w:val="es-ES_tradnl"/>
        </w:rPr>
        <w:t>);</w:t>
      </w:r>
    </w:p>
    <w:p w:rsidR="00E65183" w:rsidRPr="00C83BDF" w:rsidRDefault="00E65183" w:rsidP="00E65183">
      <w:pPr>
        <w:ind w:firstLine="567"/>
        <w:rPr>
          <w:lang w:val="es-ES_tradnl"/>
        </w:rPr>
      </w:pPr>
    </w:p>
    <w:p w:rsidR="00E65183" w:rsidRPr="00C83BDF" w:rsidRDefault="003D11D9" w:rsidP="00E65183">
      <w:pPr>
        <w:ind w:firstLine="567"/>
        <w:rPr>
          <w:lang w:val="es-ES_tradnl"/>
        </w:rPr>
      </w:pPr>
      <w:r w:rsidRPr="00C83BDF">
        <w:rPr>
          <w:lang w:val="es-ES_tradnl"/>
        </w:rPr>
        <w:t>f)</w:t>
      </w:r>
      <w:r w:rsidR="00E65183" w:rsidRPr="00C83BDF">
        <w:rPr>
          <w:lang w:val="es-ES_tradnl"/>
        </w:rPr>
        <w:tab/>
      </w:r>
      <w:r w:rsidRPr="00C83BDF">
        <w:rPr>
          <w:lang w:val="es-ES_tradnl"/>
        </w:rPr>
        <w:t>las siguientes directrices de examen, que fueron aprobadas por el TC en su quincuagésima sesión, celebrada del 7 al 9 de abril de 2014:</w:t>
      </w:r>
    </w:p>
    <w:p w:rsidR="00E65183" w:rsidRPr="00C83BDF" w:rsidRDefault="00E65183" w:rsidP="00E65183">
      <w:pPr>
        <w:rPr>
          <w:rFonts w:cs="Arial"/>
          <w:snapToGrid w:val="0"/>
          <w:lang w:val="es-ES_tradnl"/>
        </w:rPr>
      </w:pPr>
    </w:p>
    <w:tbl>
      <w:tblPr>
        <w:tblW w:w="10348" w:type="dxa"/>
        <w:jc w:val="center"/>
        <w:tblLayout w:type="fixed"/>
        <w:tblCellMar>
          <w:top w:w="28" w:type="dxa"/>
          <w:left w:w="57" w:type="dxa"/>
          <w:right w:w="57" w:type="dxa"/>
        </w:tblCellMar>
        <w:tblLook w:val="04A0" w:firstRow="1" w:lastRow="0" w:firstColumn="1" w:lastColumn="0" w:noHBand="0" w:noVBand="1"/>
      </w:tblPr>
      <w:tblGrid>
        <w:gridCol w:w="666"/>
        <w:gridCol w:w="591"/>
        <w:gridCol w:w="1489"/>
        <w:gridCol w:w="1416"/>
        <w:gridCol w:w="1417"/>
        <w:gridCol w:w="1416"/>
        <w:gridCol w:w="1417"/>
        <w:gridCol w:w="1936"/>
      </w:tblGrid>
      <w:tr w:rsidR="00E65183" w:rsidRPr="00C83BDF">
        <w:trPr>
          <w:cantSplit/>
          <w:tblHeader/>
          <w:jc w:val="center"/>
        </w:trPr>
        <w:tc>
          <w:tcPr>
            <w:tcW w:w="66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E65183" w:rsidRPr="00C83BDF" w:rsidRDefault="00E65183" w:rsidP="004737CD">
            <w:pPr>
              <w:keepNext/>
              <w:jc w:val="left"/>
              <w:rPr>
                <w:rFonts w:eastAsia="MS Mincho" w:cs="Arial"/>
                <w:bCs/>
                <w:dstrike/>
                <w:noProof/>
                <w:sz w:val="16"/>
                <w:szCs w:val="16"/>
                <w:lang w:val="es-ES_tradnl" w:eastAsia="ja-JP"/>
              </w:rPr>
            </w:pPr>
            <w:r w:rsidRPr="00C83BDF">
              <w:rPr>
                <w:rFonts w:eastAsia="MS Mincho" w:cs="Arial"/>
                <w:bCs/>
                <w:noProof/>
                <w:sz w:val="16"/>
                <w:szCs w:val="16"/>
                <w:lang w:val="es-ES_tradnl" w:eastAsia="ja-JP"/>
              </w:rPr>
              <w:t>**</w:t>
            </w:r>
          </w:p>
        </w:tc>
        <w:tc>
          <w:tcPr>
            <w:tcW w:w="591" w:type="dxa"/>
            <w:tcBorders>
              <w:top w:val="single" w:sz="4" w:space="0" w:color="auto"/>
              <w:left w:val="single" w:sz="4" w:space="0" w:color="auto"/>
              <w:bottom w:val="single" w:sz="4" w:space="0" w:color="auto"/>
              <w:right w:val="single" w:sz="4" w:space="0" w:color="auto"/>
            </w:tcBorders>
            <w:shd w:val="clear" w:color="auto" w:fill="D9D9D9"/>
            <w:vAlign w:val="center"/>
          </w:tcPr>
          <w:p w:rsidR="00E65183" w:rsidRPr="00C83BDF" w:rsidRDefault="00E65183" w:rsidP="004737CD">
            <w:pPr>
              <w:keepNext/>
              <w:jc w:val="left"/>
              <w:rPr>
                <w:rFonts w:eastAsia="MS Mincho" w:cs="Arial"/>
                <w:bCs/>
                <w:dstrike/>
                <w:noProof/>
                <w:sz w:val="16"/>
                <w:szCs w:val="16"/>
                <w:lang w:val="es-ES_tradnl" w:eastAsia="ja-JP"/>
              </w:rPr>
            </w:pPr>
            <w:r w:rsidRPr="00C83BDF">
              <w:rPr>
                <w:rFonts w:eastAsia="MS Mincho" w:cs="Arial"/>
                <w:bCs/>
                <w:noProof/>
                <w:sz w:val="16"/>
                <w:szCs w:val="16"/>
                <w:lang w:val="es-ES_tradnl" w:eastAsia="ja-JP"/>
              </w:rPr>
              <w:t>TWP</w:t>
            </w:r>
          </w:p>
        </w:tc>
        <w:tc>
          <w:tcPr>
            <w:tcW w:w="1489" w:type="dxa"/>
            <w:tcBorders>
              <w:top w:val="single" w:sz="4" w:space="0" w:color="auto"/>
              <w:left w:val="single" w:sz="4" w:space="0" w:color="auto"/>
              <w:bottom w:val="single" w:sz="4" w:space="0" w:color="auto"/>
              <w:right w:val="single" w:sz="4" w:space="0" w:color="auto"/>
            </w:tcBorders>
            <w:shd w:val="clear" w:color="auto" w:fill="D9D9D9"/>
            <w:vAlign w:val="center"/>
          </w:tcPr>
          <w:p w:rsidR="00E65183" w:rsidRPr="00C83BDF" w:rsidRDefault="00E65183" w:rsidP="004737CD">
            <w:pPr>
              <w:keepNext/>
              <w:jc w:val="left"/>
              <w:rPr>
                <w:rFonts w:eastAsia="MS Mincho" w:cs="Arial"/>
                <w:bCs/>
                <w:dstrike/>
                <w:noProof/>
                <w:sz w:val="16"/>
                <w:szCs w:val="16"/>
                <w:lang w:val="es-ES_tradnl" w:eastAsia="ja-JP"/>
              </w:rPr>
            </w:pPr>
            <w:r w:rsidRPr="00C83BDF">
              <w:rPr>
                <w:rFonts w:eastAsia="MS Mincho" w:cs="Arial"/>
                <w:bCs/>
                <w:noProof/>
                <w:sz w:val="16"/>
                <w:szCs w:val="16"/>
                <w:lang w:val="es-ES_tradnl" w:eastAsia="ja-JP"/>
              </w:rPr>
              <w:t xml:space="preserve">Document No. </w:t>
            </w:r>
            <w:r w:rsidRPr="00C83BDF">
              <w:rPr>
                <w:rFonts w:eastAsia="MS Mincho" w:cs="Arial"/>
                <w:bCs/>
                <w:noProof/>
                <w:sz w:val="16"/>
                <w:szCs w:val="16"/>
                <w:lang w:val="es-ES_tradnl" w:eastAsia="ja-JP"/>
              </w:rPr>
              <w:br/>
              <w:t xml:space="preserve">No. du document </w:t>
            </w:r>
            <w:r w:rsidRPr="00C83BDF">
              <w:rPr>
                <w:rFonts w:eastAsia="MS Mincho" w:cs="Arial"/>
                <w:bCs/>
                <w:noProof/>
                <w:sz w:val="16"/>
                <w:szCs w:val="16"/>
                <w:lang w:val="es-ES_tradnl" w:eastAsia="ja-JP"/>
              </w:rPr>
              <w:br/>
              <w:t xml:space="preserve">Dokument-Nr. </w:t>
            </w:r>
            <w:r w:rsidRPr="00C83BDF">
              <w:rPr>
                <w:rFonts w:eastAsia="MS Mincho" w:cs="Arial"/>
                <w:bCs/>
                <w:noProof/>
                <w:sz w:val="16"/>
                <w:szCs w:val="16"/>
                <w:lang w:val="es-ES_tradnl" w:eastAsia="ja-JP"/>
              </w:rPr>
              <w:br/>
              <w:t>No del documento</w:t>
            </w:r>
          </w:p>
        </w:tc>
        <w:tc>
          <w:tcPr>
            <w:tcW w:w="1416" w:type="dxa"/>
            <w:tcBorders>
              <w:top w:val="single" w:sz="4" w:space="0" w:color="auto"/>
              <w:left w:val="single" w:sz="4" w:space="0" w:color="auto"/>
              <w:bottom w:val="single" w:sz="4" w:space="0" w:color="auto"/>
              <w:right w:val="single" w:sz="4" w:space="0" w:color="auto"/>
            </w:tcBorders>
            <w:shd w:val="clear" w:color="auto" w:fill="D9D9D9"/>
            <w:vAlign w:val="center"/>
          </w:tcPr>
          <w:p w:rsidR="00E65183" w:rsidRPr="00C83BDF" w:rsidRDefault="00E65183" w:rsidP="004737CD">
            <w:pPr>
              <w:keepNext/>
              <w:jc w:val="left"/>
              <w:rPr>
                <w:rFonts w:eastAsia="MS Mincho" w:cs="Arial"/>
                <w:bCs/>
                <w:dstrike/>
                <w:noProof/>
                <w:sz w:val="16"/>
                <w:szCs w:val="16"/>
                <w:lang w:val="es-ES_tradnl" w:eastAsia="ja-JP"/>
              </w:rPr>
            </w:pPr>
            <w:r w:rsidRPr="00C83BDF">
              <w:rPr>
                <w:rFonts w:eastAsia="MS Mincho" w:cs="Arial"/>
                <w:bCs/>
                <w:noProof/>
                <w:sz w:val="16"/>
                <w:szCs w:val="16"/>
                <w:lang w:val="es-ES_tradnl" w:eastAsia="ja-JP"/>
              </w:rPr>
              <w:t>English</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E65183" w:rsidRPr="00C83BDF" w:rsidRDefault="00E65183" w:rsidP="004737CD">
            <w:pPr>
              <w:keepNext/>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Français</w:t>
            </w:r>
          </w:p>
        </w:tc>
        <w:tc>
          <w:tcPr>
            <w:tcW w:w="1416" w:type="dxa"/>
            <w:tcBorders>
              <w:top w:val="single" w:sz="4" w:space="0" w:color="auto"/>
              <w:left w:val="single" w:sz="4" w:space="0" w:color="auto"/>
              <w:bottom w:val="single" w:sz="4" w:space="0" w:color="auto"/>
              <w:right w:val="single" w:sz="4" w:space="0" w:color="auto"/>
            </w:tcBorders>
            <w:shd w:val="clear" w:color="auto" w:fill="D9D9D9"/>
            <w:vAlign w:val="center"/>
          </w:tcPr>
          <w:p w:rsidR="00E65183" w:rsidRPr="00C83BDF" w:rsidRDefault="00E65183" w:rsidP="004737CD">
            <w:pPr>
              <w:keepNext/>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Deutsch</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E65183" w:rsidRPr="00C83BDF" w:rsidRDefault="00E65183" w:rsidP="004737CD">
            <w:pPr>
              <w:keepNext/>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Español</w:t>
            </w:r>
          </w:p>
        </w:tc>
        <w:tc>
          <w:tcPr>
            <w:tcW w:w="1936" w:type="dxa"/>
            <w:tcBorders>
              <w:top w:val="single" w:sz="4" w:space="0" w:color="auto"/>
              <w:left w:val="single" w:sz="4" w:space="0" w:color="auto"/>
              <w:bottom w:val="single" w:sz="4" w:space="0" w:color="auto"/>
              <w:right w:val="single" w:sz="4" w:space="0" w:color="auto"/>
            </w:tcBorders>
            <w:shd w:val="clear" w:color="auto" w:fill="D9D9D9"/>
            <w:vAlign w:val="center"/>
          </w:tcPr>
          <w:p w:rsidR="00E65183" w:rsidRPr="00C83BDF" w:rsidRDefault="003D11D9" w:rsidP="004737CD">
            <w:pPr>
              <w:keepNext/>
              <w:jc w:val="left"/>
              <w:rPr>
                <w:rFonts w:eastAsia="MS Mincho" w:cs="Arial"/>
                <w:noProof/>
                <w:sz w:val="16"/>
                <w:szCs w:val="16"/>
                <w:lang w:val="es-ES_tradnl" w:eastAsia="ja-JP"/>
              </w:rPr>
            </w:pPr>
            <w:r w:rsidRPr="00C83BDF">
              <w:rPr>
                <w:rFonts w:eastAsia="MS Mincho" w:cs="Arial"/>
                <w:noProof/>
                <w:sz w:val="16"/>
                <w:szCs w:val="16"/>
                <w:lang w:val="es-ES_tradnl" w:eastAsia="ja-JP"/>
              </w:rPr>
              <w:t>Botanical name</w:t>
            </w:r>
            <w:r w:rsidRPr="00C83BDF">
              <w:rPr>
                <w:rFonts w:eastAsia="MS Mincho" w:cs="Arial"/>
                <w:noProof/>
                <w:sz w:val="16"/>
                <w:szCs w:val="16"/>
                <w:lang w:val="es-ES_tradnl" w:eastAsia="ja-JP"/>
              </w:rPr>
              <w:br/>
              <w:t>Nom botanique</w:t>
            </w:r>
            <w:r w:rsidRPr="00C83BDF">
              <w:rPr>
                <w:rFonts w:eastAsia="MS Mincho" w:cs="Arial"/>
                <w:noProof/>
                <w:sz w:val="16"/>
                <w:szCs w:val="16"/>
                <w:lang w:val="es-ES_tradnl" w:eastAsia="ja-JP"/>
              </w:rPr>
              <w:br/>
              <w:t>Botanischer Name</w:t>
            </w:r>
            <w:r w:rsidRPr="00C83BDF">
              <w:rPr>
                <w:rFonts w:eastAsia="MS Mincho" w:cs="Arial"/>
                <w:noProof/>
                <w:sz w:val="16"/>
                <w:szCs w:val="16"/>
                <w:lang w:val="es-ES_tradnl" w:eastAsia="ja-JP"/>
              </w:rPr>
              <w:br/>
              <w:t>Nombre botánico</w:t>
            </w:r>
          </w:p>
        </w:tc>
      </w:tr>
      <w:tr w:rsidR="00E65183" w:rsidRPr="00C83BDF">
        <w:trPr>
          <w:cantSplit/>
          <w:jc w:val="center"/>
        </w:trPr>
        <w:tc>
          <w:tcPr>
            <w:tcW w:w="10348" w:type="dxa"/>
            <w:gridSpan w:val="8"/>
            <w:tcBorders>
              <w:top w:val="single" w:sz="4" w:space="0" w:color="auto"/>
              <w:left w:val="single" w:sz="4" w:space="0" w:color="auto"/>
              <w:bottom w:val="single" w:sz="4" w:space="0" w:color="auto"/>
              <w:right w:val="single" w:sz="4" w:space="0" w:color="auto"/>
            </w:tcBorders>
            <w:noWrap/>
          </w:tcPr>
          <w:p w:rsidR="00E65183" w:rsidRPr="00C83BDF" w:rsidRDefault="00E65183" w:rsidP="004737CD">
            <w:pPr>
              <w:keepNext/>
              <w:spacing w:before="120" w:after="120"/>
              <w:jc w:val="left"/>
              <w:rPr>
                <w:rFonts w:eastAsia="MS Mincho" w:cs="Arial"/>
                <w:bCs/>
                <w:noProof/>
                <w:sz w:val="16"/>
                <w:szCs w:val="16"/>
                <w:u w:val="single"/>
                <w:lang w:val="es-ES_tradnl" w:eastAsia="ja-JP"/>
              </w:rPr>
            </w:pPr>
            <w:r w:rsidRPr="00C83BDF">
              <w:rPr>
                <w:rFonts w:cs="Arial"/>
                <w:bCs/>
                <w:noProof/>
                <w:sz w:val="16"/>
                <w:szCs w:val="16"/>
                <w:u w:val="single"/>
                <w:lang w:val="es-ES_tradnl"/>
              </w:rPr>
              <w:t>NEW TEST GUIDELINES / NOUVEAUX PRINCIPES DIRECTEURS D’EXAMEN / NEUE PRÜFUNGSRICHTILINIEN /</w:t>
            </w:r>
            <w:r w:rsidRPr="00C83BDF">
              <w:rPr>
                <w:rFonts w:cs="Arial"/>
                <w:bCs/>
                <w:noProof/>
                <w:sz w:val="16"/>
                <w:szCs w:val="16"/>
                <w:u w:val="single"/>
                <w:lang w:val="es-ES_tradnl"/>
              </w:rPr>
              <w:br/>
              <w:t>NUEVAS DIRECTRICES DE EXAMEN</w:t>
            </w:r>
          </w:p>
        </w:tc>
      </w:tr>
      <w:tr w:rsidR="00E65183" w:rsidRPr="00C83BDF">
        <w:trPr>
          <w:cantSplit/>
          <w:jc w:val="center"/>
        </w:trPr>
        <w:tc>
          <w:tcPr>
            <w:tcW w:w="666" w:type="dxa"/>
            <w:tcBorders>
              <w:top w:val="single" w:sz="4" w:space="0" w:color="auto"/>
              <w:left w:val="single" w:sz="4" w:space="0" w:color="auto"/>
              <w:bottom w:val="single" w:sz="4" w:space="0" w:color="auto"/>
              <w:right w:val="single" w:sz="4" w:space="0" w:color="auto"/>
            </w:tcBorders>
            <w:noWrap/>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NL</w:t>
            </w:r>
          </w:p>
        </w:tc>
        <w:tc>
          <w:tcPr>
            <w:tcW w:w="591"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TWO</w:t>
            </w:r>
          </w:p>
        </w:tc>
        <w:tc>
          <w:tcPr>
            <w:tcW w:w="1489"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TG/298/1</w:t>
            </w:r>
          </w:p>
        </w:tc>
        <w:tc>
          <w:tcPr>
            <w:tcW w:w="1416"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Brazilian-jasmine</w:t>
            </w:r>
          </w:p>
        </w:tc>
        <w:tc>
          <w:tcPr>
            <w:tcW w:w="1417"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 </w:t>
            </w:r>
          </w:p>
        </w:tc>
        <w:tc>
          <w:tcPr>
            <w:tcW w:w="1416"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Brasilijasmin</w:t>
            </w:r>
          </w:p>
        </w:tc>
        <w:tc>
          <w:tcPr>
            <w:tcW w:w="1417"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 </w:t>
            </w:r>
          </w:p>
        </w:tc>
        <w:tc>
          <w:tcPr>
            <w:tcW w:w="1936"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noProof/>
                <w:sz w:val="16"/>
                <w:szCs w:val="16"/>
                <w:lang w:val="es-ES_tradnl" w:eastAsia="ja-JP"/>
              </w:rPr>
            </w:pPr>
            <w:r w:rsidRPr="00C83BDF">
              <w:rPr>
                <w:rFonts w:eastAsia="MS Mincho" w:cs="Arial"/>
                <w:noProof/>
                <w:sz w:val="16"/>
                <w:szCs w:val="16"/>
                <w:lang w:val="es-ES_tradnl" w:eastAsia="ja-JP"/>
              </w:rPr>
              <w:t>Mandevilla Lindl.</w:t>
            </w:r>
            <w:r w:rsidR="00220E3C" w:rsidRPr="00C83BDF">
              <w:rPr>
                <w:rFonts w:eastAsia="MS Mincho" w:cs="Arial"/>
                <w:noProof/>
                <w:sz w:val="16"/>
                <w:szCs w:val="16"/>
                <w:lang w:val="es-ES_tradnl" w:eastAsia="ja-JP"/>
              </w:rPr>
              <w:t xml:space="preserve">, </w:t>
            </w:r>
            <w:r w:rsidRPr="00C83BDF">
              <w:rPr>
                <w:rFonts w:eastAsia="MS Mincho" w:cs="Arial"/>
                <w:noProof/>
                <w:sz w:val="16"/>
                <w:szCs w:val="16"/>
                <w:lang w:val="es-ES_tradnl" w:eastAsia="ja-JP"/>
              </w:rPr>
              <w:t>Dipladenia A</w:t>
            </w:r>
            <w:r w:rsidR="00D94EA2" w:rsidRPr="00C83BDF">
              <w:rPr>
                <w:rFonts w:eastAsia="MS Mincho" w:cs="Arial"/>
                <w:noProof/>
                <w:sz w:val="16"/>
                <w:szCs w:val="16"/>
                <w:lang w:val="es-ES_tradnl" w:eastAsia="ja-JP"/>
              </w:rPr>
              <w:t>.  D</w:t>
            </w:r>
            <w:r w:rsidRPr="00C83BDF">
              <w:rPr>
                <w:rFonts w:eastAsia="MS Mincho" w:cs="Arial"/>
                <w:noProof/>
                <w:sz w:val="16"/>
                <w:szCs w:val="16"/>
                <w:lang w:val="es-ES_tradnl" w:eastAsia="ja-JP"/>
              </w:rPr>
              <w:t>C.</w:t>
            </w:r>
          </w:p>
        </w:tc>
      </w:tr>
      <w:tr w:rsidR="00E65183" w:rsidRPr="00C83BDF">
        <w:trPr>
          <w:cantSplit/>
          <w:jc w:val="center"/>
        </w:trPr>
        <w:tc>
          <w:tcPr>
            <w:tcW w:w="666" w:type="dxa"/>
            <w:tcBorders>
              <w:top w:val="single" w:sz="4" w:space="0" w:color="auto"/>
              <w:left w:val="single" w:sz="4" w:space="0" w:color="auto"/>
              <w:bottom w:val="single" w:sz="4" w:space="0" w:color="auto"/>
              <w:right w:val="single" w:sz="4" w:space="0" w:color="auto"/>
            </w:tcBorders>
            <w:noWrap/>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NL</w:t>
            </w:r>
          </w:p>
        </w:tc>
        <w:tc>
          <w:tcPr>
            <w:tcW w:w="591"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TWO</w:t>
            </w:r>
          </w:p>
        </w:tc>
        <w:tc>
          <w:tcPr>
            <w:tcW w:w="1489"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TG/299/1</w:t>
            </w:r>
          </w:p>
        </w:tc>
        <w:tc>
          <w:tcPr>
            <w:tcW w:w="1416"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Funkia</w:t>
            </w:r>
            <w:r w:rsidR="00220E3C" w:rsidRPr="00C83BDF">
              <w:rPr>
                <w:rFonts w:eastAsia="MS Mincho" w:cs="Arial"/>
                <w:noProof/>
                <w:sz w:val="16"/>
                <w:szCs w:val="16"/>
                <w:lang w:val="es-ES_tradnl" w:eastAsia="ja-JP"/>
              </w:rPr>
              <w:t xml:space="preserve">, </w:t>
            </w:r>
            <w:r w:rsidRPr="00C83BDF">
              <w:rPr>
                <w:rFonts w:eastAsia="MS Mincho" w:cs="Arial"/>
                <w:noProof/>
                <w:sz w:val="16"/>
                <w:szCs w:val="16"/>
                <w:lang w:val="es-ES_tradnl" w:eastAsia="ja-JP"/>
              </w:rPr>
              <w:t>Hosta</w:t>
            </w:r>
            <w:r w:rsidR="00220E3C" w:rsidRPr="00C83BDF">
              <w:rPr>
                <w:rFonts w:eastAsia="MS Mincho" w:cs="Arial"/>
                <w:noProof/>
                <w:sz w:val="16"/>
                <w:szCs w:val="16"/>
                <w:lang w:val="es-ES_tradnl" w:eastAsia="ja-JP"/>
              </w:rPr>
              <w:t xml:space="preserve">, </w:t>
            </w:r>
            <w:r w:rsidRPr="00C83BDF">
              <w:rPr>
                <w:rFonts w:eastAsia="MS Mincho" w:cs="Arial"/>
                <w:noProof/>
                <w:sz w:val="16"/>
                <w:szCs w:val="16"/>
                <w:lang w:val="es-ES_tradnl" w:eastAsia="ja-JP"/>
              </w:rPr>
              <w:t>Plantain Lily</w:t>
            </w:r>
          </w:p>
        </w:tc>
        <w:tc>
          <w:tcPr>
            <w:tcW w:w="1417"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Funkia</w:t>
            </w:r>
            <w:r w:rsidR="00220E3C" w:rsidRPr="00C83BDF">
              <w:rPr>
                <w:rFonts w:eastAsia="MS Mincho" w:cs="Arial"/>
                <w:noProof/>
                <w:sz w:val="16"/>
                <w:szCs w:val="16"/>
                <w:lang w:val="es-ES_tradnl" w:eastAsia="ja-JP"/>
              </w:rPr>
              <w:t xml:space="preserve">, </w:t>
            </w:r>
            <w:r w:rsidRPr="00C83BDF">
              <w:rPr>
                <w:rFonts w:eastAsia="MS Mincho" w:cs="Arial"/>
                <w:noProof/>
                <w:sz w:val="16"/>
                <w:szCs w:val="16"/>
                <w:lang w:val="es-ES_tradnl" w:eastAsia="ja-JP"/>
              </w:rPr>
              <w:t>Hémérocalle du Japon</w:t>
            </w:r>
          </w:p>
        </w:tc>
        <w:tc>
          <w:tcPr>
            <w:tcW w:w="1416"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Funkie</w:t>
            </w:r>
          </w:p>
        </w:tc>
        <w:tc>
          <w:tcPr>
            <w:tcW w:w="1417"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Hosta</w:t>
            </w:r>
          </w:p>
        </w:tc>
        <w:tc>
          <w:tcPr>
            <w:tcW w:w="1936"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noProof/>
                <w:sz w:val="16"/>
                <w:szCs w:val="16"/>
                <w:lang w:val="es-ES_tradnl" w:eastAsia="ja-JP"/>
              </w:rPr>
            </w:pPr>
            <w:r w:rsidRPr="00C83BDF">
              <w:rPr>
                <w:rFonts w:eastAsia="MS Mincho" w:cs="Arial"/>
                <w:noProof/>
                <w:sz w:val="16"/>
                <w:szCs w:val="16"/>
                <w:lang w:val="es-ES_tradnl" w:eastAsia="ja-JP"/>
              </w:rPr>
              <w:t>Hosta Tratt.</w:t>
            </w:r>
          </w:p>
        </w:tc>
      </w:tr>
      <w:tr w:rsidR="00E65183" w:rsidRPr="00C83BDF">
        <w:trPr>
          <w:cantSplit/>
          <w:jc w:val="center"/>
        </w:trPr>
        <w:tc>
          <w:tcPr>
            <w:tcW w:w="666" w:type="dxa"/>
            <w:tcBorders>
              <w:top w:val="single" w:sz="4" w:space="0" w:color="auto"/>
              <w:left w:val="single" w:sz="4" w:space="0" w:color="auto"/>
              <w:bottom w:val="single" w:sz="4" w:space="0" w:color="auto"/>
              <w:right w:val="single" w:sz="4" w:space="0" w:color="auto"/>
            </w:tcBorders>
            <w:noWrap/>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AU</w:t>
            </w:r>
          </w:p>
        </w:tc>
        <w:tc>
          <w:tcPr>
            <w:tcW w:w="591"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TWA</w:t>
            </w:r>
          </w:p>
        </w:tc>
        <w:tc>
          <w:tcPr>
            <w:tcW w:w="1489"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TG/300/1</w:t>
            </w:r>
          </w:p>
        </w:tc>
        <w:tc>
          <w:tcPr>
            <w:tcW w:w="1416"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Rhodesgrass</w:t>
            </w:r>
          </w:p>
        </w:tc>
        <w:tc>
          <w:tcPr>
            <w:tcW w:w="1417"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Herbe de Rhodes</w:t>
            </w:r>
          </w:p>
        </w:tc>
        <w:tc>
          <w:tcPr>
            <w:tcW w:w="1416"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Rhodesgras</w:t>
            </w:r>
          </w:p>
        </w:tc>
        <w:tc>
          <w:tcPr>
            <w:tcW w:w="1417"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Hierba de Rhodes</w:t>
            </w:r>
          </w:p>
        </w:tc>
        <w:tc>
          <w:tcPr>
            <w:tcW w:w="1936"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noProof/>
                <w:sz w:val="16"/>
                <w:szCs w:val="16"/>
                <w:lang w:val="es-ES_tradnl" w:eastAsia="ja-JP"/>
              </w:rPr>
            </w:pPr>
            <w:r w:rsidRPr="00C83BDF">
              <w:rPr>
                <w:rFonts w:eastAsia="MS Mincho" w:cs="Arial"/>
                <w:noProof/>
                <w:sz w:val="16"/>
                <w:szCs w:val="16"/>
                <w:lang w:val="es-ES_tradnl" w:eastAsia="ja-JP"/>
              </w:rPr>
              <w:t>Chloris gayana Kunth</w:t>
            </w:r>
          </w:p>
        </w:tc>
      </w:tr>
      <w:tr w:rsidR="00E65183" w:rsidRPr="00C83BDF">
        <w:trPr>
          <w:cantSplit/>
          <w:jc w:val="center"/>
        </w:trPr>
        <w:tc>
          <w:tcPr>
            <w:tcW w:w="666" w:type="dxa"/>
            <w:tcBorders>
              <w:top w:val="single" w:sz="4" w:space="0" w:color="auto"/>
              <w:left w:val="single" w:sz="4" w:space="0" w:color="auto"/>
              <w:bottom w:val="single" w:sz="4" w:space="0" w:color="auto"/>
              <w:right w:val="single" w:sz="4" w:space="0" w:color="auto"/>
            </w:tcBorders>
            <w:noWrap/>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CN</w:t>
            </w:r>
          </w:p>
        </w:tc>
        <w:tc>
          <w:tcPr>
            <w:tcW w:w="591"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TWO</w:t>
            </w:r>
          </w:p>
        </w:tc>
        <w:tc>
          <w:tcPr>
            <w:tcW w:w="1489"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TG/301/1</w:t>
            </w:r>
          </w:p>
        </w:tc>
        <w:tc>
          <w:tcPr>
            <w:tcW w:w="1416"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Lilac</w:t>
            </w:r>
          </w:p>
        </w:tc>
        <w:tc>
          <w:tcPr>
            <w:tcW w:w="1417"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Lilas</w:t>
            </w:r>
          </w:p>
        </w:tc>
        <w:tc>
          <w:tcPr>
            <w:tcW w:w="1416"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Flieder</w:t>
            </w:r>
          </w:p>
        </w:tc>
        <w:tc>
          <w:tcPr>
            <w:tcW w:w="1417"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Lila</w:t>
            </w:r>
          </w:p>
        </w:tc>
        <w:tc>
          <w:tcPr>
            <w:tcW w:w="1936"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noProof/>
                <w:sz w:val="16"/>
                <w:szCs w:val="16"/>
                <w:lang w:val="es-ES_tradnl" w:eastAsia="ja-JP"/>
              </w:rPr>
            </w:pPr>
            <w:r w:rsidRPr="00C83BDF">
              <w:rPr>
                <w:rFonts w:eastAsia="MS Mincho" w:cs="Arial"/>
                <w:noProof/>
                <w:sz w:val="16"/>
                <w:szCs w:val="16"/>
                <w:lang w:val="es-ES_tradnl" w:eastAsia="ja-JP"/>
              </w:rPr>
              <w:t>Syringa L.</w:t>
            </w:r>
          </w:p>
        </w:tc>
      </w:tr>
      <w:tr w:rsidR="00E65183" w:rsidRPr="00C83BDF">
        <w:trPr>
          <w:cantSplit/>
          <w:jc w:val="center"/>
        </w:trPr>
        <w:tc>
          <w:tcPr>
            <w:tcW w:w="666" w:type="dxa"/>
            <w:tcBorders>
              <w:top w:val="single" w:sz="4" w:space="0" w:color="auto"/>
              <w:left w:val="single" w:sz="4" w:space="0" w:color="auto"/>
              <w:bottom w:val="single" w:sz="4" w:space="0" w:color="auto"/>
              <w:right w:val="single" w:sz="4" w:space="0" w:color="auto"/>
            </w:tcBorders>
            <w:noWrap/>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CN</w:t>
            </w:r>
          </w:p>
        </w:tc>
        <w:tc>
          <w:tcPr>
            <w:tcW w:w="591"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TWF</w:t>
            </w:r>
          </w:p>
        </w:tc>
        <w:tc>
          <w:tcPr>
            <w:tcW w:w="1489"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TG/302/1</w:t>
            </w:r>
          </w:p>
        </w:tc>
        <w:tc>
          <w:tcPr>
            <w:tcW w:w="1416"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Litchi</w:t>
            </w:r>
            <w:r w:rsidR="00220E3C" w:rsidRPr="00C83BDF">
              <w:rPr>
                <w:rFonts w:eastAsia="MS Mincho" w:cs="Arial"/>
                <w:noProof/>
                <w:sz w:val="16"/>
                <w:szCs w:val="16"/>
                <w:lang w:val="es-ES_tradnl" w:eastAsia="ja-JP"/>
              </w:rPr>
              <w:t xml:space="preserve">, </w:t>
            </w:r>
            <w:r w:rsidRPr="00C83BDF">
              <w:rPr>
                <w:rFonts w:eastAsia="MS Mincho" w:cs="Arial"/>
                <w:noProof/>
                <w:sz w:val="16"/>
                <w:szCs w:val="16"/>
                <w:lang w:val="es-ES_tradnl" w:eastAsia="ja-JP"/>
              </w:rPr>
              <w:t>Lychee</w:t>
            </w:r>
          </w:p>
        </w:tc>
        <w:tc>
          <w:tcPr>
            <w:tcW w:w="1417"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Litchi</w:t>
            </w:r>
          </w:p>
        </w:tc>
        <w:tc>
          <w:tcPr>
            <w:tcW w:w="1416"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Litschi</w:t>
            </w:r>
          </w:p>
        </w:tc>
        <w:tc>
          <w:tcPr>
            <w:tcW w:w="1417"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Litchi</w:t>
            </w:r>
          </w:p>
        </w:tc>
        <w:tc>
          <w:tcPr>
            <w:tcW w:w="1936"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noProof/>
                <w:sz w:val="16"/>
                <w:szCs w:val="16"/>
                <w:lang w:val="es-ES_tradnl" w:eastAsia="ja-JP"/>
              </w:rPr>
            </w:pPr>
            <w:r w:rsidRPr="00C83BDF">
              <w:rPr>
                <w:rFonts w:eastAsia="MS Mincho" w:cs="Arial"/>
                <w:noProof/>
                <w:sz w:val="16"/>
                <w:szCs w:val="16"/>
                <w:lang w:val="es-ES_tradnl" w:eastAsia="ja-JP"/>
              </w:rPr>
              <w:t>Litchi chinensis Sonn.</w:t>
            </w:r>
          </w:p>
        </w:tc>
      </w:tr>
      <w:tr w:rsidR="00E65183" w:rsidRPr="00C83BDF">
        <w:trPr>
          <w:cantSplit/>
          <w:jc w:val="center"/>
        </w:trPr>
        <w:tc>
          <w:tcPr>
            <w:tcW w:w="666" w:type="dxa"/>
            <w:tcBorders>
              <w:top w:val="single" w:sz="4" w:space="0" w:color="auto"/>
              <w:left w:val="single" w:sz="4" w:space="0" w:color="auto"/>
              <w:bottom w:val="single" w:sz="4" w:space="0" w:color="auto"/>
              <w:right w:val="single" w:sz="4" w:space="0" w:color="auto"/>
            </w:tcBorders>
            <w:noWrap/>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MX</w:t>
            </w:r>
          </w:p>
        </w:tc>
        <w:tc>
          <w:tcPr>
            <w:tcW w:w="591"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TWF</w:t>
            </w:r>
          </w:p>
        </w:tc>
        <w:tc>
          <w:tcPr>
            <w:tcW w:w="1489"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TG/303/1</w:t>
            </w:r>
          </w:p>
        </w:tc>
        <w:tc>
          <w:tcPr>
            <w:tcW w:w="1416"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Vanilla</w:t>
            </w:r>
          </w:p>
        </w:tc>
        <w:tc>
          <w:tcPr>
            <w:tcW w:w="1417"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Vanillier</w:t>
            </w:r>
          </w:p>
        </w:tc>
        <w:tc>
          <w:tcPr>
            <w:tcW w:w="1416"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Vanille-Pflanze</w:t>
            </w:r>
          </w:p>
        </w:tc>
        <w:tc>
          <w:tcPr>
            <w:tcW w:w="1417"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dstrike/>
                <w:noProof/>
                <w:sz w:val="16"/>
                <w:szCs w:val="16"/>
                <w:lang w:val="es-ES_tradnl" w:eastAsia="ja-JP"/>
              </w:rPr>
            </w:pPr>
            <w:r w:rsidRPr="00C83BDF">
              <w:rPr>
                <w:rFonts w:eastAsia="MS Mincho" w:cs="Arial"/>
                <w:noProof/>
                <w:sz w:val="16"/>
                <w:szCs w:val="16"/>
                <w:lang w:val="es-ES_tradnl" w:eastAsia="ja-JP"/>
              </w:rPr>
              <w:t>Vainilla</w:t>
            </w:r>
            <w:r w:rsidR="00220E3C" w:rsidRPr="00C83BDF">
              <w:rPr>
                <w:rFonts w:eastAsia="MS Mincho" w:cs="Arial"/>
                <w:noProof/>
                <w:sz w:val="16"/>
                <w:szCs w:val="16"/>
                <w:lang w:val="es-ES_tradnl" w:eastAsia="ja-JP"/>
              </w:rPr>
              <w:t xml:space="preserve">, </w:t>
            </w:r>
            <w:r w:rsidRPr="00C83BDF">
              <w:rPr>
                <w:rFonts w:eastAsia="MS Mincho" w:cs="Arial"/>
                <w:noProof/>
                <w:sz w:val="16"/>
                <w:szCs w:val="16"/>
                <w:lang w:val="es-ES_tradnl" w:eastAsia="ja-JP"/>
              </w:rPr>
              <w:t>Xanath</w:t>
            </w:r>
          </w:p>
        </w:tc>
        <w:tc>
          <w:tcPr>
            <w:tcW w:w="1936" w:type="dxa"/>
            <w:tcBorders>
              <w:top w:val="single" w:sz="4" w:space="0" w:color="auto"/>
              <w:left w:val="nil"/>
              <w:bottom w:val="single" w:sz="4" w:space="0" w:color="auto"/>
              <w:right w:val="single" w:sz="4" w:space="0" w:color="auto"/>
            </w:tcBorders>
          </w:tcPr>
          <w:p w:rsidR="00E65183" w:rsidRPr="00C83BDF" w:rsidRDefault="00E65183" w:rsidP="004737CD">
            <w:pPr>
              <w:jc w:val="left"/>
              <w:rPr>
                <w:rFonts w:eastAsia="MS Mincho" w:cs="Arial"/>
                <w:noProof/>
                <w:sz w:val="16"/>
                <w:szCs w:val="16"/>
                <w:lang w:val="es-ES_tradnl" w:eastAsia="ja-JP"/>
              </w:rPr>
            </w:pPr>
            <w:r w:rsidRPr="00C83BDF">
              <w:rPr>
                <w:rFonts w:eastAsia="MS Mincho" w:cs="Arial"/>
                <w:noProof/>
                <w:sz w:val="16"/>
                <w:szCs w:val="16"/>
                <w:lang w:val="es-ES_tradnl" w:eastAsia="ja-JP"/>
              </w:rPr>
              <w:t>Vanilla planifolia Jacks.</w:t>
            </w:r>
          </w:p>
        </w:tc>
      </w:tr>
      <w:tr w:rsidR="00E65183" w:rsidRPr="00C83BDF">
        <w:trPr>
          <w:cantSplit/>
          <w:jc w:val="center"/>
        </w:trPr>
        <w:tc>
          <w:tcPr>
            <w:tcW w:w="10348" w:type="dxa"/>
            <w:gridSpan w:val="8"/>
            <w:tcBorders>
              <w:top w:val="nil"/>
              <w:left w:val="single" w:sz="4" w:space="0" w:color="auto"/>
              <w:bottom w:val="single" w:sz="4" w:space="0" w:color="auto"/>
              <w:right w:val="single" w:sz="4" w:space="0" w:color="auto"/>
            </w:tcBorders>
          </w:tcPr>
          <w:p w:rsidR="00E65183" w:rsidRPr="00C83BDF" w:rsidRDefault="00E65183" w:rsidP="004737CD">
            <w:pPr>
              <w:keepNext/>
              <w:spacing w:before="120" w:after="120"/>
              <w:jc w:val="left"/>
              <w:rPr>
                <w:rFonts w:eastAsia="MS Mincho" w:cs="Arial"/>
                <w:bCs/>
                <w:noProof/>
                <w:sz w:val="16"/>
                <w:szCs w:val="16"/>
                <w:u w:val="single"/>
                <w:lang w:val="es-ES_tradnl" w:eastAsia="ja-JP"/>
              </w:rPr>
            </w:pPr>
            <w:r w:rsidRPr="00C83BDF">
              <w:rPr>
                <w:rFonts w:eastAsia="MS Mincho" w:cs="Arial"/>
                <w:b/>
                <w:bCs/>
                <w:noProof/>
                <w:sz w:val="16"/>
                <w:szCs w:val="16"/>
                <w:u w:val="single"/>
                <w:lang w:val="es-ES_tradnl" w:eastAsia="ja-JP"/>
              </w:rPr>
              <w:t> </w:t>
            </w:r>
            <w:r w:rsidRPr="00C83BDF">
              <w:rPr>
                <w:rFonts w:cs="Arial"/>
                <w:bCs/>
                <w:noProof/>
                <w:sz w:val="16"/>
                <w:szCs w:val="16"/>
                <w:u w:val="single"/>
                <w:lang w:val="es-ES_tradnl"/>
              </w:rPr>
              <w:t xml:space="preserve">REVISIONS OF TEST GUIDELINES / </w:t>
            </w:r>
            <w:r w:rsidRPr="00C83BDF">
              <w:rPr>
                <w:rFonts w:cs="Arial"/>
                <w:noProof/>
                <w:sz w:val="16"/>
                <w:szCs w:val="16"/>
                <w:u w:val="single"/>
                <w:lang w:val="es-ES_tradnl"/>
              </w:rPr>
              <w:t>RÉVISIONS DE PRINCIPES DIRECTEURS D’EXAMEN ADOPTÉS / REVISIONEN ANGENOMMENER PRÜFUNGSRICHTLINIEN / REVISIONES DE DIRECTRICES DE EXAMEN ADOPTADAS</w:t>
            </w:r>
          </w:p>
        </w:tc>
      </w:tr>
      <w:tr w:rsidR="00E65183" w:rsidRPr="00C83BDF">
        <w:trPr>
          <w:cantSplit/>
          <w:jc w:val="center"/>
        </w:trPr>
        <w:tc>
          <w:tcPr>
            <w:tcW w:w="666" w:type="dxa"/>
            <w:tcBorders>
              <w:top w:val="nil"/>
              <w:left w:val="single" w:sz="4" w:space="0" w:color="auto"/>
              <w:bottom w:val="single" w:sz="4" w:space="0" w:color="auto"/>
              <w:right w:val="single" w:sz="4" w:space="0" w:color="auto"/>
            </w:tcBorders>
            <w:noWrap/>
          </w:tcPr>
          <w:p w:rsidR="00E65183" w:rsidRPr="00C83BDF" w:rsidRDefault="00E65183" w:rsidP="004737CD">
            <w:pPr>
              <w:jc w:val="left"/>
              <w:rPr>
                <w:rFonts w:cs="Arial"/>
                <w:dstrike/>
                <w:noProof/>
                <w:sz w:val="16"/>
                <w:szCs w:val="16"/>
                <w:lang w:val="es-ES_tradnl"/>
              </w:rPr>
            </w:pPr>
            <w:r w:rsidRPr="00C83BDF">
              <w:rPr>
                <w:rFonts w:cs="Arial"/>
                <w:noProof/>
                <w:sz w:val="16"/>
                <w:szCs w:val="16"/>
                <w:lang w:val="es-ES_tradnl"/>
              </w:rPr>
              <w:t>DE</w:t>
            </w:r>
          </w:p>
        </w:tc>
        <w:tc>
          <w:tcPr>
            <w:tcW w:w="591"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szCs w:val="16"/>
                <w:lang w:val="es-ES_tradnl"/>
              </w:rPr>
            </w:pPr>
            <w:r w:rsidRPr="00C83BDF">
              <w:rPr>
                <w:rFonts w:cs="Arial"/>
                <w:noProof/>
                <w:sz w:val="16"/>
                <w:szCs w:val="16"/>
                <w:lang w:val="es-ES_tradnl"/>
              </w:rPr>
              <w:t>TWA</w:t>
            </w:r>
          </w:p>
        </w:tc>
        <w:tc>
          <w:tcPr>
            <w:tcW w:w="1489"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szCs w:val="16"/>
                <w:lang w:val="es-ES_tradnl"/>
              </w:rPr>
            </w:pPr>
            <w:r w:rsidRPr="00C83BDF">
              <w:rPr>
                <w:rFonts w:cs="Arial"/>
                <w:noProof/>
                <w:sz w:val="16"/>
                <w:szCs w:val="16"/>
                <w:lang w:val="es-ES_tradnl"/>
              </w:rPr>
              <w:t>TG/33/7</w:t>
            </w:r>
          </w:p>
        </w:tc>
        <w:tc>
          <w:tcPr>
            <w:tcW w:w="1416"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szCs w:val="16"/>
                <w:lang w:val="es-ES_tradnl"/>
              </w:rPr>
            </w:pPr>
            <w:r w:rsidRPr="00C83BDF">
              <w:rPr>
                <w:rFonts w:cs="Arial"/>
                <w:noProof/>
                <w:sz w:val="16"/>
                <w:szCs w:val="16"/>
                <w:lang w:val="es-ES_tradnl"/>
              </w:rPr>
              <w:t>Kentucky Bluegrass</w:t>
            </w:r>
          </w:p>
        </w:tc>
        <w:tc>
          <w:tcPr>
            <w:tcW w:w="1417"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szCs w:val="16"/>
                <w:lang w:val="es-ES_tradnl"/>
              </w:rPr>
            </w:pPr>
            <w:r w:rsidRPr="00C83BDF">
              <w:rPr>
                <w:rFonts w:cs="Arial"/>
                <w:noProof/>
                <w:sz w:val="16"/>
                <w:szCs w:val="16"/>
                <w:lang w:val="es-ES_tradnl"/>
              </w:rPr>
              <w:t>Pâturin des prés</w:t>
            </w:r>
          </w:p>
        </w:tc>
        <w:tc>
          <w:tcPr>
            <w:tcW w:w="1416"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szCs w:val="16"/>
                <w:lang w:val="es-ES_tradnl"/>
              </w:rPr>
            </w:pPr>
            <w:r w:rsidRPr="00C83BDF">
              <w:rPr>
                <w:rFonts w:cs="Arial"/>
                <w:noProof/>
                <w:sz w:val="16"/>
                <w:szCs w:val="16"/>
                <w:lang w:val="es-ES_tradnl"/>
              </w:rPr>
              <w:t xml:space="preserve">Wiesenrispe </w:t>
            </w:r>
          </w:p>
        </w:tc>
        <w:tc>
          <w:tcPr>
            <w:tcW w:w="1417"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szCs w:val="16"/>
                <w:lang w:val="es-ES_tradnl"/>
              </w:rPr>
            </w:pPr>
            <w:r w:rsidRPr="00C83BDF">
              <w:rPr>
                <w:rFonts w:cs="Arial"/>
                <w:noProof/>
                <w:sz w:val="16"/>
                <w:szCs w:val="16"/>
                <w:lang w:val="es-ES_tradnl"/>
              </w:rPr>
              <w:t>Poa de los prados</w:t>
            </w:r>
          </w:p>
        </w:tc>
        <w:tc>
          <w:tcPr>
            <w:tcW w:w="1936" w:type="dxa"/>
            <w:tcBorders>
              <w:top w:val="nil"/>
              <w:left w:val="nil"/>
              <w:bottom w:val="single" w:sz="4" w:space="0" w:color="auto"/>
              <w:right w:val="single" w:sz="4" w:space="0" w:color="auto"/>
            </w:tcBorders>
          </w:tcPr>
          <w:p w:rsidR="00E65183" w:rsidRPr="00C83BDF" w:rsidRDefault="00E65183" w:rsidP="004737CD">
            <w:pPr>
              <w:jc w:val="left"/>
              <w:rPr>
                <w:rFonts w:cs="Arial"/>
                <w:noProof/>
                <w:sz w:val="16"/>
                <w:szCs w:val="16"/>
                <w:lang w:val="es-ES_tradnl"/>
              </w:rPr>
            </w:pPr>
            <w:r w:rsidRPr="00C83BDF">
              <w:rPr>
                <w:rFonts w:cs="Arial"/>
                <w:noProof/>
                <w:sz w:val="16"/>
                <w:szCs w:val="16"/>
                <w:lang w:val="es-ES_tradnl"/>
              </w:rPr>
              <w:t>Poa pratensis L.</w:t>
            </w:r>
          </w:p>
        </w:tc>
      </w:tr>
      <w:tr w:rsidR="00E65183" w:rsidRPr="00C83BDF">
        <w:trPr>
          <w:cantSplit/>
          <w:jc w:val="center"/>
        </w:trPr>
        <w:tc>
          <w:tcPr>
            <w:tcW w:w="666" w:type="dxa"/>
            <w:tcBorders>
              <w:top w:val="nil"/>
              <w:left w:val="single" w:sz="4" w:space="0" w:color="auto"/>
              <w:bottom w:val="single" w:sz="4" w:space="0" w:color="auto"/>
              <w:right w:val="single" w:sz="4" w:space="0" w:color="auto"/>
            </w:tcBorders>
            <w:noWrap/>
          </w:tcPr>
          <w:p w:rsidR="00E65183" w:rsidRPr="00C83BDF" w:rsidRDefault="00E65183" w:rsidP="004737CD">
            <w:pPr>
              <w:jc w:val="left"/>
              <w:rPr>
                <w:rFonts w:cs="Arial"/>
                <w:dstrike/>
                <w:noProof/>
                <w:color w:val="000000"/>
                <w:sz w:val="16"/>
                <w:szCs w:val="16"/>
                <w:lang w:val="es-ES_tradnl"/>
              </w:rPr>
            </w:pPr>
            <w:r w:rsidRPr="00C83BDF">
              <w:rPr>
                <w:rFonts w:cs="Arial"/>
                <w:noProof/>
                <w:color w:val="000000"/>
                <w:sz w:val="16"/>
                <w:szCs w:val="16"/>
                <w:lang w:val="es-ES_tradnl"/>
              </w:rPr>
              <w:t>ZA</w:t>
            </w:r>
          </w:p>
        </w:tc>
        <w:tc>
          <w:tcPr>
            <w:tcW w:w="591"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color w:val="000000"/>
                <w:sz w:val="16"/>
                <w:szCs w:val="16"/>
                <w:lang w:val="es-ES_tradnl"/>
              </w:rPr>
            </w:pPr>
            <w:r w:rsidRPr="00C83BDF">
              <w:rPr>
                <w:rFonts w:cs="Arial"/>
                <w:noProof/>
                <w:color w:val="000000"/>
                <w:sz w:val="16"/>
                <w:szCs w:val="16"/>
                <w:lang w:val="es-ES_tradnl"/>
              </w:rPr>
              <w:t>TWA</w:t>
            </w:r>
          </w:p>
        </w:tc>
        <w:tc>
          <w:tcPr>
            <w:tcW w:w="1489"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szCs w:val="16"/>
                <w:lang w:val="es-ES_tradnl"/>
              </w:rPr>
            </w:pPr>
            <w:r w:rsidRPr="00C83BDF">
              <w:rPr>
                <w:rFonts w:cs="Arial"/>
                <w:noProof/>
                <w:sz w:val="16"/>
                <w:szCs w:val="16"/>
                <w:lang w:val="es-ES_tradnl"/>
              </w:rPr>
              <w:t>TG/93/4</w:t>
            </w:r>
          </w:p>
        </w:tc>
        <w:tc>
          <w:tcPr>
            <w:tcW w:w="1416"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szCs w:val="16"/>
                <w:lang w:val="es-ES_tradnl"/>
              </w:rPr>
            </w:pPr>
            <w:r w:rsidRPr="00C83BDF">
              <w:rPr>
                <w:rFonts w:cs="Arial"/>
                <w:noProof/>
                <w:sz w:val="16"/>
                <w:szCs w:val="16"/>
                <w:lang w:val="es-ES_tradnl"/>
              </w:rPr>
              <w:t>Groundnut</w:t>
            </w:r>
          </w:p>
        </w:tc>
        <w:tc>
          <w:tcPr>
            <w:tcW w:w="1417"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szCs w:val="16"/>
                <w:lang w:val="es-ES_tradnl"/>
              </w:rPr>
            </w:pPr>
            <w:r w:rsidRPr="00C83BDF">
              <w:rPr>
                <w:rFonts w:cs="Arial"/>
                <w:noProof/>
                <w:sz w:val="16"/>
                <w:szCs w:val="16"/>
                <w:lang w:val="es-ES_tradnl"/>
              </w:rPr>
              <w:t>Arachide</w:t>
            </w:r>
          </w:p>
        </w:tc>
        <w:tc>
          <w:tcPr>
            <w:tcW w:w="1416"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szCs w:val="16"/>
                <w:lang w:val="es-ES_tradnl"/>
              </w:rPr>
            </w:pPr>
            <w:r w:rsidRPr="00C83BDF">
              <w:rPr>
                <w:rFonts w:cs="Arial"/>
                <w:noProof/>
                <w:sz w:val="16"/>
                <w:szCs w:val="16"/>
                <w:lang w:val="es-ES_tradnl"/>
              </w:rPr>
              <w:t>Erdnuß</w:t>
            </w:r>
          </w:p>
        </w:tc>
        <w:tc>
          <w:tcPr>
            <w:tcW w:w="1417"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szCs w:val="16"/>
                <w:lang w:val="es-ES_tradnl"/>
              </w:rPr>
            </w:pPr>
            <w:r w:rsidRPr="00C83BDF">
              <w:rPr>
                <w:rFonts w:cs="Arial"/>
                <w:noProof/>
                <w:sz w:val="16"/>
                <w:szCs w:val="16"/>
                <w:lang w:val="es-ES_tradnl"/>
              </w:rPr>
              <w:t>Cacahuete</w:t>
            </w:r>
            <w:r w:rsidR="00220E3C" w:rsidRPr="00C83BDF">
              <w:rPr>
                <w:rFonts w:cs="Arial"/>
                <w:noProof/>
                <w:sz w:val="16"/>
                <w:szCs w:val="16"/>
                <w:lang w:val="es-ES_tradnl"/>
              </w:rPr>
              <w:t xml:space="preserve">, </w:t>
            </w:r>
            <w:r w:rsidRPr="00C83BDF">
              <w:rPr>
                <w:rFonts w:cs="Arial"/>
                <w:noProof/>
                <w:sz w:val="16"/>
                <w:szCs w:val="16"/>
                <w:lang w:val="es-ES_tradnl"/>
              </w:rPr>
              <w:t>Maní</w:t>
            </w:r>
          </w:p>
        </w:tc>
        <w:tc>
          <w:tcPr>
            <w:tcW w:w="1936" w:type="dxa"/>
            <w:tcBorders>
              <w:top w:val="nil"/>
              <w:left w:val="nil"/>
              <w:bottom w:val="single" w:sz="4" w:space="0" w:color="auto"/>
              <w:right w:val="single" w:sz="4" w:space="0" w:color="auto"/>
            </w:tcBorders>
          </w:tcPr>
          <w:p w:rsidR="00E65183" w:rsidRPr="00C83BDF" w:rsidRDefault="00E65183" w:rsidP="004737CD">
            <w:pPr>
              <w:jc w:val="left"/>
              <w:rPr>
                <w:rFonts w:cs="Arial"/>
                <w:noProof/>
                <w:sz w:val="16"/>
                <w:szCs w:val="16"/>
                <w:lang w:val="es-ES_tradnl"/>
              </w:rPr>
            </w:pPr>
            <w:r w:rsidRPr="00C83BDF">
              <w:rPr>
                <w:rFonts w:cs="Arial"/>
                <w:noProof/>
                <w:sz w:val="16"/>
                <w:szCs w:val="16"/>
                <w:lang w:val="es-ES_tradnl"/>
              </w:rPr>
              <w:t>Arachis L.</w:t>
            </w:r>
          </w:p>
        </w:tc>
      </w:tr>
      <w:tr w:rsidR="00E65183" w:rsidRPr="00C83BDF">
        <w:trPr>
          <w:cantSplit/>
          <w:jc w:val="center"/>
        </w:trPr>
        <w:tc>
          <w:tcPr>
            <w:tcW w:w="666" w:type="dxa"/>
            <w:tcBorders>
              <w:top w:val="nil"/>
              <w:left w:val="single" w:sz="4" w:space="0" w:color="auto"/>
              <w:bottom w:val="single" w:sz="4" w:space="0" w:color="auto"/>
              <w:right w:val="single" w:sz="4" w:space="0" w:color="auto"/>
            </w:tcBorders>
          </w:tcPr>
          <w:p w:rsidR="00E65183" w:rsidRPr="00C83BDF" w:rsidRDefault="00E65183" w:rsidP="004737CD">
            <w:pPr>
              <w:jc w:val="left"/>
              <w:rPr>
                <w:rFonts w:cs="Arial"/>
                <w:dstrike/>
                <w:noProof/>
                <w:sz w:val="16"/>
                <w:szCs w:val="16"/>
                <w:lang w:val="es-ES_tradnl"/>
              </w:rPr>
            </w:pPr>
            <w:r w:rsidRPr="00C83BDF">
              <w:rPr>
                <w:rFonts w:cs="Arial"/>
                <w:noProof/>
                <w:sz w:val="16"/>
                <w:szCs w:val="16"/>
                <w:lang w:val="es-ES_tradnl"/>
              </w:rPr>
              <w:t>HU</w:t>
            </w:r>
          </w:p>
        </w:tc>
        <w:tc>
          <w:tcPr>
            <w:tcW w:w="591"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szCs w:val="16"/>
                <w:lang w:val="es-ES_tradnl"/>
              </w:rPr>
            </w:pPr>
            <w:r w:rsidRPr="00C83BDF">
              <w:rPr>
                <w:rFonts w:cs="Arial"/>
                <w:noProof/>
                <w:sz w:val="16"/>
                <w:szCs w:val="16"/>
                <w:lang w:val="es-ES_tradnl"/>
              </w:rPr>
              <w:t>TWV</w:t>
            </w:r>
          </w:p>
        </w:tc>
        <w:tc>
          <w:tcPr>
            <w:tcW w:w="1489"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szCs w:val="16"/>
                <w:lang w:val="es-ES_tradnl"/>
              </w:rPr>
            </w:pPr>
            <w:r w:rsidRPr="00C83BDF">
              <w:rPr>
                <w:rFonts w:cs="Arial"/>
                <w:noProof/>
                <w:sz w:val="16"/>
                <w:szCs w:val="16"/>
                <w:lang w:val="es-ES_tradnl"/>
              </w:rPr>
              <w:t xml:space="preserve">TG/166/4 </w:t>
            </w:r>
          </w:p>
        </w:tc>
        <w:tc>
          <w:tcPr>
            <w:tcW w:w="1416"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szCs w:val="16"/>
                <w:lang w:val="es-ES_tradnl"/>
              </w:rPr>
            </w:pPr>
            <w:r w:rsidRPr="00C83BDF">
              <w:rPr>
                <w:rFonts w:cs="Arial"/>
                <w:noProof/>
                <w:sz w:val="16"/>
                <w:szCs w:val="16"/>
                <w:lang w:val="es-ES_tradnl"/>
              </w:rPr>
              <w:t>Opium/Seed Poppy</w:t>
            </w:r>
          </w:p>
        </w:tc>
        <w:tc>
          <w:tcPr>
            <w:tcW w:w="1417"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szCs w:val="16"/>
                <w:lang w:val="es-ES_tradnl"/>
              </w:rPr>
            </w:pPr>
            <w:r w:rsidRPr="00C83BDF">
              <w:rPr>
                <w:rFonts w:cs="Arial"/>
                <w:noProof/>
                <w:sz w:val="16"/>
                <w:szCs w:val="16"/>
                <w:lang w:val="es-ES_tradnl"/>
              </w:rPr>
              <w:t>OEillette</w:t>
            </w:r>
            <w:r w:rsidR="00220E3C" w:rsidRPr="00C83BDF">
              <w:rPr>
                <w:rFonts w:cs="Arial"/>
                <w:noProof/>
                <w:sz w:val="16"/>
                <w:szCs w:val="16"/>
                <w:lang w:val="es-ES_tradnl"/>
              </w:rPr>
              <w:t xml:space="preserve">, </w:t>
            </w:r>
            <w:r w:rsidRPr="00C83BDF">
              <w:rPr>
                <w:rFonts w:cs="Arial"/>
                <w:noProof/>
                <w:sz w:val="16"/>
                <w:szCs w:val="16"/>
                <w:lang w:val="es-ES_tradnl"/>
              </w:rPr>
              <w:t>Pavot</w:t>
            </w:r>
          </w:p>
        </w:tc>
        <w:tc>
          <w:tcPr>
            <w:tcW w:w="1416"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szCs w:val="16"/>
                <w:lang w:val="es-ES_tradnl"/>
              </w:rPr>
            </w:pPr>
            <w:r w:rsidRPr="00C83BDF">
              <w:rPr>
                <w:rFonts w:cs="Arial"/>
                <w:noProof/>
                <w:sz w:val="16"/>
                <w:szCs w:val="16"/>
                <w:lang w:val="es-ES_tradnl"/>
              </w:rPr>
              <w:t>Mohn</w:t>
            </w:r>
            <w:r w:rsidR="00220E3C" w:rsidRPr="00C83BDF">
              <w:rPr>
                <w:rFonts w:cs="Arial"/>
                <w:noProof/>
                <w:sz w:val="16"/>
                <w:szCs w:val="16"/>
                <w:lang w:val="es-ES_tradnl"/>
              </w:rPr>
              <w:t xml:space="preserve">, </w:t>
            </w:r>
            <w:r w:rsidRPr="00C83BDF">
              <w:rPr>
                <w:rFonts w:cs="Arial"/>
                <w:noProof/>
                <w:sz w:val="16"/>
                <w:szCs w:val="16"/>
                <w:lang w:val="es-ES_tradnl"/>
              </w:rPr>
              <w:t>Schlafmohn</w:t>
            </w:r>
          </w:p>
        </w:tc>
        <w:tc>
          <w:tcPr>
            <w:tcW w:w="1417"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szCs w:val="16"/>
                <w:lang w:val="es-ES_tradnl"/>
              </w:rPr>
            </w:pPr>
            <w:r w:rsidRPr="00C83BDF">
              <w:rPr>
                <w:rFonts w:cs="Arial"/>
                <w:noProof/>
                <w:sz w:val="16"/>
                <w:szCs w:val="16"/>
                <w:lang w:val="es-ES_tradnl"/>
              </w:rPr>
              <w:t>Adormidera</w:t>
            </w:r>
            <w:r w:rsidR="00220E3C" w:rsidRPr="00C83BDF">
              <w:rPr>
                <w:rFonts w:cs="Arial"/>
                <w:noProof/>
                <w:sz w:val="16"/>
                <w:szCs w:val="16"/>
                <w:lang w:val="es-ES_tradnl"/>
              </w:rPr>
              <w:t xml:space="preserve">, </w:t>
            </w:r>
            <w:r w:rsidRPr="00C83BDF">
              <w:rPr>
                <w:rFonts w:cs="Arial"/>
                <w:noProof/>
                <w:sz w:val="16"/>
                <w:szCs w:val="16"/>
                <w:lang w:val="es-ES_tradnl"/>
              </w:rPr>
              <w:t>Amapola</w:t>
            </w:r>
            <w:r w:rsidR="00220E3C" w:rsidRPr="00C83BDF">
              <w:rPr>
                <w:rFonts w:cs="Arial"/>
                <w:noProof/>
                <w:sz w:val="16"/>
                <w:szCs w:val="16"/>
                <w:lang w:val="es-ES_tradnl"/>
              </w:rPr>
              <w:t xml:space="preserve">, </w:t>
            </w:r>
            <w:r w:rsidRPr="00C83BDF">
              <w:rPr>
                <w:rFonts w:cs="Arial"/>
                <w:noProof/>
                <w:sz w:val="16"/>
                <w:szCs w:val="16"/>
                <w:lang w:val="es-ES_tradnl"/>
              </w:rPr>
              <w:t>Opio</w:t>
            </w:r>
          </w:p>
        </w:tc>
        <w:tc>
          <w:tcPr>
            <w:tcW w:w="1936" w:type="dxa"/>
            <w:tcBorders>
              <w:top w:val="nil"/>
              <w:left w:val="nil"/>
              <w:bottom w:val="single" w:sz="4" w:space="0" w:color="auto"/>
              <w:right w:val="single" w:sz="4" w:space="0" w:color="auto"/>
            </w:tcBorders>
          </w:tcPr>
          <w:p w:rsidR="00E65183" w:rsidRPr="00C83BDF" w:rsidRDefault="00E65183" w:rsidP="004737CD">
            <w:pPr>
              <w:jc w:val="left"/>
              <w:rPr>
                <w:rFonts w:cs="Arial"/>
                <w:noProof/>
                <w:sz w:val="16"/>
                <w:szCs w:val="16"/>
                <w:lang w:val="es-ES_tradnl"/>
              </w:rPr>
            </w:pPr>
            <w:r w:rsidRPr="00C83BDF">
              <w:rPr>
                <w:rFonts w:cs="Arial"/>
                <w:noProof/>
                <w:sz w:val="16"/>
                <w:szCs w:val="16"/>
                <w:lang w:val="es-ES_tradnl"/>
              </w:rPr>
              <w:t>Papaver somniferum L.</w:t>
            </w:r>
          </w:p>
        </w:tc>
      </w:tr>
      <w:tr w:rsidR="00E65183" w:rsidRPr="00C83BDF">
        <w:trPr>
          <w:cantSplit/>
          <w:jc w:val="center"/>
        </w:trPr>
        <w:tc>
          <w:tcPr>
            <w:tcW w:w="666" w:type="dxa"/>
            <w:tcBorders>
              <w:top w:val="nil"/>
              <w:left w:val="single" w:sz="4" w:space="0" w:color="auto"/>
              <w:bottom w:val="single" w:sz="4" w:space="0" w:color="auto"/>
              <w:right w:val="single" w:sz="4" w:space="0" w:color="auto"/>
            </w:tcBorders>
            <w:noWrap/>
          </w:tcPr>
          <w:p w:rsidR="00E65183" w:rsidRPr="00C83BDF" w:rsidRDefault="00E65183" w:rsidP="004737CD">
            <w:pPr>
              <w:jc w:val="left"/>
              <w:rPr>
                <w:rFonts w:cs="Arial"/>
                <w:dstrike/>
                <w:noProof/>
                <w:sz w:val="16"/>
                <w:szCs w:val="16"/>
                <w:lang w:val="es-ES_tradnl"/>
              </w:rPr>
            </w:pPr>
            <w:r w:rsidRPr="00C83BDF">
              <w:rPr>
                <w:rFonts w:cs="Arial"/>
                <w:noProof/>
                <w:sz w:val="16"/>
                <w:szCs w:val="16"/>
                <w:lang w:val="es-ES_tradnl"/>
              </w:rPr>
              <w:t>DE</w:t>
            </w:r>
          </w:p>
        </w:tc>
        <w:tc>
          <w:tcPr>
            <w:tcW w:w="591"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szCs w:val="16"/>
                <w:lang w:val="es-ES_tradnl"/>
              </w:rPr>
            </w:pPr>
            <w:r w:rsidRPr="00C83BDF">
              <w:rPr>
                <w:rFonts w:cs="Arial"/>
                <w:noProof/>
                <w:sz w:val="16"/>
                <w:szCs w:val="16"/>
                <w:lang w:val="es-ES_tradnl"/>
              </w:rPr>
              <w:t>TWF</w:t>
            </w:r>
          </w:p>
        </w:tc>
        <w:tc>
          <w:tcPr>
            <w:tcW w:w="1489"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szCs w:val="16"/>
                <w:lang w:val="es-ES_tradnl"/>
              </w:rPr>
            </w:pPr>
            <w:r w:rsidRPr="00C83BDF">
              <w:rPr>
                <w:rFonts w:cs="Arial"/>
                <w:noProof/>
                <w:sz w:val="16"/>
                <w:szCs w:val="16"/>
                <w:lang w:val="es-ES_tradnl"/>
              </w:rPr>
              <w:t>TG/187/2</w:t>
            </w:r>
          </w:p>
        </w:tc>
        <w:tc>
          <w:tcPr>
            <w:tcW w:w="1416"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szCs w:val="16"/>
                <w:lang w:val="es-ES_tradnl"/>
              </w:rPr>
            </w:pPr>
            <w:r w:rsidRPr="00C83BDF">
              <w:rPr>
                <w:rFonts w:cs="Arial"/>
                <w:noProof/>
                <w:sz w:val="16"/>
                <w:szCs w:val="16"/>
                <w:lang w:val="es-ES_tradnl"/>
              </w:rPr>
              <w:t>Prunus Rootstocks</w:t>
            </w:r>
          </w:p>
        </w:tc>
        <w:tc>
          <w:tcPr>
            <w:tcW w:w="1417"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szCs w:val="16"/>
                <w:lang w:val="es-ES_tradnl"/>
              </w:rPr>
            </w:pPr>
            <w:r w:rsidRPr="00C83BDF">
              <w:rPr>
                <w:rFonts w:cs="Arial"/>
                <w:noProof/>
                <w:sz w:val="16"/>
                <w:szCs w:val="16"/>
                <w:lang w:val="es-ES_tradnl"/>
              </w:rPr>
              <w:t>Porte-greffes de Prunus</w:t>
            </w:r>
          </w:p>
        </w:tc>
        <w:tc>
          <w:tcPr>
            <w:tcW w:w="1416"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szCs w:val="16"/>
                <w:lang w:val="es-ES_tradnl"/>
              </w:rPr>
            </w:pPr>
            <w:r w:rsidRPr="00C83BDF">
              <w:rPr>
                <w:rFonts w:cs="Arial"/>
                <w:noProof/>
                <w:sz w:val="16"/>
                <w:szCs w:val="16"/>
                <w:lang w:val="es-ES_tradnl"/>
              </w:rPr>
              <w:t>Prunus-Unterlagen</w:t>
            </w:r>
          </w:p>
        </w:tc>
        <w:tc>
          <w:tcPr>
            <w:tcW w:w="1417"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szCs w:val="16"/>
                <w:lang w:val="es-ES_tradnl"/>
              </w:rPr>
            </w:pPr>
            <w:r w:rsidRPr="00C83BDF">
              <w:rPr>
                <w:rFonts w:cs="Arial"/>
                <w:noProof/>
                <w:sz w:val="16"/>
                <w:szCs w:val="16"/>
                <w:lang w:val="es-ES_tradnl"/>
              </w:rPr>
              <w:t>Portainjertos de prunus</w:t>
            </w:r>
          </w:p>
        </w:tc>
        <w:tc>
          <w:tcPr>
            <w:tcW w:w="1936" w:type="dxa"/>
            <w:tcBorders>
              <w:top w:val="nil"/>
              <w:left w:val="nil"/>
              <w:bottom w:val="single" w:sz="4" w:space="0" w:color="auto"/>
              <w:right w:val="single" w:sz="4" w:space="0" w:color="auto"/>
            </w:tcBorders>
          </w:tcPr>
          <w:p w:rsidR="00E65183" w:rsidRPr="00C83BDF" w:rsidRDefault="00E65183" w:rsidP="004737CD">
            <w:pPr>
              <w:jc w:val="left"/>
              <w:rPr>
                <w:rFonts w:cs="Arial"/>
                <w:noProof/>
                <w:sz w:val="16"/>
                <w:szCs w:val="16"/>
                <w:lang w:val="es-ES_tradnl"/>
              </w:rPr>
            </w:pPr>
            <w:r w:rsidRPr="00C83BDF">
              <w:rPr>
                <w:rFonts w:cs="Arial"/>
                <w:noProof/>
                <w:sz w:val="16"/>
                <w:szCs w:val="16"/>
                <w:lang w:val="es-ES_tradnl"/>
              </w:rPr>
              <w:t>Prunus L.</w:t>
            </w:r>
          </w:p>
        </w:tc>
      </w:tr>
      <w:tr w:rsidR="00E65183" w:rsidRPr="00C83BDF">
        <w:trPr>
          <w:cantSplit/>
          <w:jc w:val="center"/>
        </w:trPr>
        <w:tc>
          <w:tcPr>
            <w:tcW w:w="666" w:type="dxa"/>
            <w:tcBorders>
              <w:top w:val="nil"/>
              <w:left w:val="single" w:sz="4" w:space="0" w:color="auto"/>
              <w:bottom w:val="single" w:sz="4" w:space="0" w:color="auto"/>
              <w:right w:val="single" w:sz="4" w:space="0" w:color="auto"/>
            </w:tcBorders>
            <w:noWrap/>
          </w:tcPr>
          <w:p w:rsidR="00E65183" w:rsidRPr="00C83BDF" w:rsidRDefault="00E65183" w:rsidP="004737CD">
            <w:pPr>
              <w:jc w:val="left"/>
              <w:rPr>
                <w:rFonts w:cs="Arial"/>
                <w:dstrike/>
                <w:noProof/>
                <w:sz w:val="16"/>
                <w:szCs w:val="16"/>
                <w:lang w:val="es-ES_tradnl"/>
              </w:rPr>
            </w:pPr>
            <w:r w:rsidRPr="00C83BDF">
              <w:rPr>
                <w:rFonts w:cs="Arial"/>
                <w:noProof/>
                <w:sz w:val="16"/>
                <w:szCs w:val="16"/>
                <w:lang w:val="es-ES_tradnl"/>
              </w:rPr>
              <w:t>NL</w:t>
            </w:r>
          </w:p>
        </w:tc>
        <w:tc>
          <w:tcPr>
            <w:tcW w:w="591"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szCs w:val="16"/>
                <w:lang w:val="es-ES_tradnl"/>
              </w:rPr>
            </w:pPr>
            <w:r w:rsidRPr="00C83BDF">
              <w:rPr>
                <w:rFonts w:cs="Arial"/>
                <w:noProof/>
                <w:sz w:val="16"/>
                <w:szCs w:val="16"/>
                <w:lang w:val="es-ES_tradnl"/>
              </w:rPr>
              <w:t>TWV</w:t>
            </w:r>
          </w:p>
        </w:tc>
        <w:tc>
          <w:tcPr>
            <w:tcW w:w="1489"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szCs w:val="16"/>
                <w:lang w:val="es-ES_tradnl"/>
              </w:rPr>
            </w:pPr>
            <w:r w:rsidRPr="00C83BDF">
              <w:rPr>
                <w:rFonts w:cs="Arial"/>
                <w:noProof/>
                <w:sz w:val="16"/>
                <w:szCs w:val="16"/>
                <w:lang w:val="es-ES_tradnl"/>
              </w:rPr>
              <w:t>TG/198/2</w:t>
            </w:r>
          </w:p>
        </w:tc>
        <w:tc>
          <w:tcPr>
            <w:tcW w:w="1416"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szCs w:val="16"/>
                <w:lang w:val="es-ES_tradnl"/>
              </w:rPr>
            </w:pPr>
            <w:r w:rsidRPr="00C83BDF">
              <w:rPr>
                <w:rFonts w:cs="Arial"/>
                <w:noProof/>
                <w:sz w:val="16"/>
                <w:szCs w:val="16"/>
                <w:lang w:val="es-ES_tradnl"/>
              </w:rPr>
              <w:t>Chives</w:t>
            </w:r>
            <w:r w:rsidR="00220E3C" w:rsidRPr="00C83BDF">
              <w:rPr>
                <w:rFonts w:cs="Arial"/>
                <w:noProof/>
                <w:sz w:val="16"/>
                <w:szCs w:val="16"/>
                <w:lang w:val="es-ES_tradnl"/>
              </w:rPr>
              <w:t xml:space="preserve">, </w:t>
            </w:r>
            <w:r w:rsidRPr="00C83BDF">
              <w:rPr>
                <w:rFonts w:cs="Arial"/>
                <w:noProof/>
                <w:sz w:val="16"/>
                <w:szCs w:val="16"/>
                <w:lang w:val="es-ES_tradnl"/>
              </w:rPr>
              <w:t>Asatsuki</w:t>
            </w:r>
          </w:p>
        </w:tc>
        <w:tc>
          <w:tcPr>
            <w:tcW w:w="1417"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szCs w:val="16"/>
                <w:lang w:val="es-ES_tradnl"/>
              </w:rPr>
            </w:pPr>
            <w:r w:rsidRPr="00C83BDF">
              <w:rPr>
                <w:rFonts w:cs="Arial"/>
                <w:noProof/>
                <w:sz w:val="16"/>
                <w:szCs w:val="16"/>
                <w:lang w:val="es-ES_tradnl"/>
              </w:rPr>
              <w:t>Ciboulette</w:t>
            </w:r>
            <w:r w:rsidR="00220E3C" w:rsidRPr="00C83BDF">
              <w:rPr>
                <w:rFonts w:cs="Arial"/>
                <w:noProof/>
                <w:sz w:val="16"/>
                <w:szCs w:val="16"/>
                <w:lang w:val="es-ES_tradnl"/>
              </w:rPr>
              <w:t xml:space="preserve">, </w:t>
            </w:r>
            <w:r w:rsidRPr="00C83BDF">
              <w:rPr>
                <w:rFonts w:cs="Arial"/>
                <w:noProof/>
                <w:sz w:val="16"/>
                <w:szCs w:val="16"/>
                <w:lang w:val="es-ES_tradnl"/>
              </w:rPr>
              <w:t>Civette</w:t>
            </w:r>
          </w:p>
        </w:tc>
        <w:tc>
          <w:tcPr>
            <w:tcW w:w="1416"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szCs w:val="16"/>
                <w:lang w:val="es-ES_tradnl"/>
              </w:rPr>
            </w:pPr>
            <w:r w:rsidRPr="00C83BDF">
              <w:rPr>
                <w:rFonts w:cs="Arial"/>
                <w:noProof/>
                <w:sz w:val="16"/>
                <w:szCs w:val="16"/>
                <w:lang w:val="es-ES_tradnl"/>
              </w:rPr>
              <w:t>Schnittlauch</w:t>
            </w:r>
          </w:p>
        </w:tc>
        <w:tc>
          <w:tcPr>
            <w:tcW w:w="1417"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szCs w:val="16"/>
                <w:lang w:val="es-ES_tradnl"/>
              </w:rPr>
            </w:pPr>
            <w:r w:rsidRPr="00C83BDF">
              <w:rPr>
                <w:rFonts w:cs="Arial"/>
                <w:noProof/>
                <w:sz w:val="16"/>
                <w:szCs w:val="16"/>
                <w:lang w:val="es-ES_tradnl"/>
              </w:rPr>
              <w:t>Cebollino</w:t>
            </w:r>
          </w:p>
        </w:tc>
        <w:tc>
          <w:tcPr>
            <w:tcW w:w="1936" w:type="dxa"/>
            <w:tcBorders>
              <w:top w:val="nil"/>
              <w:left w:val="nil"/>
              <w:bottom w:val="single" w:sz="4" w:space="0" w:color="auto"/>
              <w:right w:val="single" w:sz="4" w:space="0" w:color="auto"/>
            </w:tcBorders>
          </w:tcPr>
          <w:p w:rsidR="00E65183" w:rsidRPr="00C83BDF" w:rsidRDefault="00E65183" w:rsidP="004737CD">
            <w:pPr>
              <w:jc w:val="left"/>
              <w:rPr>
                <w:rFonts w:cs="Arial"/>
                <w:noProof/>
                <w:sz w:val="16"/>
                <w:szCs w:val="16"/>
                <w:lang w:val="es-ES_tradnl"/>
              </w:rPr>
            </w:pPr>
            <w:r w:rsidRPr="00C83BDF">
              <w:rPr>
                <w:rFonts w:cs="Arial"/>
                <w:noProof/>
                <w:sz w:val="16"/>
                <w:szCs w:val="16"/>
                <w:lang w:val="es-ES_tradnl"/>
              </w:rPr>
              <w:t>Allium schoenoprasum L.</w:t>
            </w:r>
          </w:p>
        </w:tc>
      </w:tr>
      <w:tr w:rsidR="00E65183" w:rsidRPr="00C83BDF">
        <w:trPr>
          <w:cantSplit/>
          <w:jc w:val="center"/>
        </w:trPr>
        <w:tc>
          <w:tcPr>
            <w:tcW w:w="10348" w:type="dxa"/>
            <w:gridSpan w:val="8"/>
            <w:tcBorders>
              <w:top w:val="nil"/>
              <w:left w:val="single" w:sz="4" w:space="0" w:color="auto"/>
              <w:bottom w:val="single" w:sz="4" w:space="0" w:color="auto"/>
              <w:right w:val="single" w:sz="4" w:space="0" w:color="auto"/>
            </w:tcBorders>
          </w:tcPr>
          <w:p w:rsidR="00E65183" w:rsidRPr="00C83BDF" w:rsidRDefault="00E65183" w:rsidP="004737CD">
            <w:pPr>
              <w:keepNext/>
              <w:spacing w:before="120" w:after="120"/>
              <w:jc w:val="left"/>
              <w:rPr>
                <w:rFonts w:eastAsia="MS Mincho" w:cs="Arial"/>
                <w:bCs/>
                <w:noProof/>
                <w:sz w:val="16"/>
                <w:szCs w:val="16"/>
                <w:u w:val="single"/>
                <w:lang w:val="es-ES_tradnl" w:eastAsia="ja-JP"/>
              </w:rPr>
            </w:pPr>
            <w:r w:rsidRPr="00C83BDF">
              <w:rPr>
                <w:rFonts w:cs="Arial"/>
                <w:bCs/>
                <w:noProof/>
                <w:sz w:val="16"/>
                <w:szCs w:val="16"/>
                <w:u w:val="single"/>
                <w:lang w:val="es-ES_tradnl"/>
              </w:rPr>
              <w:t xml:space="preserve">PARTIAL REVISIONS OF TEST GUIDELINES / </w:t>
            </w:r>
            <w:r w:rsidRPr="00C83BDF">
              <w:rPr>
                <w:rFonts w:cs="Arial"/>
                <w:noProof/>
                <w:sz w:val="16"/>
                <w:szCs w:val="16"/>
                <w:u w:val="single"/>
                <w:lang w:val="es-ES_tradnl"/>
              </w:rPr>
              <w:t>RÉVISIONS PARTIELLES DE PRINCIPES DIRECTEURS D’EXAMEN ADOPTÉS /</w:t>
            </w:r>
            <w:r w:rsidRPr="00C83BDF">
              <w:rPr>
                <w:rFonts w:cs="Arial"/>
                <w:noProof/>
                <w:sz w:val="16"/>
                <w:szCs w:val="16"/>
                <w:u w:val="single"/>
                <w:lang w:val="es-ES_tradnl"/>
              </w:rPr>
              <w:br/>
              <w:t>TEILREVISIONEN ANGENOMMENER PRÜFUNGSRICHTLINIEN / REVISIONES PARCIALES DE DIRECTRICES DE EXAMEN ADOPTADAS</w:t>
            </w:r>
          </w:p>
        </w:tc>
      </w:tr>
      <w:tr w:rsidR="00E65183" w:rsidRPr="00C83BDF">
        <w:trPr>
          <w:cantSplit/>
          <w:jc w:val="center"/>
        </w:trPr>
        <w:tc>
          <w:tcPr>
            <w:tcW w:w="666" w:type="dxa"/>
            <w:tcBorders>
              <w:top w:val="nil"/>
              <w:left w:val="single" w:sz="4" w:space="0" w:color="auto"/>
              <w:bottom w:val="single" w:sz="4" w:space="0" w:color="auto"/>
              <w:right w:val="single" w:sz="4" w:space="0" w:color="auto"/>
            </w:tcBorders>
          </w:tcPr>
          <w:p w:rsidR="00E65183" w:rsidRPr="00C83BDF" w:rsidRDefault="00E65183" w:rsidP="004737CD">
            <w:pPr>
              <w:jc w:val="left"/>
              <w:rPr>
                <w:rFonts w:cs="Arial"/>
                <w:dstrike/>
                <w:noProof/>
                <w:sz w:val="16"/>
                <w:lang w:val="es-ES_tradnl"/>
              </w:rPr>
            </w:pPr>
            <w:r w:rsidRPr="00C83BDF">
              <w:rPr>
                <w:rFonts w:cs="Arial"/>
                <w:noProof/>
                <w:sz w:val="16"/>
                <w:lang w:val="es-ES_tradnl"/>
              </w:rPr>
              <w:t>FR</w:t>
            </w:r>
          </w:p>
        </w:tc>
        <w:tc>
          <w:tcPr>
            <w:tcW w:w="591"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lang w:val="es-ES_tradnl"/>
              </w:rPr>
            </w:pPr>
            <w:r w:rsidRPr="00C83BDF">
              <w:rPr>
                <w:rFonts w:cs="Arial"/>
                <w:noProof/>
                <w:sz w:val="16"/>
                <w:lang w:val="es-ES_tradnl"/>
              </w:rPr>
              <w:t>TWV</w:t>
            </w:r>
          </w:p>
        </w:tc>
        <w:tc>
          <w:tcPr>
            <w:tcW w:w="1489"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highlight w:val="yellow"/>
                <w:lang w:val="es-ES_tradnl"/>
              </w:rPr>
            </w:pPr>
            <w:r w:rsidRPr="00C83BDF">
              <w:rPr>
                <w:rFonts w:cs="Arial"/>
                <w:noProof/>
                <w:sz w:val="16"/>
                <w:lang w:val="es-ES_tradnl"/>
              </w:rPr>
              <w:t>TG/7/10 and document TC/50/32</w:t>
            </w:r>
          </w:p>
        </w:tc>
        <w:tc>
          <w:tcPr>
            <w:tcW w:w="1416"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lang w:val="es-ES_tradnl"/>
              </w:rPr>
            </w:pPr>
            <w:r w:rsidRPr="00C83BDF">
              <w:rPr>
                <w:rFonts w:cs="Arial"/>
                <w:noProof/>
                <w:sz w:val="16"/>
                <w:lang w:val="es-ES_tradnl"/>
              </w:rPr>
              <w:t>Pea</w:t>
            </w:r>
          </w:p>
        </w:tc>
        <w:tc>
          <w:tcPr>
            <w:tcW w:w="1417"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lang w:val="es-ES_tradnl"/>
              </w:rPr>
            </w:pPr>
            <w:r w:rsidRPr="00C83BDF">
              <w:rPr>
                <w:rFonts w:cs="Arial"/>
                <w:noProof/>
                <w:sz w:val="16"/>
                <w:lang w:val="es-ES_tradnl"/>
              </w:rPr>
              <w:t>Pois</w:t>
            </w:r>
          </w:p>
        </w:tc>
        <w:tc>
          <w:tcPr>
            <w:tcW w:w="1416"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lang w:val="es-ES_tradnl"/>
              </w:rPr>
            </w:pPr>
            <w:r w:rsidRPr="00C83BDF">
              <w:rPr>
                <w:rFonts w:cs="Arial"/>
                <w:noProof/>
                <w:sz w:val="16"/>
                <w:lang w:val="es-ES_tradnl"/>
              </w:rPr>
              <w:t>Erbse</w:t>
            </w:r>
          </w:p>
        </w:tc>
        <w:tc>
          <w:tcPr>
            <w:tcW w:w="1417"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lang w:val="es-ES_tradnl"/>
              </w:rPr>
            </w:pPr>
            <w:r w:rsidRPr="00C83BDF">
              <w:rPr>
                <w:rFonts w:cs="Arial"/>
                <w:noProof/>
                <w:sz w:val="16"/>
                <w:lang w:val="es-ES_tradnl"/>
              </w:rPr>
              <w:t>Guisante</w:t>
            </w:r>
            <w:r w:rsidR="00220E3C" w:rsidRPr="00C83BDF">
              <w:rPr>
                <w:rFonts w:cs="Arial"/>
                <w:noProof/>
                <w:sz w:val="16"/>
                <w:lang w:val="es-ES_tradnl"/>
              </w:rPr>
              <w:t xml:space="preserve">, </w:t>
            </w:r>
            <w:r w:rsidRPr="00C83BDF">
              <w:rPr>
                <w:rFonts w:cs="Arial"/>
                <w:noProof/>
                <w:sz w:val="16"/>
                <w:lang w:val="es-ES_tradnl"/>
              </w:rPr>
              <w:t>Arveja</w:t>
            </w:r>
          </w:p>
        </w:tc>
        <w:tc>
          <w:tcPr>
            <w:tcW w:w="1936" w:type="dxa"/>
            <w:tcBorders>
              <w:top w:val="nil"/>
              <w:left w:val="nil"/>
              <w:bottom w:val="single" w:sz="4" w:space="0" w:color="auto"/>
              <w:right w:val="single" w:sz="4" w:space="0" w:color="auto"/>
            </w:tcBorders>
          </w:tcPr>
          <w:p w:rsidR="00E65183" w:rsidRPr="00C83BDF" w:rsidRDefault="00E65183" w:rsidP="004737CD">
            <w:pPr>
              <w:jc w:val="left"/>
              <w:rPr>
                <w:rFonts w:cs="Arial"/>
                <w:noProof/>
                <w:sz w:val="16"/>
                <w:lang w:val="es-ES_tradnl"/>
              </w:rPr>
            </w:pPr>
            <w:r w:rsidRPr="00C83BDF">
              <w:rPr>
                <w:rFonts w:cs="Arial"/>
                <w:noProof/>
                <w:sz w:val="16"/>
                <w:lang w:val="es-ES_tradnl"/>
              </w:rPr>
              <w:t>Pisum sativum L.</w:t>
            </w:r>
          </w:p>
        </w:tc>
      </w:tr>
      <w:tr w:rsidR="00E65183" w:rsidRPr="00C83BDF">
        <w:trPr>
          <w:cantSplit/>
          <w:jc w:val="center"/>
        </w:trPr>
        <w:tc>
          <w:tcPr>
            <w:tcW w:w="666" w:type="dxa"/>
            <w:tcBorders>
              <w:top w:val="nil"/>
              <w:left w:val="single" w:sz="4" w:space="0" w:color="auto"/>
              <w:bottom w:val="single" w:sz="4" w:space="0" w:color="auto"/>
              <w:right w:val="single" w:sz="4" w:space="0" w:color="auto"/>
            </w:tcBorders>
            <w:noWrap/>
          </w:tcPr>
          <w:p w:rsidR="00E65183" w:rsidRPr="00C83BDF" w:rsidRDefault="00E65183" w:rsidP="004737CD">
            <w:pPr>
              <w:jc w:val="left"/>
              <w:rPr>
                <w:rFonts w:cs="Arial"/>
                <w:dstrike/>
                <w:noProof/>
                <w:sz w:val="16"/>
                <w:lang w:val="es-ES_tradnl"/>
              </w:rPr>
            </w:pPr>
            <w:r w:rsidRPr="00C83BDF">
              <w:rPr>
                <w:rFonts w:cs="Arial"/>
                <w:noProof/>
                <w:sz w:val="16"/>
                <w:lang w:val="es-ES_tradnl"/>
              </w:rPr>
              <w:t>FR</w:t>
            </w:r>
          </w:p>
        </w:tc>
        <w:tc>
          <w:tcPr>
            <w:tcW w:w="591"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lang w:val="es-ES_tradnl"/>
              </w:rPr>
            </w:pPr>
            <w:r w:rsidRPr="00C83BDF">
              <w:rPr>
                <w:rFonts w:cs="Arial"/>
                <w:noProof/>
                <w:sz w:val="16"/>
                <w:lang w:val="es-ES_tradnl"/>
              </w:rPr>
              <w:t>TWF</w:t>
            </w:r>
          </w:p>
        </w:tc>
        <w:tc>
          <w:tcPr>
            <w:tcW w:w="1489"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lang w:val="es-ES_tradnl"/>
              </w:rPr>
            </w:pPr>
            <w:r w:rsidRPr="00C83BDF">
              <w:rPr>
                <w:rFonts w:cs="Arial"/>
                <w:noProof/>
                <w:sz w:val="16"/>
                <w:lang w:val="es-ES_tradnl"/>
              </w:rPr>
              <w:t>TG/53/7 Rev.</w:t>
            </w:r>
          </w:p>
        </w:tc>
        <w:tc>
          <w:tcPr>
            <w:tcW w:w="1416"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lang w:val="es-ES_tradnl"/>
              </w:rPr>
            </w:pPr>
            <w:r w:rsidRPr="00C83BDF">
              <w:rPr>
                <w:rFonts w:cs="Arial"/>
                <w:noProof/>
                <w:sz w:val="16"/>
                <w:lang w:val="es-ES_tradnl"/>
              </w:rPr>
              <w:t>Peach</w:t>
            </w:r>
          </w:p>
        </w:tc>
        <w:tc>
          <w:tcPr>
            <w:tcW w:w="1417"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lang w:val="es-ES_tradnl"/>
              </w:rPr>
            </w:pPr>
            <w:r w:rsidRPr="00C83BDF">
              <w:rPr>
                <w:rFonts w:cs="Arial"/>
                <w:noProof/>
                <w:sz w:val="16"/>
                <w:lang w:val="es-ES_tradnl"/>
              </w:rPr>
              <w:t>Pêcher</w:t>
            </w:r>
          </w:p>
        </w:tc>
        <w:tc>
          <w:tcPr>
            <w:tcW w:w="1416"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lang w:val="es-ES_tradnl"/>
              </w:rPr>
            </w:pPr>
            <w:r w:rsidRPr="00C83BDF">
              <w:rPr>
                <w:rFonts w:cs="Arial"/>
                <w:noProof/>
                <w:sz w:val="16"/>
                <w:lang w:val="es-ES_tradnl"/>
              </w:rPr>
              <w:t>Pfirsich</w:t>
            </w:r>
          </w:p>
        </w:tc>
        <w:tc>
          <w:tcPr>
            <w:tcW w:w="1417"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lang w:val="es-ES_tradnl"/>
              </w:rPr>
            </w:pPr>
            <w:r w:rsidRPr="00C83BDF">
              <w:rPr>
                <w:rFonts w:cs="Arial"/>
                <w:noProof/>
                <w:sz w:val="16"/>
                <w:lang w:val="es-ES_tradnl"/>
              </w:rPr>
              <w:t>Durazno</w:t>
            </w:r>
            <w:r w:rsidR="00220E3C" w:rsidRPr="00C83BDF">
              <w:rPr>
                <w:rFonts w:cs="Arial"/>
                <w:noProof/>
                <w:sz w:val="16"/>
                <w:lang w:val="es-ES_tradnl"/>
              </w:rPr>
              <w:t xml:space="preserve">, </w:t>
            </w:r>
            <w:r w:rsidRPr="00C83BDF">
              <w:rPr>
                <w:rFonts w:cs="Arial"/>
                <w:noProof/>
                <w:sz w:val="16"/>
                <w:lang w:val="es-ES_tradnl"/>
              </w:rPr>
              <w:t>Melocotonero</w:t>
            </w:r>
          </w:p>
        </w:tc>
        <w:tc>
          <w:tcPr>
            <w:tcW w:w="1936" w:type="dxa"/>
            <w:tcBorders>
              <w:top w:val="nil"/>
              <w:left w:val="nil"/>
              <w:bottom w:val="single" w:sz="4" w:space="0" w:color="auto"/>
              <w:right w:val="single" w:sz="4" w:space="0" w:color="auto"/>
            </w:tcBorders>
          </w:tcPr>
          <w:p w:rsidR="00E65183" w:rsidRPr="00C83BDF" w:rsidRDefault="00E65183" w:rsidP="004737CD">
            <w:pPr>
              <w:jc w:val="left"/>
              <w:rPr>
                <w:rFonts w:cs="Arial"/>
                <w:noProof/>
                <w:sz w:val="16"/>
                <w:lang w:val="es-ES_tradnl"/>
              </w:rPr>
            </w:pPr>
            <w:r w:rsidRPr="00C83BDF">
              <w:rPr>
                <w:rFonts w:cs="Arial"/>
                <w:noProof/>
                <w:sz w:val="16"/>
                <w:lang w:val="es-ES_tradnl"/>
              </w:rPr>
              <w:t>Prunus persica (L.) Batsch</w:t>
            </w:r>
            <w:r w:rsidR="00220E3C" w:rsidRPr="00C83BDF">
              <w:rPr>
                <w:rFonts w:cs="Arial"/>
                <w:noProof/>
                <w:sz w:val="16"/>
                <w:lang w:val="es-ES_tradnl"/>
              </w:rPr>
              <w:t xml:space="preserve">, </w:t>
            </w:r>
            <w:r w:rsidRPr="00C83BDF">
              <w:rPr>
                <w:rFonts w:cs="Arial"/>
                <w:noProof/>
                <w:sz w:val="16"/>
                <w:lang w:val="es-ES_tradnl"/>
              </w:rPr>
              <w:t>Persica vulgaris Mill.</w:t>
            </w:r>
            <w:r w:rsidR="00220E3C" w:rsidRPr="00C83BDF">
              <w:rPr>
                <w:rFonts w:cs="Arial"/>
                <w:noProof/>
                <w:sz w:val="16"/>
                <w:lang w:val="es-ES_tradnl"/>
              </w:rPr>
              <w:t xml:space="preserve">, </w:t>
            </w:r>
            <w:r w:rsidRPr="00C83BDF">
              <w:rPr>
                <w:rFonts w:cs="Arial"/>
                <w:noProof/>
                <w:sz w:val="16"/>
                <w:lang w:val="es-ES_tradnl"/>
              </w:rPr>
              <w:t>Prunus L. subg</w:t>
            </w:r>
            <w:r w:rsidR="00D94EA2" w:rsidRPr="00C83BDF">
              <w:rPr>
                <w:rFonts w:cs="Arial"/>
                <w:noProof/>
                <w:sz w:val="16"/>
                <w:lang w:val="es-ES_tradnl"/>
              </w:rPr>
              <w:t>.  P</w:t>
            </w:r>
            <w:r w:rsidRPr="00C83BDF">
              <w:rPr>
                <w:rFonts w:cs="Arial"/>
                <w:noProof/>
                <w:sz w:val="16"/>
                <w:lang w:val="es-ES_tradnl"/>
              </w:rPr>
              <w:t>ersica</w:t>
            </w:r>
          </w:p>
        </w:tc>
      </w:tr>
      <w:tr w:rsidR="00E65183" w:rsidRPr="00C83BDF">
        <w:trPr>
          <w:cantSplit/>
          <w:jc w:val="center"/>
        </w:trPr>
        <w:tc>
          <w:tcPr>
            <w:tcW w:w="666" w:type="dxa"/>
            <w:tcBorders>
              <w:top w:val="nil"/>
              <w:left w:val="single" w:sz="4" w:space="0" w:color="auto"/>
              <w:bottom w:val="single" w:sz="4" w:space="0" w:color="auto"/>
              <w:right w:val="single" w:sz="4" w:space="0" w:color="auto"/>
            </w:tcBorders>
            <w:noWrap/>
          </w:tcPr>
          <w:p w:rsidR="00E65183" w:rsidRPr="00C83BDF" w:rsidRDefault="00E65183" w:rsidP="004737CD">
            <w:pPr>
              <w:jc w:val="left"/>
              <w:rPr>
                <w:rFonts w:cs="Arial"/>
                <w:dstrike/>
                <w:noProof/>
                <w:sz w:val="16"/>
                <w:lang w:val="es-ES_tradnl"/>
              </w:rPr>
            </w:pPr>
            <w:r w:rsidRPr="00C83BDF">
              <w:rPr>
                <w:rFonts w:cs="Arial"/>
                <w:noProof/>
                <w:sz w:val="16"/>
                <w:lang w:val="es-ES_tradnl"/>
              </w:rPr>
              <w:t>NL/FR</w:t>
            </w:r>
          </w:p>
        </w:tc>
        <w:tc>
          <w:tcPr>
            <w:tcW w:w="591"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lang w:val="es-ES_tradnl"/>
              </w:rPr>
            </w:pPr>
            <w:r w:rsidRPr="00C83BDF">
              <w:rPr>
                <w:rFonts w:cs="Arial"/>
                <w:noProof/>
                <w:sz w:val="16"/>
                <w:lang w:val="es-ES_tradnl"/>
              </w:rPr>
              <w:t>TWV</w:t>
            </w:r>
          </w:p>
        </w:tc>
        <w:tc>
          <w:tcPr>
            <w:tcW w:w="1489"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lang w:val="es-ES_tradnl"/>
              </w:rPr>
            </w:pPr>
            <w:r w:rsidRPr="00C83BDF">
              <w:rPr>
                <w:rFonts w:cs="Arial"/>
                <w:noProof/>
                <w:sz w:val="16"/>
                <w:lang w:val="es-ES_tradnl"/>
              </w:rPr>
              <w:t>TG/61/7 Rev.</w:t>
            </w:r>
          </w:p>
        </w:tc>
        <w:tc>
          <w:tcPr>
            <w:tcW w:w="1416"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lang w:val="es-ES_tradnl"/>
              </w:rPr>
            </w:pPr>
            <w:r w:rsidRPr="00C83BDF">
              <w:rPr>
                <w:rFonts w:cs="Arial"/>
                <w:noProof/>
                <w:sz w:val="16"/>
                <w:lang w:val="es-ES_tradnl"/>
              </w:rPr>
              <w:t>Cucumber</w:t>
            </w:r>
            <w:r w:rsidR="00220E3C" w:rsidRPr="00C83BDF">
              <w:rPr>
                <w:rFonts w:cs="Arial"/>
                <w:noProof/>
                <w:sz w:val="16"/>
                <w:lang w:val="es-ES_tradnl"/>
              </w:rPr>
              <w:t xml:space="preserve">, </w:t>
            </w:r>
            <w:r w:rsidRPr="00C83BDF">
              <w:rPr>
                <w:rFonts w:cs="Arial"/>
                <w:noProof/>
                <w:sz w:val="16"/>
                <w:lang w:val="es-ES_tradnl"/>
              </w:rPr>
              <w:t>Gherkin</w:t>
            </w:r>
          </w:p>
        </w:tc>
        <w:tc>
          <w:tcPr>
            <w:tcW w:w="1417"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lang w:val="es-ES_tradnl"/>
              </w:rPr>
            </w:pPr>
            <w:r w:rsidRPr="00C83BDF">
              <w:rPr>
                <w:rFonts w:cs="Arial"/>
                <w:noProof/>
                <w:sz w:val="16"/>
                <w:lang w:val="es-ES_tradnl"/>
              </w:rPr>
              <w:t>Concombre</w:t>
            </w:r>
            <w:r w:rsidR="00220E3C" w:rsidRPr="00C83BDF">
              <w:rPr>
                <w:rFonts w:cs="Arial"/>
                <w:noProof/>
                <w:sz w:val="16"/>
                <w:lang w:val="es-ES_tradnl"/>
              </w:rPr>
              <w:t xml:space="preserve">, </w:t>
            </w:r>
            <w:r w:rsidRPr="00C83BDF">
              <w:rPr>
                <w:rFonts w:cs="Arial"/>
                <w:noProof/>
                <w:sz w:val="16"/>
                <w:lang w:val="es-ES_tradnl"/>
              </w:rPr>
              <w:t>Cornichon</w:t>
            </w:r>
          </w:p>
        </w:tc>
        <w:tc>
          <w:tcPr>
            <w:tcW w:w="1416"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lang w:val="es-ES_tradnl"/>
              </w:rPr>
            </w:pPr>
            <w:r w:rsidRPr="00C83BDF">
              <w:rPr>
                <w:rFonts w:cs="Arial"/>
                <w:noProof/>
                <w:sz w:val="16"/>
                <w:lang w:val="es-ES_tradnl"/>
              </w:rPr>
              <w:t>Gurke</w:t>
            </w:r>
          </w:p>
        </w:tc>
        <w:tc>
          <w:tcPr>
            <w:tcW w:w="1417"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lang w:val="es-ES_tradnl"/>
              </w:rPr>
            </w:pPr>
            <w:r w:rsidRPr="00C83BDF">
              <w:rPr>
                <w:rFonts w:cs="Arial"/>
                <w:noProof/>
                <w:sz w:val="16"/>
                <w:lang w:val="es-ES_tradnl"/>
              </w:rPr>
              <w:t>Pepino</w:t>
            </w:r>
            <w:r w:rsidR="00220E3C" w:rsidRPr="00C83BDF">
              <w:rPr>
                <w:rFonts w:cs="Arial"/>
                <w:noProof/>
                <w:sz w:val="16"/>
                <w:lang w:val="es-ES_tradnl"/>
              </w:rPr>
              <w:t xml:space="preserve">, </w:t>
            </w:r>
            <w:r w:rsidRPr="00C83BDF">
              <w:rPr>
                <w:rFonts w:cs="Arial"/>
                <w:noProof/>
                <w:sz w:val="16"/>
                <w:lang w:val="es-ES_tradnl"/>
              </w:rPr>
              <w:t>Pepinillo</w:t>
            </w:r>
          </w:p>
        </w:tc>
        <w:tc>
          <w:tcPr>
            <w:tcW w:w="1936" w:type="dxa"/>
            <w:tcBorders>
              <w:top w:val="nil"/>
              <w:left w:val="nil"/>
              <w:bottom w:val="single" w:sz="4" w:space="0" w:color="auto"/>
              <w:right w:val="single" w:sz="4" w:space="0" w:color="auto"/>
            </w:tcBorders>
          </w:tcPr>
          <w:p w:rsidR="00E65183" w:rsidRPr="00C83BDF" w:rsidRDefault="00E65183" w:rsidP="004737CD">
            <w:pPr>
              <w:jc w:val="left"/>
              <w:rPr>
                <w:rFonts w:cs="Arial"/>
                <w:noProof/>
                <w:sz w:val="16"/>
                <w:lang w:val="es-ES_tradnl"/>
              </w:rPr>
            </w:pPr>
            <w:r w:rsidRPr="00C83BDF">
              <w:rPr>
                <w:rFonts w:cs="Arial"/>
                <w:noProof/>
                <w:sz w:val="16"/>
                <w:lang w:val="es-ES_tradnl"/>
              </w:rPr>
              <w:t>Cucumis sativus L.</w:t>
            </w:r>
          </w:p>
        </w:tc>
      </w:tr>
      <w:tr w:rsidR="00E65183" w:rsidRPr="00C83BDF">
        <w:trPr>
          <w:cantSplit/>
          <w:jc w:val="center"/>
        </w:trPr>
        <w:tc>
          <w:tcPr>
            <w:tcW w:w="666" w:type="dxa"/>
            <w:tcBorders>
              <w:top w:val="nil"/>
              <w:left w:val="single" w:sz="4" w:space="0" w:color="auto"/>
              <w:bottom w:val="single" w:sz="4" w:space="0" w:color="auto"/>
              <w:right w:val="single" w:sz="4" w:space="0" w:color="auto"/>
            </w:tcBorders>
            <w:noWrap/>
          </w:tcPr>
          <w:p w:rsidR="00E65183" w:rsidRPr="00C83BDF" w:rsidRDefault="00E65183" w:rsidP="004737CD">
            <w:pPr>
              <w:jc w:val="left"/>
              <w:rPr>
                <w:rFonts w:cs="Arial"/>
                <w:dstrike/>
                <w:noProof/>
                <w:sz w:val="16"/>
                <w:lang w:val="es-ES_tradnl"/>
              </w:rPr>
            </w:pPr>
            <w:r w:rsidRPr="00C83BDF">
              <w:rPr>
                <w:rFonts w:cs="Arial"/>
                <w:noProof/>
                <w:sz w:val="16"/>
                <w:lang w:val="es-ES_tradnl"/>
              </w:rPr>
              <w:t>NL/FR</w:t>
            </w:r>
          </w:p>
        </w:tc>
        <w:tc>
          <w:tcPr>
            <w:tcW w:w="591"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lang w:val="es-ES_tradnl"/>
              </w:rPr>
            </w:pPr>
            <w:r w:rsidRPr="00C83BDF">
              <w:rPr>
                <w:rFonts w:cs="Arial"/>
                <w:noProof/>
                <w:sz w:val="16"/>
                <w:lang w:val="es-ES_tradnl"/>
              </w:rPr>
              <w:t>TWV</w:t>
            </w:r>
          </w:p>
        </w:tc>
        <w:tc>
          <w:tcPr>
            <w:tcW w:w="1489"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lang w:val="es-ES_tradnl"/>
              </w:rPr>
            </w:pPr>
            <w:r w:rsidRPr="00C83BDF">
              <w:rPr>
                <w:rFonts w:cs="Arial"/>
                <w:noProof/>
                <w:sz w:val="16"/>
                <w:lang w:val="es-ES_tradnl"/>
              </w:rPr>
              <w:t>TG/104/5 Rev.</w:t>
            </w:r>
          </w:p>
        </w:tc>
        <w:tc>
          <w:tcPr>
            <w:tcW w:w="1416"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lang w:val="es-ES_tradnl"/>
              </w:rPr>
            </w:pPr>
            <w:r w:rsidRPr="00C83BDF">
              <w:rPr>
                <w:rFonts w:cs="Arial"/>
                <w:noProof/>
                <w:sz w:val="16"/>
                <w:lang w:val="es-ES_tradnl"/>
              </w:rPr>
              <w:t>Melon</w:t>
            </w:r>
          </w:p>
        </w:tc>
        <w:tc>
          <w:tcPr>
            <w:tcW w:w="1417"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lang w:val="es-ES_tradnl"/>
              </w:rPr>
            </w:pPr>
            <w:r w:rsidRPr="00C83BDF">
              <w:rPr>
                <w:rFonts w:cs="Arial"/>
                <w:noProof/>
                <w:sz w:val="16"/>
                <w:lang w:val="es-ES_tradnl"/>
              </w:rPr>
              <w:t>Melon</w:t>
            </w:r>
          </w:p>
        </w:tc>
        <w:tc>
          <w:tcPr>
            <w:tcW w:w="1416"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lang w:val="es-ES_tradnl"/>
              </w:rPr>
            </w:pPr>
            <w:r w:rsidRPr="00C83BDF">
              <w:rPr>
                <w:rFonts w:cs="Arial"/>
                <w:noProof/>
                <w:sz w:val="16"/>
                <w:lang w:val="es-ES_tradnl"/>
              </w:rPr>
              <w:t>Melone</w:t>
            </w:r>
          </w:p>
        </w:tc>
        <w:tc>
          <w:tcPr>
            <w:tcW w:w="1417" w:type="dxa"/>
            <w:tcBorders>
              <w:top w:val="nil"/>
              <w:left w:val="nil"/>
              <w:bottom w:val="single" w:sz="4" w:space="0" w:color="auto"/>
              <w:right w:val="single" w:sz="4" w:space="0" w:color="auto"/>
            </w:tcBorders>
          </w:tcPr>
          <w:p w:rsidR="00E65183" w:rsidRPr="00C83BDF" w:rsidRDefault="00E65183" w:rsidP="004737CD">
            <w:pPr>
              <w:jc w:val="left"/>
              <w:rPr>
                <w:rFonts w:cs="Arial"/>
                <w:dstrike/>
                <w:noProof/>
                <w:sz w:val="16"/>
                <w:lang w:val="es-ES_tradnl"/>
              </w:rPr>
            </w:pPr>
            <w:r w:rsidRPr="00C83BDF">
              <w:rPr>
                <w:rFonts w:cs="Arial"/>
                <w:noProof/>
                <w:sz w:val="16"/>
                <w:lang w:val="es-ES_tradnl"/>
              </w:rPr>
              <w:t>Melón</w:t>
            </w:r>
          </w:p>
        </w:tc>
        <w:tc>
          <w:tcPr>
            <w:tcW w:w="1936" w:type="dxa"/>
            <w:tcBorders>
              <w:top w:val="nil"/>
              <w:left w:val="nil"/>
              <w:bottom w:val="single" w:sz="4" w:space="0" w:color="auto"/>
              <w:right w:val="single" w:sz="4" w:space="0" w:color="auto"/>
            </w:tcBorders>
          </w:tcPr>
          <w:p w:rsidR="00E65183" w:rsidRPr="00C83BDF" w:rsidRDefault="00E65183" w:rsidP="004737CD">
            <w:pPr>
              <w:jc w:val="left"/>
              <w:rPr>
                <w:rFonts w:cs="Arial"/>
                <w:noProof/>
                <w:sz w:val="16"/>
                <w:lang w:val="es-ES_tradnl"/>
              </w:rPr>
            </w:pPr>
            <w:r w:rsidRPr="00C83BDF">
              <w:rPr>
                <w:rFonts w:cs="Arial"/>
                <w:noProof/>
                <w:sz w:val="16"/>
                <w:lang w:val="es-ES_tradnl"/>
              </w:rPr>
              <w:t>Cucumis melo L.</w:t>
            </w:r>
          </w:p>
        </w:tc>
      </w:tr>
    </w:tbl>
    <w:p w:rsidR="00E65183" w:rsidRPr="00C83BDF" w:rsidRDefault="00E65183" w:rsidP="00E65183">
      <w:pPr>
        <w:rPr>
          <w:lang w:val="es-ES_tradnl"/>
        </w:rPr>
      </w:pPr>
    </w:p>
    <w:p w:rsidR="00E65183" w:rsidRPr="00C83BDF" w:rsidRDefault="00E65183" w:rsidP="00E65183">
      <w:pPr>
        <w:rPr>
          <w:lang w:val="es-ES_tradnl"/>
        </w:rPr>
      </w:pPr>
      <w:r w:rsidRPr="00C83BDF">
        <w:rPr>
          <w:rFonts w:cs="Arial"/>
          <w:lang w:val="es-ES_tradnl"/>
        </w:rPr>
        <w:tab/>
      </w:r>
      <w:r w:rsidR="00843A31" w:rsidRPr="00C83BDF">
        <w:rPr>
          <w:rFonts w:cs="Arial"/>
          <w:lang w:val="es-ES_tradnl"/>
        </w:rPr>
        <w:t>f)</w:t>
      </w:r>
      <w:r w:rsidRPr="00C83BDF">
        <w:rPr>
          <w:rFonts w:cs="Arial"/>
          <w:lang w:val="es-ES_tradnl"/>
        </w:rPr>
        <w:tab/>
      </w:r>
      <w:r w:rsidR="00843A31" w:rsidRPr="00C83BDF">
        <w:rPr>
          <w:rFonts w:cs="Arial"/>
          <w:lang w:val="es-ES_tradnl"/>
        </w:rPr>
        <w:t xml:space="preserve">nueve documentos aprobados por el Consejo en su </w:t>
      </w:r>
      <w:r w:rsidR="00843A31" w:rsidRPr="00C83BDF">
        <w:rPr>
          <w:lang w:val="es-ES_tradnl"/>
        </w:rPr>
        <w:t>cuadragésima octava sesión ordinaria, celebrada el 16 de octubre de 2014:</w:t>
      </w:r>
    </w:p>
    <w:p w:rsidR="00E65183" w:rsidRPr="00C83BDF" w:rsidRDefault="00E65183" w:rsidP="00E65183">
      <w:pPr>
        <w:rPr>
          <w:lang w:val="es-ES_tradnl"/>
        </w:rPr>
      </w:pPr>
    </w:p>
    <w:p w:rsidR="00E65183" w:rsidRPr="00C83BDF" w:rsidRDefault="00E65183" w:rsidP="006C237C">
      <w:pPr>
        <w:spacing w:after="240"/>
        <w:ind w:left="2694" w:hanging="2121"/>
        <w:rPr>
          <w:lang w:val="es-ES_tradnl"/>
        </w:rPr>
      </w:pPr>
      <w:r w:rsidRPr="00C83BDF">
        <w:rPr>
          <w:lang w:val="es-ES_tradnl"/>
        </w:rPr>
        <w:t>TGP/2/2</w:t>
      </w:r>
      <w:r w:rsidRPr="00C83BDF">
        <w:rPr>
          <w:lang w:val="es-ES_tradnl"/>
        </w:rPr>
        <w:tab/>
      </w:r>
      <w:r w:rsidR="00843A31" w:rsidRPr="00C83BDF">
        <w:rPr>
          <w:lang w:val="es-ES_tradnl"/>
        </w:rPr>
        <w:t>Lista de directrices de examen aprobadas por la UPOV (revisión)</w:t>
      </w:r>
    </w:p>
    <w:p w:rsidR="00E65183" w:rsidRPr="00C83BDF" w:rsidRDefault="00843A31" w:rsidP="006C237C">
      <w:pPr>
        <w:spacing w:after="240"/>
        <w:ind w:left="2694" w:hanging="2121"/>
        <w:rPr>
          <w:lang w:val="es-ES_tradnl"/>
        </w:rPr>
      </w:pPr>
      <w:r w:rsidRPr="00C83BDF">
        <w:rPr>
          <w:lang w:val="es-ES_tradnl"/>
        </w:rPr>
        <w:t>TGP/5, Sección 10/3</w:t>
      </w:r>
      <w:r w:rsidR="00E65183" w:rsidRPr="00C83BDF">
        <w:rPr>
          <w:lang w:val="es-ES_tradnl"/>
        </w:rPr>
        <w:tab/>
      </w:r>
      <w:r w:rsidRPr="00C83BDF">
        <w:rPr>
          <w:lang w:val="es-ES_tradnl"/>
        </w:rPr>
        <w:t>Experiencia y cooperación en el examen DHE, sección 10 “Notificación de caracteres y niveles de expresión adicionales” (revisión)</w:t>
      </w:r>
    </w:p>
    <w:p w:rsidR="00E65183" w:rsidRPr="00C83BDF" w:rsidRDefault="00E65183" w:rsidP="006C237C">
      <w:pPr>
        <w:spacing w:after="240"/>
        <w:ind w:left="2694" w:hanging="2121"/>
        <w:rPr>
          <w:lang w:val="es-ES_tradnl"/>
        </w:rPr>
      </w:pPr>
      <w:r w:rsidRPr="00C83BDF">
        <w:rPr>
          <w:lang w:val="es-ES_tradnl"/>
        </w:rPr>
        <w:t>TGP/7/7</w:t>
      </w:r>
      <w:r w:rsidRPr="00C83BDF">
        <w:rPr>
          <w:lang w:val="es-ES_tradnl"/>
        </w:rPr>
        <w:tab/>
      </w:r>
      <w:r w:rsidR="00843A31" w:rsidRPr="00C83BDF">
        <w:rPr>
          <w:lang w:val="es-ES_tradnl"/>
        </w:rPr>
        <w:t>Elaboración de las directrices de examen (revisión)</w:t>
      </w:r>
    </w:p>
    <w:p w:rsidR="00E65183" w:rsidRPr="00C83BDF" w:rsidRDefault="00E65183" w:rsidP="006C237C">
      <w:pPr>
        <w:spacing w:after="240"/>
        <w:ind w:left="2694" w:hanging="2121"/>
        <w:rPr>
          <w:lang w:val="es-ES_tradnl"/>
        </w:rPr>
      </w:pPr>
      <w:r w:rsidRPr="00C83BDF">
        <w:rPr>
          <w:lang w:val="es-ES_tradnl"/>
        </w:rPr>
        <w:t>TGP/8/2</w:t>
      </w:r>
      <w:r w:rsidRPr="00C83BDF">
        <w:rPr>
          <w:lang w:val="es-ES_tradnl"/>
        </w:rPr>
        <w:tab/>
      </w:r>
      <w:r w:rsidR="00843A31" w:rsidRPr="00C83BDF">
        <w:rPr>
          <w:lang w:val="es-ES_tradnl"/>
        </w:rPr>
        <w:t>Diseño de ensayos y técnicas utilizados en el examen de la distinción, la homogeneidad y la estabilidad (revisión)</w:t>
      </w:r>
    </w:p>
    <w:p w:rsidR="00E65183" w:rsidRPr="00C83BDF" w:rsidRDefault="00E65183" w:rsidP="006C237C">
      <w:pPr>
        <w:spacing w:after="240"/>
        <w:ind w:left="2694" w:hanging="2121"/>
        <w:rPr>
          <w:lang w:val="es-ES_tradnl"/>
        </w:rPr>
      </w:pPr>
      <w:r w:rsidRPr="00C83BDF">
        <w:rPr>
          <w:lang w:val="es-ES_tradnl"/>
        </w:rPr>
        <w:t>TGP/14/2 Corr. (S)</w:t>
      </w:r>
      <w:r w:rsidRPr="00C83BDF">
        <w:rPr>
          <w:lang w:val="es-ES_tradnl"/>
        </w:rPr>
        <w:tab/>
      </w:r>
      <w:r w:rsidR="00843A31" w:rsidRPr="00C83BDF">
        <w:rPr>
          <w:lang w:val="es-ES_tradnl"/>
        </w:rPr>
        <w:t>Corrección en la versión en español del documento TGP/14 “Glosario de términos utilizados en los documentos de la UPOV”:</w:t>
      </w:r>
      <w:r w:rsidRPr="00C83BDF">
        <w:rPr>
          <w:lang w:val="es-ES_tradnl"/>
        </w:rPr>
        <w:t xml:space="preserve"> </w:t>
      </w:r>
      <w:r w:rsidR="00843A31" w:rsidRPr="00C83BDF">
        <w:rPr>
          <w:lang w:val="es-ES_tradnl"/>
        </w:rPr>
        <w:t>Sección 2: Subsección 3: Color, párrafo 2.2.2</w:t>
      </w:r>
    </w:p>
    <w:p w:rsidR="00E65183" w:rsidRPr="00C83BDF" w:rsidRDefault="00E65183" w:rsidP="006C237C">
      <w:pPr>
        <w:spacing w:after="240"/>
        <w:ind w:left="2694" w:hanging="2121"/>
        <w:rPr>
          <w:lang w:val="es-ES_tradnl"/>
        </w:rPr>
      </w:pPr>
      <w:r w:rsidRPr="00C83BDF">
        <w:rPr>
          <w:lang w:val="es-ES_tradnl"/>
        </w:rPr>
        <w:t>TGP/0/7</w:t>
      </w:r>
      <w:r w:rsidRPr="00C83BDF">
        <w:rPr>
          <w:lang w:val="es-ES_tradnl"/>
        </w:rPr>
        <w:tab/>
      </w:r>
      <w:r w:rsidR="00843A31" w:rsidRPr="00C83BDF">
        <w:rPr>
          <w:lang w:val="es-ES_tradnl"/>
        </w:rPr>
        <w:t>Lista de documentos TGP y fechas de última publicación (revisión)</w:t>
      </w:r>
    </w:p>
    <w:p w:rsidR="00E65183" w:rsidRPr="00C83BDF" w:rsidRDefault="00E65183" w:rsidP="006C237C">
      <w:pPr>
        <w:spacing w:after="240"/>
        <w:ind w:left="2694" w:hanging="2121"/>
        <w:rPr>
          <w:lang w:val="es-ES_tradnl"/>
        </w:rPr>
      </w:pPr>
      <w:r w:rsidRPr="00C83BDF">
        <w:rPr>
          <w:lang w:val="es-ES_tradnl"/>
        </w:rPr>
        <w:t>UPOV/INF/16/4</w:t>
      </w:r>
      <w:r w:rsidRPr="00C83BDF">
        <w:rPr>
          <w:lang w:val="es-ES_tradnl"/>
        </w:rPr>
        <w:tab/>
      </w:r>
      <w:r w:rsidR="00843A31" w:rsidRPr="00C83BDF">
        <w:rPr>
          <w:lang w:val="es-ES_tradnl"/>
        </w:rPr>
        <w:t>Programas informáticos para intercambio (revisión)</w:t>
      </w:r>
    </w:p>
    <w:p w:rsidR="00E65183" w:rsidRPr="00C83BDF" w:rsidRDefault="00E65183" w:rsidP="006C237C">
      <w:pPr>
        <w:spacing w:after="240"/>
        <w:ind w:left="2694" w:hanging="2121"/>
        <w:rPr>
          <w:lang w:val="es-ES_tradnl"/>
        </w:rPr>
      </w:pPr>
      <w:r w:rsidRPr="00C83BDF">
        <w:rPr>
          <w:lang w:val="es-ES_tradnl"/>
        </w:rPr>
        <w:t>UPOV/INF/22/1</w:t>
      </w:r>
      <w:r w:rsidRPr="00C83BDF">
        <w:rPr>
          <w:lang w:val="es-ES_tradnl"/>
        </w:rPr>
        <w:tab/>
      </w:r>
      <w:r w:rsidR="00843A31" w:rsidRPr="00C83BDF">
        <w:rPr>
          <w:lang w:val="es-ES_tradnl"/>
        </w:rPr>
        <w:t>Programas informáticos y equipos utilizados por los miembros de la Unión</w:t>
      </w:r>
    </w:p>
    <w:p w:rsidR="00E65183" w:rsidRPr="00C83BDF" w:rsidRDefault="00E65183" w:rsidP="006C237C">
      <w:pPr>
        <w:spacing w:after="240"/>
        <w:ind w:left="2694" w:hanging="2121"/>
        <w:rPr>
          <w:lang w:val="es-ES_tradnl"/>
        </w:rPr>
      </w:pPr>
      <w:r w:rsidRPr="00C83BDF">
        <w:rPr>
          <w:lang w:val="es-ES_tradnl"/>
        </w:rPr>
        <w:t>UPOV/INF</w:t>
      </w:r>
      <w:r w:rsidR="00843A31" w:rsidRPr="00C83BDF">
        <w:rPr>
          <w:lang w:val="es-ES_tradnl"/>
        </w:rPr>
        <w:noBreakHyphen/>
      </w:r>
      <w:r w:rsidRPr="00C83BDF">
        <w:rPr>
          <w:lang w:val="es-ES_tradnl"/>
        </w:rPr>
        <w:t>EXN/6</w:t>
      </w:r>
      <w:r w:rsidRPr="00C83BDF">
        <w:rPr>
          <w:lang w:val="es-ES_tradnl"/>
        </w:rPr>
        <w:tab/>
      </w:r>
      <w:r w:rsidR="00843A31" w:rsidRPr="00C83BDF">
        <w:rPr>
          <w:lang w:val="es-ES_tradnl"/>
        </w:rPr>
        <w:t>Lista de documentos INF</w:t>
      </w:r>
      <w:r w:rsidR="00843A31" w:rsidRPr="00C83BDF">
        <w:rPr>
          <w:lang w:val="es-ES_tradnl"/>
        </w:rPr>
        <w:noBreakHyphen/>
        <w:t>EXN y fechas de última publicación (revisión)</w:t>
      </w:r>
    </w:p>
    <w:p w:rsidR="00E65183" w:rsidRPr="00C83BDF" w:rsidRDefault="00E65183" w:rsidP="00E65183">
      <w:pPr>
        <w:rPr>
          <w:lang w:val="es-ES_tradnl"/>
        </w:rPr>
      </w:pPr>
    </w:p>
    <w:p w:rsidR="00E65183" w:rsidRPr="00C83BDF" w:rsidRDefault="00082242" w:rsidP="00E65183">
      <w:pPr>
        <w:numPr>
          <w:ilvl w:val="12"/>
          <w:numId w:val="0"/>
        </w:numPr>
        <w:tabs>
          <w:tab w:val="left" w:pos="5387"/>
        </w:tabs>
        <w:ind w:left="4820"/>
        <w:rPr>
          <w:i/>
          <w:lang w:val="es-ES_tradnl"/>
        </w:rPr>
      </w:pPr>
      <w:r w:rsidRPr="00C83BDF">
        <w:rPr>
          <w:i/>
          <w:lang w:val="es-ES_tradnl"/>
        </w:rPr>
        <w:fldChar w:fldCharType="begin"/>
      </w:r>
      <w:r w:rsidR="00E65183" w:rsidRPr="00C83BDF">
        <w:rPr>
          <w:i/>
          <w:lang w:val="es-ES_tradnl"/>
        </w:rPr>
        <w:instrText xml:space="preserve"> AUTONUM  </w:instrText>
      </w:r>
      <w:r w:rsidRPr="00C83BDF">
        <w:rPr>
          <w:i/>
          <w:lang w:val="es-ES_tradnl"/>
        </w:rPr>
        <w:fldChar w:fldCharType="end"/>
      </w:r>
      <w:r w:rsidR="00E65183" w:rsidRPr="00C83BDF">
        <w:rPr>
          <w:i/>
          <w:lang w:val="es-ES_tradnl"/>
        </w:rPr>
        <w:tab/>
      </w:r>
      <w:r w:rsidR="00843A31" w:rsidRPr="00C83BDF">
        <w:rPr>
          <w:i/>
          <w:lang w:val="es-ES_tradnl"/>
        </w:rPr>
        <w:t>Se invita al Consejo a tomar nota del presente informe.</w:t>
      </w:r>
    </w:p>
    <w:p w:rsidR="00E65183" w:rsidRPr="00C83BDF" w:rsidRDefault="00E65183" w:rsidP="00E65183">
      <w:pPr>
        <w:rPr>
          <w:lang w:val="es-ES_tradnl"/>
        </w:rPr>
      </w:pPr>
    </w:p>
    <w:p w:rsidR="00E65183" w:rsidRPr="00C83BDF" w:rsidRDefault="00E65183" w:rsidP="00E65183">
      <w:pPr>
        <w:rPr>
          <w:lang w:val="es-ES_tradnl"/>
        </w:rPr>
      </w:pPr>
    </w:p>
    <w:p w:rsidR="00E65183" w:rsidRPr="00C83BDF" w:rsidRDefault="00E65183" w:rsidP="00E65183">
      <w:pPr>
        <w:rPr>
          <w:lang w:val="es-ES_tradnl"/>
        </w:rPr>
      </w:pPr>
    </w:p>
    <w:p w:rsidR="00E65183" w:rsidRPr="00C83BDF" w:rsidRDefault="00843A31" w:rsidP="00E65183">
      <w:pPr>
        <w:jc w:val="right"/>
        <w:rPr>
          <w:lang w:val="es-ES_tradnl"/>
        </w:rPr>
      </w:pPr>
      <w:r w:rsidRPr="00C83BDF">
        <w:rPr>
          <w:lang w:val="es-ES_tradnl"/>
        </w:rPr>
        <w:t>[Siguen los Anexos]</w:t>
      </w:r>
    </w:p>
    <w:p w:rsidR="00E65183" w:rsidRPr="00C83BDF" w:rsidRDefault="00E65183" w:rsidP="00E65183">
      <w:pPr>
        <w:jc w:val="left"/>
        <w:rPr>
          <w:lang w:val="es-ES_tradnl"/>
        </w:rPr>
        <w:sectPr w:rsidR="00E65183" w:rsidRPr="00C83BDF" w:rsidSect="004737CD">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525" w:gutter="0"/>
          <w:cols w:space="720"/>
          <w:titlePg/>
        </w:sectPr>
      </w:pPr>
    </w:p>
    <w:p w:rsidR="00E65183" w:rsidRPr="00C83BDF" w:rsidRDefault="00E65183" w:rsidP="00E65183">
      <w:pPr>
        <w:jc w:val="center"/>
        <w:rPr>
          <w:lang w:val="es-ES_tradnl"/>
        </w:rPr>
      </w:pPr>
      <w:r w:rsidRPr="00C83BDF">
        <w:rPr>
          <w:lang w:val="es-ES_tradnl"/>
        </w:rPr>
        <w:t>C/49/2</w:t>
      </w:r>
    </w:p>
    <w:p w:rsidR="00E65183" w:rsidRPr="00C83BDF" w:rsidRDefault="00E65183" w:rsidP="00E65183">
      <w:pPr>
        <w:jc w:val="center"/>
        <w:rPr>
          <w:lang w:val="es-ES_tradnl"/>
        </w:rPr>
      </w:pPr>
    </w:p>
    <w:p w:rsidR="00E65183" w:rsidRPr="00C83BDF" w:rsidRDefault="001E3C3D" w:rsidP="00E65183">
      <w:pPr>
        <w:jc w:val="center"/>
        <w:rPr>
          <w:lang w:val="es-ES_tradnl"/>
        </w:rPr>
      </w:pPr>
      <w:r w:rsidRPr="00C83BDF">
        <w:rPr>
          <w:lang w:val="es-ES_tradnl"/>
        </w:rPr>
        <w:t>ANEXO I</w:t>
      </w:r>
    </w:p>
    <w:p w:rsidR="00E65183" w:rsidRPr="00C83BDF" w:rsidRDefault="00E65183" w:rsidP="00E65183">
      <w:pPr>
        <w:jc w:val="center"/>
        <w:rPr>
          <w:lang w:val="es-ES_tradnl"/>
        </w:rPr>
      </w:pPr>
    </w:p>
    <w:p w:rsidR="00E65183" w:rsidRPr="00C83BDF" w:rsidRDefault="00E65183" w:rsidP="00E65183">
      <w:pPr>
        <w:jc w:val="center"/>
        <w:rPr>
          <w:lang w:val="es-ES_tradnl"/>
        </w:rPr>
      </w:pPr>
    </w:p>
    <w:p w:rsidR="00E65183" w:rsidRPr="00C83BDF" w:rsidRDefault="001E3C3D" w:rsidP="006C237C">
      <w:pPr>
        <w:spacing w:line="360" w:lineRule="auto"/>
        <w:jc w:val="center"/>
        <w:rPr>
          <w:szCs w:val="24"/>
          <w:lang w:val="es-ES_tradnl"/>
        </w:rPr>
      </w:pPr>
      <w:r w:rsidRPr="00C83BDF">
        <w:rPr>
          <w:szCs w:val="24"/>
          <w:lang w:val="es-ES_tradnl"/>
        </w:rPr>
        <w:t>MIEMBROS DE LA UNIÓN</w:t>
      </w:r>
    </w:p>
    <w:p w:rsidR="00E65183" w:rsidRPr="00C83BDF" w:rsidRDefault="001E3C3D" w:rsidP="00E65183">
      <w:pPr>
        <w:jc w:val="center"/>
        <w:rPr>
          <w:lang w:val="es-ES_tradnl"/>
        </w:rPr>
      </w:pPr>
      <w:r w:rsidRPr="00C83BDF">
        <w:rPr>
          <w:szCs w:val="24"/>
          <w:lang w:val="es-ES_tradnl"/>
        </w:rPr>
        <w:t>31 de diciembre de 2014</w:t>
      </w:r>
      <w:r w:rsidR="00E65183" w:rsidRPr="00C83BDF">
        <w:rPr>
          <w:szCs w:val="24"/>
          <w:lang w:val="es-ES_tradnl"/>
        </w:rPr>
        <w:br/>
      </w:r>
    </w:p>
    <w:p w:rsidR="00E65183" w:rsidRPr="00C83BDF" w:rsidRDefault="00E65183" w:rsidP="00E65183">
      <w:pPr>
        <w:jc w:val="center"/>
        <w:rPr>
          <w:lang w:val="es-ES_tradnl"/>
        </w:rPr>
      </w:pPr>
    </w:p>
    <w:p w:rsidR="00E65183" w:rsidRPr="00C83BDF" w:rsidRDefault="001E3C3D" w:rsidP="00E65183">
      <w:pPr>
        <w:rPr>
          <w:lang w:val="es-ES_tradnl"/>
        </w:rPr>
      </w:pPr>
      <w:r w:rsidRPr="00C83BDF">
        <w:rPr>
          <w:lang w:val="es-ES_tradnl"/>
        </w:rPr>
        <w:t>En el presente documento se da cuenta de la situación de los miembros de la Unión respecto de las distintas actas del Convenio, al 31 de diciembre de 2014 (véanse los artículos 31 y 32 del Convenio de 1961, el artículo 32.1) del Acta de 1978 y el artículo 34.2) del Acta de 1991).</w:t>
      </w:r>
    </w:p>
    <w:p w:rsidR="00E65183" w:rsidRPr="00C83BDF" w:rsidRDefault="00E65183" w:rsidP="00E65183">
      <w:pPr>
        <w:rPr>
          <w:lang w:val="es-ES_tradnl"/>
        </w:rPr>
      </w:pPr>
    </w:p>
    <w:p w:rsidR="00E65183" w:rsidRPr="00C83BDF" w:rsidRDefault="00E65183" w:rsidP="00FC3A0C">
      <w:pPr>
        <w:ind w:left="1134" w:hanging="1134"/>
        <w:rPr>
          <w:lang w:val="es-ES_tradnl"/>
        </w:rPr>
      </w:pPr>
      <w:r w:rsidRPr="00C83BDF">
        <w:rPr>
          <w:lang w:val="es-ES_tradnl"/>
        </w:rPr>
        <w:t>-</w:t>
      </w:r>
      <w:r w:rsidR="00D94EA2" w:rsidRPr="00C83BDF">
        <w:rPr>
          <w:lang w:val="es-ES_tradnl"/>
        </w:rPr>
        <w:t> </w:t>
      </w:r>
      <w:r w:rsidR="001E3C3D" w:rsidRPr="00C83BDF">
        <w:rPr>
          <w:lang w:val="es-ES_tradnl"/>
        </w:rPr>
        <w:t>1ª línea:</w:t>
      </w:r>
      <w:r w:rsidRPr="00C83BDF">
        <w:rPr>
          <w:lang w:val="es-ES_tradnl"/>
        </w:rPr>
        <w:tab/>
      </w:r>
      <w:r w:rsidR="001E3C3D" w:rsidRPr="00C83BDF">
        <w:rPr>
          <w:lang w:val="es-ES_tradnl"/>
        </w:rPr>
        <w:t>Convenio Internacional para la Protección de las Obtenciones Vegetales de 2 de diciembre de 1961</w:t>
      </w:r>
    </w:p>
    <w:p w:rsidR="00E65183" w:rsidRPr="00C83BDF" w:rsidRDefault="00E65183" w:rsidP="00E65183">
      <w:pPr>
        <w:rPr>
          <w:lang w:val="es-ES_tradnl"/>
        </w:rPr>
      </w:pPr>
      <w:r w:rsidRPr="00C83BDF">
        <w:rPr>
          <w:lang w:val="es-ES_tradnl"/>
        </w:rPr>
        <w:t>-</w:t>
      </w:r>
      <w:r w:rsidR="00D94EA2" w:rsidRPr="00C83BDF">
        <w:rPr>
          <w:lang w:val="es-ES_tradnl"/>
        </w:rPr>
        <w:t> </w:t>
      </w:r>
      <w:r w:rsidR="001E3C3D" w:rsidRPr="00C83BDF">
        <w:rPr>
          <w:lang w:val="es-ES_tradnl"/>
        </w:rPr>
        <w:t>2ª línea:</w:t>
      </w:r>
      <w:r w:rsidRPr="00C83BDF">
        <w:rPr>
          <w:lang w:val="es-ES_tradnl"/>
        </w:rPr>
        <w:tab/>
      </w:r>
      <w:r w:rsidR="001E3C3D" w:rsidRPr="00C83BDF">
        <w:rPr>
          <w:lang w:val="es-ES_tradnl"/>
        </w:rPr>
        <w:t>Acta adicional de 10 de noviembre de 1972</w:t>
      </w:r>
    </w:p>
    <w:p w:rsidR="00E65183" w:rsidRPr="00C83BDF" w:rsidRDefault="00E65183" w:rsidP="00E65183">
      <w:pPr>
        <w:rPr>
          <w:lang w:val="es-ES_tradnl"/>
        </w:rPr>
      </w:pPr>
      <w:r w:rsidRPr="00C83BDF">
        <w:rPr>
          <w:lang w:val="es-ES_tradnl"/>
        </w:rPr>
        <w:t>-</w:t>
      </w:r>
      <w:r w:rsidR="00D94EA2" w:rsidRPr="00C83BDF">
        <w:rPr>
          <w:lang w:val="es-ES_tradnl"/>
        </w:rPr>
        <w:t> </w:t>
      </w:r>
      <w:r w:rsidR="001E3C3D" w:rsidRPr="00C83BDF">
        <w:rPr>
          <w:lang w:val="es-ES_tradnl"/>
        </w:rPr>
        <w:t>3ª línea:</w:t>
      </w:r>
      <w:r w:rsidRPr="00C83BDF">
        <w:rPr>
          <w:lang w:val="es-ES_tradnl"/>
        </w:rPr>
        <w:tab/>
      </w:r>
      <w:r w:rsidR="001E3C3D" w:rsidRPr="00C83BDF">
        <w:rPr>
          <w:lang w:val="es-ES_tradnl"/>
        </w:rPr>
        <w:t>Acta de 23 de octubre de 1978</w:t>
      </w:r>
    </w:p>
    <w:p w:rsidR="00E65183" w:rsidRPr="00C83BDF" w:rsidRDefault="00E65183" w:rsidP="00E65183">
      <w:pPr>
        <w:rPr>
          <w:lang w:val="es-ES_tradnl"/>
        </w:rPr>
      </w:pPr>
      <w:r w:rsidRPr="00C83BDF">
        <w:rPr>
          <w:lang w:val="es-ES_tradnl"/>
        </w:rPr>
        <w:t>-</w:t>
      </w:r>
      <w:r w:rsidR="00D94EA2" w:rsidRPr="00C83BDF">
        <w:rPr>
          <w:lang w:val="es-ES_tradnl"/>
        </w:rPr>
        <w:t> </w:t>
      </w:r>
      <w:r w:rsidR="001E3C3D" w:rsidRPr="00C83BDF">
        <w:rPr>
          <w:lang w:val="es-ES_tradnl"/>
        </w:rPr>
        <w:t>4ª línea:</w:t>
      </w:r>
      <w:r w:rsidRPr="00C83BDF">
        <w:rPr>
          <w:lang w:val="es-ES_tradnl"/>
        </w:rPr>
        <w:tab/>
      </w:r>
      <w:r w:rsidR="001E3C3D" w:rsidRPr="00C83BDF">
        <w:rPr>
          <w:lang w:val="es-ES_tradnl"/>
        </w:rPr>
        <w:t>Acta de 19 de marzo de 1991</w:t>
      </w:r>
    </w:p>
    <w:p w:rsidR="00E65183" w:rsidRPr="00C83BDF" w:rsidRDefault="00E65183" w:rsidP="00E65183">
      <w:pPr>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65"/>
        <w:gridCol w:w="2381"/>
        <w:gridCol w:w="2268"/>
        <w:gridCol w:w="2268"/>
      </w:tblGrid>
      <w:tr w:rsidR="00E65183" w:rsidRPr="00C83BDF">
        <w:trPr>
          <w:cantSplit/>
          <w:tblHeader/>
          <w:jc w:val="center"/>
        </w:trPr>
        <w:tc>
          <w:tcPr>
            <w:tcW w:w="2665" w:type="dxa"/>
            <w:shd w:val="pct10" w:color="auto" w:fill="FFFFFF"/>
            <w:vAlign w:val="center"/>
          </w:tcPr>
          <w:p w:rsidR="00E65183" w:rsidRPr="00C83BDF" w:rsidRDefault="001E3C3D" w:rsidP="006C237C">
            <w:pPr>
              <w:spacing w:before="80" w:after="80"/>
              <w:jc w:val="left"/>
              <w:rPr>
                <w:rFonts w:cs="Arial"/>
                <w:sz w:val="18"/>
                <w:szCs w:val="18"/>
                <w:lang w:val="es-ES_tradnl"/>
              </w:rPr>
            </w:pPr>
            <w:r w:rsidRPr="00C83BDF">
              <w:rPr>
                <w:rFonts w:cs="Arial"/>
                <w:sz w:val="18"/>
                <w:szCs w:val="18"/>
                <w:lang w:val="es-ES_tradnl"/>
              </w:rPr>
              <w:t>Miembro</w:t>
            </w:r>
          </w:p>
        </w:tc>
        <w:tc>
          <w:tcPr>
            <w:tcW w:w="2381" w:type="dxa"/>
            <w:shd w:val="pct10" w:color="auto" w:fill="FFFFFF"/>
            <w:vAlign w:val="center"/>
          </w:tcPr>
          <w:p w:rsidR="00E65183" w:rsidRPr="00C83BDF" w:rsidRDefault="001E3C3D" w:rsidP="006C237C">
            <w:pPr>
              <w:spacing w:before="80" w:after="80"/>
              <w:jc w:val="left"/>
              <w:rPr>
                <w:rFonts w:cs="Arial"/>
                <w:sz w:val="18"/>
                <w:szCs w:val="18"/>
                <w:lang w:val="es-ES_tradnl"/>
              </w:rPr>
            </w:pPr>
            <w:r w:rsidRPr="00C83BDF">
              <w:rPr>
                <w:rFonts w:cs="Arial"/>
                <w:sz w:val="18"/>
                <w:szCs w:val="18"/>
                <w:lang w:val="es-ES_tradnl"/>
              </w:rPr>
              <w:t>Fecha de la firma</w:t>
            </w:r>
          </w:p>
        </w:tc>
        <w:tc>
          <w:tcPr>
            <w:tcW w:w="2268" w:type="dxa"/>
            <w:shd w:val="pct10" w:color="auto" w:fill="FFFFFF"/>
            <w:vAlign w:val="center"/>
          </w:tcPr>
          <w:p w:rsidR="00E65183" w:rsidRPr="00C83BDF" w:rsidRDefault="001E3C3D" w:rsidP="006C237C">
            <w:pPr>
              <w:spacing w:before="80" w:after="80"/>
              <w:jc w:val="left"/>
              <w:rPr>
                <w:rFonts w:cs="Arial"/>
                <w:sz w:val="18"/>
                <w:szCs w:val="18"/>
                <w:lang w:val="es-ES_tradnl"/>
              </w:rPr>
            </w:pPr>
            <w:r w:rsidRPr="00C83BDF">
              <w:rPr>
                <w:rFonts w:cs="Arial"/>
                <w:sz w:val="18"/>
                <w:szCs w:val="18"/>
                <w:lang w:val="es-ES_tradnl"/>
              </w:rPr>
              <w:t>Fecha del depósito del instrumento de ratificación, aceptación, aprobación o adhesión</w:t>
            </w:r>
          </w:p>
        </w:tc>
        <w:tc>
          <w:tcPr>
            <w:tcW w:w="2268" w:type="dxa"/>
            <w:shd w:val="pct10" w:color="auto" w:fill="FFFFFF"/>
            <w:vAlign w:val="center"/>
          </w:tcPr>
          <w:p w:rsidR="00E65183" w:rsidRPr="00C83BDF" w:rsidRDefault="001E3C3D" w:rsidP="006C237C">
            <w:pPr>
              <w:spacing w:before="80" w:after="80"/>
              <w:jc w:val="left"/>
              <w:rPr>
                <w:rFonts w:cs="Arial"/>
                <w:sz w:val="18"/>
                <w:szCs w:val="18"/>
                <w:lang w:val="es-ES_tradnl"/>
              </w:rPr>
            </w:pPr>
            <w:r w:rsidRPr="00C83BDF">
              <w:rPr>
                <w:rFonts w:cs="Arial"/>
                <w:sz w:val="18"/>
                <w:szCs w:val="18"/>
                <w:lang w:val="es-ES_tradnl"/>
              </w:rPr>
              <w:t>Fecha de entrada en vigor</w:t>
            </w:r>
          </w:p>
        </w:tc>
      </w:tr>
      <w:tr w:rsidR="0096195E" w:rsidRPr="00C83BDF">
        <w:trPr>
          <w:cantSplit/>
          <w:jc w:val="center"/>
        </w:trPr>
        <w:tc>
          <w:tcPr>
            <w:tcW w:w="2665"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Albania</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15 de septiembre de 2005</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15 de octubre de 2005</w:t>
            </w:r>
          </w:p>
        </w:tc>
      </w:tr>
      <w:tr w:rsidR="0096195E" w:rsidRPr="00C83BDF">
        <w:trPr>
          <w:cantSplit/>
          <w:jc w:val="center"/>
        </w:trPr>
        <w:tc>
          <w:tcPr>
            <w:tcW w:w="2665"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Alemania</w:t>
            </w:r>
          </w:p>
        </w:tc>
        <w:tc>
          <w:tcPr>
            <w:tcW w:w="2381"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2 de diciembre de 1961</w:t>
            </w:r>
            <w:r w:rsidRPr="00C83BDF">
              <w:rPr>
                <w:rFonts w:cs="Arial"/>
                <w:sz w:val="18"/>
                <w:szCs w:val="18"/>
                <w:lang w:val="es-ES_tradnl"/>
              </w:rPr>
              <w:br/>
              <w:t>10 de noviembre de 1972</w:t>
            </w:r>
            <w:r w:rsidRPr="00C83BDF">
              <w:rPr>
                <w:rFonts w:cs="Arial"/>
                <w:sz w:val="18"/>
                <w:szCs w:val="18"/>
                <w:lang w:val="es-ES_tradnl"/>
              </w:rPr>
              <w:br/>
              <w:t>23 de octubre de 1978</w:t>
            </w:r>
            <w:r w:rsidRPr="00C83BDF">
              <w:rPr>
                <w:rFonts w:cs="Arial"/>
                <w:sz w:val="18"/>
                <w:szCs w:val="18"/>
                <w:lang w:val="es-ES_tradnl"/>
              </w:rPr>
              <w:br/>
              <w:t>19 de marzo de 1991</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11 de julio de 1968</w:t>
            </w:r>
            <w:r w:rsidRPr="00C83BDF">
              <w:rPr>
                <w:rFonts w:cs="Arial"/>
                <w:sz w:val="18"/>
                <w:szCs w:val="18"/>
                <w:lang w:val="es-ES_tradnl"/>
              </w:rPr>
              <w:br/>
              <w:t>23 de julio de 1976</w:t>
            </w:r>
            <w:r w:rsidRPr="00C83BDF">
              <w:rPr>
                <w:rFonts w:cs="Arial"/>
                <w:sz w:val="18"/>
                <w:szCs w:val="18"/>
                <w:lang w:val="es-ES_tradnl"/>
              </w:rPr>
              <w:br/>
              <w:t>12 de marzo de 1986</w:t>
            </w:r>
            <w:r w:rsidRPr="00C83BDF">
              <w:rPr>
                <w:rFonts w:cs="Arial"/>
                <w:sz w:val="18"/>
                <w:szCs w:val="18"/>
                <w:lang w:val="es-ES_tradnl"/>
              </w:rPr>
              <w:br/>
              <w:t>25 de junio de 1998</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10 de agosto de 1968</w:t>
            </w:r>
            <w:r w:rsidRPr="00C83BDF">
              <w:rPr>
                <w:rFonts w:cs="Arial"/>
                <w:sz w:val="18"/>
                <w:szCs w:val="18"/>
                <w:lang w:val="es-ES_tradnl"/>
              </w:rPr>
              <w:br/>
              <w:t>11 de febrero de 1977</w:t>
            </w:r>
            <w:r w:rsidRPr="00C83BDF">
              <w:rPr>
                <w:rFonts w:cs="Arial"/>
                <w:sz w:val="18"/>
                <w:szCs w:val="18"/>
                <w:lang w:val="es-ES_tradnl"/>
              </w:rPr>
              <w:br/>
              <w:t>12 de abril de 1986</w:t>
            </w:r>
            <w:r w:rsidRPr="00C83BDF">
              <w:rPr>
                <w:rFonts w:cs="Arial"/>
                <w:sz w:val="18"/>
                <w:szCs w:val="18"/>
                <w:lang w:val="es-ES_tradnl"/>
              </w:rPr>
              <w:br/>
              <w:t>25 de julio de 1998</w:t>
            </w:r>
          </w:p>
        </w:tc>
      </w:tr>
      <w:tr w:rsidR="0096195E" w:rsidRPr="00C83BDF">
        <w:trPr>
          <w:cantSplit/>
          <w:jc w:val="center"/>
        </w:trPr>
        <w:tc>
          <w:tcPr>
            <w:tcW w:w="2665"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Argentina</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25 de noviembre de 1994</w:t>
            </w:r>
            <w:r w:rsidRPr="00C83BDF">
              <w:rPr>
                <w:rFonts w:cs="Arial"/>
                <w:sz w:val="18"/>
                <w:szCs w:val="18"/>
                <w:lang w:val="es-ES_tradnl"/>
              </w:rPr>
              <w:br/>
              <w:t>-</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25 de diciembre de 1994</w:t>
            </w:r>
            <w:r w:rsidRPr="00C83BDF">
              <w:rPr>
                <w:rFonts w:cs="Arial"/>
                <w:sz w:val="18"/>
                <w:szCs w:val="18"/>
                <w:lang w:val="es-ES_tradnl"/>
              </w:rPr>
              <w:br/>
              <w:t>-</w:t>
            </w:r>
          </w:p>
        </w:tc>
      </w:tr>
      <w:tr w:rsidR="0096195E" w:rsidRPr="00C83BDF">
        <w:trPr>
          <w:cantSplit/>
          <w:jc w:val="center"/>
        </w:trPr>
        <w:tc>
          <w:tcPr>
            <w:tcW w:w="2665"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Australia</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1 de febrero de 1989</w:t>
            </w:r>
            <w:r w:rsidRPr="00C83BDF">
              <w:rPr>
                <w:rFonts w:cs="Arial"/>
                <w:sz w:val="18"/>
                <w:szCs w:val="18"/>
                <w:lang w:val="es-ES_tradnl"/>
              </w:rPr>
              <w:br/>
              <w:t>20 de diciembre de 1999</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1 de marzo de 1989</w:t>
            </w:r>
            <w:r w:rsidRPr="00C83BDF">
              <w:rPr>
                <w:rFonts w:cs="Arial"/>
                <w:sz w:val="18"/>
                <w:szCs w:val="18"/>
                <w:lang w:val="es-ES_tradnl"/>
              </w:rPr>
              <w:br/>
              <w:t>20 de enero de 2000</w:t>
            </w:r>
          </w:p>
        </w:tc>
      </w:tr>
      <w:tr w:rsidR="0096195E" w:rsidRPr="00C83BDF">
        <w:trPr>
          <w:cantSplit/>
          <w:jc w:val="center"/>
        </w:trPr>
        <w:tc>
          <w:tcPr>
            <w:tcW w:w="2665"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Austria</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14 de junio de 1994</w:t>
            </w:r>
            <w:r w:rsidRPr="00C83BDF">
              <w:rPr>
                <w:rFonts w:cs="Arial"/>
                <w:sz w:val="18"/>
                <w:szCs w:val="18"/>
                <w:lang w:val="es-ES_tradnl"/>
              </w:rPr>
              <w:br/>
              <w:t>1 de junio de 2004</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14 de julio de 1994</w:t>
            </w:r>
            <w:r w:rsidRPr="00C83BDF">
              <w:rPr>
                <w:rFonts w:cs="Arial"/>
                <w:sz w:val="18"/>
                <w:szCs w:val="18"/>
                <w:lang w:val="es-ES_tradnl"/>
              </w:rPr>
              <w:br/>
              <w:t>1 de julio de 2004</w:t>
            </w:r>
          </w:p>
        </w:tc>
      </w:tr>
      <w:tr w:rsidR="0096195E" w:rsidRPr="00C83BDF">
        <w:trPr>
          <w:cantSplit/>
          <w:jc w:val="center"/>
        </w:trPr>
        <w:tc>
          <w:tcPr>
            <w:tcW w:w="2665"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Azerbaiyán</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9 de noviembre de 2004</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9 de diciembre de 2004</w:t>
            </w:r>
          </w:p>
        </w:tc>
      </w:tr>
      <w:tr w:rsidR="0096195E" w:rsidRPr="00C83BDF">
        <w:trPr>
          <w:cantSplit/>
          <w:jc w:val="center"/>
        </w:trPr>
        <w:tc>
          <w:tcPr>
            <w:tcW w:w="2665"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Belarús</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5 de diciembre de 2002</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5 de enero de 2003</w:t>
            </w:r>
          </w:p>
        </w:tc>
      </w:tr>
      <w:tr w:rsidR="0096195E" w:rsidRPr="00C83BDF">
        <w:trPr>
          <w:cantSplit/>
          <w:jc w:val="center"/>
        </w:trPr>
        <w:tc>
          <w:tcPr>
            <w:tcW w:w="2665"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Bélgica</w:t>
            </w:r>
          </w:p>
        </w:tc>
        <w:tc>
          <w:tcPr>
            <w:tcW w:w="2381"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2 de diciembre de 1961</w:t>
            </w:r>
            <w:r w:rsidRPr="00C83BDF">
              <w:rPr>
                <w:rFonts w:cs="Arial"/>
                <w:sz w:val="18"/>
                <w:szCs w:val="18"/>
                <w:lang w:val="es-ES_tradnl"/>
              </w:rPr>
              <w:br/>
              <w:t>10 de noviembre de 1972</w:t>
            </w:r>
            <w:r w:rsidRPr="00C83BDF">
              <w:rPr>
                <w:rFonts w:cs="Arial"/>
                <w:sz w:val="18"/>
                <w:szCs w:val="18"/>
                <w:lang w:val="es-ES_tradnl"/>
              </w:rPr>
              <w:br/>
              <w:t>23 de octubre de 1978</w:t>
            </w:r>
            <w:r w:rsidRPr="00C83BDF">
              <w:rPr>
                <w:rFonts w:cs="Arial"/>
                <w:sz w:val="18"/>
                <w:szCs w:val="18"/>
                <w:lang w:val="es-ES_tradnl"/>
              </w:rPr>
              <w:br/>
              <w:t>19 de marzo de 1991</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5 de noviembre de 1976</w:t>
            </w:r>
            <w:r w:rsidRPr="00C83BDF">
              <w:rPr>
                <w:rFonts w:cs="Arial"/>
                <w:sz w:val="18"/>
                <w:szCs w:val="18"/>
                <w:lang w:val="es-ES_tradnl"/>
              </w:rPr>
              <w:br/>
              <w:t>5 de noviembre de 1976</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5 de diciembre de 1976</w:t>
            </w:r>
            <w:r w:rsidRPr="00C83BDF">
              <w:rPr>
                <w:rFonts w:cs="Arial"/>
                <w:sz w:val="18"/>
                <w:szCs w:val="18"/>
                <w:lang w:val="es-ES_tradnl"/>
              </w:rPr>
              <w:br/>
              <w:t>11 de febrero de 1977</w:t>
            </w:r>
            <w:r w:rsidRPr="00C83BDF">
              <w:rPr>
                <w:rFonts w:cs="Arial"/>
                <w:sz w:val="18"/>
                <w:szCs w:val="18"/>
                <w:lang w:val="es-ES_tradnl"/>
              </w:rPr>
              <w:br/>
              <w:t>-</w:t>
            </w:r>
            <w:r w:rsidRPr="00C83BDF">
              <w:rPr>
                <w:rFonts w:cs="Arial"/>
                <w:sz w:val="18"/>
                <w:szCs w:val="18"/>
                <w:lang w:val="es-ES_tradnl"/>
              </w:rPr>
              <w:br/>
              <w:t>-</w:t>
            </w:r>
          </w:p>
        </w:tc>
      </w:tr>
      <w:tr w:rsidR="0096195E" w:rsidRPr="00C83BDF">
        <w:trPr>
          <w:cantSplit/>
          <w:jc w:val="center"/>
        </w:trPr>
        <w:tc>
          <w:tcPr>
            <w:tcW w:w="2665"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Bolivia (Estado Plurinacional de)</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21 de abril de 1999</w:t>
            </w:r>
            <w:r w:rsidRPr="00C83BDF">
              <w:rPr>
                <w:rFonts w:cs="Arial"/>
                <w:sz w:val="18"/>
                <w:szCs w:val="18"/>
                <w:lang w:val="es-ES_tradnl"/>
              </w:rPr>
              <w:br/>
              <w:t>-</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21 de mayo de 1999</w:t>
            </w:r>
            <w:r w:rsidRPr="00C83BDF">
              <w:rPr>
                <w:rFonts w:cs="Arial"/>
                <w:sz w:val="18"/>
                <w:szCs w:val="18"/>
                <w:lang w:val="es-ES_tradnl"/>
              </w:rPr>
              <w:br/>
              <w:t>-</w:t>
            </w:r>
          </w:p>
        </w:tc>
      </w:tr>
      <w:tr w:rsidR="0096195E" w:rsidRPr="00C83BDF">
        <w:trPr>
          <w:cantSplit/>
          <w:jc w:val="center"/>
        </w:trPr>
        <w:tc>
          <w:tcPr>
            <w:tcW w:w="2665"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Brasil</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23 de abril de 1999</w:t>
            </w:r>
            <w:r w:rsidRPr="00C83BDF">
              <w:rPr>
                <w:rFonts w:cs="Arial"/>
                <w:sz w:val="18"/>
                <w:szCs w:val="18"/>
                <w:lang w:val="es-ES_tradnl"/>
              </w:rPr>
              <w:br/>
              <w:t>-</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23 de mayo de 1999</w:t>
            </w:r>
            <w:r w:rsidRPr="00C83BDF">
              <w:rPr>
                <w:rFonts w:cs="Arial"/>
                <w:sz w:val="18"/>
                <w:szCs w:val="18"/>
                <w:lang w:val="es-ES_tradnl"/>
              </w:rPr>
              <w:br/>
              <w:t>-</w:t>
            </w:r>
          </w:p>
        </w:tc>
      </w:tr>
      <w:tr w:rsidR="0096195E" w:rsidRPr="00C83BDF">
        <w:trPr>
          <w:cantSplit/>
          <w:jc w:val="center"/>
        </w:trPr>
        <w:tc>
          <w:tcPr>
            <w:tcW w:w="2665"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Bulgaria</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24 de marzo de 1998</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24 de abril de 1998</w:t>
            </w:r>
          </w:p>
        </w:tc>
      </w:tr>
      <w:tr w:rsidR="0096195E" w:rsidRPr="00C83BDF">
        <w:trPr>
          <w:cantSplit/>
          <w:jc w:val="center"/>
        </w:trPr>
        <w:tc>
          <w:tcPr>
            <w:tcW w:w="2665"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Canadá</w:t>
            </w:r>
          </w:p>
        </w:tc>
        <w:tc>
          <w:tcPr>
            <w:tcW w:w="2381"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31 de octubre de 1979</w:t>
            </w:r>
            <w:r w:rsidRPr="00C83BDF">
              <w:rPr>
                <w:rFonts w:cs="Arial"/>
                <w:sz w:val="18"/>
                <w:szCs w:val="18"/>
                <w:lang w:val="es-ES_tradnl"/>
              </w:rPr>
              <w:br/>
              <w:t>9 de marzo de 1992</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4 de febrero de 1991</w:t>
            </w:r>
            <w:r w:rsidRPr="00C83BDF">
              <w:rPr>
                <w:rFonts w:cs="Arial"/>
                <w:sz w:val="18"/>
                <w:szCs w:val="18"/>
                <w:lang w:val="es-ES_tradnl"/>
              </w:rPr>
              <w:br/>
              <w:t>-</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4 de marzo de 1991</w:t>
            </w:r>
            <w:r w:rsidRPr="00C83BDF">
              <w:rPr>
                <w:rFonts w:cs="Arial"/>
                <w:sz w:val="18"/>
                <w:szCs w:val="18"/>
                <w:lang w:val="es-ES_tradnl"/>
              </w:rPr>
              <w:br/>
              <w:t>-</w:t>
            </w:r>
          </w:p>
        </w:tc>
      </w:tr>
      <w:tr w:rsidR="0096195E" w:rsidRPr="00C83BDF">
        <w:trPr>
          <w:cantSplit/>
          <w:jc w:val="center"/>
        </w:trPr>
        <w:tc>
          <w:tcPr>
            <w:tcW w:w="2665" w:type="dxa"/>
          </w:tcPr>
          <w:p w:rsidR="0096195E" w:rsidRPr="00C83BDF" w:rsidRDefault="0096195E" w:rsidP="00C433D7">
            <w:pPr>
              <w:spacing w:before="80" w:after="80"/>
              <w:jc w:val="left"/>
              <w:rPr>
                <w:rFonts w:cs="Arial"/>
                <w:sz w:val="18"/>
                <w:szCs w:val="18"/>
                <w:lang w:val="es-ES_tradnl"/>
              </w:rPr>
            </w:pPr>
            <w:r w:rsidRPr="00C83BDF">
              <w:rPr>
                <w:rFonts w:cs="Arial"/>
                <w:sz w:val="18"/>
                <w:szCs w:val="18"/>
                <w:lang w:val="es-ES_tradnl"/>
              </w:rPr>
              <w:t>Chile</w:t>
            </w:r>
          </w:p>
        </w:tc>
        <w:tc>
          <w:tcPr>
            <w:tcW w:w="2381" w:type="dxa"/>
          </w:tcPr>
          <w:p w:rsidR="0096195E" w:rsidRPr="00C83BDF" w:rsidRDefault="0096195E" w:rsidP="00C433D7">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C433D7">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5 de diciembre de 1995</w:t>
            </w:r>
            <w:r w:rsidRPr="00C83BDF">
              <w:rPr>
                <w:rFonts w:cs="Arial"/>
                <w:sz w:val="18"/>
                <w:szCs w:val="18"/>
                <w:lang w:val="es-ES_tradnl"/>
              </w:rPr>
              <w:br/>
              <w:t>-</w:t>
            </w:r>
          </w:p>
        </w:tc>
        <w:tc>
          <w:tcPr>
            <w:tcW w:w="2268" w:type="dxa"/>
          </w:tcPr>
          <w:p w:rsidR="0096195E" w:rsidRPr="00C83BDF" w:rsidRDefault="0096195E" w:rsidP="00C433D7">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5 de enero de 1996</w:t>
            </w:r>
            <w:r w:rsidRPr="00C83BDF">
              <w:rPr>
                <w:rFonts w:cs="Arial"/>
                <w:sz w:val="18"/>
                <w:szCs w:val="18"/>
                <w:lang w:val="es-ES_tradnl"/>
              </w:rPr>
              <w:br/>
              <w:t>-</w:t>
            </w:r>
          </w:p>
        </w:tc>
      </w:tr>
      <w:tr w:rsidR="0096195E" w:rsidRPr="00C83BDF">
        <w:trPr>
          <w:cantSplit/>
          <w:jc w:val="center"/>
        </w:trPr>
        <w:tc>
          <w:tcPr>
            <w:tcW w:w="2665" w:type="dxa"/>
          </w:tcPr>
          <w:p w:rsidR="0096195E" w:rsidRPr="00C83BDF" w:rsidRDefault="0096195E" w:rsidP="00C433D7">
            <w:pPr>
              <w:spacing w:before="80" w:after="80"/>
              <w:jc w:val="left"/>
              <w:rPr>
                <w:rFonts w:cs="Arial"/>
                <w:sz w:val="18"/>
                <w:szCs w:val="18"/>
                <w:lang w:val="es-ES_tradnl"/>
              </w:rPr>
            </w:pPr>
            <w:r w:rsidRPr="00C83BDF">
              <w:rPr>
                <w:rFonts w:cs="Arial"/>
                <w:sz w:val="18"/>
                <w:szCs w:val="18"/>
                <w:lang w:val="es-ES_tradnl"/>
              </w:rPr>
              <w:t>China</w:t>
            </w:r>
          </w:p>
        </w:tc>
        <w:tc>
          <w:tcPr>
            <w:tcW w:w="2381" w:type="dxa"/>
          </w:tcPr>
          <w:p w:rsidR="0096195E" w:rsidRPr="00C83BDF" w:rsidRDefault="0096195E" w:rsidP="00C433D7">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C433D7">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23 de marzo de 1999</w:t>
            </w:r>
            <w:r w:rsidRPr="00C83BDF">
              <w:rPr>
                <w:rFonts w:cs="Arial"/>
                <w:sz w:val="18"/>
                <w:szCs w:val="18"/>
                <w:lang w:val="es-ES_tradnl"/>
              </w:rPr>
              <w:br/>
              <w:t>-</w:t>
            </w:r>
          </w:p>
        </w:tc>
        <w:tc>
          <w:tcPr>
            <w:tcW w:w="2268" w:type="dxa"/>
          </w:tcPr>
          <w:p w:rsidR="0096195E" w:rsidRPr="00C83BDF" w:rsidRDefault="0096195E" w:rsidP="00C433D7">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23 de abril de 1999</w:t>
            </w:r>
            <w:r w:rsidRPr="00C83BDF">
              <w:rPr>
                <w:rFonts w:cs="Arial"/>
                <w:sz w:val="18"/>
                <w:szCs w:val="18"/>
                <w:lang w:val="es-ES_tradnl"/>
              </w:rPr>
              <w:br/>
              <w:t>-</w:t>
            </w:r>
          </w:p>
        </w:tc>
      </w:tr>
      <w:tr w:rsidR="0096195E" w:rsidRPr="00C83BDF">
        <w:trPr>
          <w:cantSplit/>
          <w:jc w:val="center"/>
        </w:trPr>
        <w:tc>
          <w:tcPr>
            <w:tcW w:w="2665" w:type="dxa"/>
          </w:tcPr>
          <w:p w:rsidR="0096195E" w:rsidRPr="00C83BDF" w:rsidRDefault="0096195E" w:rsidP="00277070">
            <w:pPr>
              <w:pStyle w:val="CommentText"/>
              <w:spacing w:before="80" w:after="80"/>
              <w:rPr>
                <w:rFonts w:ascii="Arial" w:hAnsi="Arial" w:cs="Arial"/>
                <w:sz w:val="18"/>
                <w:szCs w:val="18"/>
                <w:lang w:val="es-ES_tradnl"/>
              </w:rPr>
            </w:pPr>
            <w:r w:rsidRPr="00C83BDF">
              <w:rPr>
                <w:rFonts w:ascii="Arial" w:hAnsi="Arial" w:cs="Arial"/>
                <w:sz w:val="18"/>
                <w:szCs w:val="18"/>
                <w:lang w:val="es-ES_tradnl"/>
              </w:rPr>
              <w:t>Colombia</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13 de agosto de 1996</w:t>
            </w:r>
            <w:r w:rsidRPr="00C83BDF">
              <w:rPr>
                <w:rFonts w:cs="Arial"/>
                <w:sz w:val="18"/>
                <w:szCs w:val="18"/>
                <w:lang w:val="es-ES_tradnl"/>
              </w:rPr>
              <w:br/>
              <w:t>-</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13 de septiembre de 1996</w:t>
            </w:r>
            <w:r w:rsidRPr="00C83BDF">
              <w:rPr>
                <w:rFonts w:cs="Arial"/>
                <w:sz w:val="18"/>
                <w:szCs w:val="18"/>
                <w:lang w:val="es-ES_tradnl"/>
              </w:rPr>
              <w:br/>
              <w:t>-</w:t>
            </w:r>
          </w:p>
        </w:tc>
      </w:tr>
      <w:tr w:rsidR="0096195E" w:rsidRPr="00C83BDF">
        <w:trPr>
          <w:cantSplit/>
          <w:jc w:val="center"/>
        </w:trPr>
        <w:tc>
          <w:tcPr>
            <w:tcW w:w="2665"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Costa Rica</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12 de diciembre de 2008</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12 de enero de 2009</w:t>
            </w:r>
          </w:p>
        </w:tc>
      </w:tr>
      <w:tr w:rsidR="0096195E" w:rsidRPr="00C83BDF">
        <w:trPr>
          <w:cantSplit/>
          <w:jc w:val="center"/>
        </w:trPr>
        <w:tc>
          <w:tcPr>
            <w:tcW w:w="2665"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Croacia</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1 de agosto de 2001</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1 de septiembre de 2001</w:t>
            </w:r>
          </w:p>
        </w:tc>
      </w:tr>
      <w:tr w:rsidR="0096195E" w:rsidRPr="00C83BDF">
        <w:trPr>
          <w:cantSplit/>
          <w:jc w:val="center"/>
        </w:trPr>
        <w:tc>
          <w:tcPr>
            <w:tcW w:w="2665"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Dinamarca</w:t>
            </w:r>
          </w:p>
        </w:tc>
        <w:tc>
          <w:tcPr>
            <w:tcW w:w="2381"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26 de noviembre de 1962</w:t>
            </w:r>
            <w:r w:rsidRPr="00C83BDF">
              <w:rPr>
                <w:rFonts w:cs="Arial"/>
                <w:sz w:val="18"/>
                <w:szCs w:val="18"/>
                <w:lang w:val="es-ES_tradnl"/>
              </w:rPr>
              <w:br/>
              <w:t>10 de noviembre de 1972</w:t>
            </w:r>
            <w:r w:rsidRPr="00C83BDF">
              <w:rPr>
                <w:rFonts w:cs="Arial"/>
                <w:sz w:val="18"/>
                <w:szCs w:val="18"/>
                <w:lang w:val="es-ES_tradnl"/>
              </w:rPr>
              <w:br/>
              <w:t>23 de octubre de 1978</w:t>
            </w:r>
            <w:r w:rsidRPr="00C83BDF">
              <w:rPr>
                <w:rFonts w:cs="Arial"/>
                <w:sz w:val="18"/>
                <w:szCs w:val="18"/>
                <w:lang w:val="es-ES_tradnl"/>
              </w:rPr>
              <w:br/>
              <w:t>19 de marzo de 1991</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6 de septiembre de 1968</w:t>
            </w:r>
            <w:r w:rsidRPr="00C83BDF">
              <w:rPr>
                <w:rFonts w:cs="Arial"/>
                <w:sz w:val="18"/>
                <w:szCs w:val="18"/>
                <w:lang w:val="es-ES_tradnl"/>
              </w:rPr>
              <w:br/>
              <w:t>8 de febrero de 1974</w:t>
            </w:r>
            <w:r w:rsidRPr="00C83BDF">
              <w:rPr>
                <w:rFonts w:cs="Arial"/>
                <w:sz w:val="18"/>
                <w:szCs w:val="18"/>
                <w:lang w:val="es-ES_tradnl"/>
              </w:rPr>
              <w:br/>
              <w:t>8 de octubre de 1981</w:t>
            </w:r>
            <w:r w:rsidRPr="00C83BDF">
              <w:rPr>
                <w:rFonts w:cs="Arial"/>
                <w:sz w:val="18"/>
                <w:szCs w:val="18"/>
                <w:lang w:val="es-ES_tradnl"/>
              </w:rPr>
              <w:br/>
              <w:t>26 de abril de 1996</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6 de octubre de 1968</w:t>
            </w:r>
            <w:r w:rsidRPr="00C83BDF">
              <w:rPr>
                <w:rFonts w:cs="Arial"/>
                <w:sz w:val="18"/>
                <w:szCs w:val="18"/>
                <w:lang w:val="es-ES_tradnl"/>
              </w:rPr>
              <w:br/>
              <w:t>11 de febrero de 1977</w:t>
            </w:r>
            <w:r w:rsidRPr="00C83BDF">
              <w:rPr>
                <w:rFonts w:cs="Arial"/>
                <w:sz w:val="18"/>
                <w:szCs w:val="18"/>
                <w:lang w:val="es-ES_tradnl"/>
              </w:rPr>
              <w:br/>
              <w:t>8 de noviembre de 1981</w:t>
            </w:r>
            <w:r w:rsidRPr="00C83BDF">
              <w:rPr>
                <w:rFonts w:cs="Arial"/>
                <w:sz w:val="18"/>
                <w:szCs w:val="18"/>
                <w:lang w:val="es-ES_tradnl"/>
              </w:rPr>
              <w:br/>
              <w:t>24 de abril de 1998</w:t>
            </w:r>
          </w:p>
        </w:tc>
      </w:tr>
      <w:tr w:rsidR="0096195E" w:rsidRPr="00C83BDF">
        <w:trPr>
          <w:cantSplit/>
          <w:jc w:val="center"/>
        </w:trPr>
        <w:tc>
          <w:tcPr>
            <w:tcW w:w="2665"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Ecuador</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8 de julio de 1997</w:t>
            </w:r>
            <w:r w:rsidRPr="00C83BDF">
              <w:rPr>
                <w:rFonts w:cs="Arial"/>
                <w:sz w:val="18"/>
                <w:szCs w:val="18"/>
                <w:lang w:val="es-ES_tradnl"/>
              </w:rPr>
              <w:br/>
              <w:t>-</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8 de agosto de 1997</w:t>
            </w:r>
            <w:r w:rsidRPr="00C83BDF">
              <w:rPr>
                <w:rFonts w:cs="Arial"/>
                <w:sz w:val="18"/>
                <w:szCs w:val="18"/>
                <w:lang w:val="es-ES_tradnl"/>
              </w:rPr>
              <w:br/>
              <w:t>-</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Eslovaquia</w:t>
            </w:r>
            <w:r w:rsidRPr="00C83BDF">
              <w:rPr>
                <w:rStyle w:val="FootnoteReference"/>
                <w:rFonts w:cs="Arial"/>
                <w:sz w:val="18"/>
                <w:szCs w:val="18"/>
                <w:lang w:val="es-ES_tradnl"/>
              </w:rPr>
              <w:footnoteReference w:customMarkFollows="1" w:id="4"/>
              <w:t>1</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12 de mayo de 2009</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1 de enero de 1993</w:t>
            </w:r>
            <w:r w:rsidRPr="00C83BDF">
              <w:rPr>
                <w:rFonts w:cs="Arial"/>
                <w:sz w:val="18"/>
                <w:szCs w:val="18"/>
                <w:lang w:val="es-ES_tradnl"/>
              </w:rPr>
              <w:br/>
              <w:t>12 de junio de 2009</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Eslovenia</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29 de junio de 1999</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29 de julio de 1999</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España</w:t>
            </w:r>
          </w:p>
        </w:tc>
        <w:tc>
          <w:tcPr>
            <w:tcW w:w="2381"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19 de marzo de 1991</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18 de abril de 1980</w:t>
            </w:r>
            <w:r w:rsidRPr="00C83BDF">
              <w:rPr>
                <w:rFonts w:cs="Arial"/>
                <w:sz w:val="18"/>
                <w:szCs w:val="18"/>
                <w:lang w:val="es-ES_tradnl"/>
              </w:rPr>
              <w:br/>
              <w:t>18 de abril de 1980</w:t>
            </w:r>
            <w:r w:rsidRPr="00C83BDF">
              <w:rPr>
                <w:rFonts w:cs="Arial"/>
                <w:sz w:val="18"/>
                <w:szCs w:val="18"/>
                <w:lang w:val="es-ES_tradnl"/>
              </w:rPr>
              <w:br/>
              <w:t>-</w:t>
            </w:r>
            <w:r w:rsidRPr="00C83BDF">
              <w:rPr>
                <w:rFonts w:cs="Arial"/>
                <w:sz w:val="18"/>
                <w:szCs w:val="18"/>
                <w:lang w:val="es-ES_tradnl"/>
              </w:rPr>
              <w:br/>
              <w:t>18 de junio de 2007</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18 de mayo de 1980</w:t>
            </w:r>
            <w:r w:rsidRPr="00C83BDF">
              <w:rPr>
                <w:rFonts w:cs="Arial"/>
                <w:sz w:val="18"/>
                <w:szCs w:val="18"/>
                <w:lang w:val="es-ES_tradnl"/>
              </w:rPr>
              <w:br/>
              <w:t>18 de mayo de 1980</w:t>
            </w:r>
            <w:r w:rsidRPr="00C83BDF">
              <w:rPr>
                <w:rFonts w:cs="Arial"/>
                <w:sz w:val="18"/>
                <w:szCs w:val="18"/>
                <w:lang w:val="es-ES_tradnl"/>
              </w:rPr>
              <w:br/>
              <w:t>-</w:t>
            </w:r>
            <w:r w:rsidRPr="00C83BDF">
              <w:rPr>
                <w:rFonts w:cs="Arial"/>
                <w:sz w:val="18"/>
                <w:szCs w:val="18"/>
                <w:lang w:val="es-ES_tradnl"/>
              </w:rPr>
              <w:br/>
              <w:t>18 de julio de 2007</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Estados Unidos de América</w:t>
            </w:r>
          </w:p>
        </w:tc>
        <w:tc>
          <w:tcPr>
            <w:tcW w:w="2381"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23 de octubre de 1978</w:t>
            </w:r>
            <w:r w:rsidRPr="00C83BDF">
              <w:rPr>
                <w:rFonts w:cs="Arial"/>
                <w:sz w:val="18"/>
                <w:szCs w:val="18"/>
                <w:lang w:val="es-ES_tradnl"/>
              </w:rPr>
              <w:br/>
              <w:t>25 de octubre de 1991</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12 de noviembre de 1980</w:t>
            </w:r>
            <w:r w:rsidRPr="00C83BDF">
              <w:rPr>
                <w:rFonts w:cs="Arial"/>
                <w:sz w:val="18"/>
                <w:szCs w:val="18"/>
                <w:lang w:val="es-ES_tradnl"/>
              </w:rPr>
              <w:br/>
              <w:t>22 de enero de 1999</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8 de noviembre de 1981</w:t>
            </w:r>
            <w:r w:rsidRPr="00C83BDF">
              <w:rPr>
                <w:rFonts w:cs="Arial"/>
                <w:sz w:val="18"/>
                <w:szCs w:val="18"/>
                <w:lang w:val="es-ES_tradnl"/>
              </w:rPr>
              <w:br/>
              <w:t>22 de febrero de 1999</w:t>
            </w:r>
          </w:p>
        </w:tc>
      </w:tr>
      <w:tr w:rsidR="0096195E" w:rsidRPr="00C83BDF">
        <w:trPr>
          <w:cantSplit/>
          <w:jc w:val="center"/>
        </w:trPr>
        <w:tc>
          <w:tcPr>
            <w:tcW w:w="2665"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Estonia</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24 de agosto de 2000</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24 de septiembre de 2000</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ex República Yugoslava de Macedonia</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4 de abril de 2011</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4 de mayo de 2011</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kern w:val="2"/>
                <w:sz w:val="18"/>
                <w:szCs w:val="18"/>
                <w:lang w:val="es-ES_tradnl"/>
              </w:rPr>
              <w:t>Federación de Rusia</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kern w:val="2"/>
                <w:sz w:val="18"/>
                <w:szCs w:val="18"/>
                <w:lang w:val="es-ES_tradnl"/>
              </w:rPr>
              <w:t>-</w:t>
            </w:r>
            <w:r w:rsidRPr="00C83BDF">
              <w:rPr>
                <w:rFonts w:cs="Arial"/>
                <w:kern w:val="2"/>
                <w:sz w:val="18"/>
                <w:szCs w:val="18"/>
                <w:lang w:val="es-ES_tradnl"/>
              </w:rPr>
              <w:br/>
              <w:t>-</w:t>
            </w:r>
            <w:r w:rsidRPr="00C83BDF">
              <w:rPr>
                <w:rFonts w:cs="Arial"/>
                <w:kern w:val="2"/>
                <w:sz w:val="18"/>
                <w:szCs w:val="18"/>
                <w:lang w:val="es-ES_tradnl"/>
              </w:rPr>
              <w:br/>
              <w:t>-</w:t>
            </w:r>
            <w:r w:rsidRPr="00C83BDF">
              <w:rPr>
                <w:rFonts w:cs="Arial"/>
                <w:kern w:val="2"/>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kern w:val="2"/>
                <w:sz w:val="18"/>
                <w:szCs w:val="18"/>
                <w:lang w:val="es-ES_tradnl"/>
              </w:rPr>
              <w:t>-</w:t>
            </w:r>
            <w:r w:rsidRPr="00C83BDF">
              <w:rPr>
                <w:rFonts w:cs="Arial"/>
                <w:kern w:val="2"/>
                <w:sz w:val="18"/>
                <w:szCs w:val="18"/>
                <w:lang w:val="es-ES_tradnl"/>
              </w:rPr>
              <w:br/>
              <w:t>-</w:t>
            </w:r>
            <w:r w:rsidRPr="00C83BDF">
              <w:rPr>
                <w:rFonts w:cs="Arial"/>
                <w:kern w:val="2"/>
                <w:sz w:val="18"/>
                <w:szCs w:val="18"/>
                <w:lang w:val="es-ES_tradnl"/>
              </w:rPr>
              <w:br/>
              <w:t>-</w:t>
            </w:r>
            <w:r w:rsidRPr="00C83BDF">
              <w:rPr>
                <w:rFonts w:cs="Arial"/>
                <w:kern w:val="2"/>
                <w:sz w:val="18"/>
                <w:szCs w:val="18"/>
                <w:lang w:val="es-ES_tradnl"/>
              </w:rPr>
              <w:br/>
              <w:t>24 de marzo de 1998</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kern w:val="2"/>
                <w:sz w:val="18"/>
                <w:szCs w:val="18"/>
                <w:lang w:val="es-ES_tradnl"/>
              </w:rPr>
              <w:t>-</w:t>
            </w:r>
            <w:r w:rsidRPr="00C83BDF">
              <w:rPr>
                <w:rFonts w:cs="Arial"/>
                <w:kern w:val="2"/>
                <w:sz w:val="18"/>
                <w:szCs w:val="18"/>
                <w:lang w:val="es-ES_tradnl"/>
              </w:rPr>
              <w:br/>
              <w:t>-</w:t>
            </w:r>
            <w:r w:rsidRPr="00C83BDF">
              <w:rPr>
                <w:rFonts w:cs="Arial"/>
                <w:kern w:val="2"/>
                <w:sz w:val="18"/>
                <w:szCs w:val="18"/>
                <w:lang w:val="es-ES_tradnl"/>
              </w:rPr>
              <w:br/>
              <w:t>-</w:t>
            </w:r>
            <w:r w:rsidRPr="00C83BDF">
              <w:rPr>
                <w:rFonts w:cs="Arial"/>
                <w:kern w:val="2"/>
                <w:sz w:val="18"/>
                <w:szCs w:val="18"/>
                <w:lang w:val="es-ES_tradnl"/>
              </w:rPr>
              <w:br/>
              <w:t>24 de abril de 1998</w:t>
            </w:r>
          </w:p>
        </w:tc>
      </w:tr>
      <w:tr w:rsidR="0096195E" w:rsidRPr="00C83BDF">
        <w:trPr>
          <w:cantSplit/>
          <w:jc w:val="center"/>
        </w:trPr>
        <w:tc>
          <w:tcPr>
            <w:tcW w:w="2665"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Finlandia</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16 de marzo de 1993</w:t>
            </w:r>
            <w:r w:rsidRPr="00C83BDF">
              <w:rPr>
                <w:rFonts w:cs="Arial"/>
                <w:sz w:val="18"/>
                <w:szCs w:val="18"/>
                <w:lang w:val="es-ES_tradnl"/>
              </w:rPr>
              <w:br/>
              <w:t>20 de junio de 2001</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16 de abril de 1993</w:t>
            </w:r>
            <w:r w:rsidRPr="00C83BDF">
              <w:rPr>
                <w:rFonts w:cs="Arial"/>
                <w:sz w:val="18"/>
                <w:szCs w:val="18"/>
                <w:lang w:val="es-ES_tradnl"/>
              </w:rPr>
              <w:br/>
              <w:t>20 de julio de 2001</w:t>
            </w:r>
          </w:p>
        </w:tc>
      </w:tr>
      <w:tr w:rsidR="0096195E" w:rsidRPr="00C83BDF">
        <w:trPr>
          <w:cantSplit/>
          <w:jc w:val="center"/>
        </w:trPr>
        <w:tc>
          <w:tcPr>
            <w:tcW w:w="2665"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Francia</w:t>
            </w:r>
          </w:p>
        </w:tc>
        <w:tc>
          <w:tcPr>
            <w:tcW w:w="2381"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2 de diciembre de 1961</w:t>
            </w:r>
            <w:r w:rsidRPr="00C83BDF">
              <w:rPr>
                <w:rFonts w:cs="Arial"/>
                <w:sz w:val="18"/>
                <w:szCs w:val="18"/>
                <w:lang w:val="es-ES_tradnl"/>
              </w:rPr>
              <w:br/>
              <w:t>10 de noviembre de 1972</w:t>
            </w:r>
            <w:r w:rsidRPr="00C83BDF">
              <w:rPr>
                <w:rFonts w:cs="Arial"/>
                <w:sz w:val="18"/>
                <w:szCs w:val="18"/>
                <w:lang w:val="es-ES_tradnl"/>
              </w:rPr>
              <w:br/>
              <w:t>23 de octubre de 1978</w:t>
            </w:r>
            <w:r w:rsidRPr="00C83BDF">
              <w:rPr>
                <w:rFonts w:cs="Arial"/>
                <w:sz w:val="18"/>
                <w:szCs w:val="18"/>
                <w:lang w:val="es-ES_tradnl"/>
              </w:rPr>
              <w:br/>
              <w:t>19 de marzo de 1991</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3 de septiembre de 1971</w:t>
            </w:r>
            <w:r w:rsidRPr="00C83BDF">
              <w:rPr>
                <w:rFonts w:cs="Arial"/>
                <w:sz w:val="18"/>
                <w:szCs w:val="18"/>
                <w:lang w:val="es-ES_tradnl"/>
              </w:rPr>
              <w:br/>
              <w:t>22 de enero de 1975</w:t>
            </w:r>
            <w:r w:rsidRPr="00C83BDF">
              <w:rPr>
                <w:rFonts w:cs="Arial"/>
                <w:sz w:val="18"/>
                <w:szCs w:val="18"/>
                <w:lang w:val="es-ES_tradnl"/>
              </w:rPr>
              <w:br/>
              <w:t>17 de febrero de 1983</w:t>
            </w:r>
            <w:r w:rsidRPr="00C83BDF">
              <w:rPr>
                <w:rFonts w:cs="Arial"/>
                <w:sz w:val="18"/>
                <w:szCs w:val="18"/>
                <w:lang w:val="es-ES_tradnl"/>
              </w:rPr>
              <w:br/>
              <w:t>27 de abril de 2012</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3 de octubre de 1971</w:t>
            </w:r>
            <w:r w:rsidRPr="00C83BDF">
              <w:rPr>
                <w:rFonts w:cs="Arial"/>
                <w:sz w:val="18"/>
                <w:szCs w:val="18"/>
                <w:lang w:val="es-ES_tradnl"/>
              </w:rPr>
              <w:br/>
              <w:t>11 de febrero de 1977</w:t>
            </w:r>
            <w:r w:rsidRPr="00C83BDF">
              <w:rPr>
                <w:rFonts w:cs="Arial"/>
                <w:sz w:val="18"/>
                <w:szCs w:val="18"/>
                <w:lang w:val="es-ES_tradnl"/>
              </w:rPr>
              <w:br/>
              <w:t>17 de marzo de 1983</w:t>
            </w:r>
            <w:r w:rsidRPr="00C83BDF">
              <w:rPr>
                <w:rFonts w:cs="Arial"/>
                <w:sz w:val="18"/>
                <w:szCs w:val="18"/>
                <w:lang w:val="es-ES_tradnl"/>
              </w:rPr>
              <w:br/>
              <w:t>27 de mayo de 2012</w:t>
            </w:r>
          </w:p>
        </w:tc>
      </w:tr>
      <w:tr w:rsidR="0096195E" w:rsidRPr="00C83BDF">
        <w:trPr>
          <w:cantSplit/>
          <w:jc w:val="center"/>
        </w:trPr>
        <w:tc>
          <w:tcPr>
            <w:tcW w:w="2665"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Georgia</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29 de octubre de 2008</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29 de noviembre de 2008</w:t>
            </w:r>
          </w:p>
        </w:tc>
      </w:tr>
      <w:tr w:rsidR="0096195E" w:rsidRPr="00C83BDF">
        <w:trPr>
          <w:cantSplit/>
          <w:jc w:val="center"/>
        </w:trPr>
        <w:tc>
          <w:tcPr>
            <w:tcW w:w="2665"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Hungría</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16 de marzo de 1983</w:t>
            </w:r>
            <w:r w:rsidRPr="00C83BDF">
              <w:rPr>
                <w:rFonts w:cs="Arial"/>
                <w:sz w:val="18"/>
                <w:szCs w:val="18"/>
                <w:lang w:val="es-ES_tradnl"/>
              </w:rPr>
              <w:br/>
              <w:t>1 de diciembre de 2002</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16 de abril de 1983</w:t>
            </w:r>
            <w:r w:rsidRPr="00C83BDF">
              <w:rPr>
                <w:rFonts w:cs="Arial"/>
                <w:sz w:val="18"/>
                <w:szCs w:val="18"/>
                <w:lang w:val="es-ES_tradnl"/>
              </w:rPr>
              <w:br/>
              <w:t>1 de enero de 2003</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Irlanda</w:t>
            </w:r>
          </w:p>
        </w:tc>
        <w:tc>
          <w:tcPr>
            <w:tcW w:w="2381"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27 de septiembre de 1979</w:t>
            </w:r>
            <w:r w:rsidRPr="00C83BDF">
              <w:rPr>
                <w:rFonts w:cs="Arial"/>
                <w:sz w:val="18"/>
                <w:szCs w:val="18"/>
                <w:lang w:val="es-ES_tradnl"/>
              </w:rPr>
              <w:br/>
              <w:t>21 de febrero de 1992</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19 de mayo de 1981</w:t>
            </w:r>
            <w:r w:rsidRPr="00C83BDF">
              <w:rPr>
                <w:rFonts w:cs="Arial"/>
                <w:sz w:val="18"/>
                <w:szCs w:val="18"/>
                <w:lang w:val="es-ES_tradnl"/>
              </w:rPr>
              <w:br/>
              <w:t>8 de diciembre de 2011</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8 de noviembre de 1981</w:t>
            </w:r>
            <w:r w:rsidRPr="00C83BDF">
              <w:rPr>
                <w:rFonts w:cs="Arial"/>
                <w:sz w:val="18"/>
                <w:szCs w:val="18"/>
                <w:lang w:val="es-ES_tradnl"/>
              </w:rPr>
              <w:br/>
              <w:t>8 de enero de 2012</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Islandia</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3 de abril de 2006</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3 de mayo de 2006</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Israel</w:t>
            </w:r>
          </w:p>
        </w:tc>
        <w:tc>
          <w:tcPr>
            <w:tcW w:w="2381"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23 de octubre de 1991</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12 de noviembre de 1979</w:t>
            </w:r>
            <w:r w:rsidRPr="00C83BDF">
              <w:rPr>
                <w:rFonts w:cs="Arial"/>
                <w:sz w:val="18"/>
                <w:szCs w:val="18"/>
                <w:lang w:val="es-ES_tradnl"/>
              </w:rPr>
              <w:br/>
              <w:t>12 de noviembre de 1979</w:t>
            </w:r>
            <w:r w:rsidRPr="00C83BDF">
              <w:rPr>
                <w:rFonts w:cs="Arial"/>
                <w:sz w:val="18"/>
                <w:szCs w:val="18"/>
                <w:lang w:val="es-ES_tradnl"/>
              </w:rPr>
              <w:br/>
              <w:t>12 de abril de 1984</w:t>
            </w:r>
            <w:r w:rsidRPr="00C83BDF">
              <w:rPr>
                <w:rFonts w:cs="Arial"/>
                <w:sz w:val="18"/>
                <w:szCs w:val="18"/>
                <w:lang w:val="es-ES_tradnl"/>
              </w:rPr>
              <w:br/>
              <w:t>3 de junio de 1996</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12 de diciembre de 1979</w:t>
            </w:r>
            <w:r w:rsidRPr="00C83BDF">
              <w:rPr>
                <w:rFonts w:cs="Arial"/>
                <w:sz w:val="18"/>
                <w:szCs w:val="18"/>
                <w:lang w:val="es-ES_tradnl"/>
              </w:rPr>
              <w:br/>
              <w:t>12 de diciembre de 1979</w:t>
            </w:r>
            <w:r w:rsidRPr="00C83BDF">
              <w:rPr>
                <w:rFonts w:cs="Arial"/>
                <w:sz w:val="18"/>
                <w:szCs w:val="18"/>
                <w:lang w:val="es-ES_tradnl"/>
              </w:rPr>
              <w:br/>
              <w:t>12 de mayo de 1984</w:t>
            </w:r>
            <w:r w:rsidRPr="00C83BDF">
              <w:rPr>
                <w:rFonts w:cs="Arial"/>
                <w:sz w:val="18"/>
                <w:szCs w:val="18"/>
                <w:lang w:val="es-ES_tradnl"/>
              </w:rPr>
              <w:br/>
              <w:t>24 de abril de 1998</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Italia</w:t>
            </w:r>
          </w:p>
        </w:tc>
        <w:tc>
          <w:tcPr>
            <w:tcW w:w="2381"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2 de diciembre de 1961</w:t>
            </w:r>
            <w:r w:rsidRPr="00C83BDF">
              <w:rPr>
                <w:rFonts w:cs="Arial"/>
                <w:sz w:val="18"/>
                <w:szCs w:val="18"/>
                <w:lang w:val="es-ES_tradnl"/>
              </w:rPr>
              <w:br/>
              <w:t>10 de noviembre de 1972</w:t>
            </w:r>
            <w:r w:rsidRPr="00C83BDF">
              <w:rPr>
                <w:rFonts w:cs="Arial"/>
                <w:sz w:val="18"/>
                <w:szCs w:val="18"/>
                <w:lang w:val="es-ES_tradnl"/>
              </w:rPr>
              <w:br/>
              <w:t>23 de octubre de 1978</w:t>
            </w:r>
            <w:r w:rsidRPr="00C83BDF">
              <w:rPr>
                <w:rFonts w:cs="Arial"/>
                <w:sz w:val="18"/>
                <w:szCs w:val="18"/>
                <w:lang w:val="es-ES_tradnl"/>
              </w:rPr>
              <w:br/>
              <w:t>19 de marzo de 1991</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1 de junio de 1977</w:t>
            </w:r>
            <w:r w:rsidRPr="00C83BDF">
              <w:rPr>
                <w:rFonts w:cs="Arial"/>
                <w:sz w:val="18"/>
                <w:szCs w:val="18"/>
                <w:lang w:val="es-ES_tradnl"/>
              </w:rPr>
              <w:br/>
              <w:t>1 de junio de 1977</w:t>
            </w:r>
            <w:r w:rsidRPr="00C83BDF">
              <w:rPr>
                <w:rFonts w:cs="Arial"/>
                <w:sz w:val="18"/>
                <w:szCs w:val="18"/>
                <w:lang w:val="es-ES_tradnl"/>
              </w:rPr>
              <w:br/>
              <w:t>28 de abril de 1986</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1 de julio de 1977</w:t>
            </w:r>
            <w:r w:rsidRPr="00C83BDF">
              <w:rPr>
                <w:rFonts w:cs="Arial"/>
                <w:sz w:val="18"/>
                <w:szCs w:val="18"/>
                <w:lang w:val="es-ES_tradnl"/>
              </w:rPr>
              <w:br/>
              <w:t>1 de julio de 1977</w:t>
            </w:r>
            <w:r w:rsidRPr="00C83BDF">
              <w:rPr>
                <w:rFonts w:cs="Arial"/>
                <w:sz w:val="18"/>
                <w:szCs w:val="18"/>
                <w:lang w:val="es-ES_tradnl"/>
              </w:rPr>
              <w:br/>
              <w:t>28 de mayo de 1986</w:t>
            </w:r>
            <w:r w:rsidRPr="00C83BDF">
              <w:rPr>
                <w:rFonts w:cs="Arial"/>
                <w:sz w:val="18"/>
                <w:szCs w:val="18"/>
                <w:lang w:val="es-ES_tradnl"/>
              </w:rPr>
              <w:br/>
              <w:t>-</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Japón</w:t>
            </w:r>
          </w:p>
        </w:tc>
        <w:tc>
          <w:tcPr>
            <w:tcW w:w="2381"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17 de octubre de 1979</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3 de agosto de 1982</w:t>
            </w:r>
            <w:r w:rsidRPr="00C83BDF">
              <w:rPr>
                <w:rFonts w:cs="Arial"/>
                <w:sz w:val="18"/>
                <w:szCs w:val="18"/>
                <w:lang w:val="es-ES_tradnl"/>
              </w:rPr>
              <w:br/>
              <w:t>24 de noviembre de 1998</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3 de septiembre de 1982</w:t>
            </w:r>
            <w:r w:rsidRPr="00C83BDF">
              <w:rPr>
                <w:rFonts w:cs="Arial"/>
                <w:sz w:val="18"/>
                <w:szCs w:val="18"/>
                <w:lang w:val="es-ES_tradnl"/>
              </w:rPr>
              <w:br/>
              <w:t>24 de diciembre de 1998</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Jordania</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24 de septiembre de 2004</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24 de octubre de 2004</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Kenya</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13 de abril de 1999</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13 de mayo de 1999</w:t>
            </w:r>
            <w:r w:rsidRPr="00C83BDF">
              <w:rPr>
                <w:rFonts w:cs="Arial"/>
                <w:sz w:val="18"/>
                <w:szCs w:val="18"/>
                <w:lang w:val="es-ES_tradnl"/>
              </w:rPr>
              <w:br/>
              <w:t>-</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Kirguistán</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26 de mayo de 2000</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26 de junio de 2000</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Letonia</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30 de julio de 2002</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30 de agosto de 2002</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Lituania</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10 de noviembre de 2003</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10 de diciembre de 2003</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Marruecos</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8 de septiembre de 2006</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8 de octubre de 2006</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México</w:t>
            </w:r>
          </w:p>
        </w:tc>
        <w:tc>
          <w:tcPr>
            <w:tcW w:w="2381"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25 de julio de 1979</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9 de julio de 1997</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9 de agosto de 1997</w:t>
            </w:r>
            <w:r w:rsidRPr="00C83BDF">
              <w:rPr>
                <w:rFonts w:cs="Arial"/>
                <w:sz w:val="18"/>
                <w:szCs w:val="18"/>
                <w:lang w:val="es-ES_tradnl"/>
              </w:rPr>
              <w:br/>
              <w:t>-</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Nicaragua</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6 de agosto de 2001</w:t>
            </w:r>
            <w:r w:rsidRPr="00C83BDF">
              <w:rPr>
                <w:rFonts w:cs="Arial"/>
                <w:sz w:val="18"/>
                <w:szCs w:val="18"/>
                <w:lang w:val="es-ES_tradnl"/>
              </w:rPr>
              <w:tab/>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6 de septiembre de 2001</w:t>
            </w:r>
            <w:r w:rsidRPr="00C83BDF">
              <w:rPr>
                <w:rFonts w:cs="Arial"/>
                <w:sz w:val="18"/>
                <w:szCs w:val="18"/>
                <w:lang w:val="es-ES_tradnl"/>
              </w:rPr>
              <w:br/>
              <w:t>-</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Noruega</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13 de agosto de 1993</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13 de septiembre de 1993</w:t>
            </w:r>
            <w:r w:rsidRPr="00C83BDF">
              <w:rPr>
                <w:rFonts w:cs="Arial"/>
                <w:sz w:val="18"/>
                <w:szCs w:val="18"/>
                <w:lang w:val="es-ES_tradnl"/>
              </w:rPr>
              <w:br/>
              <w:t>-</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Nueva Zelandia</w:t>
            </w:r>
          </w:p>
        </w:tc>
        <w:tc>
          <w:tcPr>
            <w:tcW w:w="2381"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25 de julio de 1979</w:t>
            </w:r>
            <w:r w:rsidRPr="00C83BDF">
              <w:rPr>
                <w:rFonts w:cs="Arial"/>
                <w:sz w:val="18"/>
                <w:szCs w:val="18"/>
                <w:lang w:val="es-ES_tradnl"/>
              </w:rPr>
              <w:br/>
              <w:t>19 de diciembre de 1991</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3 de noviembre de 1980</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8 de noviembre de 1981</w:t>
            </w:r>
            <w:r w:rsidRPr="00C83BDF">
              <w:rPr>
                <w:rFonts w:cs="Arial"/>
                <w:sz w:val="18"/>
                <w:szCs w:val="18"/>
                <w:lang w:val="es-ES_tradnl"/>
              </w:rPr>
              <w:br/>
              <w:t>-</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Omán</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22 de octubre de 2009</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22 de noviembre de 2009</w:t>
            </w:r>
          </w:p>
        </w:tc>
      </w:tr>
      <w:tr w:rsidR="0096195E" w:rsidRPr="00C83BDF">
        <w:trPr>
          <w:cantSplit/>
          <w:jc w:val="center"/>
        </w:trPr>
        <w:tc>
          <w:tcPr>
            <w:tcW w:w="2665"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Organización Africana de la Propiedad Intelectual</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10 de junio de 2014</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10 de julio de 2014</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Países Bajos</w:t>
            </w:r>
          </w:p>
        </w:tc>
        <w:tc>
          <w:tcPr>
            <w:tcW w:w="2381"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2 de diciembre de 1961</w:t>
            </w:r>
            <w:r w:rsidRPr="00C83BDF">
              <w:rPr>
                <w:rFonts w:cs="Arial"/>
                <w:sz w:val="18"/>
                <w:szCs w:val="18"/>
                <w:lang w:val="es-ES_tradnl"/>
              </w:rPr>
              <w:br/>
              <w:t>10 de noviembre de 1972</w:t>
            </w:r>
            <w:r w:rsidRPr="00C83BDF">
              <w:rPr>
                <w:rFonts w:cs="Arial"/>
                <w:sz w:val="18"/>
                <w:szCs w:val="18"/>
                <w:lang w:val="es-ES_tradnl"/>
              </w:rPr>
              <w:br/>
              <w:t>23 de octubre de 1978</w:t>
            </w:r>
            <w:r w:rsidRPr="00C83BDF">
              <w:rPr>
                <w:rFonts w:cs="Arial"/>
                <w:sz w:val="18"/>
                <w:szCs w:val="18"/>
                <w:lang w:val="es-ES_tradnl"/>
              </w:rPr>
              <w:br/>
              <w:t>19 de marzo de 1991</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8 de agosto de 1967</w:t>
            </w:r>
            <w:r w:rsidRPr="00C83BDF">
              <w:rPr>
                <w:rFonts w:cs="Arial"/>
                <w:sz w:val="18"/>
                <w:szCs w:val="18"/>
                <w:lang w:val="es-ES_tradnl"/>
              </w:rPr>
              <w:br/>
              <w:t>12 de enero de 1977</w:t>
            </w:r>
            <w:r w:rsidRPr="00C83BDF">
              <w:rPr>
                <w:rFonts w:cs="Arial"/>
                <w:sz w:val="18"/>
                <w:szCs w:val="18"/>
                <w:lang w:val="es-ES_tradnl"/>
              </w:rPr>
              <w:br/>
              <w:t>2 de agosto de 1984</w:t>
            </w:r>
            <w:r w:rsidRPr="00C83BDF">
              <w:rPr>
                <w:rFonts w:cs="Arial"/>
                <w:sz w:val="18"/>
                <w:szCs w:val="18"/>
                <w:lang w:val="es-ES_tradnl"/>
              </w:rPr>
              <w:br/>
              <w:t>14 de octubre de 1996</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10 de agosto de 1968</w:t>
            </w:r>
            <w:r w:rsidRPr="00C83BDF">
              <w:rPr>
                <w:rFonts w:cs="Arial"/>
                <w:sz w:val="18"/>
                <w:szCs w:val="18"/>
                <w:lang w:val="es-ES_tradnl"/>
              </w:rPr>
              <w:br/>
              <w:t>11 de febrero de 1977</w:t>
            </w:r>
            <w:r w:rsidRPr="00C83BDF">
              <w:rPr>
                <w:rFonts w:cs="Arial"/>
                <w:sz w:val="18"/>
                <w:szCs w:val="18"/>
                <w:lang w:val="es-ES_tradnl"/>
              </w:rPr>
              <w:br/>
              <w:t>2 de septiembre de 1984</w:t>
            </w:r>
            <w:r w:rsidRPr="00C83BDF">
              <w:rPr>
                <w:rFonts w:cs="Arial"/>
                <w:sz w:val="18"/>
                <w:szCs w:val="18"/>
                <w:lang w:val="es-ES_tradnl"/>
              </w:rPr>
              <w:br/>
              <w:t>24 de abril de 1998</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Panamá</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23 de abril de 1999</w:t>
            </w:r>
            <w:r w:rsidRPr="00C83BDF">
              <w:rPr>
                <w:rFonts w:cs="Arial"/>
                <w:sz w:val="18"/>
                <w:szCs w:val="18"/>
                <w:lang w:val="es-ES_tradnl"/>
              </w:rPr>
              <w:br/>
              <w:t>22 de octubre de 2012</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23 de mayo de 1999</w:t>
            </w:r>
            <w:r w:rsidRPr="00C83BDF">
              <w:rPr>
                <w:rFonts w:cs="Arial"/>
                <w:sz w:val="18"/>
                <w:szCs w:val="18"/>
                <w:lang w:val="es-ES_tradnl"/>
              </w:rPr>
              <w:br/>
              <w:t>22 de noviembre de 2012</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Paraguay</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8 de enero de 1997</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8 de febrero de 1997</w:t>
            </w:r>
            <w:r w:rsidRPr="00C83BDF">
              <w:rPr>
                <w:rFonts w:cs="Arial"/>
                <w:sz w:val="18"/>
                <w:szCs w:val="18"/>
                <w:lang w:val="es-ES_tradnl"/>
              </w:rPr>
              <w:br/>
              <w:t>-</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Perú</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8 de julio de 2011</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8 de agosto de 2011</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Polonia</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11 de octubre de 1989</w:t>
            </w:r>
            <w:r w:rsidRPr="00C83BDF">
              <w:rPr>
                <w:rFonts w:cs="Arial"/>
                <w:sz w:val="18"/>
                <w:szCs w:val="18"/>
                <w:lang w:val="es-ES_tradnl"/>
              </w:rPr>
              <w:br/>
              <w:t>15 de julio de 2003</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11 de noviembre de 1989</w:t>
            </w:r>
            <w:r w:rsidRPr="00C83BDF">
              <w:rPr>
                <w:rFonts w:cs="Arial"/>
                <w:sz w:val="18"/>
                <w:szCs w:val="18"/>
                <w:lang w:val="es-ES_tradnl"/>
              </w:rPr>
              <w:br/>
              <w:t>15 de agosto de 2003</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Portugal</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14 de septiembre de 1995</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14 de octubre de 1995</w:t>
            </w:r>
            <w:r w:rsidRPr="00C83BDF">
              <w:rPr>
                <w:rFonts w:cs="Arial"/>
                <w:sz w:val="18"/>
                <w:szCs w:val="18"/>
                <w:lang w:val="es-ES_tradnl"/>
              </w:rPr>
              <w:br/>
              <w:t>-</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Reino Unido</w:t>
            </w:r>
          </w:p>
        </w:tc>
        <w:tc>
          <w:tcPr>
            <w:tcW w:w="2381"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26 de noviembre de 1962</w:t>
            </w:r>
            <w:r w:rsidRPr="00C83BDF">
              <w:rPr>
                <w:rFonts w:cs="Arial"/>
                <w:sz w:val="18"/>
                <w:szCs w:val="18"/>
                <w:lang w:val="es-ES_tradnl"/>
              </w:rPr>
              <w:br/>
              <w:t>10 de noviembre de 1972</w:t>
            </w:r>
            <w:r w:rsidRPr="00C83BDF">
              <w:rPr>
                <w:rFonts w:cs="Arial"/>
                <w:sz w:val="18"/>
                <w:szCs w:val="18"/>
                <w:lang w:val="es-ES_tradnl"/>
              </w:rPr>
              <w:br/>
              <w:t>23 de octubre de 1978</w:t>
            </w:r>
            <w:r w:rsidRPr="00C83BDF">
              <w:rPr>
                <w:rFonts w:cs="Arial"/>
                <w:sz w:val="18"/>
                <w:szCs w:val="18"/>
                <w:lang w:val="es-ES_tradnl"/>
              </w:rPr>
              <w:br/>
              <w:t>19 de marzo de 1991</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17 de septiembre de 1965</w:t>
            </w:r>
            <w:r w:rsidRPr="00C83BDF">
              <w:rPr>
                <w:rFonts w:cs="Arial"/>
                <w:sz w:val="18"/>
                <w:szCs w:val="18"/>
                <w:lang w:val="es-ES_tradnl"/>
              </w:rPr>
              <w:br/>
              <w:t>1 de julio de 1980</w:t>
            </w:r>
            <w:r w:rsidRPr="00C83BDF">
              <w:rPr>
                <w:rFonts w:cs="Arial"/>
                <w:sz w:val="18"/>
                <w:szCs w:val="18"/>
                <w:lang w:val="es-ES_tradnl"/>
              </w:rPr>
              <w:br/>
              <w:t>24 de agosto de 1983</w:t>
            </w:r>
            <w:r w:rsidRPr="00C83BDF">
              <w:rPr>
                <w:rFonts w:cs="Arial"/>
                <w:sz w:val="18"/>
                <w:szCs w:val="18"/>
                <w:lang w:val="es-ES_tradnl"/>
              </w:rPr>
              <w:br/>
              <w:t>3 de diciembre de 1998</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10 de agosto de 1968</w:t>
            </w:r>
            <w:r w:rsidRPr="00C83BDF">
              <w:rPr>
                <w:rFonts w:cs="Arial"/>
                <w:sz w:val="18"/>
                <w:szCs w:val="18"/>
                <w:lang w:val="es-ES_tradnl"/>
              </w:rPr>
              <w:br/>
              <w:t>31 de julio de 1980</w:t>
            </w:r>
            <w:r w:rsidRPr="00C83BDF">
              <w:rPr>
                <w:rFonts w:cs="Arial"/>
                <w:sz w:val="18"/>
                <w:szCs w:val="18"/>
                <w:lang w:val="es-ES_tradnl"/>
              </w:rPr>
              <w:br/>
              <w:t>24 de septiembre de 1983</w:t>
            </w:r>
            <w:r w:rsidRPr="00C83BDF">
              <w:rPr>
                <w:rFonts w:cs="Arial"/>
                <w:sz w:val="18"/>
                <w:szCs w:val="18"/>
                <w:lang w:val="es-ES_tradnl"/>
              </w:rPr>
              <w:br/>
              <w:t>3 de enero de 1999</w:t>
            </w:r>
          </w:p>
        </w:tc>
      </w:tr>
      <w:tr w:rsidR="0096195E" w:rsidRPr="00C83BDF">
        <w:trPr>
          <w:cantSplit/>
          <w:jc w:val="center"/>
        </w:trPr>
        <w:tc>
          <w:tcPr>
            <w:tcW w:w="2665" w:type="dxa"/>
          </w:tcPr>
          <w:p w:rsidR="0096195E" w:rsidRPr="00C83BDF" w:rsidRDefault="0096195E" w:rsidP="00C433D7">
            <w:pPr>
              <w:spacing w:before="80" w:after="80"/>
              <w:jc w:val="left"/>
              <w:rPr>
                <w:rFonts w:cs="Arial"/>
                <w:sz w:val="18"/>
                <w:szCs w:val="18"/>
                <w:lang w:val="es-ES_tradnl"/>
              </w:rPr>
            </w:pPr>
            <w:r w:rsidRPr="00C83BDF">
              <w:rPr>
                <w:rFonts w:cs="Arial"/>
                <w:sz w:val="18"/>
                <w:szCs w:val="18"/>
                <w:lang w:val="es-ES_tradnl"/>
              </w:rPr>
              <w:t>República Checa</w:t>
            </w:r>
            <w:r w:rsidRPr="00C83BDF">
              <w:rPr>
                <w:rStyle w:val="FootnoteReference"/>
                <w:rFonts w:cs="Arial"/>
                <w:sz w:val="18"/>
                <w:szCs w:val="18"/>
                <w:lang w:val="es-ES_tradnl"/>
              </w:rPr>
              <w:footnoteReference w:id="5"/>
            </w:r>
          </w:p>
        </w:tc>
        <w:tc>
          <w:tcPr>
            <w:tcW w:w="2381" w:type="dxa"/>
          </w:tcPr>
          <w:p w:rsidR="0096195E" w:rsidRPr="00C83BDF" w:rsidRDefault="0096195E" w:rsidP="00C433D7">
            <w:pPr>
              <w:keepNext/>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C433D7">
            <w:pPr>
              <w:keepNext/>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24 de octubre de 2002</w:t>
            </w:r>
          </w:p>
        </w:tc>
        <w:tc>
          <w:tcPr>
            <w:tcW w:w="2268" w:type="dxa"/>
          </w:tcPr>
          <w:p w:rsidR="0096195E" w:rsidRPr="00C83BDF" w:rsidRDefault="0096195E" w:rsidP="00C433D7">
            <w:pPr>
              <w:keepNext/>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1 de enero de 1993</w:t>
            </w:r>
            <w:r w:rsidRPr="00C83BDF">
              <w:rPr>
                <w:rFonts w:cs="Arial"/>
                <w:sz w:val="18"/>
                <w:szCs w:val="18"/>
                <w:lang w:val="es-ES_tradnl"/>
              </w:rPr>
              <w:br/>
              <w:t>24 de noviembre de 2002</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República de Corea</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7 de diciembre de 2001</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7 de enero de 2002</w:t>
            </w:r>
          </w:p>
        </w:tc>
      </w:tr>
      <w:tr w:rsidR="0096195E" w:rsidRPr="00C83BDF">
        <w:trPr>
          <w:cantSplit/>
          <w:jc w:val="center"/>
        </w:trPr>
        <w:tc>
          <w:tcPr>
            <w:tcW w:w="2665" w:type="dxa"/>
          </w:tcPr>
          <w:p w:rsidR="0096195E" w:rsidRPr="00C83BDF" w:rsidRDefault="0096195E" w:rsidP="00C433D7">
            <w:pPr>
              <w:spacing w:before="80" w:after="80"/>
              <w:jc w:val="left"/>
              <w:rPr>
                <w:rFonts w:cs="Arial"/>
                <w:sz w:val="18"/>
                <w:szCs w:val="18"/>
                <w:lang w:val="es-ES_tradnl"/>
              </w:rPr>
            </w:pPr>
            <w:r w:rsidRPr="00C83BDF">
              <w:rPr>
                <w:rFonts w:cs="Arial"/>
                <w:sz w:val="18"/>
                <w:szCs w:val="18"/>
                <w:lang w:val="es-ES_tradnl"/>
              </w:rPr>
              <w:t>República Dominicana</w:t>
            </w:r>
          </w:p>
        </w:tc>
        <w:tc>
          <w:tcPr>
            <w:tcW w:w="2381" w:type="dxa"/>
          </w:tcPr>
          <w:p w:rsidR="0096195E" w:rsidRPr="00C83BDF" w:rsidRDefault="0096195E" w:rsidP="00C433D7">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C433D7">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16 de mayo de 2007</w:t>
            </w:r>
          </w:p>
        </w:tc>
        <w:tc>
          <w:tcPr>
            <w:tcW w:w="2268" w:type="dxa"/>
          </w:tcPr>
          <w:p w:rsidR="0096195E" w:rsidRPr="00C83BDF" w:rsidRDefault="0096195E" w:rsidP="00C433D7">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16 de junio de 2007</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República de Moldova</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28 de septiembre de 1998</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28 de octubre de 1998</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Rumania</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16 de febrero de 2001</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16 de marzo de 2001</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Serbia</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kern w:val="2"/>
                <w:sz w:val="18"/>
                <w:szCs w:val="18"/>
                <w:lang w:val="es-ES_tradnl"/>
              </w:rPr>
              <w:t>-</w:t>
            </w:r>
            <w:r w:rsidRPr="00C83BDF">
              <w:rPr>
                <w:rFonts w:cs="Arial"/>
                <w:kern w:val="2"/>
                <w:sz w:val="18"/>
                <w:szCs w:val="18"/>
                <w:lang w:val="es-ES_tradnl"/>
              </w:rPr>
              <w:br/>
              <w:t>-</w:t>
            </w:r>
            <w:r w:rsidRPr="00C83BDF">
              <w:rPr>
                <w:rFonts w:cs="Arial"/>
                <w:kern w:val="2"/>
                <w:sz w:val="18"/>
                <w:szCs w:val="18"/>
                <w:lang w:val="es-ES_tradnl"/>
              </w:rPr>
              <w:br/>
              <w:t>-</w:t>
            </w:r>
            <w:r w:rsidRPr="00C83BDF">
              <w:rPr>
                <w:rFonts w:cs="Arial"/>
                <w:kern w:val="2"/>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kern w:val="2"/>
                <w:sz w:val="18"/>
                <w:szCs w:val="18"/>
                <w:lang w:val="es-ES_tradnl"/>
              </w:rPr>
              <w:t>-</w:t>
            </w:r>
            <w:r w:rsidRPr="00C83BDF">
              <w:rPr>
                <w:rFonts w:cs="Arial"/>
                <w:kern w:val="2"/>
                <w:sz w:val="18"/>
                <w:szCs w:val="18"/>
                <w:lang w:val="es-ES_tradnl"/>
              </w:rPr>
              <w:br/>
              <w:t>-</w:t>
            </w:r>
            <w:r w:rsidRPr="00C83BDF">
              <w:rPr>
                <w:rFonts w:cs="Arial"/>
                <w:kern w:val="2"/>
                <w:sz w:val="18"/>
                <w:szCs w:val="18"/>
                <w:lang w:val="es-ES_tradnl"/>
              </w:rPr>
              <w:br/>
              <w:t>-</w:t>
            </w:r>
            <w:r w:rsidRPr="00C83BDF">
              <w:rPr>
                <w:rFonts w:cs="Arial"/>
                <w:kern w:val="2"/>
                <w:sz w:val="18"/>
                <w:szCs w:val="18"/>
                <w:lang w:val="es-ES_tradnl"/>
              </w:rPr>
              <w:br/>
              <w:t>5 de diciembre de 2012</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kern w:val="2"/>
                <w:sz w:val="18"/>
                <w:szCs w:val="18"/>
                <w:lang w:val="es-ES_tradnl"/>
              </w:rPr>
              <w:t>-</w:t>
            </w:r>
            <w:r w:rsidRPr="00C83BDF">
              <w:rPr>
                <w:rFonts w:cs="Arial"/>
                <w:kern w:val="2"/>
                <w:sz w:val="18"/>
                <w:szCs w:val="18"/>
                <w:lang w:val="es-ES_tradnl"/>
              </w:rPr>
              <w:br/>
              <w:t>-</w:t>
            </w:r>
            <w:r w:rsidRPr="00C83BDF">
              <w:rPr>
                <w:rFonts w:cs="Arial"/>
                <w:kern w:val="2"/>
                <w:sz w:val="18"/>
                <w:szCs w:val="18"/>
                <w:lang w:val="es-ES_tradnl"/>
              </w:rPr>
              <w:br/>
              <w:t>-</w:t>
            </w:r>
            <w:r w:rsidRPr="00C83BDF">
              <w:rPr>
                <w:rFonts w:cs="Arial"/>
                <w:kern w:val="2"/>
                <w:sz w:val="18"/>
                <w:szCs w:val="18"/>
                <w:lang w:val="es-ES_tradnl"/>
              </w:rPr>
              <w:br/>
              <w:t>5 de enero de 2013</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Singapur</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30 de junio de 2004</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30 de julio de 2004</w:t>
            </w:r>
          </w:p>
        </w:tc>
      </w:tr>
      <w:tr w:rsidR="0096195E" w:rsidRPr="00C83BDF">
        <w:trPr>
          <w:cantSplit/>
          <w:jc w:val="center"/>
        </w:trPr>
        <w:tc>
          <w:tcPr>
            <w:tcW w:w="2665" w:type="dxa"/>
          </w:tcPr>
          <w:p w:rsidR="0096195E" w:rsidRPr="00C83BDF" w:rsidRDefault="0096195E" w:rsidP="00DA1ACF">
            <w:pPr>
              <w:pStyle w:val="CommentText"/>
              <w:spacing w:before="80" w:after="80"/>
              <w:rPr>
                <w:rFonts w:ascii="Arial" w:hAnsi="Arial" w:cs="Arial"/>
                <w:sz w:val="18"/>
                <w:szCs w:val="18"/>
                <w:lang w:val="es-ES_tradnl"/>
              </w:rPr>
            </w:pPr>
            <w:r w:rsidRPr="00C83BDF">
              <w:rPr>
                <w:rFonts w:ascii="Arial" w:hAnsi="Arial" w:cs="Arial"/>
                <w:sz w:val="18"/>
                <w:szCs w:val="18"/>
                <w:lang w:val="es-ES_tradnl"/>
              </w:rPr>
              <w:t>Sudáfrica</w:t>
            </w:r>
          </w:p>
        </w:tc>
        <w:tc>
          <w:tcPr>
            <w:tcW w:w="2381" w:type="dxa"/>
          </w:tcPr>
          <w:p w:rsidR="0096195E" w:rsidRPr="00C83BDF" w:rsidRDefault="0096195E" w:rsidP="00DA1ACF">
            <w:pPr>
              <w:keepNext/>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23 de octubre de 1978</w:t>
            </w:r>
            <w:r w:rsidRPr="00C83BDF">
              <w:rPr>
                <w:rFonts w:cs="Arial"/>
                <w:sz w:val="18"/>
                <w:szCs w:val="18"/>
                <w:lang w:val="es-ES_tradnl"/>
              </w:rPr>
              <w:br/>
              <w:t>19 de marzo de 1991</w:t>
            </w:r>
          </w:p>
        </w:tc>
        <w:tc>
          <w:tcPr>
            <w:tcW w:w="2268" w:type="dxa"/>
          </w:tcPr>
          <w:p w:rsidR="0096195E" w:rsidRPr="00C83BDF" w:rsidRDefault="0096195E" w:rsidP="00DA1ACF">
            <w:pPr>
              <w:keepNext/>
              <w:spacing w:before="80" w:after="80"/>
              <w:jc w:val="left"/>
              <w:rPr>
                <w:rFonts w:cs="Arial"/>
                <w:sz w:val="18"/>
                <w:szCs w:val="18"/>
                <w:lang w:val="es-ES_tradnl"/>
              </w:rPr>
            </w:pPr>
            <w:r w:rsidRPr="00C83BDF">
              <w:rPr>
                <w:rFonts w:cs="Arial"/>
                <w:sz w:val="18"/>
                <w:szCs w:val="18"/>
                <w:lang w:val="es-ES_tradnl"/>
              </w:rPr>
              <w:t>7 de octubre de 1977</w:t>
            </w:r>
            <w:r w:rsidRPr="00C83BDF">
              <w:rPr>
                <w:rFonts w:cs="Arial"/>
                <w:sz w:val="18"/>
                <w:szCs w:val="18"/>
                <w:lang w:val="es-ES_tradnl"/>
              </w:rPr>
              <w:br/>
              <w:t>7 de octubre de 1977</w:t>
            </w:r>
            <w:r w:rsidRPr="00C83BDF">
              <w:rPr>
                <w:rFonts w:cs="Arial"/>
                <w:sz w:val="18"/>
                <w:szCs w:val="18"/>
                <w:lang w:val="es-ES_tradnl"/>
              </w:rPr>
              <w:br/>
              <w:t>21 de julio de 1981</w:t>
            </w:r>
            <w:r w:rsidRPr="00C83BDF">
              <w:rPr>
                <w:rFonts w:cs="Arial"/>
                <w:sz w:val="18"/>
                <w:szCs w:val="18"/>
                <w:lang w:val="es-ES_tradnl"/>
              </w:rPr>
              <w:br/>
              <w:t>-</w:t>
            </w:r>
          </w:p>
        </w:tc>
        <w:tc>
          <w:tcPr>
            <w:tcW w:w="2268" w:type="dxa"/>
          </w:tcPr>
          <w:p w:rsidR="0096195E" w:rsidRPr="00C83BDF" w:rsidRDefault="0096195E" w:rsidP="00DA1ACF">
            <w:pPr>
              <w:keepNext/>
              <w:spacing w:before="80" w:after="80"/>
              <w:jc w:val="left"/>
              <w:rPr>
                <w:rFonts w:cs="Arial"/>
                <w:sz w:val="18"/>
                <w:szCs w:val="18"/>
                <w:lang w:val="es-ES_tradnl"/>
              </w:rPr>
            </w:pPr>
            <w:r w:rsidRPr="00C83BDF">
              <w:rPr>
                <w:rFonts w:cs="Arial"/>
                <w:sz w:val="18"/>
                <w:szCs w:val="18"/>
                <w:lang w:val="es-ES_tradnl"/>
              </w:rPr>
              <w:t>6 de noviembre de 1977</w:t>
            </w:r>
            <w:r w:rsidRPr="00C83BDF">
              <w:rPr>
                <w:rFonts w:cs="Arial"/>
                <w:sz w:val="18"/>
                <w:szCs w:val="18"/>
                <w:lang w:val="es-ES_tradnl"/>
              </w:rPr>
              <w:br/>
              <w:t>6 de noviembre de 1977</w:t>
            </w:r>
            <w:r w:rsidRPr="00C83BDF">
              <w:rPr>
                <w:rFonts w:cs="Arial"/>
                <w:sz w:val="18"/>
                <w:szCs w:val="18"/>
                <w:lang w:val="es-ES_tradnl"/>
              </w:rPr>
              <w:br/>
              <w:t>8 de noviembre de 1981</w:t>
            </w:r>
            <w:r w:rsidRPr="00C83BDF">
              <w:rPr>
                <w:rFonts w:cs="Arial"/>
                <w:sz w:val="18"/>
                <w:szCs w:val="18"/>
                <w:lang w:val="es-ES_tradnl"/>
              </w:rPr>
              <w:br/>
              <w:t>-</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Suecia</w:t>
            </w:r>
          </w:p>
        </w:tc>
        <w:tc>
          <w:tcPr>
            <w:tcW w:w="2381"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11 de enero de 1973</w:t>
            </w:r>
            <w:r w:rsidRPr="00C83BDF">
              <w:rPr>
                <w:rFonts w:cs="Arial"/>
                <w:sz w:val="18"/>
                <w:szCs w:val="18"/>
                <w:lang w:val="es-ES_tradnl"/>
              </w:rPr>
              <w:br/>
              <w:t>6 de diciembre de 1978</w:t>
            </w:r>
            <w:r w:rsidRPr="00C83BDF">
              <w:rPr>
                <w:rFonts w:cs="Arial"/>
                <w:sz w:val="18"/>
                <w:szCs w:val="18"/>
                <w:lang w:val="es-ES_tradnl"/>
              </w:rPr>
              <w:br/>
              <w:t>17 de diciembre de 1991</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17 de noviembre de 1971</w:t>
            </w:r>
            <w:r w:rsidRPr="00C83BDF">
              <w:rPr>
                <w:rFonts w:cs="Arial"/>
                <w:sz w:val="18"/>
                <w:szCs w:val="18"/>
                <w:lang w:val="es-ES_tradnl"/>
              </w:rPr>
              <w:br/>
              <w:t>11 de enero de 1973</w:t>
            </w:r>
            <w:r w:rsidRPr="00C83BDF">
              <w:rPr>
                <w:rFonts w:cs="Arial"/>
                <w:sz w:val="18"/>
                <w:szCs w:val="18"/>
                <w:lang w:val="es-ES_tradnl"/>
              </w:rPr>
              <w:br/>
              <w:t>1 de diciembre de 1982</w:t>
            </w:r>
            <w:r w:rsidRPr="00C83BDF">
              <w:rPr>
                <w:rFonts w:cs="Arial"/>
                <w:sz w:val="18"/>
                <w:szCs w:val="18"/>
                <w:lang w:val="es-ES_tradnl"/>
              </w:rPr>
              <w:br/>
              <w:t>18 de diciembre de 1997</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17 de diciembre de 1971</w:t>
            </w:r>
            <w:r w:rsidRPr="00C83BDF">
              <w:rPr>
                <w:rFonts w:cs="Arial"/>
                <w:sz w:val="18"/>
                <w:szCs w:val="18"/>
                <w:lang w:val="es-ES_tradnl"/>
              </w:rPr>
              <w:br/>
              <w:t>11 de febrero de 1977</w:t>
            </w:r>
            <w:r w:rsidRPr="00C83BDF">
              <w:rPr>
                <w:rFonts w:cs="Arial"/>
                <w:sz w:val="18"/>
                <w:szCs w:val="18"/>
                <w:lang w:val="es-ES_tradnl"/>
              </w:rPr>
              <w:br/>
              <w:t>1 de enero de 1983</w:t>
            </w:r>
            <w:r w:rsidRPr="00C83BDF">
              <w:rPr>
                <w:rFonts w:cs="Arial"/>
                <w:sz w:val="18"/>
                <w:szCs w:val="18"/>
                <w:lang w:val="es-ES_tradnl"/>
              </w:rPr>
              <w:br/>
              <w:t>24 de abril de 1998</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Suiza</w:t>
            </w:r>
          </w:p>
        </w:tc>
        <w:tc>
          <w:tcPr>
            <w:tcW w:w="2381"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30 de noviembre de 1962</w:t>
            </w:r>
            <w:r w:rsidRPr="00C83BDF">
              <w:rPr>
                <w:rFonts w:cs="Arial"/>
                <w:sz w:val="18"/>
                <w:szCs w:val="18"/>
                <w:lang w:val="es-ES_tradnl"/>
              </w:rPr>
              <w:br/>
              <w:t>10 de noviembre de 1972</w:t>
            </w:r>
            <w:r w:rsidRPr="00C83BDF">
              <w:rPr>
                <w:rFonts w:cs="Arial"/>
                <w:sz w:val="18"/>
                <w:szCs w:val="18"/>
                <w:lang w:val="es-ES_tradnl"/>
              </w:rPr>
              <w:br/>
              <w:t>23 de octubre de 1978</w:t>
            </w:r>
            <w:r w:rsidRPr="00C83BDF">
              <w:rPr>
                <w:rFonts w:cs="Arial"/>
                <w:sz w:val="18"/>
                <w:szCs w:val="18"/>
                <w:lang w:val="es-ES_tradnl"/>
              </w:rPr>
              <w:br/>
              <w:t>19 de marzo de 1991</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10 de junio de 1977</w:t>
            </w:r>
            <w:r w:rsidRPr="00C83BDF">
              <w:rPr>
                <w:rFonts w:cs="Arial"/>
                <w:sz w:val="18"/>
                <w:szCs w:val="18"/>
                <w:lang w:val="es-ES_tradnl"/>
              </w:rPr>
              <w:br/>
              <w:t>10 de junio de 1977</w:t>
            </w:r>
            <w:r w:rsidRPr="00C83BDF">
              <w:rPr>
                <w:rFonts w:cs="Arial"/>
                <w:sz w:val="18"/>
                <w:szCs w:val="18"/>
                <w:lang w:val="es-ES_tradnl"/>
              </w:rPr>
              <w:br/>
              <w:t>17 de junio de 1981</w:t>
            </w:r>
            <w:r w:rsidRPr="00C83BDF">
              <w:rPr>
                <w:rFonts w:cs="Arial"/>
                <w:sz w:val="18"/>
                <w:szCs w:val="18"/>
                <w:lang w:val="es-ES_tradnl"/>
              </w:rPr>
              <w:br/>
              <w:t>1 de agosto de 2008</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10 de julio de 1977</w:t>
            </w:r>
            <w:r w:rsidRPr="00C83BDF">
              <w:rPr>
                <w:rFonts w:cs="Arial"/>
                <w:sz w:val="18"/>
                <w:szCs w:val="18"/>
                <w:lang w:val="es-ES_tradnl"/>
              </w:rPr>
              <w:br/>
              <w:t>10 de julio de 1977</w:t>
            </w:r>
            <w:r w:rsidRPr="00C83BDF">
              <w:rPr>
                <w:rFonts w:cs="Arial"/>
                <w:sz w:val="18"/>
                <w:szCs w:val="18"/>
                <w:lang w:val="es-ES_tradnl"/>
              </w:rPr>
              <w:br/>
              <w:t>8 de noviembre de 1981</w:t>
            </w:r>
            <w:r w:rsidRPr="00C83BDF">
              <w:rPr>
                <w:rFonts w:cs="Arial"/>
                <w:sz w:val="18"/>
                <w:szCs w:val="18"/>
                <w:lang w:val="es-ES_tradnl"/>
              </w:rPr>
              <w:br/>
              <w:t>1 de septiembre de 2008</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Trinidad y Tabago</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30 de diciembre de 1997</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30 de enero de 1998</w:t>
            </w:r>
            <w:r w:rsidRPr="00C83BDF">
              <w:rPr>
                <w:rFonts w:cs="Arial"/>
                <w:sz w:val="18"/>
                <w:szCs w:val="18"/>
                <w:lang w:val="es-ES_tradnl"/>
              </w:rPr>
              <w:br/>
              <w:t>-</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Túnez</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31 de julio de 2003</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31 de agosto de 2003</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Turquía</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18 de octubre de 2007</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18 de noviembre de 2007</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Ucrania</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3 de octubre de 1995</w:t>
            </w:r>
            <w:r w:rsidRPr="00C83BDF">
              <w:rPr>
                <w:rFonts w:cs="Arial"/>
                <w:sz w:val="18"/>
                <w:szCs w:val="18"/>
                <w:lang w:val="es-ES_tradnl"/>
              </w:rPr>
              <w:br/>
              <w:t>19 de diciembre de 2006</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3 de noviembre de 1995</w:t>
            </w:r>
            <w:r w:rsidRPr="00C83BDF">
              <w:rPr>
                <w:rFonts w:cs="Arial"/>
                <w:sz w:val="18"/>
                <w:szCs w:val="18"/>
                <w:lang w:val="es-ES_tradnl"/>
              </w:rPr>
              <w:br/>
              <w:t>19 de enero de 2007</w:t>
            </w:r>
          </w:p>
        </w:tc>
      </w:tr>
      <w:tr w:rsidR="0096195E" w:rsidRPr="00C83BDF">
        <w:trPr>
          <w:cantSplit/>
          <w:jc w:val="center"/>
        </w:trPr>
        <w:tc>
          <w:tcPr>
            <w:tcW w:w="2665"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Unión Europea</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29 de junio de 2005</w:t>
            </w:r>
          </w:p>
        </w:tc>
        <w:tc>
          <w:tcPr>
            <w:tcW w:w="2268" w:type="dxa"/>
          </w:tcPr>
          <w:p w:rsidR="0096195E" w:rsidRPr="00C83BDF" w:rsidRDefault="0096195E" w:rsidP="00277070">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29 de julio de 2005</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Uruguay</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13 de octubre de 1994</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13 de noviembre de 1994</w:t>
            </w:r>
            <w:r w:rsidRPr="00C83BDF">
              <w:rPr>
                <w:rFonts w:cs="Arial"/>
                <w:sz w:val="18"/>
                <w:szCs w:val="18"/>
                <w:lang w:val="es-ES_tradnl"/>
              </w:rPr>
              <w:br/>
              <w:t>-</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Uzbekistán</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14 de octubre de 2004</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14 de noviembre de 2004</w:t>
            </w:r>
          </w:p>
        </w:tc>
      </w:tr>
      <w:tr w:rsidR="0096195E" w:rsidRPr="00C83BDF">
        <w:trPr>
          <w:cantSplit/>
          <w:jc w:val="center"/>
        </w:trPr>
        <w:tc>
          <w:tcPr>
            <w:tcW w:w="2665"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Viet Nam</w:t>
            </w:r>
          </w:p>
        </w:tc>
        <w:tc>
          <w:tcPr>
            <w:tcW w:w="2381" w:type="dxa"/>
          </w:tcPr>
          <w:p w:rsidR="0096195E" w:rsidRPr="00C83BDF" w:rsidRDefault="0096195E" w:rsidP="004737CD">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24 de noviembre de 2006</w:t>
            </w:r>
          </w:p>
        </w:tc>
        <w:tc>
          <w:tcPr>
            <w:tcW w:w="2268" w:type="dxa"/>
          </w:tcPr>
          <w:p w:rsidR="0096195E" w:rsidRPr="00C83BDF" w:rsidRDefault="0096195E" w:rsidP="00DA1ACF">
            <w:pPr>
              <w:spacing w:before="80" w:after="80"/>
              <w:jc w:val="left"/>
              <w:rPr>
                <w:rFonts w:cs="Arial"/>
                <w:sz w:val="18"/>
                <w:szCs w:val="18"/>
                <w:lang w:val="es-ES_tradnl"/>
              </w:rPr>
            </w:pPr>
            <w:r w:rsidRPr="00C83BDF">
              <w:rPr>
                <w:rFonts w:cs="Arial"/>
                <w:sz w:val="18"/>
                <w:szCs w:val="18"/>
                <w:lang w:val="es-ES_tradnl"/>
              </w:rPr>
              <w:t>-</w:t>
            </w:r>
            <w:r w:rsidRPr="00C83BDF">
              <w:rPr>
                <w:rFonts w:cs="Arial"/>
                <w:sz w:val="18"/>
                <w:szCs w:val="18"/>
                <w:lang w:val="es-ES_tradnl"/>
              </w:rPr>
              <w:br/>
              <w:t>-</w:t>
            </w:r>
            <w:r w:rsidRPr="00C83BDF">
              <w:rPr>
                <w:rFonts w:cs="Arial"/>
                <w:sz w:val="18"/>
                <w:szCs w:val="18"/>
                <w:lang w:val="es-ES_tradnl"/>
              </w:rPr>
              <w:br/>
              <w:t>-</w:t>
            </w:r>
            <w:r w:rsidRPr="00C83BDF">
              <w:rPr>
                <w:rFonts w:cs="Arial"/>
                <w:sz w:val="18"/>
                <w:szCs w:val="18"/>
                <w:lang w:val="es-ES_tradnl"/>
              </w:rPr>
              <w:br/>
              <w:t>24 de diciembre de 2006</w:t>
            </w:r>
          </w:p>
        </w:tc>
      </w:tr>
    </w:tbl>
    <w:p w:rsidR="00E65183" w:rsidRPr="00C83BDF" w:rsidRDefault="00E65183" w:rsidP="00E65183">
      <w:pPr>
        <w:rPr>
          <w:rFonts w:cs="Arial"/>
          <w:sz w:val="22"/>
          <w:lang w:val="es-ES_tradnl"/>
        </w:rPr>
      </w:pPr>
    </w:p>
    <w:p w:rsidR="00E65183" w:rsidRPr="00C83BDF" w:rsidRDefault="00E85CF9" w:rsidP="00E65183">
      <w:pPr>
        <w:rPr>
          <w:rFonts w:cs="Arial"/>
          <w:lang w:val="es-ES_tradnl"/>
        </w:rPr>
      </w:pPr>
      <w:r w:rsidRPr="00C83BDF">
        <w:rPr>
          <w:rFonts w:cs="Arial"/>
          <w:lang w:val="es-ES_tradnl"/>
        </w:rPr>
        <w:t>Total</w:t>
      </w:r>
      <w:r w:rsidR="00077117" w:rsidRPr="00C83BDF">
        <w:rPr>
          <w:rFonts w:cs="Arial"/>
          <w:lang w:val="es-ES_tradnl"/>
        </w:rPr>
        <w:t>:</w:t>
      </w:r>
      <w:r w:rsidR="00E65183" w:rsidRPr="00C83BDF">
        <w:rPr>
          <w:rFonts w:cs="Arial"/>
          <w:lang w:val="es-ES_tradnl"/>
        </w:rPr>
        <w:t xml:space="preserve"> </w:t>
      </w:r>
      <w:r w:rsidR="00077117" w:rsidRPr="00C83BDF">
        <w:rPr>
          <w:rFonts w:cs="Arial"/>
          <w:lang w:val="es-ES_tradnl"/>
        </w:rPr>
        <w:t xml:space="preserve"> </w:t>
      </w:r>
      <w:r w:rsidRPr="00C83BDF">
        <w:rPr>
          <w:rFonts w:cs="Arial"/>
          <w:lang w:val="es-ES_tradnl"/>
        </w:rPr>
        <w:t>72 miembros</w:t>
      </w:r>
    </w:p>
    <w:p w:rsidR="00E65183" w:rsidRPr="00C83BDF" w:rsidRDefault="00E85CF9" w:rsidP="00E65183">
      <w:pPr>
        <w:jc w:val="right"/>
        <w:rPr>
          <w:lang w:val="es-ES_tradnl"/>
        </w:rPr>
      </w:pPr>
      <w:r w:rsidRPr="00C83BDF">
        <w:rPr>
          <w:lang w:val="es-ES_tradnl"/>
        </w:rPr>
        <w:t>[Sigue el Anexo II]</w:t>
      </w:r>
    </w:p>
    <w:p w:rsidR="00E65183" w:rsidRPr="00C83BDF" w:rsidRDefault="00E65183" w:rsidP="00E65183">
      <w:pPr>
        <w:rPr>
          <w:lang w:val="es-ES_tradnl"/>
        </w:rPr>
        <w:sectPr w:rsidR="00E65183" w:rsidRPr="00C83BDF" w:rsidSect="004737CD">
          <w:headerReference w:type="default" r:id="rId16"/>
          <w:headerReference w:type="first" r:id="rId17"/>
          <w:footerReference w:type="first" r:id="rId18"/>
          <w:pgSz w:w="11907" w:h="16840" w:code="9"/>
          <w:pgMar w:top="510" w:right="1134" w:bottom="851" w:left="1134" w:header="510" w:footer="680" w:gutter="0"/>
          <w:pgNumType w:start="1"/>
          <w:cols w:space="720"/>
          <w:titlePg/>
        </w:sectPr>
      </w:pPr>
    </w:p>
    <w:p w:rsidR="00E65183" w:rsidRPr="00C83BDF" w:rsidRDefault="00E65183" w:rsidP="00E65183">
      <w:pPr>
        <w:jc w:val="center"/>
        <w:rPr>
          <w:lang w:val="es-ES_tradnl"/>
        </w:rPr>
      </w:pPr>
      <w:r w:rsidRPr="00C83BDF">
        <w:rPr>
          <w:lang w:val="es-ES_tradnl"/>
        </w:rPr>
        <w:t>C/49/2</w:t>
      </w:r>
    </w:p>
    <w:p w:rsidR="00E65183" w:rsidRPr="00C83BDF" w:rsidRDefault="00E65183" w:rsidP="00E65183">
      <w:pPr>
        <w:jc w:val="center"/>
        <w:rPr>
          <w:lang w:val="es-ES_tradnl"/>
        </w:rPr>
      </w:pPr>
    </w:p>
    <w:p w:rsidR="00E65183" w:rsidRPr="00C83BDF" w:rsidRDefault="00E85CF9" w:rsidP="00E65183">
      <w:pPr>
        <w:jc w:val="center"/>
        <w:rPr>
          <w:lang w:val="es-ES_tradnl"/>
        </w:rPr>
      </w:pPr>
      <w:r w:rsidRPr="00C83BDF">
        <w:rPr>
          <w:lang w:val="es-ES_tradnl"/>
        </w:rPr>
        <w:t>ANEXO II</w:t>
      </w:r>
      <w:r w:rsidR="00E65183" w:rsidRPr="00C83BDF">
        <w:rPr>
          <w:lang w:val="es-ES_tradnl"/>
        </w:rPr>
        <w:br/>
      </w:r>
      <w:r w:rsidR="00E65183" w:rsidRPr="00C83BDF">
        <w:rPr>
          <w:lang w:val="es-ES_tradnl"/>
        </w:rPr>
        <w:br/>
      </w:r>
      <w:r w:rsidR="0038532F" w:rsidRPr="00C83BDF">
        <w:rPr>
          <w:lang w:val="es-ES_tradnl"/>
        </w:rPr>
        <w:t>RESEÑA DE LAS MISIONES</w:t>
      </w:r>
      <w:r w:rsidR="0038532F" w:rsidRPr="00C83BDF">
        <w:rPr>
          <w:rStyle w:val="FootnoteReference"/>
          <w:lang w:val="es-ES_tradnl"/>
        </w:rPr>
        <w:footnoteReference w:customMarkFollows="1" w:id="6"/>
        <w:t>*</w:t>
      </w:r>
      <w:r w:rsidR="0038532F" w:rsidRPr="00C83BDF">
        <w:rPr>
          <w:lang w:val="es-ES_tradnl"/>
        </w:rPr>
        <w:t xml:space="preserve"> REALIZADAS EN 2014</w:t>
      </w:r>
    </w:p>
    <w:p w:rsidR="00E65183" w:rsidRPr="00C83BDF" w:rsidRDefault="00E65183" w:rsidP="00E65183">
      <w:pPr>
        <w:ind w:right="-1"/>
        <w:jc w:val="center"/>
        <w:rPr>
          <w:lang w:val="es-ES_tradnl"/>
        </w:rPr>
      </w:pPr>
    </w:p>
    <w:p w:rsidR="00E65183" w:rsidRPr="00C83BDF" w:rsidRDefault="00E65183" w:rsidP="00E65183">
      <w:pPr>
        <w:ind w:right="-1"/>
        <w:jc w:val="center"/>
        <w:rPr>
          <w:lang w:val="es-ES_tradnl"/>
        </w:rPr>
      </w:pPr>
    </w:p>
    <w:tbl>
      <w:tblPr>
        <w:tblW w:w="984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6"/>
        <w:gridCol w:w="3118"/>
        <w:gridCol w:w="2513"/>
      </w:tblGrid>
      <w:tr w:rsidR="00E65183" w:rsidRPr="00C83BDF">
        <w:trPr>
          <w:cantSplit/>
          <w:tblHeader/>
          <w:jc w:val="center"/>
        </w:trPr>
        <w:tc>
          <w:tcPr>
            <w:tcW w:w="4216" w:type="dxa"/>
            <w:tcBorders>
              <w:bottom w:val="single" w:sz="4" w:space="0" w:color="auto"/>
            </w:tcBorders>
          </w:tcPr>
          <w:p w:rsidR="00E65183" w:rsidRPr="00C83BDF" w:rsidRDefault="0045016F" w:rsidP="00DA1ACF">
            <w:pPr>
              <w:spacing w:before="60" w:after="60"/>
              <w:jc w:val="left"/>
              <w:rPr>
                <w:b/>
                <w:szCs w:val="24"/>
                <w:lang w:val="es-ES_tradnl"/>
              </w:rPr>
            </w:pPr>
            <w:r w:rsidRPr="00C83BDF">
              <w:rPr>
                <w:b/>
                <w:szCs w:val="24"/>
                <w:lang w:val="es-ES_tradnl"/>
              </w:rPr>
              <w:t>Misión</w:t>
            </w:r>
          </w:p>
        </w:tc>
        <w:tc>
          <w:tcPr>
            <w:tcW w:w="3118" w:type="dxa"/>
            <w:tcBorders>
              <w:bottom w:val="single" w:sz="4" w:space="0" w:color="auto"/>
            </w:tcBorders>
          </w:tcPr>
          <w:p w:rsidR="00E65183" w:rsidRPr="00C83BDF" w:rsidRDefault="0045016F" w:rsidP="00DA1ACF">
            <w:pPr>
              <w:spacing w:before="60" w:after="60"/>
              <w:jc w:val="left"/>
              <w:rPr>
                <w:b/>
                <w:szCs w:val="24"/>
                <w:lang w:val="es-ES_tradnl"/>
              </w:rPr>
            </w:pPr>
            <w:r w:rsidRPr="00C83BDF">
              <w:rPr>
                <w:b/>
                <w:szCs w:val="24"/>
                <w:lang w:val="es-ES_tradnl"/>
              </w:rPr>
              <w:t>Lugar/Mes</w:t>
            </w:r>
          </w:p>
        </w:tc>
        <w:tc>
          <w:tcPr>
            <w:tcW w:w="2513" w:type="dxa"/>
            <w:tcBorders>
              <w:bottom w:val="single" w:sz="4" w:space="0" w:color="auto"/>
            </w:tcBorders>
          </w:tcPr>
          <w:p w:rsidR="00E65183" w:rsidRPr="00C83BDF" w:rsidRDefault="0045016F" w:rsidP="00DA1ACF">
            <w:pPr>
              <w:spacing w:before="60" w:after="60"/>
              <w:jc w:val="left"/>
              <w:rPr>
                <w:b/>
                <w:szCs w:val="24"/>
                <w:lang w:val="es-ES_tradnl"/>
              </w:rPr>
            </w:pPr>
            <w:r w:rsidRPr="00C83BDF">
              <w:rPr>
                <w:b/>
                <w:szCs w:val="24"/>
                <w:lang w:val="es-ES_tradnl"/>
              </w:rPr>
              <w:t>Funcionario</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45016F" w:rsidP="00DA1ACF">
            <w:pPr>
              <w:spacing w:before="60" w:after="60"/>
              <w:jc w:val="left"/>
              <w:rPr>
                <w:szCs w:val="24"/>
                <w:lang w:val="es-ES_tradnl"/>
              </w:rPr>
            </w:pPr>
            <w:r w:rsidRPr="00C83BDF">
              <w:rPr>
                <w:szCs w:val="24"/>
                <w:lang w:val="es-ES_tradnl"/>
              </w:rPr>
              <w:t>Reuniones de los sistemas de semillas de la OCDE</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850848" w:rsidP="00DA1ACF">
            <w:pPr>
              <w:spacing w:before="60" w:after="60"/>
              <w:jc w:val="left"/>
              <w:rPr>
                <w:szCs w:val="24"/>
                <w:lang w:val="es-ES_tradnl"/>
              </w:rPr>
            </w:pPr>
            <w:r w:rsidRPr="00C83BDF">
              <w:rPr>
                <w:szCs w:val="24"/>
                <w:lang w:val="es-ES_tradnl"/>
              </w:rPr>
              <w:t>Edimburgo (Reino Unido)</w:t>
            </w:r>
            <w:r w:rsidR="00D27B08" w:rsidRPr="00C83BDF">
              <w:rPr>
                <w:szCs w:val="24"/>
                <w:lang w:val="es-ES_tradnl"/>
              </w:rPr>
              <w:t>, enero</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Taveira</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850848" w:rsidP="00DA1ACF">
            <w:pPr>
              <w:spacing w:before="60" w:after="60"/>
              <w:jc w:val="left"/>
              <w:rPr>
                <w:szCs w:val="24"/>
                <w:lang w:val="es-ES_tradnl"/>
              </w:rPr>
            </w:pPr>
            <w:r w:rsidRPr="00C83BDF">
              <w:rPr>
                <w:rFonts w:cs="Arial"/>
                <w:color w:val="000000"/>
                <w:lang w:val="es-ES_tradnl"/>
              </w:rPr>
              <w:t>Vigésima sexta sesión del CIG de la OMPI</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850848" w:rsidP="00DA1ACF">
            <w:pPr>
              <w:spacing w:before="60" w:after="60"/>
              <w:jc w:val="left"/>
              <w:rPr>
                <w:szCs w:val="24"/>
                <w:lang w:val="es-ES_tradnl"/>
              </w:rPr>
            </w:pPr>
            <w:r w:rsidRPr="00C83BDF">
              <w:rPr>
                <w:szCs w:val="24"/>
                <w:lang w:val="es-ES_tradnl"/>
              </w:rPr>
              <w:t>Ginebra (Suiza)</w:t>
            </w:r>
            <w:r w:rsidR="00D27B08" w:rsidRPr="00C83BDF">
              <w:rPr>
                <w:szCs w:val="24"/>
                <w:lang w:val="es-ES_tradnl"/>
              </w:rPr>
              <w:t>, febrero</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Aihara</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850848" w:rsidP="00DA1ACF">
            <w:pPr>
              <w:spacing w:before="60" w:after="60"/>
              <w:jc w:val="left"/>
              <w:rPr>
                <w:szCs w:val="24"/>
                <w:lang w:val="es-ES_tradnl"/>
              </w:rPr>
            </w:pPr>
            <w:r w:rsidRPr="00C83BDF">
              <w:rPr>
                <w:rFonts w:cs="Arial"/>
                <w:snapToGrid w:val="0"/>
                <w:lang w:val="es-ES_tradnl"/>
              </w:rPr>
              <w:t>Curso nacional de formación para expertos en el examen DHE titulado “Armonización de los trabajos de distinción, homogeneidad y estabilidad de nuevas variedades para los centros acreditados por la OCVV, normativa española, de la UE y de la UPOV”</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850848" w:rsidP="00DA1ACF">
            <w:pPr>
              <w:spacing w:before="60" w:after="60"/>
              <w:jc w:val="left"/>
              <w:rPr>
                <w:szCs w:val="24"/>
                <w:lang w:val="es-ES_tradnl"/>
              </w:rPr>
            </w:pPr>
            <w:r w:rsidRPr="00C83BDF">
              <w:rPr>
                <w:lang w:val="es-ES_tradnl"/>
              </w:rPr>
              <w:t>San Fernando de Henares (España)</w:t>
            </w:r>
            <w:r w:rsidR="00D27B08" w:rsidRPr="00C83BDF">
              <w:rPr>
                <w:lang w:val="es-ES_tradnl"/>
              </w:rPr>
              <w:t>, febrero</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Taveira</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292DC3" w:rsidP="00DA1ACF">
            <w:pPr>
              <w:spacing w:before="60" w:after="60"/>
              <w:jc w:val="left"/>
              <w:rPr>
                <w:snapToGrid w:val="0"/>
                <w:lang w:val="es-ES_tradnl" w:eastAsia="ja-JP"/>
              </w:rPr>
            </w:pPr>
            <w:r w:rsidRPr="00C83BDF">
              <w:rPr>
                <w:lang w:val="es-ES_tradnl"/>
              </w:rPr>
              <w:t xml:space="preserve">Tercera </w:t>
            </w:r>
            <w:r w:rsidR="00850848" w:rsidRPr="00C83BDF">
              <w:rPr>
                <w:lang w:val="es-ES_tradnl"/>
              </w:rPr>
              <w:t xml:space="preserve">reunión del </w:t>
            </w:r>
            <w:r w:rsidRPr="00C83BDF">
              <w:rPr>
                <w:lang w:val="es-ES_tradnl"/>
              </w:rPr>
              <w:t xml:space="preserve">Comité Intergubernamental Especial de Composición Abierta para el </w:t>
            </w:r>
            <w:r w:rsidR="00677B58" w:rsidRPr="00C83BDF">
              <w:rPr>
                <w:lang w:val="es-ES_tradnl"/>
              </w:rPr>
              <w:t xml:space="preserve">Protocolo de Nagoya sobre Acceso a los Recursos Genéticos y Participación Justa y Equitativa en los Beneficios que se Deriven de su Utilización </w:t>
            </w:r>
            <w:r w:rsidRPr="00C83BDF">
              <w:rPr>
                <w:lang w:val="es-ES_tradnl"/>
              </w:rPr>
              <w:t>(CIPE</w:t>
            </w:r>
            <w:r w:rsidRPr="00C83BDF">
              <w:rPr>
                <w:lang w:val="es-ES_tradnl"/>
              </w:rPr>
              <w:noBreakHyphen/>
              <w:t>3)</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A9006C" w:rsidP="00DA1ACF">
            <w:pPr>
              <w:spacing w:before="60" w:after="60"/>
              <w:jc w:val="left"/>
              <w:rPr>
                <w:lang w:val="es-ES_tradnl" w:eastAsia="ja-JP"/>
              </w:rPr>
            </w:pPr>
            <w:r w:rsidRPr="00C83BDF">
              <w:rPr>
                <w:lang w:val="es-ES_tradnl"/>
              </w:rPr>
              <w:t>Pyeongchang (República de Corea)</w:t>
            </w:r>
            <w:r w:rsidR="00D27B08" w:rsidRPr="00C83BDF">
              <w:rPr>
                <w:lang w:val="es-ES_tradnl"/>
              </w:rPr>
              <w:t>, febrero</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Aihara</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A9006C" w:rsidP="00DA1ACF">
            <w:pPr>
              <w:spacing w:before="60" w:after="60"/>
              <w:jc w:val="left"/>
              <w:rPr>
                <w:szCs w:val="24"/>
                <w:lang w:val="es-ES_tradnl"/>
              </w:rPr>
            </w:pPr>
            <w:r w:rsidRPr="00C83BDF">
              <w:rPr>
                <w:snapToGrid w:val="0"/>
                <w:szCs w:val="24"/>
                <w:lang w:val="es-ES_tradnl"/>
              </w:rPr>
              <w:t>Reunión del Consejo de los ADPIC (sede de la OMC)</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A9006C" w:rsidP="00DA1ACF">
            <w:pPr>
              <w:spacing w:before="60" w:after="60"/>
              <w:jc w:val="left"/>
              <w:rPr>
                <w:szCs w:val="24"/>
                <w:lang w:val="es-ES_tradnl"/>
              </w:rPr>
            </w:pPr>
            <w:r w:rsidRPr="00C83BDF">
              <w:rPr>
                <w:szCs w:val="24"/>
                <w:lang w:val="es-ES_tradnl"/>
              </w:rPr>
              <w:t>Ginebra (Suiza)</w:t>
            </w:r>
            <w:r w:rsidR="00D27B08" w:rsidRPr="00C83BDF">
              <w:rPr>
                <w:szCs w:val="24"/>
                <w:lang w:val="es-ES_tradnl"/>
              </w:rPr>
              <w:t>, febrero</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Huerta</w:t>
            </w:r>
          </w:p>
        </w:tc>
      </w:tr>
      <w:tr w:rsidR="006A1734" w:rsidRPr="00C83BDF">
        <w:trPr>
          <w:cantSplit/>
          <w:jc w:val="center"/>
        </w:trPr>
        <w:tc>
          <w:tcPr>
            <w:tcW w:w="4216" w:type="dxa"/>
            <w:tcBorders>
              <w:top w:val="single" w:sz="4" w:space="0" w:color="auto"/>
              <w:bottom w:val="single" w:sz="4" w:space="0" w:color="auto"/>
              <w:right w:val="nil"/>
            </w:tcBorders>
          </w:tcPr>
          <w:p w:rsidR="006A1734" w:rsidRPr="00C83BDF" w:rsidRDefault="006A1734" w:rsidP="00DA1ACF">
            <w:pPr>
              <w:spacing w:before="60" w:after="60"/>
              <w:jc w:val="left"/>
              <w:rPr>
                <w:rFonts w:cs="Arial"/>
                <w:lang w:val="es-ES_tradnl"/>
              </w:rPr>
            </w:pPr>
            <w:r w:rsidRPr="00C83BDF">
              <w:rPr>
                <w:lang w:val="es-ES_tradnl"/>
              </w:rPr>
              <w:t>Sesión de sensibilización de alto nivel sobre la Armonización internacional del sistema de protección de las variedades vegetales</w:t>
            </w:r>
          </w:p>
        </w:tc>
        <w:tc>
          <w:tcPr>
            <w:tcW w:w="3118" w:type="dxa"/>
            <w:tcBorders>
              <w:top w:val="single" w:sz="4" w:space="0" w:color="auto"/>
              <w:left w:val="single" w:sz="4" w:space="0" w:color="auto"/>
              <w:bottom w:val="single" w:sz="4" w:space="0" w:color="auto"/>
              <w:right w:val="single" w:sz="4" w:space="0" w:color="auto"/>
            </w:tcBorders>
          </w:tcPr>
          <w:p w:rsidR="006A1734" w:rsidRPr="00C83BDF" w:rsidRDefault="006A1734" w:rsidP="00DA1ACF">
            <w:pPr>
              <w:spacing w:before="60" w:after="60"/>
              <w:jc w:val="left"/>
              <w:rPr>
                <w:szCs w:val="24"/>
                <w:lang w:val="es-ES_tradnl"/>
              </w:rPr>
            </w:pPr>
            <w:r w:rsidRPr="00C83BDF">
              <w:rPr>
                <w:lang w:val="es-ES_tradnl"/>
              </w:rPr>
              <w:t>Putrajaya (Malasia)</w:t>
            </w:r>
            <w:r w:rsidR="00D27B08" w:rsidRPr="00C83BDF">
              <w:rPr>
                <w:lang w:val="es-ES_tradnl"/>
              </w:rPr>
              <w:t>, febrero</w:t>
            </w:r>
          </w:p>
        </w:tc>
        <w:tc>
          <w:tcPr>
            <w:tcW w:w="2513" w:type="dxa"/>
            <w:tcBorders>
              <w:top w:val="single" w:sz="4" w:space="0" w:color="auto"/>
              <w:left w:val="single" w:sz="4" w:space="0" w:color="auto"/>
              <w:bottom w:val="single" w:sz="4" w:space="0" w:color="auto"/>
              <w:right w:val="single" w:sz="4" w:space="0" w:color="auto"/>
            </w:tcBorders>
          </w:tcPr>
          <w:p w:rsidR="006A1734" w:rsidRPr="00C83BDF" w:rsidRDefault="006A1734" w:rsidP="004737CD">
            <w:pPr>
              <w:spacing w:before="60" w:after="60"/>
              <w:jc w:val="left"/>
              <w:rPr>
                <w:noProof/>
                <w:szCs w:val="24"/>
                <w:lang w:val="es-ES_tradnl"/>
              </w:rPr>
            </w:pPr>
            <w:r w:rsidRPr="00C83BDF">
              <w:rPr>
                <w:noProof/>
                <w:szCs w:val="24"/>
                <w:lang w:val="es-ES_tradnl"/>
              </w:rPr>
              <w:t>Button, Aihara</w:t>
            </w:r>
          </w:p>
        </w:tc>
      </w:tr>
      <w:tr w:rsidR="00E65183" w:rsidRPr="00C83BDF">
        <w:trPr>
          <w:cantSplit/>
          <w:jc w:val="center"/>
        </w:trPr>
        <w:tc>
          <w:tcPr>
            <w:tcW w:w="4216" w:type="dxa"/>
            <w:tcBorders>
              <w:top w:val="single" w:sz="4" w:space="0" w:color="auto"/>
              <w:bottom w:val="nil"/>
              <w:right w:val="nil"/>
            </w:tcBorders>
          </w:tcPr>
          <w:p w:rsidR="00E65183" w:rsidRPr="00C83BDF" w:rsidRDefault="006A1734" w:rsidP="00DA1ACF">
            <w:pPr>
              <w:spacing w:before="60" w:after="60"/>
              <w:jc w:val="left"/>
              <w:rPr>
                <w:lang w:val="es-ES_tradnl"/>
              </w:rPr>
            </w:pPr>
            <w:r w:rsidRPr="00C83BDF">
              <w:rPr>
                <w:lang w:val="es-ES_tradnl"/>
              </w:rPr>
              <w:t>Reunión del Comité Ejecutivo del Proyecto Mundial de Semillas (FAO, ISF, ISTA, OCDE y UPOV)</w:t>
            </w:r>
          </w:p>
        </w:tc>
        <w:tc>
          <w:tcPr>
            <w:tcW w:w="3118" w:type="dxa"/>
            <w:tcBorders>
              <w:top w:val="single" w:sz="4" w:space="0" w:color="auto"/>
              <w:left w:val="single" w:sz="4" w:space="0" w:color="auto"/>
              <w:bottom w:val="nil"/>
              <w:right w:val="single" w:sz="4" w:space="0" w:color="auto"/>
            </w:tcBorders>
          </w:tcPr>
          <w:p w:rsidR="00E65183" w:rsidRPr="00C83BDF" w:rsidRDefault="006A1734" w:rsidP="00DA1ACF">
            <w:pPr>
              <w:spacing w:before="60" w:after="60"/>
              <w:jc w:val="left"/>
              <w:rPr>
                <w:lang w:val="es-ES_tradnl"/>
              </w:rPr>
            </w:pPr>
            <w:r w:rsidRPr="00C83BDF">
              <w:rPr>
                <w:lang w:val="es-ES_tradnl"/>
              </w:rPr>
              <w:t>Túnez (Túnez)</w:t>
            </w:r>
            <w:r w:rsidR="00D27B08" w:rsidRPr="00C83BDF">
              <w:rPr>
                <w:lang w:val="es-ES_tradnl"/>
              </w:rPr>
              <w:t>, marzo</w:t>
            </w:r>
          </w:p>
        </w:tc>
        <w:tc>
          <w:tcPr>
            <w:tcW w:w="2513" w:type="dxa"/>
            <w:tcBorders>
              <w:top w:val="single" w:sz="4" w:space="0" w:color="auto"/>
              <w:left w:val="single" w:sz="4" w:space="0" w:color="auto"/>
              <w:bottom w:val="nil"/>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Button</w:t>
            </w:r>
            <w:r w:rsidR="00220E3C" w:rsidRPr="00C83BDF">
              <w:rPr>
                <w:noProof/>
                <w:szCs w:val="24"/>
                <w:lang w:val="es-ES_tradnl"/>
              </w:rPr>
              <w:t xml:space="preserve">, </w:t>
            </w:r>
            <w:r w:rsidRPr="00C83BDF">
              <w:rPr>
                <w:noProof/>
                <w:szCs w:val="24"/>
                <w:lang w:val="es-ES_tradnl"/>
              </w:rPr>
              <w:t>Rivoire</w:t>
            </w:r>
          </w:p>
        </w:tc>
      </w:tr>
      <w:tr w:rsidR="00E65183" w:rsidRPr="00C83BDF">
        <w:trPr>
          <w:cantSplit/>
          <w:jc w:val="center"/>
        </w:trPr>
        <w:tc>
          <w:tcPr>
            <w:tcW w:w="4216" w:type="dxa"/>
            <w:tcBorders>
              <w:top w:val="nil"/>
              <w:bottom w:val="nil"/>
              <w:right w:val="nil"/>
            </w:tcBorders>
          </w:tcPr>
          <w:p w:rsidR="00E65183" w:rsidRPr="00C83BDF" w:rsidRDefault="006A1734" w:rsidP="00DA1ACF">
            <w:pPr>
              <w:spacing w:before="60" w:after="60"/>
              <w:jc w:val="left"/>
              <w:rPr>
                <w:lang w:val="es-ES_tradnl"/>
              </w:rPr>
            </w:pPr>
            <w:r w:rsidRPr="00C83BDF">
              <w:rPr>
                <w:lang w:val="es-ES_tradnl"/>
              </w:rPr>
              <w:t>Taller conjunto UPOV</w:t>
            </w:r>
            <w:r w:rsidRPr="00C83BDF">
              <w:rPr>
                <w:lang w:val="es-ES_tradnl"/>
              </w:rPr>
              <w:noBreakHyphen/>
              <w:t>ISTA</w:t>
            </w:r>
            <w:r w:rsidRPr="00C83BDF">
              <w:rPr>
                <w:lang w:val="es-ES_tradnl"/>
              </w:rPr>
              <w:noBreakHyphen/>
              <w:t>OCDE sobre “Sistemas internacionales para crear un entorno propicio a la seguridad alimentaria y el desarrollo económico fortaleciendo al sector semillero”</w:t>
            </w:r>
          </w:p>
        </w:tc>
        <w:tc>
          <w:tcPr>
            <w:tcW w:w="3118" w:type="dxa"/>
            <w:tcBorders>
              <w:top w:val="nil"/>
              <w:left w:val="single" w:sz="4" w:space="0" w:color="auto"/>
              <w:bottom w:val="nil"/>
              <w:right w:val="single" w:sz="4" w:space="0" w:color="auto"/>
            </w:tcBorders>
          </w:tcPr>
          <w:p w:rsidR="00E65183" w:rsidRPr="00C83BDF" w:rsidRDefault="00E65183" w:rsidP="004737CD">
            <w:pPr>
              <w:spacing w:before="60" w:after="60"/>
              <w:jc w:val="left"/>
              <w:rPr>
                <w:lang w:val="es-ES_tradnl"/>
              </w:rPr>
            </w:pPr>
          </w:p>
        </w:tc>
        <w:tc>
          <w:tcPr>
            <w:tcW w:w="2513" w:type="dxa"/>
            <w:tcBorders>
              <w:top w:val="nil"/>
              <w:left w:val="single" w:sz="4" w:space="0" w:color="auto"/>
              <w:bottom w:val="nil"/>
              <w:right w:val="single" w:sz="4" w:space="0" w:color="auto"/>
            </w:tcBorders>
          </w:tcPr>
          <w:p w:rsidR="00E65183" w:rsidRPr="00C83BDF" w:rsidRDefault="00E65183" w:rsidP="004737CD">
            <w:pPr>
              <w:spacing w:before="60" w:after="60"/>
              <w:jc w:val="left"/>
              <w:rPr>
                <w:noProof/>
                <w:szCs w:val="24"/>
                <w:lang w:val="es-ES_tradnl"/>
              </w:rPr>
            </w:pPr>
          </w:p>
        </w:tc>
      </w:tr>
      <w:tr w:rsidR="00E65183" w:rsidRPr="00C83BDF">
        <w:trPr>
          <w:cantSplit/>
          <w:jc w:val="center"/>
        </w:trPr>
        <w:tc>
          <w:tcPr>
            <w:tcW w:w="4216" w:type="dxa"/>
            <w:tcBorders>
              <w:top w:val="nil"/>
              <w:bottom w:val="single" w:sz="4" w:space="0" w:color="auto"/>
              <w:right w:val="nil"/>
            </w:tcBorders>
          </w:tcPr>
          <w:p w:rsidR="00E65183" w:rsidRPr="00C83BDF" w:rsidRDefault="006A1734" w:rsidP="00DA1ACF">
            <w:pPr>
              <w:spacing w:before="60" w:after="60"/>
              <w:jc w:val="left"/>
              <w:rPr>
                <w:lang w:val="es-ES_tradnl"/>
              </w:rPr>
            </w:pPr>
            <w:r w:rsidRPr="00C83BDF">
              <w:rPr>
                <w:lang w:val="es-ES_tradnl"/>
              </w:rPr>
              <w:t>Decimocuarto congreso anual de la AFSTA</w:t>
            </w:r>
          </w:p>
        </w:tc>
        <w:tc>
          <w:tcPr>
            <w:tcW w:w="3118" w:type="dxa"/>
            <w:tcBorders>
              <w:top w:val="nil"/>
              <w:left w:val="single" w:sz="4" w:space="0" w:color="auto"/>
              <w:bottom w:val="single" w:sz="4" w:space="0" w:color="auto"/>
              <w:right w:val="single" w:sz="4" w:space="0" w:color="auto"/>
            </w:tcBorders>
          </w:tcPr>
          <w:p w:rsidR="00E65183" w:rsidRPr="00C83BDF" w:rsidRDefault="00E65183" w:rsidP="004737CD">
            <w:pPr>
              <w:spacing w:before="60" w:after="60"/>
              <w:jc w:val="left"/>
              <w:rPr>
                <w:lang w:val="es-ES_tradnl"/>
              </w:rPr>
            </w:pPr>
          </w:p>
        </w:tc>
        <w:tc>
          <w:tcPr>
            <w:tcW w:w="2513" w:type="dxa"/>
            <w:tcBorders>
              <w:top w:val="nil"/>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6A1734" w:rsidP="00DA1ACF">
            <w:pPr>
              <w:spacing w:before="60" w:after="60"/>
              <w:jc w:val="left"/>
              <w:rPr>
                <w:lang w:val="es-ES_tradnl"/>
              </w:rPr>
            </w:pPr>
            <w:r w:rsidRPr="00C83BDF">
              <w:rPr>
                <w:lang w:val="es-ES_tradnl"/>
              </w:rPr>
              <w:t>Taller de la OMC acerca del Acuerdo sobre los ADPIC y las cuestiones que atañen a la P.I.</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6A1734" w:rsidP="00DA1ACF">
            <w:pPr>
              <w:spacing w:before="60" w:after="60"/>
              <w:jc w:val="left"/>
              <w:rPr>
                <w:lang w:val="es-ES_tradnl"/>
              </w:rPr>
            </w:pPr>
            <w:r w:rsidRPr="00C83BDF">
              <w:rPr>
                <w:lang w:val="es-ES_tradnl"/>
              </w:rPr>
              <w:t>Port Louis (Mauricio)</w:t>
            </w:r>
            <w:r w:rsidR="00D27B08" w:rsidRPr="00C83BDF">
              <w:rPr>
                <w:lang w:val="es-ES_tradnl"/>
              </w:rPr>
              <w:t>, marzo</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Huerta</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6A1734" w:rsidP="00DA1ACF">
            <w:pPr>
              <w:spacing w:before="60" w:after="60"/>
              <w:jc w:val="left"/>
              <w:rPr>
                <w:lang w:val="es-ES_tradnl"/>
              </w:rPr>
            </w:pPr>
            <w:r w:rsidRPr="00C83BDF">
              <w:rPr>
                <w:lang w:val="es-ES_tradnl"/>
              </w:rPr>
              <w:t>Consejo Administrativo de la OCVV</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6A1734" w:rsidP="00DA1ACF">
            <w:pPr>
              <w:spacing w:before="60" w:after="60"/>
              <w:jc w:val="left"/>
              <w:rPr>
                <w:lang w:val="es-ES_tradnl"/>
              </w:rPr>
            </w:pPr>
            <w:r w:rsidRPr="00C83BDF">
              <w:rPr>
                <w:lang w:val="es-ES_tradnl"/>
              </w:rPr>
              <w:t>Nitra (Eslovaquia)</w:t>
            </w:r>
            <w:r w:rsidR="00D27B08" w:rsidRPr="00C83BDF">
              <w:rPr>
                <w:lang w:val="es-ES_tradnl"/>
              </w:rPr>
              <w:t>, marzo</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Button</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6A1734" w:rsidP="00DA1ACF">
            <w:pPr>
              <w:spacing w:before="60" w:after="60"/>
              <w:jc w:val="left"/>
              <w:rPr>
                <w:szCs w:val="24"/>
                <w:lang w:val="es-ES_tradnl"/>
              </w:rPr>
            </w:pPr>
            <w:r w:rsidRPr="00C83BDF">
              <w:rPr>
                <w:rFonts w:cs="Arial"/>
                <w:color w:val="000000"/>
                <w:lang w:val="es-ES_tradnl"/>
              </w:rPr>
              <w:t>Vigésima séptima sesión del CIG de la OMPI</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6A1734" w:rsidP="00DA1ACF">
            <w:pPr>
              <w:spacing w:before="60" w:after="60"/>
              <w:jc w:val="left"/>
              <w:rPr>
                <w:szCs w:val="24"/>
                <w:lang w:val="es-ES_tradnl"/>
              </w:rPr>
            </w:pPr>
            <w:r w:rsidRPr="00C83BDF">
              <w:rPr>
                <w:szCs w:val="24"/>
                <w:lang w:val="es-ES_tradnl"/>
              </w:rPr>
              <w:t>Ginebra (Suiza)</w:t>
            </w:r>
            <w:r w:rsidR="00982D40" w:rsidRPr="00C83BDF">
              <w:rPr>
                <w:szCs w:val="24"/>
                <w:lang w:val="es-ES_tradnl"/>
              </w:rPr>
              <w:t>,</w:t>
            </w:r>
            <w:r w:rsidR="00DA1ACF" w:rsidRPr="00C83BDF">
              <w:rPr>
                <w:szCs w:val="24"/>
                <w:lang w:val="es-ES_tradnl"/>
              </w:rPr>
              <w:t xml:space="preserve"> marzo</w:t>
            </w:r>
            <w:r w:rsidR="00DA1ACF" w:rsidRPr="00C83BDF">
              <w:rPr>
                <w:szCs w:val="24"/>
                <w:lang w:val="es-ES_tradnl"/>
              </w:rPr>
              <w:noBreakHyphen/>
            </w:r>
            <w:r w:rsidRPr="00C83BDF">
              <w:rPr>
                <w:szCs w:val="24"/>
                <w:lang w:val="es-ES_tradnl"/>
              </w:rPr>
              <w:t>abril</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Rivoire</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8F5D07" w:rsidP="00DA1ACF">
            <w:pPr>
              <w:spacing w:before="60" w:after="60"/>
              <w:jc w:val="left"/>
              <w:rPr>
                <w:lang w:val="es-ES_tradnl"/>
              </w:rPr>
            </w:pPr>
            <w:r w:rsidRPr="00C83BDF">
              <w:rPr>
                <w:lang w:val="es-ES_tradnl"/>
              </w:rPr>
              <w:t>Asamblea General de la OMA</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8F5D07" w:rsidP="00DA1ACF">
            <w:pPr>
              <w:spacing w:before="60" w:after="60"/>
              <w:jc w:val="left"/>
              <w:rPr>
                <w:lang w:val="es-ES_tradnl"/>
              </w:rPr>
            </w:pPr>
            <w:r w:rsidRPr="00C83BDF">
              <w:rPr>
                <w:lang w:val="es-ES_tradnl"/>
              </w:rPr>
              <w:t>Buenos Aires (Argentina)</w:t>
            </w:r>
            <w:r w:rsidR="00D27B08" w:rsidRPr="00C83BDF">
              <w:rPr>
                <w:lang w:val="es-ES_tradnl"/>
              </w:rPr>
              <w:t>, marzo</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Button</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3D4C2D" w:rsidP="00DA1ACF">
            <w:pPr>
              <w:spacing w:before="60" w:after="60"/>
              <w:jc w:val="left"/>
              <w:rPr>
                <w:lang w:val="es-ES_tradnl"/>
              </w:rPr>
            </w:pPr>
            <w:r w:rsidRPr="00C83BDF">
              <w:rPr>
                <w:lang w:val="es-ES_tradnl"/>
              </w:rPr>
              <w:t>Reunión anual general de la CIOPORA</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3D4C2D" w:rsidP="00DA1ACF">
            <w:pPr>
              <w:spacing w:before="60" w:after="60"/>
              <w:jc w:val="left"/>
              <w:rPr>
                <w:lang w:val="es-ES_tradnl"/>
              </w:rPr>
            </w:pPr>
            <w:r w:rsidRPr="00C83BDF">
              <w:rPr>
                <w:lang w:val="es-ES_tradnl"/>
              </w:rPr>
              <w:t>La Haya (Países Bajos)</w:t>
            </w:r>
            <w:r w:rsidR="00D27B08" w:rsidRPr="00C83BDF">
              <w:rPr>
                <w:lang w:val="es-ES_tradnl"/>
              </w:rPr>
              <w:t>, abril</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Button</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22118A" w:rsidP="00DA1ACF">
            <w:pPr>
              <w:spacing w:before="60" w:after="60"/>
              <w:jc w:val="left"/>
              <w:rPr>
                <w:lang w:val="es-ES_tradnl"/>
              </w:rPr>
            </w:pPr>
            <w:r w:rsidRPr="00C83BDF">
              <w:rPr>
                <w:lang w:val="es-ES_tradnl"/>
              </w:rPr>
              <w:t>Sesiones informativas de la OAPI</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22118A" w:rsidP="00DA1ACF">
            <w:pPr>
              <w:spacing w:before="60" w:after="60"/>
              <w:jc w:val="left"/>
              <w:rPr>
                <w:lang w:val="es-ES_tradnl"/>
              </w:rPr>
            </w:pPr>
            <w:r w:rsidRPr="00C83BDF">
              <w:rPr>
                <w:lang w:val="es-ES_tradnl"/>
              </w:rPr>
              <w:t>Yaundé (Camerún)</w:t>
            </w:r>
            <w:r w:rsidR="00D27B08" w:rsidRPr="00C83BDF">
              <w:rPr>
                <w:lang w:val="es-ES_tradnl"/>
              </w:rPr>
              <w:t>, abril</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Huerta</w:t>
            </w:r>
            <w:r w:rsidR="00220E3C" w:rsidRPr="00C83BDF">
              <w:rPr>
                <w:noProof/>
                <w:szCs w:val="24"/>
                <w:lang w:val="es-ES_tradnl"/>
              </w:rPr>
              <w:t xml:space="preserve">, </w:t>
            </w:r>
            <w:r w:rsidRPr="00C83BDF">
              <w:rPr>
                <w:noProof/>
                <w:szCs w:val="24"/>
                <w:lang w:val="es-ES_tradnl"/>
              </w:rPr>
              <w:t>Rivoire</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DB33D0" w:rsidP="00DA1ACF">
            <w:pPr>
              <w:spacing w:before="60" w:after="60"/>
              <w:jc w:val="left"/>
              <w:rPr>
                <w:lang w:val="es-ES_tradnl"/>
              </w:rPr>
            </w:pPr>
            <w:r w:rsidRPr="00C83BDF">
              <w:rPr>
                <w:snapToGrid w:val="0"/>
                <w:lang w:val="es-ES_tradnl"/>
              </w:rPr>
              <w:t>Reunión del Grupo de Trabajo Técnico del Sistema de la OCDE de certificación del material forestal de reproducción destinado al comercio internacional</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F46FD1" w:rsidP="00DA1ACF">
            <w:pPr>
              <w:spacing w:before="60" w:after="60"/>
              <w:jc w:val="left"/>
              <w:rPr>
                <w:lang w:val="es-ES_tradnl"/>
              </w:rPr>
            </w:pPr>
            <w:r w:rsidRPr="00C83BDF">
              <w:rPr>
                <w:lang w:val="es-ES_tradnl"/>
              </w:rPr>
              <w:t>París (Francia)</w:t>
            </w:r>
            <w:r w:rsidR="00D27B08" w:rsidRPr="00C83BDF">
              <w:rPr>
                <w:lang w:val="es-ES_tradnl"/>
              </w:rPr>
              <w:t>, abril</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Taveira</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F46FD1" w:rsidP="00DA1ACF">
            <w:pPr>
              <w:spacing w:before="60" w:after="60"/>
              <w:jc w:val="left"/>
              <w:rPr>
                <w:lang w:val="es-ES_tradnl"/>
              </w:rPr>
            </w:pPr>
            <w:r w:rsidRPr="00C83BDF">
              <w:rPr>
                <w:lang w:val="es-ES_tradnl"/>
              </w:rPr>
              <w:t>Reunión del Comité Ejecutivo del Proyecto Mundial de Semillas (FAO, ISF, ISTA, OCDE y UPOV)</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F46FD1" w:rsidP="00DA1ACF">
            <w:pPr>
              <w:spacing w:before="60" w:after="60"/>
              <w:jc w:val="left"/>
              <w:rPr>
                <w:lang w:val="es-ES_tradnl"/>
              </w:rPr>
            </w:pPr>
            <w:r w:rsidRPr="00C83BDF">
              <w:rPr>
                <w:lang w:val="es-ES_tradnl"/>
              </w:rPr>
              <w:t>Roma (Italia)</w:t>
            </w:r>
            <w:r w:rsidR="00D27B08" w:rsidRPr="00C83BDF">
              <w:rPr>
                <w:lang w:val="es-ES_tradnl"/>
              </w:rPr>
              <w:t>, mayo</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Button</w:t>
            </w:r>
            <w:r w:rsidR="00220E3C" w:rsidRPr="00C83BDF">
              <w:rPr>
                <w:noProof/>
                <w:szCs w:val="24"/>
                <w:lang w:val="es-ES_tradnl"/>
              </w:rPr>
              <w:t xml:space="preserve">, </w:t>
            </w:r>
            <w:r w:rsidRPr="00C83BDF">
              <w:rPr>
                <w:noProof/>
                <w:szCs w:val="24"/>
                <w:lang w:val="es-ES_tradnl"/>
              </w:rPr>
              <w:t>Rivoire</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F46FD1" w:rsidP="00DA1ACF">
            <w:pPr>
              <w:spacing w:before="60" w:after="60"/>
              <w:jc w:val="left"/>
              <w:rPr>
                <w:lang w:val="es-ES_tradnl"/>
              </w:rPr>
            </w:pPr>
            <w:r w:rsidRPr="00C83BDF">
              <w:rPr>
                <w:lang w:val="es-ES_tradnl"/>
              </w:rPr>
              <w:t>Quinta edición de la Maestría OMPI</w:t>
            </w:r>
            <w:r w:rsidRPr="00C83BDF">
              <w:rPr>
                <w:lang w:val="es-ES_tradnl"/>
              </w:rPr>
              <w:noBreakHyphen/>
              <w:t>QUT en Derecho de Propiedad Intelectual</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F46FD1" w:rsidP="00DA1ACF">
            <w:pPr>
              <w:spacing w:before="60" w:after="60"/>
              <w:jc w:val="left"/>
              <w:rPr>
                <w:lang w:val="es-ES_tradnl"/>
              </w:rPr>
            </w:pPr>
            <w:r w:rsidRPr="00C83BDF">
              <w:rPr>
                <w:lang w:val="es-ES_tradnl"/>
              </w:rPr>
              <w:t>Brisbane (Australia)</w:t>
            </w:r>
            <w:r w:rsidR="00D27B08" w:rsidRPr="00C83BDF">
              <w:rPr>
                <w:lang w:val="es-ES_tradnl"/>
              </w:rPr>
              <w:t>, mayo</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Waterhouse (AU)</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F46FD1" w:rsidP="00DA1ACF">
            <w:pPr>
              <w:spacing w:before="60" w:after="60"/>
              <w:jc w:val="left"/>
              <w:rPr>
                <w:lang w:val="es-ES_tradnl"/>
              </w:rPr>
            </w:pPr>
            <w:r w:rsidRPr="00C83BDF">
              <w:rPr>
                <w:lang w:val="es-ES_tradnl"/>
              </w:rPr>
              <w:t>Congreso Mundial de Semillas de 2014 de la ISF</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F46FD1" w:rsidP="00DA1ACF">
            <w:pPr>
              <w:spacing w:before="60" w:after="60"/>
              <w:jc w:val="left"/>
              <w:rPr>
                <w:lang w:val="es-ES_tradnl"/>
              </w:rPr>
            </w:pPr>
            <w:r w:rsidRPr="00C83BDF">
              <w:rPr>
                <w:lang w:val="es-ES_tradnl"/>
              </w:rPr>
              <w:t>Beijing (China)</w:t>
            </w:r>
            <w:r w:rsidR="00D27B08" w:rsidRPr="00C83BDF">
              <w:rPr>
                <w:lang w:val="es-ES_tradnl"/>
              </w:rPr>
              <w:t>, mayo</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Button</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F46FD1" w:rsidP="00DA1ACF">
            <w:pPr>
              <w:spacing w:before="60" w:after="60"/>
              <w:jc w:val="left"/>
              <w:rPr>
                <w:lang w:val="es-ES_tradnl"/>
              </w:rPr>
            </w:pPr>
            <w:r w:rsidRPr="00C83BDF">
              <w:rPr>
                <w:lang w:val="es-ES_tradnl"/>
              </w:rPr>
              <w:t>Conferencia internacional “Sobre las principales reservas para aplicar el programa alimentario en Uzbekistán”</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F46FD1" w:rsidP="00DA1ACF">
            <w:pPr>
              <w:spacing w:before="60" w:after="60"/>
              <w:jc w:val="left"/>
              <w:rPr>
                <w:lang w:val="es-ES_tradnl"/>
              </w:rPr>
            </w:pPr>
            <w:r w:rsidRPr="00C83BDF">
              <w:rPr>
                <w:lang w:val="es-ES_tradnl"/>
              </w:rPr>
              <w:t>Tashkent (Uzbekistán)</w:t>
            </w:r>
            <w:r w:rsidR="00D27B08" w:rsidRPr="00C83BDF">
              <w:rPr>
                <w:lang w:val="es-ES_tradnl"/>
              </w:rPr>
              <w:t>, junio</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Button</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F46FD1" w:rsidP="00DA1ACF">
            <w:pPr>
              <w:spacing w:before="60" w:after="60"/>
              <w:jc w:val="left"/>
              <w:rPr>
                <w:lang w:val="es-ES_tradnl"/>
              </w:rPr>
            </w:pPr>
            <w:r w:rsidRPr="00C83BDF">
              <w:rPr>
                <w:rFonts w:cs="Arial"/>
                <w:lang w:val="es-ES_tradnl"/>
              </w:rPr>
              <w:t>Reunión anual de los sistemas de semillas de la OCDE</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F46FD1" w:rsidP="00DA1ACF">
            <w:pPr>
              <w:spacing w:before="60" w:after="60"/>
              <w:jc w:val="left"/>
              <w:rPr>
                <w:lang w:val="es-ES_tradnl"/>
              </w:rPr>
            </w:pPr>
            <w:r w:rsidRPr="00C83BDF">
              <w:rPr>
                <w:rFonts w:cs="Arial"/>
                <w:lang w:val="es-ES_tradnl"/>
              </w:rPr>
              <w:t>Zagreb (Croacia)</w:t>
            </w:r>
            <w:r w:rsidR="00D27B08" w:rsidRPr="00C83BDF">
              <w:rPr>
                <w:rFonts w:cs="Arial"/>
                <w:lang w:val="es-ES_tradnl"/>
              </w:rPr>
              <w:t>, junio</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Taveira</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F46FD1" w:rsidP="00DA1ACF">
            <w:pPr>
              <w:spacing w:before="60" w:after="60"/>
              <w:jc w:val="left"/>
              <w:rPr>
                <w:szCs w:val="24"/>
                <w:lang w:val="es-ES_tradnl"/>
              </w:rPr>
            </w:pPr>
            <w:r w:rsidRPr="00C83BDF">
              <w:rPr>
                <w:snapToGrid w:val="0"/>
                <w:szCs w:val="24"/>
                <w:lang w:val="es-ES_tradnl"/>
              </w:rPr>
              <w:t>Reunión del Consejo de los ADPIC (sede de la OMC)</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F46FD1" w:rsidP="00DA1ACF">
            <w:pPr>
              <w:spacing w:before="60" w:after="60"/>
              <w:jc w:val="left"/>
              <w:rPr>
                <w:szCs w:val="24"/>
                <w:lang w:val="es-ES_tradnl"/>
              </w:rPr>
            </w:pPr>
            <w:r w:rsidRPr="00C83BDF">
              <w:rPr>
                <w:szCs w:val="24"/>
                <w:lang w:val="es-ES_tradnl"/>
              </w:rPr>
              <w:t>Ginebra (Suiza)</w:t>
            </w:r>
            <w:r w:rsidR="00D27B08" w:rsidRPr="00C83BDF">
              <w:rPr>
                <w:szCs w:val="24"/>
                <w:lang w:val="es-ES_tradnl"/>
              </w:rPr>
              <w:t>, junio</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Huerta</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F46FD1" w:rsidP="00DA1ACF">
            <w:pPr>
              <w:spacing w:before="60" w:after="60"/>
              <w:jc w:val="left"/>
              <w:rPr>
                <w:rFonts w:cs="Arial"/>
                <w:lang w:val="es-ES_tradnl"/>
              </w:rPr>
            </w:pPr>
            <w:r w:rsidRPr="00C83BDF">
              <w:rPr>
                <w:rFonts w:cs="Arial"/>
                <w:lang w:val="es-ES_tradnl"/>
              </w:rPr>
              <w:t>XVII Curso internacional sobre protección de las variedades vegetales (Naktuinbouw)</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F46FD1" w:rsidP="00DA1ACF">
            <w:pPr>
              <w:spacing w:before="60" w:after="60"/>
              <w:jc w:val="left"/>
              <w:rPr>
                <w:rFonts w:cs="Arial"/>
                <w:lang w:val="es-ES_tradnl"/>
              </w:rPr>
            </w:pPr>
            <w:r w:rsidRPr="00C83BDF">
              <w:rPr>
                <w:rFonts w:cs="Arial"/>
                <w:lang w:val="es-ES_tradnl"/>
              </w:rPr>
              <w:t>Wageningen (Países Bajos)</w:t>
            </w:r>
            <w:r w:rsidR="00D27B08" w:rsidRPr="00C83BDF">
              <w:rPr>
                <w:rFonts w:cs="Arial"/>
                <w:lang w:val="es-ES_tradnl"/>
              </w:rPr>
              <w:t>, junio</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Huerta</w:t>
            </w:r>
            <w:r w:rsidR="00220E3C" w:rsidRPr="00C83BDF">
              <w:rPr>
                <w:noProof/>
                <w:szCs w:val="24"/>
                <w:lang w:val="es-ES_tradnl"/>
              </w:rPr>
              <w:t xml:space="preserve">, </w:t>
            </w:r>
            <w:r w:rsidRPr="00C83BDF">
              <w:rPr>
                <w:noProof/>
                <w:szCs w:val="24"/>
                <w:lang w:val="es-ES_tradnl"/>
              </w:rPr>
              <w:t>Koide</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F46FD1" w:rsidP="00DA1ACF">
            <w:pPr>
              <w:spacing w:before="60" w:after="60"/>
              <w:jc w:val="left"/>
              <w:rPr>
                <w:rFonts w:cs="Arial"/>
                <w:lang w:val="es-ES_tradnl"/>
              </w:rPr>
            </w:pPr>
            <w:r w:rsidRPr="00C83BDF">
              <w:rPr>
                <w:szCs w:val="24"/>
                <w:lang w:val="es-ES_tradnl"/>
              </w:rPr>
              <w:t>Coloquio OMPI</w:t>
            </w:r>
            <w:r w:rsidRPr="00C83BDF">
              <w:rPr>
                <w:szCs w:val="24"/>
                <w:lang w:val="es-ES_tradnl"/>
              </w:rPr>
              <w:noBreakHyphen/>
              <w:t>OMC para docentes de propiedad intelectual</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F46FD1" w:rsidP="00DA1ACF">
            <w:pPr>
              <w:spacing w:before="60" w:after="60"/>
              <w:jc w:val="left"/>
              <w:rPr>
                <w:rFonts w:cs="Arial"/>
                <w:lang w:val="es-ES_tradnl"/>
              </w:rPr>
            </w:pPr>
            <w:r w:rsidRPr="00C83BDF">
              <w:rPr>
                <w:rFonts w:cs="Arial"/>
                <w:lang w:val="es-ES_tradnl"/>
              </w:rPr>
              <w:t>Ginebra (Suiza)</w:t>
            </w:r>
            <w:r w:rsidR="00D27B08" w:rsidRPr="00C83BDF">
              <w:rPr>
                <w:rFonts w:cs="Arial"/>
                <w:lang w:val="es-ES_tradnl"/>
              </w:rPr>
              <w:t>, junio</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Button</w:t>
            </w:r>
            <w:r w:rsidR="00220E3C" w:rsidRPr="00C83BDF">
              <w:rPr>
                <w:noProof/>
                <w:szCs w:val="24"/>
                <w:lang w:val="es-ES_tradnl"/>
              </w:rPr>
              <w:t xml:space="preserve">, </w:t>
            </w:r>
            <w:r w:rsidRPr="00C83BDF">
              <w:rPr>
                <w:noProof/>
                <w:szCs w:val="24"/>
                <w:lang w:val="es-ES_tradnl"/>
              </w:rPr>
              <w:t>Koide</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F46FD1" w:rsidP="00DA1ACF">
            <w:pPr>
              <w:spacing w:before="60" w:after="60"/>
              <w:jc w:val="left"/>
              <w:rPr>
                <w:szCs w:val="24"/>
                <w:lang w:val="es-ES_tradnl"/>
              </w:rPr>
            </w:pPr>
            <w:r w:rsidRPr="00C83BDF">
              <w:rPr>
                <w:lang w:val="es-ES_tradnl"/>
              </w:rPr>
              <w:t>Curso de verano OMPI</w:t>
            </w:r>
            <w:r w:rsidRPr="00C83BDF">
              <w:rPr>
                <w:lang w:val="es-ES_tradnl"/>
              </w:rPr>
              <w:noBreakHyphen/>
              <w:t>UNIGE sobre propiedad intelectual</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F46FD1" w:rsidP="00DA1ACF">
            <w:pPr>
              <w:spacing w:before="60" w:after="60"/>
              <w:jc w:val="left"/>
              <w:rPr>
                <w:rFonts w:cs="Arial"/>
                <w:lang w:val="es-ES_tradnl"/>
              </w:rPr>
            </w:pPr>
            <w:r w:rsidRPr="00C83BDF">
              <w:rPr>
                <w:rFonts w:cs="Arial"/>
                <w:lang w:val="es-ES_tradnl"/>
              </w:rPr>
              <w:t>Ginebra (Suiza)</w:t>
            </w:r>
            <w:r w:rsidR="00D27B08" w:rsidRPr="00C83BDF">
              <w:rPr>
                <w:rFonts w:cs="Arial"/>
                <w:lang w:val="es-ES_tradnl"/>
              </w:rPr>
              <w:t>, junio</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Huerta</w:t>
            </w:r>
            <w:r w:rsidR="00220E3C" w:rsidRPr="00C83BDF">
              <w:rPr>
                <w:noProof/>
                <w:szCs w:val="24"/>
                <w:lang w:val="es-ES_tradnl"/>
              </w:rPr>
              <w:t xml:space="preserve">, </w:t>
            </w:r>
            <w:r w:rsidRPr="00C83BDF">
              <w:rPr>
                <w:noProof/>
                <w:szCs w:val="24"/>
                <w:lang w:val="es-ES_tradnl"/>
              </w:rPr>
              <w:t>Koide</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F46FD1" w:rsidP="00DA1ACF">
            <w:pPr>
              <w:spacing w:before="60" w:after="60"/>
              <w:jc w:val="left"/>
              <w:rPr>
                <w:lang w:val="es-ES_tradnl"/>
              </w:rPr>
            </w:pPr>
            <w:r w:rsidRPr="00C83BDF">
              <w:rPr>
                <w:lang w:val="es-ES_tradnl"/>
              </w:rPr>
              <w:t xml:space="preserve">Curso </w:t>
            </w:r>
            <w:r w:rsidR="00781042" w:rsidRPr="00C83BDF">
              <w:rPr>
                <w:lang w:val="es-ES_tradnl"/>
              </w:rPr>
              <w:t xml:space="preserve">de formación </w:t>
            </w:r>
            <w:r w:rsidRPr="00C83BDF">
              <w:rPr>
                <w:lang w:val="es-ES_tradnl"/>
              </w:rPr>
              <w:t>KOICA</w:t>
            </w:r>
            <w:r w:rsidRPr="00C83BDF">
              <w:rPr>
                <w:lang w:val="es-ES_tradnl"/>
              </w:rPr>
              <w:noBreakHyphen/>
              <w:t>KSVS “Protección de las variedades vegetales y examen DHE”</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F46FD1" w:rsidP="00DA1ACF">
            <w:pPr>
              <w:spacing w:before="60" w:after="60"/>
              <w:jc w:val="left"/>
              <w:rPr>
                <w:rFonts w:cs="Arial"/>
                <w:lang w:val="es-ES_tradnl"/>
              </w:rPr>
            </w:pPr>
            <w:r w:rsidRPr="00C83BDF">
              <w:rPr>
                <w:rFonts w:cs="Arial"/>
                <w:lang w:val="es-ES_tradnl"/>
              </w:rPr>
              <w:t>Seúl (República de Corea)</w:t>
            </w:r>
            <w:r w:rsidR="00982D40" w:rsidRPr="00C83BDF">
              <w:rPr>
                <w:rFonts w:cs="Arial"/>
                <w:lang w:val="es-ES_tradnl"/>
              </w:rPr>
              <w:t>,</w:t>
            </w:r>
            <w:r w:rsidRPr="00C83BDF">
              <w:rPr>
                <w:rFonts w:cs="Arial"/>
                <w:lang w:val="es-ES_tradnl"/>
              </w:rPr>
              <w:t xml:space="preserve"> junio</w:t>
            </w:r>
            <w:r w:rsidR="00DA1ACF" w:rsidRPr="00C83BDF">
              <w:rPr>
                <w:rFonts w:cs="Arial"/>
                <w:lang w:val="es-ES_tradnl"/>
              </w:rPr>
              <w:noBreakHyphen/>
            </w:r>
            <w:r w:rsidRPr="00C83BDF">
              <w:rPr>
                <w:rFonts w:cs="Arial"/>
                <w:lang w:val="es-ES_tradnl"/>
              </w:rPr>
              <w:t>julio</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Huerta</w:t>
            </w:r>
            <w:r w:rsidR="00220E3C" w:rsidRPr="00C83BDF">
              <w:rPr>
                <w:noProof/>
                <w:szCs w:val="24"/>
                <w:lang w:val="es-ES_tradnl"/>
              </w:rPr>
              <w:t xml:space="preserve">, </w:t>
            </w:r>
            <w:r w:rsidRPr="00C83BDF">
              <w:rPr>
                <w:noProof/>
                <w:szCs w:val="24"/>
                <w:lang w:val="es-ES_tradnl"/>
              </w:rPr>
              <w:t>Koide</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F349BC" w:rsidP="00DA1ACF">
            <w:pPr>
              <w:spacing w:before="60" w:after="60"/>
              <w:jc w:val="left"/>
              <w:rPr>
                <w:lang w:val="es-ES_tradnl"/>
              </w:rPr>
            </w:pPr>
            <w:r w:rsidRPr="00C83BDF">
              <w:rPr>
                <w:lang w:val="es-ES_tradnl"/>
              </w:rPr>
              <w:t>Visita de estudio a la Bundessortenamt</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F349BC" w:rsidP="00DA1ACF">
            <w:pPr>
              <w:spacing w:before="60" w:after="60"/>
              <w:jc w:val="left"/>
              <w:rPr>
                <w:rFonts w:cs="Arial"/>
                <w:lang w:val="es-ES_tradnl"/>
              </w:rPr>
            </w:pPr>
            <w:r w:rsidRPr="00C83BDF">
              <w:rPr>
                <w:rFonts w:cs="Arial"/>
                <w:lang w:val="es-ES_tradnl"/>
              </w:rPr>
              <w:t>Wurzen, Nossen y Hannover (Alemania)</w:t>
            </w:r>
            <w:r w:rsidR="00D27B08" w:rsidRPr="00C83BDF">
              <w:rPr>
                <w:rFonts w:cs="Arial"/>
                <w:lang w:val="es-ES_tradnl"/>
              </w:rPr>
              <w:t>, julio</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Rivoire</w:t>
            </w:r>
            <w:r w:rsidR="00220E3C" w:rsidRPr="00C83BDF">
              <w:rPr>
                <w:noProof/>
                <w:szCs w:val="24"/>
                <w:lang w:val="es-ES_tradnl"/>
              </w:rPr>
              <w:t xml:space="preserve">, </w:t>
            </w:r>
            <w:r w:rsidRPr="00C83BDF">
              <w:rPr>
                <w:noProof/>
                <w:szCs w:val="24"/>
                <w:lang w:val="es-ES_tradnl"/>
              </w:rPr>
              <w:t>Taveira</w:t>
            </w:r>
            <w:r w:rsidR="00220E3C" w:rsidRPr="00C83BDF">
              <w:rPr>
                <w:noProof/>
                <w:szCs w:val="24"/>
                <w:lang w:val="es-ES_tradnl"/>
              </w:rPr>
              <w:t xml:space="preserve">, </w:t>
            </w:r>
            <w:r w:rsidRPr="00C83BDF">
              <w:rPr>
                <w:noProof/>
                <w:szCs w:val="24"/>
                <w:lang w:val="es-ES_tradnl"/>
              </w:rPr>
              <w:t>Oertel</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F349BC" w:rsidP="00DA1ACF">
            <w:pPr>
              <w:spacing w:before="60" w:after="60"/>
              <w:jc w:val="left"/>
              <w:rPr>
                <w:lang w:val="es-ES_tradnl"/>
              </w:rPr>
            </w:pPr>
            <w:r w:rsidRPr="00C83BDF">
              <w:rPr>
                <w:lang w:val="es-ES_tradnl"/>
              </w:rPr>
              <w:t>Celebraciones del décimo aniversario de la entrada en vigor del ITPGRFA</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F349BC" w:rsidP="00DA1ACF">
            <w:pPr>
              <w:spacing w:before="60" w:after="60"/>
              <w:jc w:val="left"/>
              <w:rPr>
                <w:rFonts w:cs="Arial"/>
                <w:lang w:val="es-ES_tradnl"/>
              </w:rPr>
            </w:pPr>
            <w:r w:rsidRPr="00C83BDF">
              <w:rPr>
                <w:rFonts w:cs="Arial"/>
                <w:lang w:val="es-ES_tradnl"/>
              </w:rPr>
              <w:t>Ginebra (Suiza)</w:t>
            </w:r>
            <w:r w:rsidR="00D27B08" w:rsidRPr="00C83BDF">
              <w:rPr>
                <w:rFonts w:cs="Arial"/>
                <w:lang w:val="es-ES_tradnl"/>
              </w:rPr>
              <w:t>, julio</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Button</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F349BC" w:rsidP="00DA1ACF">
            <w:pPr>
              <w:spacing w:before="60" w:after="60"/>
              <w:jc w:val="left"/>
              <w:rPr>
                <w:szCs w:val="24"/>
                <w:lang w:val="es-ES_tradnl"/>
              </w:rPr>
            </w:pPr>
            <w:r w:rsidRPr="00C83BDF">
              <w:rPr>
                <w:rFonts w:cs="Arial"/>
                <w:color w:val="000000"/>
                <w:lang w:val="es-ES_tradnl"/>
              </w:rPr>
              <w:t>Vigésima octava sesión del CIG de la OMPI</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F349BC" w:rsidP="00DA1ACF">
            <w:pPr>
              <w:spacing w:before="60" w:after="60"/>
              <w:jc w:val="left"/>
              <w:rPr>
                <w:szCs w:val="24"/>
                <w:lang w:val="es-ES_tradnl"/>
              </w:rPr>
            </w:pPr>
            <w:r w:rsidRPr="00C83BDF">
              <w:rPr>
                <w:szCs w:val="24"/>
                <w:lang w:val="es-ES_tradnl"/>
              </w:rPr>
              <w:t>Ginebra (Suiza)</w:t>
            </w:r>
            <w:r w:rsidR="00982D40" w:rsidRPr="00C83BDF">
              <w:rPr>
                <w:szCs w:val="24"/>
                <w:lang w:val="es-ES_tradnl"/>
              </w:rPr>
              <w:t>,</w:t>
            </w:r>
            <w:r w:rsidRPr="00C83BDF">
              <w:rPr>
                <w:szCs w:val="24"/>
                <w:lang w:val="es-ES_tradnl"/>
              </w:rPr>
              <w:t xml:space="preserve"> </w:t>
            </w:r>
            <w:r w:rsidR="00982D40" w:rsidRPr="00C83BDF">
              <w:rPr>
                <w:szCs w:val="24"/>
                <w:lang w:val="es-ES_tradnl"/>
              </w:rPr>
              <w:t>julio</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Koide</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AC79F8" w:rsidP="00DA1ACF">
            <w:pPr>
              <w:spacing w:before="60" w:after="60"/>
              <w:jc w:val="left"/>
              <w:rPr>
                <w:lang w:val="es-ES_tradnl"/>
              </w:rPr>
            </w:pPr>
            <w:r w:rsidRPr="00C83BDF">
              <w:rPr>
                <w:lang w:val="es-ES_tradnl"/>
              </w:rPr>
              <w:t xml:space="preserve">10K </w:t>
            </w:r>
            <w:r w:rsidRPr="00C83BDF">
              <w:rPr>
                <w:i/>
                <w:lang w:val="es-ES_tradnl"/>
              </w:rPr>
              <w:t>Seed Company Convening</w:t>
            </w:r>
            <w:r w:rsidRPr="00C83BDF">
              <w:rPr>
                <w:lang w:val="es-ES_tradnl"/>
              </w:rPr>
              <w:t xml:space="preserve"> de la AGRA</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AC79F8" w:rsidP="00DA1ACF">
            <w:pPr>
              <w:spacing w:before="60" w:after="60"/>
              <w:jc w:val="left"/>
              <w:rPr>
                <w:rFonts w:cs="Arial"/>
                <w:lang w:val="es-ES_tradnl"/>
              </w:rPr>
            </w:pPr>
            <w:r w:rsidRPr="00C83BDF">
              <w:rPr>
                <w:rFonts w:cs="Arial"/>
                <w:lang w:val="es-ES_tradnl"/>
              </w:rPr>
              <w:t>Kampala</w:t>
            </w:r>
            <w:r w:rsidR="00C1362D" w:rsidRPr="00C83BDF">
              <w:rPr>
                <w:rFonts w:cs="Arial"/>
                <w:lang w:val="es-ES_tradnl"/>
              </w:rPr>
              <w:t xml:space="preserve"> (</w:t>
            </w:r>
            <w:r w:rsidRPr="00C83BDF">
              <w:rPr>
                <w:rFonts w:cs="Arial"/>
                <w:lang w:val="es-ES_tradnl"/>
              </w:rPr>
              <w:t>Uganda</w:t>
            </w:r>
            <w:r w:rsidR="00C1362D" w:rsidRPr="00C83BDF">
              <w:rPr>
                <w:rFonts w:cs="Arial"/>
                <w:lang w:val="es-ES_tradnl"/>
              </w:rPr>
              <w:t>)</w:t>
            </w:r>
            <w:r w:rsidR="00D27B08" w:rsidRPr="00C83BDF">
              <w:rPr>
                <w:rFonts w:cs="Arial"/>
                <w:lang w:val="es-ES_tradnl"/>
              </w:rPr>
              <w:t>, julio</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Rivoire</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C1362D" w:rsidP="00DA1ACF">
            <w:pPr>
              <w:spacing w:before="60" w:after="60"/>
              <w:jc w:val="left"/>
              <w:rPr>
                <w:lang w:val="es-ES_tradnl"/>
              </w:rPr>
            </w:pPr>
            <w:r w:rsidRPr="00C83BDF">
              <w:rPr>
                <w:lang w:val="es-ES_tradnl"/>
              </w:rPr>
              <w:t xml:space="preserve">Séptima sesión del Grupo de Trabajo Técnico Intergubernamental sobre los Recursos Fitogenéticos para la Alimentación y la Agricultura de la </w:t>
            </w:r>
            <w:r w:rsidR="00F91253" w:rsidRPr="00C83BDF">
              <w:rPr>
                <w:lang w:val="es-ES_tradnl"/>
              </w:rPr>
              <w:t>CRGAA</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C1362D" w:rsidP="00DA1ACF">
            <w:pPr>
              <w:spacing w:before="60" w:after="60"/>
              <w:jc w:val="left"/>
              <w:rPr>
                <w:rFonts w:cs="Arial"/>
                <w:lang w:val="es-ES_tradnl"/>
              </w:rPr>
            </w:pPr>
            <w:r w:rsidRPr="00C83BDF">
              <w:rPr>
                <w:rFonts w:cs="Arial"/>
                <w:lang w:val="es-ES_tradnl"/>
              </w:rPr>
              <w:t>Roma (Italia)</w:t>
            </w:r>
            <w:r w:rsidR="00D27B08" w:rsidRPr="00C83BDF">
              <w:rPr>
                <w:rFonts w:cs="Arial"/>
                <w:lang w:val="es-ES_tradnl"/>
              </w:rPr>
              <w:t>, julio</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Button</w:t>
            </w:r>
            <w:r w:rsidR="00220E3C" w:rsidRPr="00C83BDF">
              <w:rPr>
                <w:noProof/>
                <w:szCs w:val="24"/>
                <w:lang w:val="es-ES_tradnl"/>
              </w:rPr>
              <w:t xml:space="preserve">, </w:t>
            </w:r>
            <w:r w:rsidRPr="00C83BDF">
              <w:rPr>
                <w:noProof/>
                <w:szCs w:val="24"/>
                <w:lang w:val="es-ES_tradnl"/>
              </w:rPr>
              <w:t>Koide</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C1362D" w:rsidP="00DA1ACF">
            <w:pPr>
              <w:spacing w:before="60" w:after="60"/>
              <w:jc w:val="left"/>
              <w:rPr>
                <w:lang w:val="es-ES_tradnl"/>
              </w:rPr>
            </w:pPr>
            <w:r w:rsidRPr="00C83BDF">
              <w:rPr>
                <w:lang w:val="es-ES_tradnl"/>
              </w:rPr>
              <w:t xml:space="preserve">Reunión en </w:t>
            </w:r>
            <w:r w:rsidR="00F91253" w:rsidRPr="00C83BDF">
              <w:rPr>
                <w:color w:val="000000"/>
                <w:lang w:val="es-ES_tradnl"/>
              </w:rPr>
              <w:t>l</w:t>
            </w:r>
            <w:r w:rsidR="00F91253" w:rsidRPr="00C83BDF">
              <w:rPr>
                <w:lang w:val="es-ES_tradnl"/>
              </w:rPr>
              <w:t xml:space="preserve">a sede del </w:t>
            </w:r>
            <w:r w:rsidRPr="00C83BDF">
              <w:rPr>
                <w:lang w:val="es-ES_tradnl"/>
              </w:rPr>
              <w:t>Naktuinbouw</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C1362D" w:rsidP="00DA1ACF">
            <w:pPr>
              <w:spacing w:before="60" w:after="60"/>
              <w:jc w:val="left"/>
              <w:rPr>
                <w:rFonts w:cs="Arial"/>
                <w:lang w:val="es-ES_tradnl"/>
              </w:rPr>
            </w:pPr>
            <w:r w:rsidRPr="00C83BDF">
              <w:rPr>
                <w:lang w:val="es-ES_tradnl"/>
              </w:rPr>
              <w:t>Roelofarendsveen (Países Bajos)</w:t>
            </w:r>
            <w:r w:rsidR="00D27B08" w:rsidRPr="00C83BDF">
              <w:rPr>
                <w:lang w:val="es-ES_tradnl"/>
              </w:rPr>
              <w:t>, julio</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Button</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8F1A3C" w:rsidP="00DA1ACF">
            <w:pPr>
              <w:spacing w:before="60" w:after="60"/>
              <w:jc w:val="left"/>
              <w:rPr>
                <w:lang w:val="es-ES_tradnl"/>
              </w:rPr>
            </w:pPr>
            <w:r w:rsidRPr="00C83BDF">
              <w:rPr>
                <w:snapToGrid w:val="0"/>
                <w:color w:val="000000"/>
                <w:lang w:val="es-ES_tradnl"/>
              </w:rPr>
              <w:t>Séptima reunión anual del Foro EAPVP</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8F1A3C" w:rsidP="00DA1ACF">
            <w:pPr>
              <w:spacing w:before="60" w:after="60"/>
              <w:jc w:val="left"/>
              <w:rPr>
                <w:lang w:val="es-ES_tradnl"/>
              </w:rPr>
            </w:pPr>
            <w:r w:rsidRPr="00C83BDF">
              <w:rPr>
                <w:lang w:val="es-ES_tradnl"/>
              </w:rPr>
              <w:t>Vientián (República Democrática Popular Lao)</w:t>
            </w:r>
            <w:r w:rsidR="00D27B08" w:rsidRPr="00C83BDF">
              <w:rPr>
                <w:lang w:val="es-ES_tradnl"/>
              </w:rPr>
              <w:t>, agosto</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Button</w:t>
            </w:r>
            <w:r w:rsidR="00220E3C" w:rsidRPr="00C83BDF">
              <w:rPr>
                <w:noProof/>
                <w:szCs w:val="24"/>
                <w:lang w:val="es-ES_tradnl"/>
              </w:rPr>
              <w:t xml:space="preserve">, </w:t>
            </w:r>
            <w:r w:rsidRPr="00C83BDF">
              <w:rPr>
                <w:noProof/>
                <w:szCs w:val="24"/>
                <w:lang w:val="es-ES_tradnl"/>
              </w:rPr>
              <w:t>Koide</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E853D8" w:rsidP="00DA1ACF">
            <w:pPr>
              <w:spacing w:before="60" w:after="60"/>
              <w:jc w:val="left"/>
              <w:rPr>
                <w:snapToGrid w:val="0"/>
                <w:color w:val="000000"/>
                <w:lang w:val="es-ES_tradnl"/>
              </w:rPr>
            </w:pPr>
            <w:r w:rsidRPr="00C83BDF">
              <w:rPr>
                <w:rFonts w:cs="Arial"/>
                <w:snapToGrid w:val="0"/>
                <w:color w:val="000000"/>
                <w:lang w:val="es-ES_tradnl"/>
              </w:rPr>
              <w:t xml:space="preserve">Curso de formación </w:t>
            </w:r>
            <w:r w:rsidR="00682848" w:rsidRPr="00C83BDF">
              <w:rPr>
                <w:rFonts w:cs="Arial"/>
                <w:snapToGrid w:val="0"/>
                <w:color w:val="000000"/>
                <w:lang w:val="es-ES_tradnl"/>
              </w:rPr>
              <w:t xml:space="preserve">de la </w:t>
            </w:r>
            <w:r w:rsidR="00682848" w:rsidRPr="00C83BDF">
              <w:rPr>
                <w:snapToGrid w:val="0"/>
                <w:color w:val="000000"/>
                <w:lang w:val="es-ES_tradnl"/>
              </w:rPr>
              <w:t xml:space="preserve">JICA </w:t>
            </w:r>
            <w:r w:rsidRPr="00C83BDF">
              <w:rPr>
                <w:rFonts w:cs="Arial"/>
                <w:snapToGrid w:val="0"/>
                <w:color w:val="000000"/>
                <w:lang w:val="es-ES_tradnl"/>
              </w:rPr>
              <w:t>“Sistema de control de la calidad de las semillas y plántulas para facilitar la distribución de semillas de alta calidad”</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E853D8" w:rsidP="00DA1ACF">
            <w:pPr>
              <w:spacing w:before="60" w:after="60"/>
              <w:jc w:val="left"/>
              <w:rPr>
                <w:lang w:val="es-ES_tradnl"/>
              </w:rPr>
            </w:pPr>
            <w:r w:rsidRPr="00C83BDF">
              <w:rPr>
                <w:lang w:val="es-ES_tradnl" w:eastAsia="ja-JP"/>
              </w:rPr>
              <w:t>Tsukuba (Japón)</w:t>
            </w:r>
            <w:r w:rsidR="00D27B08" w:rsidRPr="00C83BDF">
              <w:rPr>
                <w:lang w:val="es-ES_tradnl" w:eastAsia="ja-JP"/>
              </w:rPr>
              <w:t>, agosto</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Koide</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E853D8" w:rsidP="00DA1ACF">
            <w:pPr>
              <w:spacing w:before="60" w:after="60"/>
              <w:jc w:val="left"/>
              <w:rPr>
                <w:snapToGrid w:val="0"/>
                <w:color w:val="000000"/>
                <w:lang w:val="es-ES_tradnl"/>
              </w:rPr>
            </w:pPr>
            <w:r w:rsidRPr="00C83BDF">
              <w:rPr>
                <w:rFonts w:cs="Arial"/>
                <w:snapToGrid w:val="0"/>
                <w:lang w:val="es-ES_tradnl"/>
              </w:rPr>
              <w:t xml:space="preserve">Seminario sobre </w:t>
            </w:r>
            <w:r w:rsidR="00DA1ACF" w:rsidRPr="00C83BDF">
              <w:rPr>
                <w:rFonts w:cs="Arial"/>
                <w:snapToGrid w:val="0"/>
                <w:lang w:val="es-ES_tradnl"/>
              </w:rPr>
              <w:t xml:space="preserve">protección al derecho de obtentor </w:t>
            </w:r>
            <w:r w:rsidRPr="00C83BDF">
              <w:rPr>
                <w:rFonts w:cs="Arial"/>
                <w:snapToGrid w:val="0"/>
                <w:lang w:val="es-ES_tradnl"/>
              </w:rPr>
              <w:t xml:space="preserve">y X Taller </w:t>
            </w:r>
            <w:r w:rsidR="00DA1ACF" w:rsidRPr="00C83BDF">
              <w:rPr>
                <w:rFonts w:cs="Arial"/>
                <w:snapToGrid w:val="0"/>
                <w:lang w:val="es-ES_tradnl"/>
              </w:rPr>
              <w:t xml:space="preserve">internacional de evaluación </w:t>
            </w:r>
            <w:r w:rsidRPr="00C83BDF">
              <w:rPr>
                <w:rFonts w:cs="Arial"/>
                <w:snapToGrid w:val="0"/>
                <w:lang w:val="es-ES_tradnl"/>
              </w:rPr>
              <w:t xml:space="preserve">DHE de </w:t>
            </w:r>
            <w:r w:rsidR="00DA1ACF" w:rsidRPr="00C83BDF">
              <w:rPr>
                <w:rFonts w:cs="Arial"/>
                <w:snapToGrid w:val="0"/>
                <w:lang w:val="es-ES_tradnl"/>
              </w:rPr>
              <w:t>variedades vegetales</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E853D8" w:rsidP="00DA1ACF">
            <w:pPr>
              <w:spacing w:before="60" w:after="60"/>
              <w:jc w:val="left"/>
              <w:rPr>
                <w:lang w:val="es-ES_tradnl" w:eastAsia="ja-JP"/>
              </w:rPr>
            </w:pPr>
            <w:r w:rsidRPr="00C83BDF">
              <w:rPr>
                <w:lang w:val="es-ES_tradnl" w:eastAsia="ja-JP"/>
              </w:rPr>
              <w:t>Ciudad de México (México)</w:t>
            </w:r>
            <w:r w:rsidR="00D27B08" w:rsidRPr="00C83BDF">
              <w:rPr>
                <w:lang w:val="es-ES_tradnl" w:eastAsia="ja-JP"/>
              </w:rPr>
              <w:t>, agosto</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Button</w:t>
            </w:r>
            <w:r w:rsidR="00220E3C" w:rsidRPr="00C83BDF">
              <w:rPr>
                <w:noProof/>
                <w:szCs w:val="24"/>
                <w:lang w:val="es-ES_tradnl"/>
              </w:rPr>
              <w:t xml:space="preserve">, </w:t>
            </w:r>
            <w:r w:rsidRPr="00C83BDF">
              <w:rPr>
                <w:noProof/>
                <w:szCs w:val="24"/>
                <w:lang w:val="es-ES_tradnl"/>
              </w:rPr>
              <w:t>Taveira</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E853D8" w:rsidP="00DA1ACF">
            <w:pPr>
              <w:spacing w:before="60" w:after="60"/>
              <w:jc w:val="left"/>
              <w:rPr>
                <w:rFonts w:cs="Arial"/>
                <w:snapToGrid w:val="0"/>
                <w:lang w:val="es-ES_tradnl"/>
              </w:rPr>
            </w:pPr>
            <w:r w:rsidRPr="00C83BDF">
              <w:rPr>
                <w:snapToGrid w:val="0"/>
                <w:color w:val="000000"/>
                <w:lang w:val="es-ES_tradnl" w:eastAsia="ja-JP"/>
              </w:rPr>
              <w:t>Presentación de una ponencia en el NCSS</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E853D8" w:rsidP="00DA1ACF">
            <w:pPr>
              <w:spacing w:before="60" w:after="60"/>
              <w:jc w:val="left"/>
              <w:rPr>
                <w:lang w:val="es-ES_tradnl" w:eastAsia="ja-JP"/>
              </w:rPr>
            </w:pPr>
            <w:r w:rsidRPr="00C83BDF">
              <w:rPr>
                <w:snapToGrid w:val="0"/>
                <w:color w:val="000000"/>
                <w:lang w:val="es-ES_tradnl" w:eastAsia="ja-JP"/>
              </w:rPr>
              <w:t>Kasaoka (Japón)</w:t>
            </w:r>
            <w:r w:rsidR="00D27B08" w:rsidRPr="00C83BDF">
              <w:rPr>
                <w:snapToGrid w:val="0"/>
                <w:color w:val="000000"/>
                <w:lang w:val="es-ES_tradnl" w:eastAsia="ja-JP"/>
              </w:rPr>
              <w:t>, agosto</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Koide</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E853D8" w:rsidP="00DA1ACF">
            <w:pPr>
              <w:spacing w:before="60" w:after="60"/>
              <w:jc w:val="left"/>
              <w:rPr>
                <w:snapToGrid w:val="0"/>
                <w:color w:val="000000"/>
                <w:lang w:val="es-ES_tradnl" w:eastAsia="ja-JP"/>
              </w:rPr>
            </w:pPr>
            <w:r w:rsidRPr="00C83BDF">
              <w:rPr>
                <w:lang w:val="es-ES_tradnl"/>
              </w:rPr>
              <w:t>Reunión del Grupo de Trabajo Técnico y reunión anual del Sistema de la OCDE para las semillas y plantas forestales</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E853D8" w:rsidP="00DA1ACF">
            <w:pPr>
              <w:spacing w:before="60" w:after="60"/>
              <w:jc w:val="left"/>
              <w:rPr>
                <w:snapToGrid w:val="0"/>
                <w:color w:val="000000"/>
                <w:lang w:val="es-ES_tradnl" w:eastAsia="ja-JP"/>
              </w:rPr>
            </w:pPr>
            <w:r w:rsidRPr="00C83BDF">
              <w:rPr>
                <w:snapToGrid w:val="0"/>
                <w:color w:val="000000"/>
                <w:lang w:val="es-ES_tradnl" w:eastAsia="ja-JP"/>
              </w:rPr>
              <w:t>París (Francia)</w:t>
            </w:r>
            <w:r w:rsidR="00D27B08" w:rsidRPr="00C83BDF">
              <w:rPr>
                <w:snapToGrid w:val="0"/>
                <w:color w:val="000000"/>
                <w:lang w:val="es-ES_tradnl" w:eastAsia="ja-JP"/>
              </w:rPr>
              <w:t>, septiembre</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Taveira</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E65183" w:rsidP="00E853D8">
            <w:pPr>
              <w:spacing w:before="60" w:after="60"/>
              <w:jc w:val="left"/>
              <w:rPr>
                <w:lang w:val="es-ES_tradnl"/>
              </w:rPr>
            </w:pPr>
            <w:r w:rsidRPr="00C83BDF">
              <w:rPr>
                <w:i/>
                <w:lang w:val="es-ES_tradnl"/>
              </w:rPr>
              <w:t>Le Forum francophone de l’innovation</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E853D8" w:rsidP="00DA1ACF">
            <w:pPr>
              <w:spacing w:before="60" w:after="60"/>
              <w:jc w:val="left"/>
              <w:rPr>
                <w:snapToGrid w:val="0"/>
                <w:color w:val="000000"/>
                <w:lang w:val="es-ES_tradnl" w:eastAsia="ja-JP"/>
              </w:rPr>
            </w:pPr>
            <w:r w:rsidRPr="00C83BDF">
              <w:rPr>
                <w:snapToGrid w:val="0"/>
                <w:color w:val="000000"/>
                <w:lang w:val="es-ES_tradnl" w:eastAsia="ja-JP"/>
              </w:rPr>
              <w:t>Namur (Bélgica)</w:t>
            </w:r>
            <w:r w:rsidR="00D27B08" w:rsidRPr="00C83BDF">
              <w:rPr>
                <w:snapToGrid w:val="0"/>
                <w:color w:val="000000"/>
                <w:lang w:val="es-ES_tradnl" w:eastAsia="ja-JP"/>
              </w:rPr>
              <w:t>, septiembre</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Rivoire</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E853D8" w:rsidP="00DA1ACF">
            <w:pPr>
              <w:spacing w:before="60" w:after="60"/>
              <w:jc w:val="left"/>
              <w:rPr>
                <w:i/>
                <w:lang w:val="es-ES_tradnl"/>
              </w:rPr>
            </w:pPr>
            <w:r w:rsidRPr="00C83BDF">
              <w:rPr>
                <w:lang w:val="es-ES_tradnl"/>
              </w:rPr>
              <w:t>Reunión de directores de oficinas de la propiedad intelectual de los países del Caribe</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E853D8" w:rsidP="00DA1ACF">
            <w:pPr>
              <w:spacing w:before="60" w:after="60"/>
              <w:jc w:val="left"/>
              <w:rPr>
                <w:snapToGrid w:val="0"/>
                <w:color w:val="000000"/>
                <w:lang w:val="es-ES_tradnl" w:eastAsia="ja-JP"/>
              </w:rPr>
            </w:pPr>
            <w:r w:rsidRPr="00C83BDF">
              <w:rPr>
                <w:snapToGrid w:val="0"/>
                <w:lang w:val="es-ES_tradnl" w:eastAsia="ja-JP"/>
              </w:rPr>
              <w:t>Ginebra (Suiza)</w:t>
            </w:r>
            <w:r w:rsidR="00D27B08" w:rsidRPr="00C83BDF">
              <w:rPr>
                <w:snapToGrid w:val="0"/>
                <w:lang w:val="es-ES_tradnl" w:eastAsia="ja-JP"/>
              </w:rPr>
              <w:t>, septiembre</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Button</w:t>
            </w:r>
            <w:r w:rsidR="00220E3C" w:rsidRPr="00C83BDF">
              <w:rPr>
                <w:noProof/>
                <w:szCs w:val="24"/>
                <w:lang w:val="es-ES_tradnl"/>
              </w:rPr>
              <w:t xml:space="preserve">, </w:t>
            </w:r>
            <w:r w:rsidRPr="00C83BDF">
              <w:rPr>
                <w:noProof/>
                <w:szCs w:val="24"/>
                <w:lang w:val="es-ES_tradnl"/>
              </w:rPr>
              <w:t>Huerta</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E853D8" w:rsidP="00DA1ACF">
            <w:pPr>
              <w:spacing w:before="60" w:after="60"/>
              <w:jc w:val="left"/>
              <w:rPr>
                <w:lang w:val="es-ES_tradnl"/>
              </w:rPr>
            </w:pPr>
            <w:r w:rsidRPr="00C83BDF">
              <w:rPr>
                <w:lang w:val="es-ES_tradnl"/>
              </w:rPr>
              <w:t>Consejo Administrativo de la OCVV</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E853D8" w:rsidP="00DA1ACF">
            <w:pPr>
              <w:spacing w:before="60" w:after="60"/>
              <w:jc w:val="left"/>
              <w:rPr>
                <w:snapToGrid w:val="0"/>
                <w:color w:val="000000"/>
                <w:lang w:val="es-ES_tradnl" w:eastAsia="ja-JP"/>
              </w:rPr>
            </w:pPr>
            <w:r w:rsidRPr="00C83BDF">
              <w:rPr>
                <w:snapToGrid w:val="0"/>
                <w:lang w:val="es-ES_tradnl" w:eastAsia="ja-JP"/>
              </w:rPr>
              <w:t>Bruselas (Bélgica)</w:t>
            </w:r>
            <w:r w:rsidR="00D27B08" w:rsidRPr="00C83BDF">
              <w:rPr>
                <w:snapToGrid w:val="0"/>
                <w:lang w:val="es-ES_tradnl" w:eastAsia="ja-JP"/>
              </w:rPr>
              <w:t>, octubre</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Button</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16610D" w:rsidP="00DA1ACF">
            <w:pPr>
              <w:spacing w:before="60" w:after="60"/>
              <w:jc w:val="left"/>
              <w:rPr>
                <w:lang w:val="es-ES_tradnl"/>
              </w:rPr>
            </w:pPr>
            <w:r w:rsidRPr="00C83BDF">
              <w:rPr>
                <w:rFonts w:cs="Arial"/>
                <w:snapToGrid w:val="0"/>
                <w:lang w:val="es-ES_tradnl"/>
              </w:rPr>
              <w:t xml:space="preserve">Jornada </w:t>
            </w:r>
            <w:r w:rsidR="007356E4" w:rsidRPr="00C83BDF">
              <w:rPr>
                <w:rFonts w:cs="Arial"/>
                <w:snapToGrid w:val="0"/>
                <w:lang w:val="es-ES_tradnl"/>
              </w:rPr>
              <w:t>de puertas abiertas dedicada a las variedades hortícolas</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16610D" w:rsidP="00DA1ACF">
            <w:pPr>
              <w:spacing w:before="60" w:after="60"/>
              <w:jc w:val="left"/>
              <w:rPr>
                <w:snapToGrid w:val="0"/>
                <w:color w:val="000000"/>
                <w:lang w:val="es-ES_tradnl" w:eastAsia="ja-JP"/>
              </w:rPr>
            </w:pPr>
            <w:r w:rsidRPr="00C83BDF">
              <w:rPr>
                <w:snapToGrid w:val="0"/>
                <w:color w:val="000000"/>
                <w:lang w:val="es-ES_tradnl" w:eastAsia="ja-JP"/>
              </w:rPr>
              <w:t>Valencia (España)</w:t>
            </w:r>
            <w:r w:rsidR="00D27B08" w:rsidRPr="00C83BDF">
              <w:rPr>
                <w:snapToGrid w:val="0"/>
                <w:color w:val="000000"/>
                <w:lang w:val="es-ES_tradnl" w:eastAsia="ja-JP"/>
              </w:rPr>
              <w:t>, octubre</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Rivoire</w:t>
            </w:r>
          </w:p>
        </w:tc>
      </w:tr>
      <w:tr w:rsidR="00E65183" w:rsidRPr="00C83BDF">
        <w:trPr>
          <w:cantSplit/>
          <w:jc w:val="center"/>
        </w:trPr>
        <w:tc>
          <w:tcPr>
            <w:tcW w:w="4216" w:type="dxa"/>
            <w:tcBorders>
              <w:top w:val="single" w:sz="4" w:space="0" w:color="auto"/>
              <w:bottom w:val="nil"/>
              <w:right w:val="nil"/>
            </w:tcBorders>
          </w:tcPr>
          <w:p w:rsidR="00E65183" w:rsidRPr="00C83BDF" w:rsidRDefault="00473E50" w:rsidP="00DA1ACF">
            <w:pPr>
              <w:spacing w:before="60" w:after="60"/>
              <w:jc w:val="left"/>
              <w:rPr>
                <w:rFonts w:cs="Arial"/>
                <w:snapToGrid w:val="0"/>
                <w:lang w:val="es-ES_tradnl"/>
              </w:rPr>
            </w:pPr>
            <w:r w:rsidRPr="00C83BDF">
              <w:rPr>
                <w:rFonts w:cs="Arial"/>
                <w:snapToGrid w:val="0"/>
                <w:lang w:val="es-ES_tradnl"/>
              </w:rPr>
              <w:t xml:space="preserve">Reuniones con el Ministerio de Agricultura y taller con la </w:t>
            </w:r>
            <w:r w:rsidR="001D4B97" w:rsidRPr="00C83BDF">
              <w:rPr>
                <w:rFonts w:cs="Arial"/>
                <w:snapToGrid w:val="0"/>
                <w:lang w:val="es-ES_tradnl"/>
              </w:rPr>
              <w:t>Asociación Nacional de Productores de Semillas de Chile</w:t>
            </w:r>
          </w:p>
        </w:tc>
        <w:tc>
          <w:tcPr>
            <w:tcW w:w="3118" w:type="dxa"/>
            <w:tcBorders>
              <w:top w:val="single" w:sz="4" w:space="0" w:color="auto"/>
              <w:left w:val="single" w:sz="4" w:space="0" w:color="auto"/>
              <w:bottom w:val="nil"/>
              <w:right w:val="single" w:sz="4" w:space="0" w:color="auto"/>
            </w:tcBorders>
          </w:tcPr>
          <w:p w:rsidR="00E65183" w:rsidRPr="00C83BDF" w:rsidRDefault="00473E50" w:rsidP="00DA1ACF">
            <w:pPr>
              <w:spacing w:before="60" w:after="60"/>
              <w:jc w:val="left"/>
              <w:rPr>
                <w:snapToGrid w:val="0"/>
                <w:color w:val="000000"/>
                <w:lang w:val="es-ES_tradnl" w:eastAsia="ja-JP"/>
              </w:rPr>
            </w:pPr>
            <w:r w:rsidRPr="00C83BDF">
              <w:rPr>
                <w:snapToGrid w:val="0"/>
                <w:color w:val="000000"/>
                <w:lang w:val="es-ES_tradnl" w:eastAsia="ja-JP"/>
              </w:rPr>
              <w:t>Santiago (Chile)</w:t>
            </w:r>
            <w:r w:rsidR="00D27B08" w:rsidRPr="00C83BDF">
              <w:rPr>
                <w:snapToGrid w:val="0"/>
                <w:color w:val="000000"/>
                <w:lang w:val="es-ES_tradnl" w:eastAsia="ja-JP"/>
              </w:rPr>
              <w:t>, octubre</w:t>
            </w:r>
          </w:p>
        </w:tc>
        <w:tc>
          <w:tcPr>
            <w:tcW w:w="2513" w:type="dxa"/>
            <w:tcBorders>
              <w:top w:val="single" w:sz="4" w:space="0" w:color="auto"/>
              <w:left w:val="single" w:sz="4" w:space="0" w:color="auto"/>
              <w:bottom w:val="nil"/>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Huerta</w:t>
            </w:r>
            <w:r w:rsidR="00220E3C" w:rsidRPr="00C83BDF">
              <w:rPr>
                <w:noProof/>
                <w:szCs w:val="24"/>
                <w:lang w:val="es-ES_tradnl"/>
              </w:rPr>
              <w:t xml:space="preserve">, </w:t>
            </w:r>
            <w:r w:rsidRPr="00C83BDF">
              <w:rPr>
                <w:noProof/>
                <w:szCs w:val="24"/>
                <w:lang w:val="es-ES_tradnl"/>
              </w:rPr>
              <w:t>Taveira</w:t>
            </w:r>
          </w:p>
        </w:tc>
      </w:tr>
      <w:tr w:rsidR="00E65183" w:rsidRPr="00C83BDF">
        <w:trPr>
          <w:cantSplit/>
          <w:jc w:val="center"/>
        </w:trPr>
        <w:tc>
          <w:tcPr>
            <w:tcW w:w="4216" w:type="dxa"/>
            <w:tcBorders>
              <w:top w:val="nil"/>
              <w:bottom w:val="single" w:sz="4" w:space="0" w:color="auto"/>
              <w:right w:val="nil"/>
            </w:tcBorders>
          </w:tcPr>
          <w:p w:rsidR="00E65183" w:rsidRPr="00C83BDF" w:rsidRDefault="00473E50" w:rsidP="00DA1ACF">
            <w:pPr>
              <w:spacing w:before="60" w:after="60"/>
              <w:jc w:val="left"/>
              <w:rPr>
                <w:rFonts w:cs="Arial"/>
                <w:snapToGrid w:val="0"/>
                <w:lang w:val="es-ES_tradnl"/>
              </w:rPr>
            </w:pPr>
            <w:r w:rsidRPr="00C83BDF">
              <w:rPr>
                <w:rFonts w:cs="Arial"/>
                <w:snapToGrid w:val="0"/>
                <w:lang w:val="es-ES_tradnl"/>
              </w:rPr>
              <w:t>Seminario y taller sobre la protección de las obtenciones vegetales</w:t>
            </w:r>
          </w:p>
        </w:tc>
        <w:tc>
          <w:tcPr>
            <w:tcW w:w="3118" w:type="dxa"/>
            <w:tcBorders>
              <w:top w:val="nil"/>
              <w:left w:val="single" w:sz="4" w:space="0" w:color="auto"/>
              <w:bottom w:val="single" w:sz="4" w:space="0" w:color="auto"/>
              <w:right w:val="single" w:sz="4" w:space="0" w:color="auto"/>
            </w:tcBorders>
          </w:tcPr>
          <w:p w:rsidR="00E65183" w:rsidRPr="00C83BDF" w:rsidRDefault="00473E50" w:rsidP="00DA1ACF">
            <w:pPr>
              <w:spacing w:before="60" w:after="60"/>
              <w:jc w:val="left"/>
              <w:rPr>
                <w:snapToGrid w:val="0"/>
                <w:color w:val="000000"/>
                <w:lang w:val="es-ES_tradnl" w:eastAsia="ja-JP"/>
              </w:rPr>
            </w:pPr>
            <w:r w:rsidRPr="00C83BDF">
              <w:rPr>
                <w:snapToGrid w:val="0"/>
                <w:color w:val="000000"/>
                <w:lang w:val="es-ES_tradnl" w:eastAsia="ja-JP"/>
              </w:rPr>
              <w:t>Quevedo (Ecuador)</w:t>
            </w:r>
            <w:r w:rsidR="00D27B08" w:rsidRPr="00C83BDF">
              <w:rPr>
                <w:snapToGrid w:val="0"/>
                <w:color w:val="000000"/>
                <w:lang w:val="es-ES_tradnl" w:eastAsia="ja-JP"/>
              </w:rPr>
              <w:t>, octubre</w:t>
            </w:r>
          </w:p>
        </w:tc>
        <w:tc>
          <w:tcPr>
            <w:tcW w:w="2513" w:type="dxa"/>
            <w:tcBorders>
              <w:top w:val="nil"/>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Taveira</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473E50" w:rsidP="00DA1ACF">
            <w:pPr>
              <w:spacing w:before="60" w:after="60"/>
              <w:jc w:val="left"/>
              <w:rPr>
                <w:szCs w:val="24"/>
                <w:lang w:val="es-ES_tradnl"/>
              </w:rPr>
            </w:pPr>
            <w:r w:rsidRPr="00C83BDF">
              <w:rPr>
                <w:snapToGrid w:val="0"/>
                <w:szCs w:val="24"/>
                <w:lang w:val="es-ES_tradnl"/>
              </w:rPr>
              <w:t>Reunión del Consejo de los ADPIC (sede de la OMC)</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473E50" w:rsidP="00DA1ACF">
            <w:pPr>
              <w:spacing w:before="60" w:after="60"/>
              <w:jc w:val="left"/>
              <w:rPr>
                <w:szCs w:val="24"/>
                <w:lang w:val="es-ES_tradnl"/>
              </w:rPr>
            </w:pPr>
            <w:r w:rsidRPr="00C83BDF">
              <w:rPr>
                <w:szCs w:val="24"/>
                <w:lang w:val="es-ES_tradnl"/>
              </w:rPr>
              <w:t>Ginebra (Suiza)</w:t>
            </w:r>
            <w:r w:rsidR="00D27B08" w:rsidRPr="00C83BDF">
              <w:rPr>
                <w:szCs w:val="24"/>
                <w:lang w:val="es-ES_tradnl"/>
              </w:rPr>
              <w:t>, octubre</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Koide</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473E50" w:rsidP="00DA1ACF">
            <w:pPr>
              <w:spacing w:before="60" w:after="60"/>
              <w:jc w:val="left"/>
              <w:rPr>
                <w:rFonts w:cs="Arial"/>
                <w:snapToGrid w:val="0"/>
                <w:lang w:val="es-ES_tradnl"/>
              </w:rPr>
            </w:pPr>
            <w:r w:rsidRPr="00C83BDF">
              <w:rPr>
                <w:szCs w:val="22"/>
                <w:lang w:val="es-ES_tradnl"/>
              </w:rPr>
              <w:t>Taller sobre aplicación de un régimen de protección de las variedades vegetales y sensibilización</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473E50" w:rsidP="00DA1ACF">
            <w:pPr>
              <w:spacing w:before="60" w:after="60"/>
              <w:jc w:val="left"/>
              <w:rPr>
                <w:snapToGrid w:val="0"/>
                <w:color w:val="000000"/>
                <w:lang w:val="es-ES_tradnl" w:eastAsia="ja-JP"/>
              </w:rPr>
            </w:pPr>
            <w:r w:rsidRPr="00C83BDF">
              <w:rPr>
                <w:snapToGrid w:val="0"/>
                <w:color w:val="000000"/>
                <w:lang w:val="es-ES_tradnl" w:eastAsia="ja-JP"/>
              </w:rPr>
              <w:t>Skopie (ex República Yugoslava de Macedonia)</w:t>
            </w:r>
            <w:r w:rsidR="00D27B08" w:rsidRPr="00C83BDF">
              <w:rPr>
                <w:snapToGrid w:val="0"/>
                <w:color w:val="000000"/>
                <w:lang w:val="es-ES_tradnl" w:eastAsia="ja-JP"/>
              </w:rPr>
              <w:t>, octubre</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Huerta</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DD0D60" w:rsidP="00DA1ACF">
            <w:pPr>
              <w:spacing w:before="60" w:after="60"/>
              <w:jc w:val="left"/>
              <w:rPr>
                <w:szCs w:val="22"/>
                <w:lang w:val="es-ES_tradnl"/>
              </w:rPr>
            </w:pPr>
            <w:r w:rsidRPr="00C83BDF">
              <w:rPr>
                <w:lang w:val="es-ES_tradnl"/>
              </w:rPr>
              <w:t>Taller regional sobre el proyecto de Protocolo de la ARIPO para la Protección de las Obtenciones Vegetales</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781042" w:rsidP="00DA1ACF">
            <w:pPr>
              <w:spacing w:before="60" w:after="60"/>
              <w:jc w:val="left"/>
              <w:rPr>
                <w:snapToGrid w:val="0"/>
                <w:color w:val="000000"/>
                <w:lang w:val="es-ES_tradnl" w:eastAsia="ja-JP"/>
              </w:rPr>
            </w:pPr>
            <w:r w:rsidRPr="00C83BDF">
              <w:rPr>
                <w:snapToGrid w:val="0"/>
                <w:color w:val="000000"/>
                <w:lang w:val="es-ES_tradnl" w:eastAsia="ja-JP"/>
              </w:rPr>
              <w:t>Harare (Zimbabwe)</w:t>
            </w:r>
            <w:r w:rsidR="00D27B08" w:rsidRPr="00C83BDF">
              <w:rPr>
                <w:snapToGrid w:val="0"/>
                <w:color w:val="000000"/>
                <w:lang w:val="es-ES_tradnl" w:eastAsia="ja-JP"/>
              </w:rPr>
              <w:t>, octubre</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Button</w:t>
            </w:r>
            <w:r w:rsidR="00220E3C" w:rsidRPr="00C83BDF">
              <w:rPr>
                <w:noProof/>
                <w:szCs w:val="24"/>
                <w:lang w:val="es-ES_tradnl"/>
              </w:rPr>
              <w:t xml:space="preserve">, </w:t>
            </w:r>
            <w:r w:rsidRPr="00C83BDF">
              <w:rPr>
                <w:noProof/>
                <w:szCs w:val="24"/>
                <w:lang w:val="es-ES_tradnl"/>
              </w:rPr>
              <w:t>Rivoire</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781042" w:rsidP="00DA1ACF">
            <w:pPr>
              <w:spacing w:before="60" w:after="60"/>
              <w:jc w:val="left"/>
              <w:rPr>
                <w:lang w:val="es-ES_tradnl"/>
              </w:rPr>
            </w:pPr>
            <w:r w:rsidRPr="00C83BDF">
              <w:rPr>
                <w:lang w:val="es-ES_tradnl"/>
              </w:rPr>
              <w:t>Taller de la SAA sobre protección de las obtenciones vegetales</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781042" w:rsidP="00DA1ACF">
            <w:pPr>
              <w:spacing w:before="60" w:after="60"/>
              <w:jc w:val="left"/>
              <w:rPr>
                <w:snapToGrid w:val="0"/>
                <w:color w:val="000000"/>
                <w:lang w:val="es-ES_tradnl" w:eastAsia="ja-JP"/>
              </w:rPr>
            </w:pPr>
            <w:r w:rsidRPr="00C83BDF">
              <w:rPr>
                <w:lang w:val="es-ES_tradnl"/>
              </w:rPr>
              <w:t>Sao Paulo (Brasil)</w:t>
            </w:r>
            <w:r w:rsidR="00D27B08" w:rsidRPr="00C83BDF">
              <w:rPr>
                <w:lang w:val="es-ES_tradnl"/>
              </w:rPr>
              <w:t>, noviembre</w:t>
            </w:r>
            <w:r w:rsidRPr="00C83BDF">
              <w:rPr>
                <w:lang w:val="es-ES_tradnl"/>
              </w:rPr>
              <w:t xml:space="preserve"> (por videoconferencia)</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Button</w:t>
            </w:r>
            <w:r w:rsidR="00220E3C" w:rsidRPr="00C83BDF">
              <w:rPr>
                <w:noProof/>
                <w:szCs w:val="24"/>
                <w:lang w:val="es-ES_tradnl"/>
              </w:rPr>
              <w:t xml:space="preserve">, </w:t>
            </w:r>
            <w:r w:rsidRPr="00C83BDF">
              <w:rPr>
                <w:noProof/>
                <w:szCs w:val="24"/>
                <w:lang w:val="es-ES_tradnl"/>
              </w:rPr>
              <w:t>Taveira</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781042" w:rsidP="00DA1ACF">
            <w:pPr>
              <w:spacing w:before="60" w:after="60"/>
              <w:jc w:val="left"/>
              <w:rPr>
                <w:lang w:val="es-ES_tradnl"/>
              </w:rPr>
            </w:pPr>
            <w:r w:rsidRPr="00C83BDF">
              <w:rPr>
                <w:lang w:val="es-ES_tradnl"/>
              </w:rPr>
              <w:t>Reunión del Grupo de Trabajo del Proyecto XML4IP</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781042" w:rsidP="00DA1ACF">
            <w:pPr>
              <w:spacing w:before="60" w:after="60"/>
              <w:jc w:val="left"/>
              <w:rPr>
                <w:lang w:val="es-ES_tradnl"/>
              </w:rPr>
            </w:pPr>
            <w:r w:rsidRPr="00C83BDF">
              <w:rPr>
                <w:lang w:val="es-ES_tradnl"/>
              </w:rPr>
              <w:t>Londres (Reino Unido)</w:t>
            </w:r>
            <w:r w:rsidR="00D27B08" w:rsidRPr="00C83BDF">
              <w:rPr>
                <w:lang w:val="es-ES_tradnl"/>
              </w:rPr>
              <w:t>, noviembre</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Rivoire</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781042" w:rsidP="00DA1ACF">
            <w:pPr>
              <w:spacing w:before="60" w:after="60"/>
              <w:jc w:val="left"/>
              <w:rPr>
                <w:lang w:val="es-ES_tradnl"/>
              </w:rPr>
            </w:pPr>
            <w:r w:rsidRPr="00C83BDF">
              <w:rPr>
                <w:lang w:val="es-ES_tradnl"/>
              </w:rPr>
              <w:t>Congreso de la APSA de 2014</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781042" w:rsidP="00DA1ACF">
            <w:pPr>
              <w:spacing w:before="60" w:after="60"/>
              <w:jc w:val="left"/>
              <w:rPr>
                <w:lang w:val="es-ES_tradnl"/>
              </w:rPr>
            </w:pPr>
            <w:r w:rsidRPr="00C83BDF">
              <w:rPr>
                <w:lang w:val="es-ES_tradnl"/>
              </w:rPr>
              <w:t>Macao (China)</w:t>
            </w:r>
            <w:r w:rsidR="00D27B08" w:rsidRPr="00C83BDF">
              <w:rPr>
                <w:lang w:val="es-ES_tradnl"/>
              </w:rPr>
              <w:t>, noviembre</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Rivoire</w:t>
            </w:r>
          </w:p>
        </w:tc>
      </w:tr>
      <w:tr w:rsidR="00E65183" w:rsidRPr="00C83BDF">
        <w:trPr>
          <w:cantSplit/>
          <w:jc w:val="center"/>
        </w:trPr>
        <w:tc>
          <w:tcPr>
            <w:tcW w:w="4216" w:type="dxa"/>
            <w:tcBorders>
              <w:top w:val="single" w:sz="4" w:space="0" w:color="auto"/>
              <w:bottom w:val="nil"/>
              <w:right w:val="nil"/>
            </w:tcBorders>
          </w:tcPr>
          <w:p w:rsidR="00E65183" w:rsidRPr="00C83BDF" w:rsidRDefault="00781042" w:rsidP="00DA1ACF">
            <w:pPr>
              <w:spacing w:before="60" w:after="60"/>
              <w:jc w:val="left"/>
              <w:rPr>
                <w:lang w:val="es-ES_tradnl"/>
              </w:rPr>
            </w:pPr>
            <w:r w:rsidRPr="00C83BDF">
              <w:rPr>
                <w:lang w:val="es-ES_tradnl" w:eastAsia="ja-JP"/>
              </w:rPr>
              <w:t>TALLER conjunto OCDE</w:t>
            </w:r>
            <w:r w:rsidRPr="00C83BDF">
              <w:rPr>
                <w:lang w:val="es-ES_tradnl" w:eastAsia="ja-JP"/>
              </w:rPr>
              <w:noBreakHyphen/>
              <w:t>UPOV</w:t>
            </w:r>
            <w:r w:rsidRPr="00C83BDF">
              <w:rPr>
                <w:lang w:val="es-ES_tradnl" w:eastAsia="ja-JP"/>
              </w:rPr>
              <w:noBreakHyphen/>
              <w:t>ISTA sobre técnicas moleculares</w:t>
            </w:r>
          </w:p>
        </w:tc>
        <w:tc>
          <w:tcPr>
            <w:tcW w:w="3118" w:type="dxa"/>
            <w:tcBorders>
              <w:top w:val="single" w:sz="4" w:space="0" w:color="auto"/>
              <w:left w:val="single" w:sz="4" w:space="0" w:color="auto"/>
              <w:bottom w:val="nil"/>
              <w:right w:val="single" w:sz="4" w:space="0" w:color="auto"/>
            </w:tcBorders>
          </w:tcPr>
          <w:p w:rsidR="00E65183" w:rsidRPr="00C83BDF" w:rsidRDefault="00781042" w:rsidP="00DA1ACF">
            <w:pPr>
              <w:spacing w:before="60" w:after="60"/>
              <w:jc w:val="left"/>
              <w:rPr>
                <w:lang w:val="es-ES_tradnl"/>
              </w:rPr>
            </w:pPr>
            <w:r w:rsidRPr="00C83BDF">
              <w:rPr>
                <w:lang w:val="es-ES_tradnl"/>
              </w:rPr>
              <w:t>Seúl (República de Corea)</w:t>
            </w:r>
            <w:r w:rsidR="00D27B08" w:rsidRPr="00C83BDF">
              <w:rPr>
                <w:lang w:val="es-ES_tradnl"/>
              </w:rPr>
              <w:t>, noviembre</w:t>
            </w:r>
          </w:p>
        </w:tc>
        <w:tc>
          <w:tcPr>
            <w:tcW w:w="2513" w:type="dxa"/>
            <w:tcBorders>
              <w:top w:val="single" w:sz="4" w:space="0" w:color="auto"/>
              <w:left w:val="single" w:sz="4" w:space="0" w:color="auto"/>
              <w:bottom w:val="nil"/>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Button</w:t>
            </w:r>
            <w:r w:rsidR="00220E3C" w:rsidRPr="00C83BDF">
              <w:rPr>
                <w:noProof/>
                <w:szCs w:val="24"/>
                <w:lang w:val="es-ES_tradnl"/>
              </w:rPr>
              <w:t xml:space="preserve">, </w:t>
            </w:r>
            <w:r w:rsidRPr="00C83BDF">
              <w:rPr>
                <w:noProof/>
                <w:szCs w:val="24"/>
                <w:lang w:val="es-ES_tradnl"/>
              </w:rPr>
              <w:t>Koide</w:t>
            </w:r>
          </w:p>
        </w:tc>
      </w:tr>
      <w:tr w:rsidR="00E65183" w:rsidRPr="00C83BDF">
        <w:trPr>
          <w:cantSplit/>
          <w:jc w:val="center"/>
        </w:trPr>
        <w:tc>
          <w:tcPr>
            <w:tcW w:w="4216" w:type="dxa"/>
            <w:tcBorders>
              <w:top w:val="nil"/>
              <w:bottom w:val="single" w:sz="4" w:space="0" w:color="auto"/>
              <w:right w:val="nil"/>
            </w:tcBorders>
          </w:tcPr>
          <w:p w:rsidR="00E65183" w:rsidRPr="00C83BDF" w:rsidRDefault="00781042" w:rsidP="00DA1ACF">
            <w:pPr>
              <w:spacing w:before="60" w:after="60"/>
              <w:jc w:val="left"/>
              <w:rPr>
                <w:lang w:val="es-ES_tradnl"/>
              </w:rPr>
            </w:pPr>
            <w:r w:rsidRPr="00C83BDF">
              <w:rPr>
                <w:lang w:val="es-ES_tradnl" w:eastAsia="ja-JP"/>
              </w:rPr>
              <w:t>Simposio conjunto KSVS</w:t>
            </w:r>
            <w:r w:rsidRPr="00C83BDF">
              <w:rPr>
                <w:lang w:val="es-ES_tradnl" w:eastAsia="ja-JP"/>
              </w:rPr>
              <w:noBreakHyphen/>
              <w:t xml:space="preserve">KPMMRC sobre la situación actual y la </w:t>
            </w:r>
            <w:r w:rsidR="00DA1ACF" w:rsidRPr="00C83BDF">
              <w:rPr>
                <w:lang w:val="es-ES_tradnl" w:eastAsia="ja-JP"/>
              </w:rPr>
              <w:t>estrategia de utilización de los marcadores moleculares en la protección de variedades</w:t>
            </w:r>
          </w:p>
        </w:tc>
        <w:tc>
          <w:tcPr>
            <w:tcW w:w="3118" w:type="dxa"/>
            <w:tcBorders>
              <w:top w:val="nil"/>
              <w:left w:val="single" w:sz="4" w:space="0" w:color="auto"/>
              <w:bottom w:val="single" w:sz="4" w:space="0" w:color="auto"/>
              <w:right w:val="single" w:sz="4" w:space="0" w:color="auto"/>
            </w:tcBorders>
          </w:tcPr>
          <w:p w:rsidR="00E65183" w:rsidRPr="00C83BDF" w:rsidRDefault="00E65183" w:rsidP="004737CD">
            <w:pPr>
              <w:spacing w:before="60" w:after="60"/>
              <w:jc w:val="left"/>
              <w:rPr>
                <w:lang w:val="es-ES_tradnl"/>
              </w:rPr>
            </w:pPr>
          </w:p>
        </w:tc>
        <w:tc>
          <w:tcPr>
            <w:tcW w:w="2513" w:type="dxa"/>
            <w:tcBorders>
              <w:top w:val="nil"/>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781042" w:rsidP="00DA1ACF">
            <w:pPr>
              <w:spacing w:before="60" w:after="60"/>
              <w:jc w:val="left"/>
              <w:rPr>
                <w:lang w:val="es-ES_tradnl" w:eastAsia="ja-JP"/>
              </w:rPr>
            </w:pPr>
            <w:r w:rsidRPr="00C83BDF">
              <w:rPr>
                <w:lang w:val="es-ES_tradnl"/>
              </w:rPr>
              <w:t xml:space="preserve">Módulo intensivo </w:t>
            </w:r>
            <w:r w:rsidR="00C26EAA" w:rsidRPr="00C83BDF">
              <w:rPr>
                <w:lang w:val="es-ES_tradnl"/>
              </w:rPr>
              <w:t>de derechos de obtentor vegetal sobre protección de las obtenciones vegetales</w:t>
            </w:r>
            <w:r w:rsidRPr="00C83BDF">
              <w:rPr>
                <w:lang w:val="es-ES_tradnl"/>
              </w:rPr>
              <w:t xml:space="preserve"> del Máster en propiedad intelectual (Magister Lvcentinvs) de la Universidad de Alicante</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781042" w:rsidP="00DA1ACF">
            <w:pPr>
              <w:spacing w:before="60" w:after="60"/>
              <w:jc w:val="left"/>
              <w:rPr>
                <w:lang w:val="es-ES_tradnl"/>
              </w:rPr>
            </w:pPr>
            <w:r w:rsidRPr="00C83BDF">
              <w:rPr>
                <w:lang w:val="es-ES_tradnl"/>
              </w:rPr>
              <w:t>Alicante (España)</w:t>
            </w:r>
            <w:r w:rsidR="00D27B08" w:rsidRPr="00C83BDF">
              <w:rPr>
                <w:lang w:val="es-ES_tradnl"/>
              </w:rPr>
              <w:t>, noviembre</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Huerta</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781042" w:rsidP="00DA1ACF">
            <w:pPr>
              <w:spacing w:before="60" w:after="60"/>
              <w:jc w:val="left"/>
              <w:rPr>
                <w:lang w:val="es-ES_tradnl"/>
              </w:rPr>
            </w:pPr>
            <w:r w:rsidRPr="00C83BDF">
              <w:rPr>
                <w:lang w:val="es-ES_tradnl"/>
              </w:rPr>
              <w:t>Trigésima octava sesión del Consejo de Administración de la ARIPO</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781042" w:rsidP="00DA1ACF">
            <w:pPr>
              <w:spacing w:before="60" w:after="60"/>
              <w:jc w:val="left"/>
              <w:rPr>
                <w:lang w:val="es-ES_tradnl"/>
              </w:rPr>
            </w:pPr>
            <w:r w:rsidRPr="00C83BDF">
              <w:rPr>
                <w:lang w:val="es-ES_tradnl"/>
              </w:rPr>
              <w:t>Victoria</w:t>
            </w:r>
            <w:r w:rsidR="0012318C" w:rsidRPr="00C83BDF">
              <w:rPr>
                <w:lang w:val="es-ES_tradnl"/>
              </w:rPr>
              <w:t> </w:t>
            </w:r>
            <w:r w:rsidRPr="00C83BDF">
              <w:rPr>
                <w:lang w:val="es-ES_tradnl"/>
              </w:rPr>
              <w:t>Falls (Zimbabwe)</w:t>
            </w:r>
            <w:r w:rsidR="00D27B08" w:rsidRPr="00C83BDF">
              <w:rPr>
                <w:lang w:val="es-ES_tradnl"/>
              </w:rPr>
              <w:t>, noviembre</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Button</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781042" w:rsidP="00DA1ACF">
            <w:pPr>
              <w:spacing w:before="60" w:after="60"/>
              <w:jc w:val="left"/>
              <w:rPr>
                <w:lang w:val="es-ES_tradnl"/>
              </w:rPr>
            </w:pPr>
            <w:r w:rsidRPr="00C83BDF">
              <w:rPr>
                <w:lang w:val="es-ES_tradnl"/>
              </w:rPr>
              <w:t>Mesa redonda de alto nivel sobre la protección de las obtenciones vegetales en África</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781042" w:rsidP="00DA1ACF">
            <w:pPr>
              <w:spacing w:before="60" w:after="60"/>
              <w:jc w:val="left"/>
              <w:rPr>
                <w:lang w:val="es-ES_tradnl"/>
              </w:rPr>
            </w:pPr>
            <w:r w:rsidRPr="00C83BDF">
              <w:rPr>
                <w:lang w:val="es-ES_tradnl"/>
              </w:rPr>
              <w:t>Ciudad del Cabo (Sudáfrica)</w:t>
            </w:r>
            <w:r w:rsidR="00D27B08" w:rsidRPr="00C83BDF">
              <w:rPr>
                <w:lang w:val="es-ES_tradnl"/>
              </w:rPr>
              <w:t>, noviembre</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Button</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781042" w:rsidP="00DA1ACF">
            <w:pPr>
              <w:spacing w:before="60" w:after="60"/>
              <w:jc w:val="left"/>
              <w:rPr>
                <w:lang w:val="es-ES_tradnl"/>
              </w:rPr>
            </w:pPr>
            <w:r w:rsidRPr="00C83BDF">
              <w:rPr>
                <w:lang w:val="es-ES_tradnl"/>
              </w:rPr>
              <w:t>Decimoctava reunión anual de la OCVV con sus oficinas de examen</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781042" w:rsidP="00DA1ACF">
            <w:pPr>
              <w:spacing w:before="60" w:after="60"/>
              <w:jc w:val="left"/>
              <w:rPr>
                <w:lang w:val="es-ES_tradnl"/>
              </w:rPr>
            </w:pPr>
            <w:r w:rsidRPr="00C83BDF">
              <w:rPr>
                <w:lang w:val="es-ES_tradnl"/>
              </w:rPr>
              <w:t>Angers (Francia)</w:t>
            </w:r>
            <w:r w:rsidR="00D27B08" w:rsidRPr="00C83BDF">
              <w:rPr>
                <w:lang w:val="es-ES_tradnl"/>
              </w:rPr>
              <w:t>, diciembre</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Taveira</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781042" w:rsidP="00DA1ACF">
            <w:pPr>
              <w:spacing w:before="60" w:after="60"/>
              <w:jc w:val="left"/>
              <w:rPr>
                <w:lang w:val="es-ES_tradnl"/>
              </w:rPr>
            </w:pPr>
            <w:r w:rsidRPr="00C83BDF">
              <w:rPr>
                <w:lang w:val="es-ES_tradnl"/>
              </w:rPr>
              <w:t>Curso de formación de la UPOV “Aportación de datos a la base de datos PLUTO”</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781042" w:rsidP="00DA1ACF">
            <w:pPr>
              <w:spacing w:before="60" w:after="60"/>
              <w:jc w:val="left"/>
              <w:rPr>
                <w:lang w:val="es-ES_tradnl"/>
              </w:rPr>
            </w:pPr>
            <w:r w:rsidRPr="00C83BDF">
              <w:rPr>
                <w:lang w:val="es-ES_tradnl"/>
              </w:rPr>
              <w:t>Ginebra (Suiza)</w:t>
            </w:r>
            <w:r w:rsidR="00D27B08" w:rsidRPr="00C83BDF">
              <w:rPr>
                <w:lang w:val="es-ES_tradnl"/>
              </w:rPr>
              <w:t>, diciembre</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Button</w:t>
            </w:r>
            <w:r w:rsidR="00220E3C" w:rsidRPr="00C83BDF">
              <w:rPr>
                <w:noProof/>
                <w:szCs w:val="24"/>
                <w:lang w:val="es-ES_tradnl"/>
              </w:rPr>
              <w:t xml:space="preserve">, </w:t>
            </w:r>
            <w:r w:rsidRPr="00C83BDF">
              <w:rPr>
                <w:noProof/>
                <w:szCs w:val="24"/>
                <w:lang w:val="es-ES_tradnl"/>
              </w:rPr>
              <w:t>Huerta</w:t>
            </w:r>
            <w:r w:rsidR="00220E3C" w:rsidRPr="00C83BDF">
              <w:rPr>
                <w:noProof/>
                <w:szCs w:val="24"/>
                <w:lang w:val="es-ES_tradnl"/>
              </w:rPr>
              <w:t xml:space="preserve">, </w:t>
            </w:r>
            <w:r w:rsidRPr="00C83BDF">
              <w:rPr>
                <w:noProof/>
                <w:szCs w:val="24"/>
                <w:lang w:val="es-ES_tradnl"/>
              </w:rPr>
              <w:t>Koide</w:t>
            </w:r>
            <w:r w:rsidR="00220E3C" w:rsidRPr="00C83BDF">
              <w:rPr>
                <w:noProof/>
                <w:szCs w:val="24"/>
                <w:lang w:val="es-ES_tradnl"/>
              </w:rPr>
              <w:t xml:space="preserve">, </w:t>
            </w:r>
            <w:r w:rsidRPr="00C83BDF">
              <w:rPr>
                <w:noProof/>
                <w:szCs w:val="24"/>
                <w:lang w:val="es-ES_tradnl"/>
              </w:rPr>
              <w:t>Rivoire</w:t>
            </w:r>
            <w:r w:rsidR="00220E3C" w:rsidRPr="00C83BDF">
              <w:rPr>
                <w:noProof/>
                <w:szCs w:val="24"/>
                <w:lang w:val="es-ES_tradnl"/>
              </w:rPr>
              <w:t xml:space="preserve">, </w:t>
            </w:r>
            <w:r w:rsidRPr="00C83BDF">
              <w:rPr>
                <w:noProof/>
                <w:szCs w:val="24"/>
                <w:lang w:val="es-ES_tradnl"/>
              </w:rPr>
              <w:t>Taveira</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0965E4" w:rsidP="00DA1ACF">
            <w:pPr>
              <w:spacing w:before="60" w:after="60"/>
              <w:jc w:val="left"/>
              <w:rPr>
                <w:lang w:val="es-ES_tradnl"/>
              </w:rPr>
            </w:pPr>
            <w:r w:rsidRPr="00C83BDF">
              <w:rPr>
                <w:rFonts w:cs="Arial"/>
                <w:lang w:val="es-ES_tradnl"/>
              </w:rPr>
              <w:t>Taller sobre la calidad de las semillas y los derechos de obtentor</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781042" w:rsidP="00DA1ACF">
            <w:pPr>
              <w:spacing w:before="60" w:after="60"/>
              <w:jc w:val="left"/>
              <w:rPr>
                <w:lang w:val="es-ES_tradnl"/>
              </w:rPr>
            </w:pPr>
            <w:r w:rsidRPr="00C83BDF">
              <w:rPr>
                <w:rFonts w:cs="Arial"/>
                <w:snapToGrid w:val="0"/>
                <w:color w:val="000000"/>
                <w:lang w:val="es-ES_tradnl" w:eastAsia="ja-JP"/>
              </w:rPr>
              <w:t>Stone</w:t>
            </w:r>
            <w:r w:rsidR="004215EB" w:rsidRPr="00C83BDF">
              <w:rPr>
                <w:rFonts w:cs="Arial"/>
                <w:snapToGrid w:val="0"/>
                <w:color w:val="000000"/>
                <w:lang w:val="es-ES_tradnl" w:eastAsia="ja-JP"/>
              </w:rPr>
              <w:t> </w:t>
            </w:r>
            <w:r w:rsidRPr="00C83BDF">
              <w:rPr>
                <w:rFonts w:cs="Arial"/>
                <w:snapToGrid w:val="0"/>
                <w:color w:val="000000"/>
                <w:lang w:val="es-ES_tradnl" w:eastAsia="ja-JP"/>
              </w:rPr>
              <w:t>Town, Zanzíbar (República Unida de Tanzanía)</w:t>
            </w:r>
            <w:r w:rsidR="00D27B08" w:rsidRPr="00C83BDF">
              <w:rPr>
                <w:rFonts w:cs="Arial"/>
                <w:snapToGrid w:val="0"/>
                <w:color w:val="000000"/>
                <w:lang w:val="es-ES_tradnl" w:eastAsia="ja-JP"/>
              </w:rPr>
              <w:t>, diciembre</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Rivoire</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BD0021" w:rsidP="00DA1ACF">
            <w:pPr>
              <w:spacing w:before="60" w:after="60"/>
              <w:jc w:val="left"/>
              <w:rPr>
                <w:rFonts w:cs="Arial"/>
                <w:lang w:val="es-ES_tradnl"/>
              </w:rPr>
            </w:pPr>
            <w:r w:rsidRPr="00C83BDF">
              <w:rPr>
                <w:rFonts w:cs="Arial"/>
                <w:snapToGrid w:val="0"/>
                <w:lang w:val="es-ES_tradnl"/>
              </w:rPr>
              <w:t>Curso de formación de capacitadores para países iberoamericanos:</w:t>
            </w:r>
            <w:r w:rsidR="00D94EA2" w:rsidRPr="00C83BDF">
              <w:rPr>
                <w:rFonts w:cs="Arial"/>
                <w:snapToGrid w:val="0"/>
                <w:lang w:val="es-ES_tradnl"/>
              </w:rPr>
              <w:t xml:space="preserve">  </w:t>
            </w:r>
            <w:r w:rsidRPr="00C83BDF">
              <w:rPr>
                <w:rFonts w:cs="Arial"/>
                <w:snapToGrid w:val="0"/>
                <w:lang w:val="es-ES_tradnl"/>
              </w:rPr>
              <w:t>protección de obtenciones vegetales según el Convenio de la UPOV y formas complementarias de propiedad intelectual</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BD0021" w:rsidP="00DA1ACF">
            <w:pPr>
              <w:spacing w:before="60" w:after="60"/>
              <w:jc w:val="left"/>
              <w:rPr>
                <w:rFonts w:cs="Arial"/>
                <w:snapToGrid w:val="0"/>
                <w:color w:val="000000"/>
                <w:lang w:val="es-ES_tradnl" w:eastAsia="ja-JP"/>
              </w:rPr>
            </w:pPr>
            <w:r w:rsidRPr="00C83BDF">
              <w:rPr>
                <w:rFonts w:cs="Arial"/>
                <w:lang w:val="es-ES_tradnl"/>
              </w:rPr>
              <w:t>Montevideo (Uruguay)</w:t>
            </w:r>
            <w:r w:rsidR="00D27B08" w:rsidRPr="00C83BDF">
              <w:rPr>
                <w:rFonts w:cs="Arial"/>
                <w:lang w:val="es-ES_tradnl"/>
              </w:rPr>
              <w:t>, diciembre</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Huerta</w:t>
            </w:r>
            <w:r w:rsidR="00220E3C" w:rsidRPr="00C83BDF">
              <w:rPr>
                <w:noProof/>
                <w:szCs w:val="24"/>
                <w:lang w:val="es-ES_tradnl"/>
              </w:rPr>
              <w:t xml:space="preserve">, </w:t>
            </w:r>
            <w:r w:rsidRPr="00C83BDF">
              <w:rPr>
                <w:noProof/>
                <w:szCs w:val="24"/>
                <w:lang w:val="es-ES_tradnl"/>
              </w:rPr>
              <w:t>Taveira</w:t>
            </w:r>
          </w:p>
        </w:tc>
      </w:tr>
      <w:tr w:rsidR="00E65183" w:rsidRPr="00C83BDF">
        <w:trPr>
          <w:cantSplit/>
          <w:jc w:val="center"/>
        </w:trPr>
        <w:tc>
          <w:tcPr>
            <w:tcW w:w="4216" w:type="dxa"/>
            <w:tcBorders>
              <w:top w:val="single" w:sz="4" w:space="0" w:color="auto"/>
              <w:bottom w:val="single" w:sz="4" w:space="0" w:color="auto"/>
              <w:right w:val="nil"/>
            </w:tcBorders>
          </w:tcPr>
          <w:p w:rsidR="00E65183" w:rsidRPr="00C83BDF" w:rsidRDefault="00BD0021" w:rsidP="00DA1ACF">
            <w:pPr>
              <w:spacing w:before="60" w:after="60"/>
              <w:jc w:val="left"/>
              <w:rPr>
                <w:rFonts w:cs="Arial"/>
                <w:snapToGrid w:val="0"/>
                <w:lang w:val="es-ES_tradnl"/>
              </w:rPr>
            </w:pPr>
            <w:r w:rsidRPr="00C83BDF">
              <w:rPr>
                <w:rFonts w:cs="Arial"/>
                <w:lang w:val="es-ES_tradnl"/>
              </w:rPr>
              <w:t>Seminario sobre fitomejoramiento en el Perú con arreglo al Convenio de la UPOV</w:t>
            </w:r>
          </w:p>
        </w:tc>
        <w:tc>
          <w:tcPr>
            <w:tcW w:w="3118" w:type="dxa"/>
            <w:tcBorders>
              <w:top w:val="single" w:sz="4" w:space="0" w:color="auto"/>
              <w:left w:val="single" w:sz="4" w:space="0" w:color="auto"/>
              <w:bottom w:val="single" w:sz="4" w:space="0" w:color="auto"/>
              <w:right w:val="single" w:sz="4" w:space="0" w:color="auto"/>
            </w:tcBorders>
          </w:tcPr>
          <w:p w:rsidR="00E65183" w:rsidRPr="00C83BDF" w:rsidRDefault="00BD0021" w:rsidP="00DA1ACF">
            <w:pPr>
              <w:spacing w:before="60" w:after="60"/>
              <w:jc w:val="left"/>
              <w:rPr>
                <w:rFonts w:cs="Arial"/>
                <w:lang w:val="es-ES_tradnl"/>
              </w:rPr>
            </w:pPr>
            <w:r w:rsidRPr="00C83BDF">
              <w:rPr>
                <w:rFonts w:cs="Arial"/>
                <w:lang w:val="es-ES_tradnl"/>
              </w:rPr>
              <w:t>Lima (Perú)</w:t>
            </w:r>
            <w:r w:rsidR="00D27B08" w:rsidRPr="00C83BDF">
              <w:rPr>
                <w:rFonts w:cs="Arial"/>
                <w:lang w:val="es-ES_tradnl"/>
              </w:rPr>
              <w:t>, diciembre</w:t>
            </w:r>
          </w:p>
        </w:tc>
        <w:tc>
          <w:tcPr>
            <w:tcW w:w="2513" w:type="dxa"/>
            <w:tcBorders>
              <w:top w:val="single" w:sz="4" w:space="0" w:color="auto"/>
              <w:left w:val="single" w:sz="4" w:space="0" w:color="auto"/>
              <w:bottom w:val="single" w:sz="4" w:space="0" w:color="auto"/>
              <w:right w:val="single" w:sz="4" w:space="0" w:color="auto"/>
            </w:tcBorders>
          </w:tcPr>
          <w:p w:rsidR="00E65183" w:rsidRPr="00C83BDF" w:rsidRDefault="00E65183" w:rsidP="004737CD">
            <w:pPr>
              <w:spacing w:before="60" w:after="60"/>
              <w:jc w:val="left"/>
              <w:rPr>
                <w:noProof/>
                <w:szCs w:val="24"/>
                <w:lang w:val="es-ES_tradnl"/>
              </w:rPr>
            </w:pPr>
            <w:r w:rsidRPr="00C83BDF">
              <w:rPr>
                <w:noProof/>
                <w:szCs w:val="24"/>
                <w:lang w:val="es-ES_tradnl"/>
              </w:rPr>
              <w:t>Huerta</w:t>
            </w:r>
          </w:p>
        </w:tc>
      </w:tr>
    </w:tbl>
    <w:p w:rsidR="00E65183" w:rsidRPr="00C83BDF" w:rsidRDefault="00E65183" w:rsidP="00E65183">
      <w:pPr>
        <w:jc w:val="right"/>
        <w:rPr>
          <w:lang w:val="es-ES_tradnl"/>
        </w:rPr>
      </w:pPr>
    </w:p>
    <w:p w:rsidR="00E65183" w:rsidRPr="00C83BDF" w:rsidRDefault="00E65183" w:rsidP="00E65183">
      <w:pPr>
        <w:jc w:val="right"/>
        <w:rPr>
          <w:lang w:val="es-ES_tradnl"/>
        </w:rPr>
      </w:pPr>
    </w:p>
    <w:p w:rsidR="00E65183" w:rsidRPr="00C83BDF" w:rsidRDefault="00E65183" w:rsidP="00E65183">
      <w:pPr>
        <w:jc w:val="right"/>
        <w:rPr>
          <w:lang w:val="es-ES_tradnl"/>
        </w:rPr>
      </w:pPr>
    </w:p>
    <w:p w:rsidR="00E65183" w:rsidRPr="00C83BDF" w:rsidRDefault="00BD0021" w:rsidP="00E65183">
      <w:pPr>
        <w:jc w:val="right"/>
        <w:rPr>
          <w:lang w:val="es-ES_tradnl"/>
        </w:rPr>
      </w:pPr>
      <w:r w:rsidRPr="00C83BDF">
        <w:rPr>
          <w:lang w:val="es-ES_tradnl"/>
        </w:rPr>
        <w:t>[Sigue el Anexo III]</w:t>
      </w:r>
    </w:p>
    <w:p w:rsidR="00E65183" w:rsidRPr="00C83BDF" w:rsidRDefault="00E65183" w:rsidP="00E65183">
      <w:pPr>
        <w:rPr>
          <w:lang w:val="es-ES_tradnl"/>
        </w:rPr>
      </w:pPr>
    </w:p>
    <w:p w:rsidR="00E65183" w:rsidRPr="00C83BDF" w:rsidRDefault="00E65183" w:rsidP="00E65183">
      <w:pPr>
        <w:jc w:val="right"/>
        <w:rPr>
          <w:lang w:val="es-ES_tradnl"/>
        </w:rPr>
        <w:sectPr w:rsidR="00E65183" w:rsidRPr="00C83BDF" w:rsidSect="004737CD">
          <w:headerReference w:type="default" r:id="rId19"/>
          <w:footerReference w:type="first" r:id="rId20"/>
          <w:pgSz w:w="11907" w:h="16840" w:code="9"/>
          <w:pgMar w:top="510" w:right="1134" w:bottom="993" w:left="1134" w:header="510" w:footer="513" w:gutter="0"/>
          <w:pgNumType w:start="1"/>
          <w:cols w:space="720"/>
          <w:titlePg/>
        </w:sectPr>
      </w:pPr>
    </w:p>
    <w:p w:rsidR="00E65183" w:rsidRPr="00C83BDF" w:rsidRDefault="00E65183" w:rsidP="00E65183">
      <w:pPr>
        <w:jc w:val="center"/>
        <w:rPr>
          <w:lang w:val="es-ES_tradnl"/>
        </w:rPr>
      </w:pPr>
      <w:r w:rsidRPr="00C83BDF">
        <w:rPr>
          <w:lang w:val="es-ES_tradnl"/>
        </w:rPr>
        <w:t>C/49/2</w:t>
      </w:r>
    </w:p>
    <w:p w:rsidR="00E65183" w:rsidRPr="00C83BDF" w:rsidRDefault="00E65183" w:rsidP="00E65183">
      <w:pPr>
        <w:jc w:val="center"/>
        <w:rPr>
          <w:lang w:val="es-ES_tradnl"/>
        </w:rPr>
      </w:pPr>
    </w:p>
    <w:p w:rsidR="00E65183" w:rsidRPr="00C83BDF" w:rsidRDefault="00BD0021" w:rsidP="00E65183">
      <w:pPr>
        <w:jc w:val="center"/>
        <w:rPr>
          <w:lang w:val="es-ES_tradnl"/>
        </w:rPr>
      </w:pPr>
      <w:r w:rsidRPr="00C83BDF">
        <w:rPr>
          <w:lang w:val="es-ES_tradnl"/>
        </w:rPr>
        <w:t>ANEXO III</w:t>
      </w:r>
    </w:p>
    <w:p w:rsidR="00E65183" w:rsidRPr="00C83BDF" w:rsidRDefault="00E65183" w:rsidP="00E65183">
      <w:pPr>
        <w:jc w:val="center"/>
        <w:rPr>
          <w:lang w:val="es-ES_tradnl"/>
        </w:rPr>
      </w:pPr>
    </w:p>
    <w:p w:rsidR="00E65183" w:rsidRPr="00C83BDF" w:rsidRDefault="00BD0021" w:rsidP="00E65183">
      <w:pPr>
        <w:jc w:val="center"/>
        <w:rPr>
          <w:lang w:val="es-ES_tradnl"/>
        </w:rPr>
      </w:pPr>
      <w:r w:rsidRPr="00C83BDF">
        <w:rPr>
          <w:lang w:val="es-ES_tradnl"/>
        </w:rPr>
        <w:t>RESULTADOS E INDICADORES DE RENDIMIENTO PARA 2014</w:t>
      </w:r>
    </w:p>
    <w:p w:rsidR="00E65183" w:rsidRPr="00C83BDF" w:rsidRDefault="00E65183" w:rsidP="00E65183">
      <w:pPr>
        <w:jc w:val="center"/>
        <w:rPr>
          <w:lang w:val="es-ES_tradnl"/>
        </w:rPr>
      </w:pPr>
    </w:p>
    <w:p w:rsidR="00E65183" w:rsidRPr="00C83BDF" w:rsidRDefault="00BD0021" w:rsidP="00E65183">
      <w:pPr>
        <w:jc w:val="center"/>
        <w:rPr>
          <w:u w:val="single"/>
          <w:lang w:val="es-ES_tradnl"/>
        </w:rPr>
      </w:pPr>
      <w:r w:rsidRPr="00C83BDF">
        <w:rPr>
          <w:u w:val="single"/>
          <w:lang w:val="es-ES_tradnl"/>
        </w:rPr>
        <w:t>Índice</w:t>
      </w:r>
    </w:p>
    <w:p w:rsidR="00E65183" w:rsidRPr="00C83BDF" w:rsidRDefault="00E65183" w:rsidP="00E65183">
      <w:pPr>
        <w:rPr>
          <w:lang w:val="es-ES_tradnl"/>
        </w:rPr>
      </w:pPr>
    </w:p>
    <w:p w:rsidR="00274B21" w:rsidRDefault="00082242">
      <w:pPr>
        <w:pStyle w:val="TOC3"/>
        <w:rPr>
          <w:rFonts w:asciiTheme="minorHAnsi" w:hAnsiTheme="minorHAnsi" w:cstheme="minorBidi"/>
          <w:b w:val="0"/>
          <w:noProof/>
          <w:sz w:val="22"/>
          <w:szCs w:val="22"/>
          <w:lang w:val="en-US"/>
        </w:rPr>
      </w:pPr>
      <w:r w:rsidRPr="00C83BDF">
        <w:rPr>
          <w:caps/>
          <w:highlight w:val="yellow"/>
          <w:lang w:val="es-ES_tradnl"/>
        </w:rPr>
        <w:fldChar w:fldCharType="begin"/>
      </w:r>
      <w:r w:rsidR="00E65183" w:rsidRPr="00C83BDF">
        <w:rPr>
          <w:caps/>
          <w:highlight w:val="yellow"/>
          <w:lang w:val="es-ES_tradnl"/>
        </w:rPr>
        <w:instrText xml:space="preserve"> TOC \o "3-9" \u </w:instrText>
      </w:r>
      <w:r w:rsidRPr="00C83BDF">
        <w:rPr>
          <w:caps/>
          <w:highlight w:val="yellow"/>
          <w:lang w:val="es-ES_tradnl"/>
        </w:rPr>
        <w:fldChar w:fldCharType="separate"/>
      </w:r>
      <w:bookmarkStart w:id="20" w:name="_GoBack"/>
      <w:bookmarkEnd w:id="20"/>
      <w:r w:rsidR="00274B21">
        <w:rPr>
          <w:noProof/>
        </w:rPr>
        <w:t>INTRODUCCIÓN</w:t>
      </w:r>
      <w:r w:rsidR="00274B21">
        <w:rPr>
          <w:noProof/>
        </w:rPr>
        <w:tab/>
      </w:r>
      <w:r w:rsidR="00274B21">
        <w:rPr>
          <w:noProof/>
        </w:rPr>
        <w:fldChar w:fldCharType="begin"/>
      </w:r>
      <w:r w:rsidR="00274B21">
        <w:rPr>
          <w:noProof/>
        </w:rPr>
        <w:instrText xml:space="preserve"> PAGEREF _Toc431824216 \h </w:instrText>
      </w:r>
      <w:r w:rsidR="00274B21">
        <w:rPr>
          <w:noProof/>
        </w:rPr>
      </w:r>
      <w:r w:rsidR="00274B21">
        <w:rPr>
          <w:noProof/>
        </w:rPr>
        <w:fldChar w:fldCharType="separate"/>
      </w:r>
      <w:r w:rsidR="00485049">
        <w:rPr>
          <w:noProof/>
        </w:rPr>
        <w:t>3</w:t>
      </w:r>
      <w:r w:rsidR="00274B21">
        <w:rPr>
          <w:noProof/>
        </w:rPr>
        <w:fldChar w:fldCharType="end"/>
      </w:r>
    </w:p>
    <w:p w:rsidR="00274B21" w:rsidRDefault="00274B21">
      <w:pPr>
        <w:pStyle w:val="TOC3"/>
        <w:rPr>
          <w:rFonts w:asciiTheme="minorHAnsi" w:hAnsiTheme="minorHAnsi" w:cstheme="minorBidi"/>
          <w:b w:val="0"/>
          <w:noProof/>
          <w:sz w:val="22"/>
          <w:szCs w:val="22"/>
          <w:lang w:val="en-US"/>
        </w:rPr>
      </w:pPr>
      <w:r>
        <w:rPr>
          <w:noProof/>
        </w:rPr>
        <w:t>Subprograma UV.1:  Política general sobre protección de las variedades vegetales</w:t>
      </w:r>
      <w:r>
        <w:rPr>
          <w:noProof/>
        </w:rPr>
        <w:tab/>
      </w:r>
      <w:r>
        <w:rPr>
          <w:noProof/>
        </w:rPr>
        <w:fldChar w:fldCharType="begin"/>
      </w:r>
      <w:r>
        <w:rPr>
          <w:noProof/>
        </w:rPr>
        <w:instrText xml:space="preserve"> PAGEREF _Toc431824217 \h </w:instrText>
      </w:r>
      <w:r>
        <w:rPr>
          <w:noProof/>
        </w:rPr>
      </w:r>
      <w:r>
        <w:rPr>
          <w:noProof/>
        </w:rPr>
        <w:fldChar w:fldCharType="separate"/>
      </w:r>
      <w:r w:rsidR="00485049">
        <w:rPr>
          <w:noProof/>
        </w:rPr>
        <w:t>4</w:t>
      </w:r>
      <w:r>
        <w:rPr>
          <w:noProof/>
        </w:rPr>
        <w:fldChar w:fldCharType="end"/>
      </w:r>
    </w:p>
    <w:p w:rsidR="00274B21" w:rsidRDefault="00274B21">
      <w:pPr>
        <w:pStyle w:val="TOC5"/>
        <w:rPr>
          <w:rFonts w:asciiTheme="minorHAnsi" w:hAnsiTheme="minorHAnsi" w:cstheme="minorBidi"/>
          <w:sz w:val="22"/>
          <w:szCs w:val="22"/>
          <w:lang w:val="en-US"/>
        </w:rPr>
      </w:pPr>
      <w:r>
        <w:t>Objetivos:</w:t>
      </w:r>
      <w:r>
        <w:tab/>
      </w:r>
      <w:r>
        <w:fldChar w:fldCharType="begin"/>
      </w:r>
      <w:r>
        <w:instrText xml:space="preserve"> PAGEREF _Toc431824218 \h </w:instrText>
      </w:r>
      <w:r>
        <w:fldChar w:fldCharType="separate"/>
      </w:r>
      <w:r w:rsidR="00485049">
        <w:t>4</w:t>
      </w:r>
      <w:r>
        <w:fldChar w:fldCharType="end"/>
      </w:r>
    </w:p>
    <w:p w:rsidR="00274B21" w:rsidRDefault="00274B21">
      <w:pPr>
        <w:pStyle w:val="TOC5"/>
        <w:rPr>
          <w:rFonts w:asciiTheme="minorHAnsi" w:hAnsiTheme="minorHAnsi" w:cstheme="minorBidi"/>
          <w:sz w:val="22"/>
          <w:szCs w:val="22"/>
          <w:lang w:val="en-US"/>
        </w:rPr>
      </w:pPr>
      <w:r>
        <w:t>Resultados previstos</w:t>
      </w:r>
      <w:r>
        <w:tab/>
      </w:r>
      <w:r>
        <w:fldChar w:fldCharType="begin"/>
      </w:r>
      <w:r>
        <w:instrText xml:space="preserve"> PAGEREF _Toc431824219 \h </w:instrText>
      </w:r>
      <w:r>
        <w:fldChar w:fldCharType="separate"/>
      </w:r>
      <w:r w:rsidR="00485049">
        <w:t>4</w:t>
      </w:r>
      <w:r>
        <w:fldChar w:fldCharType="end"/>
      </w:r>
    </w:p>
    <w:p w:rsidR="00274B21" w:rsidRDefault="00274B21">
      <w:pPr>
        <w:pStyle w:val="TOC7"/>
        <w:rPr>
          <w:rFonts w:asciiTheme="minorHAnsi" w:hAnsiTheme="minorHAnsi" w:cstheme="minorBidi"/>
          <w:i w:val="0"/>
          <w:sz w:val="22"/>
          <w:szCs w:val="22"/>
        </w:rPr>
      </w:pPr>
      <w:r w:rsidRPr="00D070C7">
        <w:rPr>
          <w:lang w:val="es-ES_tradnl"/>
        </w:rPr>
        <w:t>Resultados alcanzados:  indicadores de rendimiento</w:t>
      </w:r>
      <w:r>
        <w:tab/>
      </w:r>
      <w:r>
        <w:fldChar w:fldCharType="begin"/>
      </w:r>
      <w:r>
        <w:instrText xml:space="preserve"> PAGEREF _Toc431824220 \h </w:instrText>
      </w:r>
      <w:r>
        <w:fldChar w:fldCharType="separate"/>
      </w:r>
      <w:r w:rsidR="00485049">
        <w:t>4</w:t>
      </w:r>
      <w:r>
        <w:fldChar w:fldCharType="end"/>
      </w:r>
    </w:p>
    <w:p w:rsidR="00274B21" w:rsidRDefault="00274B21">
      <w:pPr>
        <w:pStyle w:val="TOC6"/>
        <w:rPr>
          <w:rFonts w:asciiTheme="minorHAnsi" w:hAnsiTheme="minorHAnsi" w:cstheme="minorBidi"/>
          <w:sz w:val="22"/>
          <w:szCs w:val="22"/>
        </w:rPr>
      </w:pPr>
      <w:r w:rsidRPr="00D070C7">
        <w:rPr>
          <w:lang w:val="es-ES_tradnl"/>
        </w:rPr>
        <w:t>1.  Organización de las sesiones del Consejo y del Comité Consultivo</w:t>
      </w:r>
      <w:r>
        <w:tab/>
      </w:r>
      <w:r>
        <w:fldChar w:fldCharType="begin"/>
      </w:r>
      <w:r>
        <w:instrText xml:space="preserve"> PAGEREF _Toc431824221 \h </w:instrText>
      </w:r>
      <w:r>
        <w:fldChar w:fldCharType="separate"/>
      </w:r>
      <w:r w:rsidR="00485049">
        <w:t>4</w:t>
      </w:r>
      <w:r>
        <w:fldChar w:fldCharType="end"/>
      </w:r>
    </w:p>
    <w:p w:rsidR="00274B21" w:rsidRDefault="00274B21">
      <w:pPr>
        <w:pStyle w:val="TOC8"/>
        <w:rPr>
          <w:rFonts w:asciiTheme="minorHAnsi" w:hAnsiTheme="minorHAnsi" w:cstheme="minorBidi"/>
          <w:i w:val="0"/>
          <w:sz w:val="22"/>
          <w:szCs w:val="22"/>
        </w:rPr>
      </w:pPr>
      <w:r w:rsidRPr="00D070C7">
        <w:rPr>
          <w:lang w:val="es-ES_tradnl"/>
        </w:rPr>
        <w:t>a)  Participación en las sesiones del Consejo y del Comité Consultivo</w:t>
      </w:r>
      <w:r>
        <w:tab/>
      </w:r>
      <w:r>
        <w:fldChar w:fldCharType="begin"/>
      </w:r>
      <w:r>
        <w:instrText xml:space="preserve"> PAGEREF _Toc431824222 \h </w:instrText>
      </w:r>
      <w:r>
        <w:fldChar w:fldCharType="separate"/>
      </w:r>
      <w:r w:rsidR="00485049">
        <w:t>4</w:t>
      </w:r>
      <w:r>
        <w:fldChar w:fldCharType="end"/>
      </w:r>
    </w:p>
    <w:p w:rsidR="00274B21" w:rsidRDefault="00274B21">
      <w:pPr>
        <w:pStyle w:val="TOC6"/>
        <w:rPr>
          <w:rFonts w:asciiTheme="minorHAnsi" w:hAnsiTheme="minorHAnsi" w:cstheme="minorBidi"/>
          <w:sz w:val="22"/>
          <w:szCs w:val="22"/>
        </w:rPr>
      </w:pPr>
      <w:r w:rsidRPr="00D070C7">
        <w:rPr>
          <w:lang w:val="es-ES_tradnl"/>
        </w:rPr>
        <w:t>2.  Coordinación, fiscalización y evaluación del rendimiento del programa y presupuesto para el bienio 2014</w:t>
      </w:r>
      <w:r w:rsidRPr="00D070C7">
        <w:rPr>
          <w:lang w:val="es-ES_tradnl"/>
        </w:rPr>
        <w:noBreakHyphen/>
        <w:t>2015</w:t>
      </w:r>
      <w:r>
        <w:tab/>
      </w:r>
      <w:r>
        <w:fldChar w:fldCharType="begin"/>
      </w:r>
      <w:r>
        <w:instrText xml:space="preserve"> PAGEREF _Toc431824223 \h </w:instrText>
      </w:r>
      <w:r>
        <w:fldChar w:fldCharType="separate"/>
      </w:r>
      <w:r w:rsidR="00485049">
        <w:t>4</w:t>
      </w:r>
      <w:r>
        <w:fldChar w:fldCharType="end"/>
      </w:r>
    </w:p>
    <w:p w:rsidR="00274B21" w:rsidRDefault="00274B21">
      <w:pPr>
        <w:pStyle w:val="TOC8"/>
        <w:rPr>
          <w:rFonts w:asciiTheme="minorHAnsi" w:hAnsiTheme="minorHAnsi" w:cstheme="minorBidi"/>
          <w:i w:val="0"/>
          <w:sz w:val="22"/>
          <w:szCs w:val="22"/>
        </w:rPr>
      </w:pPr>
      <w:r w:rsidRPr="00D070C7">
        <w:rPr>
          <w:lang w:val="es-ES_tradnl"/>
        </w:rPr>
        <w:t>a)  Ejecución del programa en el marco del presupuesto del bienio 2014</w:t>
      </w:r>
      <w:r w:rsidRPr="00D070C7">
        <w:rPr>
          <w:lang w:val="es-ES_tradnl"/>
        </w:rPr>
        <w:noBreakHyphen/>
        <w:t>2015</w:t>
      </w:r>
      <w:r>
        <w:tab/>
      </w:r>
      <w:r>
        <w:fldChar w:fldCharType="begin"/>
      </w:r>
      <w:r>
        <w:instrText xml:space="preserve"> PAGEREF _Toc431824224 \h </w:instrText>
      </w:r>
      <w:r>
        <w:fldChar w:fldCharType="separate"/>
      </w:r>
      <w:r w:rsidR="00485049">
        <w:t>4</w:t>
      </w:r>
      <w:r>
        <w:fldChar w:fldCharType="end"/>
      </w:r>
    </w:p>
    <w:p w:rsidR="00274B21" w:rsidRDefault="00274B21">
      <w:pPr>
        <w:pStyle w:val="TOC6"/>
        <w:rPr>
          <w:rFonts w:asciiTheme="minorHAnsi" w:hAnsiTheme="minorHAnsi" w:cstheme="minorBidi"/>
          <w:sz w:val="22"/>
          <w:szCs w:val="22"/>
        </w:rPr>
      </w:pPr>
      <w:r w:rsidRPr="00D070C7">
        <w:rPr>
          <w:lang w:val="es-ES_tradnl"/>
        </w:rPr>
        <w:t>3.  Preparación y adopción del programa y presupuesto para el bienio 2016</w:t>
      </w:r>
      <w:r w:rsidRPr="00D070C7">
        <w:rPr>
          <w:lang w:val="es-ES_tradnl"/>
        </w:rPr>
        <w:noBreakHyphen/>
        <w:t>2017</w:t>
      </w:r>
      <w:r>
        <w:tab/>
      </w:r>
      <w:r>
        <w:fldChar w:fldCharType="begin"/>
      </w:r>
      <w:r>
        <w:instrText xml:space="preserve"> PAGEREF _Toc431824225 \h </w:instrText>
      </w:r>
      <w:r>
        <w:fldChar w:fldCharType="separate"/>
      </w:r>
      <w:r w:rsidR="00485049">
        <w:t>4</w:t>
      </w:r>
      <w:r>
        <w:fldChar w:fldCharType="end"/>
      </w:r>
    </w:p>
    <w:p w:rsidR="00274B21" w:rsidRDefault="00274B21">
      <w:pPr>
        <w:pStyle w:val="TOC8"/>
        <w:rPr>
          <w:rFonts w:asciiTheme="minorHAnsi" w:hAnsiTheme="minorHAnsi" w:cstheme="minorBidi"/>
          <w:i w:val="0"/>
          <w:sz w:val="22"/>
          <w:szCs w:val="22"/>
        </w:rPr>
      </w:pPr>
      <w:r w:rsidRPr="00D070C7">
        <w:rPr>
          <w:lang w:val="es-ES_tradnl"/>
        </w:rPr>
        <w:t>a)  Preparación y adopción del programa y presupuesto para el bienio 2016</w:t>
      </w:r>
      <w:r w:rsidRPr="00D070C7">
        <w:rPr>
          <w:lang w:val="es-ES_tradnl"/>
        </w:rPr>
        <w:noBreakHyphen/>
        <w:t>2017 con arreglo al “Reglamento Financiero y Reglamentación Financiera de la UPOV”</w:t>
      </w:r>
      <w:r>
        <w:tab/>
      </w:r>
      <w:r>
        <w:fldChar w:fldCharType="begin"/>
      </w:r>
      <w:r>
        <w:instrText xml:space="preserve"> PAGEREF _Toc431824226 \h </w:instrText>
      </w:r>
      <w:r>
        <w:fldChar w:fldCharType="separate"/>
      </w:r>
      <w:r w:rsidR="00485049">
        <w:t>4</w:t>
      </w:r>
      <w:r>
        <w:fldChar w:fldCharType="end"/>
      </w:r>
    </w:p>
    <w:p w:rsidR="00274B21" w:rsidRDefault="00274B21">
      <w:pPr>
        <w:pStyle w:val="TOC6"/>
        <w:rPr>
          <w:rFonts w:asciiTheme="minorHAnsi" w:hAnsiTheme="minorHAnsi" w:cstheme="minorBidi"/>
          <w:sz w:val="22"/>
          <w:szCs w:val="22"/>
        </w:rPr>
      </w:pPr>
      <w:r w:rsidRPr="00D070C7">
        <w:rPr>
          <w:lang w:val="es-ES_tradnl"/>
        </w:rPr>
        <w:t>4.  Política del Consejo</w:t>
      </w:r>
      <w:r>
        <w:tab/>
      </w:r>
      <w:r>
        <w:fldChar w:fldCharType="begin"/>
      </w:r>
      <w:r>
        <w:instrText xml:space="preserve"> PAGEREF _Toc431824227 \h </w:instrText>
      </w:r>
      <w:r>
        <w:fldChar w:fldCharType="separate"/>
      </w:r>
      <w:r w:rsidR="00485049">
        <w:t>4</w:t>
      </w:r>
      <w:r>
        <w:fldChar w:fldCharType="end"/>
      </w:r>
    </w:p>
    <w:p w:rsidR="00274B21" w:rsidRDefault="00274B21">
      <w:pPr>
        <w:pStyle w:val="TOC8"/>
        <w:rPr>
          <w:rFonts w:asciiTheme="minorHAnsi" w:hAnsiTheme="minorHAnsi" w:cstheme="minorBidi"/>
          <w:i w:val="0"/>
          <w:sz w:val="22"/>
          <w:szCs w:val="22"/>
        </w:rPr>
      </w:pPr>
      <w:r w:rsidRPr="00D070C7">
        <w:rPr>
          <w:rFonts w:cs="Arial"/>
          <w:lang w:val="es-ES_tradnl"/>
        </w:rPr>
        <w:t>a)  Recomendaciones formuladas por el Comité Consultivo</w:t>
      </w:r>
      <w:r>
        <w:tab/>
      </w:r>
      <w:r>
        <w:fldChar w:fldCharType="begin"/>
      </w:r>
      <w:r>
        <w:instrText xml:space="preserve"> PAGEREF _Toc431824228 \h </w:instrText>
      </w:r>
      <w:r>
        <w:fldChar w:fldCharType="separate"/>
      </w:r>
      <w:r w:rsidR="00485049">
        <w:t>4</w:t>
      </w:r>
      <w:r>
        <w:fldChar w:fldCharType="end"/>
      </w:r>
    </w:p>
    <w:p w:rsidR="00274B21" w:rsidRDefault="00274B21">
      <w:pPr>
        <w:pStyle w:val="TOC8"/>
        <w:rPr>
          <w:rFonts w:asciiTheme="minorHAnsi" w:hAnsiTheme="minorHAnsi" w:cstheme="minorBidi"/>
          <w:i w:val="0"/>
          <w:sz w:val="22"/>
          <w:szCs w:val="22"/>
        </w:rPr>
      </w:pPr>
      <w:r w:rsidRPr="00D070C7">
        <w:rPr>
          <w:rFonts w:cs="Arial"/>
          <w:lang w:val="es-ES_tradnl"/>
        </w:rPr>
        <w:t>b)  Decisiones del Consejo</w:t>
      </w:r>
      <w:r>
        <w:tab/>
      </w:r>
      <w:r>
        <w:fldChar w:fldCharType="begin"/>
      </w:r>
      <w:r>
        <w:instrText xml:space="preserve"> PAGEREF _Toc431824229 \h </w:instrText>
      </w:r>
      <w:r>
        <w:fldChar w:fldCharType="separate"/>
      </w:r>
      <w:r w:rsidR="00485049">
        <w:t>6</w:t>
      </w:r>
      <w:r>
        <w:fldChar w:fldCharType="end"/>
      </w:r>
    </w:p>
    <w:p w:rsidR="00274B21" w:rsidRDefault="00274B21">
      <w:pPr>
        <w:pStyle w:val="TOC8"/>
        <w:rPr>
          <w:rFonts w:asciiTheme="minorHAnsi" w:hAnsiTheme="minorHAnsi" w:cstheme="minorBidi"/>
          <w:i w:val="0"/>
          <w:sz w:val="22"/>
          <w:szCs w:val="22"/>
        </w:rPr>
      </w:pPr>
      <w:r w:rsidRPr="00D070C7">
        <w:rPr>
          <w:rFonts w:cs="Arial"/>
          <w:lang w:val="es-ES_tradnl"/>
        </w:rPr>
        <w:t>c)  Aprobación por el Consejo de documentos de información y de posición</w:t>
      </w:r>
      <w:r>
        <w:tab/>
      </w:r>
      <w:r>
        <w:fldChar w:fldCharType="begin"/>
      </w:r>
      <w:r>
        <w:instrText xml:space="preserve"> PAGEREF _Toc431824230 \h </w:instrText>
      </w:r>
      <w:r>
        <w:fldChar w:fldCharType="separate"/>
      </w:r>
      <w:r w:rsidR="00485049">
        <w:t>6</w:t>
      </w:r>
      <w:r>
        <w:fldChar w:fldCharType="end"/>
      </w:r>
    </w:p>
    <w:p w:rsidR="00274B21" w:rsidRDefault="00274B21">
      <w:pPr>
        <w:pStyle w:val="TOC3"/>
        <w:rPr>
          <w:rFonts w:asciiTheme="minorHAnsi" w:hAnsiTheme="minorHAnsi" w:cstheme="minorBidi"/>
          <w:b w:val="0"/>
          <w:noProof/>
          <w:sz w:val="22"/>
          <w:szCs w:val="22"/>
          <w:lang w:val="en-US"/>
        </w:rPr>
      </w:pPr>
      <w:r>
        <w:rPr>
          <w:noProof/>
        </w:rPr>
        <w:t>Subprograma UV.2:  Servicios prestados a la Unión para mejorar la eficacia del sistema de la UPOV</w:t>
      </w:r>
      <w:r>
        <w:rPr>
          <w:noProof/>
        </w:rPr>
        <w:tab/>
      </w:r>
      <w:r>
        <w:rPr>
          <w:noProof/>
        </w:rPr>
        <w:fldChar w:fldCharType="begin"/>
      </w:r>
      <w:r>
        <w:rPr>
          <w:noProof/>
        </w:rPr>
        <w:instrText xml:space="preserve"> PAGEREF _Toc431824231 \h </w:instrText>
      </w:r>
      <w:r>
        <w:rPr>
          <w:noProof/>
        </w:rPr>
      </w:r>
      <w:r>
        <w:rPr>
          <w:noProof/>
        </w:rPr>
        <w:fldChar w:fldCharType="separate"/>
      </w:r>
      <w:r w:rsidR="00485049">
        <w:rPr>
          <w:noProof/>
        </w:rPr>
        <w:t>7</w:t>
      </w:r>
      <w:r>
        <w:rPr>
          <w:noProof/>
        </w:rPr>
        <w:fldChar w:fldCharType="end"/>
      </w:r>
    </w:p>
    <w:p w:rsidR="00274B21" w:rsidRDefault="00274B21">
      <w:pPr>
        <w:pStyle w:val="TOC5"/>
        <w:rPr>
          <w:rFonts w:asciiTheme="minorHAnsi" w:hAnsiTheme="minorHAnsi" w:cstheme="minorBidi"/>
          <w:sz w:val="22"/>
          <w:szCs w:val="22"/>
          <w:lang w:val="en-US"/>
        </w:rPr>
      </w:pPr>
      <w:r>
        <w:t>Objetivos:</w:t>
      </w:r>
      <w:r>
        <w:tab/>
      </w:r>
      <w:r>
        <w:fldChar w:fldCharType="begin"/>
      </w:r>
      <w:r>
        <w:instrText xml:space="preserve"> PAGEREF _Toc431824232 \h </w:instrText>
      </w:r>
      <w:r>
        <w:fldChar w:fldCharType="separate"/>
      </w:r>
      <w:r w:rsidR="00485049">
        <w:t>7</w:t>
      </w:r>
      <w:r>
        <w:fldChar w:fldCharType="end"/>
      </w:r>
    </w:p>
    <w:p w:rsidR="00274B21" w:rsidRDefault="00274B21">
      <w:pPr>
        <w:pStyle w:val="TOC5"/>
        <w:rPr>
          <w:rFonts w:asciiTheme="minorHAnsi" w:hAnsiTheme="minorHAnsi" w:cstheme="minorBidi"/>
          <w:sz w:val="22"/>
          <w:szCs w:val="22"/>
          <w:lang w:val="en-US"/>
        </w:rPr>
      </w:pPr>
      <w:r>
        <w:t>Resultados previstos</w:t>
      </w:r>
      <w:r>
        <w:tab/>
      </w:r>
      <w:r>
        <w:fldChar w:fldCharType="begin"/>
      </w:r>
      <w:r>
        <w:instrText xml:space="preserve"> PAGEREF _Toc431824233 \h </w:instrText>
      </w:r>
      <w:r>
        <w:fldChar w:fldCharType="separate"/>
      </w:r>
      <w:r w:rsidR="00485049">
        <w:t>7</w:t>
      </w:r>
      <w:r>
        <w:fldChar w:fldCharType="end"/>
      </w:r>
    </w:p>
    <w:p w:rsidR="00274B21" w:rsidRDefault="00274B21">
      <w:pPr>
        <w:pStyle w:val="TOC7"/>
        <w:rPr>
          <w:rFonts w:asciiTheme="minorHAnsi" w:hAnsiTheme="minorHAnsi" w:cstheme="minorBidi"/>
          <w:i w:val="0"/>
          <w:sz w:val="22"/>
          <w:szCs w:val="22"/>
        </w:rPr>
      </w:pPr>
      <w:r w:rsidRPr="00D070C7">
        <w:rPr>
          <w:lang w:val="es-ES_tradnl"/>
        </w:rPr>
        <w:t>Resultados alcanzados:  indicadores de rendimiento</w:t>
      </w:r>
      <w:r>
        <w:tab/>
      </w:r>
      <w:r>
        <w:fldChar w:fldCharType="begin"/>
      </w:r>
      <w:r>
        <w:instrText xml:space="preserve"> PAGEREF _Toc431824234 \h </w:instrText>
      </w:r>
      <w:r>
        <w:fldChar w:fldCharType="separate"/>
      </w:r>
      <w:r w:rsidR="00485049">
        <w:t>7</w:t>
      </w:r>
      <w:r>
        <w:fldChar w:fldCharType="end"/>
      </w:r>
    </w:p>
    <w:p w:rsidR="00274B21" w:rsidRDefault="00274B21">
      <w:pPr>
        <w:pStyle w:val="TOC6"/>
        <w:rPr>
          <w:rFonts w:asciiTheme="minorHAnsi" w:hAnsiTheme="minorHAnsi" w:cstheme="minorBidi"/>
          <w:sz w:val="22"/>
          <w:szCs w:val="22"/>
        </w:rPr>
      </w:pPr>
      <w:r w:rsidRPr="00D070C7">
        <w:rPr>
          <w:lang w:val="es-ES_tradnl"/>
        </w:rPr>
        <w:t>1.  Orientación sobre el Convenio de la UPOV e información sobre su aplicación</w:t>
      </w:r>
      <w:r>
        <w:tab/>
      </w:r>
      <w:r>
        <w:fldChar w:fldCharType="begin"/>
      </w:r>
      <w:r>
        <w:instrText xml:space="preserve"> PAGEREF _Toc431824235 \h </w:instrText>
      </w:r>
      <w:r>
        <w:fldChar w:fldCharType="separate"/>
      </w:r>
      <w:r w:rsidR="00485049">
        <w:t>7</w:t>
      </w:r>
      <w:r>
        <w:fldChar w:fldCharType="end"/>
      </w:r>
    </w:p>
    <w:p w:rsidR="00274B21" w:rsidRDefault="00274B21">
      <w:pPr>
        <w:pStyle w:val="TOC8"/>
        <w:rPr>
          <w:rFonts w:asciiTheme="minorHAnsi" w:hAnsiTheme="minorHAnsi" w:cstheme="minorBidi"/>
          <w:i w:val="0"/>
          <w:sz w:val="22"/>
          <w:szCs w:val="22"/>
        </w:rPr>
      </w:pPr>
      <w:r w:rsidRPr="00D070C7">
        <w:rPr>
          <w:lang w:val="es-ES_tradnl"/>
        </w:rPr>
        <w:t>Colección de la UPOV:  visitas al sitio web de la UPOV en 2014</w:t>
      </w:r>
      <w:r>
        <w:tab/>
      </w:r>
      <w:r>
        <w:fldChar w:fldCharType="begin"/>
      </w:r>
      <w:r>
        <w:instrText xml:space="preserve"> PAGEREF _Toc431824236 \h </w:instrText>
      </w:r>
      <w:r>
        <w:fldChar w:fldCharType="separate"/>
      </w:r>
      <w:r w:rsidR="00485049">
        <w:t>7</w:t>
      </w:r>
      <w:r>
        <w:fldChar w:fldCharType="end"/>
      </w:r>
    </w:p>
    <w:p w:rsidR="00274B21" w:rsidRDefault="00274B21">
      <w:pPr>
        <w:pStyle w:val="TOC8"/>
        <w:rPr>
          <w:rFonts w:asciiTheme="minorHAnsi" w:hAnsiTheme="minorHAnsi" w:cstheme="minorBidi"/>
          <w:i w:val="0"/>
          <w:sz w:val="22"/>
          <w:szCs w:val="22"/>
        </w:rPr>
      </w:pPr>
      <w:r w:rsidRPr="00D070C7">
        <w:rPr>
          <w:lang w:val="es-ES_tradnl"/>
        </w:rPr>
        <w:t>a)  Aprobación de material de información nuevo o revisado sobre el Convenio de la UPOV</w:t>
      </w:r>
      <w:r>
        <w:tab/>
      </w:r>
      <w:r>
        <w:fldChar w:fldCharType="begin"/>
      </w:r>
      <w:r>
        <w:instrText xml:space="preserve"> PAGEREF _Toc431824237 \h </w:instrText>
      </w:r>
      <w:r>
        <w:fldChar w:fldCharType="separate"/>
      </w:r>
      <w:r w:rsidR="00485049">
        <w:t>7</w:t>
      </w:r>
      <w:r>
        <w:fldChar w:fldCharType="end"/>
      </w:r>
    </w:p>
    <w:p w:rsidR="00274B21" w:rsidRDefault="00274B21">
      <w:pPr>
        <w:pStyle w:val="TOC8"/>
        <w:rPr>
          <w:rFonts w:asciiTheme="minorHAnsi" w:hAnsiTheme="minorHAnsi" w:cstheme="minorBidi"/>
          <w:i w:val="0"/>
          <w:sz w:val="22"/>
          <w:szCs w:val="22"/>
        </w:rPr>
      </w:pPr>
      <w:r w:rsidRPr="00D070C7">
        <w:rPr>
          <w:lang w:val="es-ES_tradnl"/>
        </w:rPr>
        <w:t xml:space="preserve">b)  Publicación de la </w:t>
      </w:r>
      <w:r w:rsidRPr="00D070C7">
        <w:rPr>
          <w:i w:val="0"/>
          <w:lang w:val="es-ES_tradnl"/>
        </w:rPr>
        <w:t>Gazette and Newsletter</w:t>
      </w:r>
      <w:r w:rsidRPr="00D070C7">
        <w:rPr>
          <w:lang w:val="es-ES_tradnl"/>
        </w:rPr>
        <w:t xml:space="preserve"> de la UPOV</w:t>
      </w:r>
      <w:r>
        <w:tab/>
      </w:r>
      <w:r>
        <w:fldChar w:fldCharType="begin"/>
      </w:r>
      <w:r>
        <w:instrText xml:space="preserve"> PAGEREF _Toc431824238 \h </w:instrText>
      </w:r>
      <w:r>
        <w:fldChar w:fldCharType="separate"/>
      </w:r>
      <w:r w:rsidR="00485049">
        <w:t>8</w:t>
      </w:r>
      <w:r>
        <w:fldChar w:fldCharType="end"/>
      </w:r>
    </w:p>
    <w:p w:rsidR="00274B21" w:rsidRDefault="00274B21">
      <w:pPr>
        <w:pStyle w:val="TOC8"/>
        <w:rPr>
          <w:rFonts w:asciiTheme="minorHAnsi" w:hAnsiTheme="minorHAnsi" w:cstheme="minorBidi"/>
          <w:i w:val="0"/>
          <w:sz w:val="22"/>
          <w:szCs w:val="22"/>
        </w:rPr>
      </w:pPr>
      <w:r w:rsidRPr="00D070C7">
        <w:rPr>
          <w:lang w:val="es-ES_tradnl"/>
        </w:rPr>
        <w:t>c)  Inclusión de la legislación de los miembros de la Unión en la base de datos UPOV Lex</w:t>
      </w:r>
      <w:r>
        <w:tab/>
      </w:r>
      <w:r>
        <w:fldChar w:fldCharType="begin"/>
      </w:r>
      <w:r>
        <w:instrText xml:space="preserve"> PAGEREF _Toc431824239 \h </w:instrText>
      </w:r>
      <w:r>
        <w:fldChar w:fldCharType="separate"/>
      </w:r>
      <w:r w:rsidR="00485049">
        <w:t>8</w:t>
      </w:r>
      <w:r>
        <w:fldChar w:fldCharType="end"/>
      </w:r>
    </w:p>
    <w:p w:rsidR="00274B21" w:rsidRDefault="00274B21">
      <w:pPr>
        <w:pStyle w:val="TOC8"/>
        <w:rPr>
          <w:rFonts w:asciiTheme="minorHAnsi" w:hAnsiTheme="minorHAnsi" w:cstheme="minorBidi"/>
          <w:i w:val="0"/>
          <w:sz w:val="22"/>
          <w:szCs w:val="22"/>
        </w:rPr>
      </w:pPr>
      <w:r w:rsidRPr="00D070C7">
        <w:rPr>
          <w:lang w:val="es-ES_tradnl"/>
        </w:rPr>
        <w:t>Base de datos UPOV Lex:  visitas al sitio web de la UPOV en 2014</w:t>
      </w:r>
      <w:r>
        <w:tab/>
      </w:r>
      <w:r>
        <w:fldChar w:fldCharType="begin"/>
      </w:r>
      <w:r>
        <w:instrText xml:space="preserve"> PAGEREF _Toc431824240 \h </w:instrText>
      </w:r>
      <w:r>
        <w:fldChar w:fldCharType="separate"/>
      </w:r>
      <w:r w:rsidR="00485049">
        <w:t>8</w:t>
      </w:r>
      <w:r>
        <w:fldChar w:fldCharType="end"/>
      </w:r>
    </w:p>
    <w:p w:rsidR="00274B21" w:rsidRDefault="00274B21">
      <w:pPr>
        <w:pStyle w:val="TOC8"/>
        <w:rPr>
          <w:rFonts w:asciiTheme="minorHAnsi" w:hAnsiTheme="minorHAnsi" w:cstheme="minorBidi"/>
          <w:i w:val="0"/>
          <w:sz w:val="22"/>
          <w:szCs w:val="22"/>
        </w:rPr>
      </w:pPr>
      <w:r w:rsidRPr="00D070C7">
        <w:rPr>
          <w:lang w:val="es-ES_tradnl"/>
        </w:rPr>
        <w:t>d)  Participación en seminarios y simposios celebrados en Ginebra en paralelo con las sesiones de los órganos de la UPOV</w:t>
      </w:r>
      <w:r>
        <w:tab/>
      </w:r>
      <w:r>
        <w:fldChar w:fldCharType="begin"/>
      </w:r>
      <w:r>
        <w:instrText xml:space="preserve"> PAGEREF _Toc431824241 \h </w:instrText>
      </w:r>
      <w:r>
        <w:fldChar w:fldCharType="separate"/>
      </w:r>
      <w:r w:rsidR="00485049">
        <w:t>8</w:t>
      </w:r>
      <w:r>
        <w:fldChar w:fldCharType="end"/>
      </w:r>
    </w:p>
    <w:p w:rsidR="00274B21" w:rsidRDefault="00274B21">
      <w:pPr>
        <w:pStyle w:val="TOC6"/>
        <w:rPr>
          <w:rFonts w:asciiTheme="minorHAnsi" w:hAnsiTheme="minorHAnsi" w:cstheme="minorBidi"/>
          <w:sz w:val="22"/>
          <w:szCs w:val="22"/>
        </w:rPr>
      </w:pPr>
      <w:r w:rsidRPr="00D070C7">
        <w:rPr>
          <w:lang w:val="es-ES_tradnl"/>
        </w:rPr>
        <w:t>2.  Orientación sobre el examen de las variedades</w:t>
      </w:r>
      <w:r>
        <w:tab/>
      </w:r>
      <w:r>
        <w:fldChar w:fldCharType="begin"/>
      </w:r>
      <w:r>
        <w:instrText xml:space="preserve"> PAGEREF _Toc431824242 \h </w:instrText>
      </w:r>
      <w:r>
        <w:fldChar w:fldCharType="separate"/>
      </w:r>
      <w:r w:rsidR="00485049">
        <w:t>9</w:t>
      </w:r>
      <w:r>
        <w:fldChar w:fldCharType="end"/>
      </w:r>
    </w:p>
    <w:p w:rsidR="00274B21" w:rsidRDefault="00274B21">
      <w:pPr>
        <w:pStyle w:val="TOC8"/>
        <w:rPr>
          <w:rFonts w:asciiTheme="minorHAnsi" w:hAnsiTheme="minorHAnsi" w:cstheme="minorBidi"/>
          <w:i w:val="0"/>
          <w:sz w:val="22"/>
          <w:szCs w:val="22"/>
        </w:rPr>
      </w:pPr>
      <w:r w:rsidRPr="00D070C7">
        <w:rPr>
          <w:lang w:val="es-ES_tradnl"/>
        </w:rPr>
        <w:t>a)  Aprobación de documentos TGP nuevos o revisados y material de información</w:t>
      </w:r>
      <w:r>
        <w:tab/>
      </w:r>
      <w:r>
        <w:fldChar w:fldCharType="begin"/>
      </w:r>
      <w:r>
        <w:instrText xml:space="preserve"> PAGEREF _Toc431824243 \h </w:instrText>
      </w:r>
      <w:r>
        <w:fldChar w:fldCharType="separate"/>
      </w:r>
      <w:r w:rsidR="00485049">
        <w:t>9</w:t>
      </w:r>
      <w:r>
        <w:fldChar w:fldCharType="end"/>
      </w:r>
    </w:p>
    <w:p w:rsidR="00274B21" w:rsidRDefault="00274B21">
      <w:pPr>
        <w:pStyle w:val="TOC8"/>
        <w:rPr>
          <w:rFonts w:asciiTheme="minorHAnsi" w:hAnsiTheme="minorHAnsi" w:cstheme="minorBidi"/>
          <w:i w:val="0"/>
          <w:sz w:val="22"/>
          <w:szCs w:val="22"/>
        </w:rPr>
      </w:pPr>
      <w:r w:rsidRPr="00D070C7">
        <w:rPr>
          <w:lang w:val="es-ES_tradnl"/>
        </w:rPr>
        <w:t>b)  Adopción de directrices de examen nuevas o revisadas</w:t>
      </w:r>
      <w:r>
        <w:tab/>
      </w:r>
      <w:r>
        <w:fldChar w:fldCharType="begin"/>
      </w:r>
      <w:r>
        <w:instrText xml:space="preserve"> PAGEREF _Toc431824244 \h </w:instrText>
      </w:r>
      <w:r>
        <w:fldChar w:fldCharType="separate"/>
      </w:r>
      <w:r w:rsidR="00485049">
        <w:t>10</w:t>
      </w:r>
      <w:r>
        <w:fldChar w:fldCharType="end"/>
      </w:r>
    </w:p>
    <w:p w:rsidR="00274B21" w:rsidRDefault="00274B21">
      <w:pPr>
        <w:pStyle w:val="TOC8"/>
        <w:rPr>
          <w:rFonts w:asciiTheme="minorHAnsi" w:hAnsiTheme="minorHAnsi" w:cstheme="minorBidi"/>
          <w:i w:val="0"/>
          <w:sz w:val="22"/>
          <w:szCs w:val="22"/>
        </w:rPr>
      </w:pPr>
      <w:r w:rsidRPr="00D070C7">
        <w:rPr>
          <w:lang w:val="es-ES_tradnl"/>
        </w:rPr>
        <w:t>Directrices de examen:  visitas al sitio web de la UPOV en 2014</w:t>
      </w:r>
      <w:r>
        <w:tab/>
      </w:r>
      <w:r>
        <w:fldChar w:fldCharType="begin"/>
      </w:r>
      <w:r>
        <w:instrText xml:space="preserve"> PAGEREF _Toc431824245 \h </w:instrText>
      </w:r>
      <w:r>
        <w:fldChar w:fldCharType="separate"/>
      </w:r>
      <w:r w:rsidR="00485049">
        <w:t>10</w:t>
      </w:r>
      <w:r>
        <w:fldChar w:fldCharType="end"/>
      </w:r>
    </w:p>
    <w:p w:rsidR="00274B21" w:rsidRDefault="00274B21">
      <w:pPr>
        <w:pStyle w:val="TOC6"/>
        <w:rPr>
          <w:rFonts w:asciiTheme="minorHAnsi" w:hAnsiTheme="minorHAnsi" w:cstheme="minorBidi"/>
          <w:sz w:val="22"/>
          <w:szCs w:val="22"/>
        </w:rPr>
      </w:pPr>
      <w:r w:rsidRPr="00D070C7">
        <w:rPr>
          <w:lang w:val="es-ES_tradnl"/>
        </w:rPr>
        <w:t>3.  Cooperación en materia de examen de variedades vegetales para la obtención de derechos de obtentor</w:t>
      </w:r>
      <w:r>
        <w:tab/>
      </w:r>
      <w:r>
        <w:fldChar w:fldCharType="begin"/>
      </w:r>
      <w:r>
        <w:instrText xml:space="preserve"> PAGEREF _Toc431824246 \h </w:instrText>
      </w:r>
      <w:r>
        <w:fldChar w:fldCharType="separate"/>
      </w:r>
      <w:r w:rsidR="00485049">
        <w:t>10</w:t>
      </w:r>
      <w:r>
        <w:fldChar w:fldCharType="end"/>
      </w:r>
    </w:p>
    <w:p w:rsidR="00274B21" w:rsidRDefault="00274B21">
      <w:pPr>
        <w:pStyle w:val="TOC8"/>
        <w:rPr>
          <w:rFonts w:asciiTheme="minorHAnsi" w:hAnsiTheme="minorHAnsi" w:cstheme="minorBidi"/>
          <w:i w:val="0"/>
          <w:sz w:val="22"/>
          <w:szCs w:val="22"/>
        </w:rPr>
      </w:pPr>
      <w:r w:rsidRPr="00D070C7">
        <w:rPr>
          <w:lang w:val="es-ES_tradnl"/>
        </w:rPr>
        <w:t>Base de datos GENIE:  visitas al sitio web de la UPOV en 2014</w:t>
      </w:r>
      <w:r>
        <w:tab/>
      </w:r>
      <w:r>
        <w:fldChar w:fldCharType="begin"/>
      </w:r>
      <w:r>
        <w:instrText xml:space="preserve"> PAGEREF _Toc431824247 \h </w:instrText>
      </w:r>
      <w:r>
        <w:fldChar w:fldCharType="separate"/>
      </w:r>
      <w:r w:rsidR="00485049">
        <w:t>10</w:t>
      </w:r>
      <w:r>
        <w:fldChar w:fldCharType="end"/>
      </w:r>
    </w:p>
    <w:p w:rsidR="00274B21" w:rsidRDefault="00274B21">
      <w:pPr>
        <w:pStyle w:val="TOC8"/>
        <w:rPr>
          <w:rFonts w:asciiTheme="minorHAnsi" w:hAnsiTheme="minorHAnsi" w:cstheme="minorBidi"/>
          <w:i w:val="0"/>
          <w:sz w:val="22"/>
          <w:szCs w:val="22"/>
        </w:rPr>
      </w:pPr>
      <w:r w:rsidRPr="00D070C7">
        <w:rPr>
          <w:lang w:val="es-ES_tradnl"/>
        </w:rPr>
        <w:t>a)  Géneros y especies vegetales respecto de los cuales los miembros de la Unión poseen experiencia práctica</w:t>
      </w:r>
      <w:r>
        <w:tab/>
      </w:r>
      <w:r>
        <w:fldChar w:fldCharType="begin"/>
      </w:r>
      <w:r>
        <w:instrText xml:space="preserve"> PAGEREF _Toc431824248 \h </w:instrText>
      </w:r>
      <w:r>
        <w:fldChar w:fldCharType="separate"/>
      </w:r>
      <w:r w:rsidR="00485049">
        <w:t>11</w:t>
      </w:r>
      <w:r>
        <w:fldChar w:fldCharType="end"/>
      </w:r>
    </w:p>
    <w:p w:rsidR="00274B21" w:rsidRDefault="00274B21">
      <w:pPr>
        <w:pStyle w:val="TOC8"/>
        <w:rPr>
          <w:rFonts w:asciiTheme="minorHAnsi" w:hAnsiTheme="minorHAnsi" w:cstheme="minorBidi"/>
          <w:i w:val="0"/>
          <w:sz w:val="22"/>
          <w:szCs w:val="22"/>
        </w:rPr>
      </w:pPr>
      <w:r w:rsidRPr="00D070C7">
        <w:rPr>
          <w:lang w:val="es-ES_tradnl"/>
        </w:rPr>
        <w:t>b)  Géneros y especies vegetales respecto de los cuales los miembros de la Unión cooperan en el examen DHE, según se indica en la base de datos GENIE</w:t>
      </w:r>
      <w:r>
        <w:tab/>
      </w:r>
      <w:r>
        <w:fldChar w:fldCharType="begin"/>
      </w:r>
      <w:r>
        <w:instrText xml:space="preserve"> PAGEREF _Toc431824249 \h </w:instrText>
      </w:r>
      <w:r>
        <w:fldChar w:fldCharType="separate"/>
      </w:r>
      <w:r w:rsidR="00485049">
        <w:t>11</w:t>
      </w:r>
      <w:r>
        <w:fldChar w:fldCharType="end"/>
      </w:r>
    </w:p>
    <w:p w:rsidR="00274B21" w:rsidRDefault="00274B21">
      <w:pPr>
        <w:pStyle w:val="TOC8"/>
        <w:rPr>
          <w:rFonts w:asciiTheme="minorHAnsi" w:hAnsiTheme="minorHAnsi" w:cstheme="minorBidi"/>
          <w:i w:val="0"/>
          <w:sz w:val="22"/>
          <w:szCs w:val="22"/>
        </w:rPr>
      </w:pPr>
      <w:r w:rsidRPr="00D070C7">
        <w:rPr>
          <w:lang w:val="es-ES_tradnl"/>
        </w:rPr>
        <w:t>-  Cooperación general</w:t>
      </w:r>
      <w:r>
        <w:tab/>
      </w:r>
      <w:r>
        <w:fldChar w:fldCharType="begin"/>
      </w:r>
      <w:r>
        <w:instrText xml:space="preserve"> PAGEREF _Toc431824250 \h </w:instrText>
      </w:r>
      <w:r>
        <w:fldChar w:fldCharType="separate"/>
      </w:r>
      <w:r w:rsidR="00485049">
        <w:t>11</w:t>
      </w:r>
      <w:r>
        <w:fldChar w:fldCharType="end"/>
      </w:r>
    </w:p>
    <w:p w:rsidR="00274B21" w:rsidRDefault="00274B21">
      <w:pPr>
        <w:pStyle w:val="TOC8"/>
        <w:rPr>
          <w:rFonts w:asciiTheme="minorHAnsi" w:hAnsiTheme="minorHAnsi" w:cstheme="minorBidi"/>
          <w:i w:val="0"/>
          <w:sz w:val="22"/>
          <w:szCs w:val="22"/>
        </w:rPr>
      </w:pPr>
      <w:r w:rsidRPr="00D070C7">
        <w:rPr>
          <w:lang w:val="es-ES_tradnl"/>
        </w:rPr>
        <w:t>-  Número de acuerdos bilaterales y regionales sobre protección de las variedades vegetales</w:t>
      </w:r>
      <w:r>
        <w:tab/>
      </w:r>
      <w:r>
        <w:fldChar w:fldCharType="begin"/>
      </w:r>
      <w:r>
        <w:instrText xml:space="preserve"> PAGEREF _Toc431824251 \h </w:instrText>
      </w:r>
      <w:r>
        <w:fldChar w:fldCharType="separate"/>
      </w:r>
      <w:r w:rsidR="00485049">
        <w:t>11</w:t>
      </w:r>
      <w:r>
        <w:fldChar w:fldCharType="end"/>
      </w:r>
    </w:p>
    <w:p w:rsidR="00274B21" w:rsidRDefault="00274B21">
      <w:pPr>
        <w:pStyle w:val="TOC8"/>
        <w:rPr>
          <w:rFonts w:asciiTheme="minorHAnsi" w:hAnsiTheme="minorHAnsi" w:cstheme="minorBidi"/>
          <w:i w:val="0"/>
          <w:sz w:val="22"/>
          <w:szCs w:val="22"/>
        </w:rPr>
      </w:pPr>
      <w:r w:rsidRPr="00D070C7">
        <w:rPr>
          <w:lang w:val="es-ES_tradnl"/>
        </w:rPr>
        <w:t>c)  Participación en la elaboración de directrices de examen</w:t>
      </w:r>
      <w:r>
        <w:tab/>
      </w:r>
      <w:r>
        <w:fldChar w:fldCharType="begin"/>
      </w:r>
      <w:r>
        <w:instrText xml:space="preserve"> PAGEREF _Toc431824252 \h </w:instrText>
      </w:r>
      <w:r>
        <w:fldChar w:fldCharType="separate"/>
      </w:r>
      <w:r w:rsidR="00485049">
        <w:t>11</w:t>
      </w:r>
      <w:r>
        <w:fldChar w:fldCharType="end"/>
      </w:r>
    </w:p>
    <w:p w:rsidR="00274B21" w:rsidRDefault="00274B21">
      <w:pPr>
        <w:pStyle w:val="TOC8"/>
        <w:rPr>
          <w:rFonts w:asciiTheme="minorHAnsi" w:hAnsiTheme="minorHAnsi" w:cstheme="minorBidi"/>
          <w:i w:val="0"/>
          <w:sz w:val="22"/>
          <w:szCs w:val="22"/>
        </w:rPr>
      </w:pPr>
      <w:r w:rsidRPr="00D070C7">
        <w:rPr>
          <w:lang w:val="es-ES_tradnl"/>
        </w:rPr>
        <w:t>Base de datos PLUTO:  visitas al sitio web de la UPOV en 2014</w:t>
      </w:r>
      <w:r>
        <w:tab/>
      </w:r>
      <w:r>
        <w:fldChar w:fldCharType="begin"/>
      </w:r>
      <w:r>
        <w:instrText xml:space="preserve"> PAGEREF _Toc431824253 \h </w:instrText>
      </w:r>
      <w:r>
        <w:fldChar w:fldCharType="separate"/>
      </w:r>
      <w:r w:rsidR="00485049">
        <w:t>13</w:t>
      </w:r>
      <w:r>
        <w:fldChar w:fldCharType="end"/>
      </w:r>
    </w:p>
    <w:p w:rsidR="00274B21" w:rsidRDefault="00274B21">
      <w:pPr>
        <w:pStyle w:val="TOC8"/>
        <w:rPr>
          <w:rFonts w:asciiTheme="minorHAnsi" w:hAnsiTheme="minorHAnsi" w:cstheme="minorBidi"/>
          <w:i w:val="0"/>
          <w:sz w:val="22"/>
          <w:szCs w:val="22"/>
        </w:rPr>
      </w:pPr>
      <w:r w:rsidRPr="00D070C7">
        <w:rPr>
          <w:lang w:val="es-ES_tradnl"/>
        </w:rPr>
        <w:t>d)  Calidad e integridad de los datos de la Base de datos sobre variedades vegetales y calidad del mecanismo de búsqueda;  mecanismos de acceso a otros datos pertinentes</w:t>
      </w:r>
      <w:r>
        <w:tab/>
      </w:r>
      <w:r>
        <w:fldChar w:fldCharType="begin"/>
      </w:r>
      <w:r>
        <w:instrText xml:space="preserve"> PAGEREF _Toc431824254 \h </w:instrText>
      </w:r>
      <w:r>
        <w:fldChar w:fldCharType="separate"/>
      </w:r>
      <w:r w:rsidR="00485049">
        <w:t>13</w:t>
      </w:r>
      <w:r>
        <w:fldChar w:fldCharType="end"/>
      </w:r>
    </w:p>
    <w:p w:rsidR="00274B21" w:rsidRDefault="00274B21">
      <w:pPr>
        <w:pStyle w:val="TOC8"/>
        <w:rPr>
          <w:rFonts w:asciiTheme="minorHAnsi" w:hAnsiTheme="minorHAnsi" w:cstheme="minorBidi"/>
          <w:i w:val="0"/>
          <w:sz w:val="22"/>
          <w:szCs w:val="22"/>
        </w:rPr>
      </w:pPr>
      <w:r w:rsidRPr="00D070C7">
        <w:rPr>
          <w:lang w:val="es-ES_tradnl"/>
        </w:rPr>
        <w:t>e)  Programas informáticos para intercambio incluidos en el documento UPOV/INF/16 “Programas informáticos para intercambio”</w:t>
      </w:r>
      <w:r>
        <w:tab/>
      </w:r>
      <w:r>
        <w:fldChar w:fldCharType="begin"/>
      </w:r>
      <w:r>
        <w:instrText xml:space="preserve"> PAGEREF _Toc431824255 \h </w:instrText>
      </w:r>
      <w:r>
        <w:fldChar w:fldCharType="separate"/>
      </w:r>
      <w:r w:rsidR="00485049">
        <w:t>13</w:t>
      </w:r>
      <w:r>
        <w:fldChar w:fldCharType="end"/>
      </w:r>
    </w:p>
    <w:p w:rsidR="00274B21" w:rsidRDefault="00274B21">
      <w:pPr>
        <w:pStyle w:val="TOC6"/>
        <w:rPr>
          <w:rFonts w:asciiTheme="minorHAnsi" w:hAnsiTheme="minorHAnsi" w:cstheme="minorBidi"/>
          <w:sz w:val="22"/>
          <w:szCs w:val="22"/>
        </w:rPr>
      </w:pPr>
      <w:r w:rsidRPr="00D070C7">
        <w:rPr>
          <w:lang w:val="es-ES_tradnl"/>
        </w:rPr>
        <w:t>4.  Participación de los miembros de la Unión y los sectores interesados en la labor de los órganos de la UPOV</w:t>
      </w:r>
      <w:r>
        <w:tab/>
      </w:r>
      <w:r>
        <w:fldChar w:fldCharType="begin"/>
      </w:r>
      <w:r>
        <w:instrText xml:space="preserve"> PAGEREF _Toc431824256 \h </w:instrText>
      </w:r>
      <w:r>
        <w:fldChar w:fldCharType="separate"/>
      </w:r>
      <w:r w:rsidR="00485049">
        <w:t>14</w:t>
      </w:r>
      <w:r>
        <w:fldChar w:fldCharType="end"/>
      </w:r>
    </w:p>
    <w:p w:rsidR="00274B21" w:rsidRDefault="00274B21">
      <w:pPr>
        <w:pStyle w:val="TOC8"/>
        <w:rPr>
          <w:rFonts w:asciiTheme="minorHAnsi" w:hAnsiTheme="minorHAnsi" w:cstheme="minorBidi"/>
          <w:i w:val="0"/>
          <w:sz w:val="22"/>
          <w:szCs w:val="22"/>
        </w:rPr>
      </w:pPr>
      <w:r w:rsidRPr="00D070C7">
        <w:rPr>
          <w:lang w:val="es-ES_tradnl"/>
        </w:rPr>
        <w:t>a)  Participación en el Comité Administrativo y Jurídico</w:t>
      </w:r>
      <w:r>
        <w:tab/>
      </w:r>
      <w:r>
        <w:fldChar w:fldCharType="begin"/>
      </w:r>
      <w:r>
        <w:instrText xml:space="preserve"> PAGEREF _Toc431824257 \h </w:instrText>
      </w:r>
      <w:r>
        <w:fldChar w:fldCharType="separate"/>
      </w:r>
      <w:r w:rsidR="00485049">
        <w:t>14</w:t>
      </w:r>
      <w:r>
        <w:fldChar w:fldCharType="end"/>
      </w:r>
    </w:p>
    <w:p w:rsidR="00274B21" w:rsidRDefault="00274B21">
      <w:pPr>
        <w:pStyle w:val="TOC8"/>
        <w:rPr>
          <w:rFonts w:asciiTheme="minorHAnsi" w:hAnsiTheme="minorHAnsi" w:cstheme="minorBidi"/>
          <w:i w:val="0"/>
          <w:sz w:val="22"/>
          <w:szCs w:val="22"/>
        </w:rPr>
      </w:pPr>
      <w:r w:rsidRPr="00D070C7">
        <w:rPr>
          <w:lang w:val="es-ES_tradnl"/>
        </w:rPr>
        <w:t>b)  Participación en el Comité Técnico</w:t>
      </w:r>
      <w:r>
        <w:tab/>
      </w:r>
      <w:r>
        <w:fldChar w:fldCharType="begin"/>
      </w:r>
      <w:r>
        <w:instrText xml:space="preserve"> PAGEREF _Toc431824258 \h </w:instrText>
      </w:r>
      <w:r>
        <w:fldChar w:fldCharType="separate"/>
      </w:r>
      <w:r w:rsidR="00485049">
        <w:t>14</w:t>
      </w:r>
      <w:r>
        <w:fldChar w:fldCharType="end"/>
      </w:r>
    </w:p>
    <w:p w:rsidR="00274B21" w:rsidRDefault="00274B21">
      <w:pPr>
        <w:pStyle w:val="TOC8"/>
        <w:rPr>
          <w:rFonts w:asciiTheme="minorHAnsi" w:hAnsiTheme="minorHAnsi" w:cstheme="minorBidi"/>
          <w:i w:val="0"/>
          <w:sz w:val="22"/>
          <w:szCs w:val="22"/>
        </w:rPr>
      </w:pPr>
      <w:r w:rsidRPr="00D070C7">
        <w:rPr>
          <w:lang w:val="es-ES_tradnl"/>
        </w:rPr>
        <w:t>c)  Participación en las sesiones de los Grupos de Trabajo Técnico</w:t>
      </w:r>
      <w:r>
        <w:tab/>
      </w:r>
      <w:r>
        <w:fldChar w:fldCharType="begin"/>
      </w:r>
      <w:r>
        <w:instrText xml:space="preserve"> PAGEREF _Toc431824259 \h </w:instrText>
      </w:r>
      <w:r>
        <w:fldChar w:fldCharType="separate"/>
      </w:r>
      <w:r w:rsidR="00485049">
        <w:t>14</w:t>
      </w:r>
      <w:r>
        <w:fldChar w:fldCharType="end"/>
      </w:r>
    </w:p>
    <w:p w:rsidR="00274B21" w:rsidRDefault="00274B21">
      <w:pPr>
        <w:pStyle w:val="TOC8"/>
        <w:rPr>
          <w:rFonts w:asciiTheme="minorHAnsi" w:hAnsiTheme="minorHAnsi" w:cstheme="minorBidi"/>
          <w:i w:val="0"/>
          <w:sz w:val="22"/>
          <w:szCs w:val="22"/>
        </w:rPr>
      </w:pPr>
      <w:r w:rsidRPr="00D070C7">
        <w:rPr>
          <w:lang w:val="es-ES_tradnl"/>
        </w:rPr>
        <w:t>d)  Participación en los talleres preparatorios de las sesiones de los Grupos de Trabajo Técnico</w:t>
      </w:r>
      <w:r>
        <w:tab/>
      </w:r>
      <w:r>
        <w:fldChar w:fldCharType="begin"/>
      </w:r>
      <w:r>
        <w:instrText xml:space="preserve"> PAGEREF _Toc431824260 \h </w:instrText>
      </w:r>
      <w:r>
        <w:fldChar w:fldCharType="separate"/>
      </w:r>
      <w:r w:rsidR="00485049">
        <w:t>14</w:t>
      </w:r>
      <w:r>
        <w:fldChar w:fldCharType="end"/>
      </w:r>
    </w:p>
    <w:p w:rsidR="00274B21" w:rsidRDefault="00274B21">
      <w:pPr>
        <w:pStyle w:val="TOC8"/>
        <w:rPr>
          <w:rFonts w:asciiTheme="minorHAnsi" w:hAnsiTheme="minorHAnsi" w:cstheme="minorBidi"/>
          <w:i w:val="0"/>
          <w:sz w:val="22"/>
          <w:szCs w:val="22"/>
        </w:rPr>
      </w:pPr>
      <w:r w:rsidRPr="00D070C7">
        <w:rPr>
          <w:lang w:val="es-ES_tradnl"/>
        </w:rPr>
        <w:t>e)  Explicación de las medidas para mejorar la eficacia del TC, los TWP y los talleres preparatorios</w:t>
      </w:r>
      <w:r>
        <w:tab/>
      </w:r>
      <w:r>
        <w:fldChar w:fldCharType="begin"/>
      </w:r>
      <w:r>
        <w:instrText xml:space="preserve"> PAGEREF _Toc431824261 \h </w:instrText>
      </w:r>
      <w:r>
        <w:fldChar w:fldCharType="separate"/>
      </w:r>
      <w:r w:rsidR="00485049">
        <w:t>14</w:t>
      </w:r>
      <w:r>
        <w:fldChar w:fldCharType="end"/>
      </w:r>
    </w:p>
    <w:p w:rsidR="00274B21" w:rsidRDefault="00274B21">
      <w:pPr>
        <w:pStyle w:val="TOC6"/>
        <w:rPr>
          <w:rFonts w:asciiTheme="minorHAnsi" w:hAnsiTheme="minorHAnsi" w:cstheme="minorBidi"/>
          <w:sz w:val="22"/>
          <w:szCs w:val="22"/>
        </w:rPr>
      </w:pPr>
      <w:r w:rsidRPr="00D070C7">
        <w:rPr>
          <w:lang w:val="es-ES_tradnl"/>
        </w:rPr>
        <w:t>5.  Documentos y material de la UPOV en otros idiomas</w:t>
      </w:r>
      <w:r>
        <w:tab/>
      </w:r>
      <w:r>
        <w:fldChar w:fldCharType="begin"/>
      </w:r>
      <w:r>
        <w:instrText xml:space="preserve"> PAGEREF _Toc431824262 \h </w:instrText>
      </w:r>
      <w:r>
        <w:fldChar w:fldCharType="separate"/>
      </w:r>
      <w:r w:rsidR="00485049">
        <w:t>14</w:t>
      </w:r>
      <w:r>
        <w:fldChar w:fldCharType="end"/>
      </w:r>
    </w:p>
    <w:p w:rsidR="00274B21" w:rsidRDefault="00274B21">
      <w:pPr>
        <w:pStyle w:val="TOC8"/>
        <w:rPr>
          <w:rFonts w:asciiTheme="minorHAnsi" w:hAnsiTheme="minorHAnsi" w:cstheme="minorBidi"/>
          <w:i w:val="0"/>
          <w:sz w:val="22"/>
          <w:szCs w:val="22"/>
        </w:rPr>
      </w:pPr>
      <w:r w:rsidRPr="00D070C7">
        <w:rPr>
          <w:lang w:val="es-ES_tradnl"/>
        </w:rPr>
        <w:t>a)  Disponibilidad de los documentos y del material de la UPOV en otros idiomas además de los de la UPOV (español, alemán, francés e inglés)</w:t>
      </w:r>
      <w:r>
        <w:tab/>
      </w:r>
      <w:r>
        <w:fldChar w:fldCharType="begin"/>
      </w:r>
      <w:r>
        <w:instrText xml:space="preserve"> PAGEREF _Toc431824263 \h </w:instrText>
      </w:r>
      <w:r>
        <w:fldChar w:fldCharType="separate"/>
      </w:r>
      <w:r w:rsidR="00485049">
        <w:t>14</w:t>
      </w:r>
      <w:r>
        <w:fldChar w:fldCharType="end"/>
      </w:r>
    </w:p>
    <w:p w:rsidR="00274B21" w:rsidRDefault="00274B21">
      <w:pPr>
        <w:pStyle w:val="TOC6"/>
        <w:rPr>
          <w:rFonts w:asciiTheme="minorHAnsi" w:hAnsiTheme="minorHAnsi" w:cstheme="minorBidi"/>
          <w:sz w:val="22"/>
          <w:szCs w:val="22"/>
        </w:rPr>
      </w:pPr>
      <w:r w:rsidRPr="00D070C7">
        <w:rPr>
          <w:lang w:val="es-ES_tradnl"/>
        </w:rPr>
        <w:t>6.  Simplificación de las solicitudes de derechos de obtentor</w:t>
      </w:r>
      <w:r>
        <w:tab/>
      </w:r>
      <w:r>
        <w:fldChar w:fldCharType="begin"/>
      </w:r>
      <w:r>
        <w:instrText xml:space="preserve"> PAGEREF _Toc431824264 \h </w:instrText>
      </w:r>
      <w:r>
        <w:fldChar w:fldCharType="separate"/>
      </w:r>
      <w:r w:rsidR="00485049">
        <w:t>15</w:t>
      </w:r>
      <w:r>
        <w:fldChar w:fldCharType="end"/>
      </w:r>
    </w:p>
    <w:p w:rsidR="00274B21" w:rsidRDefault="00274B21">
      <w:pPr>
        <w:pStyle w:val="TOC8"/>
        <w:rPr>
          <w:rFonts w:asciiTheme="minorHAnsi" w:hAnsiTheme="minorHAnsi" w:cstheme="minorBidi"/>
          <w:i w:val="0"/>
          <w:sz w:val="22"/>
          <w:szCs w:val="22"/>
        </w:rPr>
      </w:pPr>
      <w:r w:rsidRPr="00D070C7">
        <w:rPr>
          <w:lang w:val="es-ES_tradnl"/>
        </w:rPr>
        <w:t>a)  Número de solicitudes de derechos de obtentor</w:t>
      </w:r>
      <w:r>
        <w:tab/>
      </w:r>
      <w:r>
        <w:fldChar w:fldCharType="begin"/>
      </w:r>
      <w:r>
        <w:instrText xml:space="preserve"> PAGEREF _Toc431824265 \h </w:instrText>
      </w:r>
      <w:r>
        <w:fldChar w:fldCharType="separate"/>
      </w:r>
      <w:r w:rsidR="00485049">
        <w:t>15</w:t>
      </w:r>
      <w:r>
        <w:fldChar w:fldCharType="end"/>
      </w:r>
    </w:p>
    <w:p w:rsidR="00274B21" w:rsidRDefault="00274B21">
      <w:pPr>
        <w:pStyle w:val="TOC8"/>
        <w:rPr>
          <w:rFonts w:asciiTheme="minorHAnsi" w:hAnsiTheme="minorHAnsi" w:cstheme="minorBidi"/>
          <w:i w:val="0"/>
          <w:sz w:val="22"/>
          <w:szCs w:val="22"/>
        </w:rPr>
      </w:pPr>
      <w:r w:rsidRPr="00D070C7">
        <w:rPr>
          <w:lang w:val="es-ES_tradnl"/>
        </w:rPr>
        <w:t>b)  Número de títulos concedidos</w:t>
      </w:r>
      <w:r>
        <w:tab/>
      </w:r>
      <w:r>
        <w:fldChar w:fldCharType="begin"/>
      </w:r>
      <w:r>
        <w:instrText xml:space="preserve"> PAGEREF _Toc431824266 \h </w:instrText>
      </w:r>
      <w:r>
        <w:fldChar w:fldCharType="separate"/>
      </w:r>
      <w:r w:rsidR="00485049">
        <w:t>15</w:t>
      </w:r>
      <w:r>
        <w:fldChar w:fldCharType="end"/>
      </w:r>
    </w:p>
    <w:p w:rsidR="00274B21" w:rsidRDefault="00274B21">
      <w:pPr>
        <w:pStyle w:val="TOC8"/>
        <w:rPr>
          <w:rFonts w:asciiTheme="minorHAnsi" w:hAnsiTheme="minorHAnsi" w:cstheme="minorBidi"/>
          <w:i w:val="0"/>
          <w:sz w:val="22"/>
          <w:szCs w:val="22"/>
        </w:rPr>
      </w:pPr>
      <w:r w:rsidRPr="00D070C7">
        <w:rPr>
          <w:lang w:val="es-ES_tradnl"/>
        </w:rPr>
        <w:t>c)  Número de títulos en vigor</w:t>
      </w:r>
      <w:r>
        <w:tab/>
      </w:r>
      <w:r>
        <w:fldChar w:fldCharType="begin"/>
      </w:r>
      <w:r>
        <w:instrText xml:space="preserve"> PAGEREF _Toc431824267 \h </w:instrText>
      </w:r>
      <w:r>
        <w:fldChar w:fldCharType="separate"/>
      </w:r>
      <w:r w:rsidR="00485049">
        <w:t>15</w:t>
      </w:r>
      <w:r>
        <w:fldChar w:fldCharType="end"/>
      </w:r>
    </w:p>
    <w:p w:rsidR="00274B21" w:rsidRDefault="00274B21">
      <w:pPr>
        <w:pStyle w:val="TOC8"/>
        <w:rPr>
          <w:rFonts w:asciiTheme="minorHAnsi" w:hAnsiTheme="minorHAnsi" w:cstheme="minorBidi"/>
          <w:i w:val="0"/>
          <w:sz w:val="22"/>
          <w:szCs w:val="22"/>
        </w:rPr>
      </w:pPr>
      <w:r w:rsidRPr="00D070C7">
        <w:rPr>
          <w:lang w:val="es-ES_tradnl"/>
        </w:rPr>
        <w:t>d)  Número de géneros/especies protegidos por los miembros de la Unión</w:t>
      </w:r>
      <w:r>
        <w:tab/>
      </w:r>
      <w:r>
        <w:fldChar w:fldCharType="begin"/>
      </w:r>
      <w:r>
        <w:instrText xml:space="preserve"> PAGEREF _Toc431824268 \h </w:instrText>
      </w:r>
      <w:r>
        <w:fldChar w:fldCharType="separate"/>
      </w:r>
      <w:r w:rsidR="00485049">
        <w:t>15</w:t>
      </w:r>
      <w:r>
        <w:fldChar w:fldCharType="end"/>
      </w:r>
    </w:p>
    <w:p w:rsidR="00274B21" w:rsidRDefault="00274B21">
      <w:pPr>
        <w:pStyle w:val="TOC8"/>
        <w:rPr>
          <w:rFonts w:asciiTheme="minorHAnsi" w:hAnsiTheme="minorHAnsi" w:cstheme="minorBidi"/>
          <w:i w:val="0"/>
          <w:sz w:val="22"/>
          <w:szCs w:val="22"/>
        </w:rPr>
      </w:pPr>
      <w:r w:rsidRPr="00D070C7">
        <w:rPr>
          <w:lang w:val="es-ES_tradnl"/>
        </w:rPr>
        <w:t>e)  Número de géneros/especies cuyas variedades se han protegido</w:t>
      </w:r>
      <w:r>
        <w:tab/>
      </w:r>
      <w:r>
        <w:fldChar w:fldCharType="begin"/>
      </w:r>
      <w:r>
        <w:instrText xml:space="preserve"> PAGEREF _Toc431824269 \h </w:instrText>
      </w:r>
      <w:r>
        <w:fldChar w:fldCharType="separate"/>
      </w:r>
      <w:r w:rsidR="00485049">
        <w:t>15</w:t>
      </w:r>
      <w:r>
        <w:fldChar w:fldCharType="end"/>
      </w:r>
    </w:p>
    <w:p w:rsidR="00274B21" w:rsidRDefault="00274B21">
      <w:pPr>
        <w:pStyle w:val="TOC8"/>
        <w:rPr>
          <w:rFonts w:asciiTheme="minorHAnsi" w:hAnsiTheme="minorHAnsi" w:cstheme="minorBidi"/>
          <w:i w:val="0"/>
          <w:sz w:val="22"/>
          <w:szCs w:val="22"/>
        </w:rPr>
      </w:pPr>
      <w:r w:rsidRPr="00D070C7">
        <w:rPr>
          <w:lang w:val="es-ES_tradnl"/>
        </w:rPr>
        <w:t>f)  Utilización por los miembros de la Unión de las referencias estándar de la UPOV en los formularios de solicitud</w:t>
      </w:r>
      <w:r>
        <w:tab/>
      </w:r>
      <w:r>
        <w:fldChar w:fldCharType="begin"/>
      </w:r>
      <w:r>
        <w:instrText xml:space="preserve"> PAGEREF _Toc431824270 \h </w:instrText>
      </w:r>
      <w:r>
        <w:fldChar w:fldCharType="separate"/>
      </w:r>
      <w:r w:rsidR="00485049">
        <w:t>15</w:t>
      </w:r>
      <w:r>
        <w:fldChar w:fldCharType="end"/>
      </w:r>
    </w:p>
    <w:p w:rsidR="00274B21" w:rsidRDefault="00274B21">
      <w:pPr>
        <w:pStyle w:val="TOC8"/>
        <w:rPr>
          <w:rFonts w:asciiTheme="minorHAnsi" w:hAnsiTheme="minorHAnsi" w:cstheme="minorBidi"/>
          <w:i w:val="0"/>
          <w:sz w:val="22"/>
          <w:szCs w:val="22"/>
        </w:rPr>
      </w:pPr>
      <w:r w:rsidRPr="00D070C7">
        <w:rPr>
          <w:lang w:val="es-ES_tradnl"/>
        </w:rPr>
        <w:t>g)  Proyecto de formulario electrónico de la UPOV</w:t>
      </w:r>
      <w:r>
        <w:tab/>
      </w:r>
      <w:r>
        <w:fldChar w:fldCharType="begin"/>
      </w:r>
      <w:r>
        <w:instrText xml:space="preserve"> PAGEREF _Toc431824271 \h </w:instrText>
      </w:r>
      <w:r>
        <w:fldChar w:fldCharType="separate"/>
      </w:r>
      <w:r w:rsidR="00485049">
        <w:t>16</w:t>
      </w:r>
      <w:r>
        <w:fldChar w:fldCharType="end"/>
      </w:r>
    </w:p>
    <w:p w:rsidR="00274B21" w:rsidRDefault="00274B21">
      <w:pPr>
        <w:pStyle w:val="TOC6"/>
        <w:rPr>
          <w:rFonts w:asciiTheme="minorHAnsi" w:hAnsiTheme="minorHAnsi" w:cstheme="minorBidi"/>
          <w:sz w:val="22"/>
          <w:szCs w:val="22"/>
        </w:rPr>
      </w:pPr>
      <w:r w:rsidRPr="00D070C7">
        <w:rPr>
          <w:lang w:val="es-ES_tradnl"/>
        </w:rPr>
        <w:t>7.  Suministro de información sobre el Convenio de la UPOV a los sectores interesados (obtentores, agricultores, cultivadores, comerciantes de semillas, etc.)</w:t>
      </w:r>
      <w:r>
        <w:tab/>
      </w:r>
      <w:r>
        <w:fldChar w:fldCharType="begin"/>
      </w:r>
      <w:r>
        <w:instrText xml:space="preserve"> PAGEREF _Toc431824272 \h </w:instrText>
      </w:r>
      <w:r>
        <w:fldChar w:fldCharType="separate"/>
      </w:r>
      <w:r w:rsidR="00485049">
        <w:t>16</w:t>
      </w:r>
      <w:r>
        <w:fldChar w:fldCharType="end"/>
      </w:r>
    </w:p>
    <w:p w:rsidR="00274B21" w:rsidRDefault="00274B21">
      <w:pPr>
        <w:pStyle w:val="TOC8"/>
        <w:rPr>
          <w:rFonts w:asciiTheme="minorHAnsi" w:hAnsiTheme="minorHAnsi" w:cstheme="minorBidi"/>
          <w:i w:val="0"/>
          <w:sz w:val="22"/>
          <w:szCs w:val="22"/>
        </w:rPr>
      </w:pPr>
      <w:r w:rsidRPr="00D070C7">
        <w:rPr>
          <w:lang w:val="es-ES_tradnl"/>
        </w:rPr>
        <w:t>a)  Información publicada en el sitio web de la UPOV y dirigida a los sectores interesados</w:t>
      </w:r>
      <w:r>
        <w:tab/>
      </w:r>
      <w:r>
        <w:fldChar w:fldCharType="begin"/>
      </w:r>
      <w:r>
        <w:instrText xml:space="preserve"> PAGEREF _Toc431824273 \h </w:instrText>
      </w:r>
      <w:r>
        <w:fldChar w:fldCharType="separate"/>
      </w:r>
      <w:r w:rsidR="00485049">
        <w:t>16</w:t>
      </w:r>
      <w:r>
        <w:fldChar w:fldCharType="end"/>
      </w:r>
    </w:p>
    <w:p w:rsidR="00274B21" w:rsidRDefault="00274B21">
      <w:pPr>
        <w:pStyle w:val="TOC3"/>
        <w:rPr>
          <w:rFonts w:asciiTheme="minorHAnsi" w:hAnsiTheme="minorHAnsi" w:cstheme="minorBidi"/>
          <w:b w:val="0"/>
          <w:noProof/>
          <w:sz w:val="22"/>
          <w:szCs w:val="22"/>
          <w:lang w:val="en-US"/>
        </w:rPr>
      </w:pPr>
      <w:r>
        <w:rPr>
          <w:noProof/>
        </w:rPr>
        <w:t>Subprograma UV.3:  Prestar asistencia para la introducción y aplicación del sistema de la UPOV</w:t>
      </w:r>
      <w:r>
        <w:rPr>
          <w:noProof/>
        </w:rPr>
        <w:tab/>
      </w:r>
      <w:r>
        <w:rPr>
          <w:noProof/>
        </w:rPr>
        <w:fldChar w:fldCharType="begin"/>
      </w:r>
      <w:r>
        <w:rPr>
          <w:noProof/>
        </w:rPr>
        <w:instrText xml:space="preserve"> PAGEREF _Toc431824274 \h </w:instrText>
      </w:r>
      <w:r>
        <w:rPr>
          <w:noProof/>
        </w:rPr>
      </w:r>
      <w:r>
        <w:rPr>
          <w:noProof/>
        </w:rPr>
        <w:fldChar w:fldCharType="separate"/>
      </w:r>
      <w:r w:rsidR="00485049">
        <w:rPr>
          <w:noProof/>
        </w:rPr>
        <w:t>18</w:t>
      </w:r>
      <w:r>
        <w:rPr>
          <w:noProof/>
        </w:rPr>
        <w:fldChar w:fldCharType="end"/>
      </w:r>
    </w:p>
    <w:p w:rsidR="00274B21" w:rsidRDefault="00274B21">
      <w:pPr>
        <w:pStyle w:val="TOC5"/>
        <w:rPr>
          <w:rFonts w:asciiTheme="minorHAnsi" w:hAnsiTheme="minorHAnsi" w:cstheme="minorBidi"/>
          <w:sz w:val="22"/>
          <w:szCs w:val="22"/>
          <w:lang w:val="en-US"/>
        </w:rPr>
      </w:pPr>
      <w:r>
        <w:t>Objetivos:</w:t>
      </w:r>
      <w:r>
        <w:tab/>
      </w:r>
      <w:r>
        <w:fldChar w:fldCharType="begin"/>
      </w:r>
      <w:r>
        <w:instrText xml:space="preserve"> PAGEREF _Toc431824275 \h </w:instrText>
      </w:r>
      <w:r>
        <w:fldChar w:fldCharType="separate"/>
      </w:r>
      <w:r w:rsidR="00485049">
        <w:t>18</w:t>
      </w:r>
      <w:r>
        <w:fldChar w:fldCharType="end"/>
      </w:r>
    </w:p>
    <w:p w:rsidR="00274B21" w:rsidRDefault="00274B21">
      <w:pPr>
        <w:pStyle w:val="TOC5"/>
        <w:rPr>
          <w:rFonts w:asciiTheme="minorHAnsi" w:hAnsiTheme="minorHAnsi" w:cstheme="minorBidi"/>
          <w:sz w:val="22"/>
          <w:szCs w:val="22"/>
          <w:lang w:val="en-US"/>
        </w:rPr>
      </w:pPr>
      <w:r>
        <w:t>Resultados previstos</w:t>
      </w:r>
      <w:r>
        <w:tab/>
      </w:r>
      <w:r>
        <w:fldChar w:fldCharType="begin"/>
      </w:r>
      <w:r>
        <w:instrText xml:space="preserve"> PAGEREF _Toc431824276 \h </w:instrText>
      </w:r>
      <w:r>
        <w:fldChar w:fldCharType="separate"/>
      </w:r>
      <w:r w:rsidR="00485049">
        <w:t>18</w:t>
      </w:r>
      <w:r>
        <w:fldChar w:fldCharType="end"/>
      </w:r>
    </w:p>
    <w:p w:rsidR="00274B21" w:rsidRDefault="00274B21">
      <w:pPr>
        <w:pStyle w:val="TOC7"/>
        <w:rPr>
          <w:rFonts w:asciiTheme="minorHAnsi" w:hAnsiTheme="minorHAnsi" w:cstheme="minorBidi"/>
          <w:i w:val="0"/>
          <w:sz w:val="22"/>
          <w:szCs w:val="22"/>
        </w:rPr>
      </w:pPr>
      <w:r w:rsidRPr="00D070C7">
        <w:rPr>
          <w:lang w:val="es-ES_tradnl"/>
        </w:rPr>
        <w:t>Resultados alcanzados:  indicadores de rendimiento</w:t>
      </w:r>
      <w:r>
        <w:tab/>
      </w:r>
      <w:r>
        <w:fldChar w:fldCharType="begin"/>
      </w:r>
      <w:r>
        <w:instrText xml:space="preserve"> PAGEREF _Toc431824277 \h </w:instrText>
      </w:r>
      <w:r>
        <w:fldChar w:fldCharType="separate"/>
      </w:r>
      <w:r w:rsidR="00485049">
        <w:t>18</w:t>
      </w:r>
      <w:r>
        <w:fldChar w:fldCharType="end"/>
      </w:r>
    </w:p>
    <w:p w:rsidR="00274B21" w:rsidRDefault="00274B21">
      <w:pPr>
        <w:pStyle w:val="TOC6"/>
        <w:rPr>
          <w:rFonts w:asciiTheme="minorHAnsi" w:hAnsiTheme="minorHAnsi" w:cstheme="minorBidi"/>
          <w:sz w:val="22"/>
          <w:szCs w:val="22"/>
        </w:rPr>
      </w:pPr>
      <w:r w:rsidRPr="00D070C7">
        <w:rPr>
          <w:lang w:val="es-ES_tradnl"/>
        </w:rPr>
        <w:t>1.  Fomento de la sensibilización acerca del papel de la protección de las variedades vegetales con arreglo al Convenio de la UPOV</w:t>
      </w:r>
      <w:r>
        <w:tab/>
      </w:r>
      <w:r>
        <w:fldChar w:fldCharType="begin"/>
      </w:r>
      <w:r>
        <w:instrText xml:space="preserve"> PAGEREF _Toc431824278 \h </w:instrText>
      </w:r>
      <w:r>
        <w:fldChar w:fldCharType="separate"/>
      </w:r>
      <w:r w:rsidR="00485049">
        <w:t>18</w:t>
      </w:r>
      <w:r>
        <w:fldChar w:fldCharType="end"/>
      </w:r>
    </w:p>
    <w:p w:rsidR="00274B21" w:rsidRDefault="00274B21">
      <w:pPr>
        <w:pStyle w:val="TOC8"/>
        <w:rPr>
          <w:rFonts w:asciiTheme="minorHAnsi" w:hAnsiTheme="minorHAnsi" w:cstheme="minorBidi"/>
          <w:i w:val="0"/>
          <w:sz w:val="22"/>
          <w:szCs w:val="22"/>
        </w:rPr>
      </w:pPr>
      <w:r w:rsidRPr="00D070C7">
        <w:rPr>
          <w:lang w:val="es-ES_tradnl"/>
        </w:rPr>
        <w:t>a)  Publicaciones sobre la función de la protección de las variedades vegetales, incluidas las publicaciones del sitio web de la UPOV</w:t>
      </w:r>
      <w:r>
        <w:tab/>
      </w:r>
      <w:r>
        <w:fldChar w:fldCharType="begin"/>
      </w:r>
      <w:r>
        <w:instrText xml:space="preserve"> PAGEREF _Toc431824279 \h </w:instrText>
      </w:r>
      <w:r>
        <w:fldChar w:fldCharType="separate"/>
      </w:r>
      <w:r w:rsidR="00485049">
        <w:t>18</w:t>
      </w:r>
      <w:r>
        <w:fldChar w:fldCharType="end"/>
      </w:r>
    </w:p>
    <w:p w:rsidR="00274B21" w:rsidRDefault="00274B21">
      <w:pPr>
        <w:pStyle w:val="TOC8"/>
        <w:rPr>
          <w:rFonts w:asciiTheme="minorHAnsi" w:hAnsiTheme="minorHAnsi" w:cstheme="minorBidi"/>
          <w:i w:val="0"/>
          <w:sz w:val="22"/>
          <w:szCs w:val="22"/>
        </w:rPr>
      </w:pPr>
      <w:r w:rsidRPr="00D070C7">
        <w:rPr>
          <w:lang w:val="es-ES_tradnl"/>
        </w:rPr>
        <w:t>b)  Estados y organizaciones que han recibido información en las actividades de la UPOV</w:t>
      </w:r>
      <w:r>
        <w:tab/>
      </w:r>
      <w:r>
        <w:fldChar w:fldCharType="begin"/>
      </w:r>
      <w:r>
        <w:instrText xml:space="preserve"> PAGEREF _Toc431824280 \h </w:instrText>
      </w:r>
      <w:r>
        <w:fldChar w:fldCharType="separate"/>
      </w:r>
      <w:r w:rsidR="00485049">
        <w:t>18</w:t>
      </w:r>
      <w:r>
        <w:fldChar w:fldCharType="end"/>
      </w:r>
    </w:p>
    <w:p w:rsidR="00274B21" w:rsidRDefault="00274B21">
      <w:pPr>
        <w:pStyle w:val="TOC8"/>
        <w:rPr>
          <w:rFonts w:asciiTheme="minorHAnsi" w:hAnsiTheme="minorHAnsi" w:cstheme="minorBidi"/>
          <w:i w:val="0"/>
          <w:sz w:val="22"/>
          <w:szCs w:val="22"/>
        </w:rPr>
      </w:pPr>
      <w:r w:rsidRPr="00D070C7">
        <w:rPr>
          <w:lang w:val="es-ES_tradnl"/>
        </w:rPr>
        <w:t>c)  Estados y organizaciones que han contactado con la Oficina de la Unión para recibir asistencia en la elaboración de legislación sobre la protección de las variedades vegetales</w:t>
      </w:r>
      <w:r>
        <w:tab/>
      </w:r>
      <w:r>
        <w:fldChar w:fldCharType="begin"/>
      </w:r>
      <w:r>
        <w:instrText xml:space="preserve"> PAGEREF _Toc431824281 \h </w:instrText>
      </w:r>
      <w:r>
        <w:fldChar w:fldCharType="separate"/>
      </w:r>
      <w:r w:rsidR="00485049">
        <w:t>18</w:t>
      </w:r>
      <w:r>
        <w:fldChar w:fldCharType="end"/>
      </w:r>
    </w:p>
    <w:p w:rsidR="00274B21" w:rsidRDefault="00274B21">
      <w:pPr>
        <w:pStyle w:val="TOC8"/>
        <w:rPr>
          <w:rFonts w:asciiTheme="minorHAnsi" w:hAnsiTheme="minorHAnsi" w:cstheme="minorBidi"/>
          <w:i w:val="0"/>
          <w:sz w:val="22"/>
          <w:szCs w:val="22"/>
        </w:rPr>
      </w:pPr>
      <w:r w:rsidRPr="00D070C7">
        <w:rPr>
          <w:lang w:val="es-ES_tradnl"/>
        </w:rPr>
        <w:t>d)  Estados y organizaciones que han iniciado ante el Consejo de la UPOV el procedimiento para ser miembro de la Unión</w:t>
      </w:r>
      <w:r>
        <w:tab/>
      </w:r>
      <w:r>
        <w:fldChar w:fldCharType="begin"/>
      </w:r>
      <w:r>
        <w:instrText xml:space="preserve"> PAGEREF _Toc431824282 \h </w:instrText>
      </w:r>
      <w:r>
        <w:fldChar w:fldCharType="separate"/>
      </w:r>
      <w:r w:rsidR="00485049">
        <w:t>18</w:t>
      </w:r>
      <w:r>
        <w:fldChar w:fldCharType="end"/>
      </w:r>
    </w:p>
    <w:p w:rsidR="00274B21" w:rsidRDefault="00274B21">
      <w:pPr>
        <w:pStyle w:val="TOC8"/>
        <w:rPr>
          <w:rFonts w:asciiTheme="minorHAnsi" w:hAnsiTheme="minorHAnsi" w:cstheme="minorBidi"/>
          <w:i w:val="0"/>
          <w:sz w:val="22"/>
          <w:szCs w:val="22"/>
        </w:rPr>
      </w:pPr>
      <w:r w:rsidRPr="00D070C7">
        <w:rPr>
          <w:lang w:val="es-ES_tradnl"/>
        </w:rPr>
        <w:t>e)  Participación en actividades de la UPOV de fomento de la sensibilización o actividades en las que toma parte el personal de la UPOV o formadores en nombre del personal de la UPOV</w:t>
      </w:r>
      <w:r>
        <w:tab/>
      </w:r>
      <w:r>
        <w:fldChar w:fldCharType="begin"/>
      </w:r>
      <w:r>
        <w:instrText xml:space="preserve"> PAGEREF _Toc431824283 \h </w:instrText>
      </w:r>
      <w:r>
        <w:fldChar w:fldCharType="separate"/>
      </w:r>
      <w:r w:rsidR="00485049">
        <w:t>19</w:t>
      </w:r>
      <w:r>
        <w:fldChar w:fldCharType="end"/>
      </w:r>
    </w:p>
    <w:p w:rsidR="00274B21" w:rsidRDefault="00274B21">
      <w:pPr>
        <w:pStyle w:val="TOC6"/>
        <w:rPr>
          <w:rFonts w:asciiTheme="minorHAnsi" w:hAnsiTheme="minorHAnsi" w:cstheme="minorBidi"/>
          <w:sz w:val="22"/>
          <w:szCs w:val="22"/>
        </w:rPr>
      </w:pPr>
      <w:r w:rsidRPr="00D070C7">
        <w:rPr>
          <w:lang w:val="es-ES_tradnl"/>
        </w:rPr>
        <w:t>2.  Asistencia en la elaboración de legislación sobre la protección de las variedades vegetales de conformidad con el Acta de 1991 del Convenio de la UPOV</w:t>
      </w:r>
      <w:r>
        <w:tab/>
      </w:r>
      <w:r>
        <w:fldChar w:fldCharType="begin"/>
      </w:r>
      <w:r>
        <w:instrText xml:space="preserve"> PAGEREF _Toc431824284 \h </w:instrText>
      </w:r>
      <w:r>
        <w:fldChar w:fldCharType="separate"/>
      </w:r>
      <w:r w:rsidR="00485049">
        <w:t>21</w:t>
      </w:r>
      <w:r>
        <w:fldChar w:fldCharType="end"/>
      </w:r>
    </w:p>
    <w:p w:rsidR="00274B21" w:rsidRDefault="00274B21">
      <w:pPr>
        <w:pStyle w:val="TOC8"/>
        <w:rPr>
          <w:rFonts w:asciiTheme="minorHAnsi" w:hAnsiTheme="minorHAnsi" w:cstheme="minorBidi"/>
          <w:i w:val="0"/>
          <w:sz w:val="22"/>
          <w:szCs w:val="22"/>
        </w:rPr>
      </w:pPr>
      <w:r w:rsidRPr="00D070C7">
        <w:rPr>
          <w:lang w:val="es-ES_tradnl"/>
        </w:rPr>
        <w:t>a)  Estados y organizaciones que han recibido comentarios sobre la legislación</w:t>
      </w:r>
      <w:r>
        <w:tab/>
      </w:r>
      <w:r>
        <w:fldChar w:fldCharType="begin"/>
      </w:r>
      <w:r>
        <w:instrText xml:space="preserve"> PAGEREF _Toc431824285 \h </w:instrText>
      </w:r>
      <w:r>
        <w:fldChar w:fldCharType="separate"/>
      </w:r>
      <w:r w:rsidR="00485049">
        <w:t>21</w:t>
      </w:r>
      <w:r>
        <w:fldChar w:fldCharType="end"/>
      </w:r>
    </w:p>
    <w:p w:rsidR="00274B21" w:rsidRDefault="00274B21">
      <w:pPr>
        <w:pStyle w:val="TOC8"/>
        <w:rPr>
          <w:rFonts w:asciiTheme="minorHAnsi" w:hAnsiTheme="minorHAnsi" w:cstheme="minorBidi"/>
          <w:i w:val="0"/>
          <w:sz w:val="22"/>
          <w:szCs w:val="22"/>
        </w:rPr>
      </w:pPr>
      <w:r w:rsidRPr="00D070C7">
        <w:rPr>
          <w:lang w:val="es-ES_tradnl"/>
        </w:rPr>
        <w:t>b)  Estados y organizaciones respecto de cuya legislación el Consejo de la UPOV ha adoptado una decisión positiva</w:t>
      </w:r>
      <w:r>
        <w:tab/>
      </w:r>
      <w:r>
        <w:fldChar w:fldCharType="begin"/>
      </w:r>
      <w:r>
        <w:instrText xml:space="preserve"> PAGEREF _Toc431824286 \h </w:instrText>
      </w:r>
      <w:r>
        <w:fldChar w:fldCharType="separate"/>
      </w:r>
      <w:r w:rsidR="00485049">
        <w:t>21</w:t>
      </w:r>
      <w:r>
        <w:fldChar w:fldCharType="end"/>
      </w:r>
    </w:p>
    <w:p w:rsidR="00274B21" w:rsidRDefault="00274B21">
      <w:pPr>
        <w:pStyle w:val="TOC8"/>
        <w:rPr>
          <w:rFonts w:asciiTheme="minorHAnsi" w:hAnsiTheme="minorHAnsi" w:cstheme="minorBidi"/>
          <w:i w:val="0"/>
          <w:sz w:val="22"/>
          <w:szCs w:val="22"/>
        </w:rPr>
      </w:pPr>
      <w:r w:rsidRPr="00D070C7">
        <w:rPr>
          <w:lang w:val="es-ES_tradnl"/>
        </w:rPr>
        <w:t>c)  Reuniones con funcionarios gubernamentales</w:t>
      </w:r>
      <w:r>
        <w:tab/>
      </w:r>
      <w:r>
        <w:fldChar w:fldCharType="begin"/>
      </w:r>
      <w:r>
        <w:instrText xml:space="preserve"> PAGEREF _Toc431824287 \h </w:instrText>
      </w:r>
      <w:r>
        <w:fldChar w:fldCharType="separate"/>
      </w:r>
      <w:r w:rsidR="00485049">
        <w:t>21</w:t>
      </w:r>
      <w:r>
        <w:fldChar w:fldCharType="end"/>
      </w:r>
    </w:p>
    <w:p w:rsidR="00274B21" w:rsidRDefault="00274B21">
      <w:pPr>
        <w:pStyle w:val="TOC6"/>
        <w:rPr>
          <w:rFonts w:asciiTheme="minorHAnsi" w:hAnsiTheme="minorHAnsi" w:cstheme="minorBidi"/>
          <w:sz w:val="22"/>
          <w:szCs w:val="22"/>
        </w:rPr>
      </w:pPr>
      <w:r w:rsidRPr="00D070C7">
        <w:rPr>
          <w:lang w:val="es-ES_tradnl"/>
        </w:rPr>
        <w:t>3.  Asistencia a Estados y organizaciones para la adhesión al Acta de 1991 del Convenio de la UPOV</w:t>
      </w:r>
      <w:r>
        <w:tab/>
      </w:r>
      <w:r>
        <w:fldChar w:fldCharType="begin"/>
      </w:r>
      <w:r>
        <w:instrText xml:space="preserve"> PAGEREF _Toc431824288 \h </w:instrText>
      </w:r>
      <w:r>
        <w:fldChar w:fldCharType="separate"/>
      </w:r>
      <w:r w:rsidR="00485049">
        <w:t>21</w:t>
      </w:r>
      <w:r>
        <w:fldChar w:fldCharType="end"/>
      </w:r>
    </w:p>
    <w:p w:rsidR="00274B21" w:rsidRDefault="00274B21">
      <w:pPr>
        <w:pStyle w:val="TOC8"/>
        <w:rPr>
          <w:rFonts w:asciiTheme="minorHAnsi" w:hAnsiTheme="minorHAnsi" w:cstheme="minorBidi"/>
          <w:i w:val="0"/>
          <w:sz w:val="22"/>
          <w:szCs w:val="22"/>
        </w:rPr>
      </w:pPr>
      <w:r w:rsidRPr="00D070C7">
        <w:rPr>
          <w:lang w:val="es-ES_tradnl"/>
        </w:rPr>
        <w:t>a)  Estados que se han adherido al Acta de 1991 del Convenio de la UPOV, o que han ratificado dicha Acta</w:t>
      </w:r>
      <w:r>
        <w:tab/>
      </w:r>
      <w:r>
        <w:fldChar w:fldCharType="begin"/>
      </w:r>
      <w:r>
        <w:instrText xml:space="preserve"> PAGEREF _Toc431824289 \h </w:instrText>
      </w:r>
      <w:r>
        <w:fldChar w:fldCharType="separate"/>
      </w:r>
      <w:r w:rsidR="00485049">
        <w:t>21</w:t>
      </w:r>
      <w:r>
        <w:fldChar w:fldCharType="end"/>
      </w:r>
    </w:p>
    <w:p w:rsidR="00274B21" w:rsidRDefault="00274B21">
      <w:pPr>
        <w:pStyle w:val="TOC8"/>
        <w:rPr>
          <w:rFonts w:asciiTheme="minorHAnsi" w:hAnsiTheme="minorHAnsi" w:cstheme="minorBidi"/>
          <w:i w:val="0"/>
          <w:sz w:val="22"/>
          <w:szCs w:val="22"/>
        </w:rPr>
      </w:pPr>
      <w:r w:rsidRPr="00D070C7">
        <w:rPr>
          <w:lang w:val="es-ES_tradnl"/>
        </w:rPr>
        <w:t>b)  Estados y organizaciones que han pasado a ser miembros de la Unión</w:t>
      </w:r>
      <w:r>
        <w:tab/>
      </w:r>
      <w:r>
        <w:fldChar w:fldCharType="begin"/>
      </w:r>
      <w:r>
        <w:instrText xml:space="preserve"> PAGEREF _Toc431824290 \h </w:instrText>
      </w:r>
      <w:r>
        <w:fldChar w:fldCharType="separate"/>
      </w:r>
      <w:r w:rsidR="00485049">
        <w:t>21</w:t>
      </w:r>
      <w:r>
        <w:fldChar w:fldCharType="end"/>
      </w:r>
    </w:p>
    <w:p w:rsidR="00274B21" w:rsidRDefault="00274B21">
      <w:pPr>
        <w:pStyle w:val="TOC6"/>
        <w:rPr>
          <w:rFonts w:asciiTheme="minorHAnsi" w:hAnsiTheme="minorHAnsi" w:cstheme="minorBidi"/>
          <w:sz w:val="22"/>
          <w:szCs w:val="22"/>
        </w:rPr>
      </w:pPr>
      <w:r w:rsidRPr="00D070C7">
        <w:rPr>
          <w:lang w:val="es-ES_tradnl"/>
        </w:rPr>
        <w:t>4.  Asistencia para la aplicación de un sistema eficaz de derechos de obtentor de conformidad con el Acta de 1991 del Convenio de la UPOV</w:t>
      </w:r>
      <w:r>
        <w:tab/>
      </w:r>
      <w:r>
        <w:fldChar w:fldCharType="begin"/>
      </w:r>
      <w:r>
        <w:instrText xml:space="preserve"> PAGEREF _Toc431824291 \h </w:instrText>
      </w:r>
      <w:r>
        <w:fldChar w:fldCharType="separate"/>
      </w:r>
      <w:r w:rsidR="00485049">
        <w:t>21</w:t>
      </w:r>
      <w:r>
        <w:fldChar w:fldCharType="end"/>
      </w:r>
    </w:p>
    <w:p w:rsidR="00274B21" w:rsidRDefault="00274B21">
      <w:pPr>
        <w:pStyle w:val="TOC8"/>
        <w:rPr>
          <w:rFonts w:asciiTheme="minorHAnsi" w:hAnsiTheme="minorHAnsi" w:cstheme="minorBidi"/>
          <w:i w:val="0"/>
          <w:sz w:val="22"/>
          <w:szCs w:val="22"/>
        </w:rPr>
      </w:pPr>
      <w:r w:rsidRPr="00D070C7">
        <w:rPr>
          <w:lang w:val="es-ES_tradnl"/>
        </w:rPr>
        <w:t>a)  Participación en cursos de enseñanza a distancia</w:t>
      </w:r>
      <w:r>
        <w:tab/>
      </w:r>
      <w:r>
        <w:fldChar w:fldCharType="begin"/>
      </w:r>
      <w:r>
        <w:instrText xml:space="preserve"> PAGEREF _Toc431824292 \h </w:instrText>
      </w:r>
      <w:r>
        <w:fldChar w:fldCharType="separate"/>
      </w:r>
      <w:r w:rsidR="00485049">
        <w:t>21</w:t>
      </w:r>
      <w:r>
        <w:fldChar w:fldCharType="end"/>
      </w:r>
    </w:p>
    <w:p w:rsidR="00274B21" w:rsidRDefault="00274B21">
      <w:pPr>
        <w:pStyle w:val="TOC8"/>
        <w:rPr>
          <w:rFonts w:asciiTheme="minorHAnsi" w:hAnsiTheme="minorHAnsi" w:cstheme="minorBidi"/>
          <w:i w:val="0"/>
          <w:sz w:val="22"/>
          <w:szCs w:val="22"/>
        </w:rPr>
      </w:pPr>
      <w:r w:rsidRPr="00D070C7">
        <w:rPr>
          <w:lang w:val="es-ES_tradnl"/>
        </w:rPr>
        <w:t>b)  Participación de Estados y organizaciones observadores en el CAJ, el TC, los TWP y los talleres preparatorios conexos</w:t>
      </w:r>
      <w:r>
        <w:tab/>
      </w:r>
      <w:r>
        <w:fldChar w:fldCharType="begin"/>
      </w:r>
      <w:r>
        <w:instrText xml:space="preserve"> PAGEREF _Toc431824293 \h </w:instrText>
      </w:r>
      <w:r>
        <w:fldChar w:fldCharType="separate"/>
      </w:r>
      <w:r w:rsidR="00485049">
        <w:t>23</w:t>
      </w:r>
      <w:r>
        <w:fldChar w:fldCharType="end"/>
      </w:r>
    </w:p>
    <w:p w:rsidR="00274B21" w:rsidRDefault="00274B21">
      <w:pPr>
        <w:pStyle w:val="TOC8"/>
        <w:rPr>
          <w:rFonts w:asciiTheme="minorHAnsi" w:hAnsiTheme="minorHAnsi" w:cstheme="minorBidi"/>
          <w:i w:val="0"/>
          <w:sz w:val="22"/>
          <w:szCs w:val="22"/>
        </w:rPr>
      </w:pPr>
      <w:r w:rsidRPr="00D070C7">
        <w:rPr>
          <w:lang w:val="es-ES_tradnl"/>
        </w:rPr>
        <w:t>c)  Participación en actividades de la UPOV</w:t>
      </w:r>
      <w:r>
        <w:tab/>
      </w:r>
      <w:r>
        <w:fldChar w:fldCharType="begin"/>
      </w:r>
      <w:r>
        <w:instrText xml:space="preserve"> PAGEREF _Toc431824294 \h </w:instrText>
      </w:r>
      <w:r>
        <w:fldChar w:fldCharType="separate"/>
      </w:r>
      <w:r w:rsidR="00485049">
        <w:t>23</w:t>
      </w:r>
      <w:r>
        <w:fldChar w:fldCharType="end"/>
      </w:r>
    </w:p>
    <w:p w:rsidR="00274B21" w:rsidRDefault="00274B21">
      <w:pPr>
        <w:pStyle w:val="TOC8"/>
        <w:rPr>
          <w:rFonts w:asciiTheme="minorHAnsi" w:hAnsiTheme="minorHAnsi" w:cstheme="minorBidi"/>
          <w:i w:val="0"/>
          <w:sz w:val="22"/>
          <w:szCs w:val="22"/>
        </w:rPr>
      </w:pPr>
      <w:r w:rsidRPr="00D070C7">
        <w:rPr>
          <w:lang w:val="es-ES_tradnl"/>
        </w:rPr>
        <w:t>d)  Participación en actividades en las que toma parte el personal de la UPOV o formadores en nombre del personal de la UPOV</w:t>
      </w:r>
      <w:r>
        <w:tab/>
      </w:r>
      <w:r>
        <w:fldChar w:fldCharType="begin"/>
      </w:r>
      <w:r>
        <w:instrText xml:space="preserve"> PAGEREF _Toc431824295 \h </w:instrText>
      </w:r>
      <w:r>
        <w:fldChar w:fldCharType="separate"/>
      </w:r>
      <w:r w:rsidR="00485049">
        <w:t>23</w:t>
      </w:r>
      <w:r>
        <w:fldChar w:fldCharType="end"/>
      </w:r>
    </w:p>
    <w:p w:rsidR="00274B21" w:rsidRDefault="00274B21">
      <w:pPr>
        <w:pStyle w:val="TOC8"/>
        <w:rPr>
          <w:rFonts w:asciiTheme="minorHAnsi" w:hAnsiTheme="minorHAnsi" w:cstheme="minorBidi"/>
          <w:i w:val="0"/>
          <w:sz w:val="22"/>
          <w:szCs w:val="22"/>
        </w:rPr>
      </w:pPr>
      <w:r w:rsidRPr="00D070C7">
        <w:rPr>
          <w:lang w:val="es-ES_tradnl"/>
        </w:rPr>
        <w:t>e)  Formación proporcionada por formadores de la UPOV en actividades no organizadas por la UPOV</w:t>
      </w:r>
      <w:r>
        <w:tab/>
      </w:r>
      <w:r>
        <w:fldChar w:fldCharType="begin"/>
      </w:r>
      <w:r>
        <w:instrText xml:space="preserve"> PAGEREF _Toc431824296 \h </w:instrText>
      </w:r>
      <w:r>
        <w:fldChar w:fldCharType="separate"/>
      </w:r>
      <w:r w:rsidR="00485049">
        <w:t>23</w:t>
      </w:r>
      <w:r>
        <w:fldChar w:fldCharType="end"/>
      </w:r>
    </w:p>
    <w:p w:rsidR="00274B21" w:rsidRDefault="00274B21">
      <w:pPr>
        <w:pStyle w:val="TOC8"/>
        <w:rPr>
          <w:rFonts w:asciiTheme="minorHAnsi" w:hAnsiTheme="minorHAnsi" w:cstheme="minorBidi"/>
          <w:i w:val="0"/>
          <w:sz w:val="22"/>
          <w:szCs w:val="22"/>
        </w:rPr>
      </w:pPr>
      <w:r w:rsidRPr="00D070C7">
        <w:rPr>
          <w:lang w:val="es-ES_tradnl"/>
        </w:rPr>
        <w:t>f)  Ejecución de proyectos con organizaciones y donantes asociados</w:t>
      </w:r>
      <w:r>
        <w:tab/>
      </w:r>
      <w:r>
        <w:fldChar w:fldCharType="begin"/>
      </w:r>
      <w:r>
        <w:instrText xml:space="preserve"> PAGEREF _Toc431824297 \h </w:instrText>
      </w:r>
      <w:r>
        <w:fldChar w:fldCharType="separate"/>
      </w:r>
      <w:r w:rsidR="00485049">
        <w:t>23</w:t>
      </w:r>
      <w:r>
        <w:fldChar w:fldCharType="end"/>
      </w:r>
    </w:p>
    <w:p w:rsidR="00274B21" w:rsidRDefault="00274B21">
      <w:pPr>
        <w:pStyle w:val="TOC3"/>
        <w:rPr>
          <w:rFonts w:asciiTheme="minorHAnsi" w:hAnsiTheme="minorHAnsi" w:cstheme="minorBidi"/>
          <w:b w:val="0"/>
          <w:noProof/>
          <w:sz w:val="22"/>
          <w:szCs w:val="22"/>
          <w:lang w:val="en-US"/>
        </w:rPr>
      </w:pPr>
      <w:r>
        <w:rPr>
          <w:noProof/>
        </w:rPr>
        <w:t>Subprograma UV.4:  Relaciones exteriores</w:t>
      </w:r>
      <w:r>
        <w:rPr>
          <w:noProof/>
        </w:rPr>
        <w:tab/>
      </w:r>
      <w:r>
        <w:rPr>
          <w:noProof/>
        </w:rPr>
        <w:fldChar w:fldCharType="begin"/>
      </w:r>
      <w:r>
        <w:rPr>
          <w:noProof/>
        </w:rPr>
        <w:instrText xml:space="preserve"> PAGEREF _Toc431824298 \h </w:instrText>
      </w:r>
      <w:r>
        <w:rPr>
          <w:noProof/>
        </w:rPr>
      </w:r>
      <w:r>
        <w:rPr>
          <w:noProof/>
        </w:rPr>
        <w:fldChar w:fldCharType="separate"/>
      </w:r>
      <w:r w:rsidR="00485049">
        <w:rPr>
          <w:noProof/>
        </w:rPr>
        <w:t>24</w:t>
      </w:r>
      <w:r>
        <w:rPr>
          <w:noProof/>
        </w:rPr>
        <w:fldChar w:fldCharType="end"/>
      </w:r>
    </w:p>
    <w:p w:rsidR="00274B21" w:rsidRDefault="00274B21">
      <w:pPr>
        <w:pStyle w:val="TOC5"/>
        <w:rPr>
          <w:rFonts w:asciiTheme="minorHAnsi" w:hAnsiTheme="minorHAnsi" w:cstheme="minorBidi"/>
          <w:sz w:val="22"/>
          <w:szCs w:val="22"/>
          <w:lang w:val="en-US"/>
        </w:rPr>
      </w:pPr>
      <w:r>
        <w:t>Objetivos:</w:t>
      </w:r>
      <w:r>
        <w:tab/>
      </w:r>
      <w:r>
        <w:fldChar w:fldCharType="begin"/>
      </w:r>
      <w:r>
        <w:instrText xml:space="preserve"> PAGEREF _Toc431824299 \h </w:instrText>
      </w:r>
      <w:r>
        <w:fldChar w:fldCharType="separate"/>
      </w:r>
      <w:r w:rsidR="00485049">
        <w:t>24</w:t>
      </w:r>
      <w:r>
        <w:fldChar w:fldCharType="end"/>
      </w:r>
    </w:p>
    <w:p w:rsidR="00274B21" w:rsidRDefault="00274B21">
      <w:pPr>
        <w:pStyle w:val="TOC5"/>
        <w:rPr>
          <w:rFonts w:asciiTheme="minorHAnsi" w:hAnsiTheme="minorHAnsi" w:cstheme="minorBidi"/>
          <w:sz w:val="22"/>
          <w:szCs w:val="22"/>
          <w:lang w:val="en-US"/>
        </w:rPr>
      </w:pPr>
      <w:r>
        <w:t>Resultados previstos</w:t>
      </w:r>
      <w:r>
        <w:tab/>
      </w:r>
      <w:r>
        <w:fldChar w:fldCharType="begin"/>
      </w:r>
      <w:r>
        <w:instrText xml:space="preserve"> PAGEREF _Toc431824300 \h </w:instrText>
      </w:r>
      <w:r>
        <w:fldChar w:fldCharType="separate"/>
      </w:r>
      <w:r w:rsidR="00485049">
        <w:t>24</w:t>
      </w:r>
      <w:r>
        <w:fldChar w:fldCharType="end"/>
      </w:r>
    </w:p>
    <w:p w:rsidR="00274B21" w:rsidRDefault="00274B21">
      <w:pPr>
        <w:pStyle w:val="TOC7"/>
        <w:rPr>
          <w:rFonts w:asciiTheme="minorHAnsi" w:hAnsiTheme="minorHAnsi" w:cstheme="minorBidi"/>
          <w:i w:val="0"/>
          <w:sz w:val="22"/>
          <w:szCs w:val="22"/>
        </w:rPr>
      </w:pPr>
      <w:r w:rsidRPr="00D070C7">
        <w:rPr>
          <w:lang w:val="es-ES_tradnl"/>
        </w:rPr>
        <w:t>Resultados alcanzados:  indicadores de rendimiento</w:t>
      </w:r>
      <w:r>
        <w:tab/>
      </w:r>
      <w:r>
        <w:fldChar w:fldCharType="begin"/>
      </w:r>
      <w:r>
        <w:instrText xml:space="preserve"> PAGEREF _Toc431824301 \h </w:instrText>
      </w:r>
      <w:r>
        <w:fldChar w:fldCharType="separate"/>
      </w:r>
      <w:r w:rsidR="00485049">
        <w:t>24</w:t>
      </w:r>
      <w:r>
        <w:fldChar w:fldCharType="end"/>
      </w:r>
    </w:p>
    <w:p w:rsidR="00274B21" w:rsidRDefault="00274B21">
      <w:pPr>
        <w:pStyle w:val="TOC6"/>
        <w:rPr>
          <w:rFonts w:asciiTheme="minorHAnsi" w:hAnsiTheme="minorHAnsi" w:cstheme="minorBidi"/>
          <w:sz w:val="22"/>
          <w:szCs w:val="22"/>
        </w:rPr>
      </w:pPr>
      <w:r w:rsidRPr="00D070C7">
        <w:rPr>
          <w:lang w:val="es-ES_tradnl"/>
        </w:rPr>
        <w:t>1.  Mejora de la comprensión del público acerca de la función y las actividades de la UPOV</w:t>
      </w:r>
      <w:r>
        <w:tab/>
      </w:r>
      <w:r>
        <w:fldChar w:fldCharType="begin"/>
      </w:r>
      <w:r>
        <w:instrText xml:space="preserve"> PAGEREF _Toc431824302 \h </w:instrText>
      </w:r>
      <w:r>
        <w:fldChar w:fldCharType="separate"/>
      </w:r>
      <w:r w:rsidR="00485049">
        <w:t>24</w:t>
      </w:r>
      <w:r>
        <w:fldChar w:fldCharType="end"/>
      </w:r>
    </w:p>
    <w:p w:rsidR="00274B21" w:rsidRDefault="00274B21">
      <w:pPr>
        <w:pStyle w:val="TOC8"/>
        <w:rPr>
          <w:rFonts w:asciiTheme="minorHAnsi" w:hAnsiTheme="minorHAnsi" w:cstheme="minorBidi"/>
          <w:i w:val="0"/>
          <w:sz w:val="22"/>
          <w:szCs w:val="22"/>
        </w:rPr>
      </w:pPr>
      <w:r w:rsidRPr="00D070C7">
        <w:rPr>
          <w:lang w:val="es-ES_tradnl"/>
        </w:rPr>
        <w:t>a)  Disponibilidad de información y material orientado al público en el sitio web de la UPOV</w:t>
      </w:r>
      <w:r>
        <w:tab/>
      </w:r>
      <w:r>
        <w:fldChar w:fldCharType="begin"/>
      </w:r>
      <w:r>
        <w:instrText xml:space="preserve"> PAGEREF _Toc431824303 \h </w:instrText>
      </w:r>
      <w:r>
        <w:fldChar w:fldCharType="separate"/>
      </w:r>
      <w:r w:rsidR="00485049">
        <w:t>24</w:t>
      </w:r>
      <w:r>
        <w:fldChar w:fldCharType="end"/>
      </w:r>
    </w:p>
    <w:p w:rsidR="00274B21" w:rsidRDefault="00274B21">
      <w:pPr>
        <w:pStyle w:val="TOC8"/>
        <w:rPr>
          <w:rFonts w:asciiTheme="minorHAnsi" w:hAnsiTheme="minorHAnsi" w:cstheme="minorBidi"/>
          <w:i w:val="0"/>
          <w:sz w:val="22"/>
          <w:szCs w:val="22"/>
        </w:rPr>
      </w:pPr>
      <w:r w:rsidRPr="00D070C7">
        <w:rPr>
          <w:lang w:val="es-ES_tradnl"/>
        </w:rPr>
        <w:t>b)  Visitas al sitio web</w:t>
      </w:r>
      <w:r>
        <w:tab/>
      </w:r>
      <w:r>
        <w:fldChar w:fldCharType="begin"/>
      </w:r>
      <w:r>
        <w:instrText xml:space="preserve"> PAGEREF _Toc431824304 \h </w:instrText>
      </w:r>
      <w:r>
        <w:fldChar w:fldCharType="separate"/>
      </w:r>
      <w:r w:rsidR="00485049">
        <w:t>24</w:t>
      </w:r>
      <w:r>
        <w:fldChar w:fldCharType="end"/>
      </w:r>
    </w:p>
    <w:p w:rsidR="00274B21" w:rsidRDefault="00274B21">
      <w:pPr>
        <w:pStyle w:val="TOC8"/>
        <w:rPr>
          <w:rFonts w:asciiTheme="minorHAnsi" w:hAnsiTheme="minorHAnsi" w:cstheme="minorBidi"/>
          <w:i w:val="0"/>
          <w:sz w:val="22"/>
          <w:szCs w:val="22"/>
        </w:rPr>
      </w:pPr>
      <w:r w:rsidRPr="00D070C7">
        <w:rPr>
          <w:lang w:val="es-ES_tradnl"/>
        </w:rPr>
        <w:t>Mapa mundial de visitas al sitio web</w:t>
      </w:r>
      <w:r>
        <w:tab/>
      </w:r>
      <w:r>
        <w:fldChar w:fldCharType="begin"/>
      </w:r>
      <w:r>
        <w:instrText xml:space="preserve"> PAGEREF _Toc431824305 \h </w:instrText>
      </w:r>
      <w:r>
        <w:fldChar w:fldCharType="separate"/>
      </w:r>
      <w:r w:rsidR="00485049">
        <w:t>24</w:t>
      </w:r>
      <w:r>
        <w:fldChar w:fldCharType="end"/>
      </w:r>
    </w:p>
    <w:p w:rsidR="00274B21" w:rsidRDefault="00274B21">
      <w:pPr>
        <w:pStyle w:val="TOC6"/>
        <w:rPr>
          <w:rFonts w:asciiTheme="minorHAnsi" w:hAnsiTheme="minorHAnsi" w:cstheme="minorBidi"/>
          <w:sz w:val="22"/>
          <w:szCs w:val="22"/>
        </w:rPr>
      </w:pPr>
      <w:r w:rsidRPr="00D070C7">
        <w:rPr>
          <w:lang w:val="es-ES_tradnl"/>
        </w:rPr>
        <w:t>2.  Suministro de información a otras organizaciones</w:t>
      </w:r>
      <w:r>
        <w:tab/>
      </w:r>
      <w:r>
        <w:fldChar w:fldCharType="begin"/>
      </w:r>
      <w:r>
        <w:instrText xml:space="preserve"> PAGEREF _Toc431824306 \h </w:instrText>
      </w:r>
      <w:r>
        <w:fldChar w:fldCharType="separate"/>
      </w:r>
      <w:r w:rsidR="00485049">
        <w:t>25</w:t>
      </w:r>
      <w:r>
        <w:fldChar w:fldCharType="end"/>
      </w:r>
    </w:p>
    <w:p w:rsidR="00274B21" w:rsidRDefault="00274B21">
      <w:pPr>
        <w:pStyle w:val="TOC8"/>
        <w:rPr>
          <w:rFonts w:asciiTheme="minorHAnsi" w:hAnsiTheme="minorHAnsi" w:cstheme="minorBidi"/>
          <w:i w:val="0"/>
          <w:sz w:val="22"/>
          <w:szCs w:val="22"/>
        </w:rPr>
      </w:pPr>
      <w:r w:rsidRPr="00D070C7">
        <w:rPr>
          <w:lang w:val="es-ES_tradnl"/>
        </w:rPr>
        <w:t>Participación en reuniones o actividades con organizaciones pertinentes</w:t>
      </w:r>
      <w:r>
        <w:tab/>
      </w:r>
      <w:r>
        <w:fldChar w:fldCharType="begin"/>
      </w:r>
      <w:r>
        <w:instrText xml:space="preserve"> PAGEREF _Toc431824307 \h </w:instrText>
      </w:r>
      <w:r>
        <w:fldChar w:fldCharType="separate"/>
      </w:r>
      <w:r w:rsidR="00485049">
        <w:t>25</w:t>
      </w:r>
      <w:r>
        <w:fldChar w:fldCharType="end"/>
      </w:r>
    </w:p>
    <w:p w:rsidR="00E65183" w:rsidRPr="00C83BDF" w:rsidRDefault="00082242" w:rsidP="00F4189B">
      <w:pPr>
        <w:pStyle w:val="Heading3"/>
      </w:pPr>
      <w:r w:rsidRPr="00C83BDF">
        <w:rPr>
          <w:highlight w:val="yellow"/>
        </w:rPr>
        <w:fldChar w:fldCharType="end"/>
      </w:r>
      <w:r w:rsidR="00E65183" w:rsidRPr="00C83BDF">
        <w:br w:type="page"/>
      </w:r>
      <w:bookmarkStart w:id="21" w:name="_Toc431824216"/>
      <w:r w:rsidR="00BD0021" w:rsidRPr="00C83BDF">
        <w:t>INTRODUCCIÓN</w:t>
      </w:r>
      <w:bookmarkEnd w:id="21"/>
    </w:p>
    <w:p w:rsidR="00E65183" w:rsidRPr="00C83BDF" w:rsidRDefault="00E65183" w:rsidP="00E65183">
      <w:pPr>
        <w:rPr>
          <w:caps/>
          <w:lang w:val="es-ES_tradnl"/>
        </w:rPr>
      </w:pPr>
    </w:p>
    <w:p w:rsidR="00E65183" w:rsidRPr="00C83BDF" w:rsidRDefault="00E65183" w:rsidP="00E65183">
      <w:pPr>
        <w:rPr>
          <w:lang w:val="es-ES_tradnl"/>
        </w:rPr>
      </w:pPr>
      <w:r w:rsidRPr="00C83BDF">
        <w:rPr>
          <w:lang w:val="es-ES_tradnl"/>
        </w:rPr>
        <w:t>1.</w:t>
      </w:r>
      <w:r w:rsidRPr="00C83BDF">
        <w:rPr>
          <w:lang w:val="es-ES_tradnl"/>
        </w:rPr>
        <w:tab/>
      </w:r>
      <w:r w:rsidR="00BD0021" w:rsidRPr="00C83BDF">
        <w:rPr>
          <w:lang w:val="es-ES_tradnl"/>
        </w:rPr>
        <w:t>En el presente informe se resumen los logros alcanzados en 2014.</w:t>
      </w:r>
      <w:r w:rsidRPr="00C83BDF">
        <w:rPr>
          <w:lang w:val="es-ES_tradnl"/>
        </w:rPr>
        <w:t xml:space="preserve">  </w:t>
      </w:r>
      <w:r w:rsidR="00BD0021" w:rsidRPr="00C83BDF">
        <w:rPr>
          <w:lang w:val="es-ES_tradnl"/>
        </w:rPr>
        <w:t>El informe se ha estructurado con arreglo al Programa y Presupuesto para el bienio 2014</w:t>
      </w:r>
      <w:r w:rsidR="00BD0021" w:rsidRPr="00C83BDF">
        <w:rPr>
          <w:lang w:val="es-ES_tradnl"/>
        </w:rPr>
        <w:noBreakHyphen/>
        <w:t>2015 (documento C/47/4 Rev.), aprobado por el Consejo en su cuadragésima séptima sesión ordinaria, celebrada el 24 de octubre de 2013.</w:t>
      </w:r>
    </w:p>
    <w:p w:rsidR="00E65183" w:rsidRPr="00C83BDF" w:rsidRDefault="00E65183" w:rsidP="00E65183">
      <w:pPr>
        <w:rPr>
          <w:lang w:val="es-ES_tradnl"/>
        </w:rPr>
      </w:pPr>
    </w:p>
    <w:p w:rsidR="00E65183" w:rsidRPr="00C83BDF" w:rsidRDefault="00E65183" w:rsidP="00E65183">
      <w:pPr>
        <w:rPr>
          <w:lang w:val="es-ES_tradnl"/>
        </w:rPr>
      </w:pPr>
      <w:r w:rsidRPr="00C83BDF">
        <w:rPr>
          <w:lang w:val="es-ES_tradnl"/>
        </w:rPr>
        <w:t>2.</w:t>
      </w:r>
      <w:r w:rsidRPr="00C83BDF">
        <w:rPr>
          <w:lang w:val="es-ES_tradnl"/>
        </w:rPr>
        <w:tab/>
      </w:r>
      <w:r w:rsidR="00BD0021" w:rsidRPr="00C83BDF">
        <w:rPr>
          <w:lang w:val="es-ES_tradnl"/>
        </w:rPr>
        <w:t>En el documento se expone una breve reseña de los progresos realizados con miras a alcanzar los objetivos de los subprogramas, y a continuación figuran cuadros de rendimiento en los que se proporciona información sobre los objetivos, los resultados previstos y los indicadores de rendimiento.</w:t>
      </w:r>
    </w:p>
    <w:p w:rsidR="00E65183" w:rsidRPr="00C83BDF" w:rsidRDefault="00E65183" w:rsidP="00E65183">
      <w:pPr>
        <w:rPr>
          <w:lang w:val="es-ES_tradnl"/>
        </w:rPr>
      </w:pPr>
    </w:p>
    <w:p w:rsidR="00E65183" w:rsidRPr="00C83BDF" w:rsidRDefault="00E65183" w:rsidP="00E65183">
      <w:pPr>
        <w:rPr>
          <w:lang w:val="es-ES_tradnl"/>
        </w:rPr>
      </w:pPr>
    </w:p>
    <w:p w:rsidR="00E65183" w:rsidRPr="00C83BDF" w:rsidRDefault="00E65183" w:rsidP="00C83BDF">
      <w:pPr>
        <w:pStyle w:val="Heading3"/>
      </w:pPr>
      <w:r w:rsidRPr="00C83BDF">
        <w:br w:type="page"/>
      </w:r>
      <w:bookmarkStart w:id="22" w:name="_Toc336331192"/>
      <w:bookmarkStart w:id="23" w:name="_Toc336339182"/>
      <w:bookmarkStart w:id="24" w:name="_Toc431824217"/>
      <w:r w:rsidR="00C83BDF" w:rsidRPr="00C83BDF">
        <w:t>Subprograma </w:t>
      </w:r>
      <w:r w:rsidR="006E5138" w:rsidRPr="00C83BDF">
        <w:t>UV.1:  </w:t>
      </w:r>
      <w:r w:rsidR="00C83BDF" w:rsidRPr="00C83BDF">
        <w:t>Política general sobre protección de las variedades vegetales</w:t>
      </w:r>
      <w:bookmarkEnd w:id="24"/>
    </w:p>
    <w:p w:rsidR="00E65183" w:rsidRPr="00C83BDF" w:rsidRDefault="00E65183" w:rsidP="00E65183">
      <w:pPr>
        <w:rPr>
          <w:sz w:val="18"/>
          <w:szCs w:val="18"/>
          <w:lang w:val="es-ES_tradnl"/>
        </w:rPr>
      </w:pPr>
    </w:p>
    <w:p w:rsidR="00E65183" w:rsidRPr="00C83BDF" w:rsidRDefault="005E009A" w:rsidP="00E65183">
      <w:pPr>
        <w:rPr>
          <w:sz w:val="18"/>
          <w:szCs w:val="18"/>
          <w:lang w:val="es-ES_tradnl"/>
        </w:rPr>
      </w:pPr>
      <w:r w:rsidRPr="00C83BDF">
        <w:rPr>
          <w:sz w:val="18"/>
          <w:szCs w:val="18"/>
          <w:lang w:val="es-ES_tradnl"/>
        </w:rPr>
        <w:t>En las sesiones del Consejo y el Comité Consultivo se han sentado las bases para la elaboración de políticas, la gestión y la coordinación de las actividades del programa general de la UPOV.</w:t>
      </w:r>
    </w:p>
    <w:p w:rsidR="00E65183" w:rsidRPr="00C83BDF" w:rsidRDefault="00E65183" w:rsidP="00E65183">
      <w:pPr>
        <w:rPr>
          <w:sz w:val="18"/>
          <w:szCs w:val="18"/>
          <w:lang w:val="es-ES_tradnl"/>
        </w:rPr>
      </w:pPr>
    </w:p>
    <w:p w:rsidR="00E65183" w:rsidRPr="00C83BDF" w:rsidRDefault="00E65183" w:rsidP="00E65183">
      <w:pPr>
        <w:rPr>
          <w:sz w:val="18"/>
          <w:szCs w:val="18"/>
          <w:lang w:val="es-ES_tradnl"/>
        </w:rPr>
      </w:pPr>
    </w:p>
    <w:tbl>
      <w:tblPr>
        <w:tblW w:w="9889" w:type="dxa"/>
        <w:tblLayout w:type="fixed"/>
        <w:tblLook w:val="0000" w:firstRow="0" w:lastRow="0" w:firstColumn="0" w:lastColumn="0" w:noHBand="0" w:noVBand="0"/>
      </w:tblPr>
      <w:tblGrid>
        <w:gridCol w:w="1951"/>
        <w:gridCol w:w="7938"/>
      </w:tblGrid>
      <w:tr w:rsidR="00E65183" w:rsidRPr="00C83BDF">
        <w:tc>
          <w:tcPr>
            <w:tcW w:w="1951" w:type="dxa"/>
          </w:tcPr>
          <w:p w:rsidR="00E65183" w:rsidRPr="00C83BDF" w:rsidRDefault="005E009A" w:rsidP="00EC6385">
            <w:pPr>
              <w:pStyle w:val="Heading5"/>
            </w:pPr>
            <w:bookmarkStart w:id="25" w:name="_Toc431824218"/>
            <w:r w:rsidRPr="00C83BDF">
              <w:t>Objetivos:</w:t>
            </w:r>
            <w:bookmarkEnd w:id="25"/>
          </w:p>
        </w:tc>
        <w:tc>
          <w:tcPr>
            <w:tcW w:w="7938" w:type="dxa"/>
            <w:vAlign w:val="center"/>
          </w:tcPr>
          <w:p w:rsidR="00E65183" w:rsidRPr="00C83BDF" w:rsidRDefault="005E009A" w:rsidP="004737CD">
            <w:pPr>
              <w:pStyle w:val="ListParagraph"/>
              <w:keepNext/>
              <w:keepLines/>
              <w:widowControl w:val="0"/>
              <w:numPr>
                <w:ilvl w:val="0"/>
                <w:numId w:val="15"/>
              </w:numPr>
              <w:tabs>
                <w:tab w:val="num" w:pos="360"/>
              </w:tabs>
              <w:jc w:val="left"/>
              <w:rPr>
                <w:sz w:val="18"/>
                <w:szCs w:val="18"/>
                <w:lang w:val="es-ES_tradnl"/>
              </w:rPr>
            </w:pPr>
            <w:r w:rsidRPr="00C83BDF">
              <w:rPr>
                <w:sz w:val="18"/>
                <w:szCs w:val="18"/>
                <w:lang w:val="es-ES_tradnl"/>
              </w:rPr>
              <w:t>Dirección de política y gestión ejecutiva.</w:t>
            </w:r>
          </w:p>
          <w:p w:rsidR="00E65183" w:rsidRPr="00C83BDF" w:rsidRDefault="005E009A" w:rsidP="004737CD">
            <w:pPr>
              <w:pStyle w:val="ListParagraph"/>
              <w:keepNext/>
              <w:keepLines/>
              <w:widowControl w:val="0"/>
              <w:numPr>
                <w:ilvl w:val="0"/>
                <w:numId w:val="15"/>
              </w:numPr>
              <w:tabs>
                <w:tab w:val="num" w:pos="360"/>
              </w:tabs>
              <w:jc w:val="left"/>
              <w:rPr>
                <w:b/>
                <w:sz w:val="18"/>
                <w:szCs w:val="18"/>
                <w:lang w:val="es-ES_tradnl"/>
              </w:rPr>
            </w:pPr>
            <w:r w:rsidRPr="00C83BDF">
              <w:rPr>
                <w:sz w:val="18"/>
                <w:szCs w:val="18"/>
                <w:lang w:val="es-ES_tradnl"/>
              </w:rPr>
              <w:t>Planificación, ejecución y evaluación del programa y presupuesto.</w:t>
            </w:r>
          </w:p>
        </w:tc>
      </w:tr>
    </w:tbl>
    <w:p w:rsidR="00E65183" w:rsidRPr="00C83BDF" w:rsidRDefault="00E65183" w:rsidP="00E65183">
      <w:pPr>
        <w:rPr>
          <w:sz w:val="18"/>
          <w:szCs w:val="18"/>
          <w:lang w:val="es-ES_tradnl"/>
        </w:rPr>
      </w:pPr>
    </w:p>
    <w:p w:rsidR="00E65183" w:rsidRPr="00C83BDF" w:rsidRDefault="00E65183" w:rsidP="00E65183">
      <w:pPr>
        <w:rPr>
          <w:sz w:val="18"/>
          <w:szCs w:val="18"/>
          <w:lang w:val="es-ES_tradnl"/>
        </w:rPr>
      </w:pPr>
    </w:p>
    <w:tbl>
      <w:tblPr>
        <w:tblW w:w="9889" w:type="dxa"/>
        <w:tblLayout w:type="fixed"/>
        <w:tblLook w:val="0000" w:firstRow="0" w:lastRow="0" w:firstColumn="0" w:lastColumn="0" w:noHBand="0" w:noVBand="0"/>
      </w:tblPr>
      <w:tblGrid>
        <w:gridCol w:w="1951"/>
        <w:gridCol w:w="7938"/>
      </w:tblGrid>
      <w:tr w:rsidR="00E65183" w:rsidRPr="00C83BDF">
        <w:tc>
          <w:tcPr>
            <w:tcW w:w="1951" w:type="dxa"/>
            <w:shd w:val="clear" w:color="auto" w:fill="auto"/>
          </w:tcPr>
          <w:p w:rsidR="00E65183" w:rsidRPr="00C83BDF" w:rsidRDefault="005E009A" w:rsidP="00EC6385">
            <w:pPr>
              <w:pStyle w:val="Heading5"/>
            </w:pPr>
            <w:bookmarkStart w:id="26" w:name="_Toc431824219"/>
            <w:r w:rsidRPr="00C83BDF">
              <w:t>Resultados previstos</w:t>
            </w:r>
            <w:bookmarkEnd w:id="26"/>
          </w:p>
        </w:tc>
        <w:tc>
          <w:tcPr>
            <w:tcW w:w="7938" w:type="dxa"/>
            <w:shd w:val="clear" w:color="auto" w:fill="auto"/>
          </w:tcPr>
          <w:p w:rsidR="00E65183" w:rsidRPr="00C83BDF" w:rsidRDefault="005E009A" w:rsidP="00DF7AFB">
            <w:pPr>
              <w:pStyle w:val="Heading7"/>
              <w:rPr>
                <w:szCs w:val="18"/>
                <w:lang w:val="es-ES_tradnl"/>
              </w:rPr>
            </w:pPr>
            <w:bookmarkStart w:id="27" w:name="_Toc431824220"/>
            <w:r w:rsidRPr="00C83BDF">
              <w:rPr>
                <w:szCs w:val="18"/>
                <w:lang w:val="es-ES_tradnl"/>
              </w:rPr>
              <w:t>Resultados alcanzados:</w:t>
            </w:r>
            <w:r w:rsidR="00E65183" w:rsidRPr="00C83BDF">
              <w:rPr>
                <w:szCs w:val="18"/>
                <w:lang w:val="es-ES_tradnl"/>
              </w:rPr>
              <w:t xml:space="preserve">  </w:t>
            </w:r>
            <w:r w:rsidRPr="00C83BDF">
              <w:rPr>
                <w:szCs w:val="18"/>
                <w:lang w:val="es-ES_tradnl"/>
              </w:rPr>
              <w:t>indicadores de rendimiento</w:t>
            </w:r>
            <w:bookmarkEnd w:id="27"/>
          </w:p>
        </w:tc>
      </w:tr>
      <w:tr w:rsidR="00E65183" w:rsidRPr="00C83BDF">
        <w:tc>
          <w:tcPr>
            <w:tcW w:w="1951" w:type="dxa"/>
            <w:shd w:val="clear" w:color="auto" w:fill="auto"/>
          </w:tcPr>
          <w:p w:rsidR="00E65183" w:rsidRPr="00C83BDF" w:rsidRDefault="00E65183" w:rsidP="004737CD">
            <w:pPr>
              <w:pStyle w:val="Heading6"/>
              <w:rPr>
                <w:b/>
                <w:lang w:val="es-ES_tradnl"/>
              </w:rPr>
            </w:pPr>
            <w:bookmarkStart w:id="28" w:name="_Toc431824221"/>
            <w:r w:rsidRPr="00C83BDF">
              <w:rPr>
                <w:lang w:val="es-ES_tradnl"/>
              </w:rPr>
              <w:t>1.  </w:t>
            </w:r>
            <w:r w:rsidR="00B1306F" w:rsidRPr="00C83BDF">
              <w:rPr>
                <w:lang w:val="es-ES_tradnl"/>
              </w:rPr>
              <w:t>Organización de las sesiones del Consejo y del Comité Consultivo</w:t>
            </w:r>
            <w:bookmarkEnd w:id="28"/>
          </w:p>
        </w:tc>
        <w:tc>
          <w:tcPr>
            <w:tcW w:w="7938" w:type="dxa"/>
            <w:shd w:val="clear" w:color="auto" w:fill="auto"/>
          </w:tcPr>
          <w:p w:rsidR="00E65183" w:rsidRPr="00C83BDF" w:rsidRDefault="00B1306F" w:rsidP="00DF7AFB">
            <w:pPr>
              <w:pStyle w:val="Heading8"/>
              <w:rPr>
                <w:szCs w:val="18"/>
                <w:lang w:val="es-ES_tradnl"/>
              </w:rPr>
            </w:pPr>
            <w:bookmarkStart w:id="29" w:name="_Toc431824222"/>
            <w:r w:rsidRPr="00C83BDF">
              <w:rPr>
                <w:szCs w:val="18"/>
                <w:lang w:val="es-ES_tradnl"/>
              </w:rPr>
              <w:t>a)  Participación en las sesiones del Consejo y del Comité Consultivo</w:t>
            </w:r>
            <w:bookmarkEnd w:id="29"/>
          </w:p>
          <w:p w:rsidR="00E65183" w:rsidRPr="00C83BDF" w:rsidRDefault="00B1306F" w:rsidP="004737CD">
            <w:pPr>
              <w:rPr>
                <w:i/>
                <w:sz w:val="18"/>
                <w:szCs w:val="18"/>
                <w:lang w:val="es-ES_tradnl"/>
              </w:rPr>
            </w:pPr>
            <w:r w:rsidRPr="00C83BDF">
              <w:rPr>
                <w:i/>
                <w:sz w:val="18"/>
                <w:szCs w:val="18"/>
                <w:lang w:val="es-ES_tradnl"/>
              </w:rPr>
              <w:t>Consejo</w:t>
            </w:r>
          </w:p>
          <w:p w:rsidR="00E65183" w:rsidRPr="00C83BDF" w:rsidRDefault="00E65183" w:rsidP="004737CD">
            <w:pPr>
              <w:rPr>
                <w:sz w:val="18"/>
                <w:szCs w:val="18"/>
                <w:lang w:val="es-ES_tradnl"/>
              </w:rPr>
            </w:pPr>
          </w:p>
          <w:p w:rsidR="00E65183" w:rsidRPr="00C83BDF" w:rsidRDefault="00B1306F" w:rsidP="004737CD">
            <w:pPr>
              <w:rPr>
                <w:i/>
                <w:sz w:val="18"/>
                <w:szCs w:val="18"/>
                <w:lang w:val="es-ES_tradnl"/>
              </w:rPr>
            </w:pPr>
            <w:r w:rsidRPr="00C83BDF">
              <w:rPr>
                <w:i/>
                <w:sz w:val="18"/>
                <w:szCs w:val="18"/>
                <w:lang w:val="es-ES_tradnl"/>
              </w:rPr>
              <w:t>Trigésima primera sesión extraordinaria:</w:t>
            </w:r>
          </w:p>
          <w:p w:rsidR="00E65183" w:rsidRPr="00C83BDF" w:rsidRDefault="00E65183" w:rsidP="004737CD">
            <w:pPr>
              <w:rPr>
                <w:sz w:val="18"/>
                <w:szCs w:val="18"/>
                <w:lang w:val="es-ES_tradnl"/>
              </w:rPr>
            </w:pPr>
          </w:p>
          <w:p w:rsidR="00E65183" w:rsidRPr="00C83BDF" w:rsidRDefault="00B1306F" w:rsidP="004737CD">
            <w:pPr>
              <w:rPr>
                <w:sz w:val="18"/>
                <w:szCs w:val="18"/>
                <w:lang w:val="es-ES_tradnl"/>
              </w:rPr>
            </w:pPr>
            <w:r w:rsidRPr="00C83BDF">
              <w:rPr>
                <w:sz w:val="18"/>
                <w:szCs w:val="18"/>
                <w:lang w:val="es-ES_tradnl"/>
              </w:rPr>
              <w:t>87 participantes en representación de 38 miembros de la Unión</w:t>
            </w:r>
            <w:r w:rsidR="00244823" w:rsidRPr="00C83BDF">
              <w:rPr>
                <w:sz w:val="18"/>
                <w:szCs w:val="18"/>
                <w:lang w:val="es-ES_tradnl"/>
              </w:rPr>
              <w:t xml:space="preserve"> y</w:t>
            </w:r>
            <w:r w:rsidRPr="00C83BDF">
              <w:rPr>
                <w:sz w:val="18"/>
                <w:szCs w:val="18"/>
                <w:lang w:val="es-ES_tradnl"/>
              </w:rPr>
              <w:t xml:space="preserve"> 1 Estado y 5 organizaciones en calidad de observador</w:t>
            </w:r>
            <w:r w:rsidR="00244823" w:rsidRPr="00C83BDF">
              <w:rPr>
                <w:sz w:val="18"/>
                <w:szCs w:val="18"/>
                <w:lang w:val="es-ES_tradnl"/>
              </w:rPr>
              <w:t>e</w:t>
            </w:r>
            <w:r w:rsidRPr="00C83BDF">
              <w:rPr>
                <w:sz w:val="18"/>
                <w:szCs w:val="18"/>
                <w:lang w:val="es-ES_tradnl"/>
              </w:rPr>
              <w:t>s</w:t>
            </w:r>
          </w:p>
          <w:p w:rsidR="00E65183" w:rsidRPr="00C83BDF" w:rsidRDefault="00E65183" w:rsidP="004737CD">
            <w:pPr>
              <w:rPr>
                <w:sz w:val="18"/>
                <w:szCs w:val="18"/>
                <w:lang w:val="es-ES_tradnl"/>
              </w:rPr>
            </w:pPr>
          </w:p>
          <w:p w:rsidR="00E65183" w:rsidRPr="00C83BDF" w:rsidRDefault="00B1306F" w:rsidP="004737CD">
            <w:pPr>
              <w:rPr>
                <w:i/>
                <w:sz w:val="18"/>
                <w:szCs w:val="18"/>
                <w:lang w:val="es-ES_tradnl"/>
              </w:rPr>
            </w:pPr>
            <w:r w:rsidRPr="00C83BDF">
              <w:rPr>
                <w:i/>
                <w:sz w:val="18"/>
                <w:szCs w:val="18"/>
                <w:lang w:val="es-ES_tradnl"/>
              </w:rPr>
              <w:t>Cuadragésima octava sesión ordinaria:</w:t>
            </w:r>
          </w:p>
          <w:p w:rsidR="00E65183" w:rsidRPr="00C83BDF" w:rsidRDefault="00E65183" w:rsidP="004737CD">
            <w:pPr>
              <w:rPr>
                <w:sz w:val="18"/>
                <w:szCs w:val="18"/>
                <w:lang w:val="es-ES_tradnl"/>
              </w:rPr>
            </w:pPr>
          </w:p>
          <w:p w:rsidR="00E65183" w:rsidRPr="00C83BDF" w:rsidRDefault="00B1306F" w:rsidP="004737CD">
            <w:pPr>
              <w:rPr>
                <w:sz w:val="18"/>
                <w:szCs w:val="18"/>
                <w:lang w:val="es-ES_tradnl"/>
              </w:rPr>
            </w:pPr>
            <w:r w:rsidRPr="00C83BDF">
              <w:rPr>
                <w:sz w:val="18"/>
                <w:szCs w:val="18"/>
                <w:lang w:val="es-ES_tradnl"/>
              </w:rPr>
              <w:t>84 participantes en representación de 43 miembros de la Unión</w:t>
            </w:r>
            <w:r w:rsidR="00244823" w:rsidRPr="00C83BDF">
              <w:rPr>
                <w:sz w:val="18"/>
                <w:szCs w:val="18"/>
                <w:lang w:val="es-ES_tradnl"/>
              </w:rPr>
              <w:t xml:space="preserve"> y</w:t>
            </w:r>
            <w:r w:rsidRPr="00C83BDF">
              <w:rPr>
                <w:sz w:val="18"/>
                <w:szCs w:val="18"/>
                <w:lang w:val="es-ES_tradnl"/>
              </w:rPr>
              <w:t xml:space="preserve"> 2 Estados y 5 organizaciones en calidad de observador</w:t>
            </w:r>
            <w:r w:rsidR="00244823" w:rsidRPr="00C83BDF">
              <w:rPr>
                <w:sz w:val="18"/>
                <w:szCs w:val="18"/>
                <w:lang w:val="es-ES_tradnl"/>
              </w:rPr>
              <w:t>e</w:t>
            </w:r>
            <w:r w:rsidRPr="00C83BDF">
              <w:rPr>
                <w:sz w:val="18"/>
                <w:szCs w:val="18"/>
                <w:lang w:val="es-ES_tradnl"/>
              </w:rPr>
              <w:t>s</w:t>
            </w:r>
          </w:p>
          <w:p w:rsidR="00E65183" w:rsidRPr="00C83BDF" w:rsidRDefault="00E65183" w:rsidP="004737CD">
            <w:pPr>
              <w:rPr>
                <w:sz w:val="18"/>
                <w:szCs w:val="18"/>
                <w:lang w:val="es-ES_tradnl"/>
              </w:rPr>
            </w:pPr>
          </w:p>
          <w:p w:rsidR="00E65183" w:rsidRPr="00C83BDF" w:rsidRDefault="00E65183" w:rsidP="004737CD">
            <w:pPr>
              <w:rPr>
                <w:sz w:val="18"/>
                <w:szCs w:val="18"/>
                <w:lang w:val="es-ES_tradnl"/>
              </w:rPr>
            </w:pPr>
          </w:p>
          <w:p w:rsidR="00E65183" w:rsidRPr="00C83BDF" w:rsidRDefault="00B1306F" w:rsidP="004737CD">
            <w:pPr>
              <w:rPr>
                <w:i/>
                <w:sz w:val="18"/>
                <w:szCs w:val="18"/>
                <w:lang w:val="es-ES_tradnl"/>
              </w:rPr>
            </w:pPr>
            <w:r w:rsidRPr="00C83BDF">
              <w:rPr>
                <w:i/>
                <w:sz w:val="18"/>
                <w:szCs w:val="18"/>
                <w:lang w:val="es-ES_tradnl"/>
              </w:rPr>
              <w:t>Comité Consultivo</w:t>
            </w:r>
          </w:p>
          <w:p w:rsidR="00E65183" w:rsidRPr="00C83BDF" w:rsidRDefault="00E65183" w:rsidP="004737CD">
            <w:pPr>
              <w:rPr>
                <w:sz w:val="18"/>
                <w:szCs w:val="18"/>
                <w:lang w:val="es-ES_tradnl"/>
              </w:rPr>
            </w:pPr>
          </w:p>
          <w:p w:rsidR="00E65183" w:rsidRPr="00C83BDF" w:rsidRDefault="00B1306F" w:rsidP="004737CD">
            <w:pPr>
              <w:rPr>
                <w:i/>
                <w:sz w:val="18"/>
                <w:szCs w:val="18"/>
                <w:lang w:val="es-ES_tradnl"/>
              </w:rPr>
            </w:pPr>
            <w:r w:rsidRPr="00C83BDF">
              <w:rPr>
                <w:i/>
                <w:sz w:val="18"/>
                <w:szCs w:val="18"/>
                <w:lang w:val="es-ES_tradnl"/>
              </w:rPr>
              <w:t>Octogésima séptima sesión:</w:t>
            </w:r>
          </w:p>
          <w:p w:rsidR="00E65183" w:rsidRPr="00C83BDF" w:rsidRDefault="00E65183" w:rsidP="004737CD">
            <w:pPr>
              <w:rPr>
                <w:sz w:val="18"/>
                <w:szCs w:val="18"/>
                <w:lang w:val="es-ES_tradnl"/>
              </w:rPr>
            </w:pPr>
          </w:p>
          <w:p w:rsidR="00E65183" w:rsidRPr="00C83BDF" w:rsidRDefault="00B1306F" w:rsidP="004737CD">
            <w:pPr>
              <w:rPr>
                <w:sz w:val="18"/>
                <w:szCs w:val="18"/>
                <w:lang w:val="es-ES_tradnl"/>
              </w:rPr>
            </w:pPr>
            <w:r w:rsidRPr="00C83BDF">
              <w:rPr>
                <w:sz w:val="18"/>
                <w:szCs w:val="18"/>
                <w:lang w:val="es-ES_tradnl"/>
              </w:rPr>
              <w:t>79 participantes en representación de 38 miembros de la Unión</w:t>
            </w:r>
          </w:p>
          <w:p w:rsidR="00E65183" w:rsidRPr="00C83BDF" w:rsidRDefault="00E65183" w:rsidP="004737CD">
            <w:pPr>
              <w:rPr>
                <w:sz w:val="18"/>
                <w:szCs w:val="18"/>
                <w:lang w:val="es-ES_tradnl"/>
              </w:rPr>
            </w:pPr>
          </w:p>
          <w:p w:rsidR="00E65183" w:rsidRPr="00C83BDF" w:rsidRDefault="00B1306F" w:rsidP="004737CD">
            <w:pPr>
              <w:rPr>
                <w:i/>
                <w:sz w:val="18"/>
                <w:szCs w:val="18"/>
                <w:lang w:val="es-ES_tradnl"/>
              </w:rPr>
            </w:pPr>
            <w:r w:rsidRPr="00C83BDF">
              <w:rPr>
                <w:i/>
                <w:sz w:val="18"/>
                <w:szCs w:val="18"/>
                <w:lang w:val="es-ES_tradnl"/>
              </w:rPr>
              <w:t>Octogésima octava sesión:</w:t>
            </w:r>
          </w:p>
          <w:p w:rsidR="00E65183" w:rsidRPr="00C83BDF" w:rsidRDefault="00E65183" w:rsidP="004737CD">
            <w:pPr>
              <w:rPr>
                <w:sz w:val="18"/>
                <w:szCs w:val="18"/>
                <w:lang w:val="es-ES_tradnl"/>
              </w:rPr>
            </w:pPr>
          </w:p>
          <w:p w:rsidR="00E65183" w:rsidRPr="00C83BDF" w:rsidRDefault="00B1306F" w:rsidP="004737CD">
            <w:pPr>
              <w:rPr>
                <w:sz w:val="18"/>
                <w:szCs w:val="18"/>
                <w:lang w:val="es-ES_tradnl"/>
              </w:rPr>
            </w:pPr>
            <w:r w:rsidRPr="00C83BDF">
              <w:rPr>
                <w:sz w:val="18"/>
                <w:szCs w:val="18"/>
                <w:lang w:val="es-ES_tradnl"/>
              </w:rPr>
              <w:t>75 participantes en representación de 42 miembros de la Unión</w:t>
            </w:r>
          </w:p>
        </w:tc>
      </w:tr>
    </w:tbl>
    <w:p w:rsidR="00E65183" w:rsidRPr="00C83BDF" w:rsidRDefault="00E65183" w:rsidP="00E65183">
      <w:pPr>
        <w:rPr>
          <w:lang w:val="es-ES_tradnl"/>
        </w:rPr>
      </w:pPr>
    </w:p>
    <w:p w:rsidR="00E65183" w:rsidRPr="00C83BDF" w:rsidRDefault="00E65183" w:rsidP="00E65183">
      <w:pPr>
        <w:rPr>
          <w:sz w:val="18"/>
          <w:szCs w:val="18"/>
          <w:lang w:val="es-ES_tradnl"/>
        </w:rPr>
      </w:pPr>
    </w:p>
    <w:tbl>
      <w:tblPr>
        <w:tblW w:w="9889" w:type="dxa"/>
        <w:tblLayout w:type="fixed"/>
        <w:tblLook w:val="0000" w:firstRow="0" w:lastRow="0" w:firstColumn="0" w:lastColumn="0" w:noHBand="0" w:noVBand="0"/>
      </w:tblPr>
      <w:tblGrid>
        <w:gridCol w:w="1951"/>
        <w:gridCol w:w="7938"/>
      </w:tblGrid>
      <w:tr w:rsidR="00E65183" w:rsidRPr="00C83BDF">
        <w:tc>
          <w:tcPr>
            <w:tcW w:w="1951" w:type="dxa"/>
            <w:shd w:val="clear" w:color="auto" w:fill="auto"/>
          </w:tcPr>
          <w:p w:rsidR="00E65183" w:rsidRPr="00C83BDF" w:rsidRDefault="00E65183" w:rsidP="00E90B28">
            <w:pPr>
              <w:pStyle w:val="Heading6"/>
              <w:rPr>
                <w:lang w:val="es-ES_tradnl"/>
              </w:rPr>
            </w:pPr>
            <w:bookmarkStart w:id="30" w:name="_Toc431824223"/>
            <w:r w:rsidRPr="00C83BDF">
              <w:rPr>
                <w:lang w:val="es-ES_tradnl"/>
              </w:rPr>
              <w:t>2.  </w:t>
            </w:r>
            <w:r w:rsidR="00B1306F" w:rsidRPr="00C83BDF">
              <w:rPr>
                <w:lang w:val="es-ES_tradnl"/>
              </w:rPr>
              <w:t>Coordinación, fiscalización y evaluación del rendimiento del programa y presupuesto para el bienio 2014</w:t>
            </w:r>
            <w:r w:rsidR="00B1306F" w:rsidRPr="00C83BDF">
              <w:rPr>
                <w:lang w:val="es-ES_tradnl"/>
              </w:rPr>
              <w:noBreakHyphen/>
              <w:t>2015</w:t>
            </w:r>
            <w:bookmarkEnd w:id="30"/>
          </w:p>
        </w:tc>
        <w:tc>
          <w:tcPr>
            <w:tcW w:w="7938" w:type="dxa"/>
            <w:shd w:val="clear" w:color="auto" w:fill="auto"/>
          </w:tcPr>
          <w:p w:rsidR="00E65183" w:rsidRPr="00C83BDF" w:rsidRDefault="006C103B" w:rsidP="00DF7AFB">
            <w:pPr>
              <w:pStyle w:val="Heading8"/>
              <w:rPr>
                <w:szCs w:val="18"/>
                <w:lang w:val="es-ES_tradnl"/>
              </w:rPr>
            </w:pPr>
            <w:bookmarkStart w:id="31" w:name="_Toc431824224"/>
            <w:r w:rsidRPr="00C83BDF">
              <w:rPr>
                <w:szCs w:val="18"/>
                <w:lang w:val="es-ES_tradnl"/>
              </w:rPr>
              <w:t>a)  Ejecución del programa en el marco del presupuesto del bienio 2014</w:t>
            </w:r>
            <w:r w:rsidRPr="00C83BDF">
              <w:rPr>
                <w:szCs w:val="18"/>
                <w:lang w:val="es-ES_tradnl"/>
              </w:rPr>
              <w:noBreakHyphen/>
              <w:t>2015</w:t>
            </w:r>
            <w:bookmarkEnd w:id="31"/>
          </w:p>
          <w:p w:rsidR="00E65183" w:rsidRPr="00C83BDF" w:rsidRDefault="00ED49B5" w:rsidP="00E90B28">
            <w:pPr>
              <w:rPr>
                <w:sz w:val="18"/>
                <w:szCs w:val="18"/>
                <w:lang w:val="es-ES_tradnl"/>
              </w:rPr>
            </w:pPr>
            <w:r w:rsidRPr="00C83BDF">
              <w:rPr>
                <w:sz w:val="18"/>
                <w:szCs w:val="18"/>
                <w:lang w:val="es-ES_tradnl"/>
              </w:rPr>
              <w:t>Resultados no disponibles</w:t>
            </w:r>
            <w:r w:rsidR="00E90B28">
              <w:rPr>
                <w:sz w:val="18"/>
                <w:szCs w:val="18"/>
                <w:lang w:val="es-ES_tradnl"/>
              </w:rPr>
              <w:t xml:space="preserve"> hasta 2016</w:t>
            </w:r>
          </w:p>
        </w:tc>
      </w:tr>
    </w:tbl>
    <w:p w:rsidR="00E65183" w:rsidRPr="00C83BDF" w:rsidRDefault="00E65183" w:rsidP="00E65183">
      <w:pPr>
        <w:rPr>
          <w:lang w:val="es-ES_tradnl"/>
        </w:rPr>
      </w:pPr>
    </w:p>
    <w:p w:rsidR="00E65183" w:rsidRPr="00C83BDF" w:rsidRDefault="00E65183" w:rsidP="00E65183">
      <w:pPr>
        <w:rPr>
          <w:lang w:val="es-ES_tradnl"/>
        </w:rPr>
      </w:pPr>
    </w:p>
    <w:tbl>
      <w:tblPr>
        <w:tblW w:w="9889" w:type="dxa"/>
        <w:tblLayout w:type="fixed"/>
        <w:tblLook w:val="0000" w:firstRow="0" w:lastRow="0" w:firstColumn="0" w:lastColumn="0" w:noHBand="0" w:noVBand="0"/>
      </w:tblPr>
      <w:tblGrid>
        <w:gridCol w:w="1951"/>
        <w:gridCol w:w="7938"/>
      </w:tblGrid>
      <w:tr w:rsidR="00E65183" w:rsidRPr="00C83BDF">
        <w:tc>
          <w:tcPr>
            <w:tcW w:w="1951" w:type="dxa"/>
            <w:shd w:val="clear" w:color="auto" w:fill="auto"/>
          </w:tcPr>
          <w:p w:rsidR="00E65183" w:rsidRPr="00C83BDF" w:rsidRDefault="00E65183" w:rsidP="00E90B28">
            <w:pPr>
              <w:pStyle w:val="Heading6"/>
              <w:rPr>
                <w:lang w:val="es-ES_tradnl"/>
              </w:rPr>
            </w:pPr>
            <w:bookmarkStart w:id="32" w:name="_Toc431824225"/>
            <w:r w:rsidRPr="00C83BDF">
              <w:rPr>
                <w:lang w:val="es-ES_tradnl"/>
              </w:rPr>
              <w:t xml:space="preserve">3.  </w:t>
            </w:r>
            <w:r w:rsidR="00DA6B94" w:rsidRPr="00C83BDF">
              <w:rPr>
                <w:lang w:val="es-ES_tradnl"/>
              </w:rPr>
              <w:t>Preparación y adopción del programa y presupuesto para el bienio 2016</w:t>
            </w:r>
            <w:r w:rsidR="00DA6B94" w:rsidRPr="00C83BDF">
              <w:rPr>
                <w:lang w:val="es-ES_tradnl"/>
              </w:rPr>
              <w:noBreakHyphen/>
              <w:t>2017</w:t>
            </w:r>
            <w:bookmarkEnd w:id="32"/>
          </w:p>
        </w:tc>
        <w:tc>
          <w:tcPr>
            <w:tcW w:w="7938" w:type="dxa"/>
            <w:shd w:val="clear" w:color="auto" w:fill="auto"/>
          </w:tcPr>
          <w:p w:rsidR="00E65183" w:rsidRPr="00C83BDF" w:rsidRDefault="00DA6B94" w:rsidP="00DF7AFB">
            <w:pPr>
              <w:pStyle w:val="Heading8"/>
              <w:rPr>
                <w:szCs w:val="18"/>
                <w:lang w:val="es-ES_tradnl"/>
              </w:rPr>
            </w:pPr>
            <w:bookmarkStart w:id="33" w:name="_Toc431824226"/>
            <w:r w:rsidRPr="00C83BDF">
              <w:rPr>
                <w:szCs w:val="18"/>
                <w:lang w:val="es-ES_tradnl"/>
              </w:rPr>
              <w:t>a)  Preparación y adopción del programa y presupuesto para el bienio 2016</w:t>
            </w:r>
            <w:r w:rsidRPr="00C83BDF">
              <w:rPr>
                <w:szCs w:val="18"/>
                <w:lang w:val="es-ES_tradnl"/>
              </w:rPr>
              <w:noBreakHyphen/>
              <w:t>2017 con arreglo al “Reglamento Financiero y Reglamentación Financiera de la UPOV”</w:t>
            </w:r>
            <w:bookmarkEnd w:id="33"/>
          </w:p>
          <w:p w:rsidR="00E65183" w:rsidRPr="00C83BDF" w:rsidRDefault="00DA6B94" w:rsidP="004737CD">
            <w:pPr>
              <w:rPr>
                <w:sz w:val="18"/>
                <w:szCs w:val="18"/>
                <w:lang w:val="es-ES_tradnl"/>
              </w:rPr>
            </w:pPr>
            <w:r w:rsidRPr="00C83BDF">
              <w:rPr>
                <w:sz w:val="18"/>
                <w:szCs w:val="18"/>
                <w:lang w:val="es-ES_tradnl"/>
              </w:rPr>
              <w:t>Resultados aún no disponibles</w:t>
            </w:r>
          </w:p>
        </w:tc>
      </w:tr>
    </w:tbl>
    <w:p w:rsidR="00E90B28" w:rsidRDefault="00E90B28"/>
    <w:tbl>
      <w:tblPr>
        <w:tblW w:w="9889" w:type="dxa"/>
        <w:tblLayout w:type="fixed"/>
        <w:tblLook w:val="0000" w:firstRow="0" w:lastRow="0" w:firstColumn="0" w:lastColumn="0" w:noHBand="0" w:noVBand="0"/>
      </w:tblPr>
      <w:tblGrid>
        <w:gridCol w:w="1951"/>
        <w:gridCol w:w="7938"/>
      </w:tblGrid>
      <w:tr w:rsidR="00E90B28" w:rsidRPr="00C83BDF">
        <w:tc>
          <w:tcPr>
            <w:tcW w:w="1951" w:type="dxa"/>
            <w:shd w:val="clear" w:color="auto" w:fill="auto"/>
          </w:tcPr>
          <w:p w:rsidR="00E90B28" w:rsidRPr="00C83BDF" w:rsidRDefault="00E90B28" w:rsidP="00E90B28">
            <w:pPr>
              <w:pStyle w:val="Heading6"/>
              <w:rPr>
                <w:lang w:val="es-ES_tradnl"/>
              </w:rPr>
            </w:pPr>
            <w:bookmarkStart w:id="34" w:name="_Toc431824227"/>
            <w:r w:rsidRPr="00C83BDF">
              <w:rPr>
                <w:lang w:val="es-ES_tradnl"/>
              </w:rPr>
              <w:t>4.  Política del Consejo</w:t>
            </w:r>
            <w:bookmarkEnd w:id="34"/>
          </w:p>
        </w:tc>
        <w:tc>
          <w:tcPr>
            <w:tcW w:w="7938" w:type="dxa"/>
            <w:shd w:val="clear" w:color="auto" w:fill="auto"/>
          </w:tcPr>
          <w:p w:rsidR="00E90B28" w:rsidRPr="00C83BDF" w:rsidRDefault="00E90B28" w:rsidP="00E90B28">
            <w:pPr>
              <w:pStyle w:val="Heading8"/>
              <w:jc w:val="both"/>
              <w:rPr>
                <w:rFonts w:cs="Arial"/>
                <w:szCs w:val="18"/>
                <w:lang w:val="es-ES_tradnl"/>
              </w:rPr>
            </w:pPr>
            <w:bookmarkStart w:id="35" w:name="_Toc431824228"/>
            <w:r w:rsidRPr="00C83BDF">
              <w:rPr>
                <w:rFonts w:cs="Arial"/>
                <w:szCs w:val="18"/>
                <w:lang w:val="es-ES_tradnl"/>
              </w:rPr>
              <w:t>a)  Recomendaciones formuladas por el Comité Consultivo</w:t>
            </w:r>
            <w:bookmarkEnd w:id="35"/>
          </w:p>
          <w:p w:rsidR="00E90B28" w:rsidRPr="00C83BDF" w:rsidRDefault="00E90B28" w:rsidP="00E90B28">
            <w:pPr>
              <w:spacing w:after="120"/>
              <w:rPr>
                <w:rFonts w:cs="Arial"/>
                <w:sz w:val="18"/>
                <w:szCs w:val="18"/>
                <w:lang w:val="es-ES_tradnl"/>
              </w:rPr>
            </w:pPr>
            <w:r w:rsidRPr="00C83BDF">
              <w:rPr>
                <w:rFonts w:cs="Arial"/>
                <w:sz w:val="18"/>
                <w:szCs w:val="18"/>
                <w:lang w:val="es-ES_tradnl"/>
              </w:rPr>
              <w:t xml:space="preserve">En su octogésima séptima sesión, celebrada en Ginebra el 11 de abril de 2014, el Comité Consultivo </w:t>
            </w:r>
            <w:r>
              <w:rPr>
                <w:rFonts w:cs="Arial"/>
                <w:sz w:val="18"/>
                <w:szCs w:val="18"/>
                <w:lang w:val="es-ES_tradnl"/>
              </w:rPr>
              <w:t>recomendó</w:t>
            </w:r>
            <w:r w:rsidRPr="00C83BDF">
              <w:rPr>
                <w:rFonts w:cs="Arial"/>
                <w:sz w:val="18"/>
                <w:szCs w:val="18"/>
                <w:lang w:val="es-ES_tradnl"/>
              </w:rPr>
              <w:t xml:space="preserve"> al Consejo:</w:t>
            </w:r>
          </w:p>
          <w:p w:rsidR="00E90B28" w:rsidRDefault="00E90B28" w:rsidP="00F17037">
            <w:pPr>
              <w:pStyle w:val="ListParagraph"/>
              <w:numPr>
                <w:ilvl w:val="0"/>
                <w:numId w:val="7"/>
              </w:numPr>
              <w:spacing w:after="120"/>
              <w:ind w:left="641" w:hanging="357"/>
              <w:contextualSpacing w:val="0"/>
              <w:rPr>
                <w:rFonts w:cs="Arial"/>
                <w:sz w:val="18"/>
                <w:szCs w:val="18"/>
                <w:lang w:val="es-ES_tradnl"/>
              </w:rPr>
            </w:pPr>
            <w:r w:rsidRPr="00E90B28">
              <w:rPr>
                <w:rFonts w:cs="Arial"/>
                <w:sz w:val="18"/>
                <w:szCs w:val="18"/>
                <w:lang w:val="es-ES_tradnl"/>
              </w:rPr>
              <w:t>tom</w:t>
            </w:r>
            <w:r w:rsidR="001F72B0">
              <w:rPr>
                <w:rFonts w:cs="Arial"/>
                <w:sz w:val="18"/>
                <w:szCs w:val="18"/>
                <w:lang w:val="es-ES_tradnl"/>
              </w:rPr>
              <w:t>ar</w:t>
            </w:r>
            <w:r w:rsidRPr="00E90B28">
              <w:rPr>
                <w:rFonts w:cs="Arial"/>
                <w:sz w:val="18"/>
                <w:szCs w:val="18"/>
                <w:lang w:val="es-ES_tradnl"/>
              </w:rPr>
              <w:t xml:space="preserve"> una decisión positiva acerca de la conformidad del proyecto de Protocolo de la ARIPO para la Protección de las Obtenciones Vegetales con las disposiciones del Acta de 1991 del Convenio Internacional para la Protección de las Obtenciones Vegetales</w:t>
            </w:r>
            <w:r>
              <w:rPr>
                <w:rFonts w:cs="Arial"/>
                <w:sz w:val="18"/>
                <w:szCs w:val="18"/>
                <w:lang w:val="es-ES_tradnl"/>
              </w:rPr>
              <w:t>;</w:t>
            </w:r>
          </w:p>
          <w:p w:rsidR="00E90B28" w:rsidRPr="00C83BDF" w:rsidRDefault="00E90B28" w:rsidP="00E90B28">
            <w:pPr>
              <w:spacing w:before="60" w:after="120"/>
              <w:rPr>
                <w:rFonts w:cs="Arial"/>
                <w:sz w:val="18"/>
                <w:szCs w:val="18"/>
                <w:lang w:val="es-ES_tradnl"/>
              </w:rPr>
            </w:pPr>
            <w:r w:rsidRPr="00C83BDF">
              <w:rPr>
                <w:rFonts w:cs="Arial"/>
                <w:sz w:val="18"/>
                <w:szCs w:val="18"/>
                <w:lang w:val="es-ES_tradnl"/>
              </w:rPr>
              <w:t>y, asimismo:</w:t>
            </w:r>
          </w:p>
          <w:p w:rsidR="00E90B28" w:rsidRPr="00C83BDF" w:rsidRDefault="00E90B28" w:rsidP="00E90B28">
            <w:pPr>
              <w:pStyle w:val="ListParagraph"/>
              <w:numPr>
                <w:ilvl w:val="0"/>
                <w:numId w:val="7"/>
              </w:numPr>
              <w:spacing w:after="60"/>
              <w:contextualSpacing w:val="0"/>
              <w:rPr>
                <w:rFonts w:cs="Arial"/>
                <w:sz w:val="18"/>
                <w:szCs w:val="18"/>
                <w:lang w:val="es-ES_tradnl"/>
              </w:rPr>
            </w:pPr>
            <w:r w:rsidRPr="00C83BDF">
              <w:rPr>
                <w:rFonts w:cs="Arial"/>
                <w:sz w:val="18"/>
                <w:szCs w:val="18"/>
                <w:lang w:val="es-ES_tradnl"/>
              </w:rPr>
              <w:t>acordó sustituir el título del punto habitual del orden del día por “Auditoría interna e informes de la Comisión Consultiva Independiente de Supervisión de la OMPI”;</w:t>
            </w:r>
          </w:p>
          <w:p w:rsidR="00E90B28" w:rsidRPr="00E90B28" w:rsidRDefault="00E90B28" w:rsidP="00E90B28">
            <w:pPr>
              <w:pStyle w:val="ListParagraph"/>
              <w:numPr>
                <w:ilvl w:val="0"/>
                <w:numId w:val="7"/>
              </w:numPr>
              <w:spacing w:after="60"/>
              <w:contextualSpacing w:val="0"/>
              <w:rPr>
                <w:rFonts w:cs="Arial"/>
                <w:sz w:val="18"/>
                <w:szCs w:val="18"/>
                <w:lang w:val="es-ES_tradnl"/>
              </w:rPr>
            </w:pPr>
            <w:r w:rsidRPr="00C83BDF">
              <w:rPr>
                <w:rFonts w:cs="Arial"/>
                <w:sz w:val="18"/>
                <w:szCs w:val="18"/>
                <w:lang w:val="es-ES_tradnl"/>
              </w:rPr>
              <w:t>acordó el procedimiento de comprobación de las traducciones antes de su publicación en el sitio web de la UPOV;</w:t>
            </w:r>
          </w:p>
        </w:tc>
      </w:tr>
    </w:tbl>
    <w:p w:rsidR="00E65183" w:rsidRPr="00C83BDF" w:rsidRDefault="00E65183" w:rsidP="00E65183">
      <w:pPr>
        <w:rPr>
          <w:lang w:val="es-ES_tradnl"/>
        </w:rPr>
      </w:pPr>
    </w:p>
    <w:tbl>
      <w:tblPr>
        <w:tblW w:w="9889" w:type="dxa"/>
        <w:tblLayout w:type="fixed"/>
        <w:tblLook w:val="0000" w:firstRow="0" w:lastRow="0" w:firstColumn="0" w:lastColumn="0" w:noHBand="0" w:noVBand="0"/>
      </w:tblPr>
      <w:tblGrid>
        <w:gridCol w:w="1951"/>
        <w:gridCol w:w="7938"/>
      </w:tblGrid>
      <w:tr w:rsidR="00E65183" w:rsidRPr="00C83BDF">
        <w:trPr>
          <w:trHeight w:val="388"/>
          <w:tblHeader/>
        </w:trPr>
        <w:tc>
          <w:tcPr>
            <w:tcW w:w="1951" w:type="dxa"/>
            <w:shd w:val="clear" w:color="auto" w:fill="auto"/>
          </w:tcPr>
          <w:p w:rsidR="00E65183" w:rsidRPr="0026557D" w:rsidRDefault="00DA6B94" w:rsidP="0026557D">
            <w:pPr>
              <w:rPr>
                <w:b/>
                <w:sz w:val="18"/>
              </w:rPr>
            </w:pPr>
            <w:r w:rsidRPr="0026557D">
              <w:rPr>
                <w:b/>
                <w:sz w:val="18"/>
              </w:rPr>
              <w:t>Resultados previstos</w:t>
            </w:r>
          </w:p>
        </w:tc>
        <w:tc>
          <w:tcPr>
            <w:tcW w:w="7938" w:type="dxa"/>
            <w:shd w:val="clear" w:color="auto" w:fill="auto"/>
          </w:tcPr>
          <w:p w:rsidR="00E65183" w:rsidRPr="00C83BDF" w:rsidRDefault="00DA6B94" w:rsidP="00DF7AFB">
            <w:pPr>
              <w:keepNext/>
              <w:spacing w:after="240"/>
              <w:rPr>
                <w:rFonts w:cs="Arial"/>
                <w:b/>
                <w:sz w:val="18"/>
                <w:szCs w:val="18"/>
                <w:lang w:val="es-ES_tradnl"/>
              </w:rPr>
            </w:pPr>
            <w:r w:rsidRPr="00C83BDF">
              <w:rPr>
                <w:rFonts w:cs="Arial"/>
                <w:b/>
                <w:sz w:val="18"/>
                <w:szCs w:val="18"/>
                <w:lang w:val="es-ES_tradnl"/>
              </w:rPr>
              <w:t>Resultados alcanzados:</w:t>
            </w:r>
            <w:r w:rsidR="00E65183" w:rsidRPr="00C83BDF">
              <w:rPr>
                <w:rFonts w:cs="Arial"/>
                <w:b/>
                <w:sz w:val="18"/>
                <w:szCs w:val="18"/>
                <w:lang w:val="es-ES_tradnl"/>
              </w:rPr>
              <w:t xml:space="preserve">  </w:t>
            </w:r>
            <w:r w:rsidRPr="00C83BDF">
              <w:rPr>
                <w:rFonts w:cs="Arial"/>
                <w:b/>
                <w:sz w:val="18"/>
                <w:szCs w:val="18"/>
                <w:lang w:val="es-ES_tradnl"/>
              </w:rPr>
              <w:t>indicadores de rendimiento</w:t>
            </w:r>
          </w:p>
        </w:tc>
      </w:tr>
      <w:tr w:rsidR="00E65183" w:rsidRPr="00C83BDF">
        <w:tc>
          <w:tcPr>
            <w:tcW w:w="1951" w:type="dxa"/>
            <w:shd w:val="clear" w:color="auto" w:fill="auto"/>
          </w:tcPr>
          <w:p w:rsidR="00E65183" w:rsidRPr="00E90B28" w:rsidRDefault="00E65183" w:rsidP="00E90B28">
            <w:pPr>
              <w:jc w:val="left"/>
              <w:rPr>
                <w:sz w:val="18"/>
                <w:szCs w:val="18"/>
                <w:lang w:val="es-ES_tradnl"/>
              </w:rPr>
            </w:pPr>
            <w:r w:rsidRPr="00E90B28">
              <w:rPr>
                <w:i/>
                <w:sz w:val="18"/>
                <w:szCs w:val="18"/>
                <w:lang w:val="es-ES_tradnl"/>
              </w:rPr>
              <w:t xml:space="preserve">4.  </w:t>
            </w:r>
            <w:r w:rsidR="0011199B" w:rsidRPr="00E90B28">
              <w:rPr>
                <w:i/>
                <w:sz w:val="18"/>
                <w:szCs w:val="18"/>
                <w:lang w:val="es-ES_tradnl"/>
              </w:rPr>
              <w:t>Política del Consejo</w:t>
            </w:r>
            <w:r w:rsidR="00E90B28">
              <w:rPr>
                <w:sz w:val="18"/>
                <w:szCs w:val="18"/>
                <w:lang w:val="es-ES_tradnl"/>
              </w:rPr>
              <w:t xml:space="preserve"> (continuación)</w:t>
            </w:r>
          </w:p>
        </w:tc>
        <w:tc>
          <w:tcPr>
            <w:tcW w:w="7938" w:type="dxa"/>
            <w:shd w:val="clear" w:color="auto" w:fill="auto"/>
          </w:tcPr>
          <w:p w:rsidR="00E65183" w:rsidRPr="00C83BDF" w:rsidRDefault="0011199B" w:rsidP="00DF7AFB">
            <w:pPr>
              <w:pStyle w:val="ListParagraph"/>
              <w:numPr>
                <w:ilvl w:val="0"/>
                <w:numId w:val="7"/>
              </w:numPr>
              <w:spacing w:after="60"/>
              <w:contextualSpacing w:val="0"/>
              <w:rPr>
                <w:rFonts w:cs="Arial"/>
                <w:sz w:val="18"/>
                <w:szCs w:val="18"/>
                <w:lang w:val="es-ES_tradnl"/>
              </w:rPr>
            </w:pPr>
            <w:r w:rsidRPr="00C83BDF">
              <w:rPr>
                <w:rFonts w:cs="Arial"/>
                <w:sz w:val="18"/>
                <w:szCs w:val="18"/>
                <w:lang w:val="es-ES_tradnl"/>
              </w:rPr>
              <w:t>recomendó al Consejo la adopción de las respuestas a las preguntas frecuentes y solicitó a la Oficina de la Unión que redactara propuestas de preguntas y respuestas relativas a otras cuestiones, basándose en las contribuciones de los miembros de la Unión</w:t>
            </w:r>
            <w:r w:rsidR="00DF7AFB" w:rsidRPr="00C83BDF">
              <w:rPr>
                <w:rFonts w:cs="Arial"/>
                <w:sz w:val="18"/>
                <w:szCs w:val="18"/>
                <w:lang w:val="es-ES_tradnl"/>
              </w:rPr>
              <w:t>;</w:t>
            </w:r>
          </w:p>
          <w:p w:rsidR="00E65183" w:rsidRPr="00C83BDF" w:rsidRDefault="004C61C7" w:rsidP="00DF7AFB">
            <w:pPr>
              <w:pStyle w:val="ListParagraph"/>
              <w:numPr>
                <w:ilvl w:val="0"/>
                <w:numId w:val="7"/>
              </w:numPr>
              <w:spacing w:after="60"/>
              <w:contextualSpacing w:val="0"/>
              <w:rPr>
                <w:rFonts w:cs="Arial"/>
                <w:sz w:val="18"/>
                <w:szCs w:val="18"/>
                <w:lang w:val="es-ES_tradnl"/>
              </w:rPr>
            </w:pPr>
            <w:r w:rsidRPr="00C83BDF">
              <w:rPr>
                <w:rFonts w:cs="Arial"/>
                <w:sz w:val="18"/>
                <w:szCs w:val="18"/>
                <w:lang w:val="es-ES_tradnl"/>
              </w:rPr>
              <w:t>convino en invitar a la ISF, la CIOPORA y CropLife International a dar detalles sobre los problemas que se plantean en la situación actual y las posibles soluciones que ofrecerían un sistema internacional de presentación de solicitudes, un programa de control de calidad de la UPOV y un sistema central para el examen de denominaciones de variedades, y solicitó a la Oficina de la Unión que facilite información pertinente sobre los sistemas internacionales de presentación de solicitudes de la OMPI;</w:t>
            </w:r>
          </w:p>
          <w:p w:rsidR="00E65183" w:rsidRPr="00C83BDF" w:rsidRDefault="004C61C7" w:rsidP="00DF7AFB">
            <w:pPr>
              <w:pStyle w:val="ListParagraph"/>
              <w:numPr>
                <w:ilvl w:val="0"/>
                <w:numId w:val="7"/>
              </w:numPr>
              <w:spacing w:after="60"/>
              <w:contextualSpacing w:val="0"/>
              <w:rPr>
                <w:rFonts w:cs="Arial"/>
                <w:sz w:val="18"/>
                <w:szCs w:val="18"/>
                <w:lang w:val="es-ES_tradnl"/>
              </w:rPr>
            </w:pPr>
            <w:r w:rsidRPr="00C83BDF">
              <w:rPr>
                <w:rFonts w:cs="Arial"/>
                <w:sz w:val="18"/>
                <w:szCs w:val="18"/>
                <w:lang w:val="es-ES_tradnl"/>
              </w:rPr>
              <w:t>convino en la división del curso DL</w:t>
            </w:r>
            <w:r w:rsidRPr="00C83BDF">
              <w:rPr>
                <w:rFonts w:cs="Arial"/>
                <w:sz w:val="18"/>
                <w:szCs w:val="18"/>
                <w:lang w:val="es-ES_tradnl"/>
              </w:rPr>
              <w:noBreakHyphen/>
              <w:t>305 en dos cursos independientes, el DL</w:t>
            </w:r>
            <w:r w:rsidRPr="00C83BDF">
              <w:rPr>
                <w:rFonts w:cs="Arial"/>
                <w:sz w:val="18"/>
                <w:szCs w:val="18"/>
                <w:lang w:val="es-ES_tradnl"/>
              </w:rPr>
              <w:noBreakHyphen/>
              <w:t>305</w:t>
            </w:r>
            <w:r w:rsidRPr="00C83BDF">
              <w:rPr>
                <w:rFonts w:cs="Arial"/>
                <w:sz w:val="18"/>
                <w:szCs w:val="18"/>
                <w:lang w:val="es-ES_tradnl"/>
              </w:rPr>
              <w:noBreakHyphen/>
              <w:t>1 “Administración de los derechos de obtentor” y el DL</w:t>
            </w:r>
            <w:r w:rsidRPr="00C83BDF">
              <w:rPr>
                <w:rFonts w:cs="Arial"/>
                <w:sz w:val="18"/>
                <w:szCs w:val="18"/>
                <w:lang w:val="es-ES_tradnl"/>
              </w:rPr>
              <w:noBreakHyphen/>
              <w:t>305</w:t>
            </w:r>
            <w:r w:rsidRPr="00C83BDF">
              <w:rPr>
                <w:rFonts w:cs="Arial"/>
                <w:sz w:val="18"/>
                <w:szCs w:val="18"/>
                <w:lang w:val="es-ES_tradnl"/>
              </w:rPr>
              <w:noBreakHyphen/>
              <w:t>2 “Examen DHE”, y aprobó el programa propuesto para los cursos de enseñanza a distancia en 2014 y 2015;</w:t>
            </w:r>
          </w:p>
          <w:p w:rsidR="00E65183" w:rsidRPr="00C83BDF" w:rsidRDefault="004C61C7" w:rsidP="00DF7AFB">
            <w:pPr>
              <w:pStyle w:val="ListParagraph"/>
              <w:numPr>
                <w:ilvl w:val="0"/>
                <w:numId w:val="7"/>
              </w:numPr>
              <w:spacing w:after="60"/>
              <w:contextualSpacing w:val="0"/>
              <w:rPr>
                <w:rFonts w:cs="Arial"/>
                <w:sz w:val="18"/>
                <w:szCs w:val="18"/>
                <w:lang w:val="es-ES_tradnl"/>
              </w:rPr>
            </w:pPr>
            <w:r w:rsidRPr="00C83BDF">
              <w:rPr>
                <w:rFonts w:cs="Arial"/>
                <w:sz w:val="18"/>
                <w:szCs w:val="18"/>
                <w:lang w:val="es-ES_tradnl"/>
              </w:rPr>
              <w:t>pidió a la Oficina de la Unión que determine, junto con el Secretario del ITPGRFA y la Secretaría de la OMPI, las posibles esferas de interrelación de los instrumentos internacionales del ITPGRFA, la OMPI y la UPOV con miras a la elaboración de una publicación conjunta sobre las cuestiones interrelacionadas en los ámbitos de la innovación y los recursos fitogenéticos, así como otras posibles iniciativas;</w:t>
            </w:r>
          </w:p>
          <w:p w:rsidR="00E65183" w:rsidRPr="00C83BDF" w:rsidRDefault="00492302" w:rsidP="00DF7AFB">
            <w:pPr>
              <w:pStyle w:val="ListParagraph"/>
              <w:numPr>
                <w:ilvl w:val="0"/>
                <w:numId w:val="7"/>
              </w:numPr>
              <w:spacing w:after="60"/>
              <w:contextualSpacing w:val="0"/>
              <w:rPr>
                <w:rFonts w:cs="Arial"/>
                <w:sz w:val="18"/>
                <w:szCs w:val="18"/>
                <w:lang w:val="es-ES_tradnl"/>
              </w:rPr>
            </w:pPr>
            <w:r w:rsidRPr="00C83BDF">
              <w:rPr>
                <w:rFonts w:cs="Arial"/>
                <w:sz w:val="18"/>
                <w:szCs w:val="18"/>
                <w:lang w:val="es-ES_tradnl"/>
              </w:rPr>
              <w:t>recomendó al Consejo la creación de una cuenta especial de la UPOV para financiar proyectos extrapresupuestarios acordados por el Consejo (Cuenta de proyectos) y transferir a esa cuenta el importe del fondo de reserva que supere el 15% de los ingresos totales para el bienio 2012-2013.</w:t>
            </w:r>
            <w:r w:rsidR="00E65183" w:rsidRPr="00C83BDF">
              <w:rPr>
                <w:rFonts w:cs="Arial"/>
                <w:sz w:val="18"/>
                <w:szCs w:val="18"/>
                <w:lang w:val="es-ES_tradnl"/>
              </w:rPr>
              <w:t xml:space="preserve">  </w:t>
            </w:r>
            <w:r w:rsidRPr="00C83BDF">
              <w:rPr>
                <w:rFonts w:cs="Arial"/>
                <w:sz w:val="18"/>
                <w:szCs w:val="18"/>
                <w:lang w:val="es-ES_tradnl"/>
              </w:rPr>
              <w:t>Asimismo, solicitó a la Oficina de la Unión que preparara un documento para someterlo a examen en su octogésima octava sesión que describa los posibles proyectos y pidió a los miembros de la Unión que formulen propuestas a la Oficina de la Unión.</w:t>
            </w:r>
          </w:p>
          <w:p w:rsidR="00E65183" w:rsidRPr="00C83BDF" w:rsidRDefault="00492302" w:rsidP="00DF7AFB">
            <w:pPr>
              <w:spacing w:before="120" w:after="120"/>
              <w:rPr>
                <w:rFonts w:cs="Arial"/>
                <w:sz w:val="18"/>
                <w:szCs w:val="18"/>
                <w:lang w:val="es-ES_tradnl"/>
              </w:rPr>
            </w:pPr>
            <w:r w:rsidRPr="00C83BDF">
              <w:rPr>
                <w:rFonts w:cs="Arial"/>
                <w:sz w:val="18"/>
                <w:szCs w:val="18"/>
                <w:lang w:val="es-ES_tradnl"/>
              </w:rPr>
              <w:t xml:space="preserve">En su octogésima octava sesión, celebrada en Ginebra los </w:t>
            </w:r>
            <w:r w:rsidR="00E147F8" w:rsidRPr="00C83BDF">
              <w:rPr>
                <w:rFonts w:cs="Arial"/>
                <w:sz w:val="18"/>
                <w:szCs w:val="18"/>
                <w:lang w:val="es-ES_tradnl"/>
              </w:rPr>
              <w:t>días</w:t>
            </w:r>
            <w:r w:rsidRPr="00C83BDF">
              <w:rPr>
                <w:rFonts w:cs="Arial"/>
                <w:sz w:val="18"/>
                <w:szCs w:val="18"/>
                <w:lang w:val="es-ES_tradnl"/>
              </w:rPr>
              <w:t xml:space="preserve"> 15 y 16 de octubre de 2014, el Comité Consultivo </w:t>
            </w:r>
            <w:r w:rsidR="008479BC">
              <w:rPr>
                <w:rFonts w:cs="Arial"/>
                <w:sz w:val="18"/>
                <w:szCs w:val="18"/>
                <w:lang w:val="es-ES_tradnl"/>
              </w:rPr>
              <w:t xml:space="preserve">recomendó </w:t>
            </w:r>
            <w:r w:rsidRPr="00C83BDF">
              <w:rPr>
                <w:rFonts w:cs="Arial"/>
                <w:sz w:val="18"/>
                <w:szCs w:val="18"/>
                <w:lang w:val="es-ES_tradnl"/>
              </w:rPr>
              <w:t>al Consejo:</w:t>
            </w:r>
          </w:p>
          <w:p w:rsidR="00E65183" w:rsidRPr="00C83BDF" w:rsidRDefault="001F72B0" w:rsidP="001F72B0">
            <w:pPr>
              <w:pStyle w:val="ListParagraph"/>
              <w:numPr>
                <w:ilvl w:val="0"/>
                <w:numId w:val="7"/>
              </w:numPr>
              <w:spacing w:after="60"/>
              <w:contextualSpacing w:val="0"/>
              <w:rPr>
                <w:rFonts w:cs="Arial"/>
                <w:sz w:val="18"/>
                <w:szCs w:val="18"/>
                <w:lang w:val="es-ES_tradnl"/>
              </w:rPr>
            </w:pPr>
            <w:r w:rsidRPr="001F72B0">
              <w:rPr>
                <w:rFonts w:cs="Arial"/>
                <w:sz w:val="18"/>
                <w:szCs w:val="18"/>
                <w:lang w:val="es-ES_tradnl"/>
              </w:rPr>
              <w:t>nombrar al Sr. Francis Gurry Secretario General de la UPOV para el período comprendido entre el 16 de octubre de 2014 y el 30 de septiembre de 2020</w:t>
            </w:r>
            <w:r w:rsidR="00A10D66" w:rsidRPr="00C83BDF">
              <w:rPr>
                <w:rFonts w:cs="Arial"/>
                <w:sz w:val="18"/>
                <w:szCs w:val="18"/>
                <w:lang w:val="es-ES_tradnl"/>
              </w:rPr>
              <w:t>;</w:t>
            </w:r>
          </w:p>
          <w:p w:rsidR="00E65183" w:rsidRPr="00C83BDF" w:rsidRDefault="001F72B0" w:rsidP="001F72B0">
            <w:pPr>
              <w:pStyle w:val="ListParagraph"/>
              <w:numPr>
                <w:ilvl w:val="0"/>
                <w:numId w:val="7"/>
              </w:numPr>
              <w:spacing w:after="60"/>
              <w:contextualSpacing w:val="0"/>
              <w:rPr>
                <w:rFonts w:cs="Arial"/>
                <w:sz w:val="18"/>
                <w:szCs w:val="18"/>
                <w:lang w:val="es-ES_tradnl"/>
              </w:rPr>
            </w:pPr>
            <w:r w:rsidRPr="001F72B0">
              <w:rPr>
                <w:rFonts w:cs="Arial"/>
                <w:sz w:val="18"/>
                <w:szCs w:val="18"/>
                <w:lang w:val="es-ES_tradnl"/>
              </w:rPr>
              <w:t>confirmar la decisión sobre la conformidad de 22 de marzo de 2013, y comunicar al Gobierno de la República Unida de Tanzanía que el instrumento de adhesión de la República Unida de Tanzanía podrá ser depositado</w:t>
            </w:r>
            <w:r w:rsidR="00A10D66" w:rsidRPr="00C83BDF">
              <w:rPr>
                <w:rFonts w:cs="Arial"/>
                <w:sz w:val="18"/>
                <w:szCs w:val="18"/>
                <w:lang w:val="es-ES_tradnl"/>
              </w:rPr>
              <w:t>;</w:t>
            </w:r>
          </w:p>
          <w:p w:rsidR="00E65183" w:rsidRDefault="001F72B0" w:rsidP="00DF7AFB">
            <w:pPr>
              <w:pStyle w:val="ListParagraph"/>
              <w:numPr>
                <w:ilvl w:val="0"/>
                <w:numId w:val="7"/>
              </w:numPr>
              <w:spacing w:after="60"/>
              <w:contextualSpacing w:val="0"/>
              <w:rPr>
                <w:rFonts w:cs="Arial"/>
                <w:sz w:val="18"/>
                <w:szCs w:val="18"/>
                <w:lang w:val="es-ES_tradnl"/>
              </w:rPr>
            </w:pPr>
            <w:r>
              <w:rPr>
                <w:rFonts w:cs="Arial"/>
                <w:sz w:val="18"/>
                <w:szCs w:val="18"/>
                <w:lang w:val="es-ES_tradnl"/>
              </w:rPr>
              <w:t>aprobar</w:t>
            </w:r>
            <w:r w:rsidR="00A10D66" w:rsidRPr="00C83BDF">
              <w:rPr>
                <w:rFonts w:cs="Arial"/>
                <w:sz w:val="18"/>
                <w:szCs w:val="18"/>
                <w:lang w:val="es-ES_tradnl"/>
              </w:rPr>
              <w:t xml:space="preserve"> </w:t>
            </w:r>
            <w:r w:rsidR="00F17037">
              <w:rPr>
                <w:rFonts w:cs="Arial"/>
                <w:sz w:val="18"/>
                <w:szCs w:val="18"/>
                <w:lang w:val="es-ES_tradnl"/>
              </w:rPr>
              <w:t xml:space="preserve">los </w:t>
            </w:r>
            <w:r w:rsidR="00FC6489" w:rsidRPr="00C83BDF">
              <w:rPr>
                <w:rFonts w:cs="Arial"/>
                <w:sz w:val="18"/>
                <w:szCs w:val="18"/>
                <w:lang w:val="es-ES_tradnl"/>
              </w:rPr>
              <w:t xml:space="preserve">documentos </w:t>
            </w:r>
            <w:r w:rsidR="00F17037">
              <w:rPr>
                <w:rFonts w:cs="Arial"/>
                <w:sz w:val="18"/>
                <w:szCs w:val="18"/>
                <w:lang w:val="es-ES_tradnl"/>
              </w:rPr>
              <w:t>siguientes:</w:t>
            </w:r>
          </w:p>
          <w:p w:rsidR="00F17037" w:rsidRPr="00F17037" w:rsidRDefault="00F17037" w:rsidP="00F17037">
            <w:pPr>
              <w:spacing w:after="60"/>
              <w:ind w:left="925" w:hanging="284"/>
              <w:jc w:val="left"/>
              <w:rPr>
                <w:sz w:val="18"/>
                <w:szCs w:val="18"/>
                <w:lang w:val="es-ES_tradnl"/>
              </w:rPr>
            </w:pPr>
            <w:r w:rsidRPr="00F17037">
              <w:rPr>
                <w:sz w:val="18"/>
                <w:szCs w:val="18"/>
                <w:lang w:val="es-ES_tradnl"/>
              </w:rPr>
              <w:t>-</w:t>
            </w:r>
            <w:r w:rsidRPr="00F17037">
              <w:rPr>
                <w:sz w:val="18"/>
                <w:szCs w:val="18"/>
                <w:lang w:val="es-ES_tradnl"/>
              </w:rPr>
              <w:tab/>
              <w:t xml:space="preserve">TGP/2 </w:t>
            </w:r>
            <w:r w:rsidRPr="00F17037">
              <w:rPr>
                <w:sz w:val="18"/>
                <w:szCs w:val="18"/>
                <w:lang w:val="es-ES_tradnl"/>
              </w:rPr>
              <w:t>“Lista de directrices de examen aprobadas por la UPOV”</w:t>
            </w:r>
            <w:r w:rsidRPr="00F17037">
              <w:rPr>
                <w:sz w:val="18"/>
                <w:szCs w:val="18"/>
                <w:lang w:val="es-ES_tradnl"/>
              </w:rPr>
              <w:t xml:space="preserve"> (</w:t>
            </w:r>
            <w:r w:rsidRPr="00F17037">
              <w:rPr>
                <w:sz w:val="18"/>
                <w:szCs w:val="18"/>
                <w:lang w:val="es-ES_tradnl"/>
              </w:rPr>
              <w:t>revisión</w:t>
            </w:r>
            <w:r w:rsidRPr="00F17037">
              <w:rPr>
                <w:sz w:val="18"/>
                <w:szCs w:val="18"/>
                <w:lang w:val="es-ES_tradnl"/>
              </w:rPr>
              <w:t>) (</w:t>
            </w:r>
            <w:r w:rsidRPr="00F17037">
              <w:rPr>
                <w:sz w:val="18"/>
                <w:szCs w:val="18"/>
                <w:lang w:val="es-ES_tradnl"/>
              </w:rPr>
              <w:t>documento</w:t>
            </w:r>
            <w:r w:rsidRPr="00F17037">
              <w:rPr>
                <w:sz w:val="18"/>
                <w:szCs w:val="18"/>
                <w:lang w:val="es-ES_tradnl"/>
              </w:rPr>
              <w:t> TGP/2/2);</w:t>
            </w:r>
          </w:p>
          <w:p w:rsidR="00F17037" w:rsidRPr="00F17037" w:rsidRDefault="00F17037" w:rsidP="00F17037">
            <w:pPr>
              <w:spacing w:after="60"/>
              <w:ind w:left="925" w:hanging="284"/>
              <w:jc w:val="left"/>
              <w:rPr>
                <w:sz w:val="18"/>
                <w:szCs w:val="18"/>
                <w:lang w:val="es-ES_tradnl"/>
              </w:rPr>
            </w:pPr>
            <w:r w:rsidRPr="00F17037">
              <w:rPr>
                <w:sz w:val="18"/>
                <w:szCs w:val="18"/>
                <w:lang w:val="es-ES_tradnl"/>
              </w:rPr>
              <w:t>-</w:t>
            </w:r>
            <w:r w:rsidRPr="00F17037">
              <w:rPr>
                <w:sz w:val="18"/>
                <w:szCs w:val="18"/>
                <w:lang w:val="es-ES_tradnl"/>
              </w:rPr>
              <w:tab/>
              <w:t xml:space="preserve">TGP/5 </w:t>
            </w:r>
            <w:r w:rsidRPr="00F17037">
              <w:rPr>
                <w:sz w:val="18"/>
                <w:szCs w:val="18"/>
                <w:lang w:val="es-ES_tradnl"/>
              </w:rPr>
              <w:t>“Experiencia y cooperación en el examen DHE”, Sección 10 “Notificación de caracteres y niveles de expresión adicionales”</w:t>
            </w:r>
            <w:r w:rsidRPr="00F17037">
              <w:rPr>
                <w:sz w:val="18"/>
                <w:szCs w:val="18"/>
                <w:lang w:val="es-ES_tradnl"/>
              </w:rPr>
              <w:t xml:space="preserve"> (</w:t>
            </w:r>
            <w:r w:rsidRPr="00F17037">
              <w:rPr>
                <w:sz w:val="18"/>
                <w:szCs w:val="18"/>
                <w:lang w:val="es-ES_tradnl"/>
              </w:rPr>
              <w:t>revisión</w:t>
            </w:r>
            <w:r w:rsidRPr="00F17037">
              <w:rPr>
                <w:sz w:val="18"/>
                <w:szCs w:val="18"/>
                <w:lang w:val="es-ES_tradnl"/>
              </w:rPr>
              <w:t>) (</w:t>
            </w:r>
            <w:r w:rsidRPr="00F17037">
              <w:rPr>
                <w:sz w:val="18"/>
                <w:szCs w:val="18"/>
                <w:lang w:val="es-ES_tradnl"/>
              </w:rPr>
              <w:t>documento</w:t>
            </w:r>
            <w:r w:rsidRPr="00F17037">
              <w:rPr>
                <w:sz w:val="18"/>
                <w:szCs w:val="18"/>
                <w:lang w:val="es-ES_tradnl"/>
              </w:rPr>
              <w:t> TGP</w:t>
            </w:r>
            <w:r w:rsidRPr="00F17037">
              <w:rPr>
                <w:sz w:val="18"/>
                <w:szCs w:val="18"/>
                <w:lang w:val="es-ES_tradnl"/>
              </w:rPr>
              <w:t>/5, </w:t>
            </w:r>
            <w:r w:rsidRPr="00F17037">
              <w:rPr>
                <w:sz w:val="18"/>
                <w:szCs w:val="18"/>
                <w:lang w:val="es-ES_tradnl"/>
              </w:rPr>
              <w:t>Section</w:t>
            </w:r>
            <w:r w:rsidRPr="00F17037">
              <w:rPr>
                <w:sz w:val="18"/>
                <w:szCs w:val="18"/>
                <w:lang w:val="es-ES_tradnl"/>
              </w:rPr>
              <w:t> </w:t>
            </w:r>
            <w:r w:rsidRPr="00F17037">
              <w:rPr>
                <w:sz w:val="18"/>
                <w:szCs w:val="18"/>
                <w:lang w:val="es-ES_tradnl"/>
              </w:rPr>
              <w:t>10/3);</w:t>
            </w:r>
          </w:p>
          <w:p w:rsidR="00F17037" w:rsidRPr="00F17037" w:rsidRDefault="00F17037" w:rsidP="00F17037">
            <w:pPr>
              <w:spacing w:after="60"/>
              <w:ind w:left="925" w:hanging="284"/>
              <w:jc w:val="left"/>
              <w:rPr>
                <w:sz w:val="18"/>
                <w:szCs w:val="18"/>
                <w:lang w:val="es-ES_tradnl"/>
              </w:rPr>
            </w:pPr>
            <w:r w:rsidRPr="00F17037">
              <w:rPr>
                <w:sz w:val="18"/>
                <w:szCs w:val="18"/>
                <w:lang w:val="es-ES_tradnl"/>
              </w:rPr>
              <w:t>-</w:t>
            </w:r>
            <w:r w:rsidRPr="00F17037">
              <w:rPr>
                <w:sz w:val="18"/>
                <w:szCs w:val="18"/>
                <w:lang w:val="es-ES_tradnl"/>
              </w:rPr>
              <w:tab/>
              <w:t xml:space="preserve">TGP/7 </w:t>
            </w:r>
            <w:r w:rsidRPr="00F17037">
              <w:rPr>
                <w:sz w:val="18"/>
                <w:szCs w:val="18"/>
                <w:lang w:val="es-ES_tradnl"/>
              </w:rPr>
              <w:t>“Elaboración de las directrices de examen”</w:t>
            </w:r>
            <w:r w:rsidRPr="00F17037">
              <w:rPr>
                <w:sz w:val="18"/>
                <w:szCs w:val="18"/>
                <w:lang w:val="es-ES_tradnl"/>
              </w:rPr>
              <w:t xml:space="preserve"> (</w:t>
            </w:r>
            <w:r w:rsidRPr="00F17037">
              <w:rPr>
                <w:sz w:val="18"/>
                <w:szCs w:val="18"/>
                <w:lang w:val="es-ES_tradnl"/>
              </w:rPr>
              <w:t>revisión</w:t>
            </w:r>
            <w:r w:rsidRPr="00F17037">
              <w:rPr>
                <w:sz w:val="18"/>
                <w:szCs w:val="18"/>
                <w:lang w:val="es-ES_tradnl"/>
              </w:rPr>
              <w:t>) (</w:t>
            </w:r>
            <w:r w:rsidRPr="00F17037">
              <w:rPr>
                <w:sz w:val="18"/>
                <w:szCs w:val="18"/>
                <w:lang w:val="es-ES_tradnl"/>
              </w:rPr>
              <w:t>documento</w:t>
            </w:r>
            <w:r w:rsidRPr="00F17037">
              <w:rPr>
                <w:sz w:val="18"/>
                <w:szCs w:val="18"/>
                <w:lang w:val="es-ES_tradnl"/>
              </w:rPr>
              <w:t> TGP/7/4);</w:t>
            </w:r>
          </w:p>
          <w:p w:rsidR="00F17037" w:rsidRPr="00F17037" w:rsidRDefault="00F17037" w:rsidP="00F17037">
            <w:pPr>
              <w:spacing w:after="60"/>
              <w:ind w:left="925" w:hanging="284"/>
              <w:jc w:val="left"/>
              <w:rPr>
                <w:sz w:val="18"/>
                <w:szCs w:val="18"/>
                <w:lang w:val="es-ES_tradnl"/>
              </w:rPr>
            </w:pPr>
            <w:r w:rsidRPr="00F17037">
              <w:rPr>
                <w:sz w:val="18"/>
                <w:szCs w:val="18"/>
                <w:lang w:val="es-ES_tradnl"/>
              </w:rPr>
              <w:t>-</w:t>
            </w:r>
            <w:r w:rsidRPr="00F17037">
              <w:rPr>
                <w:sz w:val="18"/>
                <w:szCs w:val="18"/>
                <w:lang w:val="es-ES_tradnl"/>
              </w:rPr>
              <w:tab/>
              <w:t xml:space="preserve">TGP/8 </w:t>
            </w:r>
            <w:r w:rsidRPr="00F17037">
              <w:rPr>
                <w:sz w:val="18"/>
                <w:szCs w:val="18"/>
                <w:lang w:val="es-ES_tradnl"/>
              </w:rPr>
              <w:t>“Diseño de ensayos y técnicas utilizados en el examen de la distinción, la homogeneidad y la estabilidad”</w:t>
            </w:r>
            <w:r w:rsidRPr="00F17037">
              <w:rPr>
                <w:sz w:val="18"/>
                <w:szCs w:val="18"/>
                <w:lang w:val="es-ES_tradnl"/>
              </w:rPr>
              <w:t xml:space="preserve"> (</w:t>
            </w:r>
            <w:r w:rsidRPr="00F17037">
              <w:rPr>
                <w:sz w:val="18"/>
                <w:szCs w:val="18"/>
                <w:lang w:val="es-ES_tradnl"/>
              </w:rPr>
              <w:t>revisión</w:t>
            </w:r>
            <w:r w:rsidRPr="00F17037">
              <w:rPr>
                <w:sz w:val="18"/>
                <w:szCs w:val="18"/>
                <w:lang w:val="es-ES_tradnl"/>
              </w:rPr>
              <w:t>) (</w:t>
            </w:r>
            <w:r w:rsidRPr="00F17037">
              <w:rPr>
                <w:sz w:val="18"/>
                <w:szCs w:val="18"/>
                <w:lang w:val="es-ES_tradnl"/>
              </w:rPr>
              <w:t>documento</w:t>
            </w:r>
            <w:r w:rsidRPr="00F17037">
              <w:rPr>
                <w:sz w:val="18"/>
                <w:szCs w:val="18"/>
                <w:lang w:val="es-ES_tradnl"/>
              </w:rPr>
              <w:t xml:space="preserve"> TGP/8/2);</w:t>
            </w:r>
          </w:p>
          <w:p w:rsidR="00F17037" w:rsidRPr="00F17037" w:rsidRDefault="00F17037" w:rsidP="00F17037">
            <w:pPr>
              <w:spacing w:after="60"/>
              <w:ind w:left="925" w:hanging="284"/>
              <w:jc w:val="left"/>
              <w:rPr>
                <w:rFonts w:cs="Arial"/>
                <w:sz w:val="18"/>
                <w:szCs w:val="18"/>
                <w:lang w:val="es-ES_tradnl"/>
              </w:rPr>
            </w:pPr>
            <w:r w:rsidRPr="00F17037">
              <w:rPr>
                <w:rFonts w:cs="Arial"/>
                <w:sz w:val="18"/>
                <w:szCs w:val="18"/>
                <w:lang w:val="es-ES_tradnl"/>
              </w:rPr>
              <w:t>-</w:t>
            </w:r>
            <w:r w:rsidRPr="00F17037">
              <w:rPr>
                <w:rFonts w:cs="Arial"/>
                <w:sz w:val="18"/>
                <w:szCs w:val="18"/>
                <w:lang w:val="es-ES_tradnl"/>
              </w:rPr>
              <w:tab/>
            </w:r>
            <w:r w:rsidRPr="00F17037">
              <w:rPr>
                <w:rFonts w:cs="Arial"/>
                <w:sz w:val="18"/>
                <w:szCs w:val="18"/>
                <w:lang w:val="es-ES_tradnl"/>
              </w:rPr>
              <w:t xml:space="preserve">la corrección de la versión en español del documento TGP/14:  Sección 2:  Subsección 3:  Color, párrafo </w:t>
            </w:r>
            <w:r w:rsidRPr="00F17037">
              <w:rPr>
                <w:rFonts w:cs="Arial"/>
                <w:sz w:val="18"/>
                <w:szCs w:val="18"/>
                <w:lang w:val="es-ES_tradnl"/>
              </w:rPr>
              <w:t>2.2.2 (TGP/14/2 Corr. (S));</w:t>
            </w:r>
          </w:p>
          <w:p w:rsidR="00F17037" w:rsidRPr="00F17037" w:rsidRDefault="00F17037" w:rsidP="00F17037">
            <w:pPr>
              <w:spacing w:after="60"/>
              <w:ind w:left="925" w:hanging="284"/>
              <w:jc w:val="left"/>
              <w:rPr>
                <w:rFonts w:cs="Arial"/>
                <w:sz w:val="18"/>
                <w:szCs w:val="18"/>
                <w:lang w:val="es-ES_tradnl"/>
              </w:rPr>
            </w:pPr>
            <w:r w:rsidRPr="00F17037">
              <w:rPr>
                <w:rFonts w:cs="Arial"/>
                <w:sz w:val="18"/>
                <w:szCs w:val="18"/>
                <w:lang w:val="es-ES_tradnl"/>
              </w:rPr>
              <w:t>-</w:t>
            </w:r>
            <w:r w:rsidRPr="00F17037">
              <w:rPr>
                <w:rFonts w:cs="Arial"/>
                <w:sz w:val="18"/>
                <w:szCs w:val="18"/>
                <w:lang w:val="es-ES_tradnl"/>
              </w:rPr>
              <w:tab/>
              <w:t xml:space="preserve">TGP/0 </w:t>
            </w:r>
            <w:r w:rsidRPr="00F17037">
              <w:rPr>
                <w:rFonts w:cs="Arial"/>
                <w:sz w:val="18"/>
                <w:szCs w:val="18"/>
                <w:lang w:val="es-ES_tradnl"/>
              </w:rPr>
              <w:t>“Lista de documentos TGP y fechas de última publicación”</w:t>
            </w:r>
            <w:r w:rsidRPr="00F17037">
              <w:rPr>
                <w:rFonts w:cs="Arial"/>
                <w:sz w:val="18"/>
                <w:szCs w:val="18"/>
                <w:lang w:val="es-ES_tradnl"/>
              </w:rPr>
              <w:t xml:space="preserve"> </w:t>
            </w:r>
            <w:r w:rsidRPr="00F17037">
              <w:rPr>
                <w:sz w:val="18"/>
                <w:szCs w:val="18"/>
                <w:lang w:val="es-ES_tradnl"/>
              </w:rPr>
              <w:t>(</w:t>
            </w:r>
            <w:r w:rsidRPr="00F17037">
              <w:rPr>
                <w:sz w:val="18"/>
                <w:szCs w:val="18"/>
                <w:lang w:val="es-ES_tradnl"/>
              </w:rPr>
              <w:t>revisión</w:t>
            </w:r>
            <w:r w:rsidRPr="00F17037">
              <w:rPr>
                <w:sz w:val="18"/>
                <w:szCs w:val="18"/>
                <w:lang w:val="es-ES_tradnl"/>
              </w:rPr>
              <w:t>)</w:t>
            </w:r>
            <w:r w:rsidRPr="00F17037">
              <w:rPr>
                <w:rFonts w:cs="Arial"/>
                <w:sz w:val="18"/>
                <w:szCs w:val="18"/>
                <w:lang w:val="es-ES_tradnl"/>
              </w:rPr>
              <w:t xml:space="preserve"> (</w:t>
            </w:r>
            <w:r w:rsidRPr="00F17037">
              <w:rPr>
                <w:rFonts w:cs="Arial"/>
                <w:sz w:val="18"/>
                <w:szCs w:val="18"/>
                <w:lang w:val="es-ES_tradnl"/>
              </w:rPr>
              <w:t>documento</w:t>
            </w:r>
            <w:r w:rsidRPr="00F17037">
              <w:rPr>
                <w:rFonts w:cs="Arial"/>
                <w:sz w:val="18"/>
                <w:szCs w:val="18"/>
                <w:lang w:val="es-ES_tradnl"/>
              </w:rPr>
              <w:t> TGP/0/7);</w:t>
            </w:r>
          </w:p>
          <w:p w:rsidR="00F17037" w:rsidRPr="00F17037" w:rsidRDefault="00F17037" w:rsidP="00F17037">
            <w:pPr>
              <w:spacing w:after="60"/>
              <w:ind w:left="925" w:hanging="284"/>
              <w:jc w:val="left"/>
              <w:rPr>
                <w:rFonts w:cs="Arial"/>
                <w:sz w:val="18"/>
                <w:szCs w:val="18"/>
                <w:lang w:val="es-ES_tradnl"/>
              </w:rPr>
            </w:pPr>
            <w:r w:rsidRPr="00F17037">
              <w:rPr>
                <w:rFonts w:cs="Arial"/>
                <w:sz w:val="18"/>
                <w:szCs w:val="18"/>
                <w:lang w:val="es-ES_tradnl"/>
              </w:rPr>
              <w:t>-</w:t>
            </w:r>
            <w:r w:rsidRPr="00F17037">
              <w:rPr>
                <w:rFonts w:cs="Arial"/>
                <w:sz w:val="18"/>
                <w:szCs w:val="18"/>
                <w:lang w:val="es-ES_tradnl"/>
              </w:rPr>
              <w:tab/>
              <w:t xml:space="preserve">UPOV/INF/16 </w:t>
            </w:r>
            <w:r w:rsidRPr="00F17037">
              <w:rPr>
                <w:rFonts w:cs="Arial"/>
                <w:sz w:val="18"/>
                <w:szCs w:val="18"/>
                <w:lang w:val="es-ES_tradnl"/>
              </w:rPr>
              <w:t>“Programas informáticos para intercambio”</w:t>
            </w:r>
            <w:r w:rsidRPr="00F17037">
              <w:rPr>
                <w:rFonts w:cs="Arial"/>
                <w:sz w:val="18"/>
                <w:szCs w:val="18"/>
                <w:lang w:val="es-ES_tradnl"/>
              </w:rPr>
              <w:t xml:space="preserve"> </w:t>
            </w:r>
            <w:r w:rsidRPr="00F17037">
              <w:rPr>
                <w:sz w:val="18"/>
                <w:szCs w:val="18"/>
                <w:lang w:val="es-ES_tradnl"/>
              </w:rPr>
              <w:t>(</w:t>
            </w:r>
            <w:r w:rsidRPr="00F17037">
              <w:rPr>
                <w:sz w:val="18"/>
                <w:szCs w:val="18"/>
                <w:lang w:val="es-ES_tradnl"/>
              </w:rPr>
              <w:t>revisión</w:t>
            </w:r>
            <w:r w:rsidRPr="00F17037">
              <w:rPr>
                <w:sz w:val="18"/>
                <w:szCs w:val="18"/>
                <w:lang w:val="es-ES_tradnl"/>
              </w:rPr>
              <w:t>)</w:t>
            </w:r>
            <w:r w:rsidRPr="00F17037">
              <w:rPr>
                <w:rFonts w:cs="Arial"/>
                <w:sz w:val="18"/>
                <w:szCs w:val="18"/>
                <w:lang w:val="es-ES_tradnl"/>
              </w:rPr>
              <w:t xml:space="preserve"> (</w:t>
            </w:r>
            <w:r w:rsidRPr="00F17037">
              <w:rPr>
                <w:rFonts w:cs="Arial"/>
                <w:sz w:val="18"/>
                <w:szCs w:val="18"/>
                <w:lang w:val="es-ES_tradnl"/>
              </w:rPr>
              <w:t>documento</w:t>
            </w:r>
            <w:r w:rsidRPr="00F17037">
              <w:rPr>
                <w:rFonts w:cs="Arial"/>
                <w:sz w:val="18"/>
                <w:szCs w:val="18"/>
                <w:lang w:val="es-ES_tradnl"/>
              </w:rPr>
              <w:t> UPOV/INF/16/4);</w:t>
            </w:r>
          </w:p>
          <w:p w:rsidR="00F17037" w:rsidRPr="00F17037" w:rsidRDefault="00F17037" w:rsidP="00F17037">
            <w:pPr>
              <w:spacing w:after="60"/>
              <w:ind w:left="925" w:hanging="284"/>
              <w:jc w:val="left"/>
              <w:rPr>
                <w:rFonts w:cs="Arial"/>
                <w:sz w:val="18"/>
                <w:szCs w:val="18"/>
                <w:lang w:val="es-ES_tradnl"/>
              </w:rPr>
            </w:pPr>
            <w:r w:rsidRPr="00F17037">
              <w:rPr>
                <w:rFonts w:cs="Arial"/>
                <w:sz w:val="18"/>
                <w:szCs w:val="18"/>
                <w:lang w:val="es-ES_tradnl"/>
              </w:rPr>
              <w:t>-</w:t>
            </w:r>
            <w:r w:rsidRPr="00F17037">
              <w:rPr>
                <w:rFonts w:cs="Arial"/>
                <w:sz w:val="18"/>
                <w:szCs w:val="18"/>
                <w:lang w:val="es-ES_tradnl"/>
              </w:rPr>
              <w:tab/>
              <w:t xml:space="preserve">UPOV/INF/22 </w:t>
            </w:r>
            <w:r w:rsidRPr="00F17037">
              <w:rPr>
                <w:rFonts w:cs="Arial"/>
                <w:sz w:val="18"/>
                <w:szCs w:val="18"/>
                <w:lang w:val="es-ES_tradnl"/>
              </w:rPr>
              <w:t>“Programas informáticos y equipos utilizados por los miembros de la Unión”</w:t>
            </w:r>
            <w:r w:rsidRPr="00F17037">
              <w:rPr>
                <w:rFonts w:cs="Arial"/>
                <w:sz w:val="18"/>
                <w:szCs w:val="18"/>
                <w:lang w:val="es-ES_tradnl"/>
              </w:rPr>
              <w:t xml:space="preserve"> (</w:t>
            </w:r>
            <w:r w:rsidRPr="00F17037">
              <w:rPr>
                <w:rFonts w:cs="Arial"/>
                <w:sz w:val="18"/>
                <w:szCs w:val="18"/>
                <w:lang w:val="es-ES_tradnl"/>
              </w:rPr>
              <w:t>documento</w:t>
            </w:r>
            <w:r w:rsidRPr="00F17037">
              <w:rPr>
                <w:rFonts w:cs="Arial"/>
                <w:sz w:val="18"/>
                <w:szCs w:val="18"/>
                <w:lang w:val="es-ES_tradnl"/>
              </w:rPr>
              <w:t> UPOV/INF/22/1);</w:t>
            </w:r>
          </w:p>
          <w:p w:rsidR="00F17037" w:rsidRPr="00F17037" w:rsidRDefault="00F17037" w:rsidP="00F17037">
            <w:pPr>
              <w:spacing w:after="60"/>
              <w:ind w:left="925" w:hanging="284"/>
              <w:jc w:val="left"/>
              <w:rPr>
                <w:rFonts w:cs="Arial"/>
                <w:sz w:val="18"/>
                <w:szCs w:val="18"/>
                <w:lang w:val="es-ES_tradnl"/>
              </w:rPr>
            </w:pPr>
            <w:r w:rsidRPr="00F17037">
              <w:rPr>
                <w:rFonts w:cs="Arial"/>
                <w:sz w:val="18"/>
                <w:szCs w:val="18"/>
                <w:lang w:val="es-ES_tradnl"/>
              </w:rPr>
              <w:t>-</w:t>
            </w:r>
            <w:r w:rsidRPr="00F17037">
              <w:rPr>
                <w:rFonts w:cs="Arial"/>
                <w:sz w:val="18"/>
                <w:szCs w:val="18"/>
                <w:lang w:val="es-ES_tradnl"/>
              </w:rPr>
              <w:tab/>
              <w:t xml:space="preserve">UPOV/INF-EXN </w:t>
            </w:r>
            <w:r w:rsidRPr="00F17037">
              <w:rPr>
                <w:rFonts w:cs="Arial"/>
                <w:sz w:val="18"/>
                <w:szCs w:val="18"/>
                <w:lang w:val="es-ES_tradnl"/>
              </w:rPr>
              <w:t>“Lista de documentos UPOV/INF EXN y fechas de última publicación”</w:t>
            </w:r>
            <w:r w:rsidRPr="00F17037">
              <w:rPr>
                <w:rFonts w:cs="Arial"/>
                <w:sz w:val="18"/>
                <w:szCs w:val="18"/>
                <w:lang w:val="es-ES_tradnl"/>
              </w:rPr>
              <w:t xml:space="preserve"> (</w:t>
            </w:r>
            <w:r w:rsidRPr="00F17037">
              <w:rPr>
                <w:rFonts w:cs="Arial"/>
                <w:sz w:val="18"/>
                <w:szCs w:val="18"/>
                <w:lang w:val="es-ES_tradnl"/>
              </w:rPr>
              <w:t>revisión</w:t>
            </w:r>
            <w:r w:rsidRPr="00F17037">
              <w:rPr>
                <w:rFonts w:cs="Arial"/>
                <w:sz w:val="18"/>
                <w:szCs w:val="18"/>
                <w:lang w:val="es-ES_tradnl"/>
              </w:rPr>
              <w:t>) (</w:t>
            </w:r>
            <w:r w:rsidRPr="00F17037">
              <w:rPr>
                <w:rFonts w:cs="Arial"/>
                <w:sz w:val="18"/>
                <w:szCs w:val="18"/>
                <w:lang w:val="es-ES_tradnl"/>
              </w:rPr>
              <w:t>documento</w:t>
            </w:r>
            <w:r w:rsidRPr="00F17037">
              <w:rPr>
                <w:rFonts w:cs="Arial"/>
                <w:sz w:val="18"/>
                <w:szCs w:val="18"/>
                <w:lang w:val="es-ES_tradnl"/>
              </w:rPr>
              <w:t> UPOV/INF-EXN/6);</w:t>
            </w:r>
          </w:p>
          <w:p w:rsidR="00E65183" w:rsidRPr="00C83BDF" w:rsidRDefault="00F17037" w:rsidP="009B6B14">
            <w:pPr>
              <w:pStyle w:val="ListParagraph"/>
              <w:numPr>
                <w:ilvl w:val="0"/>
                <w:numId w:val="7"/>
              </w:numPr>
              <w:spacing w:after="60"/>
              <w:contextualSpacing w:val="0"/>
              <w:rPr>
                <w:rFonts w:cs="Arial"/>
                <w:sz w:val="18"/>
                <w:szCs w:val="18"/>
                <w:lang w:val="es-ES_tradnl"/>
              </w:rPr>
            </w:pPr>
            <w:r>
              <w:rPr>
                <w:rFonts w:cs="Arial"/>
                <w:sz w:val="18"/>
                <w:szCs w:val="18"/>
                <w:lang w:val="es-ES_tradnl"/>
              </w:rPr>
              <w:t xml:space="preserve">aprobar </w:t>
            </w:r>
            <w:r w:rsidR="00FC6489" w:rsidRPr="00C83BDF">
              <w:rPr>
                <w:rFonts w:cs="Arial"/>
                <w:sz w:val="18"/>
                <w:szCs w:val="18"/>
                <w:lang w:val="es-ES_tradnl"/>
              </w:rPr>
              <w:t>los estados financieros de 2013;</w:t>
            </w:r>
          </w:p>
          <w:p w:rsidR="00E65183" w:rsidRPr="00C83BDF" w:rsidRDefault="00F17037" w:rsidP="009B6B14">
            <w:pPr>
              <w:pStyle w:val="ListParagraph"/>
              <w:numPr>
                <w:ilvl w:val="0"/>
                <w:numId w:val="7"/>
              </w:numPr>
              <w:spacing w:after="60"/>
              <w:contextualSpacing w:val="0"/>
              <w:rPr>
                <w:rFonts w:cs="Arial"/>
                <w:sz w:val="18"/>
                <w:szCs w:val="18"/>
                <w:lang w:val="es-ES_tradnl"/>
              </w:rPr>
            </w:pPr>
            <w:r>
              <w:rPr>
                <w:rFonts w:cs="Arial"/>
                <w:sz w:val="18"/>
                <w:szCs w:val="18"/>
                <w:lang w:val="es-ES_tradnl"/>
              </w:rPr>
              <w:t xml:space="preserve">aprobar </w:t>
            </w:r>
            <w:r w:rsidR="00FC6489" w:rsidRPr="00C83BDF">
              <w:rPr>
                <w:rFonts w:cs="Arial"/>
                <w:sz w:val="18"/>
                <w:szCs w:val="18"/>
                <w:lang w:val="es-ES_tradnl"/>
              </w:rPr>
              <w:t>el informe de gestión financiera del bienio 2012</w:t>
            </w:r>
            <w:r w:rsidR="00FC6489" w:rsidRPr="00C83BDF">
              <w:rPr>
                <w:rFonts w:cs="Arial"/>
                <w:sz w:val="18"/>
                <w:szCs w:val="18"/>
                <w:lang w:val="es-ES_tradnl"/>
              </w:rPr>
              <w:noBreakHyphen/>
              <w:t>2013;</w:t>
            </w:r>
          </w:p>
          <w:p w:rsidR="00E65183" w:rsidRPr="00C83BDF" w:rsidRDefault="00F17037" w:rsidP="00F17037">
            <w:pPr>
              <w:pStyle w:val="ListParagraph"/>
              <w:numPr>
                <w:ilvl w:val="0"/>
                <w:numId w:val="7"/>
              </w:numPr>
              <w:spacing w:after="120"/>
              <w:ind w:left="641" w:hanging="357"/>
              <w:contextualSpacing w:val="0"/>
              <w:rPr>
                <w:rFonts w:cs="Arial"/>
                <w:sz w:val="18"/>
                <w:szCs w:val="18"/>
                <w:lang w:val="es-ES_tradnl"/>
              </w:rPr>
            </w:pPr>
            <w:r>
              <w:rPr>
                <w:rFonts w:cs="Arial"/>
                <w:sz w:val="18"/>
                <w:szCs w:val="18"/>
                <w:lang w:val="es-ES_tradnl"/>
              </w:rPr>
              <w:t xml:space="preserve">aprobar </w:t>
            </w:r>
            <w:r w:rsidR="00FC6489" w:rsidRPr="00C83BDF">
              <w:rPr>
                <w:rFonts w:cs="Arial"/>
                <w:sz w:val="18"/>
                <w:szCs w:val="18"/>
                <w:lang w:val="es-ES_tradnl"/>
              </w:rPr>
              <w:t>el calendario de reuniones previstas para 2015;</w:t>
            </w:r>
          </w:p>
          <w:p w:rsidR="00E65183" w:rsidRPr="00C83BDF" w:rsidRDefault="00FC6489" w:rsidP="009B6B14">
            <w:pPr>
              <w:spacing w:before="60" w:after="120"/>
              <w:rPr>
                <w:rFonts w:cs="Arial"/>
                <w:sz w:val="18"/>
                <w:szCs w:val="18"/>
                <w:lang w:val="es-ES_tradnl"/>
              </w:rPr>
            </w:pPr>
            <w:r w:rsidRPr="00C83BDF">
              <w:rPr>
                <w:rFonts w:cs="Arial"/>
                <w:sz w:val="18"/>
                <w:szCs w:val="18"/>
                <w:lang w:val="es-ES_tradnl"/>
              </w:rPr>
              <w:t>y, asimismo:</w:t>
            </w:r>
          </w:p>
          <w:p w:rsidR="00B71F41" w:rsidRPr="00B71F41" w:rsidRDefault="00FC6489" w:rsidP="00B71F41">
            <w:pPr>
              <w:pStyle w:val="ListParagraph"/>
              <w:numPr>
                <w:ilvl w:val="0"/>
                <w:numId w:val="7"/>
              </w:numPr>
              <w:spacing w:after="60"/>
              <w:contextualSpacing w:val="0"/>
              <w:rPr>
                <w:rFonts w:cs="Arial"/>
                <w:sz w:val="18"/>
                <w:szCs w:val="18"/>
                <w:lang w:val="es-ES_tradnl"/>
              </w:rPr>
            </w:pPr>
            <w:r w:rsidRPr="00C83BDF">
              <w:rPr>
                <w:rFonts w:cs="Arial"/>
                <w:sz w:val="18"/>
                <w:szCs w:val="18"/>
                <w:lang w:val="es-ES_tradnl"/>
              </w:rPr>
              <w:t>solicitó a la Oficina de la Unión que preparara un documento para aclarar las cuestiones planteadas y las posibles vías de resolución relativas a un sistema internacional de cooperación;</w:t>
            </w:r>
          </w:p>
        </w:tc>
      </w:tr>
    </w:tbl>
    <w:p w:rsidR="00E65183" w:rsidRPr="00C83BDF" w:rsidRDefault="00E65183" w:rsidP="00E65183">
      <w:pPr>
        <w:rPr>
          <w:lang w:val="es-ES_tradnl"/>
        </w:rPr>
      </w:pPr>
    </w:p>
    <w:tbl>
      <w:tblPr>
        <w:tblW w:w="9889" w:type="dxa"/>
        <w:tblLayout w:type="fixed"/>
        <w:tblLook w:val="0000" w:firstRow="0" w:lastRow="0" w:firstColumn="0" w:lastColumn="0" w:noHBand="0" w:noVBand="0"/>
      </w:tblPr>
      <w:tblGrid>
        <w:gridCol w:w="1951"/>
        <w:gridCol w:w="7938"/>
      </w:tblGrid>
      <w:tr w:rsidR="00E65183" w:rsidRPr="00C83BDF" w:rsidTr="003C41EB">
        <w:trPr>
          <w:trHeight w:val="442"/>
          <w:tblHeader/>
        </w:trPr>
        <w:tc>
          <w:tcPr>
            <w:tcW w:w="1951" w:type="dxa"/>
            <w:shd w:val="clear" w:color="auto" w:fill="auto"/>
          </w:tcPr>
          <w:p w:rsidR="00E65183" w:rsidRPr="00C83BDF" w:rsidRDefault="00FC6489" w:rsidP="004737CD">
            <w:pPr>
              <w:keepNext/>
              <w:rPr>
                <w:b/>
                <w:sz w:val="18"/>
                <w:szCs w:val="18"/>
                <w:lang w:val="es-ES_tradnl"/>
              </w:rPr>
            </w:pPr>
            <w:r w:rsidRPr="00C83BDF">
              <w:rPr>
                <w:b/>
                <w:sz w:val="18"/>
                <w:szCs w:val="18"/>
                <w:lang w:val="es-ES_tradnl"/>
              </w:rPr>
              <w:t>Resultados previstos</w:t>
            </w:r>
          </w:p>
        </w:tc>
        <w:tc>
          <w:tcPr>
            <w:tcW w:w="7938" w:type="dxa"/>
            <w:shd w:val="clear" w:color="auto" w:fill="auto"/>
          </w:tcPr>
          <w:p w:rsidR="00E65183" w:rsidRPr="00C83BDF" w:rsidRDefault="00FC6489" w:rsidP="004737CD">
            <w:pPr>
              <w:keepNext/>
              <w:rPr>
                <w:b/>
                <w:sz w:val="18"/>
                <w:szCs w:val="18"/>
                <w:lang w:val="es-ES_tradnl"/>
              </w:rPr>
            </w:pPr>
            <w:r w:rsidRPr="00C83BDF">
              <w:rPr>
                <w:b/>
                <w:sz w:val="18"/>
                <w:szCs w:val="18"/>
                <w:lang w:val="es-ES_tradnl"/>
              </w:rPr>
              <w:t>Resultados alcanzados:</w:t>
            </w:r>
            <w:r w:rsidR="00E65183" w:rsidRPr="00C83BDF">
              <w:rPr>
                <w:b/>
                <w:sz w:val="18"/>
                <w:szCs w:val="18"/>
                <w:lang w:val="es-ES_tradnl"/>
              </w:rPr>
              <w:t xml:space="preserve">  </w:t>
            </w:r>
            <w:r w:rsidRPr="00C83BDF">
              <w:rPr>
                <w:b/>
                <w:sz w:val="18"/>
                <w:szCs w:val="18"/>
                <w:lang w:val="es-ES_tradnl"/>
              </w:rPr>
              <w:t>indicadores de rendimiento</w:t>
            </w:r>
          </w:p>
        </w:tc>
      </w:tr>
      <w:tr w:rsidR="00E65183" w:rsidRPr="00C83BDF">
        <w:tc>
          <w:tcPr>
            <w:tcW w:w="1951" w:type="dxa"/>
            <w:shd w:val="clear" w:color="auto" w:fill="auto"/>
          </w:tcPr>
          <w:p w:rsidR="00E65183" w:rsidRPr="00C83BDF" w:rsidRDefault="00E65183" w:rsidP="004737CD">
            <w:pPr>
              <w:jc w:val="left"/>
              <w:rPr>
                <w:sz w:val="18"/>
                <w:szCs w:val="18"/>
                <w:lang w:val="es-ES_tradnl"/>
              </w:rPr>
            </w:pPr>
            <w:r w:rsidRPr="00C83BDF">
              <w:rPr>
                <w:i/>
                <w:sz w:val="18"/>
                <w:szCs w:val="18"/>
                <w:lang w:val="es-ES_tradnl"/>
              </w:rPr>
              <w:t xml:space="preserve">4.  </w:t>
            </w:r>
            <w:r w:rsidR="00E73FCF" w:rsidRPr="00C83BDF">
              <w:rPr>
                <w:i/>
                <w:sz w:val="18"/>
                <w:szCs w:val="18"/>
                <w:lang w:val="es-ES_tradnl"/>
              </w:rPr>
              <w:t xml:space="preserve">Política del Consejo </w:t>
            </w:r>
            <w:r w:rsidR="00E73FCF" w:rsidRPr="00C83BDF">
              <w:rPr>
                <w:sz w:val="18"/>
                <w:szCs w:val="18"/>
                <w:lang w:val="es-ES_tradnl"/>
              </w:rPr>
              <w:t>(continuación)</w:t>
            </w:r>
          </w:p>
        </w:tc>
        <w:tc>
          <w:tcPr>
            <w:tcW w:w="7938" w:type="dxa"/>
            <w:shd w:val="clear" w:color="auto" w:fill="auto"/>
          </w:tcPr>
          <w:p w:rsidR="00EC6385" w:rsidRPr="00C83BDF" w:rsidRDefault="00EC6385" w:rsidP="009B6B14">
            <w:pPr>
              <w:pStyle w:val="ListParagraph"/>
              <w:numPr>
                <w:ilvl w:val="0"/>
                <w:numId w:val="7"/>
              </w:numPr>
              <w:spacing w:after="60"/>
              <w:contextualSpacing w:val="0"/>
              <w:rPr>
                <w:rFonts w:cs="Arial"/>
                <w:sz w:val="18"/>
                <w:szCs w:val="18"/>
                <w:lang w:val="es-ES_tradnl"/>
              </w:rPr>
            </w:pPr>
            <w:r w:rsidRPr="00C83BDF">
              <w:rPr>
                <w:rFonts w:cs="Arial"/>
                <w:sz w:val="18"/>
                <w:szCs w:val="18"/>
                <w:lang w:val="es-ES_tradnl"/>
              </w:rPr>
              <w:t>decidió conceder a Centro del Sur la condición de observador ante el Consejo y el CAJ, y conceder a la Organización Mundial de Agricultores (OMA) la condición de observador ante el Consejo, el CAJ y el TC.</w:t>
            </w:r>
          </w:p>
          <w:p w:rsidR="00EC6385" w:rsidRPr="00C83BDF" w:rsidRDefault="00E73FCF" w:rsidP="009B6B14">
            <w:pPr>
              <w:pStyle w:val="ListParagraph"/>
              <w:numPr>
                <w:ilvl w:val="0"/>
                <w:numId w:val="7"/>
              </w:numPr>
              <w:spacing w:after="60"/>
              <w:contextualSpacing w:val="0"/>
              <w:rPr>
                <w:rFonts w:cs="Arial"/>
                <w:sz w:val="18"/>
                <w:szCs w:val="18"/>
                <w:lang w:val="es-ES_tradnl"/>
              </w:rPr>
            </w:pPr>
            <w:r w:rsidRPr="00C83BDF">
              <w:rPr>
                <w:rFonts w:cs="Arial"/>
                <w:sz w:val="18"/>
                <w:szCs w:val="18"/>
                <w:lang w:val="es-ES_tradnl"/>
              </w:rPr>
              <w:t>convino en que la información sobre los consultores a los que la UPOV había recurrido durante 2014 se presentara al Comité Consultivo en su nonagésima sesión, que se celebrará en octubre de 2015;</w:t>
            </w:r>
          </w:p>
          <w:p w:rsidR="00EC6385" w:rsidRPr="00C83BDF" w:rsidRDefault="00E73FCF" w:rsidP="009B6B14">
            <w:pPr>
              <w:pStyle w:val="ListParagraph"/>
              <w:numPr>
                <w:ilvl w:val="0"/>
                <w:numId w:val="7"/>
              </w:numPr>
              <w:spacing w:after="60"/>
              <w:contextualSpacing w:val="0"/>
              <w:rPr>
                <w:rFonts w:cs="Arial"/>
                <w:sz w:val="18"/>
                <w:szCs w:val="18"/>
                <w:lang w:val="es-ES_tradnl"/>
              </w:rPr>
            </w:pPr>
            <w:r w:rsidRPr="00C83BDF">
              <w:rPr>
                <w:rFonts w:cs="Arial"/>
                <w:sz w:val="18"/>
                <w:szCs w:val="18"/>
                <w:lang w:val="es-ES_tradnl"/>
              </w:rPr>
              <w:t>suscribió los planes para poner en marcha el curso DL</w:t>
            </w:r>
            <w:r w:rsidRPr="00C83BDF">
              <w:rPr>
                <w:rFonts w:cs="Arial"/>
                <w:sz w:val="18"/>
                <w:szCs w:val="18"/>
                <w:lang w:val="es-ES_tradnl"/>
              </w:rPr>
              <w:noBreakHyphen/>
              <w:t>305 “Examen de solicitudes de derechos de obtentor”, como un curso completo y como dos cursos independientes:</w:t>
            </w:r>
            <w:r w:rsidR="00E65183" w:rsidRPr="00C83BDF">
              <w:rPr>
                <w:rFonts w:cs="Arial"/>
                <w:sz w:val="18"/>
                <w:szCs w:val="18"/>
                <w:lang w:val="es-ES_tradnl"/>
              </w:rPr>
              <w:t xml:space="preserve">  </w:t>
            </w:r>
            <w:r w:rsidRPr="00C83BDF">
              <w:rPr>
                <w:rFonts w:cs="Arial"/>
                <w:sz w:val="18"/>
                <w:szCs w:val="18"/>
                <w:lang w:val="es-ES_tradnl"/>
              </w:rPr>
              <w:t>DL</w:t>
            </w:r>
            <w:r w:rsidRPr="00C83BDF">
              <w:rPr>
                <w:rFonts w:cs="Arial"/>
                <w:sz w:val="18"/>
                <w:szCs w:val="18"/>
                <w:lang w:val="es-ES_tradnl"/>
              </w:rPr>
              <w:noBreakHyphen/>
              <w:t>305A “Administración de los derechos de obtentor”</w:t>
            </w:r>
            <w:r w:rsidR="00E65183" w:rsidRPr="00C83BDF">
              <w:rPr>
                <w:rFonts w:cs="Arial"/>
                <w:sz w:val="18"/>
                <w:szCs w:val="18"/>
                <w:lang w:val="es-ES_tradnl"/>
              </w:rPr>
              <w:t xml:space="preserve"> </w:t>
            </w:r>
            <w:r w:rsidRPr="00C83BDF">
              <w:rPr>
                <w:rFonts w:cs="Arial"/>
                <w:sz w:val="18"/>
                <w:szCs w:val="18"/>
                <w:lang w:val="es-ES_tradnl"/>
              </w:rPr>
              <w:t>y DL</w:t>
            </w:r>
            <w:r w:rsidRPr="00C83BDF">
              <w:rPr>
                <w:rFonts w:cs="Arial"/>
                <w:sz w:val="18"/>
                <w:szCs w:val="18"/>
                <w:lang w:val="es-ES_tradnl"/>
              </w:rPr>
              <w:noBreakHyphen/>
              <w:t>305B “Examen DHE”;</w:t>
            </w:r>
          </w:p>
          <w:p w:rsidR="00EC6385" w:rsidRPr="00C83BDF" w:rsidRDefault="00C97FBB" w:rsidP="009B6B14">
            <w:pPr>
              <w:pStyle w:val="ListParagraph"/>
              <w:numPr>
                <w:ilvl w:val="0"/>
                <w:numId w:val="7"/>
              </w:numPr>
              <w:spacing w:after="60"/>
              <w:contextualSpacing w:val="0"/>
              <w:rPr>
                <w:rFonts w:cs="Arial"/>
                <w:sz w:val="18"/>
                <w:szCs w:val="18"/>
                <w:lang w:val="es-ES_tradnl"/>
              </w:rPr>
            </w:pPr>
            <w:r w:rsidRPr="00C83BDF">
              <w:rPr>
                <w:rFonts w:cs="Arial"/>
                <w:sz w:val="18"/>
                <w:szCs w:val="18"/>
                <w:lang w:val="es-ES_tradnl"/>
              </w:rPr>
              <w:t>aprobó la elaboración de una propuesta de un nuevo logo para que el Comité Consultivo la examine en su octogésima novena sesión y el Consejo la apruebe en su trigésima segunda sesión extraordinaria, en marzo de 2015;</w:t>
            </w:r>
          </w:p>
          <w:p w:rsidR="00EC6385" w:rsidRPr="00C83BDF" w:rsidRDefault="00C97FBB" w:rsidP="009B6B14">
            <w:pPr>
              <w:pStyle w:val="ListParagraph"/>
              <w:numPr>
                <w:ilvl w:val="0"/>
                <w:numId w:val="7"/>
              </w:numPr>
              <w:spacing w:after="60"/>
              <w:contextualSpacing w:val="0"/>
              <w:rPr>
                <w:rFonts w:cs="Arial"/>
                <w:sz w:val="18"/>
                <w:szCs w:val="18"/>
                <w:lang w:val="es-ES_tradnl"/>
              </w:rPr>
            </w:pPr>
            <w:r w:rsidRPr="00C83BDF">
              <w:rPr>
                <w:rFonts w:cs="Arial"/>
                <w:sz w:val="18"/>
                <w:szCs w:val="18"/>
                <w:lang w:val="es-ES_tradnl"/>
              </w:rPr>
              <w:t>recomendó al Consejo la adopción de las respuestas a las preguntas frecuentes y convino en que las preguntas frecuentes propuestas relativas a la información sobre la situación en la UPOV en lo que respecta al uso de técnicas moleculares, para un público más amplio, que incluya al público en general, debían someterse a la consideración del Comité Técnico;</w:t>
            </w:r>
          </w:p>
          <w:p w:rsidR="00EC6385" w:rsidRPr="00C83BDF" w:rsidRDefault="00C97FBB" w:rsidP="00AD4EA4">
            <w:pPr>
              <w:pStyle w:val="ListParagraph"/>
              <w:numPr>
                <w:ilvl w:val="0"/>
                <w:numId w:val="7"/>
              </w:numPr>
              <w:spacing w:after="60"/>
              <w:contextualSpacing w:val="0"/>
              <w:rPr>
                <w:rFonts w:cs="Arial"/>
                <w:szCs w:val="18"/>
                <w:lang w:val="es-ES_tradnl"/>
              </w:rPr>
            </w:pPr>
            <w:r w:rsidRPr="00C83BDF">
              <w:rPr>
                <w:rFonts w:cs="Arial"/>
                <w:sz w:val="18"/>
                <w:szCs w:val="18"/>
                <w:lang w:val="es-ES_tradnl"/>
              </w:rPr>
              <w:t>difirió los planes de actualización del Estudio de incidencia al estar pendiente la labor de determinar, junto con el Secretario del ITPGRFA y la Secretaría de la OMPI, las posibles esferas de interrelación de los instrumentos internacionales del ITPGRFA, la OMPI y la UPOV con miras a la elaboración de una publicación conjunta sobre las cuestiones interrelacionadas en lo que concierne a la innovación y los recursos fitogenéticos;</w:t>
            </w:r>
          </w:p>
          <w:p w:rsidR="00E65183" w:rsidRPr="00C83BDF" w:rsidRDefault="00C97FBB" w:rsidP="00AD4EA4">
            <w:pPr>
              <w:pStyle w:val="ListParagraph"/>
              <w:numPr>
                <w:ilvl w:val="0"/>
                <w:numId w:val="7"/>
              </w:numPr>
              <w:spacing w:after="60"/>
              <w:contextualSpacing w:val="0"/>
              <w:rPr>
                <w:rFonts w:cs="Arial"/>
                <w:szCs w:val="18"/>
                <w:lang w:val="es-ES_tradnl"/>
              </w:rPr>
            </w:pPr>
            <w:r w:rsidRPr="00C83BDF">
              <w:rPr>
                <w:rFonts w:cs="Arial"/>
                <w:sz w:val="18"/>
                <w:szCs w:val="18"/>
                <w:lang w:val="es-ES_tradnl"/>
              </w:rPr>
              <w:t>aprobó que se cursen invitaciones a la ex República Yugoslava de Macedonia y al Perú a presentar ponencias en la nonagésima sesión del Comité Consultivo, que se celebrará en octubre de 2015.</w:t>
            </w:r>
          </w:p>
        </w:tc>
      </w:tr>
    </w:tbl>
    <w:p w:rsidR="001A0333" w:rsidRPr="00C83BDF" w:rsidRDefault="001A0333">
      <w:pPr>
        <w:rPr>
          <w:lang w:val="es-ES_tradnl"/>
        </w:rPr>
      </w:pPr>
    </w:p>
    <w:tbl>
      <w:tblPr>
        <w:tblW w:w="9889" w:type="dxa"/>
        <w:tblLayout w:type="fixed"/>
        <w:tblLook w:val="0000" w:firstRow="0" w:lastRow="0" w:firstColumn="0" w:lastColumn="0" w:noHBand="0" w:noVBand="0"/>
      </w:tblPr>
      <w:tblGrid>
        <w:gridCol w:w="1951"/>
        <w:gridCol w:w="7938"/>
      </w:tblGrid>
      <w:tr w:rsidR="00E65183" w:rsidRPr="00C83BDF">
        <w:tc>
          <w:tcPr>
            <w:tcW w:w="1951" w:type="dxa"/>
            <w:shd w:val="clear" w:color="auto" w:fill="auto"/>
          </w:tcPr>
          <w:p w:rsidR="00E65183" w:rsidRPr="00C83BDF" w:rsidRDefault="00E65183" w:rsidP="004737CD">
            <w:pPr>
              <w:pStyle w:val="Heading6"/>
              <w:rPr>
                <w:i w:val="0"/>
                <w:lang w:val="es-ES_tradnl"/>
              </w:rPr>
            </w:pPr>
          </w:p>
        </w:tc>
        <w:tc>
          <w:tcPr>
            <w:tcW w:w="7938" w:type="dxa"/>
            <w:shd w:val="clear" w:color="auto" w:fill="auto"/>
          </w:tcPr>
          <w:p w:rsidR="00E65183" w:rsidRPr="00C83BDF" w:rsidRDefault="00C97FBB" w:rsidP="00AD4EA4">
            <w:pPr>
              <w:pStyle w:val="Heading8"/>
              <w:jc w:val="both"/>
              <w:rPr>
                <w:rFonts w:cs="Arial"/>
                <w:szCs w:val="18"/>
                <w:lang w:val="es-ES_tradnl"/>
              </w:rPr>
            </w:pPr>
            <w:bookmarkStart w:id="36" w:name="_Toc431824229"/>
            <w:r w:rsidRPr="00C83BDF">
              <w:rPr>
                <w:rFonts w:cs="Arial"/>
                <w:szCs w:val="18"/>
                <w:lang w:val="es-ES_tradnl"/>
              </w:rPr>
              <w:t>b)  Decisiones del Consejo</w:t>
            </w:r>
            <w:bookmarkEnd w:id="36"/>
          </w:p>
          <w:p w:rsidR="00E65183" w:rsidRPr="00C83BDF" w:rsidRDefault="00C97FBB" w:rsidP="00AD4EA4">
            <w:pPr>
              <w:spacing w:after="120"/>
              <w:rPr>
                <w:rFonts w:cs="Arial"/>
                <w:sz w:val="18"/>
                <w:szCs w:val="18"/>
                <w:lang w:val="es-ES_tradnl"/>
              </w:rPr>
            </w:pPr>
            <w:r w:rsidRPr="00C83BDF">
              <w:rPr>
                <w:rFonts w:cs="Arial"/>
                <w:sz w:val="18"/>
                <w:szCs w:val="18"/>
                <w:lang w:val="es-ES_tradnl"/>
              </w:rPr>
              <w:t>El Consejo, en su trigésima primera sesión extraordinaria, celebrada en Ginebra el 11 de abril de 2014:</w:t>
            </w:r>
          </w:p>
          <w:p w:rsidR="005A0EA1" w:rsidRPr="00C83BDF" w:rsidRDefault="00C97FBB" w:rsidP="00AD4EA4">
            <w:pPr>
              <w:pStyle w:val="ListParagraph"/>
              <w:numPr>
                <w:ilvl w:val="0"/>
                <w:numId w:val="7"/>
              </w:numPr>
              <w:spacing w:after="60"/>
              <w:contextualSpacing w:val="0"/>
              <w:rPr>
                <w:rFonts w:cs="Arial"/>
                <w:sz w:val="18"/>
                <w:szCs w:val="18"/>
                <w:lang w:val="es-ES_tradnl"/>
              </w:rPr>
            </w:pPr>
            <w:r w:rsidRPr="00C83BDF">
              <w:rPr>
                <w:rFonts w:cs="Arial"/>
                <w:sz w:val="18"/>
                <w:szCs w:val="18"/>
                <w:lang w:val="es-ES_tradnl"/>
              </w:rPr>
              <w:t>tomó una decisión positiva acerca de la conformidad del proyecto de Protocolo de la ARIPO para la Protección de las Obtenciones Vegetales con las disposiciones del Acta de 1991 del Convenio Internacional para la Protección de las Obtenciones Vegetales;</w:t>
            </w:r>
          </w:p>
          <w:p w:rsidR="005A0EA1" w:rsidRPr="00C83BDF" w:rsidRDefault="00C97FBB" w:rsidP="00AD4EA4">
            <w:pPr>
              <w:pStyle w:val="ListParagraph"/>
              <w:numPr>
                <w:ilvl w:val="0"/>
                <w:numId w:val="7"/>
              </w:numPr>
              <w:spacing w:after="60"/>
              <w:contextualSpacing w:val="0"/>
              <w:rPr>
                <w:rFonts w:cs="Arial"/>
                <w:sz w:val="18"/>
                <w:szCs w:val="18"/>
                <w:lang w:val="es-ES_tradnl"/>
              </w:rPr>
            </w:pPr>
            <w:r w:rsidRPr="00C83BDF">
              <w:rPr>
                <w:rFonts w:cs="Arial"/>
                <w:sz w:val="18"/>
                <w:szCs w:val="18"/>
                <w:lang w:val="es-ES_tradnl"/>
              </w:rPr>
              <w:t>adoptó las respuestas a preguntas frecuentes;</w:t>
            </w:r>
          </w:p>
          <w:p w:rsidR="005A0EA1" w:rsidRPr="00C83BDF" w:rsidRDefault="00C97FBB" w:rsidP="00AD4EA4">
            <w:pPr>
              <w:pStyle w:val="ListParagraph"/>
              <w:numPr>
                <w:ilvl w:val="0"/>
                <w:numId w:val="7"/>
              </w:numPr>
              <w:spacing w:after="60"/>
              <w:contextualSpacing w:val="0"/>
              <w:rPr>
                <w:rFonts w:cs="Arial"/>
                <w:sz w:val="18"/>
                <w:szCs w:val="18"/>
                <w:lang w:val="es-ES_tradnl"/>
              </w:rPr>
            </w:pPr>
            <w:r w:rsidRPr="00C83BDF">
              <w:rPr>
                <w:rFonts w:cs="Arial"/>
                <w:sz w:val="18"/>
                <w:szCs w:val="18"/>
                <w:lang w:val="es-ES_tradnl"/>
              </w:rPr>
              <w:t>decidió crear una cuenta especial de la UPOV para financiar proyectos extrapresupuestarios acordados por el Consejo (Cuenta de proyectos) y transferir a esa cuenta el importe del fondo de reserva que supere el 15% de los ingres</w:t>
            </w:r>
            <w:r w:rsidR="003C41EB">
              <w:rPr>
                <w:rFonts w:cs="Arial"/>
                <w:sz w:val="18"/>
                <w:szCs w:val="18"/>
                <w:lang w:val="es-ES_tradnl"/>
              </w:rPr>
              <w:t>os totales del bienio 2012</w:t>
            </w:r>
            <w:r w:rsidR="003C41EB">
              <w:rPr>
                <w:rFonts w:cs="Arial"/>
                <w:sz w:val="18"/>
                <w:szCs w:val="18"/>
                <w:lang w:val="es-ES_tradnl"/>
              </w:rPr>
              <w:noBreakHyphen/>
              <w:t>2013.</w:t>
            </w:r>
          </w:p>
          <w:p w:rsidR="00E65183" w:rsidRPr="00C83BDF" w:rsidRDefault="00C97FBB" w:rsidP="006B5E1F">
            <w:pPr>
              <w:keepNext/>
              <w:spacing w:before="120" w:after="120"/>
              <w:rPr>
                <w:rFonts w:cs="Arial"/>
                <w:sz w:val="18"/>
                <w:szCs w:val="18"/>
                <w:lang w:val="es-ES_tradnl"/>
              </w:rPr>
            </w:pPr>
            <w:r w:rsidRPr="00C83BDF">
              <w:rPr>
                <w:rFonts w:cs="Arial"/>
                <w:sz w:val="18"/>
                <w:szCs w:val="18"/>
                <w:lang w:val="es-ES_tradnl"/>
              </w:rPr>
              <w:t>En su cuadragésima octava sesión ordinaria, celebrada en Ginebra el 16 de octubre de 2014, el Consejo:</w:t>
            </w:r>
          </w:p>
          <w:p w:rsidR="00E65183" w:rsidRPr="00C83BDF" w:rsidRDefault="00C97FBB" w:rsidP="006B5E1F">
            <w:pPr>
              <w:pStyle w:val="ListParagraph"/>
              <w:numPr>
                <w:ilvl w:val="0"/>
                <w:numId w:val="7"/>
              </w:numPr>
              <w:spacing w:after="60"/>
              <w:contextualSpacing w:val="0"/>
              <w:rPr>
                <w:rFonts w:cs="Arial"/>
                <w:sz w:val="18"/>
                <w:szCs w:val="18"/>
                <w:lang w:val="es-ES_tradnl"/>
              </w:rPr>
            </w:pPr>
            <w:r w:rsidRPr="00C83BDF">
              <w:rPr>
                <w:rFonts w:cs="Arial"/>
                <w:sz w:val="18"/>
                <w:szCs w:val="18"/>
                <w:lang w:val="es-ES_tradnl"/>
              </w:rPr>
              <w:t>decidió nombrar al Sr. Francis Gurry Secretario General de la UPOV para el período comprendido entre el 16 de octubre de 2014 y el 30 de septiembre de 2020;</w:t>
            </w:r>
          </w:p>
          <w:p w:rsidR="00E65183" w:rsidRPr="00C83BDF" w:rsidRDefault="00C97FBB" w:rsidP="006B5E1F">
            <w:pPr>
              <w:pStyle w:val="ListParagraph"/>
              <w:numPr>
                <w:ilvl w:val="0"/>
                <w:numId w:val="7"/>
              </w:numPr>
              <w:spacing w:after="60"/>
              <w:contextualSpacing w:val="0"/>
              <w:rPr>
                <w:rFonts w:cs="Arial"/>
                <w:sz w:val="18"/>
                <w:szCs w:val="18"/>
                <w:lang w:val="es-ES_tradnl"/>
              </w:rPr>
            </w:pPr>
            <w:r w:rsidRPr="00C83BDF">
              <w:rPr>
                <w:rFonts w:cs="Arial"/>
                <w:sz w:val="18"/>
                <w:szCs w:val="18"/>
                <w:lang w:val="es-ES_tradnl"/>
              </w:rPr>
              <w:t>adoptó las respuestas a preguntas frecuentes;</w:t>
            </w:r>
          </w:p>
          <w:p w:rsidR="00E65183" w:rsidRPr="00C83BDF" w:rsidRDefault="00C97FBB" w:rsidP="006B5E1F">
            <w:pPr>
              <w:pStyle w:val="ListParagraph"/>
              <w:numPr>
                <w:ilvl w:val="0"/>
                <w:numId w:val="7"/>
              </w:numPr>
              <w:spacing w:after="60"/>
              <w:contextualSpacing w:val="0"/>
              <w:rPr>
                <w:rFonts w:cs="Arial"/>
                <w:sz w:val="18"/>
                <w:szCs w:val="18"/>
                <w:lang w:val="es-ES_tradnl"/>
              </w:rPr>
            </w:pPr>
            <w:r w:rsidRPr="00C83BDF">
              <w:rPr>
                <w:rFonts w:cs="Arial"/>
                <w:sz w:val="18"/>
                <w:szCs w:val="18"/>
                <w:lang w:val="es-ES_tradnl"/>
              </w:rPr>
              <w:t>aprobó la utilización del fondo para proyectos especiales con fines de formación;</w:t>
            </w:r>
          </w:p>
          <w:p w:rsidR="00E65183" w:rsidRPr="00C83BDF" w:rsidRDefault="00C97FBB" w:rsidP="006B5E1F">
            <w:pPr>
              <w:pStyle w:val="ListParagraph"/>
              <w:numPr>
                <w:ilvl w:val="0"/>
                <w:numId w:val="7"/>
              </w:numPr>
              <w:spacing w:after="60"/>
              <w:contextualSpacing w:val="0"/>
              <w:rPr>
                <w:rFonts w:cs="Arial"/>
                <w:sz w:val="18"/>
                <w:szCs w:val="18"/>
                <w:lang w:val="es-ES_tradnl"/>
              </w:rPr>
            </w:pPr>
            <w:r w:rsidRPr="00C83BDF">
              <w:rPr>
                <w:rFonts w:cs="Arial"/>
                <w:sz w:val="18"/>
                <w:szCs w:val="18"/>
                <w:lang w:val="es-ES_tradnl"/>
              </w:rPr>
              <w:t>aprobó los estados financieros de 2013;</w:t>
            </w:r>
          </w:p>
          <w:p w:rsidR="00E65183" w:rsidRPr="00C83BDF" w:rsidRDefault="00C97FBB" w:rsidP="006B5E1F">
            <w:pPr>
              <w:pStyle w:val="ListParagraph"/>
              <w:numPr>
                <w:ilvl w:val="0"/>
                <w:numId w:val="7"/>
              </w:numPr>
              <w:spacing w:after="60"/>
              <w:contextualSpacing w:val="0"/>
              <w:rPr>
                <w:rFonts w:cs="Arial"/>
                <w:sz w:val="18"/>
                <w:szCs w:val="18"/>
                <w:lang w:val="es-ES_tradnl"/>
              </w:rPr>
            </w:pPr>
            <w:r w:rsidRPr="00C83BDF">
              <w:rPr>
                <w:rFonts w:cs="Arial"/>
                <w:sz w:val="18"/>
                <w:szCs w:val="18"/>
                <w:lang w:val="es-ES_tradnl"/>
              </w:rPr>
              <w:t>aprobó el informe de gestión financiera del período financiero 2012</w:t>
            </w:r>
            <w:r w:rsidRPr="00C83BDF">
              <w:rPr>
                <w:rFonts w:cs="Arial"/>
                <w:sz w:val="18"/>
                <w:szCs w:val="18"/>
                <w:lang w:val="es-ES_tradnl"/>
              </w:rPr>
              <w:noBreakHyphen/>
              <w:t>2013;</w:t>
            </w:r>
          </w:p>
          <w:p w:rsidR="00E65183" w:rsidRPr="00C83BDF" w:rsidRDefault="00226DF4" w:rsidP="006B5E1F">
            <w:pPr>
              <w:pStyle w:val="ListParagraph"/>
              <w:numPr>
                <w:ilvl w:val="0"/>
                <w:numId w:val="7"/>
              </w:numPr>
              <w:spacing w:after="60"/>
              <w:contextualSpacing w:val="0"/>
              <w:rPr>
                <w:rFonts w:cs="Arial"/>
                <w:sz w:val="18"/>
                <w:szCs w:val="18"/>
                <w:lang w:val="es-ES_tradnl"/>
              </w:rPr>
            </w:pPr>
            <w:r w:rsidRPr="00C83BDF">
              <w:rPr>
                <w:rFonts w:cs="Arial"/>
                <w:sz w:val="18"/>
                <w:szCs w:val="18"/>
                <w:lang w:val="es-ES_tradnl"/>
              </w:rPr>
              <w:t>eligió a las personas siguientes, en cada caso por un mandato de tres años, que concluirá con la quincuagésima primera sesión ordinaria del Consejo en 2017:</w:t>
            </w:r>
          </w:p>
          <w:p w:rsidR="00E65183" w:rsidRPr="00C83BDF" w:rsidRDefault="00E65183" w:rsidP="005A0EA1">
            <w:pPr>
              <w:spacing w:after="60"/>
              <w:ind w:left="949" w:hanging="306"/>
              <w:rPr>
                <w:rFonts w:cs="Arial"/>
                <w:sz w:val="18"/>
                <w:szCs w:val="18"/>
                <w:lang w:val="es-ES_tradnl"/>
              </w:rPr>
            </w:pPr>
            <w:r w:rsidRPr="00C83BDF">
              <w:rPr>
                <w:rFonts w:cs="Arial"/>
                <w:sz w:val="18"/>
                <w:szCs w:val="18"/>
                <w:lang w:val="es-ES_tradnl"/>
              </w:rPr>
              <w:t>–</w:t>
            </w:r>
            <w:r w:rsidRPr="00C83BDF">
              <w:rPr>
                <w:rFonts w:cs="Arial"/>
                <w:sz w:val="18"/>
                <w:szCs w:val="18"/>
                <w:lang w:val="es-ES_tradnl"/>
              </w:rPr>
              <w:tab/>
            </w:r>
            <w:r w:rsidR="00226DF4" w:rsidRPr="00C83BDF">
              <w:rPr>
                <w:rFonts w:cs="Arial"/>
                <w:sz w:val="18"/>
                <w:szCs w:val="18"/>
                <w:lang w:val="es-ES_tradnl"/>
              </w:rPr>
              <w:t>Sr. Tanvir Hossain (Australia), Presidente del TWA;</w:t>
            </w:r>
          </w:p>
          <w:p w:rsidR="00E65183" w:rsidRPr="00C83BDF" w:rsidRDefault="00E65183" w:rsidP="005A0EA1">
            <w:pPr>
              <w:spacing w:after="60"/>
              <w:ind w:left="949" w:hanging="306"/>
              <w:rPr>
                <w:rFonts w:cs="Arial"/>
                <w:sz w:val="18"/>
                <w:szCs w:val="18"/>
                <w:lang w:val="es-ES_tradnl"/>
              </w:rPr>
            </w:pPr>
            <w:r w:rsidRPr="00C83BDF">
              <w:rPr>
                <w:rFonts w:cs="Arial"/>
                <w:sz w:val="18"/>
                <w:szCs w:val="18"/>
                <w:lang w:val="es-ES_tradnl"/>
              </w:rPr>
              <w:t>–</w:t>
            </w:r>
            <w:r w:rsidRPr="00C83BDF">
              <w:rPr>
                <w:rFonts w:cs="Arial"/>
                <w:sz w:val="18"/>
                <w:szCs w:val="18"/>
                <w:lang w:val="es-ES_tradnl"/>
              </w:rPr>
              <w:tab/>
            </w:r>
            <w:r w:rsidR="00226DF4" w:rsidRPr="00C83BDF">
              <w:rPr>
                <w:rFonts w:cs="Arial"/>
                <w:sz w:val="18"/>
                <w:szCs w:val="18"/>
                <w:lang w:val="es-ES_tradnl"/>
              </w:rPr>
              <w:t>Sr. Adrian Roberts (Reino Unido), Presidente del TWC;</w:t>
            </w:r>
          </w:p>
          <w:p w:rsidR="00E65183" w:rsidRPr="00C83BDF" w:rsidRDefault="00E65183" w:rsidP="005A0EA1">
            <w:pPr>
              <w:spacing w:after="60"/>
              <w:ind w:left="949" w:hanging="306"/>
              <w:rPr>
                <w:rFonts w:cs="Arial"/>
                <w:sz w:val="18"/>
                <w:szCs w:val="18"/>
                <w:lang w:val="es-ES_tradnl"/>
              </w:rPr>
            </w:pPr>
            <w:r w:rsidRPr="00C83BDF">
              <w:rPr>
                <w:rFonts w:cs="Arial"/>
                <w:sz w:val="18"/>
                <w:szCs w:val="18"/>
                <w:lang w:val="es-ES_tradnl"/>
              </w:rPr>
              <w:t>–</w:t>
            </w:r>
            <w:r w:rsidRPr="00C83BDF">
              <w:rPr>
                <w:rFonts w:cs="Arial"/>
                <w:sz w:val="18"/>
                <w:szCs w:val="18"/>
                <w:lang w:val="es-ES_tradnl"/>
              </w:rPr>
              <w:tab/>
            </w:r>
            <w:r w:rsidR="00226DF4" w:rsidRPr="00C83BDF">
              <w:rPr>
                <w:rFonts w:cs="Arial"/>
                <w:sz w:val="18"/>
                <w:szCs w:val="18"/>
                <w:lang w:val="es-ES_tradnl"/>
              </w:rPr>
              <w:t>Sr. Katsumi Yamaguchi (Japón), Presidente del TWF;</w:t>
            </w:r>
          </w:p>
          <w:p w:rsidR="00E65183" w:rsidRPr="00C83BDF" w:rsidRDefault="00E65183" w:rsidP="005A0EA1">
            <w:pPr>
              <w:spacing w:after="60"/>
              <w:ind w:left="949" w:hanging="306"/>
              <w:rPr>
                <w:rFonts w:cs="Arial"/>
                <w:sz w:val="18"/>
                <w:szCs w:val="18"/>
                <w:lang w:val="es-ES_tradnl"/>
              </w:rPr>
            </w:pPr>
            <w:r w:rsidRPr="00C83BDF">
              <w:rPr>
                <w:rFonts w:cs="Arial"/>
                <w:sz w:val="18"/>
                <w:szCs w:val="18"/>
                <w:lang w:val="es-ES_tradnl"/>
              </w:rPr>
              <w:t>–</w:t>
            </w:r>
            <w:r w:rsidRPr="00C83BDF">
              <w:rPr>
                <w:rFonts w:cs="Arial"/>
                <w:sz w:val="18"/>
                <w:szCs w:val="18"/>
                <w:lang w:val="es-ES_tradnl"/>
              </w:rPr>
              <w:tab/>
            </w:r>
            <w:r w:rsidR="00226DF4" w:rsidRPr="00C83BDF">
              <w:rPr>
                <w:rFonts w:cs="Arial"/>
                <w:sz w:val="18"/>
                <w:szCs w:val="18"/>
                <w:lang w:val="es-ES_tradnl"/>
              </w:rPr>
              <w:t>Sr. Kenji Numaguchi (Japón), Presidente del TWO;</w:t>
            </w:r>
          </w:p>
          <w:p w:rsidR="00E65183" w:rsidRPr="00C83BDF" w:rsidRDefault="00E65183" w:rsidP="005A0EA1">
            <w:pPr>
              <w:spacing w:after="60"/>
              <w:ind w:left="949" w:hanging="306"/>
              <w:rPr>
                <w:rFonts w:cs="Arial"/>
                <w:sz w:val="18"/>
                <w:szCs w:val="18"/>
                <w:lang w:val="es-ES_tradnl"/>
              </w:rPr>
            </w:pPr>
            <w:r w:rsidRPr="00C83BDF">
              <w:rPr>
                <w:rFonts w:cs="Arial"/>
                <w:sz w:val="18"/>
                <w:szCs w:val="18"/>
                <w:lang w:val="es-ES_tradnl"/>
              </w:rPr>
              <w:t>–</w:t>
            </w:r>
            <w:r w:rsidRPr="00C83BDF">
              <w:rPr>
                <w:rFonts w:cs="Arial"/>
                <w:sz w:val="18"/>
                <w:szCs w:val="18"/>
                <w:lang w:val="es-ES_tradnl"/>
              </w:rPr>
              <w:tab/>
            </w:r>
            <w:r w:rsidR="00226DF4" w:rsidRPr="00C83BDF">
              <w:rPr>
                <w:rFonts w:cs="Arial"/>
                <w:sz w:val="18"/>
                <w:szCs w:val="18"/>
                <w:lang w:val="es-ES_tradnl"/>
              </w:rPr>
              <w:t>Sra. Swenja Tams (Alemania), Presidenta del TWV;</w:t>
            </w:r>
            <w:r w:rsidR="00D94EA2" w:rsidRPr="00C83BDF">
              <w:rPr>
                <w:rFonts w:cs="Arial"/>
                <w:sz w:val="18"/>
                <w:szCs w:val="18"/>
                <w:lang w:val="es-ES_tradnl"/>
              </w:rPr>
              <w:t xml:space="preserve">  </w:t>
            </w:r>
            <w:r w:rsidR="00226DF4" w:rsidRPr="00C83BDF">
              <w:rPr>
                <w:rFonts w:cs="Arial"/>
                <w:sz w:val="18"/>
                <w:szCs w:val="18"/>
                <w:lang w:val="es-ES_tradnl"/>
              </w:rPr>
              <w:t>y</w:t>
            </w:r>
          </w:p>
          <w:p w:rsidR="00E65183" w:rsidRPr="00C83BDF" w:rsidRDefault="00E65183" w:rsidP="003C41EB">
            <w:pPr>
              <w:spacing w:after="60"/>
              <w:ind w:left="949" w:hanging="306"/>
              <w:rPr>
                <w:rFonts w:cs="Arial"/>
                <w:sz w:val="18"/>
                <w:szCs w:val="18"/>
                <w:lang w:val="es-ES_tradnl"/>
              </w:rPr>
            </w:pPr>
            <w:r w:rsidRPr="00C83BDF">
              <w:rPr>
                <w:rFonts w:cs="Arial"/>
                <w:sz w:val="18"/>
                <w:szCs w:val="18"/>
                <w:lang w:val="es-ES_tradnl"/>
              </w:rPr>
              <w:t>–</w:t>
            </w:r>
            <w:r w:rsidRPr="00C83BDF">
              <w:rPr>
                <w:rFonts w:cs="Arial"/>
                <w:sz w:val="18"/>
                <w:szCs w:val="18"/>
                <w:lang w:val="es-ES_tradnl"/>
              </w:rPr>
              <w:tab/>
            </w:r>
            <w:r w:rsidR="00226DF4" w:rsidRPr="00C83BDF">
              <w:rPr>
                <w:rFonts w:cs="Arial"/>
                <w:sz w:val="18"/>
                <w:szCs w:val="18"/>
                <w:lang w:val="es-ES_tradnl"/>
              </w:rPr>
              <w:t>Sr. Kees van Ettekoven (Países Bajos), Presidente del BMT;</w:t>
            </w:r>
          </w:p>
        </w:tc>
      </w:tr>
    </w:tbl>
    <w:p w:rsidR="00E65183" w:rsidRPr="00C83BDF" w:rsidRDefault="00E65183" w:rsidP="00E65183">
      <w:pPr>
        <w:rPr>
          <w:lang w:val="es-ES_tradnl"/>
        </w:rPr>
      </w:pPr>
    </w:p>
    <w:tbl>
      <w:tblPr>
        <w:tblW w:w="9889" w:type="dxa"/>
        <w:tblLayout w:type="fixed"/>
        <w:tblLook w:val="0000" w:firstRow="0" w:lastRow="0" w:firstColumn="0" w:lastColumn="0" w:noHBand="0" w:noVBand="0"/>
      </w:tblPr>
      <w:tblGrid>
        <w:gridCol w:w="1951"/>
        <w:gridCol w:w="7938"/>
      </w:tblGrid>
      <w:tr w:rsidR="00E65183" w:rsidRPr="00C83BDF">
        <w:tc>
          <w:tcPr>
            <w:tcW w:w="1951" w:type="dxa"/>
            <w:shd w:val="clear" w:color="auto" w:fill="auto"/>
          </w:tcPr>
          <w:p w:rsidR="00E65183" w:rsidRPr="00C83BDF" w:rsidRDefault="00E65183" w:rsidP="004737CD">
            <w:pPr>
              <w:pStyle w:val="Heading6"/>
              <w:rPr>
                <w:lang w:val="es-ES_tradnl"/>
              </w:rPr>
            </w:pPr>
          </w:p>
        </w:tc>
        <w:tc>
          <w:tcPr>
            <w:tcW w:w="7938" w:type="dxa"/>
            <w:shd w:val="clear" w:color="auto" w:fill="auto"/>
          </w:tcPr>
          <w:p w:rsidR="00E65183" w:rsidRPr="00C83BDF" w:rsidRDefault="00226DF4" w:rsidP="006B5E1F">
            <w:pPr>
              <w:pStyle w:val="Heading8"/>
              <w:rPr>
                <w:rFonts w:cs="Arial"/>
                <w:szCs w:val="18"/>
                <w:lang w:val="es-ES_tradnl"/>
              </w:rPr>
            </w:pPr>
            <w:bookmarkStart w:id="37" w:name="_Toc431824230"/>
            <w:r w:rsidRPr="00C83BDF">
              <w:rPr>
                <w:rFonts w:cs="Arial"/>
                <w:szCs w:val="18"/>
                <w:lang w:val="es-ES_tradnl"/>
              </w:rPr>
              <w:t>c)  Aprobación por el Consejo de documentos de información y de posición</w:t>
            </w:r>
            <w:bookmarkEnd w:id="37"/>
          </w:p>
          <w:p w:rsidR="00E65183" w:rsidRPr="00C83BDF" w:rsidRDefault="00226DF4" w:rsidP="004737CD">
            <w:pPr>
              <w:keepNext/>
              <w:rPr>
                <w:rFonts w:cs="Arial"/>
                <w:sz w:val="18"/>
                <w:szCs w:val="18"/>
                <w:lang w:val="es-ES_tradnl"/>
              </w:rPr>
            </w:pPr>
            <w:r w:rsidRPr="00C83BDF">
              <w:rPr>
                <w:rFonts w:cs="Arial"/>
                <w:sz w:val="18"/>
                <w:szCs w:val="18"/>
                <w:lang w:val="es-ES_tradnl"/>
              </w:rPr>
              <w:t>La aprobación por el Consejo de documentos de información se expone en el Subprograma UV.2.</w:t>
            </w:r>
          </w:p>
        </w:tc>
      </w:tr>
    </w:tbl>
    <w:p w:rsidR="00E65183" w:rsidRPr="00C83BDF" w:rsidRDefault="000C557C" w:rsidP="00C83BDF">
      <w:pPr>
        <w:pStyle w:val="Heading3"/>
      </w:pPr>
      <w:bookmarkStart w:id="38" w:name="_Toc431824231"/>
      <w:bookmarkEnd w:id="22"/>
      <w:bookmarkEnd w:id="23"/>
      <w:r w:rsidRPr="00C83BDF">
        <w:t>Subprograma UV.2:  Servicios prestados a la Unión para mejorar la eficacia del sistema de la UPOV</w:t>
      </w:r>
      <w:bookmarkEnd w:id="38"/>
    </w:p>
    <w:p w:rsidR="00E65183" w:rsidRPr="00C83BDF" w:rsidRDefault="00E65183" w:rsidP="00E65183">
      <w:pPr>
        <w:rPr>
          <w:sz w:val="18"/>
          <w:szCs w:val="18"/>
          <w:lang w:val="es-ES_tradnl"/>
        </w:rPr>
      </w:pPr>
    </w:p>
    <w:p w:rsidR="00E65183" w:rsidRPr="00C83BDF" w:rsidRDefault="000C557C" w:rsidP="00E65183">
      <w:pPr>
        <w:tabs>
          <w:tab w:val="left" w:pos="2410"/>
          <w:tab w:val="left" w:pos="4536"/>
          <w:tab w:val="left" w:pos="9072"/>
        </w:tabs>
        <w:rPr>
          <w:sz w:val="18"/>
          <w:szCs w:val="18"/>
          <w:lang w:val="es-ES_tradnl"/>
        </w:rPr>
      </w:pPr>
      <w:r w:rsidRPr="00C83BDF">
        <w:rPr>
          <w:sz w:val="18"/>
          <w:szCs w:val="18"/>
          <w:lang w:val="es-ES_tradnl"/>
        </w:rPr>
        <w:t>La UPOV ha seguido aprobando un número considerable de documentos de información y orientación, tanto nuevos como revisados, que han ampliado la comprensión y la aplicación internacional de las disposiciones del Convenio de un modo armonizado y eficaz, contribuyendo con ello a mejorar la calidad de la protección y reducir el costo de obtener protección.</w:t>
      </w:r>
      <w:r w:rsidR="00E65183" w:rsidRPr="00C83BDF">
        <w:rPr>
          <w:sz w:val="18"/>
          <w:szCs w:val="18"/>
          <w:lang w:val="es-ES_tradnl"/>
        </w:rPr>
        <w:t xml:space="preserve">  </w:t>
      </w:r>
      <w:r w:rsidRPr="00C83BDF">
        <w:rPr>
          <w:sz w:val="18"/>
          <w:szCs w:val="18"/>
          <w:lang w:val="es-ES_tradnl"/>
        </w:rPr>
        <w:t>Estas medidas son cada vez más importantes para los nuevos miembros de la Unión debido al creciente número de miembros de la Unión que brindan protección a todos los géneros y especies vegetales.</w:t>
      </w:r>
      <w:r w:rsidR="00E65183" w:rsidRPr="00C83BDF">
        <w:rPr>
          <w:sz w:val="18"/>
          <w:szCs w:val="18"/>
          <w:lang w:val="es-ES_tradnl"/>
        </w:rPr>
        <w:t xml:space="preserve">  </w:t>
      </w:r>
      <w:r w:rsidRPr="00C83BDF">
        <w:rPr>
          <w:sz w:val="18"/>
          <w:szCs w:val="18"/>
          <w:lang w:val="es-ES_tradnl"/>
        </w:rPr>
        <w:t>En 2014, las directrices de examen aprobadas abarcaban el 90% de los géneros y especies vegetales que figuran como protegidos por derecho de obtentor en la Base de datos sobre variedades vegetales (Base de datos PLUTO).</w:t>
      </w:r>
      <w:r w:rsidR="00E65183" w:rsidRPr="00C83BDF">
        <w:rPr>
          <w:sz w:val="18"/>
          <w:szCs w:val="18"/>
          <w:lang w:val="es-ES_tradnl"/>
        </w:rPr>
        <w:t xml:space="preserve">  </w:t>
      </w:r>
      <w:r w:rsidR="00DF58CA" w:rsidRPr="00C83BDF">
        <w:rPr>
          <w:sz w:val="18"/>
          <w:szCs w:val="18"/>
          <w:lang w:val="es-ES_tradnl"/>
        </w:rPr>
        <w:t xml:space="preserve">La </w:t>
      </w:r>
      <w:r w:rsidR="00473DA7" w:rsidRPr="00C83BDF">
        <w:rPr>
          <w:sz w:val="18"/>
          <w:szCs w:val="18"/>
          <w:lang w:val="es-ES_tradnl"/>
        </w:rPr>
        <w:t>puesta en marcha</w:t>
      </w:r>
      <w:r w:rsidR="00DF58CA" w:rsidRPr="00C83BDF">
        <w:rPr>
          <w:sz w:val="18"/>
          <w:szCs w:val="18"/>
          <w:lang w:val="es-ES_tradnl"/>
        </w:rPr>
        <w:t xml:space="preserve"> de la versión 1 de la plantilla en Internet de los documentos TG facilitará </w:t>
      </w:r>
      <w:r w:rsidR="00473DA7" w:rsidRPr="00C83BDF">
        <w:rPr>
          <w:sz w:val="18"/>
          <w:szCs w:val="18"/>
          <w:lang w:val="es-ES_tradnl"/>
        </w:rPr>
        <w:t xml:space="preserve">a los expertos principales </w:t>
      </w:r>
      <w:r w:rsidR="00DF58CA" w:rsidRPr="00C83BDF">
        <w:rPr>
          <w:sz w:val="18"/>
          <w:szCs w:val="18"/>
          <w:lang w:val="es-ES_tradnl"/>
        </w:rPr>
        <w:t xml:space="preserve">la labor </w:t>
      </w:r>
      <w:r w:rsidR="00473DA7" w:rsidRPr="00C83BDF">
        <w:rPr>
          <w:sz w:val="18"/>
          <w:szCs w:val="18"/>
          <w:lang w:val="es-ES_tradnl"/>
        </w:rPr>
        <w:t>de redacción de las directrices de examen</w:t>
      </w:r>
      <w:r w:rsidR="00DF58CA" w:rsidRPr="00C83BDF">
        <w:rPr>
          <w:sz w:val="18"/>
          <w:szCs w:val="18"/>
          <w:lang w:val="es-ES_tradnl"/>
        </w:rPr>
        <w:t>.</w:t>
      </w:r>
      <w:r w:rsidR="00E65183" w:rsidRPr="00C83BDF">
        <w:rPr>
          <w:sz w:val="18"/>
          <w:szCs w:val="18"/>
          <w:lang w:val="es-ES_tradnl"/>
        </w:rPr>
        <w:t xml:space="preserve">  </w:t>
      </w:r>
      <w:r w:rsidR="00CB27D0" w:rsidRPr="00C83BDF">
        <w:rPr>
          <w:sz w:val="18"/>
          <w:szCs w:val="18"/>
          <w:lang w:val="es-ES_tradnl"/>
        </w:rPr>
        <w:t>Con el fin de explorar posibles medidas para mejorar la eficacia del TC, los TWP y los talleres preparatorios, el TC ha aprobado una serie de encuestas.</w:t>
      </w:r>
      <w:r w:rsidR="00E65183" w:rsidRPr="00C83BDF">
        <w:rPr>
          <w:sz w:val="18"/>
          <w:szCs w:val="18"/>
          <w:lang w:val="es-ES_tradnl"/>
        </w:rPr>
        <w:t xml:space="preserve">  </w:t>
      </w:r>
      <w:r w:rsidR="009A3516" w:rsidRPr="00C83BDF">
        <w:rPr>
          <w:sz w:val="18"/>
          <w:szCs w:val="18"/>
          <w:lang w:val="es-ES_tradnl"/>
        </w:rPr>
        <w:t>Con el fin de estimular la cooperación entre los miembros de la Unión, se ha ampliado la información que suministran la base de datos GENIE, la Base de datos PLUTO y la Base de datos de legislación de miembros de la UPOV (UPOV Lex), y se han adoptado diversas medidas relativas al programa de mejoras de la Base de datos PLUTO.</w:t>
      </w:r>
      <w:r w:rsidR="00E65183" w:rsidRPr="00C83BDF">
        <w:rPr>
          <w:color w:val="000000"/>
          <w:sz w:val="18"/>
          <w:szCs w:val="18"/>
          <w:lang w:val="es-ES_tradnl"/>
        </w:rPr>
        <w:t xml:space="preserve">  </w:t>
      </w:r>
      <w:r w:rsidR="009A3516" w:rsidRPr="00C83BDF">
        <w:rPr>
          <w:color w:val="000000"/>
          <w:sz w:val="18"/>
          <w:szCs w:val="18"/>
          <w:lang w:val="es-ES_tradnl"/>
        </w:rPr>
        <w:t>El proyecto de desarrollo de un formulario electrónico de solicitud de la UPOV ha progresado satisfactoriamente.</w:t>
      </w:r>
    </w:p>
    <w:p w:rsidR="00E65183" w:rsidRPr="00C83BDF" w:rsidRDefault="00E65183" w:rsidP="00E65183">
      <w:pPr>
        <w:tabs>
          <w:tab w:val="left" w:pos="2410"/>
          <w:tab w:val="left" w:pos="4536"/>
          <w:tab w:val="left" w:pos="9072"/>
        </w:tabs>
        <w:rPr>
          <w:sz w:val="18"/>
          <w:szCs w:val="18"/>
          <w:lang w:val="es-ES_tradnl"/>
        </w:rPr>
      </w:pPr>
    </w:p>
    <w:p w:rsidR="00E65183" w:rsidRPr="00C83BDF" w:rsidRDefault="00E65183" w:rsidP="00E65183">
      <w:pPr>
        <w:tabs>
          <w:tab w:val="left" w:pos="2410"/>
          <w:tab w:val="left" w:pos="4536"/>
          <w:tab w:val="left" w:pos="9072"/>
        </w:tabs>
        <w:rPr>
          <w:sz w:val="18"/>
          <w:szCs w:val="18"/>
          <w:lang w:val="es-ES_tradnl"/>
        </w:rPr>
      </w:pPr>
    </w:p>
    <w:tbl>
      <w:tblPr>
        <w:tblW w:w="9889" w:type="dxa"/>
        <w:tblLayout w:type="fixed"/>
        <w:tblLook w:val="0000" w:firstRow="0" w:lastRow="0" w:firstColumn="0" w:lastColumn="0" w:noHBand="0" w:noVBand="0"/>
      </w:tblPr>
      <w:tblGrid>
        <w:gridCol w:w="1951"/>
        <w:gridCol w:w="7938"/>
      </w:tblGrid>
      <w:tr w:rsidR="00E65183" w:rsidRPr="00C83BDF">
        <w:tc>
          <w:tcPr>
            <w:tcW w:w="1951" w:type="dxa"/>
          </w:tcPr>
          <w:p w:rsidR="00E65183" w:rsidRPr="00C83BDF" w:rsidRDefault="009A3516" w:rsidP="00EC6385">
            <w:pPr>
              <w:pStyle w:val="Heading5"/>
            </w:pPr>
            <w:bookmarkStart w:id="39" w:name="_Toc431824232"/>
            <w:r w:rsidRPr="00C83BDF">
              <w:t>Objetivos:</w:t>
            </w:r>
            <w:bookmarkEnd w:id="39"/>
          </w:p>
        </w:tc>
        <w:tc>
          <w:tcPr>
            <w:tcW w:w="7938" w:type="dxa"/>
            <w:vAlign w:val="center"/>
          </w:tcPr>
          <w:p w:rsidR="00E65183" w:rsidRPr="00C83BDF" w:rsidRDefault="009A3516" w:rsidP="004737CD">
            <w:pPr>
              <w:keepNext/>
              <w:keepLines/>
              <w:widowControl w:val="0"/>
              <w:numPr>
                <w:ilvl w:val="0"/>
                <w:numId w:val="16"/>
              </w:numPr>
              <w:jc w:val="left"/>
              <w:rPr>
                <w:b/>
                <w:i/>
                <w:sz w:val="18"/>
                <w:szCs w:val="18"/>
                <w:lang w:val="es-ES_tradnl"/>
              </w:rPr>
            </w:pPr>
            <w:r w:rsidRPr="00C83BDF">
              <w:rPr>
                <w:sz w:val="18"/>
                <w:szCs w:val="18"/>
                <w:lang w:val="es-ES_tradnl"/>
              </w:rPr>
              <w:t>Mantener y mejorar la eficacia del sistema de la UPOV.</w:t>
            </w:r>
          </w:p>
          <w:p w:rsidR="00E65183" w:rsidRPr="00C83BDF" w:rsidRDefault="009A3516" w:rsidP="004737CD">
            <w:pPr>
              <w:keepNext/>
              <w:keepLines/>
              <w:widowControl w:val="0"/>
              <w:numPr>
                <w:ilvl w:val="0"/>
                <w:numId w:val="16"/>
              </w:numPr>
              <w:jc w:val="left"/>
              <w:rPr>
                <w:b/>
                <w:sz w:val="18"/>
                <w:szCs w:val="18"/>
                <w:lang w:val="es-ES_tradnl"/>
              </w:rPr>
            </w:pPr>
            <w:r w:rsidRPr="00C83BDF">
              <w:rPr>
                <w:sz w:val="18"/>
                <w:szCs w:val="18"/>
                <w:lang w:val="es-ES_tradnl"/>
              </w:rPr>
              <w:t>Proporcionar y desarrollar las bases jurídicas, administrativas y técnicas para la cooperación internacional en materia de protección de las variedades vegetales, de conformidad con el Convenio de la UPOV.</w:t>
            </w:r>
          </w:p>
        </w:tc>
      </w:tr>
    </w:tbl>
    <w:p w:rsidR="00E65183" w:rsidRPr="00C83BDF" w:rsidRDefault="00E65183" w:rsidP="00E65183">
      <w:pPr>
        <w:rPr>
          <w:sz w:val="18"/>
          <w:szCs w:val="18"/>
          <w:lang w:val="es-ES_tradnl"/>
        </w:rPr>
      </w:pPr>
    </w:p>
    <w:p w:rsidR="00E65183" w:rsidRPr="00C83BDF" w:rsidRDefault="00E65183" w:rsidP="00E65183">
      <w:pPr>
        <w:rPr>
          <w:sz w:val="18"/>
          <w:szCs w:val="18"/>
          <w:lang w:val="es-ES_tradnl"/>
        </w:rPr>
      </w:pPr>
    </w:p>
    <w:tbl>
      <w:tblPr>
        <w:tblW w:w="9889" w:type="dxa"/>
        <w:tblLayout w:type="fixed"/>
        <w:tblLook w:val="0000" w:firstRow="0" w:lastRow="0" w:firstColumn="0" w:lastColumn="0" w:noHBand="0" w:noVBand="0"/>
      </w:tblPr>
      <w:tblGrid>
        <w:gridCol w:w="1951"/>
        <w:gridCol w:w="4111"/>
        <w:gridCol w:w="3827"/>
      </w:tblGrid>
      <w:tr w:rsidR="00E65183" w:rsidRPr="00C83BDF">
        <w:tc>
          <w:tcPr>
            <w:tcW w:w="1951" w:type="dxa"/>
            <w:shd w:val="clear" w:color="auto" w:fill="auto"/>
          </w:tcPr>
          <w:p w:rsidR="00E65183" w:rsidRPr="00C83BDF" w:rsidRDefault="009A3516" w:rsidP="00EC6385">
            <w:pPr>
              <w:pStyle w:val="Heading5"/>
            </w:pPr>
            <w:bookmarkStart w:id="40" w:name="_Toc431824233"/>
            <w:r w:rsidRPr="00C83BDF">
              <w:t>Resultados previstos</w:t>
            </w:r>
            <w:bookmarkEnd w:id="40"/>
          </w:p>
        </w:tc>
        <w:tc>
          <w:tcPr>
            <w:tcW w:w="7938" w:type="dxa"/>
            <w:gridSpan w:val="2"/>
            <w:shd w:val="clear" w:color="auto" w:fill="auto"/>
          </w:tcPr>
          <w:p w:rsidR="00E65183" w:rsidRPr="00C83BDF" w:rsidRDefault="009A3516" w:rsidP="00232D19">
            <w:pPr>
              <w:pStyle w:val="Heading7"/>
              <w:rPr>
                <w:lang w:val="es-ES_tradnl"/>
              </w:rPr>
            </w:pPr>
            <w:bookmarkStart w:id="41" w:name="_Toc431824234"/>
            <w:r w:rsidRPr="00C83BDF">
              <w:rPr>
                <w:lang w:val="es-ES_tradnl"/>
              </w:rPr>
              <w:t>Resultados alcanzados:</w:t>
            </w:r>
            <w:r w:rsidR="00E65183" w:rsidRPr="00C83BDF">
              <w:rPr>
                <w:lang w:val="es-ES_tradnl"/>
              </w:rPr>
              <w:t xml:space="preserve">  </w:t>
            </w:r>
            <w:r w:rsidRPr="00C83BDF">
              <w:rPr>
                <w:lang w:val="es-ES_tradnl"/>
              </w:rPr>
              <w:t>indicadores de rendimiento</w:t>
            </w:r>
            <w:bookmarkEnd w:id="41"/>
          </w:p>
        </w:tc>
      </w:tr>
      <w:tr w:rsidR="00E65183" w:rsidRPr="00C83BDF">
        <w:trPr>
          <w:trHeight w:val="1957"/>
        </w:trPr>
        <w:tc>
          <w:tcPr>
            <w:tcW w:w="1951" w:type="dxa"/>
            <w:shd w:val="clear" w:color="auto" w:fill="auto"/>
          </w:tcPr>
          <w:p w:rsidR="00E65183" w:rsidRPr="00C83BDF" w:rsidRDefault="00E65183" w:rsidP="004737CD">
            <w:pPr>
              <w:pStyle w:val="Heading6"/>
              <w:rPr>
                <w:lang w:val="es-ES_tradnl"/>
              </w:rPr>
            </w:pPr>
            <w:bookmarkStart w:id="42" w:name="_Toc431824235"/>
            <w:r w:rsidRPr="00C83BDF">
              <w:rPr>
                <w:lang w:val="es-ES_tradnl"/>
              </w:rPr>
              <w:t>1.  </w:t>
            </w:r>
            <w:r w:rsidR="009A3516" w:rsidRPr="00C83BDF">
              <w:rPr>
                <w:lang w:val="es-ES_tradnl"/>
              </w:rPr>
              <w:t>Orientación sobre el Convenio de la UPOV e información sobre su aplicación</w:t>
            </w:r>
            <w:bookmarkEnd w:id="42"/>
          </w:p>
        </w:tc>
        <w:tc>
          <w:tcPr>
            <w:tcW w:w="4111" w:type="dxa"/>
            <w:shd w:val="clear" w:color="auto" w:fill="auto"/>
          </w:tcPr>
          <w:p w:rsidR="00E65183" w:rsidRPr="00C83BDF" w:rsidRDefault="009A3516" w:rsidP="00232D19">
            <w:pPr>
              <w:pStyle w:val="Heading8"/>
              <w:rPr>
                <w:lang w:val="es-ES_tradnl"/>
              </w:rPr>
            </w:pPr>
            <w:bookmarkStart w:id="43" w:name="_Toc431824236"/>
            <w:r w:rsidRPr="00C83BDF">
              <w:rPr>
                <w:lang w:val="es-ES_tradnl"/>
              </w:rPr>
              <w:t>Colección de la UPOV:</w:t>
            </w:r>
            <w:r w:rsidR="00E65183" w:rsidRPr="00C83BDF">
              <w:rPr>
                <w:lang w:val="es-ES_tradnl"/>
              </w:rPr>
              <w:t xml:space="preserve">  </w:t>
            </w:r>
            <w:r w:rsidR="00880FEB">
              <w:rPr>
                <w:lang w:val="es-ES_tradnl"/>
              </w:rPr>
              <w:t>visitas al sitio web de la </w:t>
            </w:r>
            <w:r w:rsidRPr="00C83BDF">
              <w:rPr>
                <w:lang w:val="es-ES_tradnl"/>
              </w:rPr>
              <w:t>UPOV</w:t>
            </w:r>
            <w:r w:rsidRPr="00C83BDF">
              <w:rPr>
                <w:rStyle w:val="EndnoteReference"/>
                <w:sz w:val="20"/>
                <w:szCs w:val="20"/>
                <w:lang w:val="es-ES_tradnl"/>
              </w:rPr>
              <w:endnoteReference w:id="2"/>
            </w:r>
            <w:r w:rsidRPr="00C83BDF">
              <w:rPr>
                <w:lang w:val="es-ES_tradnl"/>
              </w:rPr>
              <w:t xml:space="preserve"> en 2014</w:t>
            </w:r>
            <w:bookmarkEnd w:id="43"/>
          </w:p>
          <w:p w:rsidR="00E65183" w:rsidRPr="00C83BDF" w:rsidRDefault="00C81483" w:rsidP="00232D19">
            <w:pPr>
              <w:tabs>
                <w:tab w:val="left" w:pos="1310"/>
              </w:tabs>
              <w:spacing w:after="60"/>
              <w:jc w:val="left"/>
              <w:rPr>
                <w:sz w:val="18"/>
                <w:szCs w:val="18"/>
                <w:lang w:val="es-ES_tradnl"/>
              </w:rPr>
            </w:pPr>
            <w:r w:rsidRPr="00C83BDF">
              <w:rPr>
                <w:sz w:val="18"/>
                <w:szCs w:val="18"/>
                <w:lang w:val="es-ES_tradnl"/>
              </w:rPr>
              <w:t>Páginas vistas:</w:t>
            </w:r>
            <w:r w:rsidR="00E65183" w:rsidRPr="00C83BDF">
              <w:rPr>
                <w:sz w:val="18"/>
                <w:szCs w:val="18"/>
                <w:lang w:val="es-ES_tradnl"/>
              </w:rPr>
              <w:t xml:space="preserve"> </w:t>
            </w:r>
            <w:r w:rsidR="001A0333" w:rsidRPr="00C83BDF">
              <w:rPr>
                <w:sz w:val="18"/>
                <w:szCs w:val="18"/>
                <w:lang w:val="es-ES_tradnl"/>
              </w:rPr>
              <w:t xml:space="preserve"> </w:t>
            </w:r>
            <w:r w:rsidR="002E6E80" w:rsidRPr="00C83BDF">
              <w:rPr>
                <w:sz w:val="18"/>
                <w:szCs w:val="18"/>
                <w:lang w:val="es-ES_tradnl"/>
              </w:rPr>
              <w:t>9.1</w:t>
            </w:r>
            <w:r w:rsidR="00E65183" w:rsidRPr="00C83BDF">
              <w:rPr>
                <w:sz w:val="18"/>
                <w:szCs w:val="18"/>
                <w:lang w:val="es-ES_tradnl"/>
              </w:rPr>
              <w:t>53</w:t>
            </w:r>
            <w:r w:rsidR="00E65183" w:rsidRPr="00C83BDF">
              <w:rPr>
                <w:sz w:val="18"/>
                <w:szCs w:val="18"/>
                <w:lang w:val="es-ES_tradnl"/>
              </w:rPr>
              <w:br/>
            </w:r>
            <w:r w:rsidR="00E65183" w:rsidRPr="00C83BDF">
              <w:rPr>
                <w:sz w:val="18"/>
                <w:szCs w:val="18"/>
                <w:lang w:val="es-ES_tradnl"/>
              </w:rPr>
              <w:tab/>
            </w:r>
            <w:r w:rsidRPr="00C83BDF">
              <w:rPr>
                <w:sz w:val="18"/>
                <w:szCs w:val="18"/>
                <w:lang w:val="es-ES_tradnl"/>
              </w:rPr>
              <w:t>(9.336 en 2013;  9.741 en 2012)</w:t>
            </w:r>
            <w:r w:rsidR="00E65183" w:rsidRPr="00C83BDF">
              <w:rPr>
                <w:sz w:val="18"/>
                <w:szCs w:val="18"/>
                <w:lang w:val="es-ES_tradnl"/>
              </w:rPr>
              <w:br/>
            </w:r>
          </w:p>
          <w:p w:rsidR="00E65183" w:rsidRPr="00C83BDF" w:rsidRDefault="00C81483" w:rsidP="001A0333">
            <w:pPr>
              <w:tabs>
                <w:tab w:val="left" w:pos="1310"/>
              </w:tabs>
              <w:spacing w:after="60"/>
              <w:jc w:val="left"/>
              <w:rPr>
                <w:sz w:val="18"/>
                <w:szCs w:val="18"/>
                <w:lang w:val="es-ES_tradnl"/>
              </w:rPr>
            </w:pPr>
            <w:r w:rsidRPr="00C83BDF">
              <w:rPr>
                <w:sz w:val="18"/>
                <w:szCs w:val="18"/>
                <w:lang w:val="es-ES_tradnl"/>
              </w:rPr>
              <w:t>Páginas vistas</w:t>
            </w:r>
            <w:r w:rsidR="00E65183" w:rsidRPr="00C83BDF">
              <w:rPr>
                <w:sz w:val="18"/>
                <w:szCs w:val="18"/>
                <w:lang w:val="es-ES_tradnl"/>
              </w:rPr>
              <w:t xml:space="preserve"> </w:t>
            </w:r>
            <w:r w:rsidRPr="00C83BDF">
              <w:rPr>
                <w:sz w:val="18"/>
                <w:szCs w:val="18"/>
                <w:lang w:val="es-ES_tradnl"/>
              </w:rPr>
              <w:t>únicas</w:t>
            </w:r>
            <w:r w:rsidR="00C16BBE" w:rsidRPr="00C83BDF">
              <w:rPr>
                <w:sz w:val="18"/>
                <w:szCs w:val="18"/>
                <w:lang w:val="es-ES_tradnl"/>
              </w:rPr>
              <w:t>:</w:t>
            </w:r>
            <w:r w:rsidR="00E65183" w:rsidRPr="00C83BDF">
              <w:rPr>
                <w:sz w:val="18"/>
                <w:szCs w:val="18"/>
                <w:lang w:val="es-ES_tradnl"/>
              </w:rPr>
              <w:t xml:space="preserve"> </w:t>
            </w:r>
            <w:r w:rsidR="001A0333" w:rsidRPr="00C83BDF">
              <w:rPr>
                <w:sz w:val="18"/>
                <w:szCs w:val="18"/>
                <w:lang w:val="es-ES_tradnl"/>
              </w:rPr>
              <w:t xml:space="preserve"> </w:t>
            </w:r>
            <w:r w:rsidR="002E6E80" w:rsidRPr="00C83BDF">
              <w:rPr>
                <w:sz w:val="18"/>
                <w:szCs w:val="18"/>
                <w:lang w:val="es-ES_tradnl"/>
              </w:rPr>
              <w:t>6.0</w:t>
            </w:r>
            <w:r w:rsidR="00E65183" w:rsidRPr="00C83BDF">
              <w:rPr>
                <w:sz w:val="18"/>
                <w:szCs w:val="18"/>
                <w:lang w:val="es-ES_tradnl"/>
              </w:rPr>
              <w:t>64</w:t>
            </w:r>
            <w:r w:rsidR="00E65183" w:rsidRPr="00C83BDF">
              <w:rPr>
                <w:sz w:val="18"/>
                <w:szCs w:val="18"/>
                <w:lang w:val="es-ES_tradnl"/>
              </w:rPr>
              <w:br/>
            </w:r>
            <w:r w:rsidR="00E65183" w:rsidRPr="00C83BDF">
              <w:rPr>
                <w:sz w:val="18"/>
                <w:szCs w:val="18"/>
                <w:lang w:val="es-ES_tradnl"/>
              </w:rPr>
              <w:tab/>
            </w:r>
            <w:r w:rsidRPr="00C83BDF">
              <w:rPr>
                <w:sz w:val="18"/>
                <w:szCs w:val="18"/>
                <w:lang w:val="es-ES_tradnl"/>
              </w:rPr>
              <w:t>(5.930 en 2013;  5.865 en 2012)</w:t>
            </w:r>
          </w:p>
          <w:p w:rsidR="00E65183" w:rsidRPr="00C83BDF" w:rsidRDefault="00E65183" w:rsidP="004737CD">
            <w:pPr>
              <w:spacing w:after="120"/>
              <w:jc w:val="left"/>
              <w:rPr>
                <w:iCs/>
                <w:sz w:val="18"/>
                <w:szCs w:val="18"/>
                <w:lang w:val="es-ES_tradnl"/>
              </w:rPr>
            </w:pPr>
          </w:p>
        </w:tc>
        <w:tc>
          <w:tcPr>
            <w:tcW w:w="3827" w:type="dxa"/>
            <w:shd w:val="clear" w:color="auto" w:fill="auto"/>
          </w:tcPr>
          <w:p w:rsidR="00E65183" w:rsidRPr="00C83BDF" w:rsidRDefault="00E65183" w:rsidP="004737CD">
            <w:pPr>
              <w:jc w:val="left"/>
              <w:rPr>
                <w:iCs/>
                <w:sz w:val="18"/>
                <w:szCs w:val="18"/>
                <w:lang w:val="es-ES_tradnl"/>
              </w:rPr>
            </w:pPr>
          </w:p>
          <w:tbl>
            <w:tblPr>
              <w:tblpPr w:leftFromText="180" w:rightFromText="180" w:vertAnchor="text" w:horzAnchor="margin" w:tblpX="145" w:tblpY="-126"/>
              <w:tblOverlap w:val="never"/>
              <w:tblW w:w="33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88"/>
              <w:gridCol w:w="1134"/>
              <w:gridCol w:w="1275"/>
            </w:tblGrid>
            <w:tr w:rsidR="00E65183" w:rsidRPr="00C83BDF" w:rsidTr="00880FEB">
              <w:tc>
                <w:tcPr>
                  <w:tcW w:w="988" w:type="dxa"/>
                </w:tcPr>
                <w:p w:rsidR="00E65183" w:rsidRPr="00C83BDF" w:rsidRDefault="00C81483" w:rsidP="004737CD">
                  <w:pPr>
                    <w:autoSpaceDE w:val="0"/>
                    <w:autoSpaceDN w:val="0"/>
                    <w:adjustRightInd w:val="0"/>
                    <w:ind w:left="157" w:hanging="157"/>
                    <w:jc w:val="center"/>
                    <w:rPr>
                      <w:rFonts w:cs="Arial"/>
                      <w:color w:val="000000"/>
                      <w:sz w:val="18"/>
                      <w:szCs w:val="22"/>
                      <w:lang w:val="es-ES_tradnl"/>
                    </w:rPr>
                  </w:pPr>
                  <w:r w:rsidRPr="00C83BDF">
                    <w:rPr>
                      <w:rFonts w:cs="Arial"/>
                      <w:bCs/>
                      <w:sz w:val="18"/>
                      <w:szCs w:val="22"/>
                      <w:lang w:val="es-ES_tradnl"/>
                    </w:rPr>
                    <w:t>Idioma</w:t>
                  </w:r>
                </w:p>
              </w:tc>
              <w:tc>
                <w:tcPr>
                  <w:tcW w:w="1134" w:type="dxa"/>
                </w:tcPr>
                <w:p w:rsidR="00E65183" w:rsidRPr="00C83BDF" w:rsidRDefault="00C81483" w:rsidP="004737CD">
                  <w:pPr>
                    <w:autoSpaceDE w:val="0"/>
                    <w:autoSpaceDN w:val="0"/>
                    <w:adjustRightInd w:val="0"/>
                    <w:jc w:val="center"/>
                    <w:rPr>
                      <w:rFonts w:cs="Arial"/>
                      <w:color w:val="000000"/>
                      <w:sz w:val="18"/>
                      <w:szCs w:val="22"/>
                      <w:lang w:val="es-ES_tradnl"/>
                    </w:rPr>
                  </w:pPr>
                  <w:r w:rsidRPr="00C83BDF">
                    <w:rPr>
                      <w:rFonts w:cs="Arial"/>
                      <w:bCs/>
                      <w:sz w:val="18"/>
                      <w:szCs w:val="22"/>
                      <w:lang w:val="es-ES_tradnl"/>
                    </w:rPr>
                    <w:t>Páginas vistas</w:t>
                  </w:r>
                </w:p>
              </w:tc>
              <w:tc>
                <w:tcPr>
                  <w:tcW w:w="1275" w:type="dxa"/>
                </w:tcPr>
                <w:p w:rsidR="00E65183" w:rsidRPr="00C83BDF" w:rsidRDefault="00C81483" w:rsidP="004737CD">
                  <w:pPr>
                    <w:autoSpaceDE w:val="0"/>
                    <w:autoSpaceDN w:val="0"/>
                    <w:adjustRightInd w:val="0"/>
                    <w:jc w:val="center"/>
                    <w:rPr>
                      <w:rFonts w:cs="Arial"/>
                      <w:bCs/>
                      <w:color w:val="000000"/>
                      <w:sz w:val="18"/>
                      <w:szCs w:val="22"/>
                      <w:lang w:val="es-ES_tradnl"/>
                    </w:rPr>
                  </w:pPr>
                  <w:r w:rsidRPr="00C83BDF">
                    <w:rPr>
                      <w:rFonts w:cs="Arial"/>
                      <w:bCs/>
                      <w:color w:val="000000"/>
                      <w:sz w:val="18"/>
                      <w:szCs w:val="22"/>
                      <w:lang w:val="es-ES_tradnl"/>
                    </w:rPr>
                    <w:t>Páginas vistas únicas</w:t>
                  </w:r>
                </w:p>
                <w:p w:rsidR="00E65183" w:rsidRPr="00C83BDF" w:rsidRDefault="00E65183" w:rsidP="004737CD">
                  <w:pPr>
                    <w:autoSpaceDE w:val="0"/>
                    <w:autoSpaceDN w:val="0"/>
                    <w:adjustRightInd w:val="0"/>
                    <w:jc w:val="center"/>
                    <w:rPr>
                      <w:rFonts w:cs="Arial"/>
                      <w:color w:val="000000"/>
                      <w:sz w:val="18"/>
                      <w:szCs w:val="22"/>
                      <w:lang w:val="es-ES_tradnl"/>
                    </w:rPr>
                  </w:pPr>
                </w:p>
              </w:tc>
            </w:tr>
            <w:tr w:rsidR="00E65183" w:rsidRPr="00C83BDF" w:rsidTr="00880FEB">
              <w:tc>
                <w:tcPr>
                  <w:tcW w:w="988" w:type="dxa"/>
                </w:tcPr>
                <w:p w:rsidR="00E65183" w:rsidRPr="00C83BDF" w:rsidRDefault="00C81483" w:rsidP="004737CD">
                  <w:pPr>
                    <w:autoSpaceDE w:val="0"/>
                    <w:autoSpaceDN w:val="0"/>
                    <w:adjustRightInd w:val="0"/>
                    <w:jc w:val="left"/>
                    <w:rPr>
                      <w:rFonts w:cs="Arial"/>
                      <w:color w:val="000000"/>
                      <w:sz w:val="18"/>
                      <w:szCs w:val="22"/>
                      <w:lang w:val="es-ES_tradnl"/>
                    </w:rPr>
                  </w:pPr>
                  <w:r w:rsidRPr="00C83BDF">
                    <w:rPr>
                      <w:rFonts w:cs="Arial"/>
                      <w:sz w:val="18"/>
                      <w:szCs w:val="22"/>
                      <w:lang w:val="es-ES_tradnl"/>
                    </w:rPr>
                    <w:t>Inglés</w:t>
                  </w:r>
                  <w:r w:rsidR="00E65183" w:rsidRPr="00C83BDF">
                    <w:rPr>
                      <w:rFonts w:cs="Arial"/>
                      <w:color w:val="000000"/>
                      <w:sz w:val="18"/>
                      <w:szCs w:val="22"/>
                      <w:lang w:val="es-ES_tradnl"/>
                    </w:rPr>
                    <w:t xml:space="preserve"> </w:t>
                  </w:r>
                </w:p>
              </w:tc>
              <w:tc>
                <w:tcPr>
                  <w:tcW w:w="1134" w:type="dxa"/>
                </w:tcPr>
                <w:p w:rsidR="00E65183" w:rsidRPr="00C83BDF" w:rsidRDefault="002E6E80" w:rsidP="00880FEB">
                  <w:pPr>
                    <w:pStyle w:val="Default"/>
                    <w:ind w:right="57"/>
                    <w:jc w:val="right"/>
                    <w:rPr>
                      <w:sz w:val="18"/>
                      <w:szCs w:val="18"/>
                      <w:lang w:val="es-ES_tradnl"/>
                    </w:rPr>
                  </w:pPr>
                  <w:r w:rsidRPr="00C83BDF">
                    <w:rPr>
                      <w:sz w:val="18"/>
                      <w:szCs w:val="18"/>
                      <w:lang w:val="es-ES_tradnl"/>
                    </w:rPr>
                    <w:t>6.1</w:t>
                  </w:r>
                  <w:r w:rsidR="00E65183" w:rsidRPr="00C83BDF">
                    <w:rPr>
                      <w:sz w:val="18"/>
                      <w:szCs w:val="18"/>
                      <w:lang w:val="es-ES_tradnl"/>
                    </w:rPr>
                    <w:t xml:space="preserve">70 </w:t>
                  </w:r>
                </w:p>
              </w:tc>
              <w:tc>
                <w:tcPr>
                  <w:tcW w:w="1275" w:type="dxa"/>
                </w:tcPr>
                <w:p w:rsidR="00E65183" w:rsidRPr="00C83BDF" w:rsidRDefault="002E6E80" w:rsidP="00880FEB">
                  <w:pPr>
                    <w:pStyle w:val="Default"/>
                    <w:ind w:right="57"/>
                    <w:jc w:val="right"/>
                    <w:rPr>
                      <w:sz w:val="18"/>
                      <w:szCs w:val="18"/>
                      <w:lang w:val="es-ES_tradnl"/>
                    </w:rPr>
                  </w:pPr>
                  <w:r w:rsidRPr="00C83BDF">
                    <w:rPr>
                      <w:sz w:val="18"/>
                      <w:szCs w:val="18"/>
                      <w:lang w:val="es-ES_tradnl"/>
                    </w:rPr>
                    <w:t>4.2</w:t>
                  </w:r>
                  <w:r w:rsidR="00E65183" w:rsidRPr="00C83BDF">
                    <w:rPr>
                      <w:sz w:val="18"/>
                      <w:szCs w:val="18"/>
                      <w:lang w:val="es-ES_tradnl"/>
                    </w:rPr>
                    <w:t>20</w:t>
                  </w:r>
                </w:p>
              </w:tc>
            </w:tr>
            <w:tr w:rsidR="00E65183" w:rsidRPr="00C83BDF" w:rsidTr="00880FEB">
              <w:tc>
                <w:tcPr>
                  <w:tcW w:w="988" w:type="dxa"/>
                </w:tcPr>
                <w:p w:rsidR="00E65183" w:rsidRPr="00C83BDF" w:rsidRDefault="00C81483" w:rsidP="004737CD">
                  <w:pPr>
                    <w:autoSpaceDE w:val="0"/>
                    <w:autoSpaceDN w:val="0"/>
                    <w:adjustRightInd w:val="0"/>
                    <w:jc w:val="left"/>
                    <w:rPr>
                      <w:rFonts w:cs="Arial"/>
                      <w:color w:val="000000"/>
                      <w:sz w:val="18"/>
                      <w:szCs w:val="22"/>
                      <w:lang w:val="es-ES_tradnl"/>
                    </w:rPr>
                  </w:pPr>
                  <w:r w:rsidRPr="00C83BDF">
                    <w:rPr>
                      <w:rFonts w:cs="Arial"/>
                      <w:sz w:val="18"/>
                      <w:szCs w:val="22"/>
                      <w:lang w:val="es-ES_tradnl"/>
                    </w:rPr>
                    <w:t>Español</w:t>
                  </w:r>
                  <w:r w:rsidR="00E65183" w:rsidRPr="00C83BDF">
                    <w:rPr>
                      <w:rFonts w:cs="Arial"/>
                      <w:color w:val="000000"/>
                      <w:sz w:val="18"/>
                      <w:szCs w:val="22"/>
                      <w:lang w:val="es-ES_tradnl"/>
                    </w:rPr>
                    <w:t xml:space="preserve"> </w:t>
                  </w:r>
                </w:p>
              </w:tc>
              <w:tc>
                <w:tcPr>
                  <w:tcW w:w="1134" w:type="dxa"/>
                </w:tcPr>
                <w:p w:rsidR="00E65183" w:rsidRPr="00C83BDF" w:rsidRDefault="002E6E80" w:rsidP="00880FEB">
                  <w:pPr>
                    <w:pStyle w:val="Default"/>
                    <w:ind w:right="57"/>
                    <w:jc w:val="right"/>
                    <w:rPr>
                      <w:sz w:val="18"/>
                      <w:szCs w:val="18"/>
                      <w:lang w:val="es-ES_tradnl"/>
                    </w:rPr>
                  </w:pPr>
                  <w:r w:rsidRPr="00C83BDF">
                    <w:rPr>
                      <w:sz w:val="18"/>
                      <w:szCs w:val="18"/>
                      <w:lang w:val="es-ES_tradnl"/>
                    </w:rPr>
                    <w:t>1.9</w:t>
                  </w:r>
                  <w:r w:rsidR="00E65183" w:rsidRPr="00C83BDF">
                    <w:rPr>
                      <w:sz w:val="18"/>
                      <w:szCs w:val="18"/>
                      <w:lang w:val="es-ES_tradnl"/>
                    </w:rPr>
                    <w:t>11</w:t>
                  </w:r>
                </w:p>
              </w:tc>
              <w:tc>
                <w:tcPr>
                  <w:tcW w:w="1275" w:type="dxa"/>
                </w:tcPr>
                <w:p w:rsidR="00E65183" w:rsidRPr="00C83BDF" w:rsidRDefault="002E6E80" w:rsidP="00880FEB">
                  <w:pPr>
                    <w:pStyle w:val="Default"/>
                    <w:ind w:right="57"/>
                    <w:jc w:val="right"/>
                    <w:rPr>
                      <w:sz w:val="18"/>
                      <w:szCs w:val="18"/>
                      <w:lang w:val="es-ES_tradnl"/>
                    </w:rPr>
                  </w:pPr>
                  <w:r w:rsidRPr="00C83BDF">
                    <w:rPr>
                      <w:sz w:val="18"/>
                      <w:szCs w:val="18"/>
                      <w:lang w:val="es-ES_tradnl"/>
                    </w:rPr>
                    <w:t>1.1</w:t>
                  </w:r>
                  <w:r w:rsidR="00E65183" w:rsidRPr="00C83BDF">
                    <w:rPr>
                      <w:sz w:val="18"/>
                      <w:szCs w:val="18"/>
                      <w:lang w:val="es-ES_tradnl"/>
                    </w:rPr>
                    <w:t>78</w:t>
                  </w:r>
                </w:p>
              </w:tc>
            </w:tr>
            <w:tr w:rsidR="00E65183" w:rsidRPr="00C83BDF" w:rsidTr="00880FEB">
              <w:tc>
                <w:tcPr>
                  <w:tcW w:w="988" w:type="dxa"/>
                </w:tcPr>
                <w:p w:rsidR="00E65183" w:rsidRPr="00C83BDF" w:rsidRDefault="00C81483" w:rsidP="004737CD">
                  <w:pPr>
                    <w:autoSpaceDE w:val="0"/>
                    <w:autoSpaceDN w:val="0"/>
                    <w:adjustRightInd w:val="0"/>
                    <w:jc w:val="left"/>
                    <w:rPr>
                      <w:rFonts w:cs="Arial"/>
                      <w:color w:val="000000"/>
                      <w:sz w:val="18"/>
                      <w:szCs w:val="22"/>
                      <w:lang w:val="es-ES_tradnl"/>
                    </w:rPr>
                  </w:pPr>
                  <w:r w:rsidRPr="00C83BDF">
                    <w:rPr>
                      <w:rFonts w:cs="Arial"/>
                      <w:sz w:val="18"/>
                      <w:szCs w:val="22"/>
                      <w:lang w:val="es-ES_tradnl"/>
                    </w:rPr>
                    <w:t>Francés</w:t>
                  </w:r>
                  <w:r w:rsidR="00E65183" w:rsidRPr="00C83BDF">
                    <w:rPr>
                      <w:rFonts w:cs="Arial"/>
                      <w:color w:val="000000"/>
                      <w:sz w:val="18"/>
                      <w:szCs w:val="22"/>
                      <w:lang w:val="es-ES_tradnl"/>
                    </w:rPr>
                    <w:t xml:space="preserve"> </w:t>
                  </w:r>
                </w:p>
              </w:tc>
              <w:tc>
                <w:tcPr>
                  <w:tcW w:w="1134" w:type="dxa"/>
                </w:tcPr>
                <w:p w:rsidR="00E65183" w:rsidRPr="00C83BDF" w:rsidRDefault="00E65183" w:rsidP="00880FEB">
                  <w:pPr>
                    <w:pStyle w:val="Default"/>
                    <w:ind w:right="57"/>
                    <w:jc w:val="right"/>
                    <w:rPr>
                      <w:sz w:val="18"/>
                      <w:szCs w:val="18"/>
                      <w:lang w:val="es-ES_tradnl"/>
                    </w:rPr>
                  </w:pPr>
                  <w:r w:rsidRPr="00C83BDF">
                    <w:rPr>
                      <w:sz w:val="18"/>
                      <w:szCs w:val="18"/>
                      <w:lang w:val="es-ES_tradnl"/>
                    </w:rPr>
                    <w:t>568</w:t>
                  </w:r>
                </w:p>
              </w:tc>
              <w:tc>
                <w:tcPr>
                  <w:tcW w:w="1275" w:type="dxa"/>
                </w:tcPr>
                <w:p w:rsidR="00E65183" w:rsidRPr="00C83BDF" w:rsidRDefault="00E65183" w:rsidP="00880FEB">
                  <w:pPr>
                    <w:pStyle w:val="Default"/>
                    <w:ind w:right="57"/>
                    <w:jc w:val="right"/>
                    <w:rPr>
                      <w:sz w:val="18"/>
                      <w:szCs w:val="18"/>
                      <w:lang w:val="es-ES_tradnl"/>
                    </w:rPr>
                  </w:pPr>
                  <w:r w:rsidRPr="00C83BDF">
                    <w:rPr>
                      <w:sz w:val="18"/>
                      <w:szCs w:val="18"/>
                      <w:lang w:val="es-ES_tradnl"/>
                    </w:rPr>
                    <w:t>329</w:t>
                  </w:r>
                </w:p>
              </w:tc>
            </w:tr>
            <w:tr w:rsidR="00E65183" w:rsidRPr="00C83BDF" w:rsidTr="00880FEB">
              <w:tc>
                <w:tcPr>
                  <w:tcW w:w="988" w:type="dxa"/>
                </w:tcPr>
                <w:p w:rsidR="00E65183" w:rsidRPr="00C83BDF" w:rsidRDefault="00C81483" w:rsidP="004737CD">
                  <w:pPr>
                    <w:autoSpaceDE w:val="0"/>
                    <w:autoSpaceDN w:val="0"/>
                    <w:adjustRightInd w:val="0"/>
                    <w:jc w:val="left"/>
                    <w:rPr>
                      <w:rFonts w:cs="Arial"/>
                      <w:color w:val="000000"/>
                      <w:sz w:val="18"/>
                      <w:szCs w:val="22"/>
                      <w:lang w:val="es-ES_tradnl"/>
                    </w:rPr>
                  </w:pPr>
                  <w:r w:rsidRPr="00C83BDF">
                    <w:rPr>
                      <w:rFonts w:cs="Arial"/>
                      <w:sz w:val="18"/>
                      <w:szCs w:val="22"/>
                      <w:lang w:val="es-ES_tradnl"/>
                    </w:rPr>
                    <w:t>Alemán</w:t>
                  </w:r>
                  <w:r w:rsidR="00E65183" w:rsidRPr="00C83BDF">
                    <w:rPr>
                      <w:rFonts w:cs="Arial"/>
                      <w:color w:val="000000"/>
                      <w:sz w:val="18"/>
                      <w:szCs w:val="22"/>
                      <w:lang w:val="es-ES_tradnl"/>
                    </w:rPr>
                    <w:t xml:space="preserve"> </w:t>
                  </w:r>
                </w:p>
              </w:tc>
              <w:tc>
                <w:tcPr>
                  <w:tcW w:w="1134" w:type="dxa"/>
                </w:tcPr>
                <w:p w:rsidR="00E65183" w:rsidRPr="00C83BDF" w:rsidRDefault="00E65183" w:rsidP="00880FEB">
                  <w:pPr>
                    <w:pStyle w:val="Default"/>
                    <w:ind w:right="57"/>
                    <w:jc w:val="right"/>
                    <w:rPr>
                      <w:sz w:val="18"/>
                      <w:szCs w:val="18"/>
                      <w:lang w:val="es-ES_tradnl"/>
                    </w:rPr>
                  </w:pPr>
                  <w:r w:rsidRPr="00C83BDF">
                    <w:rPr>
                      <w:sz w:val="18"/>
                      <w:szCs w:val="18"/>
                      <w:lang w:val="es-ES_tradnl"/>
                    </w:rPr>
                    <w:t>500</w:t>
                  </w:r>
                </w:p>
              </w:tc>
              <w:tc>
                <w:tcPr>
                  <w:tcW w:w="1275" w:type="dxa"/>
                </w:tcPr>
                <w:p w:rsidR="00E65183" w:rsidRPr="00C83BDF" w:rsidRDefault="00E65183" w:rsidP="00880FEB">
                  <w:pPr>
                    <w:pStyle w:val="Default"/>
                    <w:ind w:right="57"/>
                    <w:jc w:val="right"/>
                    <w:rPr>
                      <w:sz w:val="18"/>
                      <w:szCs w:val="18"/>
                      <w:lang w:val="es-ES_tradnl"/>
                    </w:rPr>
                  </w:pPr>
                  <w:r w:rsidRPr="00C83BDF">
                    <w:rPr>
                      <w:sz w:val="18"/>
                      <w:szCs w:val="18"/>
                      <w:lang w:val="es-ES_tradnl"/>
                    </w:rPr>
                    <w:t>333</w:t>
                  </w:r>
                </w:p>
              </w:tc>
            </w:tr>
          </w:tbl>
          <w:p w:rsidR="00E65183" w:rsidRPr="00C83BDF" w:rsidRDefault="00E65183" w:rsidP="004737CD">
            <w:pPr>
              <w:spacing w:after="120"/>
              <w:jc w:val="left"/>
              <w:rPr>
                <w:iCs/>
                <w:sz w:val="18"/>
                <w:szCs w:val="18"/>
                <w:highlight w:val="yellow"/>
                <w:lang w:val="es-ES_tradnl"/>
              </w:rPr>
            </w:pPr>
          </w:p>
        </w:tc>
      </w:tr>
      <w:tr w:rsidR="00E65183" w:rsidRPr="00C83BDF">
        <w:tc>
          <w:tcPr>
            <w:tcW w:w="1951" w:type="dxa"/>
            <w:shd w:val="clear" w:color="auto" w:fill="auto"/>
          </w:tcPr>
          <w:p w:rsidR="00E65183" w:rsidRPr="00C83BDF" w:rsidRDefault="00E65183" w:rsidP="004737CD">
            <w:pPr>
              <w:rPr>
                <w:lang w:val="es-ES_tradnl"/>
              </w:rPr>
            </w:pPr>
          </w:p>
        </w:tc>
        <w:tc>
          <w:tcPr>
            <w:tcW w:w="7938" w:type="dxa"/>
            <w:gridSpan w:val="2"/>
            <w:shd w:val="clear" w:color="auto" w:fill="auto"/>
          </w:tcPr>
          <w:p w:rsidR="00E65183" w:rsidRPr="00C83BDF" w:rsidRDefault="00C81483" w:rsidP="00754498">
            <w:pPr>
              <w:pStyle w:val="Heading8"/>
              <w:rPr>
                <w:szCs w:val="18"/>
                <w:lang w:val="es-ES_tradnl"/>
              </w:rPr>
            </w:pPr>
            <w:bookmarkStart w:id="44" w:name="_Toc431824237"/>
            <w:r w:rsidRPr="00C83BDF">
              <w:rPr>
                <w:szCs w:val="18"/>
                <w:lang w:val="es-ES_tradnl"/>
              </w:rPr>
              <w:t>a)  Aprobación de material de información nuevo o revisado sobre el Convenio de la UPOV</w:t>
            </w:r>
            <w:bookmarkEnd w:id="44"/>
          </w:p>
          <w:p w:rsidR="00E65183" w:rsidRPr="00C83BDF" w:rsidRDefault="00E65183" w:rsidP="00880FEB">
            <w:pPr>
              <w:tabs>
                <w:tab w:val="left" w:pos="317"/>
              </w:tabs>
              <w:spacing w:after="120"/>
              <w:rPr>
                <w:sz w:val="18"/>
                <w:szCs w:val="18"/>
                <w:lang w:val="es-ES_tradnl"/>
              </w:rPr>
            </w:pPr>
            <w:r w:rsidRPr="00C83BDF">
              <w:rPr>
                <w:sz w:val="18"/>
                <w:szCs w:val="18"/>
                <w:lang w:val="es-ES_tradnl"/>
              </w:rPr>
              <w:t>1.</w:t>
            </w:r>
            <w:r w:rsidRPr="00C83BDF">
              <w:rPr>
                <w:sz w:val="18"/>
                <w:szCs w:val="18"/>
                <w:lang w:val="es-ES_tradnl"/>
              </w:rPr>
              <w:tab/>
            </w:r>
            <w:r w:rsidR="00C81483" w:rsidRPr="00C83BDF">
              <w:rPr>
                <w:sz w:val="18"/>
                <w:szCs w:val="18"/>
                <w:lang w:val="es-ES_tradnl"/>
              </w:rPr>
              <w:t>Documentos de información sobre el Convenio de la UPOV aprobados por el Consejo en 2014:</w:t>
            </w:r>
          </w:p>
          <w:p w:rsidR="00E65183" w:rsidRPr="00C83BDF" w:rsidRDefault="00E65183" w:rsidP="00AC7AF0">
            <w:pPr>
              <w:tabs>
                <w:tab w:val="num" w:pos="2018"/>
              </w:tabs>
              <w:spacing w:after="60"/>
              <w:ind w:left="2018" w:hanging="1701"/>
              <w:jc w:val="left"/>
              <w:rPr>
                <w:sz w:val="18"/>
                <w:szCs w:val="18"/>
                <w:lang w:val="es-ES_tradnl"/>
              </w:rPr>
            </w:pPr>
            <w:r w:rsidRPr="00C83BDF">
              <w:rPr>
                <w:sz w:val="18"/>
                <w:szCs w:val="18"/>
                <w:lang w:val="es-ES_tradnl"/>
              </w:rPr>
              <w:t>UPOV/INF/16/4</w:t>
            </w:r>
            <w:r w:rsidRPr="00C83BDF">
              <w:rPr>
                <w:sz w:val="18"/>
                <w:szCs w:val="18"/>
                <w:lang w:val="es-ES_tradnl"/>
              </w:rPr>
              <w:tab/>
            </w:r>
            <w:r w:rsidR="004E240F" w:rsidRPr="00C83BDF">
              <w:rPr>
                <w:sz w:val="18"/>
                <w:szCs w:val="18"/>
                <w:lang w:val="es-ES_tradnl"/>
              </w:rPr>
              <w:t>Programas informáticos para intercambio (revisión)</w:t>
            </w:r>
          </w:p>
          <w:p w:rsidR="00E65183" w:rsidRPr="00C83BDF" w:rsidRDefault="00E65183" w:rsidP="00AC7AF0">
            <w:pPr>
              <w:tabs>
                <w:tab w:val="num" w:pos="2018"/>
              </w:tabs>
              <w:spacing w:after="60"/>
              <w:ind w:left="2018" w:hanging="1701"/>
              <w:jc w:val="left"/>
              <w:rPr>
                <w:sz w:val="18"/>
                <w:szCs w:val="18"/>
                <w:lang w:val="es-ES_tradnl"/>
              </w:rPr>
            </w:pPr>
            <w:r w:rsidRPr="00C83BDF">
              <w:rPr>
                <w:sz w:val="18"/>
                <w:szCs w:val="18"/>
                <w:lang w:val="es-ES_tradnl"/>
              </w:rPr>
              <w:t>UPOV/INF/22/1</w:t>
            </w:r>
            <w:r w:rsidRPr="00C83BDF">
              <w:rPr>
                <w:sz w:val="18"/>
                <w:szCs w:val="18"/>
                <w:lang w:val="es-ES_tradnl"/>
              </w:rPr>
              <w:tab/>
            </w:r>
            <w:r w:rsidR="004E240F" w:rsidRPr="00C83BDF">
              <w:rPr>
                <w:sz w:val="18"/>
                <w:szCs w:val="18"/>
                <w:lang w:val="es-ES_tradnl"/>
              </w:rPr>
              <w:t>Programas informáticos y equipos ut</w:t>
            </w:r>
            <w:r w:rsidR="00880FEB">
              <w:rPr>
                <w:sz w:val="18"/>
                <w:szCs w:val="18"/>
                <w:lang w:val="es-ES_tradnl"/>
              </w:rPr>
              <w:t>ilizados por los miembros de la </w:t>
            </w:r>
            <w:r w:rsidR="004E240F" w:rsidRPr="00C83BDF">
              <w:rPr>
                <w:sz w:val="18"/>
                <w:szCs w:val="18"/>
                <w:lang w:val="es-ES_tradnl"/>
              </w:rPr>
              <w:t>Unión</w:t>
            </w:r>
          </w:p>
          <w:p w:rsidR="00E65183" w:rsidRPr="00C83BDF" w:rsidRDefault="00E65183" w:rsidP="00AC7AF0">
            <w:pPr>
              <w:tabs>
                <w:tab w:val="num" w:pos="2018"/>
              </w:tabs>
              <w:spacing w:after="120"/>
              <w:ind w:left="2018" w:hanging="1701"/>
              <w:jc w:val="left"/>
              <w:rPr>
                <w:sz w:val="18"/>
                <w:szCs w:val="18"/>
                <w:lang w:val="es-ES_tradnl"/>
              </w:rPr>
            </w:pPr>
            <w:r w:rsidRPr="00C83BDF">
              <w:rPr>
                <w:sz w:val="18"/>
                <w:szCs w:val="18"/>
                <w:lang w:val="es-ES_tradnl"/>
              </w:rPr>
              <w:t>UPOV/INF</w:t>
            </w:r>
            <w:r w:rsidR="00C81483" w:rsidRPr="00C83BDF">
              <w:rPr>
                <w:sz w:val="18"/>
                <w:szCs w:val="18"/>
                <w:lang w:val="es-ES_tradnl"/>
              </w:rPr>
              <w:noBreakHyphen/>
            </w:r>
            <w:r w:rsidRPr="00C83BDF">
              <w:rPr>
                <w:sz w:val="18"/>
                <w:szCs w:val="18"/>
                <w:lang w:val="es-ES_tradnl"/>
              </w:rPr>
              <w:t>EXN/6</w:t>
            </w:r>
            <w:r w:rsidRPr="00C83BDF">
              <w:rPr>
                <w:sz w:val="18"/>
                <w:szCs w:val="18"/>
                <w:lang w:val="es-ES_tradnl"/>
              </w:rPr>
              <w:tab/>
            </w:r>
            <w:r w:rsidR="004E240F" w:rsidRPr="00C83BDF">
              <w:rPr>
                <w:sz w:val="18"/>
                <w:szCs w:val="18"/>
                <w:lang w:val="es-ES_tradnl"/>
              </w:rPr>
              <w:t>Lista de documentos INF</w:t>
            </w:r>
            <w:r w:rsidR="004E240F" w:rsidRPr="00C83BDF">
              <w:rPr>
                <w:sz w:val="18"/>
                <w:szCs w:val="18"/>
                <w:lang w:val="es-ES_tradnl"/>
              </w:rPr>
              <w:noBreakHyphen/>
              <w:t>EXN y fechas de última publicación (revisión)</w:t>
            </w:r>
          </w:p>
          <w:p w:rsidR="00E65183" w:rsidRPr="00C83BDF" w:rsidRDefault="00E65183" w:rsidP="00880FEB">
            <w:pPr>
              <w:tabs>
                <w:tab w:val="left" w:pos="317"/>
              </w:tabs>
              <w:spacing w:after="120"/>
              <w:rPr>
                <w:sz w:val="18"/>
                <w:szCs w:val="18"/>
                <w:lang w:val="es-ES_tradnl"/>
              </w:rPr>
            </w:pPr>
            <w:r w:rsidRPr="00C83BDF">
              <w:rPr>
                <w:sz w:val="18"/>
                <w:szCs w:val="18"/>
                <w:lang w:val="es-ES_tradnl"/>
              </w:rPr>
              <w:t>2.</w:t>
            </w:r>
            <w:r w:rsidRPr="00C83BDF">
              <w:rPr>
                <w:sz w:val="18"/>
                <w:szCs w:val="18"/>
                <w:lang w:val="es-ES_tradnl"/>
              </w:rPr>
              <w:tab/>
            </w:r>
            <w:r w:rsidR="004E240F" w:rsidRPr="00C83BDF">
              <w:rPr>
                <w:sz w:val="18"/>
                <w:szCs w:val="18"/>
                <w:lang w:val="es-ES_tradnl"/>
              </w:rPr>
              <w:t>El CAJ examinó los proyectos de los siguientes documentos en 2014:</w:t>
            </w:r>
          </w:p>
          <w:p w:rsidR="00E65183" w:rsidRPr="00C83BDF" w:rsidRDefault="00E65183" w:rsidP="00AC7AF0">
            <w:pPr>
              <w:tabs>
                <w:tab w:val="num" w:pos="2018"/>
              </w:tabs>
              <w:spacing w:after="60"/>
              <w:ind w:left="2018" w:hanging="1701"/>
              <w:jc w:val="left"/>
              <w:rPr>
                <w:sz w:val="18"/>
                <w:szCs w:val="18"/>
                <w:lang w:val="es-ES_tradnl"/>
              </w:rPr>
            </w:pPr>
            <w:r w:rsidRPr="00C83BDF">
              <w:rPr>
                <w:sz w:val="18"/>
                <w:szCs w:val="18"/>
                <w:lang w:val="es-ES_tradnl"/>
              </w:rPr>
              <w:t>UPOV/EXN</w:t>
            </w:r>
            <w:r w:rsidR="00C81483" w:rsidRPr="00C83BDF">
              <w:rPr>
                <w:sz w:val="18"/>
                <w:szCs w:val="18"/>
                <w:lang w:val="es-ES_tradnl"/>
              </w:rPr>
              <w:t>/</w:t>
            </w:r>
            <w:r w:rsidRPr="00C83BDF">
              <w:rPr>
                <w:sz w:val="18"/>
                <w:szCs w:val="18"/>
                <w:lang w:val="es-ES_tradnl"/>
              </w:rPr>
              <w:t>CAN</w:t>
            </w:r>
            <w:r w:rsidRPr="00C83BDF">
              <w:rPr>
                <w:sz w:val="18"/>
                <w:szCs w:val="18"/>
                <w:lang w:val="es-ES_tradnl"/>
              </w:rPr>
              <w:tab/>
            </w:r>
            <w:r w:rsidR="008419E5" w:rsidRPr="00C83BDF">
              <w:rPr>
                <w:sz w:val="18"/>
                <w:szCs w:val="18"/>
                <w:lang w:val="es-ES_tradnl"/>
              </w:rPr>
              <w:t>Notas explicativas sobre la caducidad del derecho de obtentor con arreglo al Convenio de la UPOV (revisión)</w:t>
            </w:r>
          </w:p>
          <w:p w:rsidR="00E65183" w:rsidRPr="00C83BDF" w:rsidRDefault="00E65183" w:rsidP="00AC7AF0">
            <w:pPr>
              <w:tabs>
                <w:tab w:val="num" w:pos="2018"/>
              </w:tabs>
              <w:spacing w:after="60"/>
              <w:ind w:left="2018" w:hanging="1701"/>
              <w:jc w:val="left"/>
              <w:rPr>
                <w:sz w:val="18"/>
                <w:szCs w:val="18"/>
                <w:lang w:val="es-ES_tradnl"/>
              </w:rPr>
            </w:pPr>
            <w:r w:rsidRPr="00C83BDF">
              <w:rPr>
                <w:sz w:val="18"/>
                <w:szCs w:val="18"/>
                <w:lang w:val="es-ES_tradnl"/>
              </w:rPr>
              <w:t>UPOV/EXN/EDV</w:t>
            </w:r>
            <w:r w:rsidRPr="00C83BDF">
              <w:rPr>
                <w:sz w:val="18"/>
                <w:szCs w:val="18"/>
                <w:lang w:val="es-ES_tradnl"/>
              </w:rPr>
              <w:tab/>
            </w:r>
            <w:r w:rsidR="008419E5" w:rsidRPr="00C83BDF">
              <w:rPr>
                <w:sz w:val="18"/>
                <w:szCs w:val="18"/>
                <w:lang w:val="es-ES_tradnl"/>
              </w:rPr>
              <w:t>Notas explicativas sobre las variedades esencialmente derivadas con arreglo al Acta de 1991 del Convenio de la UPOV (revisión)</w:t>
            </w:r>
          </w:p>
          <w:p w:rsidR="00E65183" w:rsidRPr="00C83BDF" w:rsidRDefault="00E65183" w:rsidP="00AC7AF0">
            <w:pPr>
              <w:tabs>
                <w:tab w:val="num" w:pos="2018"/>
              </w:tabs>
              <w:spacing w:after="60"/>
              <w:ind w:left="2018" w:hanging="1701"/>
              <w:jc w:val="left"/>
              <w:rPr>
                <w:sz w:val="18"/>
                <w:szCs w:val="18"/>
                <w:lang w:val="es-ES_tradnl"/>
              </w:rPr>
            </w:pPr>
            <w:r w:rsidRPr="00C83BDF">
              <w:rPr>
                <w:sz w:val="18"/>
                <w:szCs w:val="18"/>
                <w:lang w:val="es-ES_tradnl"/>
              </w:rPr>
              <w:t>UPOV/EXN/HRV</w:t>
            </w:r>
            <w:r w:rsidRPr="00C83BDF">
              <w:rPr>
                <w:sz w:val="18"/>
                <w:szCs w:val="18"/>
                <w:lang w:val="es-ES_tradnl"/>
              </w:rPr>
              <w:tab/>
            </w:r>
            <w:r w:rsidR="008419E5" w:rsidRPr="00C83BDF">
              <w:rPr>
                <w:sz w:val="18"/>
                <w:szCs w:val="18"/>
                <w:lang w:val="es-ES_tradnl"/>
              </w:rPr>
              <w:t>Notas explicativas sobre los actos respecto del producto de la cosecha con arreglo al Acta de 1991 del Convenio de la UPOV (revisión)</w:t>
            </w:r>
          </w:p>
          <w:p w:rsidR="00E65183" w:rsidRPr="00C83BDF" w:rsidRDefault="00E65183" w:rsidP="00AC7AF0">
            <w:pPr>
              <w:tabs>
                <w:tab w:val="num" w:pos="2018"/>
              </w:tabs>
              <w:spacing w:after="60"/>
              <w:ind w:left="2018" w:hanging="1701"/>
              <w:jc w:val="left"/>
              <w:rPr>
                <w:sz w:val="18"/>
                <w:szCs w:val="18"/>
                <w:lang w:val="es-ES_tradnl"/>
              </w:rPr>
            </w:pPr>
            <w:r w:rsidRPr="00C83BDF">
              <w:rPr>
                <w:sz w:val="18"/>
                <w:szCs w:val="18"/>
                <w:lang w:val="es-ES_tradnl"/>
              </w:rPr>
              <w:t>UPOV/EXN/NUL</w:t>
            </w:r>
            <w:r w:rsidRPr="00C83BDF">
              <w:rPr>
                <w:sz w:val="18"/>
                <w:szCs w:val="18"/>
                <w:lang w:val="es-ES_tradnl"/>
              </w:rPr>
              <w:tab/>
            </w:r>
            <w:r w:rsidR="008419E5" w:rsidRPr="00C83BDF">
              <w:rPr>
                <w:sz w:val="18"/>
                <w:szCs w:val="18"/>
                <w:lang w:val="es-ES_tradnl"/>
              </w:rPr>
              <w:t>Notas explicativas sobre la nulidad del derecho de obtentor con arreglo al Convenio de la UPOV (revisión)</w:t>
            </w:r>
          </w:p>
          <w:p w:rsidR="00E65183" w:rsidRPr="00C83BDF" w:rsidRDefault="00E65183" w:rsidP="00AC7AF0">
            <w:pPr>
              <w:tabs>
                <w:tab w:val="num" w:pos="2018"/>
              </w:tabs>
              <w:spacing w:after="60"/>
              <w:ind w:left="2018" w:hanging="1701"/>
              <w:jc w:val="left"/>
              <w:rPr>
                <w:sz w:val="18"/>
                <w:szCs w:val="18"/>
                <w:lang w:val="es-ES_tradnl"/>
              </w:rPr>
            </w:pPr>
            <w:r w:rsidRPr="00C83BDF">
              <w:rPr>
                <w:sz w:val="18"/>
                <w:szCs w:val="18"/>
                <w:lang w:val="es-ES_tradnl"/>
              </w:rPr>
              <w:t>UPOV/EXN/PPM</w:t>
            </w:r>
            <w:r w:rsidRPr="00C83BDF">
              <w:rPr>
                <w:sz w:val="18"/>
                <w:szCs w:val="18"/>
                <w:lang w:val="es-ES_tradnl"/>
              </w:rPr>
              <w:tab/>
            </w:r>
            <w:r w:rsidR="008419E5" w:rsidRPr="00C83BDF">
              <w:rPr>
                <w:sz w:val="18"/>
                <w:szCs w:val="18"/>
                <w:lang w:val="es-ES_tradnl"/>
              </w:rPr>
              <w:t>Notas explicativas sobre la reproducción o multiplicación y el material de reproducción o multiplicación con arreglo al Convenio de la UPOV</w:t>
            </w:r>
          </w:p>
          <w:p w:rsidR="00E65183" w:rsidRPr="00C83BDF" w:rsidRDefault="00E65183" w:rsidP="00AC7AF0">
            <w:pPr>
              <w:tabs>
                <w:tab w:val="num" w:pos="2018"/>
              </w:tabs>
              <w:spacing w:after="60"/>
              <w:ind w:left="2018" w:hanging="1701"/>
              <w:jc w:val="left"/>
              <w:rPr>
                <w:sz w:val="18"/>
                <w:szCs w:val="18"/>
                <w:lang w:val="es-ES_tradnl"/>
              </w:rPr>
            </w:pPr>
            <w:r w:rsidRPr="00C83BDF">
              <w:rPr>
                <w:sz w:val="18"/>
                <w:szCs w:val="18"/>
                <w:lang w:val="es-ES_tradnl"/>
              </w:rPr>
              <w:t>UPOV/EXN/PRP</w:t>
            </w:r>
            <w:r w:rsidRPr="00C83BDF">
              <w:rPr>
                <w:sz w:val="18"/>
                <w:szCs w:val="18"/>
                <w:lang w:val="es-ES_tradnl"/>
              </w:rPr>
              <w:tab/>
            </w:r>
            <w:r w:rsidR="008419E5" w:rsidRPr="00C83BDF">
              <w:rPr>
                <w:sz w:val="18"/>
                <w:szCs w:val="18"/>
                <w:lang w:val="es-ES_tradnl"/>
              </w:rPr>
              <w:t>Notas explicativas sobre la protección provisional con arreglo al Convenio de la UPOV (revisión)</w:t>
            </w:r>
          </w:p>
          <w:p w:rsidR="00E65183" w:rsidRPr="00C83BDF" w:rsidRDefault="00E65183" w:rsidP="00AC7AF0">
            <w:pPr>
              <w:tabs>
                <w:tab w:val="num" w:pos="2018"/>
              </w:tabs>
              <w:spacing w:after="60"/>
              <w:ind w:left="2018" w:hanging="1701"/>
              <w:jc w:val="left"/>
              <w:rPr>
                <w:sz w:val="18"/>
                <w:szCs w:val="18"/>
                <w:lang w:val="es-ES_tradnl"/>
              </w:rPr>
            </w:pPr>
            <w:r w:rsidRPr="00C83BDF">
              <w:rPr>
                <w:sz w:val="18"/>
                <w:szCs w:val="18"/>
                <w:lang w:val="es-ES_tradnl"/>
              </w:rPr>
              <w:t>UPOV/INF/12</w:t>
            </w:r>
            <w:r w:rsidRPr="00C83BDF">
              <w:rPr>
                <w:sz w:val="18"/>
                <w:szCs w:val="18"/>
                <w:lang w:val="es-ES_tradnl"/>
              </w:rPr>
              <w:tab/>
            </w:r>
            <w:r w:rsidR="008419E5" w:rsidRPr="00C83BDF">
              <w:rPr>
                <w:sz w:val="18"/>
                <w:szCs w:val="18"/>
                <w:lang w:val="es-ES_tradnl"/>
              </w:rPr>
              <w:t>Notas explicativas sobre las denominaciones de variedades con arreglo al Convenio de la UPOV (revisión)</w:t>
            </w:r>
          </w:p>
          <w:p w:rsidR="00E65183" w:rsidRPr="00C83BDF" w:rsidRDefault="00E65183" w:rsidP="00AC7AF0">
            <w:pPr>
              <w:tabs>
                <w:tab w:val="num" w:pos="2018"/>
              </w:tabs>
              <w:spacing w:after="60"/>
              <w:ind w:left="2018" w:hanging="1701"/>
              <w:jc w:val="left"/>
              <w:rPr>
                <w:sz w:val="18"/>
                <w:szCs w:val="18"/>
                <w:lang w:val="es-ES_tradnl"/>
              </w:rPr>
            </w:pPr>
            <w:r w:rsidRPr="00C83BDF">
              <w:rPr>
                <w:sz w:val="18"/>
                <w:szCs w:val="18"/>
                <w:lang w:val="es-ES_tradnl"/>
              </w:rPr>
              <w:t>UPOV/INF/15</w:t>
            </w:r>
            <w:r w:rsidRPr="00C83BDF">
              <w:rPr>
                <w:sz w:val="18"/>
                <w:szCs w:val="18"/>
                <w:lang w:val="es-ES_tradnl"/>
              </w:rPr>
              <w:tab/>
            </w:r>
            <w:r w:rsidR="00644ACE" w:rsidRPr="00C83BDF">
              <w:rPr>
                <w:sz w:val="18"/>
                <w:szCs w:val="18"/>
                <w:lang w:val="es-ES_tradnl"/>
              </w:rPr>
              <w:t>Orientación para los miembros de la UPOV sobre las obligaciones actuales y las notificaciones conexas y sobre el suministro de información para facilitar la cooperación (revisión)</w:t>
            </w:r>
          </w:p>
        </w:tc>
      </w:tr>
    </w:tbl>
    <w:p w:rsidR="00E65183" w:rsidRPr="00C83BDF" w:rsidRDefault="00E65183" w:rsidP="00E65183">
      <w:pPr>
        <w:rPr>
          <w:sz w:val="18"/>
          <w:szCs w:val="18"/>
          <w:lang w:val="es-ES_tradnl"/>
        </w:rPr>
      </w:pPr>
    </w:p>
    <w:p w:rsidR="00E65183" w:rsidRPr="00C83BDF" w:rsidRDefault="00E65183" w:rsidP="00E65183">
      <w:pPr>
        <w:rPr>
          <w:sz w:val="18"/>
          <w:szCs w:val="18"/>
          <w:lang w:val="es-ES_tradnl"/>
        </w:rPr>
      </w:pPr>
    </w:p>
    <w:tbl>
      <w:tblPr>
        <w:tblW w:w="9889" w:type="dxa"/>
        <w:tblLayout w:type="fixed"/>
        <w:tblLook w:val="0000" w:firstRow="0" w:lastRow="0" w:firstColumn="0" w:lastColumn="0" w:noHBand="0" w:noVBand="0"/>
      </w:tblPr>
      <w:tblGrid>
        <w:gridCol w:w="1951"/>
        <w:gridCol w:w="4253"/>
        <w:gridCol w:w="3685"/>
      </w:tblGrid>
      <w:tr w:rsidR="00E65183" w:rsidRPr="00C83BDF">
        <w:tc>
          <w:tcPr>
            <w:tcW w:w="1951" w:type="dxa"/>
            <w:shd w:val="clear" w:color="auto" w:fill="auto"/>
          </w:tcPr>
          <w:p w:rsidR="00E65183" w:rsidRPr="00C83BDF" w:rsidRDefault="00644ACE" w:rsidP="00880FEB">
            <w:pPr>
              <w:keepNext/>
              <w:rPr>
                <w:b/>
                <w:sz w:val="18"/>
                <w:szCs w:val="18"/>
                <w:lang w:val="es-ES_tradnl"/>
              </w:rPr>
            </w:pPr>
            <w:r w:rsidRPr="00C83BDF">
              <w:rPr>
                <w:b/>
                <w:sz w:val="18"/>
                <w:szCs w:val="18"/>
                <w:lang w:val="es-ES_tradnl"/>
              </w:rPr>
              <w:t>Resultados previstos</w:t>
            </w:r>
          </w:p>
        </w:tc>
        <w:tc>
          <w:tcPr>
            <w:tcW w:w="7938" w:type="dxa"/>
            <w:gridSpan w:val="2"/>
            <w:shd w:val="clear" w:color="auto" w:fill="auto"/>
          </w:tcPr>
          <w:p w:rsidR="00E65183" w:rsidRPr="00C83BDF" w:rsidRDefault="00644ACE" w:rsidP="00754498">
            <w:pPr>
              <w:keepNext/>
              <w:spacing w:after="240"/>
              <w:rPr>
                <w:b/>
                <w:sz w:val="18"/>
                <w:szCs w:val="18"/>
                <w:lang w:val="es-ES_tradnl"/>
              </w:rPr>
            </w:pPr>
            <w:r w:rsidRPr="00C83BDF">
              <w:rPr>
                <w:b/>
                <w:sz w:val="18"/>
                <w:szCs w:val="18"/>
                <w:lang w:val="es-ES_tradnl"/>
              </w:rPr>
              <w:t>Resultados alcanzados:</w:t>
            </w:r>
            <w:r w:rsidR="00E65183" w:rsidRPr="00C83BDF">
              <w:rPr>
                <w:b/>
                <w:sz w:val="18"/>
                <w:szCs w:val="18"/>
                <w:lang w:val="es-ES_tradnl"/>
              </w:rPr>
              <w:t xml:space="preserve">  </w:t>
            </w:r>
            <w:r w:rsidRPr="00C83BDF">
              <w:rPr>
                <w:b/>
                <w:sz w:val="18"/>
                <w:szCs w:val="18"/>
                <w:lang w:val="es-ES_tradnl"/>
              </w:rPr>
              <w:t>indicadores de rendimiento</w:t>
            </w:r>
          </w:p>
        </w:tc>
      </w:tr>
      <w:tr w:rsidR="00E65183" w:rsidRPr="00C83BDF">
        <w:tc>
          <w:tcPr>
            <w:tcW w:w="1951" w:type="dxa"/>
            <w:shd w:val="clear" w:color="auto" w:fill="auto"/>
          </w:tcPr>
          <w:p w:rsidR="00E65183" w:rsidRPr="00C83BDF" w:rsidRDefault="00E65183" w:rsidP="004737CD">
            <w:pPr>
              <w:keepNext/>
              <w:jc w:val="left"/>
              <w:rPr>
                <w:sz w:val="18"/>
                <w:szCs w:val="18"/>
                <w:lang w:val="es-ES_tradnl"/>
              </w:rPr>
            </w:pPr>
            <w:r w:rsidRPr="00C83BDF">
              <w:rPr>
                <w:i/>
                <w:sz w:val="18"/>
                <w:szCs w:val="18"/>
                <w:lang w:val="es-ES_tradnl"/>
              </w:rPr>
              <w:t>1.  </w:t>
            </w:r>
            <w:r w:rsidR="00644ACE" w:rsidRPr="00C83BDF">
              <w:rPr>
                <w:i/>
                <w:sz w:val="18"/>
                <w:szCs w:val="18"/>
                <w:lang w:val="es-ES_tradnl"/>
              </w:rPr>
              <w:t xml:space="preserve">Orientación sobre el Convenio de la UPOV e información sobre su aplicación </w:t>
            </w:r>
            <w:r w:rsidR="00644ACE" w:rsidRPr="00C83BDF">
              <w:rPr>
                <w:sz w:val="18"/>
                <w:szCs w:val="18"/>
                <w:lang w:val="es-ES_tradnl"/>
              </w:rPr>
              <w:t>(continuación)</w:t>
            </w:r>
          </w:p>
        </w:tc>
        <w:tc>
          <w:tcPr>
            <w:tcW w:w="7938" w:type="dxa"/>
            <w:gridSpan w:val="2"/>
            <w:shd w:val="clear" w:color="auto" w:fill="auto"/>
          </w:tcPr>
          <w:p w:rsidR="00E65183" w:rsidRPr="00C83BDF" w:rsidRDefault="00644ACE" w:rsidP="004737CD">
            <w:pPr>
              <w:keepNext/>
              <w:jc w:val="left"/>
              <w:rPr>
                <w:color w:val="000000"/>
                <w:sz w:val="18"/>
                <w:szCs w:val="18"/>
                <w:lang w:val="es-ES_tradnl"/>
              </w:rPr>
            </w:pPr>
            <w:r w:rsidRPr="00C83BDF">
              <w:rPr>
                <w:i/>
                <w:color w:val="000000"/>
                <w:sz w:val="18"/>
                <w:szCs w:val="18"/>
                <w:lang w:val="es-ES_tradnl"/>
              </w:rPr>
              <w:t xml:space="preserve">a)  Aprobación de material de información nuevo o revisado sobre el Convenio de la UPOV </w:t>
            </w:r>
            <w:r w:rsidRPr="00C83BDF">
              <w:rPr>
                <w:color w:val="000000"/>
                <w:sz w:val="18"/>
                <w:szCs w:val="18"/>
                <w:lang w:val="es-ES_tradnl"/>
              </w:rPr>
              <w:t>(continuación)</w:t>
            </w:r>
          </w:p>
          <w:p w:rsidR="00E65183" w:rsidRPr="00C83BDF" w:rsidRDefault="00E65183" w:rsidP="004737CD">
            <w:pPr>
              <w:tabs>
                <w:tab w:val="left" w:pos="317"/>
              </w:tabs>
              <w:spacing w:after="60"/>
              <w:rPr>
                <w:color w:val="000000"/>
                <w:sz w:val="18"/>
                <w:szCs w:val="18"/>
                <w:lang w:val="es-ES_tradnl"/>
              </w:rPr>
            </w:pPr>
          </w:p>
          <w:p w:rsidR="00E65183" w:rsidRPr="00C83BDF" w:rsidRDefault="00E65183" w:rsidP="00A5108E">
            <w:pPr>
              <w:tabs>
                <w:tab w:val="left" w:pos="317"/>
              </w:tabs>
              <w:spacing w:after="60"/>
              <w:rPr>
                <w:color w:val="000000"/>
                <w:sz w:val="18"/>
                <w:szCs w:val="18"/>
                <w:lang w:val="es-ES_tradnl"/>
              </w:rPr>
            </w:pPr>
            <w:r w:rsidRPr="00C83BDF">
              <w:rPr>
                <w:color w:val="000000"/>
                <w:sz w:val="18"/>
                <w:szCs w:val="18"/>
                <w:lang w:val="es-ES_tradnl"/>
              </w:rPr>
              <w:t>3.</w:t>
            </w:r>
            <w:r w:rsidRPr="00C83BDF">
              <w:rPr>
                <w:color w:val="000000"/>
                <w:sz w:val="18"/>
                <w:szCs w:val="18"/>
                <w:lang w:val="es-ES_tradnl"/>
              </w:rPr>
              <w:tab/>
            </w:r>
            <w:r w:rsidR="00644ACE" w:rsidRPr="00C83BDF">
              <w:rPr>
                <w:color w:val="000000"/>
                <w:sz w:val="18"/>
                <w:szCs w:val="18"/>
                <w:lang w:val="es-ES_tradnl"/>
              </w:rPr>
              <w:t>El CAJ</w:t>
            </w:r>
            <w:r w:rsidR="00644ACE" w:rsidRPr="00C83BDF">
              <w:rPr>
                <w:color w:val="000000"/>
                <w:sz w:val="18"/>
                <w:szCs w:val="18"/>
                <w:lang w:val="es-ES_tradnl"/>
              </w:rPr>
              <w:noBreakHyphen/>
              <w:t>AG examinó los siguientes documentos y asuntos en 2014:</w:t>
            </w:r>
            <w:r w:rsidRPr="00C83BDF">
              <w:rPr>
                <w:color w:val="000000"/>
                <w:sz w:val="18"/>
                <w:szCs w:val="18"/>
                <w:lang w:val="es-ES_tradnl"/>
              </w:rPr>
              <w:t xml:space="preserve"> </w:t>
            </w:r>
          </w:p>
          <w:p w:rsidR="00E65183" w:rsidRPr="00C83BDF" w:rsidRDefault="00E65183" w:rsidP="00A5108E">
            <w:pPr>
              <w:tabs>
                <w:tab w:val="num" w:pos="2160"/>
              </w:tabs>
              <w:spacing w:after="60"/>
              <w:ind w:left="2160" w:hanging="1593"/>
              <w:jc w:val="left"/>
              <w:rPr>
                <w:sz w:val="18"/>
                <w:szCs w:val="18"/>
                <w:lang w:val="es-ES_tradnl"/>
              </w:rPr>
            </w:pPr>
            <w:r w:rsidRPr="00C83BDF">
              <w:rPr>
                <w:sz w:val="18"/>
                <w:szCs w:val="18"/>
                <w:lang w:val="es-ES_tradnl"/>
              </w:rPr>
              <w:t>UPOV/EXN/CAN</w:t>
            </w:r>
            <w:r w:rsidRPr="00C83BDF">
              <w:rPr>
                <w:sz w:val="18"/>
                <w:szCs w:val="18"/>
                <w:lang w:val="es-ES_tradnl"/>
              </w:rPr>
              <w:tab/>
            </w:r>
            <w:r w:rsidR="00644ACE" w:rsidRPr="00C83BDF">
              <w:rPr>
                <w:sz w:val="18"/>
                <w:szCs w:val="18"/>
                <w:lang w:val="es-ES_tradnl"/>
              </w:rPr>
              <w:t>Notas explicativas sobre la caducidad del derecho de obtentor con arreglo al Convenio de la UPOV (revisión)</w:t>
            </w:r>
          </w:p>
          <w:p w:rsidR="00E65183" w:rsidRPr="00C83BDF" w:rsidRDefault="00E65183" w:rsidP="00A5108E">
            <w:pPr>
              <w:tabs>
                <w:tab w:val="num" w:pos="2160"/>
              </w:tabs>
              <w:spacing w:after="60"/>
              <w:ind w:left="2160" w:hanging="1593"/>
              <w:jc w:val="left"/>
              <w:rPr>
                <w:sz w:val="18"/>
                <w:szCs w:val="18"/>
                <w:lang w:val="es-ES_tradnl"/>
              </w:rPr>
            </w:pPr>
            <w:r w:rsidRPr="00C83BDF">
              <w:rPr>
                <w:sz w:val="18"/>
                <w:szCs w:val="18"/>
                <w:lang w:val="es-ES_tradnl"/>
              </w:rPr>
              <w:t>UPOV/EXN/EDV</w:t>
            </w:r>
            <w:r w:rsidRPr="00C83BDF">
              <w:rPr>
                <w:sz w:val="18"/>
                <w:szCs w:val="18"/>
                <w:lang w:val="es-ES_tradnl"/>
              </w:rPr>
              <w:tab/>
            </w:r>
            <w:r w:rsidR="00644ACE" w:rsidRPr="00C83BDF">
              <w:rPr>
                <w:sz w:val="18"/>
                <w:szCs w:val="18"/>
                <w:lang w:val="es-ES_tradnl"/>
              </w:rPr>
              <w:t>Notas explicativas sobre las variedades esencialmente derivadas con arreglo al Acta de 1991 del Convenio de la UPOV (revisión)</w:t>
            </w:r>
          </w:p>
          <w:p w:rsidR="00E65183" w:rsidRPr="00C83BDF" w:rsidRDefault="00E65183" w:rsidP="00A5108E">
            <w:pPr>
              <w:tabs>
                <w:tab w:val="num" w:pos="2160"/>
              </w:tabs>
              <w:spacing w:after="60"/>
              <w:ind w:left="2160" w:hanging="1593"/>
              <w:jc w:val="left"/>
              <w:rPr>
                <w:sz w:val="18"/>
                <w:szCs w:val="18"/>
                <w:lang w:val="es-ES_tradnl"/>
              </w:rPr>
            </w:pPr>
            <w:r w:rsidRPr="00C83BDF">
              <w:rPr>
                <w:sz w:val="18"/>
                <w:szCs w:val="18"/>
                <w:lang w:val="es-ES_tradnl"/>
              </w:rPr>
              <w:t>UPOV/EXN/HRV</w:t>
            </w:r>
            <w:r w:rsidRPr="00C83BDF">
              <w:rPr>
                <w:sz w:val="18"/>
                <w:szCs w:val="18"/>
                <w:lang w:val="es-ES_tradnl"/>
              </w:rPr>
              <w:tab/>
            </w:r>
            <w:r w:rsidR="00644ACE" w:rsidRPr="00C83BDF">
              <w:rPr>
                <w:sz w:val="18"/>
                <w:szCs w:val="18"/>
                <w:lang w:val="es-ES_tradnl"/>
              </w:rPr>
              <w:t>Notas explicativas sobre los actos respecto del producto de la cosecha con arreglo al Acta de 1991 del Convenio de la UPOV (revisión)</w:t>
            </w:r>
          </w:p>
          <w:p w:rsidR="00E65183" w:rsidRPr="00C83BDF" w:rsidRDefault="00E65183" w:rsidP="00A5108E">
            <w:pPr>
              <w:tabs>
                <w:tab w:val="num" w:pos="2160"/>
              </w:tabs>
              <w:spacing w:after="60"/>
              <w:ind w:left="2160" w:hanging="1593"/>
              <w:jc w:val="left"/>
              <w:rPr>
                <w:sz w:val="18"/>
                <w:szCs w:val="18"/>
                <w:lang w:val="es-ES_tradnl"/>
              </w:rPr>
            </w:pPr>
            <w:r w:rsidRPr="00C83BDF">
              <w:rPr>
                <w:sz w:val="18"/>
                <w:szCs w:val="18"/>
                <w:lang w:val="es-ES_tradnl"/>
              </w:rPr>
              <w:t>UPOV/EXN/NUL</w:t>
            </w:r>
            <w:r w:rsidRPr="00C83BDF">
              <w:rPr>
                <w:sz w:val="18"/>
                <w:szCs w:val="18"/>
                <w:lang w:val="es-ES_tradnl"/>
              </w:rPr>
              <w:tab/>
            </w:r>
            <w:r w:rsidR="00644ACE" w:rsidRPr="00C83BDF">
              <w:rPr>
                <w:sz w:val="18"/>
                <w:szCs w:val="18"/>
                <w:lang w:val="es-ES_tradnl"/>
              </w:rPr>
              <w:t>Notas explicativas sobre la nulidad del derecho de obtentor con arreglo al Convenio de la UPOV (revisión)</w:t>
            </w:r>
          </w:p>
          <w:p w:rsidR="00E65183" w:rsidRPr="00C83BDF" w:rsidRDefault="00E65183" w:rsidP="00A5108E">
            <w:pPr>
              <w:tabs>
                <w:tab w:val="num" w:pos="2160"/>
              </w:tabs>
              <w:spacing w:after="60"/>
              <w:ind w:left="2160" w:hanging="1593"/>
              <w:jc w:val="left"/>
              <w:rPr>
                <w:sz w:val="18"/>
                <w:szCs w:val="18"/>
                <w:lang w:val="es-ES_tradnl"/>
              </w:rPr>
            </w:pPr>
            <w:r w:rsidRPr="00C83BDF">
              <w:rPr>
                <w:sz w:val="18"/>
                <w:szCs w:val="18"/>
                <w:lang w:val="es-ES_tradnl"/>
              </w:rPr>
              <w:t>UPOV/EXN/PPM</w:t>
            </w:r>
            <w:r w:rsidRPr="00C83BDF">
              <w:rPr>
                <w:sz w:val="18"/>
                <w:szCs w:val="18"/>
                <w:lang w:val="es-ES_tradnl"/>
              </w:rPr>
              <w:tab/>
            </w:r>
            <w:r w:rsidR="00644ACE" w:rsidRPr="00C83BDF">
              <w:rPr>
                <w:sz w:val="18"/>
                <w:szCs w:val="18"/>
                <w:lang w:val="es-ES_tradnl"/>
              </w:rPr>
              <w:t>Notas explicativas sobre la reproducción o multiplicación y el material de reproducción o multiplicación con arreglo al Convenio de la UPOV</w:t>
            </w:r>
          </w:p>
          <w:p w:rsidR="00E65183" w:rsidRPr="00C83BDF" w:rsidRDefault="00E65183" w:rsidP="00A5108E">
            <w:pPr>
              <w:tabs>
                <w:tab w:val="num" w:pos="2160"/>
              </w:tabs>
              <w:spacing w:after="60"/>
              <w:ind w:left="2160" w:hanging="1593"/>
              <w:jc w:val="left"/>
              <w:rPr>
                <w:sz w:val="18"/>
                <w:szCs w:val="18"/>
                <w:lang w:val="es-ES_tradnl"/>
              </w:rPr>
            </w:pPr>
            <w:r w:rsidRPr="00C83BDF">
              <w:rPr>
                <w:sz w:val="18"/>
                <w:szCs w:val="18"/>
                <w:lang w:val="es-ES_tradnl"/>
              </w:rPr>
              <w:t>UPOV/EXN/PRP</w:t>
            </w:r>
            <w:r w:rsidRPr="00C83BDF">
              <w:rPr>
                <w:sz w:val="18"/>
                <w:szCs w:val="18"/>
                <w:lang w:val="es-ES_tradnl"/>
              </w:rPr>
              <w:tab/>
            </w:r>
            <w:r w:rsidR="00644ACE" w:rsidRPr="00C83BDF">
              <w:rPr>
                <w:sz w:val="18"/>
                <w:szCs w:val="18"/>
                <w:lang w:val="es-ES_tradnl"/>
              </w:rPr>
              <w:t>Notas explicativas sobre la protección provisional con arreglo al Convenio de la UPOV (revisión)</w:t>
            </w:r>
          </w:p>
          <w:p w:rsidR="00E65183" w:rsidRPr="00C83BDF" w:rsidRDefault="00E65183" w:rsidP="00A5108E">
            <w:pPr>
              <w:tabs>
                <w:tab w:val="num" w:pos="2160"/>
              </w:tabs>
              <w:spacing w:after="60"/>
              <w:ind w:left="2160" w:hanging="1593"/>
              <w:jc w:val="left"/>
              <w:rPr>
                <w:sz w:val="18"/>
                <w:szCs w:val="18"/>
                <w:lang w:val="es-ES_tradnl"/>
              </w:rPr>
            </w:pPr>
            <w:r w:rsidRPr="00C83BDF">
              <w:rPr>
                <w:sz w:val="18"/>
                <w:szCs w:val="18"/>
                <w:lang w:val="es-ES_tradnl"/>
              </w:rPr>
              <w:t>UPOV/INF/12</w:t>
            </w:r>
            <w:r w:rsidRPr="00C83BDF">
              <w:rPr>
                <w:sz w:val="18"/>
                <w:szCs w:val="18"/>
                <w:lang w:val="es-ES_tradnl"/>
              </w:rPr>
              <w:tab/>
            </w:r>
            <w:r w:rsidR="00644ACE" w:rsidRPr="00C83BDF">
              <w:rPr>
                <w:sz w:val="18"/>
                <w:szCs w:val="18"/>
                <w:lang w:val="es-ES_tradnl"/>
              </w:rPr>
              <w:t>Notas explicativas sobre las denominaciones de variedades con arreglo al Convenio de la UPOV (revisión)</w:t>
            </w:r>
          </w:p>
          <w:p w:rsidR="00E65183" w:rsidRPr="00C83BDF" w:rsidRDefault="00644ACE" w:rsidP="00A5108E">
            <w:pPr>
              <w:keepNext/>
              <w:spacing w:after="80"/>
              <w:ind w:left="567"/>
              <w:jc w:val="left"/>
              <w:rPr>
                <w:iCs/>
                <w:sz w:val="18"/>
                <w:szCs w:val="18"/>
                <w:lang w:val="es-ES_tradnl"/>
              </w:rPr>
            </w:pPr>
            <w:r w:rsidRPr="00C83BDF">
              <w:rPr>
                <w:iCs/>
                <w:sz w:val="18"/>
                <w:szCs w:val="18"/>
                <w:lang w:val="es-ES_tradnl"/>
              </w:rPr>
              <w:t>Asuntos relativos a las descripciones de variedades</w:t>
            </w:r>
          </w:p>
          <w:p w:rsidR="00E65183" w:rsidRPr="00C83BDF" w:rsidRDefault="00E65183" w:rsidP="004737CD">
            <w:pPr>
              <w:keepNext/>
              <w:rPr>
                <w:lang w:val="es-ES_tradnl"/>
              </w:rPr>
            </w:pPr>
          </w:p>
          <w:p w:rsidR="00E65183" w:rsidRPr="00C83BDF" w:rsidRDefault="00E65183" w:rsidP="004737CD">
            <w:pPr>
              <w:keepNext/>
              <w:rPr>
                <w:lang w:val="es-ES_tradnl"/>
              </w:rPr>
            </w:pPr>
          </w:p>
          <w:p w:rsidR="00E65183" w:rsidRPr="00C83BDF" w:rsidRDefault="00644ACE" w:rsidP="00A5108E">
            <w:pPr>
              <w:pStyle w:val="Heading8"/>
              <w:keepNext/>
              <w:rPr>
                <w:lang w:val="es-ES_tradnl"/>
              </w:rPr>
            </w:pPr>
            <w:bookmarkStart w:id="45" w:name="_Toc431824238"/>
            <w:r w:rsidRPr="00C83BDF">
              <w:rPr>
                <w:lang w:val="es-ES_tradnl"/>
              </w:rPr>
              <w:t xml:space="preserve">b)  Publicación de la </w:t>
            </w:r>
            <w:r w:rsidRPr="00C83BDF">
              <w:rPr>
                <w:i w:val="0"/>
                <w:lang w:val="es-ES_tradnl"/>
              </w:rPr>
              <w:t>Gazette and Newsletter</w:t>
            </w:r>
            <w:r w:rsidRPr="00C83BDF">
              <w:rPr>
                <w:lang w:val="es-ES_tradnl"/>
              </w:rPr>
              <w:t xml:space="preserve"> de la UPOV</w:t>
            </w:r>
            <w:bookmarkEnd w:id="45"/>
          </w:p>
          <w:p w:rsidR="00E65183" w:rsidRPr="00C83BDF" w:rsidRDefault="00644ACE" w:rsidP="00A5108E">
            <w:pPr>
              <w:keepNext/>
              <w:keepLines/>
              <w:spacing w:after="120"/>
              <w:ind w:right="176"/>
              <w:jc w:val="left"/>
              <w:rPr>
                <w:color w:val="000000"/>
                <w:sz w:val="18"/>
                <w:szCs w:val="18"/>
                <w:lang w:val="es-ES_tradnl"/>
              </w:rPr>
            </w:pPr>
            <w:r w:rsidRPr="00C83BDF">
              <w:rPr>
                <w:color w:val="000000"/>
                <w:sz w:val="18"/>
                <w:szCs w:val="18"/>
                <w:lang w:val="es-ES_tradnl"/>
              </w:rPr>
              <w:t xml:space="preserve">En 2014 no se publicó ningún número de la </w:t>
            </w:r>
            <w:r w:rsidRPr="00C83BDF">
              <w:rPr>
                <w:i/>
                <w:color w:val="000000"/>
                <w:sz w:val="18"/>
                <w:szCs w:val="18"/>
                <w:lang w:val="es-ES_tradnl"/>
              </w:rPr>
              <w:t>Gazette and Newsletter</w:t>
            </w:r>
            <w:r w:rsidRPr="00C83BDF">
              <w:rPr>
                <w:color w:val="000000"/>
                <w:sz w:val="18"/>
                <w:szCs w:val="18"/>
                <w:lang w:val="es-ES_tradnl"/>
              </w:rPr>
              <w:t xml:space="preserve"> de la UPOV.</w:t>
            </w:r>
          </w:p>
          <w:p w:rsidR="00E65183" w:rsidRPr="00C83BDF" w:rsidRDefault="00E65183" w:rsidP="004737CD">
            <w:pPr>
              <w:keepNext/>
              <w:rPr>
                <w:color w:val="000000"/>
                <w:sz w:val="18"/>
                <w:szCs w:val="18"/>
                <w:lang w:val="es-ES_tradnl"/>
              </w:rPr>
            </w:pPr>
          </w:p>
          <w:p w:rsidR="00E65183" w:rsidRPr="00C83BDF" w:rsidRDefault="00E65183" w:rsidP="004737CD">
            <w:pPr>
              <w:keepNext/>
              <w:rPr>
                <w:color w:val="000000"/>
                <w:sz w:val="18"/>
                <w:szCs w:val="18"/>
                <w:lang w:val="es-ES_tradnl"/>
              </w:rPr>
            </w:pPr>
          </w:p>
          <w:p w:rsidR="00E65183" w:rsidRPr="00C83BDF" w:rsidRDefault="00644ACE" w:rsidP="00A5108E">
            <w:pPr>
              <w:pStyle w:val="Heading8"/>
              <w:keepNext/>
              <w:rPr>
                <w:szCs w:val="18"/>
                <w:lang w:val="es-ES_tradnl"/>
              </w:rPr>
            </w:pPr>
            <w:bookmarkStart w:id="46" w:name="_Toc431824239"/>
            <w:r w:rsidRPr="00C83BDF">
              <w:rPr>
                <w:szCs w:val="18"/>
                <w:lang w:val="es-ES_tradnl"/>
              </w:rPr>
              <w:t>c)  Inclusión de la legislación de los miembros de la Unión en la base de datos UPOV Lex</w:t>
            </w:r>
            <w:bookmarkEnd w:id="46"/>
          </w:p>
          <w:p w:rsidR="00E65183" w:rsidRPr="00C83BDF" w:rsidRDefault="00644ACE" w:rsidP="00A5108E">
            <w:pPr>
              <w:pStyle w:val="ListParagraph"/>
              <w:keepNext/>
              <w:keepLines/>
              <w:numPr>
                <w:ilvl w:val="0"/>
                <w:numId w:val="18"/>
              </w:numPr>
              <w:spacing w:after="120"/>
              <w:ind w:left="360" w:right="176"/>
              <w:jc w:val="left"/>
              <w:rPr>
                <w:sz w:val="18"/>
                <w:szCs w:val="18"/>
                <w:lang w:val="es-ES_tradnl"/>
              </w:rPr>
            </w:pPr>
            <w:r w:rsidRPr="00C83BDF">
              <w:rPr>
                <w:sz w:val="18"/>
                <w:szCs w:val="18"/>
                <w:lang w:val="es-ES_tradnl"/>
              </w:rPr>
              <w:t>Australia, Francia, Georgia, Lituania, OAPI, Panamá, Singapur</w:t>
            </w:r>
          </w:p>
          <w:p w:rsidR="00E65183" w:rsidRPr="00C83BDF" w:rsidRDefault="00E65183" w:rsidP="004737CD">
            <w:pPr>
              <w:keepNext/>
              <w:rPr>
                <w:sz w:val="18"/>
                <w:szCs w:val="18"/>
                <w:lang w:val="es-ES_tradnl"/>
              </w:rPr>
            </w:pPr>
          </w:p>
          <w:p w:rsidR="00E65183" w:rsidRPr="00C83BDF" w:rsidRDefault="00644ACE" w:rsidP="00A5108E">
            <w:pPr>
              <w:pStyle w:val="Heading8"/>
              <w:rPr>
                <w:lang w:val="es-ES_tradnl"/>
              </w:rPr>
            </w:pPr>
            <w:bookmarkStart w:id="47" w:name="_Toc431824240"/>
            <w:r w:rsidRPr="00C83BDF">
              <w:rPr>
                <w:lang w:val="es-ES_tradnl"/>
              </w:rPr>
              <w:t>Base de datos UPOV Lex:</w:t>
            </w:r>
            <w:r w:rsidR="00E65183" w:rsidRPr="00C83BDF">
              <w:rPr>
                <w:lang w:val="es-ES_tradnl"/>
              </w:rPr>
              <w:t xml:space="preserve">  </w:t>
            </w:r>
            <w:r w:rsidRPr="00C83BDF">
              <w:rPr>
                <w:lang w:val="es-ES_tradnl"/>
              </w:rPr>
              <w:t>visitas al sitio web de la UPOV en 2014</w:t>
            </w:r>
            <w:bookmarkEnd w:id="47"/>
          </w:p>
        </w:tc>
      </w:tr>
      <w:tr w:rsidR="00E65183" w:rsidRPr="00C83BDF">
        <w:tc>
          <w:tcPr>
            <w:tcW w:w="1951" w:type="dxa"/>
            <w:shd w:val="clear" w:color="auto" w:fill="auto"/>
          </w:tcPr>
          <w:p w:rsidR="00E65183" w:rsidRPr="00C83BDF" w:rsidRDefault="00E65183" w:rsidP="004737CD">
            <w:pPr>
              <w:jc w:val="left"/>
              <w:rPr>
                <w:i/>
                <w:sz w:val="18"/>
                <w:szCs w:val="18"/>
                <w:lang w:val="es-ES_tradnl"/>
              </w:rPr>
            </w:pPr>
          </w:p>
        </w:tc>
        <w:tc>
          <w:tcPr>
            <w:tcW w:w="4253" w:type="dxa"/>
            <w:shd w:val="clear" w:color="auto" w:fill="auto"/>
          </w:tcPr>
          <w:p w:rsidR="00E65183" w:rsidRPr="00C83BDF" w:rsidRDefault="00441006" w:rsidP="00AC7AF0">
            <w:pPr>
              <w:tabs>
                <w:tab w:val="left" w:pos="1168"/>
              </w:tabs>
              <w:spacing w:after="60"/>
              <w:jc w:val="left"/>
              <w:rPr>
                <w:sz w:val="18"/>
                <w:szCs w:val="18"/>
                <w:lang w:val="es-ES_tradnl"/>
              </w:rPr>
            </w:pPr>
            <w:r w:rsidRPr="00C83BDF">
              <w:rPr>
                <w:sz w:val="18"/>
                <w:szCs w:val="18"/>
                <w:lang w:val="es-ES_tradnl"/>
              </w:rPr>
              <w:t>Páginas vistas:</w:t>
            </w:r>
            <w:r w:rsidR="00E65183" w:rsidRPr="00C83BDF">
              <w:rPr>
                <w:sz w:val="18"/>
                <w:szCs w:val="18"/>
                <w:lang w:val="es-ES_tradnl"/>
              </w:rPr>
              <w:t xml:space="preserve">  </w:t>
            </w:r>
            <w:r w:rsidR="00E65183" w:rsidRPr="00C83BDF">
              <w:rPr>
                <w:sz w:val="18"/>
                <w:szCs w:val="22"/>
                <w:lang w:val="es-ES_tradnl"/>
              </w:rPr>
              <w:t>8</w:t>
            </w:r>
            <w:r w:rsidR="00644ACE" w:rsidRPr="00C83BDF">
              <w:rPr>
                <w:sz w:val="18"/>
                <w:szCs w:val="22"/>
                <w:lang w:val="es-ES_tradnl"/>
              </w:rPr>
              <w:t>8.3</w:t>
            </w:r>
            <w:r w:rsidR="00E65183" w:rsidRPr="00C83BDF">
              <w:rPr>
                <w:sz w:val="18"/>
                <w:szCs w:val="22"/>
                <w:lang w:val="es-ES_tradnl"/>
              </w:rPr>
              <w:t>05</w:t>
            </w:r>
            <w:r w:rsidR="00E65183" w:rsidRPr="00C83BDF">
              <w:rPr>
                <w:sz w:val="18"/>
                <w:szCs w:val="22"/>
                <w:lang w:val="es-ES_tradnl"/>
              </w:rPr>
              <w:br/>
            </w:r>
            <w:r w:rsidR="00E65183" w:rsidRPr="00C83BDF">
              <w:rPr>
                <w:sz w:val="18"/>
                <w:szCs w:val="22"/>
                <w:lang w:val="es-ES_tradnl"/>
              </w:rPr>
              <w:tab/>
            </w:r>
            <w:r w:rsidRPr="00C83BDF">
              <w:rPr>
                <w:sz w:val="18"/>
                <w:szCs w:val="18"/>
                <w:lang w:val="es-ES_tradnl"/>
              </w:rPr>
              <w:t xml:space="preserve">(88.533 en 2013; </w:t>
            </w:r>
            <w:r w:rsidR="00AC7AF0" w:rsidRPr="00C83BDF">
              <w:rPr>
                <w:sz w:val="18"/>
                <w:szCs w:val="18"/>
                <w:lang w:val="es-ES_tradnl"/>
              </w:rPr>
              <w:t xml:space="preserve"> </w:t>
            </w:r>
            <w:r w:rsidRPr="00C83BDF">
              <w:rPr>
                <w:sz w:val="18"/>
                <w:szCs w:val="18"/>
                <w:lang w:val="es-ES_tradnl"/>
              </w:rPr>
              <w:t>91.245 en 2012)</w:t>
            </w:r>
          </w:p>
          <w:p w:rsidR="00E65183" w:rsidRPr="00C83BDF" w:rsidRDefault="00E65183" w:rsidP="004737CD">
            <w:pPr>
              <w:tabs>
                <w:tab w:val="left" w:pos="1310"/>
              </w:tabs>
              <w:spacing w:after="60"/>
              <w:rPr>
                <w:sz w:val="18"/>
                <w:szCs w:val="18"/>
                <w:lang w:val="es-ES_tradnl"/>
              </w:rPr>
            </w:pPr>
          </w:p>
          <w:p w:rsidR="00E65183" w:rsidRPr="00C83BDF" w:rsidRDefault="00441006" w:rsidP="00AC7AF0">
            <w:pPr>
              <w:tabs>
                <w:tab w:val="left" w:pos="1168"/>
              </w:tabs>
              <w:jc w:val="left"/>
              <w:rPr>
                <w:sz w:val="18"/>
                <w:szCs w:val="18"/>
                <w:lang w:val="es-ES_tradnl"/>
              </w:rPr>
            </w:pPr>
            <w:r w:rsidRPr="00C83BDF">
              <w:rPr>
                <w:sz w:val="18"/>
                <w:szCs w:val="18"/>
                <w:lang w:val="es-ES_tradnl"/>
              </w:rPr>
              <w:t>Páginas vistas</w:t>
            </w:r>
            <w:r w:rsidR="00AC7AF0" w:rsidRPr="00C83BDF">
              <w:rPr>
                <w:sz w:val="18"/>
                <w:szCs w:val="18"/>
                <w:lang w:val="es-ES_tradnl"/>
              </w:rPr>
              <w:t xml:space="preserve"> </w:t>
            </w:r>
            <w:r w:rsidRPr="00C83BDF">
              <w:rPr>
                <w:sz w:val="18"/>
                <w:szCs w:val="18"/>
                <w:lang w:val="es-ES_tradnl"/>
              </w:rPr>
              <w:t>únicas</w:t>
            </w:r>
            <w:r w:rsidR="00C16BBE" w:rsidRPr="00C83BDF">
              <w:rPr>
                <w:sz w:val="18"/>
                <w:szCs w:val="18"/>
                <w:lang w:val="es-ES_tradnl"/>
              </w:rPr>
              <w:t>:</w:t>
            </w:r>
            <w:r w:rsidR="00AC7AF0" w:rsidRPr="00C83BDF">
              <w:rPr>
                <w:sz w:val="18"/>
                <w:szCs w:val="18"/>
                <w:lang w:val="es-ES_tradnl"/>
              </w:rPr>
              <w:t xml:space="preserve">  </w:t>
            </w:r>
            <w:r w:rsidR="00E65183" w:rsidRPr="00C83BDF">
              <w:rPr>
                <w:sz w:val="18"/>
                <w:szCs w:val="22"/>
                <w:lang w:val="es-ES_tradnl"/>
              </w:rPr>
              <w:t>6</w:t>
            </w:r>
            <w:r w:rsidR="00644ACE" w:rsidRPr="00C83BDF">
              <w:rPr>
                <w:sz w:val="18"/>
                <w:szCs w:val="22"/>
                <w:lang w:val="es-ES_tradnl"/>
              </w:rPr>
              <w:t>0.4</w:t>
            </w:r>
            <w:r w:rsidR="00E65183" w:rsidRPr="00C83BDF">
              <w:rPr>
                <w:sz w:val="18"/>
                <w:szCs w:val="22"/>
                <w:lang w:val="es-ES_tradnl"/>
              </w:rPr>
              <w:t>39</w:t>
            </w:r>
            <w:r w:rsidR="00E65183" w:rsidRPr="00C83BDF">
              <w:rPr>
                <w:sz w:val="18"/>
                <w:szCs w:val="22"/>
                <w:lang w:val="es-ES_tradnl"/>
              </w:rPr>
              <w:br/>
            </w:r>
            <w:r w:rsidR="00E65183" w:rsidRPr="00C83BDF">
              <w:rPr>
                <w:sz w:val="18"/>
                <w:szCs w:val="22"/>
                <w:lang w:val="es-ES_tradnl"/>
              </w:rPr>
              <w:tab/>
            </w:r>
            <w:r w:rsidRPr="00C83BDF">
              <w:rPr>
                <w:sz w:val="18"/>
                <w:szCs w:val="18"/>
                <w:lang w:val="es-ES_tradnl"/>
              </w:rPr>
              <w:t xml:space="preserve">(61.230 en 2013; </w:t>
            </w:r>
            <w:r w:rsidR="00C16BBE" w:rsidRPr="00C83BDF">
              <w:rPr>
                <w:sz w:val="18"/>
                <w:szCs w:val="18"/>
                <w:lang w:val="es-ES_tradnl"/>
              </w:rPr>
              <w:t xml:space="preserve"> </w:t>
            </w:r>
            <w:r w:rsidRPr="00C83BDF">
              <w:rPr>
                <w:sz w:val="18"/>
                <w:szCs w:val="18"/>
                <w:lang w:val="es-ES_tradnl"/>
              </w:rPr>
              <w:t>62.411 en 2012)</w:t>
            </w:r>
          </w:p>
          <w:p w:rsidR="00E65183" w:rsidRPr="00C83BDF" w:rsidRDefault="00E65183" w:rsidP="004737CD">
            <w:pPr>
              <w:rPr>
                <w:lang w:val="es-ES_tradnl"/>
              </w:rPr>
            </w:pPr>
          </w:p>
          <w:p w:rsidR="00E65183" w:rsidRDefault="00E65183" w:rsidP="004737CD">
            <w:pPr>
              <w:rPr>
                <w:lang w:val="es-ES_tradnl"/>
              </w:rPr>
            </w:pPr>
          </w:p>
          <w:p w:rsidR="00880FEB" w:rsidRPr="00C83BDF" w:rsidRDefault="00880FEB" w:rsidP="004737CD">
            <w:pPr>
              <w:rPr>
                <w:lang w:val="es-ES_tradnl"/>
              </w:rPr>
            </w:pPr>
          </w:p>
        </w:tc>
        <w:tc>
          <w:tcPr>
            <w:tcW w:w="3685" w:type="dxa"/>
            <w:shd w:val="clear" w:color="auto" w:fill="auto"/>
          </w:tcPr>
          <w:tbl>
            <w:tblPr>
              <w:tblW w:w="3349" w:type="dxa"/>
              <w:tblInd w:w="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40"/>
              <w:gridCol w:w="1134"/>
              <w:gridCol w:w="1275"/>
            </w:tblGrid>
            <w:tr w:rsidR="00E65183" w:rsidRPr="00C83BDF" w:rsidTr="00880FEB">
              <w:tc>
                <w:tcPr>
                  <w:tcW w:w="940" w:type="dxa"/>
                </w:tcPr>
                <w:p w:rsidR="00E65183" w:rsidRPr="00C83BDF" w:rsidRDefault="00441006" w:rsidP="004737CD">
                  <w:pPr>
                    <w:autoSpaceDE w:val="0"/>
                    <w:autoSpaceDN w:val="0"/>
                    <w:adjustRightInd w:val="0"/>
                    <w:jc w:val="center"/>
                    <w:rPr>
                      <w:rFonts w:cs="Arial"/>
                      <w:color w:val="000000"/>
                      <w:sz w:val="18"/>
                      <w:szCs w:val="22"/>
                      <w:lang w:val="es-ES_tradnl"/>
                    </w:rPr>
                  </w:pPr>
                  <w:r w:rsidRPr="00C83BDF">
                    <w:rPr>
                      <w:rFonts w:cs="Arial"/>
                      <w:bCs/>
                      <w:sz w:val="18"/>
                      <w:szCs w:val="22"/>
                      <w:lang w:val="es-ES_tradnl"/>
                    </w:rPr>
                    <w:t>Idioma</w:t>
                  </w:r>
                </w:p>
              </w:tc>
              <w:tc>
                <w:tcPr>
                  <w:tcW w:w="1134" w:type="dxa"/>
                </w:tcPr>
                <w:p w:rsidR="00E65183" w:rsidRPr="00C83BDF" w:rsidRDefault="00441006" w:rsidP="004737CD">
                  <w:pPr>
                    <w:autoSpaceDE w:val="0"/>
                    <w:autoSpaceDN w:val="0"/>
                    <w:adjustRightInd w:val="0"/>
                    <w:jc w:val="center"/>
                    <w:rPr>
                      <w:rFonts w:cs="Arial"/>
                      <w:color w:val="000000"/>
                      <w:sz w:val="18"/>
                      <w:szCs w:val="22"/>
                      <w:lang w:val="es-ES_tradnl"/>
                    </w:rPr>
                  </w:pPr>
                  <w:r w:rsidRPr="00C83BDF">
                    <w:rPr>
                      <w:rFonts w:cs="Arial"/>
                      <w:bCs/>
                      <w:sz w:val="18"/>
                      <w:szCs w:val="22"/>
                      <w:lang w:val="es-ES_tradnl"/>
                    </w:rPr>
                    <w:t>Páginas vistas</w:t>
                  </w:r>
                </w:p>
              </w:tc>
              <w:tc>
                <w:tcPr>
                  <w:tcW w:w="1275" w:type="dxa"/>
                </w:tcPr>
                <w:p w:rsidR="00E65183" w:rsidRPr="00C83BDF" w:rsidRDefault="00441006" w:rsidP="004737CD">
                  <w:pPr>
                    <w:autoSpaceDE w:val="0"/>
                    <w:autoSpaceDN w:val="0"/>
                    <w:adjustRightInd w:val="0"/>
                    <w:jc w:val="center"/>
                    <w:rPr>
                      <w:rFonts w:cs="Arial"/>
                      <w:bCs/>
                      <w:color w:val="000000"/>
                      <w:sz w:val="18"/>
                      <w:szCs w:val="22"/>
                      <w:lang w:val="es-ES_tradnl"/>
                    </w:rPr>
                  </w:pPr>
                  <w:r w:rsidRPr="00C83BDF">
                    <w:rPr>
                      <w:rFonts w:cs="Arial"/>
                      <w:bCs/>
                      <w:sz w:val="18"/>
                      <w:szCs w:val="22"/>
                      <w:lang w:val="es-ES_tradnl"/>
                    </w:rPr>
                    <w:t>Páginas vistas únicas</w:t>
                  </w:r>
                </w:p>
                <w:p w:rsidR="00E65183" w:rsidRPr="00C83BDF" w:rsidRDefault="00E65183" w:rsidP="004737CD">
                  <w:pPr>
                    <w:autoSpaceDE w:val="0"/>
                    <w:autoSpaceDN w:val="0"/>
                    <w:adjustRightInd w:val="0"/>
                    <w:jc w:val="center"/>
                    <w:rPr>
                      <w:rFonts w:cs="Arial"/>
                      <w:color w:val="000000"/>
                      <w:sz w:val="18"/>
                      <w:szCs w:val="22"/>
                      <w:lang w:val="es-ES_tradnl"/>
                    </w:rPr>
                  </w:pPr>
                </w:p>
              </w:tc>
            </w:tr>
            <w:tr w:rsidR="00E65183" w:rsidRPr="00C83BDF" w:rsidTr="00880FEB">
              <w:tc>
                <w:tcPr>
                  <w:tcW w:w="940" w:type="dxa"/>
                </w:tcPr>
                <w:p w:rsidR="00E65183" w:rsidRPr="00C83BDF" w:rsidRDefault="00441006" w:rsidP="004737CD">
                  <w:pPr>
                    <w:autoSpaceDE w:val="0"/>
                    <w:autoSpaceDN w:val="0"/>
                    <w:adjustRightInd w:val="0"/>
                    <w:jc w:val="left"/>
                    <w:rPr>
                      <w:rFonts w:cs="Arial"/>
                      <w:color w:val="000000"/>
                      <w:sz w:val="18"/>
                      <w:szCs w:val="22"/>
                      <w:lang w:val="es-ES_tradnl"/>
                    </w:rPr>
                  </w:pPr>
                  <w:r w:rsidRPr="00C83BDF">
                    <w:rPr>
                      <w:rFonts w:cs="Arial"/>
                      <w:sz w:val="18"/>
                      <w:szCs w:val="22"/>
                      <w:lang w:val="es-ES_tradnl"/>
                    </w:rPr>
                    <w:t>Inglés</w:t>
                  </w:r>
                  <w:r w:rsidR="00E65183" w:rsidRPr="00C83BDF">
                    <w:rPr>
                      <w:rFonts w:cs="Arial"/>
                      <w:color w:val="000000"/>
                      <w:sz w:val="18"/>
                      <w:szCs w:val="22"/>
                      <w:lang w:val="es-ES_tradnl"/>
                    </w:rPr>
                    <w:t xml:space="preserve"> </w:t>
                  </w:r>
                </w:p>
              </w:tc>
              <w:tc>
                <w:tcPr>
                  <w:tcW w:w="1134" w:type="dxa"/>
                </w:tcPr>
                <w:p w:rsidR="00E65183" w:rsidRPr="00C83BDF" w:rsidRDefault="00E65183" w:rsidP="00880FEB">
                  <w:pPr>
                    <w:pStyle w:val="Default"/>
                    <w:ind w:right="57"/>
                    <w:jc w:val="right"/>
                    <w:rPr>
                      <w:sz w:val="18"/>
                      <w:szCs w:val="18"/>
                      <w:lang w:val="es-ES_tradnl"/>
                    </w:rPr>
                  </w:pPr>
                  <w:r w:rsidRPr="00C83BDF">
                    <w:rPr>
                      <w:sz w:val="18"/>
                      <w:szCs w:val="18"/>
                      <w:lang w:val="es-ES_tradnl"/>
                    </w:rPr>
                    <w:t>5</w:t>
                  </w:r>
                  <w:r w:rsidR="00644ACE" w:rsidRPr="00C83BDF">
                    <w:rPr>
                      <w:sz w:val="18"/>
                      <w:szCs w:val="18"/>
                      <w:lang w:val="es-ES_tradnl"/>
                    </w:rPr>
                    <w:t>9.5</w:t>
                  </w:r>
                  <w:r w:rsidRPr="00C83BDF">
                    <w:rPr>
                      <w:sz w:val="18"/>
                      <w:szCs w:val="18"/>
                      <w:lang w:val="es-ES_tradnl"/>
                    </w:rPr>
                    <w:t>67</w:t>
                  </w:r>
                </w:p>
              </w:tc>
              <w:tc>
                <w:tcPr>
                  <w:tcW w:w="1275" w:type="dxa"/>
                </w:tcPr>
                <w:p w:rsidR="00E65183" w:rsidRPr="00C83BDF" w:rsidRDefault="00E65183" w:rsidP="00880FEB">
                  <w:pPr>
                    <w:pStyle w:val="Default"/>
                    <w:ind w:right="57"/>
                    <w:jc w:val="right"/>
                    <w:rPr>
                      <w:sz w:val="18"/>
                      <w:szCs w:val="18"/>
                      <w:lang w:val="es-ES_tradnl"/>
                    </w:rPr>
                  </w:pPr>
                  <w:r w:rsidRPr="00C83BDF">
                    <w:rPr>
                      <w:sz w:val="18"/>
                      <w:szCs w:val="18"/>
                      <w:lang w:val="es-ES_tradnl"/>
                    </w:rPr>
                    <w:t>4</w:t>
                  </w:r>
                  <w:r w:rsidR="00644ACE" w:rsidRPr="00C83BDF">
                    <w:rPr>
                      <w:sz w:val="18"/>
                      <w:szCs w:val="18"/>
                      <w:lang w:val="es-ES_tradnl"/>
                    </w:rPr>
                    <w:t>0.7</w:t>
                  </w:r>
                  <w:r w:rsidRPr="00C83BDF">
                    <w:rPr>
                      <w:sz w:val="18"/>
                      <w:szCs w:val="18"/>
                      <w:lang w:val="es-ES_tradnl"/>
                    </w:rPr>
                    <w:t>47</w:t>
                  </w:r>
                </w:p>
              </w:tc>
            </w:tr>
            <w:tr w:rsidR="00E65183" w:rsidRPr="00C83BDF" w:rsidTr="00880FEB">
              <w:tc>
                <w:tcPr>
                  <w:tcW w:w="940" w:type="dxa"/>
                </w:tcPr>
                <w:p w:rsidR="00E65183" w:rsidRPr="00C83BDF" w:rsidRDefault="00441006" w:rsidP="004737CD">
                  <w:pPr>
                    <w:autoSpaceDE w:val="0"/>
                    <w:autoSpaceDN w:val="0"/>
                    <w:adjustRightInd w:val="0"/>
                    <w:jc w:val="left"/>
                    <w:rPr>
                      <w:rFonts w:cs="Arial"/>
                      <w:color w:val="000000"/>
                      <w:sz w:val="18"/>
                      <w:szCs w:val="22"/>
                      <w:lang w:val="es-ES_tradnl"/>
                    </w:rPr>
                  </w:pPr>
                  <w:r w:rsidRPr="00C83BDF">
                    <w:rPr>
                      <w:rFonts w:cs="Arial"/>
                      <w:sz w:val="18"/>
                      <w:szCs w:val="22"/>
                      <w:lang w:val="es-ES_tradnl"/>
                    </w:rPr>
                    <w:t>Español</w:t>
                  </w:r>
                  <w:r w:rsidR="00E65183" w:rsidRPr="00C83BDF">
                    <w:rPr>
                      <w:rFonts w:cs="Arial"/>
                      <w:color w:val="000000"/>
                      <w:sz w:val="18"/>
                      <w:szCs w:val="22"/>
                      <w:lang w:val="es-ES_tradnl"/>
                    </w:rPr>
                    <w:t xml:space="preserve"> </w:t>
                  </w:r>
                </w:p>
              </w:tc>
              <w:tc>
                <w:tcPr>
                  <w:tcW w:w="1134" w:type="dxa"/>
                </w:tcPr>
                <w:p w:rsidR="00E65183" w:rsidRPr="00C83BDF" w:rsidRDefault="00E65183" w:rsidP="00880FEB">
                  <w:pPr>
                    <w:pStyle w:val="Default"/>
                    <w:ind w:right="57"/>
                    <w:jc w:val="right"/>
                    <w:rPr>
                      <w:sz w:val="18"/>
                      <w:szCs w:val="18"/>
                      <w:lang w:val="es-ES_tradnl"/>
                    </w:rPr>
                  </w:pPr>
                  <w:r w:rsidRPr="00C83BDF">
                    <w:rPr>
                      <w:sz w:val="18"/>
                      <w:szCs w:val="18"/>
                      <w:lang w:val="es-ES_tradnl"/>
                    </w:rPr>
                    <w:t>1</w:t>
                  </w:r>
                  <w:r w:rsidR="00644ACE" w:rsidRPr="00C83BDF">
                    <w:rPr>
                      <w:sz w:val="18"/>
                      <w:szCs w:val="18"/>
                      <w:lang w:val="es-ES_tradnl"/>
                    </w:rPr>
                    <w:t>8.5</w:t>
                  </w:r>
                  <w:r w:rsidRPr="00C83BDF">
                    <w:rPr>
                      <w:sz w:val="18"/>
                      <w:szCs w:val="18"/>
                      <w:lang w:val="es-ES_tradnl"/>
                    </w:rPr>
                    <w:t>63</w:t>
                  </w:r>
                </w:p>
              </w:tc>
              <w:tc>
                <w:tcPr>
                  <w:tcW w:w="1275" w:type="dxa"/>
                </w:tcPr>
                <w:p w:rsidR="00E65183" w:rsidRPr="00C83BDF" w:rsidRDefault="00E65183" w:rsidP="00880FEB">
                  <w:pPr>
                    <w:pStyle w:val="Default"/>
                    <w:ind w:right="57"/>
                    <w:jc w:val="right"/>
                    <w:rPr>
                      <w:sz w:val="18"/>
                      <w:szCs w:val="18"/>
                      <w:lang w:val="es-ES_tradnl"/>
                    </w:rPr>
                  </w:pPr>
                  <w:r w:rsidRPr="00C83BDF">
                    <w:rPr>
                      <w:sz w:val="18"/>
                      <w:szCs w:val="18"/>
                      <w:lang w:val="es-ES_tradnl"/>
                    </w:rPr>
                    <w:t>1</w:t>
                  </w:r>
                  <w:r w:rsidR="00644ACE" w:rsidRPr="00C83BDF">
                    <w:rPr>
                      <w:sz w:val="18"/>
                      <w:szCs w:val="18"/>
                      <w:lang w:val="es-ES_tradnl"/>
                    </w:rPr>
                    <w:t>2.5</w:t>
                  </w:r>
                  <w:r w:rsidRPr="00C83BDF">
                    <w:rPr>
                      <w:sz w:val="18"/>
                      <w:szCs w:val="18"/>
                      <w:lang w:val="es-ES_tradnl"/>
                    </w:rPr>
                    <w:t>05</w:t>
                  </w:r>
                </w:p>
              </w:tc>
            </w:tr>
            <w:tr w:rsidR="00E65183" w:rsidRPr="00C83BDF" w:rsidTr="00880FEB">
              <w:tc>
                <w:tcPr>
                  <w:tcW w:w="940" w:type="dxa"/>
                </w:tcPr>
                <w:p w:rsidR="00E65183" w:rsidRPr="00C83BDF" w:rsidRDefault="00441006" w:rsidP="004737CD">
                  <w:pPr>
                    <w:autoSpaceDE w:val="0"/>
                    <w:autoSpaceDN w:val="0"/>
                    <w:adjustRightInd w:val="0"/>
                    <w:jc w:val="left"/>
                    <w:rPr>
                      <w:rFonts w:cs="Arial"/>
                      <w:color w:val="000000"/>
                      <w:sz w:val="18"/>
                      <w:szCs w:val="22"/>
                      <w:lang w:val="es-ES_tradnl"/>
                    </w:rPr>
                  </w:pPr>
                  <w:r w:rsidRPr="00C83BDF">
                    <w:rPr>
                      <w:rFonts w:cs="Arial"/>
                      <w:sz w:val="18"/>
                      <w:szCs w:val="22"/>
                      <w:lang w:val="es-ES_tradnl"/>
                    </w:rPr>
                    <w:t>Francés</w:t>
                  </w:r>
                  <w:r w:rsidR="00E65183" w:rsidRPr="00C83BDF">
                    <w:rPr>
                      <w:rFonts w:cs="Arial"/>
                      <w:color w:val="000000"/>
                      <w:sz w:val="18"/>
                      <w:szCs w:val="22"/>
                      <w:lang w:val="es-ES_tradnl"/>
                    </w:rPr>
                    <w:t xml:space="preserve"> </w:t>
                  </w:r>
                </w:p>
              </w:tc>
              <w:tc>
                <w:tcPr>
                  <w:tcW w:w="1134" w:type="dxa"/>
                </w:tcPr>
                <w:p w:rsidR="00E65183" w:rsidRPr="00C83BDF" w:rsidRDefault="00644ACE" w:rsidP="00880FEB">
                  <w:pPr>
                    <w:pStyle w:val="Default"/>
                    <w:ind w:right="57"/>
                    <w:jc w:val="right"/>
                    <w:rPr>
                      <w:sz w:val="18"/>
                      <w:szCs w:val="18"/>
                      <w:lang w:val="es-ES_tradnl"/>
                    </w:rPr>
                  </w:pPr>
                  <w:r w:rsidRPr="00C83BDF">
                    <w:rPr>
                      <w:sz w:val="18"/>
                      <w:szCs w:val="18"/>
                      <w:lang w:val="es-ES_tradnl"/>
                    </w:rPr>
                    <w:t>6.6</w:t>
                  </w:r>
                  <w:r w:rsidR="00E65183" w:rsidRPr="00C83BDF">
                    <w:rPr>
                      <w:sz w:val="18"/>
                      <w:szCs w:val="18"/>
                      <w:lang w:val="es-ES_tradnl"/>
                    </w:rPr>
                    <w:t>64</w:t>
                  </w:r>
                </w:p>
              </w:tc>
              <w:tc>
                <w:tcPr>
                  <w:tcW w:w="1275" w:type="dxa"/>
                </w:tcPr>
                <w:p w:rsidR="00E65183" w:rsidRPr="00C83BDF" w:rsidRDefault="00644ACE" w:rsidP="00880FEB">
                  <w:pPr>
                    <w:pStyle w:val="Default"/>
                    <w:ind w:right="57"/>
                    <w:jc w:val="right"/>
                    <w:rPr>
                      <w:sz w:val="18"/>
                      <w:szCs w:val="18"/>
                      <w:lang w:val="es-ES_tradnl"/>
                    </w:rPr>
                  </w:pPr>
                  <w:r w:rsidRPr="00C83BDF">
                    <w:rPr>
                      <w:sz w:val="18"/>
                      <w:szCs w:val="18"/>
                      <w:lang w:val="es-ES_tradnl"/>
                    </w:rPr>
                    <w:t>4.7</w:t>
                  </w:r>
                  <w:r w:rsidR="00E65183" w:rsidRPr="00C83BDF">
                    <w:rPr>
                      <w:sz w:val="18"/>
                      <w:szCs w:val="18"/>
                      <w:lang w:val="es-ES_tradnl"/>
                    </w:rPr>
                    <w:t>67</w:t>
                  </w:r>
                </w:p>
              </w:tc>
            </w:tr>
            <w:tr w:rsidR="00E65183" w:rsidRPr="00C83BDF" w:rsidTr="00880FEB">
              <w:tc>
                <w:tcPr>
                  <w:tcW w:w="940" w:type="dxa"/>
                </w:tcPr>
                <w:p w:rsidR="00E65183" w:rsidRPr="00C83BDF" w:rsidRDefault="00441006" w:rsidP="004737CD">
                  <w:pPr>
                    <w:autoSpaceDE w:val="0"/>
                    <w:autoSpaceDN w:val="0"/>
                    <w:adjustRightInd w:val="0"/>
                    <w:jc w:val="left"/>
                    <w:rPr>
                      <w:rFonts w:cs="Arial"/>
                      <w:color w:val="000000"/>
                      <w:sz w:val="18"/>
                      <w:szCs w:val="22"/>
                      <w:lang w:val="es-ES_tradnl"/>
                    </w:rPr>
                  </w:pPr>
                  <w:r w:rsidRPr="00C83BDF">
                    <w:rPr>
                      <w:rFonts w:cs="Arial"/>
                      <w:sz w:val="18"/>
                      <w:szCs w:val="22"/>
                      <w:lang w:val="es-ES_tradnl"/>
                    </w:rPr>
                    <w:t>Alemán</w:t>
                  </w:r>
                  <w:r w:rsidR="00E65183" w:rsidRPr="00C83BDF">
                    <w:rPr>
                      <w:rFonts w:cs="Arial"/>
                      <w:color w:val="000000"/>
                      <w:sz w:val="18"/>
                      <w:szCs w:val="22"/>
                      <w:lang w:val="es-ES_tradnl"/>
                    </w:rPr>
                    <w:t xml:space="preserve"> </w:t>
                  </w:r>
                </w:p>
              </w:tc>
              <w:tc>
                <w:tcPr>
                  <w:tcW w:w="1134" w:type="dxa"/>
                </w:tcPr>
                <w:p w:rsidR="00E65183" w:rsidRPr="00C83BDF" w:rsidRDefault="00644ACE" w:rsidP="00880FEB">
                  <w:pPr>
                    <w:pStyle w:val="Default"/>
                    <w:ind w:right="57"/>
                    <w:jc w:val="right"/>
                    <w:rPr>
                      <w:sz w:val="18"/>
                      <w:szCs w:val="18"/>
                      <w:lang w:val="es-ES_tradnl"/>
                    </w:rPr>
                  </w:pPr>
                  <w:r w:rsidRPr="00C83BDF">
                    <w:rPr>
                      <w:sz w:val="18"/>
                      <w:szCs w:val="18"/>
                      <w:lang w:val="es-ES_tradnl"/>
                    </w:rPr>
                    <w:t>3.4</w:t>
                  </w:r>
                  <w:r w:rsidR="00E65183" w:rsidRPr="00C83BDF">
                    <w:rPr>
                      <w:sz w:val="18"/>
                      <w:szCs w:val="18"/>
                      <w:lang w:val="es-ES_tradnl"/>
                    </w:rPr>
                    <w:t>78</w:t>
                  </w:r>
                </w:p>
              </w:tc>
              <w:tc>
                <w:tcPr>
                  <w:tcW w:w="1275" w:type="dxa"/>
                </w:tcPr>
                <w:p w:rsidR="00E65183" w:rsidRPr="00C83BDF" w:rsidRDefault="00644ACE" w:rsidP="00880FEB">
                  <w:pPr>
                    <w:pStyle w:val="Default"/>
                    <w:ind w:right="57"/>
                    <w:jc w:val="right"/>
                    <w:rPr>
                      <w:sz w:val="18"/>
                      <w:szCs w:val="18"/>
                      <w:lang w:val="es-ES_tradnl"/>
                    </w:rPr>
                  </w:pPr>
                  <w:r w:rsidRPr="00C83BDF">
                    <w:rPr>
                      <w:sz w:val="18"/>
                      <w:szCs w:val="18"/>
                      <w:lang w:val="es-ES_tradnl"/>
                    </w:rPr>
                    <w:t>2.3</w:t>
                  </w:r>
                  <w:r w:rsidR="00E65183" w:rsidRPr="00C83BDF">
                    <w:rPr>
                      <w:sz w:val="18"/>
                      <w:szCs w:val="18"/>
                      <w:lang w:val="es-ES_tradnl"/>
                    </w:rPr>
                    <w:t>94</w:t>
                  </w:r>
                </w:p>
              </w:tc>
            </w:tr>
          </w:tbl>
          <w:p w:rsidR="00E65183" w:rsidRPr="00C83BDF" w:rsidRDefault="00E65183" w:rsidP="004737CD">
            <w:pPr>
              <w:rPr>
                <w:lang w:val="es-ES_tradnl"/>
              </w:rPr>
            </w:pPr>
          </w:p>
        </w:tc>
      </w:tr>
      <w:tr w:rsidR="00E65183" w:rsidRPr="00C83BDF">
        <w:tc>
          <w:tcPr>
            <w:tcW w:w="1951" w:type="dxa"/>
            <w:shd w:val="clear" w:color="auto" w:fill="auto"/>
          </w:tcPr>
          <w:p w:rsidR="00E65183" w:rsidRPr="00C83BDF" w:rsidRDefault="00E65183" w:rsidP="004737CD">
            <w:pPr>
              <w:jc w:val="left"/>
              <w:rPr>
                <w:i/>
                <w:sz w:val="18"/>
                <w:szCs w:val="18"/>
                <w:lang w:val="es-ES_tradnl"/>
              </w:rPr>
            </w:pPr>
          </w:p>
        </w:tc>
        <w:tc>
          <w:tcPr>
            <w:tcW w:w="7938" w:type="dxa"/>
            <w:gridSpan w:val="2"/>
            <w:shd w:val="clear" w:color="auto" w:fill="auto"/>
          </w:tcPr>
          <w:p w:rsidR="00E65183" w:rsidRPr="00C83BDF" w:rsidRDefault="00441006" w:rsidP="00A5108E">
            <w:pPr>
              <w:pStyle w:val="Heading8"/>
              <w:keepNext/>
              <w:rPr>
                <w:i w:val="0"/>
                <w:szCs w:val="18"/>
                <w:lang w:val="es-ES_tradnl"/>
              </w:rPr>
            </w:pPr>
            <w:bookmarkStart w:id="48" w:name="_Toc431824241"/>
            <w:r w:rsidRPr="00C83BDF">
              <w:rPr>
                <w:szCs w:val="18"/>
                <w:lang w:val="es-ES_tradnl"/>
              </w:rPr>
              <w:t>d)  Participación en seminarios y simposios celebrados en Ginebra en paralelo con las sesiones de los órganos de la UPOV</w:t>
            </w:r>
            <w:bookmarkEnd w:id="48"/>
          </w:p>
          <w:p w:rsidR="00E65183" w:rsidRPr="00C83BDF" w:rsidRDefault="001476DC" w:rsidP="004737CD">
            <w:pPr>
              <w:jc w:val="left"/>
              <w:rPr>
                <w:i/>
                <w:color w:val="000000"/>
                <w:sz w:val="18"/>
                <w:szCs w:val="18"/>
                <w:highlight w:val="yellow"/>
                <w:lang w:val="es-ES_tradnl"/>
              </w:rPr>
            </w:pPr>
            <w:r w:rsidRPr="00C83BDF">
              <w:rPr>
                <w:sz w:val="18"/>
                <w:szCs w:val="18"/>
                <w:lang w:val="es-ES_tradnl"/>
              </w:rPr>
              <w:t xml:space="preserve">En 2014 no se celebró ningún </w:t>
            </w:r>
            <w:r w:rsidR="00441006" w:rsidRPr="00C83BDF">
              <w:rPr>
                <w:sz w:val="18"/>
                <w:szCs w:val="18"/>
                <w:lang w:val="es-ES_tradnl"/>
              </w:rPr>
              <w:t>seminario</w:t>
            </w:r>
            <w:r w:rsidRPr="00C83BDF">
              <w:rPr>
                <w:sz w:val="18"/>
                <w:szCs w:val="18"/>
                <w:lang w:val="es-ES_tradnl"/>
              </w:rPr>
              <w:t xml:space="preserve"> ni simposio</w:t>
            </w:r>
            <w:r w:rsidR="00441006" w:rsidRPr="00C83BDF">
              <w:rPr>
                <w:sz w:val="18"/>
                <w:szCs w:val="18"/>
                <w:lang w:val="es-ES_tradnl"/>
              </w:rPr>
              <w:t>.</w:t>
            </w:r>
          </w:p>
        </w:tc>
      </w:tr>
    </w:tbl>
    <w:p w:rsidR="00E65183" w:rsidRPr="00C83BDF" w:rsidRDefault="00E65183" w:rsidP="00E65183">
      <w:pPr>
        <w:rPr>
          <w:lang w:val="es-ES_tradnl"/>
        </w:rPr>
      </w:pPr>
    </w:p>
    <w:p w:rsidR="00E65183" w:rsidRPr="00C83BDF" w:rsidRDefault="00E65183" w:rsidP="00E65183">
      <w:pPr>
        <w:rPr>
          <w:lang w:val="es-ES_tradnl"/>
        </w:rPr>
      </w:pPr>
      <w:r w:rsidRPr="00C83BDF">
        <w:rPr>
          <w:lang w:val="es-ES_tradnl"/>
        </w:rPr>
        <w:br w:type="page"/>
      </w:r>
    </w:p>
    <w:tbl>
      <w:tblPr>
        <w:tblW w:w="9889" w:type="dxa"/>
        <w:tblLayout w:type="fixed"/>
        <w:tblLook w:val="0000" w:firstRow="0" w:lastRow="0" w:firstColumn="0" w:lastColumn="0" w:noHBand="0" w:noVBand="0"/>
      </w:tblPr>
      <w:tblGrid>
        <w:gridCol w:w="1951"/>
        <w:gridCol w:w="7938"/>
      </w:tblGrid>
      <w:tr w:rsidR="00E65183" w:rsidRPr="00C83BDF">
        <w:tc>
          <w:tcPr>
            <w:tcW w:w="1951" w:type="dxa"/>
            <w:shd w:val="clear" w:color="auto" w:fill="auto"/>
          </w:tcPr>
          <w:p w:rsidR="00E65183" w:rsidRPr="00C83BDF" w:rsidRDefault="001476DC" w:rsidP="00A5108E">
            <w:pPr>
              <w:keepNext/>
              <w:spacing w:after="240"/>
              <w:rPr>
                <w:b/>
                <w:sz w:val="18"/>
                <w:szCs w:val="18"/>
                <w:lang w:val="es-ES_tradnl"/>
              </w:rPr>
            </w:pPr>
            <w:r w:rsidRPr="00C83BDF">
              <w:rPr>
                <w:b/>
                <w:sz w:val="18"/>
                <w:szCs w:val="18"/>
                <w:lang w:val="es-ES_tradnl"/>
              </w:rPr>
              <w:t>Resultados previstos</w:t>
            </w:r>
          </w:p>
        </w:tc>
        <w:tc>
          <w:tcPr>
            <w:tcW w:w="7938" w:type="dxa"/>
            <w:shd w:val="clear" w:color="auto" w:fill="auto"/>
          </w:tcPr>
          <w:p w:rsidR="00E65183" w:rsidRPr="00C83BDF" w:rsidRDefault="001476DC" w:rsidP="00A5108E">
            <w:pPr>
              <w:keepNext/>
              <w:spacing w:after="240"/>
              <w:rPr>
                <w:b/>
                <w:sz w:val="18"/>
                <w:szCs w:val="18"/>
                <w:lang w:val="es-ES_tradnl"/>
              </w:rPr>
            </w:pPr>
            <w:r w:rsidRPr="00C83BDF">
              <w:rPr>
                <w:b/>
                <w:sz w:val="18"/>
                <w:szCs w:val="18"/>
                <w:lang w:val="es-ES_tradnl"/>
              </w:rPr>
              <w:t>Resultados alcanzados:</w:t>
            </w:r>
            <w:r w:rsidR="00E65183" w:rsidRPr="00C83BDF">
              <w:rPr>
                <w:b/>
                <w:sz w:val="18"/>
                <w:szCs w:val="18"/>
                <w:lang w:val="es-ES_tradnl"/>
              </w:rPr>
              <w:t xml:space="preserve">  </w:t>
            </w:r>
            <w:r w:rsidRPr="00C83BDF">
              <w:rPr>
                <w:b/>
                <w:sz w:val="18"/>
                <w:szCs w:val="18"/>
                <w:lang w:val="es-ES_tradnl"/>
              </w:rPr>
              <w:t>indicadores de rendimiento</w:t>
            </w:r>
          </w:p>
        </w:tc>
      </w:tr>
      <w:tr w:rsidR="00E65183" w:rsidRPr="00C83BDF">
        <w:tc>
          <w:tcPr>
            <w:tcW w:w="1951" w:type="dxa"/>
            <w:shd w:val="clear" w:color="auto" w:fill="auto"/>
          </w:tcPr>
          <w:p w:rsidR="00E65183" w:rsidRPr="00C83BDF" w:rsidRDefault="00E65183" w:rsidP="004737CD">
            <w:pPr>
              <w:pStyle w:val="Heading6"/>
              <w:rPr>
                <w:lang w:val="es-ES_tradnl"/>
              </w:rPr>
            </w:pPr>
            <w:bookmarkStart w:id="49" w:name="OLE_LINK1"/>
            <w:bookmarkStart w:id="50" w:name="OLE_LINK2"/>
            <w:bookmarkStart w:id="51" w:name="_Toc336331199"/>
            <w:bookmarkStart w:id="52" w:name="_Toc336339190"/>
            <w:bookmarkStart w:id="53" w:name="_Toc431824242"/>
            <w:r w:rsidRPr="00C83BDF">
              <w:rPr>
                <w:lang w:val="es-ES_tradnl"/>
              </w:rPr>
              <w:t>2.  </w:t>
            </w:r>
            <w:bookmarkEnd w:id="49"/>
            <w:bookmarkEnd w:id="50"/>
            <w:bookmarkEnd w:id="51"/>
            <w:bookmarkEnd w:id="52"/>
            <w:r w:rsidR="001476DC" w:rsidRPr="00C83BDF">
              <w:rPr>
                <w:lang w:val="es-ES_tradnl"/>
              </w:rPr>
              <w:t>Orientación sobre el examen de las variedades</w:t>
            </w:r>
            <w:bookmarkEnd w:id="53"/>
          </w:p>
        </w:tc>
        <w:tc>
          <w:tcPr>
            <w:tcW w:w="7938" w:type="dxa"/>
            <w:shd w:val="clear" w:color="auto" w:fill="auto"/>
          </w:tcPr>
          <w:p w:rsidR="00E65183" w:rsidRPr="00C83BDF" w:rsidRDefault="001476DC" w:rsidP="00A5108E">
            <w:pPr>
              <w:pStyle w:val="Heading8"/>
              <w:rPr>
                <w:lang w:val="es-ES_tradnl"/>
              </w:rPr>
            </w:pPr>
            <w:bookmarkStart w:id="54" w:name="_Toc431824243"/>
            <w:r w:rsidRPr="00C83BDF">
              <w:rPr>
                <w:lang w:val="es-ES_tradnl"/>
              </w:rPr>
              <w:t>a)  Aprobación de documentos TGP nuevos o revisados y material de información</w:t>
            </w:r>
            <w:bookmarkEnd w:id="54"/>
          </w:p>
          <w:p w:rsidR="00E65183" w:rsidRPr="00C83BDF" w:rsidRDefault="009B5D9D" w:rsidP="00A5108E">
            <w:pPr>
              <w:keepNext/>
              <w:keepLines/>
              <w:numPr>
                <w:ilvl w:val="0"/>
                <w:numId w:val="3"/>
              </w:numPr>
              <w:spacing w:after="120"/>
              <w:ind w:left="357" w:right="176" w:hanging="357"/>
              <w:jc w:val="left"/>
              <w:rPr>
                <w:i/>
                <w:color w:val="000000"/>
                <w:sz w:val="18"/>
                <w:szCs w:val="18"/>
                <w:lang w:val="es-ES_tradnl"/>
              </w:rPr>
            </w:pPr>
            <w:r w:rsidRPr="00C83BDF">
              <w:rPr>
                <w:sz w:val="18"/>
                <w:szCs w:val="18"/>
                <w:lang w:val="es-ES_tradnl"/>
              </w:rPr>
              <w:t>Documentos TGP aprobados y publicados en el sitio web de la UPOV en 2014:</w:t>
            </w:r>
          </w:p>
          <w:p w:rsidR="00E65183" w:rsidRPr="00C83BDF" w:rsidRDefault="00E65183" w:rsidP="00A5108E">
            <w:pPr>
              <w:tabs>
                <w:tab w:val="num" w:pos="2160"/>
              </w:tabs>
              <w:spacing w:after="120"/>
              <w:ind w:left="2160" w:hanging="1593"/>
              <w:jc w:val="left"/>
              <w:rPr>
                <w:sz w:val="18"/>
                <w:szCs w:val="18"/>
                <w:lang w:val="es-ES_tradnl"/>
              </w:rPr>
            </w:pPr>
            <w:r w:rsidRPr="00C83BDF">
              <w:rPr>
                <w:sz w:val="18"/>
                <w:szCs w:val="18"/>
                <w:lang w:val="es-ES_tradnl"/>
              </w:rPr>
              <w:t>TGP/2/2</w:t>
            </w:r>
            <w:r w:rsidRPr="00C83BDF">
              <w:rPr>
                <w:sz w:val="18"/>
                <w:szCs w:val="18"/>
                <w:lang w:val="es-ES_tradnl"/>
              </w:rPr>
              <w:tab/>
            </w:r>
            <w:r w:rsidR="009B5D9D" w:rsidRPr="00C83BDF">
              <w:rPr>
                <w:sz w:val="18"/>
                <w:szCs w:val="18"/>
                <w:lang w:val="es-ES_tradnl"/>
              </w:rPr>
              <w:t>Lista de directrices de examen aprobadas por la UPOV (revisión)</w:t>
            </w:r>
          </w:p>
          <w:p w:rsidR="00E65183" w:rsidRPr="00C83BDF" w:rsidRDefault="00E65183" w:rsidP="004737CD">
            <w:pPr>
              <w:tabs>
                <w:tab w:val="num" w:pos="2160"/>
              </w:tabs>
              <w:ind w:left="2160" w:hanging="1593"/>
              <w:jc w:val="left"/>
              <w:rPr>
                <w:sz w:val="18"/>
                <w:szCs w:val="18"/>
                <w:lang w:val="es-ES_tradnl"/>
              </w:rPr>
            </w:pPr>
            <w:r w:rsidRPr="00C83BDF">
              <w:rPr>
                <w:sz w:val="18"/>
                <w:szCs w:val="18"/>
                <w:lang w:val="es-ES_tradnl"/>
              </w:rPr>
              <w:t>TGP/5</w:t>
            </w:r>
            <w:r w:rsidR="00220E3C" w:rsidRPr="00C83BDF">
              <w:rPr>
                <w:sz w:val="18"/>
                <w:szCs w:val="18"/>
                <w:lang w:val="es-ES_tradnl"/>
              </w:rPr>
              <w:t xml:space="preserve">, </w:t>
            </w:r>
          </w:p>
          <w:p w:rsidR="00E65183" w:rsidRPr="00C83BDF" w:rsidRDefault="009B5D9D" w:rsidP="00A5108E">
            <w:pPr>
              <w:tabs>
                <w:tab w:val="num" w:pos="2160"/>
              </w:tabs>
              <w:spacing w:after="120"/>
              <w:ind w:left="2160" w:hanging="1593"/>
              <w:jc w:val="left"/>
              <w:rPr>
                <w:sz w:val="18"/>
                <w:szCs w:val="18"/>
                <w:lang w:val="es-ES_tradnl"/>
              </w:rPr>
            </w:pPr>
            <w:r w:rsidRPr="00C83BDF">
              <w:rPr>
                <w:sz w:val="18"/>
                <w:szCs w:val="18"/>
                <w:lang w:val="es-ES_tradnl"/>
              </w:rPr>
              <w:t>Sección 10/3</w:t>
            </w:r>
            <w:r w:rsidR="00E65183" w:rsidRPr="00C83BDF">
              <w:rPr>
                <w:sz w:val="18"/>
                <w:szCs w:val="18"/>
                <w:lang w:val="es-ES_tradnl"/>
              </w:rPr>
              <w:tab/>
            </w:r>
            <w:r w:rsidRPr="00C83BDF">
              <w:rPr>
                <w:sz w:val="18"/>
                <w:szCs w:val="18"/>
                <w:lang w:val="es-ES_tradnl"/>
              </w:rPr>
              <w:t>TGP/5 “Experiencia y cooperación en el examen DHE”, sección 10 “Notificación de caracteres y niveles de expresión adicionales” (revisión)</w:t>
            </w:r>
          </w:p>
          <w:p w:rsidR="00E65183" w:rsidRPr="00C83BDF" w:rsidRDefault="00E65183" w:rsidP="00A5108E">
            <w:pPr>
              <w:tabs>
                <w:tab w:val="num" w:pos="2160"/>
              </w:tabs>
              <w:spacing w:after="120"/>
              <w:ind w:left="2160" w:hanging="1593"/>
              <w:jc w:val="left"/>
              <w:rPr>
                <w:sz w:val="18"/>
                <w:szCs w:val="18"/>
                <w:lang w:val="es-ES_tradnl"/>
              </w:rPr>
            </w:pPr>
            <w:r w:rsidRPr="00C83BDF">
              <w:rPr>
                <w:sz w:val="18"/>
                <w:szCs w:val="18"/>
                <w:lang w:val="es-ES_tradnl"/>
              </w:rPr>
              <w:t>TGP/7/4</w:t>
            </w:r>
            <w:r w:rsidRPr="00C83BDF">
              <w:rPr>
                <w:sz w:val="18"/>
                <w:szCs w:val="18"/>
                <w:lang w:val="es-ES_tradnl"/>
              </w:rPr>
              <w:tab/>
            </w:r>
            <w:r w:rsidR="009B5D9D" w:rsidRPr="00C83BDF">
              <w:rPr>
                <w:sz w:val="18"/>
                <w:szCs w:val="18"/>
                <w:lang w:val="es-ES_tradnl"/>
              </w:rPr>
              <w:t>Elaboración de las directrices de examen (revisión)</w:t>
            </w:r>
          </w:p>
          <w:p w:rsidR="00E65183" w:rsidRPr="00C83BDF" w:rsidRDefault="00E65183" w:rsidP="00A5108E">
            <w:pPr>
              <w:tabs>
                <w:tab w:val="num" w:pos="2160"/>
              </w:tabs>
              <w:spacing w:after="120"/>
              <w:ind w:left="2160" w:hanging="1593"/>
              <w:jc w:val="left"/>
              <w:rPr>
                <w:sz w:val="18"/>
                <w:szCs w:val="18"/>
                <w:lang w:val="es-ES_tradnl"/>
              </w:rPr>
            </w:pPr>
            <w:r w:rsidRPr="00C83BDF">
              <w:rPr>
                <w:sz w:val="18"/>
                <w:szCs w:val="18"/>
                <w:lang w:val="es-ES_tradnl"/>
              </w:rPr>
              <w:t>TGP/8/2</w:t>
            </w:r>
            <w:r w:rsidRPr="00C83BDF">
              <w:rPr>
                <w:sz w:val="18"/>
                <w:szCs w:val="18"/>
                <w:lang w:val="es-ES_tradnl"/>
              </w:rPr>
              <w:tab/>
            </w:r>
            <w:r w:rsidR="009B5D9D" w:rsidRPr="00C83BDF">
              <w:rPr>
                <w:sz w:val="18"/>
                <w:szCs w:val="18"/>
                <w:lang w:val="es-ES_tradnl"/>
              </w:rPr>
              <w:t>Diseño de ensayos y técnicas utilizados en el examen de la distinción, la homogeneidad y la estabilidad (revisión)</w:t>
            </w:r>
          </w:p>
          <w:p w:rsidR="00E65183" w:rsidRPr="00C83BDF" w:rsidRDefault="00E65183" w:rsidP="00A5108E">
            <w:pPr>
              <w:tabs>
                <w:tab w:val="num" w:pos="2160"/>
              </w:tabs>
              <w:spacing w:after="120"/>
              <w:ind w:left="2160" w:hanging="1593"/>
              <w:jc w:val="left"/>
              <w:rPr>
                <w:sz w:val="18"/>
                <w:szCs w:val="18"/>
                <w:lang w:val="es-ES_tradnl"/>
              </w:rPr>
            </w:pPr>
            <w:r w:rsidRPr="00C83BDF">
              <w:rPr>
                <w:sz w:val="18"/>
                <w:szCs w:val="18"/>
                <w:lang w:val="es-ES_tradnl"/>
              </w:rPr>
              <w:t>TGP/14/2 Corr. (S)</w:t>
            </w:r>
            <w:r w:rsidRPr="00C83BDF">
              <w:rPr>
                <w:sz w:val="18"/>
                <w:szCs w:val="18"/>
                <w:lang w:val="es-ES_tradnl"/>
              </w:rPr>
              <w:tab/>
            </w:r>
            <w:r w:rsidR="009B5D9D" w:rsidRPr="00C83BDF">
              <w:rPr>
                <w:sz w:val="18"/>
                <w:szCs w:val="18"/>
                <w:lang w:val="es-ES_tradnl"/>
              </w:rPr>
              <w:t>Corrección de la versión española del documento TGP/14: Sección 2: Subsección 3: Color, párrafo 2.2.2</w:t>
            </w:r>
          </w:p>
          <w:p w:rsidR="00E65183" w:rsidRPr="00C83BDF" w:rsidRDefault="00E65183" w:rsidP="00A5108E">
            <w:pPr>
              <w:tabs>
                <w:tab w:val="num" w:pos="2160"/>
              </w:tabs>
              <w:spacing w:after="120"/>
              <w:ind w:left="2160" w:hanging="1593"/>
              <w:jc w:val="left"/>
              <w:rPr>
                <w:sz w:val="18"/>
                <w:szCs w:val="18"/>
                <w:lang w:val="es-ES_tradnl"/>
              </w:rPr>
            </w:pPr>
            <w:r w:rsidRPr="00C83BDF">
              <w:rPr>
                <w:sz w:val="18"/>
                <w:szCs w:val="18"/>
                <w:lang w:val="es-ES_tradnl"/>
              </w:rPr>
              <w:t>TGP/0/7</w:t>
            </w:r>
            <w:r w:rsidRPr="00C83BDF">
              <w:rPr>
                <w:sz w:val="18"/>
                <w:szCs w:val="18"/>
                <w:lang w:val="es-ES_tradnl"/>
              </w:rPr>
              <w:tab/>
            </w:r>
            <w:r w:rsidR="009B5D9D" w:rsidRPr="00C83BDF">
              <w:rPr>
                <w:sz w:val="18"/>
                <w:szCs w:val="18"/>
                <w:lang w:val="es-ES_tradnl"/>
              </w:rPr>
              <w:t>Lista de documentos TGP y fechas de última publicación (revisión)</w:t>
            </w:r>
            <w:r w:rsidRPr="00C83BDF">
              <w:rPr>
                <w:sz w:val="18"/>
                <w:szCs w:val="18"/>
                <w:lang w:val="es-ES_tradnl"/>
              </w:rPr>
              <w:t xml:space="preserve"> </w:t>
            </w:r>
          </w:p>
          <w:p w:rsidR="00E65183" w:rsidRPr="00C83BDF" w:rsidRDefault="009B5D9D" w:rsidP="00A5108E">
            <w:pPr>
              <w:keepNext/>
              <w:keepLines/>
              <w:numPr>
                <w:ilvl w:val="0"/>
                <w:numId w:val="3"/>
              </w:numPr>
              <w:spacing w:before="120" w:after="120"/>
              <w:ind w:left="357" w:right="176" w:hanging="357"/>
              <w:jc w:val="left"/>
              <w:rPr>
                <w:i/>
                <w:color w:val="000000"/>
                <w:sz w:val="18"/>
                <w:szCs w:val="18"/>
                <w:lang w:val="es-ES_tradnl"/>
              </w:rPr>
            </w:pPr>
            <w:r w:rsidRPr="00C83BDF">
              <w:rPr>
                <w:sz w:val="18"/>
                <w:szCs w:val="18"/>
                <w:lang w:val="es-ES_tradnl"/>
              </w:rPr>
              <w:t>Proyectos de los siguientes documentos TGP cuya elaboración avanzó en el CAJ, el TC o los Grupos de Trabajo Técnico en 2014:</w:t>
            </w:r>
          </w:p>
          <w:p w:rsidR="00E65183" w:rsidRPr="00C83BDF" w:rsidRDefault="00E65183" w:rsidP="00A5108E">
            <w:pPr>
              <w:tabs>
                <w:tab w:val="num" w:pos="2160"/>
              </w:tabs>
              <w:spacing w:after="120"/>
              <w:ind w:left="2160" w:hanging="1593"/>
              <w:jc w:val="left"/>
              <w:rPr>
                <w:sz w:val="18"/>
                <w:szCs w:val="18"/>
                <w:lang w:val="es-ES_tradnl"/>
              </w:rPr>
            </w:pPr>
            <w:r w:rsidRPr="00C83BDF">
              <w:rPr>
                <w:sz w:val="18"/>
                <w:szCs w:val="18"/>
                <w:lang w:val="es-ES_tradnl"/>
              </w:rPr>
              <w:t>TGP/2</w:t>
            </w:r>
            <w:r w:rsidRPr="00C83BDF">
              <w:rPr>
                <w:sz w:val="18"/>
                <w:szCs w:val="18"/>
                <w:lang w:val="es-ES_tradnl"/>
              </w:rPr>
              <w:tab/>
            </w:r>
            <w:r w:rsidR="009B5D9D" w:rsidRPr="00C83BDF">
              <w:rPr>
                <w:sz w:val="18"/>
                <w:szCs w:val="18"/>
                <w:lang w:val="es-ES_tradnl"/>
              </w:rPr>
              <w:t>Lista de directrices de examen aprobadas por la UPOV (revisión)</w:t>
            </w:r>
          </w:p>
          <w:p w:rsidR="00E65183" w:rsidRPr="00C83BDF" w:rsidRDefault="009B5D9D" w:rsidP="00A5108E">
            <w:pPr>
              <w:tabs>
                <w:tab w:val="num" w:pos="2160"/>
              </w:tabs>
              <w:spacing w:after="120"/>
              <w:ind w:left="2160" w:hanging="1593"/>
              <w:jc w:val="left"/>
              <w:rPr>
                <w:sz w:val="18"/>
                <w:szCs w:val="18"/>
                <w:lang w:val="es-ES_tradnl"/>
              </w:rPr>
            </w:pPr>
            <w:r w:rsidRPr="00C83BDF">
              <w:rPr>
                <w:sz w:val="18"/>
                <w:szCs w:val="18"/>
                <w:lang w:val="es-ES_tradnl"/>
              </w:rPr>
              <w:t>TGP/5 Sec</w:t>
            </w:r>
            <w:r w:rsidR="00EF0940" w:rsidRPr="00C83BDF">
              <w:rPr>
                <w:sz w:val="18"/>
                <w:szCs w:val="18"/>
                <w:lang w:val="es-ES_tradnl"/>
              </w:rPr>
              <w:t>ció</w:t>
            </w:r>
            <w:r w:rsidRPr="00C83BDF">
              <w:rPr>
                <w:sz w:val="18"/>
                <w:szCs w:val="18"/>
                <w:lang w:val="es-ES_tradnl"/>
              </w:rPr>
              <w:t>n 10</w:t>
            </w:r>
            <w:r w:rsidR="00E65183" w:rsidRPr="00C83BDF">
              <w:rPr>
                <w:sz w:val="18"/>
                <w:szCs w:val="18"/>
                <w:lang w:val="es-ES_tradnl"/>
              </w:rPr>
              <w:tab/>
            </w:r>
            <w:r w:rsidRPr="00C83BDF">
              <w:rPr>
                <w:sz w:val="18"/>
                <w:szCs w:val="18"/>
                <w:lang w:val="es-ES_tradnl"/>
              </w:rPr>
              <w:t>TGP/5 “Experiencia y cooperación en el examen DHE”, sección 10 “Notificación de caracteres y niveles de expresión adicionales” (revisión)</w:t>
            </w:r>
          </w:p>
          <w:p w:rsidR="00E65183" w:rsidRPr="00C83BDF" w:rsidRDefault="00E65183" w:rsidP="00A5108E">
            <w:pPr>
              <w:tabs>
                <w:tab w:val="num" w:pos="2160"/>
              </w:tabs>
              <w:spacing w:after="120"/>
              <w:ind w:left="2160" w:hanging="1593"/>
              <w:jc w:val="left"/>
              <w:rPr>
                <w:sz w:val="18"/>
                <w:szCs w:val="18"/>
                <w:lang w:val="es-ES_tradnl"/>
              </w:rPr>
            </w:pPr>
            <w:r w:rsidRPr="00C83BDF">
              <w:rPr>
                <w:sz w:val="18"/>
                <w:szCs w:val="18"/>
                <w:lang w:val="es-ES_tradnl"/>
              </w:rPr>
              <w:t>TGP/7</w:t>
            </w:r>
            <w:r w:rsidRPr="00C83BDF">
              <w:rPr>
                <w:sz w:val="18"/>
                <w:szCs w:val="18"/>
                <w:lang w:val="es-ES_tradnl"/>
              </w:rPr>
              <w:tab/>
            </w:r>
            <w:r w:rsidR="009B5D9D" w:rsidRPr="00C83BDF">
              <w:rPr>
                <w:sz w:val="18"/>
                <w:szCs w:val="18"/>
                <w:lang w:val="es-ES_tradnl"/>
              </w:rPr>
              <w:t>Elaboración de las directrices de examen (revisión)</w:t>
            </w:r>
          </w:p>
          <w:p w:rsidR="00E65183" w:rsidRPr="00C83BDF" w:rsidRDefault="00E65183" w:rsidP="00A5108E">
            <w:pPr>
              <w:tabs>
                <w:tab w:val="num" w:pos="2160"/>
              </w:tabs>
              <w:spacing w:after="120"/>
              <w:ind w:left="2160" w:hanging="1593"/>
              <w:jc w:val="left"/>
              <w:rPr>
                <w:sz w:val="18"/>
                <w:szCs w:val="18"/>
                <w:lang w:val="es-ES_tradnl"/>
              </w:rPr>
            </w:pPr>
            <w:r w:rsidRPr="00C83BDF">
              <w:rPr>
                <w:sz w:val="18"/>
                <w:szCs w:val="18"/>
                <w:lang w:val="es-ES_tradnl"/>
              </w:rPr>
              <w:t>TGP/8</w:t>
            </w:r>
            <w:r w:rsidRPr="00C83BDF">
              <w:rPr>
                <w:sz w:val="18"/>
                <w:szCs w:val="18"/>
                <w:lang w:val="es-ES_tradnl"/>
              </w:rPr>
              <w:tab/>
            </w:r>
            <w:r w:rsidR="009B5D9D" w:rsidRPr="00C83BDF">
              <w:rPr>
                <w:sz w:val="18"/>
                <w:szCs w:val="18"/>
                <w:lang w:val="es-ES_tradnl"/>
              </w:rPr>
              <w:t>Diseño de ensayos y técnicas utilizados en el examen de la distinción, la homogeneidad y la estabilidad (revisión)</w:t>
            </w:r>
          </w:p>
          <w:p w:rsidR="00E65183" w:rsidRPr="00C83BDF" w:rsidRDefault="00E65183" w:rsidP="00A5108E">
            <w:pPr>
              <w:tabs>
                <w:tab w:val="num" w:pos="2160"/>
              </w:tabs>
              <w:spacing w:after="120"/>
              <w:ind w:left="2160" w:hanging="1593"/>
              <w:jc w:val="left"/>
              <w:rPr>
                <w:sz w:val="18"/>
                <w:szCs w:val="18"/>
                <w:lang w:val="es-ES_tradnl"/>
              </w:rPr>
            </w:pPr>
            <w:r w:rsidRPr="00C83BDF">
              <w:rPr>
                <w:sz w:val="18"/>
                <w:szCs w:val="18"/>
                <w:lang w:val="es-ES_tradnl"/>
              </w:rPr>
              <w:t>TGP/9</w:t>
            </w:r>
            <w:r w:rsidRPr="00C83BDF">
              <w:rPr>
                <w:sz w:val="18"/>
                <w:szCs w:val="18"/>
                <w:lang w:val="es-ES_tradnl"/>
              </w:rPr>
              <w:tab/>
            </w:r>
            <w:r w:rsidR="009B5D9D" w:rsidRPr="00C83BDF">
              <w:rPr>
                <w:sz w:val="18"/>
                <w:szCs w:val="18"/>
                <w:lang w:val="es-ES_tradnl"/>
              </w:rPr>
              <w:t>Examen de la distinción</w:t>
            </w:r>
          </w:p>
          <w:p w:rsidR="00E65183" w:rsidRPr="00C83BDF" w:rsidRDefault="00E65183" w:rsidP="00A5108E">
            <w:pPr>
              <w:tabs>
                <w:tab w:val="num" w:pos="2160"/>
              </w:tabs>
              <w:spacing w:after="120"/>
              <w:ind w:left="2160" w:hanging="1593"/>
              <w:jc w:val="left"/>
              <w:rPr>
                <w:sz w:val="18"/>
                <w:szCs w:val="18"/>
                <w:lang w:val="es-ES_tradnl"/>
              </w:rPr>
            </w:pPr>
            <w:r w:rsidRPr="00C83BDF">
              <w:rPr>
                <w:sz w:val="18"/>
                <w:szCs w:val="18"/>
                <w:lang w:val="es-ES_tradnl"/>
              </w:rPr>
              <w:t>TGP/10</w:t>
            </w:r>
            <w:r w:rsidRPr="00C83BDF">
              <w:rPr>
                <w:sz w:val="18"/>
                <w:szCs w:val="18"/>
                <w:lang w:val="es-ES_tradnl"/>
              </w:rPr>
              <w:tab/>
            </w:r>
            <w:r w:rsidR="009B5D9D" w:rsidRPr="00C83BDF">
              <w:rPr>
                <w:sz w:val="18"/>
                <w:szCs w:val="18"/>
                <w:lang w:val="es-ES_tradnl"/>
              </w:rPr>
              <w:t>Examen de la homogeneidad</w:t>
            </w:r>
          </w:p>
          <w:p w:rsidR="00E65183" w:rsidRPr="00C83BDF" w:rsidRDefault="00E65183" w:rsidP="00A5108E">
            <w:pPr>
              <w:tabs>
                <w:tab w:val="num" w:pos="2160"/>
              </w:tabs>
              <w:spacing w:after="120"/>
              <w:ind w:left="2160" w:hanging="1593"/>
              <w:jc w:val="left"/>
              <w:rPr>
                <w:sz w:val="18"/>
                <w:szCs w:val="18"/>
                <w:lang w:val="es-ES_tradnl"/>
              </w:rPr>
            </w:pPr>
            <w:r w:rsidRPr="00C83BDF">
              <w:rPr>
                <w:sz w:val="18"/>
                <w:szCs w:val="18"/>
                <w:lang w:val="es-ES_tradnl"/>
              </w:rPr>
              <w:t>TGP/14</w:t>
            </w:r>
            <w:r w:rsidRPr="00C83BDF">
              <w:rPr>
                <w:sz w:val="18"/>
                <w:szCs w:val="18"/>
                <w:lang w:val="es-ES_tradnl"/>
              </w:rPr>
              <w:tab/>
            </w:r>
            <w:r w:rsidR="009B5D9D" w:rsidRPr="00C83BDF">
              <w:rPr>
                <w:sz w:val="18"/>
                <w:szCs w:val="18"/>
                <w:lang w:val="es-ES_tradnl"/>
              </w:rPr>
              <w:t>Glosario de términos utilizados en los documentos de la UPOV (corrección de la versión en español)</w:t>
            </w:r>
          </w:p>
          <w:p w:rsidR="00E65183" w:rsidRPr="00C83BDF" w:rsidRDefault="009B5D9D" w:rsidP="00A5108E">
            <w:pPr>
              <w:keepNext/>
              <w:keepLines/>
              <w:numPr>
                <w:ilvl w:val="0"/>
                <w:numId w:val="3"/>
              </w:numPr>
              <w:spacing w:before="120" w:after="120"/>
              <w:ind w:left="357" w:right="176" w:hanging="357"/>
              <w:jc w:val="left"/>
              <w:rPr>
                <w:i/>
                <w:color w:val="000000"/>
                <w:sz w:val="18"/>
                <w:szCs w:val="18"/>
                <w:lang w:val="es-ES_tradnl"/>
              </w:rPr>
            </w:pPr>
            <w:r w:rsidRPr="00C83BDF">
              <w:rPr>
                <w:sz w:val="18"/>
                <w:szCs w:val="18"/>
                <w:lang w:val="es-ES_tradnl"/>
              </w:rPr>
              <w:t>Proyectos de los siguientes documentos de información cuya elaboración avanzó en el CAJ, el TC o los Grupos de Trabajo Técnico en 2014:</w:t>
            </w:r>
          </w:p>
          <w:p w:rsidR="00E65183" w:rsidRPr="00C83BDF" w:rsidRDefault="00E65183" w:rsidP="001B5FB2">
            <w:pPr>
              <w:tabs>
                <w:tab w:val="num" w:pos="2160"/>
              </w:tabs>
              <w:spacing w:after="120"/>
              <w:ind w:left="2160" w:hanging="1593"/>
              <w:jc w:val="left"/>
              <w:rPr>
                <w:sz w:val="18"/>
                <w:szCs w:val="18"/>
                <w:lang w:val="es-ES_tradnl"/>
              </w:rPr>
            </w:pPr>
            <w:r w:rsidRPr="00C83BDF">
              <w:rPr>
                <w:sz w:val="18"/>
                <w:szCs w:val="18"/>
                <w:lang w:val="es-ES_tradnl"/>
              </w:rPr>
              <w:t>UPOV/INF/5</w:t>
            </w:r>
            <w:r w:rsidRPr="00C83BDF">
              <w:rPr>
                <w:sz w:val="18"/>
                <w:szCs w:val="18"/>
                <w:lang w:val="es-ES_tradnl"/>
              </w:rPr>
              <w:tab/>
            </w:r>
            <w:r w:rsidR="00AB27F6" w:rsidRPr="00C83BDF">
              <w:rPr>
                <w:sz w:val="18"/>
                <w:szCs w:val="18"/>
                <w:lang w:val="es-ES_tradnl"/>
              </w:rPr>
              <w:t>Boletín tipo de la UPOV sobre la protección de las obtenciones vegetales (revisión)</w:t>
            </w:r>
          </w:p>
          <w:p w:rsidR="00E65183" w:rsidRPr="00C83BDF" w:rsidRDefault="00E65183" w:rsidP="001B5FB2">
            <w:pPr>
              <w:tabs>
                <w:tab w:val="num" w:pos="2160"/>
              </w:tabs>
              <w:spacing w:after="120"/>
              <w:ind w:left="2160" w:hanging="1593"/>
              <w:jc w:val="left"/>
              <w:rPr>
                <w:sz w:val="18"/>
                <w:szCs w:val="18"/>
                <w:lang w:val="es-ES_tradnl"/>
              </w:rPr>
            </w:pPr>
            <w:r w:rsidRPr="00C83BDF">
              <w:rPr>
                <w:sz w:val="18"/>
                <w:szCs w:val="18"/>
                <w:lang w:val="es-ES_tradnl"/>
              </w:rPr>
              <w:t>UPOV/INF/12</w:t>
            </w:r>
            <w:r w:rsidRPr="00C83BDF">
              <w:rPr>
                <w:sz w:val="18"/>
                <w:szCs w:val="18"/>
                <w:lang w:val="es-ES_tradnl"/>
              </w:rPr>
              <w:tab/>
            </w:r>
            <w:r w:rsidR="009B5D9D" w:rsidRPr="00C83BDF">
              <w:rPr>
                <w:sz w:val="18"/>
                <w:szCs w:val="18"/>
                <w:lang w:val="es-ES_tradnl"/>
              </w:rPr>
              <w:t>Notas explicativas sobre las denominaciones de variedades con arreglo al Convenio de la UPOV (revisión)</w:t>
            </w:r>
          </w:p>
          <w:p w:rsidR="00E65183" w:rsidRPr="00C83BDF" w:rsidRDefault="00E65183" w:rsidP="001B5FB2">
            <w:pPr>
              <w:tabs>
                <w:tab w:val="left" w:pos="2160"/>
              </w:tabs>
              <w:spacing w:after="120"/>
              <w:ind w:left="2160" w:hanging="1593"/>
              <w:jc w:val="left"/>
              <w:rPr>
                <w:sz w:val="18"/>
                <w:szCs w:val="18"/>
                <w:lang w:val="es-ES_tradnl"/>
              </w:rPr>
            </w:pPr>
            <w:r w:rsidRPr="00C83BDF">
              <w:rPr>
                <w:sz w:val="18"/>
                <w:szCs w:val="18"/>
                <w:lang w:val="es-ES_tradnl"/>
              </w:rPr>
              <w:t>UPOV/INF/15</w:t>
            </w:r>
            <w:r w:rsidRPr="00C83BDF">
              <w:rPr>
                <w:sz w:val="18"/>
                <w:szCs w:val="18"/>
                <w:lang w:val="es-ES_tradnl"/>
              </w:rPr>
              <w:tab/>
            </w:r>
            <w:r w:rsidR="009B5D9D" w:rsidRPr="00C83BDF">
              <w:rPr>
                <w:sz w:val="18"/>
                <w:szCs w:val="18"/>
                <w:lang w:val="es-ES_tradnl"/>
              </w:rPr>
              <w:t>Orientación para los miembros de la UPOV sobre las obligaciones actuales y las notificaciones conexas (revisión)</w:t>
            </w:r>
          </w:p>
          <w:p w:rsidR="00E65183" w:rsidRPr="00C83BDF" w:rsidRDefault="00E65183" w:rsidP="001B5FB2">
            <w:pPr>
              <w:tabs>
                <w:tab w:val="num" w:pos="2160"/>
              </w:tabs>
              <w:spacing w:after="120"/>
              <w:ind w:left="2160" w:hanging="1593"/>
              <w:jc w:val="left"/>
              <w:rPr>
                <w:sz w:val="18"/>
                <w:szCs w:val="18"/>
                <w:lang w:val="es-ES_tradnl"/>
              </w:rPr>
            </w:pPr>
            <w:r w:rsidRPr="00C83BDF">
              <w:rPr>
                <w:sz w:val="18"/>
                <w:szCs w:val="18"/>
                <w:lang w:val="es-ES_tradnl"/>
              </w:rPr>
              <w:t>UPOV/INF/16</w:t>
            </w:r>
            <w:r w:rsidRPr="00C83BDF">
              <w:rPr>
                <w:sz w:val="18"/>
                <w:szCs w:val="18"/>
                <w:lang w:val="es-ES_tradnl"/>
              </w:rPr>
              <w:tab/>
            </w:r>
            <w:r w:rsidR="009B5D9D" w:rsidRPr="00C83BDF">
              <w:rPr>
                <w:sz w:val="18"/>
                <w:szCs w:val="18"/>
                <w:lang w:val="es-ES_tradnl"/>
              </w:rPr>
              <w:t>Programas informáticos para intercambio (revisión)</w:t>
            </w:r>
          </w:p>
          <w:p w:rsidR="00E65183" w:rsidRPr="00C83BDF" w:rsidRDefault="00E65183" w:rsidP="001B5FB2">
            <w:pPr>
              <w:tabs>
                <w:tab w:val="num" w:pos="2160"/>
              </w:tabs>
              <w:spacing w:after="120"/>
              <w:ind w:left="2160" w:hanging="1593"/>
              <w:jc w:val="left"/>
              <w:rPr>
                <w:sz w:val="18"/>
                <w:szCs w:val="18"/>
                <w:lang w:val="es-ES_tradnl"/>
              </w:rPr>
            </w:pPr>
            <w:r w:rsidRPr="00C83BDF">
              <w:rPr>
                <w:sz w:val="18"/>
                <w:szCs w:val="18"/>
                <w:lang w:val="es-ES_tradnl"/>
              </w:rPr>
              <w:t>UPOV/INF/22</w:t>
            </w:r>
            <w:r w:rsidRPr="00C83BDF">
              <w:rPr>
                <w:sz w:val="18"/>
                <w:szCs w:val="18"/>
                <w:lang w:val="es-ES_tradnl"/>
              </w:rPr>
              <w:tab/>
            </w:r>
            <w:r w:rsidR="009B5D9D" w:rsidRPr="00C83BDF">
              <w:rPr>
                <w:sz w:val="18"/>
                <w:szCs w:val="18"/>
                <w:lang w:val="es-ES_tradnl"/>
              </w:rPr>
              <w:t>Programas informáticos y equipos utilizados por los miembros de la Unión</w:t>
            </w:r>
          </w:p>
          <w:p w:rsidR="00E65183" w:rsidRPr="00C83BDF" w:rsidRDefault="009B5D9D" w:rsidP="001B5FB2">
            <w:pPr>
              <w:keepNext/>
              <w:keepLines/>
              <w:numPr>
                <w:ilvl w:val="0"/>
                <w:numId w:val="3"/>
              </w:numPr>
              <w:spacing w:before="120" w:after="120"/>
              <w:ind w:right="176"/>
              <w:jc w:val="left"/>
              <w:rPr>
                <w:sz w:val="18"/>
                <w:szCs w:val="18"/>
                <w:lang w:val="es-ES_tradnl"/>
              </w:rPr>
            </w:pPr>
            <w:r w:rsidRPr="00C83BDF">
              <w:rPr>
                <w:sz w:val="18"/>
                <w:szCs w:val="18"/>
                <w:lang w:val="es-ES_tradnl"/>
              </w:rPr>
              <w:t>Revisión del siguiente documento examinado por el Grupo de trabajo para la elaboración de un instrumento de la UPOV de búsqueda de denominaciones similares (WG</w:t>
            </w:r>
            <w:r w:rsidR="008F7341" w:rsidRPr="00C83BDF">
              <w:rPr>
                <w:sz w:val="18"/>
                <w:szCs w:val="18"/>
                <w:lang w:val="es-ES_tradnl"/>
              </w:rPr>
              <w:noBreakHyphen/>
            </w:r>
            <w:r w:rsidRPr="00C83BDF">
              <w:rPr>
                <w:sz w:val="18"/>
                <w:szCs w:val="18"/>
                <w:lang w:val="es-ES_tradnl"/>
              </w:rPr>
              <w:t>DST):</w:t>
            </w:r>
          </w:p>
          <w:p w:rsidR="00E65183" w:rsidRPr="00C83BDF" w:rsidRDefault="00E65183" w:rsidP="001B5FB2">
            <w:pPr>
              <w:tabs>
                <w:tab w:val="num" w:pos="2160"/>
              </w:tabs>
              <w:spacing w:after="120"/>
              <w:ind w:left="2160" w:hanging="1593"/>
              <w:jc w:val="left"/>
              <w:rPr>
                <w:sz w:val="18"/>
                <w:szCs w:val="18"/>
                <w:lang w:val="es-ES_tradnl"/>
              </w:rPr>
            </w:pPr>
            <w:r w:rsidRPr="00C83BDF">
              <w:rPr>
                <w:sz w:val="18"/>
                <w:szCs w:val="18"/>
                <w:lang w:val="es-ES_tradnl"/>
              </w:rPr>
              <w:t>UPOV/INF/12</w:t>
            </w:r>
            <w:r w:rsidRPr="00C83BDF">
              <w:rPr>
                <w:sz w:val="18"/>
                <w:szCs w:val="18"/>
                <w:lang w:val="es-ES_tradnl"/>
              </w:rPr>
              <w:tab/>
            </w:r>
            <w:r w:rsidR="009B5D9D" w:rsidRPr="00C83BDF">
              <w:rPr>
                <w:sz w:val="18"/>
                <w:szCs w:val="18"/>
                <w:lang w:val="es-ES_tradnl"/>
              </w:rPr>
              <w:t>Notas explicativas sobre las denominaciones de variedades con arreglo al Convenio de la UPOV (revisión)</w:t>
            </w:r>
          </w:p>
        </w:tc>
      </w:tr>
    </w:tbl>
    <w:p w:rsidR="00E65183" w:rsidRPr="00C83BDF" w:rsidRDefault="00E65183" w:rsidP="00E65183">
      <w:pPr>
        <w:rPr>
          <w:lang w:val="es-ES_tradnl"/>
        </w:rPr>
      </w:pPr>
    </w:p>
    <w:p w:rsidR="00E65183" w:rsidRPr="00C83BDF" w:rsidRDefault="00E65183" w:rsidP="00E65183">
      <w:pPr>
        <w:rPr>
          <w:sz w:val="18"/>
          <w:szCs w:val="18"/>
          <w:lang w:val="es-ES_tradnl"/>
        </w:rPr>
      </w:pPr>
    </w:p>
    <w:tbl>
      <w:tblPr>
        <w:tblW w:w="9889" w:type="dxa"/>
        <w:tblLayout w:type="fixed"/>
        <w:tblLook w:val="0000" w:firstRow="0" w:lastRow="0" w:firstColumn="0" w:lastColumn="0" w:noHBand="0" w:noVBand="0"/>
      </w:tblPr>
      <w:tblGrid>
        <w:gridCol w:w="1951"/>
        <w:gridCol w:w="4253"/>
        <w:gridCol w:w="3685"/>
      </w:tblGrid>
      <w:tr w:rsidR="00E65183" w:rsidRPr="00C83BDF">
        <w:tc>
          <w:tcPr>
            <w:tcW w:w="1951" w:type="dxa"/>
            <w:shd w:val="clear" w:color="auto" w:fill="auto"/>
          </w:tcPr>
          <w:p w:rsidR="00E65183" w:rsidRPr="00C83BDF" w:rsidRDefault="009B5D9D" w:rsidP="001B5FB2">
            <w:pPr>
              <w:keepNext/>
              <w:spacing w:after="240"/>
              <w:rPr>
                <w:b/>
                <w:sz w:val="18"/>
                <w:szCs w:val="18"/>
                <w:lang w:val="es-ES_tradnl"/>
              </w:rPr>
            </w:pPr>
            <w:r w:rsidRPr="00C83BDF">
              <w:rPr>
                <w:b/>
                <w:sz w:val="18"/>
                <w:szCs w:val="18"/>
                <w:lang w:val="es-ES_tradnl"/>
              </w:rPr>
              <w:t>Resultados previstos</w:t>
            </w:r>
          </w:p>
        </w:tc>
        <w:tc>
          <w:tcPr>
            <w:tcW w:w="7938" w:type="dxa"/>
            <w:gridSpan w:val="2"/>
            <w:shd w:val="clear" w:color="auto" w:fill="auto"/>
          </w:tcPr>
          <w:p w:rsidR="00E65183" w:rsidRPr="00C83BDF" w:rsidRDefault="009B5D9D" w:rsidP="001B5FB2">
            <w:pPr>
              <w:keepNext/>
              <w:spacing w:after="240"/>
              <w:rPr>
                <w:b/>
                <w:sz w:val="18"/>
                <w:szCs w:val="18"/>
                <w:lang w:val="es-ES_tradnl"/>
              </w:rPr>
            </w:pPr>
            <w:r w:rsidRPr="00C83BDF">
              <w:rPr>
                <w:b/>
                <w:sz w:val="18"/>
                <w:szCs w:val="18"/>
                <w:lang w:val="es-ES_tradnl"/>
              </w:rPr>
              <w:t>Resultados alcanzados:</w:t>
            </w:r>
            <w:r w:rsidR="00E65183" w:rsidRPr="00C83BDF">
              <w:rPr>
                <w:b/>
                <w:sz w:val="18"/>
                <w:szCs w:val="18"/>
                <w:lang w:val="es-ES_tradnl"/>
              </w:rPr>
              <w:t xml:space="preserve">  </w:t>
            </w:r>
            <w:r w:rsidRPr="00C83BDF">
              <w:rPr>
                <w:b/>
                <w:sz w:val="18"/>
                <w:szCs w:val="18"/>
                <w:lang w:val="es-ES_tradnl"/>
              </w:rPr>
              <w:t>indicadores de rendimiento</w:t>
            </w:r>
          </w:p>
        </w:tc>
      </w:tr>
      <w:tr w:rsidR="00E65183" w:rsidRPr="00C83BDF">
        <w:tc>
          <w:tcPr>
            <w:tcW w:w="1951" w:type="dxa"/>
            <w:shd w:val="clear" w:color="auto" w:fill="auto"/>
          </w:tcPr>
          <w:p w:rsidR="00E65183" w:rsidRPr="00C83BDF" w:rsidRDefault="00E65183" w:rsidP="004737CD">
            <w:pPr>
              <w:keepNext/>
              <w:jc w:val="left"/>
              <w:rPr>
                <w:sz w:val="18"/>
                <w:szCs w:val="18"/>
                <w:highlight w:val="yellow"/>
                <w:lang w:val="es-ES_tradnl"/>
              </w:rPr>
            </w:pPr>
            <w:r w:rsidRPr="00C83BDF">
              <w:rPr>
                <w:i/>
                <w:sz w:val="18"/>
                <w:szCs w:val="18"/>
                <w:lang w:val="es-ES_tradnl"/>
              </w:rPr>
              <w:t xml:space="preserve">2.  </w:t>
            </w:r>
            <w:r w:rsidR="00C16BBE" w:rsidRPr="00C83BDF">
              <w:rPr>
                <w:i/>
                <w:sz w:val="18"/>
                <w:szCs w:val="18"/>
                <w:lang w:val="es-ES_tradnl"/>
              </w:rPr>
              <w:t xml:space="preserve">Orientación sobre el examen de las variedades </w:t>
            </w:r>
            <w:r w:rsidR="00C16BBE" w:rsidRPr="00C83BDF">
              <w:rPr>
                <w:sz w:val="18"/>
                <w:szCs w:val="18"/>
                <w:lang w:val="es-ES_tradnl"/>
              </w:rPr>
              <w:t>(continuación)</w:t>
            </w:r>
          </w:p>
        </w:tc>
        <w:tc>
          <w:tcPr>
            <w:tcW w:w="7938" w:type="dxa"/>
            <w:gridSpan w:val="2"/>
            <w:shd w:val="clear" w:color="auto" w:fill="auto"/>
          </w:tcPr>
          <w:p w:rsidR="00E65183" w:rsidRPr="00C83BDF" w:rsidRDefault="00C16BBE" w:rsidP="001B5FB2">
            <w:pPr>
              <w:pStyle w:val="Heading8"/>
              <w:keepNext/>
              <w:rPr>
                <w:lang w:val="es-ES_tradnl"/>
              </w:rPr>
            </w:pPr>
            <w:bookmarkStart w:id="55" w:name="_Toc431824244"/>
            <w:r w:rsidRPr="00C83BDF">
              <w:rPr>
                <w:lang w:val="es-ES_tradnl"/>
              </w:rPr>
              <w:t>b)  Adopción de directrices de examen nuevas o revisadas</w:t>
            </w:r>
            <w:bookmarkEnd w:id="55"/>
          </w:p>
          <w:p w:rsidR="00E65183" w:rsidRPr="00C83BDF" w:rsidRDefault="00C16BBE" w:rsidP="001B5FB2">
            <w:pPr>
              <w:pStyle w:val="Heading8"/>
              <w:keepNext/>
              <w:rPr>
                <w:highlight w:val="yellow"/>
                <w:lang w:val="es-ES_tradnl"/>
              </w:rPr>
            </w:pPr>
            <w:bookmarkStart w:id="56" w:name="_Toc431824245"/>
            <w:r w:rsidRPr="00C83BDF">
              <w:rPr>
                <w:lang w:val="es-ES_tradnl"/>
              </w:rPr>
              <w:t>Directrices de examen:</w:t>
            </w:r>
            <w:r w:rsidR="00D94EA2" w:rsidRPr="00C83BDF">
              <w:rPr>
                <w:lang w:val="es-ES_tradnl"/>
              </w:rPr>
              <w:t xml:space="preserve">  </w:t>
            </w:r>
            <w:r w:rsidRPr="00C83BDF">
              <w:rPr>
                <w:lang w:val="es-ES_tradnl"/>
              </w:rPr>
              <w:t>visitas al sitio web de la UPOV en 2014</w:t>
            </w:r>
            <w:bookmarkEnd w:id="56"/>
          </w:p>
        </w:tc>
      </w:tr>
      <w:tr w:rsidR="00E65183" w:rsidRPr="00C83BDF">
        <w:trPr>
          <w:trHeight w:val="1599"/>
        </w:trPr>
        <w:tc>
          <w:tcPr>
            <w:tcW w:w="1951" w:type="dxa"/>
            <w:shd w:val="clear" w:color="auto" w:fill="auto"/>
          </w:tcPr>
          <w:p w:rsidR="00E65183" w:rsidRPr="00C83BDF" w:rsidRDefault="00E65183" w:rsidP="004737CD">
            <w:pPr>
              <w:keepNext/>
              <w:jc w:val="left"/>
              <w:rPr>
                <w:i/>
                <w:sz w:val="18"/>
                <w:szCs w:val="18"/>
                <w:lang w:val="es-ES_tradnl"/>
              </w:rPr>
            </w:pPr>
          </w:p>
        </w:tc>
        <w:tc>
          <w:tcPr>
            <w:tcW w:w="4253" w:type="dxa"/>
            <w:shd w:val="clear" w:color="auto" w:fill="auto"/>
          </w:tcPr>
          <w:p w:rsidR="00E65183" w:rsidRPr="00C83BDF" w:rsidRDefault="00C16BBE" w:rsidP="009B2ADD">
            <w:pPr>
              <w:tabs>
                <w:tab w:val="left" w:pos="1168"/>
              </w:tabs>
              <w:spacing w:after="60"/>
              <w:jc w:val="left"/>
              <w:rPr>
                <w:sz w:val="18"/>
                <w:szCs w:val="18"/>
                <w:lang w:val="es-ES_tradnl"/>
              </w:rPr>
            </w:pPr>
            <w:r w:rsidRPr="00C83BDF">
              <w:rPr>
                <w:sz w:val="18"/>
                <w:szCs w:val="18"/>
                <w:lang w:val="es-ES_tradnl"/>
              </w:rPr>
              <w:t>Páginas vistas:</w:t>
            </w:r>
            <w:r w:rsidR="00E65183" w:rsidRPr="00C83BDF">
              <w:rPr>
                <w:sz w:val="18"/>
                <w:szCs w:val="18"/>
                <w:lang w:val="es-ES_tradnl"/>
              </w:rPr>
              <w:t xml:space="preserve">  6</w:t>
            </w:r>
            <w:r w:rsidR="00FF4666" w:rsidRPr="00C83BDF">
              <w:rPr>
                <w:sz w:val="18"/>
                <w:szCs w:val="18"/>
                <w:lang w:val="es-ES_tradnl"/>
              </w:rPr>
              <w:t>7.9</w:t>
            </w:r>
            <w:r w:rsidR="00E65183" w:rsidRPr="00C83BDF">
              <w:rPr>
                <w:sz w:val="18"/>
                <w:szCs w:val="18"/>
                <w:lang w:val="es-ES_tradnl"/>
              </w:rPr>
              <w:t>00</w:t>
            </w:r>
            <w:r w:rsidR="00E65183" w:rsidRPr="00C83BDF">
              <w:rPr>
                <w:sz w:val="18"/>
                <w:szCs w:val="18"/>
                <w:lang w:val="es-ES_tradnl"/>
              </w:rPr>
              <w:br/>
            </w:r>
            <w:r w:rsidR="00E65183" w:rsidRPr="00C83BDF">
              <w:rPr>
                <w:sz w:val="18"/>
                <w:szCs w:val="18"/>
                <w:lang w:val="es-ES_tradnl"/>
              </w:rPr>
              <w:tab/>
            </w:r>
            <w:r w:rsidRPr="00C83BDF">
              <w:rPr>
                <w:sz w:val="18"/>
                <w:szCs w:val="18"/>
                <w:lang w:val="es-ES_tradnl"/>
              </w:rPr>
              <w:t xml:space="preserve">(68.479 en 2013; </w:t>
            </w:r>
            <w:r w:rsidR="009B2ADD" w:rsidRPr="00C83BDF">
              <w:rPr>
                <w:sz w:val="18"/>
                <w:szCs w:val="18"/>
                <w:lang w:val="es-ES_tradnl"/>
              </w:rPr>
              <w:t xml:space="preserve"> </w:t>
            </w:r>
            <w:r w:rsidRPr="00C83BDF">
              <w:rPr>
                <w:sz w:val="18"/>
                <w:szCs w:val="18"/>
                <w:lang w:val="es-ES_tradnl"/>
              </w:rPr>
              <w:t>65.471 en 2012)</w:t>
            </w:r>
          </w:p>
          <w:p w:rsidR="00E65183" w:rsidRPr="00C83BDF" w:rsidRDefault="00E65183" w:rsidP="004737CD">
            <w:pPr>
              <w:tabs>
                <w:tab w:val="left" w:pos="1168"/>
              </w:tabs>
              <w:spacing w:after="60"/>
              <w:rPr>
                <w:sz w:val="18"/>
                <w:szCs w:val="18"/>
                <w:lang w:val="es-ES_tradnl"/>
              </w:rPr>
            </w:pPr>
          </w:p>
          <w:p w:rsidR="00E65183" w:rsidRPr="00C83BDF" w:rsidRDefault="00C16BBE" w:rsidP="009B2ADD">
            <w:pPr>
              <w:tabs>
                <w:tab w:val="left" w:pos="1168"/>
              </w:tabs>
              <w:jc w:val="left"/>
              <w:rPr>
                <w:sz w:val="18"/>
                <w:szCs w:val="18"/>
                <w:lang w:val="es-ES_tradnl"/>
              </w:rPr>
            </w:pPr>
            <w:r w:rsidRPr="00C83BDF">
              <w:rPr>
                <w:sz w:val="18"/>
                <w:szCs w:val="18"/>
                <w:lang w:val="es-ES_tradnl"/>
              </w:rPr>
              <w:t>Páginas vistas</w:t>
            </w:r>
            <w:r w:rsidR="009B2ADD" w:rsidRPr="00C83BDF">
              <w:rPr>
                <w:sz w:val="18"/>
                <w:szCs w:val="18"/>
                <w:lang w:val="es-ES_tradnl"/>
              </w:rPr>
              <w:t xml:space="preserve"> </w:t>
            </w:r>
            <w:r w:rsidRPr="00C83BDF">
              <w:rPr>
                <w:sz w:val="18"/>
                <w:szCs w:val="18"/>
                <w:lang w:val="es-ES_tradnl"/>
              </w:rPr>
              <w:t>únicas:</w:t>
            </w:r>
            <w:r w:rsidR="00E65183" w:rsidRPr="00C83BDF">
              <w:rPr>
                <w:sz w:val="18"/>
                <w:szCs w:val="18"/>
                <w:lang w:val="es-ES_tradnl"/>
              </w:rPr>
              <w:t xml:space="preserve"> </w:t>
            </w:r>
            <w:r w:rsidR="009B2ADD" w:rsidRPr="00C83BDF">
              <w:rPr>
                <w:sz w:val="18"/>
                <w:szCs w:val="18"/>
                <w:lang w:val="es-ES_tradnl"/>
              </w:rPr>
              <w:t xml:space="preserve"> </w:t>
            </w:r>
            <w:r w:rsidR="00E65183" w:rsidRPr="00C83BDF">
              <w:rPr>
                <w:sz w:val="18"/>
                <w:szCs w:val="18"/>
                <w:lang w:val="es-ES_tradnl"/>
              </w:rPr>
              <w:t>4</w:t>
            </w:r>
            <w:r w:rsidR="00FF4666" w:rsidRPr="00C83BDF">
              <w:rPr>
                <w:sz w:val="18"/>
                <w:szCs w:val="18"/>
                <w:lang w:val="es-ES_tradnl"/>
              </w:rPr>
              <w:t>0.1</w:t>
            </w:r>
            <w:r w:rsidR="00E65183" w:rsidRPr="00C83BDF">
              <w:rPr>
                <w:sz w:val="18"/>
                <w:szCs w:val="18"/>
                <w:lang w:val="es-ES_tradnl"/>
              </w:rPr>
              <w:t>02</w:t>
            </w:r>
            <w:r w:rsidR="00E65183" w:rsidRPr="00C83BDF">
              <w:rPr>
                <w:sz w:val="18"/>
                <w:szCs w:val="18"/>
                <w:lang w:val="es-ES_tradnl"/>
              </w:rPr>
              <w:br/>
            </w:r>
            <w:r w:rsidR="00E65183" w:rsidRPr="00C83BDF">
              <w:rPr>
                <w:sz w:val="18"/>
                <w:szCs w:val="18"/>
                <w:lang w:val="es-ES_tradnl"/>
              </w:rPr>
              <w:tab/>
            </w:r>
            <w:r w:rsidRPr="00C83BDF">
              <w:rPr>
                <w:sz w:val="18"/>
                <w:szCs w:val="18"/>
                <w:lang w:val="es-ES_tradnl"/>
              </w:rPr>
              <w:t>(38.979 en 2013;  37.227 en 2012)</w:t>
            </w:r>
          </w:p>
          <w:p w:rsidR="00E65183" w:rsidRPr="00C83BDF" w:rsidRDefault="00E65183" w:rsidP="004737CD">
            <w:pPr>
              <w:keepNext/>
              <w:keepLines/>
              <w:spacing w:after="120"/>
              <w:jc w:val="left"/>
              <w:rPr>
                <w:lang w:val="es-ES_tradnl"/>
              </w:rPr>
            </w:pPr>
          </w:p>
        </w:tc>
        <w:tc>
          <w:tcPr>
            <w:tcW w:w="3685" w:type="dxa"/>
            <w:shd w:val="clear" w:color="auto" w:fill="auto"/>
          </w:tcPr>
          <w:tbl>
            <w:tblPr>
              <w:tblW w:w="3363" w:type="dxa"/>
              <w:tblInd w:w="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54"/>
              <w:gridCol w:w="1134"/>
              <w:gridCol w:w="1275"/>
            </w:tblGrid>
            <w:tr w:rsidR="00E65183" w:rsidRPr="00C83BDF" w:rsidTr="006A0768">
              <w:tc>
                <w:tcPr>
                  <w:tcW w:w="954" w:type="dxa"/>
                </w:tcPr>
                <w:p w:rsidR="00E65183" w:rsidRPr="00C83BDF" w:rsidRDefault="00C16BBE" w:rsidP="004737CD">
                  <w:pPr>
                    <w:autoSpaceDE w:val="0"/>
                    <w:autoSpaceDN w:val="0"/>
                    <w:adjustRightInd w:val="0"/>
                    <w:jc w:val="center"/>
                    <w:rPr>
                      <w:rFonts w:cs="Arial"/>
                      <w:color w:val="000000"/>
                      <w:sz w:val="18"/>
                      <w:szCs w:val="22"/>
                      <w:lang w:val="es-ES_tradnl"/>
                    </w:rPr>
                  </w:pPr>
                  <w:r w:rsidRPr="00C83BDF">
                    <w:rPr>
                      <w:rFonts w:cs="Arial"/>
                      <w:bCs/>
                      <w:sz w:val="18"/>
                      <w:szCs w:val="22"/>
                      <w:lang w:val="es-ES_tradnl"/>
                    </w:rPr>
                    <w:t>Idioma</w:t>
                  </w:r>
                </w:p>
              </w:tc>
              <w:tc>
                <w:tcPr>
                  <w:tcW w:w="1134" w:type="dxa"/>
                </w:tcPr>
                <w:p w:rsidR="00E65183" w:rsidRPr="00C83BDF" w:rsidRDefault="00C16BBE" w:rsidP="004737CD">
                  <w:pPr>
                    <w:autoSpaceDE w:val="0"/>
                    <w:autoSpaceDN w:val="0"/>
                    <w:adjustRightInd w:val="0"/>
                    <w:jc w:val="center"/>
                    <w:rPr>
                      <w:rFonts w:cs="Arial"/>
                      <w:color w:val="000000"/>
                      <w:sz w:val="18"/>
                      <w:szCs w:val="22"/>
                      <w:lang w:val="es-ES_tradnl"/>
                    </w:rPr>
                  </w:pPr>
                  <w:r w:rsidRPr="00C83BDF">
                    <w:rPr>
                      <w:rFonts w:cs="Arial"/>
                      <w:bCs/>
                      <w:sz w:val="18"/>
                      <w:szCs w:val="22"/>
                      <w:lang w:val="es-ES_tradnl"/>
                    </w:rPr>
                    <w:t>Páginas vistas</w:t>
                  </w:r>
                </w:p>
              </w:tc>
              <w:tc>
                <w:tcPr>
                  <w:tcW w:w="1275" w:type="dxa"/>
                </w:tcPr>
                <w:p w:rsidR="00E65183" w:rsidRPr="00C83BDF" w:rsidRDefault="00C16BBE" w:rsidP="004737CD">
                  <w:pPr>
                    <w:autoSpaceDE w:val="0"/>
                    <w:autoSpaceDN w:val="0"/>
                    <w:adjustRightInd w:val="0"/>
                    <w:jc w:val="center"/>
                    <w:rPr>
                      <w:rFonts w:cs="Arial"/>
                      <w:color w:val="000000"/>
                      <w:sz w:val="18"/>
                      <w:szCs w:val="22"/>
                      <w:lang w:val="es-ES_tradnl"/>
                    </w:rPr>
                  </w:pPr>
                  <w:r w:rsidRPr="00C83BDF">
                    <w:rPr>
                      <w:rFonts w:cs="Arial"/>
                      <w:bCs/>
                      <w:sz w:val="18"/>
                      <w:szCs w:val="22"/>
                      <w:lang w:val="es-ES_tradnl"/>
                    </w:rPr>
                    <w:t>Páginas vistas únicas</w:t>
                  </w:r>
                </w:p>
              </w:tc>
            </w:tr>
            <w:tr w:rsidR="00E65183" w:rsidRPr="00C83BDF" w:rsidTr="006A0768">
              <w:tc>
                <w:tcPr>
                  <w:tcW w:w="954" w:type="dxa"/>
                </w:tcPr>
                <w:p w:rsidR="00E65183" w:rsidRPr="00C83BDF" w:rsidRDefault="00C16BBE" w:rsidP="004737CD">
                  <w:pPr>
                    <w:autoSpaceDE w:val="0"/>
                    <w:autoSpaceDN w:val="0"/>
                    <w:adjustRightInd w:val="0"/>
                    <w:jc w:val="left"/>
                    <w:rPr>
                      <w:rFonts w:cs="Arial"/>
                      <w:color w:val="000000"/>
                      <w:sz w:val="18"/>
                      <w:szCs w:val="22"/>
                      <w:lang w:val="es-ES_tradnl"/>
                    </w:rPr>
                  </w:pPr>
                  <w:r w:rsidRPr="00C83BDF">
                    <w:rPr>
                      <w:rFonts w:cs="Arial"/>
                      <w:sz w:val="18"/>
                      <w:szCs w:val="22"/>
                      <w:lang w:val="es-ES_tradnl"/>
                    </w:rPr>
                    <w:t>Inglés</w:t>
                  </w:r>
                  <w:r w:rsidR="00E65183" w:rsidRPr="00C83BDF">
                    <w:rPr>
                      <w:rFonts w:cs="Arial"/>
                      <w:color w:val="000000"/>
                      <w:sz w:val="18"/>
                      <w:szCs w:val="22"/>
                      <w:lang w:val="es-ES_tradnl"/>
                    </w:rPr>
                    <w:t xml:space="preserve"> </w:t>
                  </w:r>
                </w:p>
              </w:tc>
              <w:tc>
                <w:tcPr>
                  <w:tcW w:w="1134" w:type="dxa"/>
                </w:tcPr>
                <w:p w:rsidR="00E65183" w:rsidRPr="00C83BDF" w:rsidRDefault="00E65183" w:rsidP="006A0768">
                  <w:pPr>
                    <w:pStyle w:val="Default"/>
                    <w:ind w:right="57"/>
                    <w:jc w:val="right"/>
                    <w:rPr>
                      <w:sz w:val="18"/>
                      <w:szCs w:val="18"/>
                      <w:lang w:val="es-ES_tradnl"/>
                    </w:rPr>
                  </w:pPr>
                  <w:r w:rsidRPr="00C83BDF">
                    <w:rPr>
                      <w:sz w:val="18"/>
                      <w:szCs w:val="18"/>
                      <w:lang w:val="es-ES_tradnl"/>
                    </w:rPr>
                    <w:t>5</w:t>
                  </w:r>
                  <w:r w:rsidR="00FF4666" w:rsidRPr="00C83BDF">
                    <w:rPr>
                      <w:sz w:val="18"/>
                      <w:szCs w:val="18"/>
                      <w:lang w:val="es-ES_tradnl"/>
                    </w:rPr>
                    <w:t>3.9</w:t>
                  </w:r>
                  <w:r w:rsidRPr="00C83BDF">
                    <w:rPr>
                      <w:sz w:val="18"/>
                      <w:szCs w:val="18"/>
                      <w:lang w:val="es-ES_tradnl"/>
                    </w:rPr>
                    <w:t>64</w:t>
                  </w:r>
                </w:p>
              </w:tc>
              <w:tc>
                <w:tcPr>
                  <w:tcW w:w="1275" w:type="dxa"/>
                </w:tcPr>
                <w:p w:rsidR="00E65183" w:rsidRPr="00C83BDF" w:rsidRDefault="00E65183" w:rsidP="006A0768">
                  <w:pPr>
                    <w:pStyle w:val="Default"/>
                    <w:ind w:right="57"/>
                    <w:jc w:val="right"/>
                    <w:rPr>
                      <w:sz w:val="18"/>
                      <w:szCs w:val="18"/>
                      <w:lang w:val="es-ES_tradnl"/>
                    </w:rPr>
                  </w:pPr>
                  <w:r w:rsidRPr="00C83BDF">
                    <w:rPr>
                      <w:sz w:val="18"/>
                      <w:szCs w:val="18"/>
                      <w:lang w:val="es-ES_tradnl"/>
                    </w:rPr>
                    <w:t>3</w:t>
                  </w:r>
                  <w:r w:rsidR="00FF4666" w:rsidRPr="00C83BDF">
                    <w:rPr>
                      <w:sz w:val="18"/>
                      <w:szCs w:val="18"/>
                      <w:lang w:val="es-ES_tradnl"/>
                    </w:rPr>
                    <w:t>1.7</w:t>
                  </w:r>
                  <w:r w:rsidRPr="00C83BDF">
                    <w:rPr>
                      <w:sz w:val="18"/>
                      <w:szCs w:val="18"/>
                      <w:lang w:val="es-ES_tradnl"/>
                    </w:rPr>
                    <w:t>82</w:t>
                  </w:r>
                </w:p>
              </w:tc>
            </w:tr>
            <w:tr w:rsidR="00E65183" w:rsidRPr="00C83BDF" w:rsidTr="006A0768">
              <w:tc>
                <w:tcPr>
                  <w:tcW w:w="954" w:type="dxa"/>
                </w:tcPr>
                <w:p w:rsidR="00E65183" w:rsidRPr="00C83BDF" w:rsidRDefault="00C16BBE" w:rsidP="004737CD">
                  <w:pPr>
                    <w:autoSpaceDE w:val="0"/>
                    <w:autoSpaceDN w:val="0"/>
                    <w:adjustRightInd w:val="0"/>
                    <w:jc w:val="left"/>
                    <w:rPr>
                      <w:rFonts w:cs="Arial"/>
                      <w:color w:val="000000"/>
                      <w:sz w:val="18"/>
                      <w:szCs w:val="22"/>
                      <w:lang w:val="es-ES_tradnl"/>
                    </w:rPr>
                  </w:pPr>
                  <w:r w:rsidRPr="00C83BDF">
                    <w:rPr>
                      <w:rFonts w:cs="Arial"/>
                      <w:sz w:val="18"/>
                      <w:szCs w:val="22"/>
                      <w:lang w:val="es-ES_tradnl"/>
                    </w:rPr>
                    <w:t>Español</w:t>
                  </w:r>
                  <w:r w:rsidR="00E65183" w:rsidRPr="00C83BDF">
                    <w:rPr>
                      <w:rFonts w:cs="Arial"/>
                      <w:color w:val="000000"/>
                      <w:sz w:val="18"/>
                      <w:szCs w:val="22"/>
                      <w:lang w:val="es-ES_tradnl"/>
                    </w:rPr>
                    <w:t xml:space="preserve"> </w:t>
                  </w:r>
                </w:p>
              </w:tc>
              <w:tc>
                <w:tcPr>
                  <w:tcW w:w="1134" w:type="dxa"/>
                </w:tcPr>
                <w:p w:rsidR="00E65183" w:rsidRPr="00C83BDF" w:rsidRDefault="00FF4666" w:rsidP="006A0768">
                  <w:pPr>
                    <w:pStyle w:val="Default"/>
                    <w:ind w:right="57"/>
                    <w:jc w:val="right"/>
                    <w:rPr>
                      <w:sz w:val="18"/>
                      <w:szCs w:val="18"/>
                      <w:lang w:val="es-ES_tradnl"/>
                    </w:rPr>
                  </w:pPr>
                  <w:r w:rsidRPr="00C83BDF">
                    <w:rPr>
                      <w:sz w:val="18"/>
                      <w:szCs w:val="18"/>
                      <w:lang w:val="es-ES_tradnl"/>
                    </w:rPr>
                    <w:t>9.9</w:t>
                  </w:r>
                  <w:r w:rsidR="00E65183" w:rsidRPr="00C83BDF">
                    <w:rPr>
                      <w:sz w:val="18"/>
                      <w:szCs w:val="18"/>
                      <w:lang w:val="es-ES_tradnl"/>
                    </w:rPr>
                    <w:t>30</w:t>
                  </w:r>
                </w:p>
              </w:tc>
              <w:tc>
                <w:tcPr>
                  <w:tcW w:w="1275" w:type="dxa"/>
                </w:tcPr>
                <w:p w:rsidR="00E65183" w:rsidRPr="00C83BDF" w:rsidRDefault="00FF4666" w:rsidP="006A0768">
                  <w:pPr>
                    <w:pStyle w:val="Default"/>
                    <w:ind w:right="57"/>
                    <w:jc w:val="right"/>
                    <w:rPr>
                      <w:sz w:val="18"/>
                      <w:szCs w:val="18"/>
                      <w:lang w:val="es-ES_tradnl"/>
                    </w:rPr>
                  </w:pPr>
                  <w:r w:rsidRPr="00C83BDF">
                    <w:rPr>
                      <w:sz w:val="18"/>
                      <w:szCs w:val="18"/>
                      <w:lang w:val="es-ES_tradnl"/>
                    </w:rPr>
                    <w:t>5.8</w:t>
                  </w:r>
                  <w:r w:rsidR="00E65183" w:rsidRPr="00C83BDF">
                    <w:rPr>
                      <w:sz w:val="18"/>
                      <w:szCs w:val="18"/>
                      <w:lang w:val="es-ES_tradnl"/>
                    </w:rPr>
                    <w:t>25</w:t>
                  </w:r>
                </w:p>
              </w:tc>
            </w:tr>
            <w:tr w:rsidR="00E65183" w:rsidRPr="00C83BDF" w:rsidTr="006A0768">
              <w:tc>
                <w:tcPr>
                  <w:tcW w:w="954" w:type="dxa"/>
                </w:tcPr>
                <w:p w:rsidR="00E65183" w:rsidRPr="00C83BDF" w:rsidRDefault="00C16BBE" w:rsidP="004737CD">
                  <w:pPr>
                    <w:autoSpaceDE w:val="0"/>
                    <w:autoSpaceDN w:val="0"/>
                    <w:adjustRightInd w:val="0"/>
                    <w:jc w:val="left"/>
                    <w:rPr>
                      <w:rFonts w:cs="Arial"/>
                      <w:color w:val="000000"/>
                      <w:sz w:val="18"/>
                      <w:szCs w:val="22"/>
                      <w:lang w:val="es-ES_tradnl"/>
                    </w:rPr>
                  </w:pPr>
                  <w:r w:rsidRPr="00C83BDF">
                    <w:rPr>
                      <w:rFonts w:cs="Arial"/>
                      <w:sz w:val="18"/>
                      <w:szCs w:val="22"/>
                      <w:lang w:val="es-ES_tradnl"/>
                    </w:rPr>
                    <w:t>Francés</w:t>
                  </w:r>
                  <w:r w:rsidR="00E65183" w:rsidRPr="00C83BDF">
                    <w:rPr>
                      <w:rFonts w:cs="Arial"/>
                      <w:color w:val="000000"/>
                      <w:sz w:val="18"/>
                      <w:szCs w:val="22"/>
                      <w:lang w:val="es-ES_tradnl"/>
                    </w:rPr>
                    <w:t xml:space="preserve"> </w:t>
                  </w:r>
                </w:p>
              </w:tc>
              <w:tc>
                <w:tcPr>
                  <w:tcW w:w="1134" w:type="dxa"/>
                </w:tcPr>
                <w:p w:rsidR="00E65183" w:rsidRPr="00C83BDF" w:rsidRDefault="00FF4666" w:rsidP="006A0768">
                  <w:pPr>
                    <w:pStyle w:val="Default"/>
                    <w:ind w:right="57"/>
                    <w:jc w:val="right"/>
                    <w:rPr>
                      <w:sz w:val="18"/>
                      <w:szCs w:val="18"/>
                      <w:lang w:val="es-ES_tradnl"/>
                    </w:rPr>
                  </w:pPr>
                  <w:r w:rsidRPr="00C83BDF">
                    <w:rPr>
                      <w:sz w:val="18"/>
                      <w:szCs w:val="18"/>
                      <w:lang w:val="es-ES_tradnl"/>
                    </w:rPr>
                    <w:t>2.6</w:t>
                  </w:r>
                  <w:r w:rsidR="00E65183" w:rsidRPr="00C83BDF">
                    <w:rPr>
                      <w:sz w:val="18"/>
                      <w:szCs w:val="18"/>
                      <w:lang w:val="es-ES_tradnl"/>
                    </w:rPr>
                    <w:t>98</w:t>
                  </w:r>
                </w:p>
              </w:tc>
              <w:tc>
                <w:tcPr>
                  <w:tcW w:w="1275" w:type="dxa"/>
                </w:tcPr>
                <w:p w:rsidR="00E65183" w:rsidRPr="00C83BDF" w:rsidRDefault="00FF4666" w:rsidP="006A0768">
                  <w:pPr>
                    <w:pStyle w:val="Default"/>
                    <w:ind w:right="57"/>
                    <w:jc w:val="right"/>
                    <w:rPr>
                      <w:sz w:val="18"/>
                      <w:szCs w:val="18"/>
                      <w:lang w:val="es-ES_tradnl"/>
                    </w:rPr>
                  </w:pPr>
                  <w:r w:rsidRPr="00C83BDF">
                    <w:rPr>
                      <w:sz w:val="18"/>
                      <w:szCs w:val="18"/>
                      <w:lang w:val="es-ES_tradnl"/>
                    </w:rPr>
                    <w:t>1.6</w:t>
                  </w:r>
                  <w:r w:rsidR="00E65183" w:rsidRPr="00C83BDF">
                    <w:rPr>
                      <w:sz w:val="18"/>
                      <w:szCs w:val="18"/>
                      <w:lang w:val="es-ES_tradnl"/>
                    </w:rPr>
                    <w:t>18</w:t>
                  </w:r>
                </w:p>
              </w:tc>
            </w:tr>
            <w:tr w:rsidR="00E65183" w:rsidRPr="00C83BDF" w:rsidTr="006A0768">
              <w:tc>
                <w:tcPr>
                  <w:tcW w:w="954" w:type="dxa"/>
                </w:tcPr>
                <w:p w:rsidR="00E65183" w:rsidRPr="00C83BDF" w:rsidRDefault="00C16BBE" w:rsidP="004737CD">
                  <w:pPr>
                    <w:autoSpaceDE w:val="0"/>
                    <w:autoSpaceDN w:val="0"/>
                    <w:adjustRightInd w:val="0"/>
                    <w:jc w:val="left"/>
                    <w:rPr>
                      <w:rFonts w:cs="Arial"/>
                      <w:color w:val="000000"/>
                      <w:sz w:val="18"/>
                      <w:szCs w:val="22"/>
                      <w:lang w:val="es-ES_tradnl"/>
                    </w:rPr>
                  </w:pPr>
                  <w:r w:rsidRPr="00C83BDF">
                    <w:rPr>
                      <w:rFonts w:cs="Arial"/>
                      <w:sz w:val="18"/>
                      <w:szCs w:val="22"/>
                      <w:lang w:val="es-ES_tradnl"/>
                    </w:rPr>
                    <w:t>Alemán</w:t>
                  </w:r>
                  <w:r w:rsidR="00E65183" w:rsidRPr="00C83BDF">
                    <w:rPr>
                      <w:rFonts w:cs="Arial"/>
                      <w:color w:val="000000"/>
                      <w:sz w:val="18"/>
                      <w:szCs w:val="22"/>
                      <w:lang w:val="es-ES_tradnl"/>
                    </w:rPr>
                    <w:t xml:space="preserve"> </w:t>
                  </w:r>
                </w:p>
              </w:tc>
              <w:tc>
                <w:tcPr>
                  <w:tcW w:w="1134" w:type="dxa"/>
                </w:tcPr>
                <w:p w:rsidR="00E65183" w:rsidRPr="00C83BDF" w:rsidRDefault="00FF4666" w:rsidP="006A0768">
                  <w:pPr>
                    <w:pStyle w:val="Default"/>
                    <w:ind w:right="57"/>
                    <w:jc w:val="right"/>
                    <w:rPr>
                      <w:sz w:val="18"/>
                      <w:szCs w:val="18"/>
                      <w:lang w:val="es-ES_tradnl"/>
                    </w:rPr>
                  </w:pPr>
                  <w:r w:rsidRPr="00C83BDF">
                    <w:rPr>
                      <w:sz w:val="18"/>
                      <w:szCs w:val="18"/>
                      <w:lang w:val="es-ES_tradnl"/>
                    </w:rPr>
                    <w:t>1.2</w:t>
                  </w:r>
                  <w:r w:rsidR="00E65183" w:rsidRPr="00C83BDF">
                    <w:rPr>
                      <w:sz w:val="18"/>
                      <w:szCs w:val="18"/>
                      <w:lang w:val="es-ES_tradnl"/>
                    </w:rPr>
                    <w:t>92</w:t>
                  </w:r>
                </w:p>
              </w:tc>
              <w:tc>
                <w:tcPr>
                  <w:tcW w:w="1275" w:type="dxa"/>
                </w:tcPr>
                <w:p w:rsidR="00E65183" w:rsidRPr="00C83BDF" w:rsidRDefault="00E65183" w:rsidP="006A0768">
                  <w:pPr>
                    <w:pStyle w:val="Default"/>
                    <w:ind w:right="57"/>
                    <w:jc w:val="right"/>
                    <w:rPr>
                      <w:sz w:val="18"/>
                      <w:szCs w:val="18"/>
                      <w:lang w:val="es-ES_tradnl"/>
                    </w:rPr>
                  </w:pPr>
                  <w:r w:rsidRPr="00C83BDF">
                    <w:rPr>
                      <w:sz w:val="18"/>
                      <w:szCs w:val="18"/>
                      <w:lang w:val="es-ES_tradnl"/>
                    </w:rPr>
                    <w:t>864</w:t>
                  </w:r>
                </w:p>
              </w:tc>
            </w:tr>
          </w:tbl>
          <w:p w:rsidR="00E65183" w:rsidRPr="00C83BDF" w:rsidRDefault="00E65183" w:rsidP="004737CD">
            <w:pPr>
              <w:pStyle w:val="Heading8"/>
              <w:rPr>
                <w:lang w:val="es-ES_tradnl"/>
              </w:rPr>
            </w:pPr>
          </w:p>
        </w:tc>
      </w:tr>
    </w:tbl>
    <w:p w:rsidR="00E65183" w:rsidRPr="00C83BDF" w:rsidRDefault="00E65183" w:rsidP="00E65183">
      <w:pPr>
        <w:rPr>
          <w:lang w:val="es-ES_tradnl"/>
        </w:rPr>
      </w:pPr>
    </w:p>
    <w:tbl>
      <w:tblPr>
        <w:tblW w:w="9889" w:type="dxa"/>
        <w:tblLayout w:type="fixed"/>
        <w:tblLook w:val="0000" w:firstRow="0" w:lastRow="0" w:firstColumn="0" w:lastColumn="0" w:noHBand="0" w:noVBand="0"/>
      </w:tblPr>
      <w:tblGrid>
        <w:gridCol w:w="1951"/>
        <w:gridCol w:w="7938"/>
      </w:tblGrid>
      <w:tr w:rsidR="00E65183" w:rsidRPr="00C83BDF">
        <w:tc>
          <w:tcPr>
            <w:tcW w:w="1951" w:type="dxa"/>
            <w:shd w:val="clear" w:color="auto" w:fill="auto"/>
          </w:tcPr>
          <w:p w:rsidR="00E65183" w:rsidRPr="00C83BDF" w:rsidRDefault="00E65183" w:rsidP="004737CD">
            <w:pPr>
              <w:jc w:val="left"/>
              <w:rPr>
                <w:sz w:val="18"/>
                <w:szCs w:val="18"/>
                <w:lang w:val="es-ES_tradnl"/>
              </w:rPr>
            </w:pPr>
          </w:p>
        </w:tc>
        <w:tc>
          <w:tcPr>
            <w:tcW w:w="7938" w:type="dxa"/>
            <w:shd w:val="clear" w:color="auto" w:fill="auto"/>
          </w:tcPr>
          <w:p w:rsidR="00E65183" w:rsidRPr="00C83BDF" w:rsidRDefault="00C16BBE" w:rsidP="001B5FB2">
            <w:pPr>
              <w:keepNext/>
              <w:keepLines/>
              <w:spacing w:after="120"/>
              <w:jc w:val="left"/>
              <w:rPr>
                <w:i/>
                <w:sz w:val="18"/>
                <w:szCs w:val="18"/>
                <w:lang w:val="es-ES_tradnl"/>
              </w:rPr>
            </w:pPr>
            <w:r w:rsidRPr="00C83BDF">
              <w:rPr>
                <w:i/>
                <w:sz w:val="18"/>
                <w:szCs w:val="18"/>
                <w:lang w:val="es-ES_tradnl"/>
              </w:rPr>
              <w:t>Directrices de examen aprobadas</w:t>
            </w:r>
          </w:p>
          <w:p w:rsidR="00E65183" w:rsidRPr="00C83BDF" w:rsidRDefault="00C16BBE" w:rsidP="001B5FB2">
            <w:pPr>
              <w:keepNext/>
              <w:keepLines/>
              <w:spacing w:after="120"/>
              <w:jc w:val="left"/>
              <w:rPr>
                <w:sz w:val="18"/>
                <w:szCs w:val="18"/>
                <w:lang w:val="es-ES_tradnl"/>
              </w:rPr>
            </w:pPr>
            <w:r w:rsidRPr="00C83BDF">
              <w:rPr>
                <w:sz w:val="18"/>
                <w:szCs w:val="18"/>
                <w:lang w:val="es-ES_tradnl"/>
              </w:rPr>
              <w:t>En 2014, las directrices de examen aprobadas abarcaban el 90% de los géneros y especies vegetales que figuran como protegidos por derecho de obtentor en la base de datos de variedades vegetales (238.388 de 263.614) (el 91% en 2013:  225.241 de 247.818).</w:t>
            </w:r>
          </w:p>
          <w:p w:rsidR="00E65183" w:rsidRPr="00C83BDF" w:rsidRDefault="00C16BBE" w:rsidP="001B5FB2">
            <w:pPr>
              <w:keepNext/>
              <w:keepLines/>
              <w:spacing w:after="120"/>
              <w:jc w:val="left"/>
              <w:rPr>
                <w:i/>
                <w:color w:val="000000"/>
                <w:sz w:val="18"/>
                <w:szCs w:val="18"/>
                <w:lang w:val="es-ES_tradnl"/>
              </w:rPr>
            </w:pPr>
            <w:r w:rsidRPr="00C83BDF">
              <w:rPr>
                <w:sz w:val="18"/>
                <w:szCs w:val="18"/>
                <w:lang w:val="es-ES_tradnl"/>
              </w:rPr>
              <w:t>14 directrices de examen aprobadas por el TC, a saber:</w:t>
            </w:r>
            <w:r w:rsidR="00E65183" w:rsidRPr="00C83BDF">
              <w:rPr>
                <w:color w:val="000000"/>
                <w:sz w:val="18"/>
                <w:szCs w:val="18"/>
                <w:lang w:val="es-ES_tradnl"/>
              </w:rPr>
              <w:t xml:space="preserve"> </w:t>
            </w:r>
          </w:p>
          <w:p w:rsidR="00E65183" w:rsidRPr="00C83BDF" w:rsidRDefault="00E65183" w:rsidP="001B5FB2">
            <w:pPr>
              <w:spacing w:after="60"/>
              <w:ind w:left="743" w:hanging="386"/>
              <w:jc w:val="left"/>
              <w:rPr>
                <w:i/>
                <w:color w:val="000000"/>
                <w:sz w:val="18"/>
                <w:szCs w:val="18"/>
                <w:lang w:val="es-ES_tradnl"/>
              </w:rPr>
            </w:pPr>
            <w:r w:rsidRPr="00C83BDF">
              <w:rPr>
                <w:color w:val="000000"/>
                <w:sz w:val="18"/>
                <w:szCs w:val="18"/>
                <w:lang w:val="es-ES_tradnl"/>
              </w:rPr>
              <w:t>–</w:t>
            </w:r>
            <w:r w:rsidRPr="00C83BDF">
              <w:rPr>
                <w:color w:val="000000"/>
                <w:sz w:val="18"/>
                <w:szCs w:val="18"/>
                <w:lang w:val="es-ES_tradnl"/>
              </w:rPr>
              <w:tab/>
            </w:r>
            <w:r w:rsidR="00C16BBE" w:rsidRPr="00C83BDF">
              <w:rPr>
                <w:sz w:val="18"/>
                <w:szCs w:val="18"/>
                <w:lang w:val="es-ES_tradnl"/>
              </w:rPr>
              <w:t>6 nuevas directrices de examen:</w:t>
            </w:r>
            <w:r w:rsidRPr="00C83BDF">
              <w:rPr>
                <w:color w:val="000000"/>
                <w:sz w:val="18"/>
                <w:szCs w:val="18"/>
                <w:lang w:val="es-ES_tradnl"/>
              </w:rPr>
              <w:t xml:space="preserve"> </w:t>
            </w:r>
            <w:r w:rsidR="00C16BBE" w:rsidRPr="00C83BDF">
              <w:rPr>
                <w:color w:val="000000"/>
                <w:sz w:val="18"/>
                <w:szCs w:val="18"/>
                <w:lang w:val="es-ES_tradnl"/>
              </w:rPr>
              <w:t xml:space="preserve"> </w:t>
            </w:r>
            <w:r w:rsidRPr="00C83BDF">
              <w:rPr>
                <w:color w:val="000000"/>
                <w:sz w:val="18"/>
                <w:szCs w:val="18"/>
                <w:lang w:val="es-ES_tradnl"/>
              </w:rPr>
              <w:t>TWA (1)</w:t>
            </w:r>
            <w:r w:rsidR="00220E3C" w:rsidRPr="00C83BDF">
              <w:rPr>
                <w:color w:val="000000"/>
                <w:sz w:val="18"/>
                <w:szCs w:val="18"/>
                <w:lang w:val="es-ES_tradnl"/>
              </w:rPr>
              <w:t xml:space="preserve">, </w:t>
            </w:r>
            <w:r w:rsidRPr="00C83BDF">
              <w:rPr>
                <w:color w:val="000000"/>
                <w:sz w:val="18"/>
                <w:szCs w:val="18"/>
                <w:lang w:val="es-ES_tradnl"/>
              </w:rPr>
              <w:t>TWF (2)</w:t>
            </w:r>
            <w:r w:rsidR="00220E3C" w:rsidRPr="00C83BDF">
              <w:rPr>
                <w:color w:val="000000"/>
                <w:sz w:val="18"/>
                <w:szCs w:val="18"/>
                <w:lang w:val="es-ES_tradnl"/>
              </w:rPr>
              <w:t xml:space="preserve">, </w:t>
            </w:r>
            <w:r w:rsidRPr="00C83BDF">
              <w:rPr>
                <w:color w:val="000000"/>
                <w:sz w:val="18"/>
                <w:szCs w:val="18"/>
                <w:lang w:val="es-ES_tradnl"/>
              </w:rPr>
              <w:t>TWO (3)</w:t>
            </w:r>
          </w:p>
          <w:p w:rsidR="00E65183" w:rsidRPr="00C83BDF" w:rsidRDefault="00E65183" w:rsidP="001B5FB2">
            <w:pPr>
              <w:spacing w:after="120"/>
              <w:ind w:left="743" w:hanging="386"/>
              <w:jc w:val="left"/>
              <w:rPr>
                <w:color w:val="000000"/>
                <w:sz w:val="18"/>
                <w:szCs w:val="18"/>
                <w:lang w:val="es-ES_tradnl"/>
              </w:rPr>
            </w:pPr>
            <w:r w:rsidRPr="00C83BDF">
              <w:rPr>
                <w:color w:val="000000"/>
                <w:sz w:val="18"/>
                <w:szCs w:val="18"/>
                <w:lang w:val="es-ES_tradnl"/>
              </w:rPr>
              <w:t>–</w:t>
            </w:r>
            <w:r w:rsidRPr="00C83BDF">
              <w:rPr>
                <w:color w:val="000000"/>
                <w:sz w:val="18"/>
                <w:szCs w:val="18"/>
                <w:lang w:val="es-ES_tradnl"/>
              </w:rPr>
              <w:tab/>
            </w:r>
            <w:r w:rsidR="00C16BBE" w:rsidRPr="00C83BDF">
              <w:rPr>
                <w:sz w:val="18"/>
                <w:szCs w:val="18"/>
                <w:lang w:val="es-ES_tradnl"/>
              </w:rPr>
              <w:t>5 revisiones de directrices de examen:</w:t>
            </w:r>
            <w:r w:rsidRPr="00C83BDF">
              <w:rPr>
                <w:color w:val="000000"/>
                <w:sz w:val="18"/>
                <w:szCs w:val="18"/>
                <w:lang w:val="es-ES_tradnl"/>
              </w:rPr>
              <w:t xml:space="preserve">  TWA (2)</w:t>
            </w:r>
            <w:r w:rsidR="00220E3C" w:rsidRPr="00C83BDF">
              <w:rPr>
                <w:color w:val="000000"/>
                <w:sz w:val="18"/>
                <w:szCs w:val="18"/>
                <w:lang w:val="es-ES_tradnl"/>
              </w:rPr>
              <w:t xml:space="preserve">, </w:t>
            </w:r>
            <w:r w:rsidRPr="00C83BDF">
              <w:rPr>
                <w:color w:val="000000"/>
                <w:sz w:val="18"/>
                <w:szCs w:val="18"/>
                <w:lang w:val="es-ES_tradnl"/>
              </w:rPr>
              <w:t>TWF (1)</w:t>
            </w:r>
            <w:r w:rsidR="00C16BBE" w:rsidRPr="00C83BDF">
              <w:rPr>
                <w:color w:val="000000"/>
                <w:sz w:val="18"/>
                <w:szCs w:val="18"/>
                <w:lang w:val="es-ES_tradnl"/>
              </w:rPr>
              <w:t>,</w:t>
            </w:r>
            <w:r w:rsidRPr="00C83BDF">
              <w:rPr>
                <w:color w:val="000000"/>
                <w:sz w:val="18"/>
                <w:szCs w:val="18"/>
                <w:lang w:val="es-ES_tradnl"/>
              </w:rPr>
              <w:t xml:space="preserve"> TWV (2)</w:t>
            </w:r>
          </w:p>
          <w:p w:rsidR="00E65183" w:rsidRPr="00C83BDF" w:rsidRDefault="00E65183" w:rsidP="001B5FB2">
            <w:pPr>
              <w:spacing w:after="120"/>
              <w:ind w:left="743" w:hanging="386"/>
              <w:jc w:val="left"/>
              <w:rPr>
                <w:color w:val="000000"/>
                <w:sz w:val="18"/>
                <w:szCs w:val="18"/>
                <w:lang w:val="es-ES_tradnl"/>
              </w:rPr>
            </w:pPr>
            <w:r w:rsidRPr="00C83BDF">
              <w:rPr>
                <w:color w:val="000000"/>
                <w:sz w:val="18"/>
                <w:szCs w:val="18"/>
                <w:lang w:val="es-ES_tradnl"/>
              </w:rPr>
              <w:t>–</w:t>
            </w:r>
            <w:r w:rsidRPr="00C83BDF">
              <w:rPr>
                <w:color w:val="000000"/>
                <w:sz w:val="18"/>
                <w:szCs w:val="18"/>
                <w:lang w:val="es-ES_tradnl"/>
              </w:rPr>
              <w:tab/>
            </w:r>
            <w:r w:rsidR="00C16BBE" w:rsidRPr="00C83BDF">
              <w:rPr>
                <w:sz w:val="18"/>
                <w:szCs w:val="18"/>
                <w:lang w:val="es-ES_tradnl"/>
              </w:rPr>
              <w:t>4 revisiones parciales de directrices de examen:</w:t>
            </w:r>
            <w:r w:rsidRPr="00C83BDF">
              <w:rPr>
                <w:color w:val="000000"/>
                <w:sz w:val="18"/>
                <w:szCs w:val="18"/>
                <w:lang w:val="es-ES_tradnl"/>
              </w:rPr>
              <w:t xml:space="preserve">  TWF (1)</w:t>
            </w:r>
            <w:r w:rsidR="00C16BBE" w:rsidRPr="00C83BDF">
              <w:rPr>
                <w:color w:val="000000"/>
                <w:sz w:val="18"/>
                <w:szCs w:val="18"/>
                <w:lang w:val="es-ES_tradnl"/>
              </w:rPr>
              <w:t>,</w:t>
            </w:r>
            <w:r w:rsidRPr="00C83BDF">
              <w:rPr>
                <w:color w:val="000000"/>
                <w:sz w:val="18"/>
                <w:szCs w:val="18"/>
                <w:lang w:val="es-ES_tradnl"/>
              </w:rPr>
              <w:t xml:space="preserve"> TWV (3)</w:t>
            </w:r>
          </w:p>
          <w:p w:rsidR="00E65183" w:rsidRPr="00C83BDF" w:rsidRDefault="00C16BBE" w:rsidP="001B5FB2">
            <w:pPr>
              <w:spacing w:before="240" w:after="120"/>
              <w:jc w:val="left"/>
              <w:rPr>
                <w:i/>
                <w:color w:val="000000"/>
                <w:sz w:val="18"/>
                <w:szCs w:val="18"/>
                <w:lang w:val="es-ES_tradnl"/>
              </w:rPr>
            </w:pPr>
            <w:r w:rsidRPr="00C83BDF">
              <w:rPr>
                <w:i/>
                <w:sz w:val="18"/>
                <w:szCs w:val="18"/>
                <w:lang w:val="es-ES_tradnl"/>
              </w:rPr>
              <w:t>Directrices de examen cuya elaboración avanzó en los Grupos de Trabajo Técnico</w:t>
            </w:r>
          </w:p>
          <w:p w:rsidR="00E65183" w:rsidRPr="00C83BDF" w:rsidRDefault="00C16BBE" w:rsidP="001B5FB2">
            <w:pPr>
              <w:keepNext/>
              <w:keepLines/>
              <w:spacing w:after="120"/>
              <w:jc w:val="left"/>
              <w:rPr>
                <w:i/>
                <w:color w:val="000000"/>
                <w:sz w:val="18"/>
                <w:szCs w:val="18"/>
                <w:lang w:val="es-ES_tradnl"/>
              </w:rPr>
            </w:pPr>
            <w:r w:rsidRPr="00C83BDF">
              <w:rPr>
                <w:sz w:val="18"/>
                <w:szCs w:val="18"/>
                <w:lang w:val="es-ES_tradnl"/>
              </w:rPr>
              <w:t>57 proyectos de directrices de examen cuya elaboración avanzó en los Grupos de Trabajo Técnico, a saber:</w:t>
            </w:r>
          </w:p>
          <w:p w:rsidR="00E65183" w:rsidRPr="00C83BDF" w:rsidRDefault="00E65183" w:rsidP="001B5FB2">
            <w:pPr>
              <w:spacing w:after="60"/>
              <w:ind w:left="743" w:hanging="386"/>
              <w:jc w:val="left"/>
              <w:rPr>
                <w:color w:val="000000"/>
                <w:sz w:val="18"/>
                <w:szCs w:val="18"/>
                <w:lang w:val="es-ES_tradnl"/>
              </w:rPr>
            </w:pPr>
            <w:r w:rsidRPr="00C83BDF">
              <w:rPr>
                <w:color w:val="000000"/>
                <w:sz w:val="18"/>
                <w:szCs w:val="18"/>
                <w:lang w:val="es-ES_tradnl"/>
              </w:rPr>
              <w:t>–</w:t>
            </w:r>
            <w:r w:rsidRPr="00C83BDF">
              <w:rPr>
                <w:color w:val="000000"/>
                <w:sz w:val="18"/>
                <w:szCs w:val="18"/>
                <w:lang w:val="es-ES_tradnl"/>
              </w:rPr>
              <w:tab/>
            </w:r>
            <w:r w:rsidR="00C16BBE" w:rsidRPr="00C83BDF">
              <w:rPr>
                <w:sz w:val="18"/>
                <w:szCs w:val="18"/>
                <w:lang w:val="es-ES_tradnl"/>
              </w:rPr>
              <w:t>26 nuevas directrices de examen:</w:t>
            </w:r>
            <w:r w:rsidRPr="00C83BDF">
              <w:rPr>
                <w:color w:val="000000"/>
                <w:sz w:val="18"/>
                <w:szCs w:val="18"/>
                <w:lang w:val="es-ES_tradnl"/>
              </w:rPr>
              <w:t xml:space="preserve">  TWA (7)</w:t>
            </w:r>
            <w:r w:rsidR="00220E3C" w:rsidRPr="00C83BDF">
              <w:rPr>
                <w:color w:val="000000"/>
                <w:sz w:val="18"/>
                <w:szCs w:val="18"/>
                <w:lang w:val="es-ES_tradnl"/>
              </w:rPr>
              <w:t xml:space="preserve">, </w:t>
            </w:r>
            <w:r w:rsidRPr="00C83BDF">
              <w:rPr>
                <w:color w:val="000000"/>
                <w:sz w:val="18"/>
                <w:szCs w:val="18"/>
                <w:lang w:val="es-ES_tradnl"/>
              </w:rPr>
              <w:t>TWF (5)</w:t>
            </w:r>
            <w:r w:rsidR="00220E3C" w:rsidRPr="00C83BDF">
              <w:rPr>
                <w:color w:val="000000"/>
                <w:sz w:val="18"/>
                <w:szCs w:val="18"/>
                <w:lang w:val="es-ES_tradnl"/>
              </w:rPr>
              <w:t xml:space="preserve">, </w:t>
            </w:r>
            <w:r w:rsidRPr="00C83BDF">
              <w:rPr>
                <w:color w:val="000000"/>
                <w:sz w:val="18"/>
                <w:szCs w:val="18"/>
                <w:lang w:val="es-ES_tradnl"/>
              </w:rPr>
              <w:t>TWO (11)</w:t>
            </w:r>
            <w:r w:rsidR="00220E3C" w:rsidRPr="00C83BDF">
              <w:rPr>
                <w:color w:val="000000"/>
                <w:sz w:val="18"/>
                <w:szCs w:val="18"/>
                <w:lang w:val="es-ES_tradnl"/>
              </w:rPr>
              <w:t xml:space="preserve">, </w:t>
            </w:r>
            <w:r w:rsidRPr="00C83BDF">
              <w:rPr>
                <w:color w:val="000000"/>
                <w:sz w:val="18"/>
                <w:szCs w:val="18"/>
                <w:lang w:val="es-ES_tradnl"/>
              </w:rPr>
              <w:t>TWV (3)</w:t>
            </w:r>
          </w:p>
          <w:p w:rsidR="00E65183" w:rsidRPr="00C83BDF" w:rsidRDefault="00E65183" w:rsidP="001B5FB2">
            <w:pPr>
              <w:spacing w:after="60"/>
              <w:ind w:left="743" w:hanging="386"/>
              <w:jc w:val="left"/>
              <w:rPr>
                <w:color w:val="000000"/>
                <w:sz w:val="18"/>
                <w:szCs w:val="18"/>
                <w:lang w:val="es-ES_tradnl"/>
              </w:rPr>
            </w:pPr>
            <w:r w:rsidRPr="00C83BDF">
              <w:rPr>
                <w:color w:val="000000"/>
                <w:sz w:val="18"/>
                <w:szCs w:val="18"/>
                <w:lang w:val="es-ES_tradnl"/>
              </w:rPr>
              <w:t>–</w:t>
            </w:r>
            <w:r w:rsidRPr="00C83BDF">
              <w:rPr>
                <w:color w:val="000000"/>
                <w:sz w:val="18"/>
                <w:szCs w:val="18"/>
                <w:lang w:val="es-ES_tradnl"/>
              </w:rPr>
              <w:tab/>
            </w:r>
            <w:r w:rsidR="00C16BBE" w:rsidRPr="00C83BDF">
              <w:rPr>
                <w:sz w:val="18"/>
                <w:szCs w:val="18"/>
                <w:lang w:val="es-ES_tradnl"/>
              </w:rPr>
              <w:t>15 revisiones:</w:t>
            </w:r>
            <w:r w:rsidRPr="00C83BDF">
              <w:rPr>
                <w:color w:val="000000"/>
                <w:sz w:val="18"/>
                <w:szCs w:val="18"/>
                <w:lang w:val="es-ES_tradnl"/>
              </w:rPr>
              <w:t xml:space="preserve">  TWA (2)</w:t>
            </w:r>
            <w:r w:rsidR="00220E3C" w:rsidRPr="00C83BDF">
              <w:rPr>
                <w:color w:val="000000"/>
                <w:sz w:val="18"/>
                <w:szCs w:val="18"/>
                <w:lang w:val="es-ES_tradnl"/>
              </w:rPr>
              <w:t xml:space="preserve">, </w:t>
            </w:r>
            <w:r w:rsidRPr="00C83BDF">
              <w:rPr>
                <w:color w:val="000000"/>
                <w:sz w:val="18"/>
                <w:szCs w:val="18"/>
                <w:lang w:val="es-ES_tradnl"/>
              </w:rPr>
              <w:t>TWF (4)</w:t>
            </w:r>
            <w:r w:rsidR="00220E3C" w:rsidRPr="00C83BDF">
              <w:rPr>
                <w:color w:val="000000"/>
                <w:sz w:val="18"/>
                <w:szCs w:val="18"/>
                <w:lang w:val="es-ES_tradnl"/>
              </w:rPr>
              <w:t xml:space="preserve">, </w:t>
            </w:r>
            <w:r w:rsidRPr="00C83BDF">
              <w:rPr>
                <w:color w:val="000000"/>
                <w:sz w:val="18"/>
                <w:szCs w:val="18"/>
                <w:lang w:val="es-ES_tradnl"/>
              </w:rPr>
              <w:t>TWO (5)</w:t>
            </w:r>
            <w:r w:rsidR="00220E3C" w:rsidRPr="00C83BDF">
              <w:rPr>
                <w:color w:val="000000"/>
                <w:sz w:val="18"/>
                <w:szCs w:val="18"/>
                <w:lang w:val="es-ES_tradnl"/>
              </w:rPr>
              <w:t xml:space="preserve">, </w:t>
            </w:r>
            <w:r w:rsidRPr="00C83BDF">
              <w:rPr>
                <w:color w:val="000000"/>
                <w:sz w:val="18"/>
                <w:szCs w:val="18"/>
                <w:lang w:val="es-ES_tradnl"/>
              </w:rPr>
              <w:t>TWV (4)</w:t>
            </w:r>
          </w:p>
          <w:p w:rsidR="00E65183" w:rsidRPr="00C83BDF" w:rsidRDefault="00E65183" w:rsidP="001B5FB2">
            <w:pPr>
              <w:spacing w:after="60"/>
              <w:ind w:left="743" w:hanging="386"/>
              <w:jc w:val="left"/>
              <w:rPr>
                <w:color w:val="000000"/>
                <w:sz w:val="18"/>
                <w:szCs w:val="18"/>
                <w:highlight w:val="yellow"/>
                <w:lang w:val="es-ES_tradnl"/>
              </w:rPr>
            </w:pPr>
            <w:r w:rsidRPr="00C83BDF">
              <w:rPr>
                <w:color w:val="000000"/>
                <w:sz w:val="18"/>
                <w:szCs w:val="18"/>
                <w:lang w:val="es-ES_tradnl"/>
              </w:rPr>
              <w:t>–</w:t>
            </w:r>
            <w:r w:rsidRPr="00C83BDF">
              <w:rPr>
                <w:color w:val="000000"/>
                <w:sz w:val="18"/>
                <w:szCs w:val="18"/>
                <w:lang w:val="es-ES_tradnl"/>
              </w:rPr>
              <w:tab/>
            </w:r>
            <w:r w:rsidR="00C16BBE" w:rsidRPr="00C83BDF">
              <w:rPr>
                <w:sz w:val="18"/>
                <w:szCs w:val="18"/>
                <w:lang w:val="es-ES_tradnl"/>
              </w:rPr>
              <w:t>16 revisiones parciales</w:t>
            </w:r>
            <w:r w:rsidRPr="00C83BDF">
              <w:rPr>
                <w:color w:val="000000"/>
                <w:sz w:val="18"/>
                <w:szCs w:val="18"/>
                <w:lang w:val="es-ES_tradnl"/>
              </w:rPr>
              <w:t xml:space="preserve">  TWF (1)</w:t>
            </w:r>
            <w:r w:rsidR="00220E3C" w:rsidRPr="00C83BDF">
              <w:rPr>
                <w:color w:val="000000"/>
                <w:sz w:val="18"/>
                <w:szCs w:val="18"/>
                <w:lang w:val="es-ES_tradnl"/>
              </w:rPr>
              <w:t xml:space="preserve">, </w:t>
            </w:r>
            <w:r w:rsidRPr="00C83BDF">
              <w:rPr>
                <w:color w:val="000000"/>
                <w:sz w:val="18"/>
                <w:szCs w:val="18"/>
                <w:lang w:val="es-ES_tradnl"/>
              </w:rPr>
              <w:t>TWO (2)</w:t>
            </w:r>
            <w:r w:rsidR="00220E3C" w:rsidRPr="00C83BDF">
              <w:rPr>
                <w:color w:val="000000"/>
                <w:sz w:val="18"/>
                <w:szCs w:val="18"/>
                <w:lang w:val="es-ES_tradnl"/>
              </w:rPr>
              <w:t xml:space="preserve">, </w:t>
            </w:r>
            <w:r w:rsidRPr="00C83BDF">
              <w:rPr>
                <w:color w:val="000000"/>
                <w:sz w:val="18"/>
                <w:szCs w:val="18"/>
                <w:lang w:val="es-ES_tradnl"/>
              </w:rPr>
              <w:t>TWV (13)</w:t>
            </w:r>
          </w:p>
        </w:tc>
      </w:tr>
    </w:tbl>
    <w:p w:rsidR="00E65183" w:rsidRPr="00C83BDF" w:rsidRDefault="00E65183" w:rsidP="00E65183">
      <w:pPr>
        <w:rPr>
          <w:lang w:val="es-ES_tradnl"/>
        </w:rPr>
      </w:pPr>
    </w:p>
    <w:p w:rsidR="00E65183" w:rsidRPr="00C83BDF" w:rsidRDefault="00E65183" w:rsidP="00E65183">
      <w:pPr>
        <w:rPr>
          <w:lang w:val="es-ES_tradnl"/>
        </w:rPr>
      </w:pPr>
    </w:p>
    <w:tbl>
      <w:tblPr>
        <w:tblW w:w="9889" w:type="dxa"/>
        <w:tblLayout w:type="fixed"/>
        <w:tblLook w:val="0000" w:firstRow="0" w:lastRow="0" w:firstColumn="0" w:lastColumn="0" w:noHBand="0" w:noVBand="0"/>
      </w:tblPr>
      <w:tblGrid>
        <w:gridCol w:w="1951"/>
        <w:gridCol w:w="3827"/>
        <w:gridCol w:w="4111"/>
      </w:tblGrid>
      <w:tr w:rsidR="00E65183" w:rsidRPr="00C83BDF">
        <w:tc>
          <w:tcPr>
            <w:tcW w:w="1951" w:type="dxa"/>
            <w:shd w:val="clear" w:color="auto" w:fill="auto"/>
          </w:tcPr>
          <w:p w:rsidR="00E65183" w:rsidRPr="00C83BDF" w:rsidRDefault="00E65183" w:rsidP="004737CD">
            <w:pPr>
              <w:pStyle w:val="Heading6"/>
              <w:keepNext/>
              <w:rPr>
                <w:lang w:val="es-ES_tradnl"/>
              </w:rPr>
            </w:pPr>
            <w:bookmarkStart w:id="57" w:name="_Toc431824246"/>
            <w:r w:rsidRPr="00C83BDF">
              <w:rPr>
                <w:lang w:val="es-ES_tradnl"/>
              </w:rPr>
              <w:t xml:space="preserve">3.  </w:t>
            </w:r>
            <w:r w:rsidR="00C16BBE" w:rsidRPr="00C83BDF">
              <w:rPr>
                <w:lang w:val="es-ES_tradnl"/>
              </w:rPr>
              <w:t>Cooperación en materia de examen de variedades vegetales para la obtención de derechos de obtentor</w:t>
            </w:r>
            <w:bookmarkEnd w:id="57"/>
          </w:p>
        </w:tc>
        <w:tc>
          <w:tcPr>
            <w:tcW w:w="7938" w:type="dxa"/>
            <w:gridSpan w:val="2"/>
            <w:shd w:val="clear" w:color="auto" w:fill="auto"/>
          </w:tcPr>
          <w:p w:rsidR="00E65183" w:rsidRPr="00C83BDF" w:rsidRDefault="00C16BBE" w:rsidP="008125CE">
            <w:pPr>
              <w:pStyle w:val="Heading8"/>
              <w:keepNext/>
              <w:rPr>
                <w:lang w:val="es-ES_tradnl"/>
              </w:rPr>
            </w:pPr>
            <w:bookmarkStart w:id="58" w:name="_Toc431824247"/>
            <w:r w:rsidRPr="00C83BDF">
              <w:rPr>
                <w:lang w:val="es-ES_tradnl"/>
              </w:rPr>
              <w:t>Base de datos GENIE:</w:t>
            </w:r>
            <w:r w:rsidR="00D94EA2" w:rsidRPr="00C83BDF">
              <w:rPr>
                <w:lang w:val="es-ES_tradnl"/>
              </w:rPr>
              <w:t xml:space="preserve">  </w:t>
            </w:r>
            <w:r w:rsidRPr="00C83BDF">
              <w:rPr>
                <w:lang w:val="es-ES_tradnl"/>
              </w:rPr>
              <w:t>visitas al sitio web de la UPOV en 2014</w:t>
            </w:r>
            <w:bookmarkEnd w:id="58"/>
          </w:p>
        </w:tc>
      </w:tr>
      <w:tr w:rsidR="00E65183" w:rsidRPr="00C83BDF">
        <w:tc>
          <w:tcPr>
            <w:tcW w:w="1951" w:type="dxa"/>
            <w:shd w:val="clear" w:color="auto" w:fill="auto"/>
          </w:tcPr>
          <w:p w:rsidR="00E65183" w:rsidRPr="00C83BDF" w:rsidRDefault="00E65183" w:rsidP="004737CD">
            <w:pPr>
              <w:pStyle w:val="Heading6"/>
              <w:rPr>
                <w:lang w:val="es-ES_tradnl"/>
              </w:rPr>
            </w:pPr>
          </w:p>
        </w:tc>
        <w:tc>
          <w:tcPr>
            <w:tcW w:w="3827" w:type="dxa"/>
            <w:shd w:val="clear" w:color="auto" w:fill="auto"/>
          </w:tcPr>
          <w:tbl>
            <w:tblPr>
              <w:tblW w:w="38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30"/>
              <w:gridCol w:w="1001"/>
              <w:gridCol w:w="1087"/>
            </w:tblGrid>
            <w:tr w:rsidR="00E65183" w:rsidRPr="00C83BDF" w:rsidTr="006A0768">
              <w:tc>
                <w:tcPr>
                  <w:tcW w:w="1730" w:type="dxa"/>
                </w:tcPr>
                <w:p w:rsidR="00E65183" w:rsidRPr="00C83BDF" w:rsidRDefault="00E65183" w:rsidP="004737CD">
                  <w:pPr>
                    <w:pStyle w:val="Default"/>
                    <w:ind w:firstLine="6"/>
                    <w:rPr>
                      <w:sz w:val="18"/>
                      <w:szCs w:val="18"/>
                      <w:lang w:val="es-ES_tradnl"/>
                    </w:rPr>
                  </w:pPr>
                </w:p>
              </w:tc>
              <w:tc>
                <w:tcPr>
                  <w:tcW w:w="1001" w:type="dxa"/>
                </w:tcPr>
                <w:p w:rsidR="00E65183" w:rsidRPr="00C83BDF" w:rsidRDefault="00E65183" w:rsidP="004737CD">
                  <w:pPr>
                    <w:pStyle w:val="Default"/>
                    <w:jc w:val="center"/>
                    <w:rPr>
                      <w:i/>
                      <w:sz w:val="18"/>
                      <w:szCs w:val="18"/>
                      <w:lang w:val="es-ES_tradnl"/>
                    </w:rPr>
                  </w:pPr>
                  <w:r w:rsidRPr="00C83BDF">
                    <w:rPr>
                      <w:i/>
                      <w:sz w:val="18"/>
                      <w:szCs w:val="18"/>
                      <w:lang w:val="es-ES_tradnl"/>
                    </w:rPr>
                    <w:t>2014</w:t>
                  </w:r>
                </w:p>
              </w:tc>
              <w:tc>
                <w:tcPr>
                  <w:tcW w:w="1087" w:type="dxa"/>
                </w:tcPr>
                <w:p w:rsidR="00E65183" w:rsidRPr="00C83BDF" w:rsidRDefault="00E65183" w:rsidP="004737CD">
                  <w:pPr>
                    <w:pStyle w:val="Default"/>
                    <w:jc w:val="center"/>
                    <w:rPr>
                      <w:i/>
                      <w:sz w:val="18"/>
                      <w:szCs w:val="18"/>
                      <w:lang w:val="es-ES_tradnl"/>
                    </w:rPr>
                  </w:pPr>
                  <w:r w:rsidRPr="00C83BDF">
                    <w:rPr>
                      <w:i/>
                      <w:sz w:val="18"/>
                      <w:szCs w:val="18"/>
                      <w:lang w:val="es-ES_tradnl"/>
                    </w:rPr>
                    <w:t>2013</w:t>
                  </w:r>
                </w:p>
              </w:tc>
            </w:tr>
            <w:tr w:rsidR="00E65183" w:rsidRPr="00C83BDF" w:rsidTr="006A0768">
              <w:tc>
                <w:tcPr>
                  <w:tcW w:w="1730" w:type="dxa"/>
                </w:tcPr>
                <w:p w:rsidR="00E65183" w:rsidRPr="00C83BDF" w:rsidRDefault="00C16BBE" w:rsidP="004737CD">
                  <w:pPr>
                    <w:pStyle w:val="Default"/>
                    <w:ind w:firstLine="6"/>
                    <w:rPr>
                      <w:sz w:val="18"/>
                      <w:szCs w:val="18"/>
                      <w:lang w:val="es-ES_tradnl"/>
                    </w:rPr>
                  </w:pPr>
                  <w:r w:rsidRPr="00C83BDF">
                    <w:rPr>
                      <w:sz w:val="18"/>
                      <w:szCs w:val="18"/>
                      <w:lang w:val="es-ES_tradnl"/>
                    </w:rPr>
                    <w:t>Sesiones</w:t>
                  </w:r>
                  <w:r w:rsidR="00E65183" w:rsidRPr="00C83BDF">
                    <w:rPr>
                      <w:sz w:val="18"/>
                      <w:szCs w:val="18"/>
                      <w:lang w:val="es-ES_tradnl"/>
                    </w:rPr>
                    <w:t xml:space="preserve"> </w:t>
                  </w:r>
                </w:p>
              </w:tc>
              <w:tc>
                <w:tcPr>
                  <w:tcW w:w="1001" w:type="dxa"/>
                </w:tcPr>
                <w:p w:rsidR="00E65183" w:rsidRPr="00C83BDF" w:rsidRDefault="00E65183" w:rsidP="004737CD">
                  <w:pPr>
                    <w:pStyle w:val="Default"/>
                    <w:ind w:right="113"/>
                    <w:jc w:val="right"/>
                    <w:rPr>
                      <w:sz w:val="18"/>
                      <w:szCs w:val="18"/>
                      <w:lang w:val="es-ES_tradnl"/>
                    </w:rPr>
                  </w:pPr>
                  <w:r w:rsidRPr="00C83BDF">
                    <w:rPr>
                      <w:sz w:val="18"/>
                      <w:szCs w:val="18"/>
                      <w:lang w:val="es-ES_tradnl"/>
                    </w:rPr>
                    <w:t>1</w:t>
                  </w:r>
                  <w:r w:rsidR="00AD0B9E" w:rsidRPr="00C83BDF">
                    <w:rPr>
                      <w:sz w:val="18"/>
                      <w:szCs w:val="18"/>
                      <w:lang w:val="es-ES_tradnl"/>
                    </w:rPr>
                    <w:t>5.5</w:t>
                  </w:r>
                  <w:r w:rsidRPr="00C83BDF">
                    <w:rPr>
                      <w:sz w:val="18"/>
                      <w:szCs w:val="18"/>
                      <w:lang w:val="es-ES_tradnl"/>
                    </w:rPr>
                    <w:t>86</w:t>
                  </w:r>
                </w:p>
              </w:tc>
              <w:tc>
                <w:tcPr>
                  <w:tcW w:w="1087" w:type="dxa"/>
                </w:tcPr>
                <w:p w:rsidR="00E65183" w:rsidRPr="00C83BDF" w:rsidRDefault="00E65183" w:rsidP="004737CD">
                  <w:pPr>
                    <w:pStyle w:val="Default"/>
                    <w:ind w:right="113"/>
                    <w:jc w:val="right"/>
                    <w:rPr>
                      <w:sz w:val="18"/>
                      <w:szCs w:val="18"/>
                      <w:lang w:val="es-ES_tradnl"/>
                    </w:rPr>
                  </w:pPr>
                  <w:r w:rsidRPr="00C83BDF">
                    <w:rPr>
                      <w:sz w:val="18"/>
                      <w:szCs w:val="18"/>
                      <w:lang w:val="es-ES_tradnl"/>
                    </w:rPr>
                    <w:t>1</w:t>
                  </w:r>
                  <w:r w:rsidR="00AD0B9E" w:rsidRPr="00C83BDF">
                    <w:rPr>
                      <w:sz w:val="18"/>
                      <w:szCs w:val="18"/>
                      <w:lang w:val="es-ES_tradnl"/>
                    </w:rPr>
                    <w:t>6.5</w:t>
                  </w:r>
                  <w:r w:rsidRPr="00C83BDF">
                    <w:rPr>
                      <w:sz w:val="18"/>
                      <w:szCs w:val="18"/>
                      <w:lang w:val="es-ES_tradnl"/>
                    </w:rPr>
                    <w:t>45</w:t>
                  </w:r>
                </w:p>
              </w:tc>
            </w:tr>
            <w:tr w:rsidR="00E65183" w:rsidRPr="00C83BDF" w:rsidTr="006A0768">
              <w:tc>
                <w:tcPr>
                  <w:tcW w:w="1730" w:type="dxa"/>
                </w:tcPr>
                <w:p w:rsidR="00E65183" w:rsidRPr="00C83BDF" w:rsidRDefault="00C16BBE" w:rsidP="004737CD">
                  <w:pPr>
                    <w:pStyle w:val="Default"/>
                    <w:ind w:firstLine="6"/>
                    <w:rPr>
                      <w:sz w:val="18"/>
                      <w:szCs w:val="18"/>
                      <w:lang w:val="es-ES_tradnl"/>
                    </w:rPr>
                  </w:pPr>
                  <w:r w:rsidRPr="00C83BDF">
                    <w:rPr>
                      <w:sz w:val="18"/>
                      <w:szCs w:val="18"/>
                      <w:lang w:val="es-ES_tradnl"/>
                    </w:rPr>
                    <w:t>Usuarios</w:t>
                  </w:r>
                  <w:r w:rsidR="00E65183" w:rsidRPr="00C83BDF">
                    <w:rPr>
                      <w:sz w:val="18"/>
                      <w:szCs w:val="18"/>
                      <w:lang w:val="es-ES_tradnl"/>
                    </w:rPr>
                    <w:t xml:space="preserve"> </w:t>
                  </w:r>
                </w:p>
              </w:tc>
              <w:tc>
                <w:tcPr>
                  <w:tcW w:w="1001" w:type="dxa"/>
                </w:tcPr>
                <w:p w:rsidR="00E65183" w:rsidRPr="00C83BDF" w:rsidRDefault="00AD0B9E" w:rsidP="004737CD">
                  <w:pPr>
                    <w:pStyle w:val="Default"/>
                    <w:ind w:right="113"/>
                    <w:jc w:val="right"/>
                    <w:rPr>
                      <w:sz w:val="18"/>
                      <w:szCs w:val="18"/>
                      <w:lang w:val="es-ES_tradnl"/>
                    </w:rPr>
                  </w:pPr>
                  <w:r w:rsidRPr="00C83BDF">
                    <w:rPr>
                      <w:sz w:val="18"/>
                      <w:szCs w:val="18"/>
                      <w:lang w:val="es-ES_tradnl"/>
                    </w:rPr>
                    <w:t>8.3</w:t>
                  </w:r>
                  <w:r w:rsidR="00E65183" w:rsidRPr="00C83BDF">
                    <w:rPr>
                      <w:sz w:val="18"/>
                      <w:szCs w:val="18"/>
                      <w:lang w:val="es-ES_tradnl"/>
                    </w:rPr>
                    <w:t>64</w:t>
                  </w:r>
                </w:p>
              </w:tc>
              <w:tc>
                <w:tcPr>
                  <w:tcW w:w="1087" w:type="dxa"/>
                </w:tcPr>
                <w:p w:rsidR="00E65183" w:rsidRPr="00C83BDF" w:rsidRDefault="00AD0B9E" w:rsidP="004737CD">
                  <w:pPr>
                    <w:pStyle w:val="Default"/>
                    <w:ind w:right="113"/>
                    <w:jc w:val="right"/>
                    <w:rPr>
                      <w:sz w:val="18"/>
                      <w:szCs w:val="18"/>
                      <w:lang w:val="es-ES_tradnl"/>
                    </w:rPr>
                  </w:pPr>
                  <w:r w:rsidRPr="00C83BDF">
                    <w:rPr>
                      <w:sz w:val="18"/>
                      <w:szCs w:val="18"/>
                      <w:lang w:val="es-ES_tradnl"/>
                    </w:rPr>
                    <w:t>8.9</w:t>
                  </w:r>
                  <w:r w:rsidR="00E65183" w:rsidRPr="00C83BDF">
                    <w:rPr>
                      <w:sz w:val="18"/>
                      <w:szCs w:val="18"/>
                      <w:lang w:val="es-ES_tradnl"/>
                    </w:rPr>
                    <w:t>13</w:t>
                  </w:r>
                </w:p>
              </w:tc>
            </w:tr>
            <w:tr w:rsidR="00E65183" w:rsidRPr="00C83BDF" w:rsidTr="006A0768">
              <w:tc>
                <w:tcPr>
                  <w:tcW w:w="1730" w:type="dxa"/>
                </w:tcPr>
                <w:p w:rsidR="00E65183" w:rsidRPr="00C83BDF" w:rsidRDefault="00C16BBE" w:rsidP="004737CD">
                  <w:pPr>
                    <w:pStyle w:val="Default"/>
                    <w:ind w:firstLine="6"/>
                    <w:rPr>
                      <w:sz w:val="18"/>
                      <w:szCs w:val="18"/>
                      <w:lang w:val="es-ES_tradnl"/>
                    </w:rPr>
                  </w:pPr>
                  <w:r w:rsidRPr="00C83BDF">
                    <w:rPr>
                      <w:color w:val="auto"/>
                      <w:sz w:val="18"/>
                      <w:szCs w:val="18"/>
                      <w:lang w:val="es-ES_tradnl"/>
                    </w:rPr>
                    <w:t>Páginas vistas</w:t>
                  </w:r>
                  <w:r w:rsidR="00E65183" w:rsidRPr="00C83BDF">
                    <w:rPr>
                      <w:sz w:val="18"/>
                      <w:szCs w:val="18"/>
                      <w:lang w:val="es-ES_tradnl"/>
                    </w:rPr>
                    <w:t xml:space="preserve"> </w:t>
                  </w:r>
                </w:p>
              </w:tc>
              <w:tc>
                <w:tcPr>
                  <w:tcW w:w="1001" w:type="dxa"/>
                </w:tcPr>
                <w:p w:rsidR="00E65183" w:rsidRPr="00C83BDF" w:rsidRDefault="00E65183" w:rsidP="004737CD">
                  <w:pPr>
                    <w:pStyle w:val="Default"/>
                    <w:ind w:right="113"/>
                    <w:jc w:val="right"/>
                    <w:rPr>
                      <w:sz w:val="18"/>
                      <w:szCs w:val="18"/>
                      <w:lang w:val="es-ES_tradnl"/>
                    </w:rPr>
                  </w:pPr>
                  <w:r w:rsidRPr="00C83BDF">
                    <w:rPr>
                      <w:sz w:val="18"/>
                      <w:szCs w:val="18"/>
                      <w:lang w:val="es-ES_tradnl"/>
                    </w:rPr>
                    <w:t>7</w:t>
                  </w:r>
                  <w:r w:rsidR="00AD0B9E" w:rsidRPr="00C83BDF">
                    <w:rPr>
                      <w:sz w:val="18"/>
                      <w:szCs w:val="18"/>
                      <w:lang w:val="es-ES_tradnl"/>
                    </w:rPr>
                    <w:t>2.0</w:t>
                  </w:r>
                  <w:r w:rsidRPr="00C83BDF">
                    <w:rPr>
                      <w:sz w:val="18"/>
                      <w:szCs w:val="18"/>
                      <w:lang w:val="es-ES_tradnl"/>
                    </w:rPr>
                    <w:t>18</w:t>
                  </w:r>
                </w:p>
              </w:tc>
              <w:tc>
                <w:tcPr>
                  <w:tcW w:w="1087" w:type="dxa"/>
                </w:tcPr>
                <w:p w:rsidR="00E65183" w:rsidRPr="00C83BDF" w:rsidRDefault="00E65183" w:rsidP="004737CD">
                  <w:pPr>
                    <w:pStyle w:val="Default"/>
                    <w:ind w:right="113"/>
                    <w:jc w:val="right"/>
                    <w:rPr>
                      <w:sz w:val="18"/>
                      <w:szCs w:val="18"/>
                      <w:lang w:val="es-ES_tradnl"/>
                    </w:rPr>
                  </w:pPr>
                  <w:r w:rsidRPr="00C83BDF">
                    <w:rPr>
                      <w:sz w:val="18"/>
                      <w:szCs w:val="18"/>
                      <w:lang w:val="es-ES_tradnl"/>
                    </w:rPr>
                    <w:t>8</w:t>
                  </w:r>
                  <w:r w:rsidR="00AD0B9E" w:rsidRPr="00C83BDF">
                    <w:rPr>
                      <w:sz w:val="18"/>
                      <w:szCs w:val="18"/>
                      <w:lang w:val="es-ES_tradnl"/>
                    </w:rPr>
                    <w:t>4.3</w:t>
                  </w:r>
                  <w:r w:rsidRPr="00C83BDF">
                    <w:rPr>
                      <w:sz w:val="18"/>
                      <w:szCs w:val="18"/>
                      <w:lang w:val="es-ES_tradnl"/>
                    </w:rPr>
                    <w:t>06</w:t>
                  </w:r>
                </w:p>
              </w:tc>
            </w:tr>
            <w:tr w:rsidR="00E65183" w:rsidRPr="00C83BDF" w:rsidTr="006A0768">
              <w:tc>
                <w:tcPr>
                  <w:tcW w:w="1730" w:type="dxa"/>
                </w:tcPr>
                <w:p w:rsidR="00E65183" w:rsidRPr="00C83BDF" w:rsidRDefault="00C16BBE" w:rsidP="004737CD">
                  <w:pPr>
                    <w:pStyle w:val="Default"/>
                    <w:ind w:firstLine="6"/>
                    <w:rPr>
                      <w:sz w:val="18"/>
                      <w:szCs w:val="18"/>
                      <w:lang w:val="es-ES_tradnl"/>
                    </w:rPr>
                  </w:pPr>
                  <w:r w:rsidRPr="00C83BDF">
                    <w:rPr>
                      <w:sz w:val="18"/>
                      <w:szCs w:val="18"/>
                      <w:lang w:val="es-ES_tradnl"/>
                    </w:rPr>
                    <w:t>Visitas nuevas</w:t>
                  </w:r>
                  <w:r w:rsidR="00E65183" w:rsidRPr="00C83BDF">
                    <w:rPr>
                      <w:sz w:val="18"/>
                      <w:szCs w:val="18"/>
                      <w:lang w:val="es-ES_tradnl"/>
                    </w:rPr>
                    <w:t xml:space="preserve"> </w:t>
                  </w:r>
                </w:p>
              </w:tc>
              <w:tc>
                <w:tcPr>
                  <w:tcW w:w="1001" w:type="dxa"/>
                </w:tcPr>
                <w:p w:rsidR="00E65183" w:rsidRPr="00C83BDF" w:rsidRDefault="00E65183" w:rsidP="004737CD">
                  <w:pPr>
                    <w:pStyle w:val="Default"/>
                    <w:ind w:right="113"/>
                    <w:jc w:val="right"/>
                    <w:rPr>
                      <w:sz w:val="18"/>
                      <w:szCs w:val="18"/>
                      <w:lang w:val="es-ES_tradnl"/>
                    </w:rPr>
                  </w:pPr>
                  <w:r w:rsidRPr="00C83BDF">
                    <w:rPr>
                      <w:sz w:val="18"/>
                      <w:szCs w:val="18"/>
                      <w:lang w:val="es-ES_tradnl"/>
                    </w:rPr>
                    <w:t>52%</w:t>
                  </w:r>
                </w:p>
              </w:tc>
              <w:tc>
                <w:tcPr>
                  <w:tcW w:w="1087" w:type="dxa"/>
                </w:tcPr>
                <w:p w:rsidR="00E65183" w:rsidRPr="00C83BDF" w:rsidRDefault="00E65183" w:rsidP="004737CD">
                  <w:pPr>
                    <w:pStyle w:val="Default"/>
                    <w:ind w:right="113"/>
                    <w:jc w:val="right"/>
                    <w:rPr>
                      <w:sz w:val="18"/>
                      <w:szCs w:val="18"/>
                      <w:lang w:val="es-ES_tradnl"/>
                    </w:rPr>
                  </w:pPr>
                  <w:r w:rsidRPr="00C83BDF">
                    <w:rPr>
                      <w:sz w:val="18"/>
                      <w:szCs w:val="18"/>
                      <w:lang w:val="es-ES_tradnl"/>
                    </w:rPr>
                    <w:t>48%</w:t>
                  </w:r>
                </w:p>
              </w:tc>
            </w:tr>
            <w:tr w:rsidR="00E65183" w:rsidRPr="00C83BDF" w:rsidTr="006A0768">
              <w:tc>
                <w:tcPr>
                  <w:tcW w:w="1730" w:type="dxa"/>
                </w:tcPr>
                <w:p w:rsidR="00E65183" w:rsidRPr="00C83BDF" w:rsidRDefault="00C16BBE" w:rsidP="004737CD">
                  <w:pPr>
                    <w:ind w:firstLine="6"/>
                    <w:jc w:val="left"/>
                    <w:rPr>
                      <w:sz w:val="18"/>
                      <w:szCs w:val="18"/>
                      <w:lang w:val="es-ES_tradnl"/>
                    </w:rPr>
                  </w:pPr>
                  <w:r w:rsidRPr="00C83BDF">
                    <w:rPr>
                      <w:sz w:val="18"/>
                      <w:szCs w:val="18"/>
                      <w:lang w:val="es-ES_tradnl"/>
                    </w:rPr>
                    <w:t>Visitas recurrentes</w:t>
                  </w:r>
                  <w:r w:rsidR="00E65183" w:rsidRPr="00C83BDF">
                    <w:rPr>
                      <w:sz w:val="18"/>
                      <w:szCs w:val="18"/>
                      <w:lang w:val="es-ES_tradnl"/>
                    </w:rPr>
                    <w:t xml:space="preserve"> </w:t>
                  </w:r>
                </w:p>
              </w:tc>
              <w:tc>
                <w:tcPr>
                  <w:tcW w:w="1001" w:type="dxa"/>
                </w:tcPr>
                <w:p w:rsidR="00E65183" w:rsidRPr="00C83BDF" w:rsidRDefault="00E65183" w:rsidP="004737CD">
                  <w:pPr>
                    <w:ind w:right="113"/>
                    <w:jc w:val="right"/>
                    <w:rPr>
                      <w:sz w:val="18"/>
                      <w:szCs w:val="18"/>
                      <w:lang w:val="es-ES_tradnl"/>
                    </w:rPr>
                  </w:pPr>
                  <w:r w:rsidRPr="00C83BDF">
                    <w:rPr>
                      <w:sz w:val="18"/>
                      <w:szCs w:val="18"/>
                      <w:lang w:val="es-ES_tradnl"/>
                    </w:rPr>
                    <w:t>48%</w:t>
                  </w:r>
                </w:p>
              </w:tc>
              <w:tc>
                <w:tcPr>
                  <w:tcW w:w="1087" w:type="dxa"/>
                </w:tcPr>
                <w:p w:rsidR="00E65183" w:rsidRPr="00C83BDF" w:rsidRDefault="00E65183" w:rsidP="004737CD">
                  <w:pPr>
                    <w:ind w:right="113"/>
                    <w:jc w:val="right"/>
                    <w:rPr>
                      <w:sz w:val="18"/>
                      <w:szCs w:val="18"/>
                      <w:lang w:val="es-ES_tradnl"/>
                    </w:rPr>
                  </w:pPr>
                  <w:r w:rsidRPr="00C83BDF">
                    <w:rPr>
                      <w:sz w:val="18"/>
                      <w:szCs w:val="18"/>
                      <w:lang w:val="es-ES_tradnl"/>
                    </w:rPr>
                    <w:t>52%</w:t>
                  </w:r>
                </w:p>
              </w:tc>
            </w:tr>
          </w:tbl>
          <w:p w:rsidR="00E65183" w:rsidRPr="00C83BDF" w:rsidRDefault="00E65183" w:rsidP="004737CD">
            <w:pPr>
              <w:keepNext/>
              <w:ind w:firstLine="659"/>
              <w:rPr>
                <w:noProof/>
                <w:highlight w:val="yellow"/>
                <w:lang w:val="es-ES_tradnl"/>
              </w:rPr>
            </w:pPr>
          </w:p>
        </w:tc>
        <w:tc>
          <w:tcPr>
            <w:tcW w:w="4111" w:type="dxa"/>
            <w:shd w:val="clear" w:color="auto" w:fill="auto"/>
          </w:tcPr>
          <w:tbl>
            <w:tblPr>
              <w:tblW w:w="3543" w:type="dxa"/>
              <w:tblInd w:w="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34"/>
              <w:gridCol w:w="1134"/>
              <w:gridCol w:w="1275"/>
            </w:tblGrid>
            <w:tr w:rsidR="00E65183" w:rsidRPr="00C83BDF">
              <w:tc>
                <w:tcPr>
                  <w:tcW w:w="1134" w:type="dxa"/>
                </w:tcPr>
                <w:p w:rsidR="00E65183" w:rsidRPr="00C83BDF" w:rsidRDefault="00C16BBE" w:rsidP="004737CD">
                  <w:pPr>
                    <w:autoSpaceDE w:val="0"/>
                    <w:autoSpaceDN w:val="0"/>
                    <w:adjustRightInd w:val="0"/>
                    <w:jc w:val="left"/>
                    <w:rPr>
                      <w:rFonts w:cs="Arial"/>
                      <w:color w:val="000000"/>
                      <w:sz w:val="18"/>
                      <w:szCs w:val="22"/>
                      <w:lang w:val="es-ES_tradnl"/>
                    </w:rPr>
                  </w:pPr>
                  <w:r w:rsidRPr="00C83BDF">
                    <w:rPr>
                      <w:rFonts w:cs="Arial"/>
                      <w:bCs/>
                      <w:sz w:val="18"/>
                      <w:szCs w:val="22"/>
                      <w:lang w:val="es-ES_tradnl"/>
                    </w:rPr>
                    <w:t>Idioma</w:t>
                  </w:r>
                </w:p>
              </w:tc>
              <w:tc>
                <w:tcPr>
                  <w:tcW w:w="1134" w:type="dxa"/>
                </w:tcPr>
                <w:p w:rsidR="00E65183" w:rsidRPr="00C83BDF" w:rsidRDefault="00C16BBE" w:rsidP="004737CD">
                  <w:pPr>
                    <w:autoSpaceDE w:val="0"/>
                    <w:autoSpaceDN w:val="0"/>
                    <w:adjustRightInd w:val="0"/>
                    <w:jc w:val="center"/>
                    <w:rPr>
                      <w:rFonts w:cs="Arial"/>
                      <w:color w:val="000000"/>
                      <w:sz w:val="18"/>
                      <w:szCs w:val="22"/>
                      <w:lang w:val="es-ES_tradnl"/>
                    </w:rPr>
                  </w:pPr>
                  <w:r w:rsidRPr="00C83BDF">
                    <w:rPr>
                      <w:rFonts w:cs="Arial"/>
                      <w:bCs/>
                      <w:sz w:val="18"/>
                      <w:szCs w:val="22"/>
                      <w:lang w:val="es-ES_tradnl"/>
                    </w:rPr>
                    <w:t>Páginas vistas</w:t>
                  </w:r>
                </w:p>
              </w:tc>
              <w:tc>
                <w:tcPr>
                  <w:tcW w:w="1275" w:type="dxa"/>
                </w:tcPr>
                <w:p w:rsidR="00E65183" w:rsidRPr="00C83BDF" w:rsidRDefault="00C16BBE" w:rsidP="004737CD">
                  <w:pPr>
                    <w:autoSpaceDE w:val="0"/>
                    <w:autoSpaceDN w:val="0"/>
                    <w:adjustRightInd w:val="0"/>
                    <w:jc w:val="center"/>
                    <w:rPr>
                      <w:rFonts w:cs="Arial"/>
                      <w:color w:val="000000"/>
                      <w:sz w:val="18"/>
                      <w:szCs w:val="22"/>
                      <w:lang w:val="es-ES_tradnl"/>
                    </w:rPr>
                  </w:pPr>
                  <w:r w:rsidRPr="00C83BDF">
                    <w:rPr>
                      <w:rFonts w:cs="Arial"/>
                      <w:bCs/>
                      <w:sz w:val="18"/>
                      <w:szCs w:val="22"/>
                      <w:lang w:val="es-ES_tradnl"/>
                    </w:rPr>
                    <w:t>Páginas vistas únicas</w:t>
                  </w:r>
                </w:p>
              </w:tc>
            </w:tr>
            <w:tr w:rsidR="00E65183" w:rsidRPr="00C83BDF">
              <w:tc>
                <w:tcPr>
                  <w:tcW w:w="1134" w:type="dxa"/>
                </w:tcPr>
                <w:p w:rsidR="00E65183" w:rsidRPr="00C83BDF" w:rsidRDefault="00C16BBE" w:rsidP="004737CD">
                  <w:pPr>
                    <w:autoSpaceDE w:val="0"/>
                    <w:autoSpaceDN w:val="0"/>
                    <w:adjustRightInd w:val="0"/>
                    <w:jc w:val="left"/>
                    <w:rPr>
                      <w:rFonts w:cs="Arial"/>
                      <w:color w:val="000000"/>
                      <w:sz w:val="18"/>
                      <w:szCs w:val="22"/>
                      <w:lang w:val="es-ES_tradnl"/>
                    </w:rPr>
                  </w:pPr>
                  <w:r w:rsidRPr="00C83BDF">
                    <w:rPr>
                      <w:rFonts w:cs="Arial"/>
                      <w:sz w:val="18"/>
                      <w:szCs w:val="22"/>
                      <w:lang w:val="es-ES_tradnl"/>
                    </w:rPr>
                    <w:t>Inglés</w:t>
                  </w:r>
                  <w:r w:rsidR="00E65183" w:rsidRPr="00C83BDF">
                    <w:rPr>
                      <w:rFonts w:cs="Arial"/>
                      <w:color w:val="000000"/>
                      <w:sz w:val="18"/>
                      <w:szCs w:val="22"/>
                      <w:lang w:val="es-ES_tradnl"/>
                    </w:rPr>
                    <w:t xml:space="preserve"> </w:t>
                  </w:r>
                </w:p>
              </w:tc>
              <w:tc>
                <w:tcPr>
                  <w:tcW w:w="1134" w:type="dxa"/>
                </w:tcPr>
                <w:p w:rsidR="00E65183" w:rsidRPr="00C83BDF" w:rsidRDefault="00E65183" w:rsidP="006A0768">
                  <w:pPr>
                    <w:pStyle w:val="Default"/>
                    <w:ind w:right="57"/>
                    <w:jc w:val="right"/>
                    <w:rPr>
                      <w:sz w:val="18"/>
                      <w:szCs w:val="18"/>
                      <w:lang w:val="es-ES_tradnl"/>
                    </w:rPr>
                  </w:pPr>
                  <w:r w:rsidRPr="00C83BDF">
                    <w:rPr>
                      <w:sz w:val="18"/>
                      <w:szCs w:val="18"/>
                      <w:lang w:val="es-ES_tradnl"/>
                    </w:rPr>
                    <w:t>5</w:t>
                  </w:r>
                  <w:r w:rsidR="00AD0B9E" w:rsidRPr="00C83BDF">
                    <w:rPr>
                      <w:sz w:val="18"/>
                      <w:szCs w:val="18"/>
                      <w:lang w:val="es-ES_tradnl"/>
                    </w:rPr>
                    <w:t>3.2</w:t>
                  </w:r>
                  <w:r w:rsidRPr="00C83BDF">
                    <w:rPr>
                      <w:sz w:val="18"/>
                      <w:szCs w:val="18"/>
                      <w:lang w:val="es-ES_tradnl"/>
                    </w:rPr>
                    <w:t>03</w:t>
                  </w:r>
                </w:p>
              </w:tc>
              <w:tc>
                <w:tcPr>
                  <w:tcW w:w="1275" w:type="dxa"/>
                </w:tcPr>
                <w:p w:rsidR="00E65183" w:rsidRPr="00C83BDF" w:rsidRDefault="00E65183" w:rsidP="006A0768">
                  <w:pPr>
                    <w:pStyle w:val="Default"/>
                    <w:ind w:right="57"/>
                    <w:jc w:val="right"/>
                    <w:rPr>
                      <w:sz w:val="18"/>
                      <w:szCs w:val="18"/>
                      <w:lang w:val="es-ES_tradnl"/>
                    </w:rPr>
                  </w:pPr>
                  <w:r w:rsidRPr="00C83BDF">
                    <w:rPr>
                      <w:sz w:val="18"/>
                      <w:szCs w:val="18"/>
                      <w:lang w:val="es-ES_tradnl"/>
                    </w:rPr>
                    <w:t>2</w:t>
                  </w:r>
                  <w:r w:rsidR="00AD0B9E" w:rsidRPr="00C83BDF">
                    <w:rPr>
                      <w:sz w:val="18"/>
                      <w:szCs w:val="18"/>
                      <w:lang w:val="es-ES_tradnl"/>
                    </w:rPr>
                    <w:t>8.5</w:t>
                  </w:r>
                  <w:r w:rsidRPr="00C83BDF">
                    <w:rPr>
                      <w:sz w:val="18"/>
                      <w:szCs w:val="18"/>
                      <w:lang w:val="es-ES_tradnl"/>
                    </w:rPr>
                    <w:t>15</w:t>
                  </w:r>
                </w:p>
              </w:tc>
            </w:tr>
            <w:tr w:rsidR="00E65183" w:rsidRPr="00C83BDF">
              <w:tc>
                <w:tcPr>
                  <w:tcW w:w="1134" w:type="dxa"/>
                </w:tcPr>
                <w:p w:rsidR="00E65183" w:rsidRPr="00C83BDF" w:rsidRDefault="00C16BBE" w:rsidP="004737CD">
                  <w:pPr>
                    <w:autoSpaceDE w:val="0"/>
                    <w:autoSpaceDN w:val="0"/>
                    <w:adjustRightInd w:val="0"/>
                    <w:jc w:val="left"/>
                    <w:rPr>
                      <w:rFonts w:cs="Arial"/>
                      <w:color w:val="000000"/>
                      <w:sz w:val="18"/>
                      <w:szCs w:val="22"/>
                      <w:lang w:val="es-ES_tradnl"/>
                    </w:rPr>
                  </w:pPr>
                  <w:r w:rsidRPr="00C83BDF">
                    <w:rPr>
                      <w:rFonts w:cs="Arial"/>
                      <w:sz w:val="18"/>
                      <w:szCs w:val="22"/>
                      <w:lang w:val="es-ES_tradnl"/>
                    </w:rPr>
                    <w:t>Español</w:t>
                  </w:r>
                  <w:r w:rsidR="00E65183" w:rsidRPr="00C83BDF">
                    <w:rPr>
                      <w:rFonts w:cs="Arial"/>
                      <w:color w:val="000000"/>
                      <w:sz w:val="18"/>
                      <w:szCs w:val="22"/>
                      <w:lang w:val="es-ES_tradnl"/>
                    </w:rPr>
                    <w:t xml:space="preserve"> </w:t>
                  </w:r>
                </w:p>
              </w:tc>
              <w:tc>
                <w:tcPr>
                  <w:tcW w:w="1134" w:type="dxa"/>
                </w:tcPr>
                <w:p w:rsidR="00E65183" w:rsidRPr="00C83BDF" w:rsidRDefault="00AD0B9E" w:rsidP="006A0768">
                  <w:pPr>
                    <w:pStyle w:val="Default"/>
                    <w:ind w:right="57"/>
                    <w:jc w:val="right"/>
                    <w:rPr>
                      <w:sz w:val="18"/>
                      <w:szCs w:val="18"/>
                      <w:lang w:val="es-ES_tradnl"/>
                    </w:rPr>
                  </w:pPr>
                  <w:r w:rsidRPr="00C83BDF">
                    <w:rPr>
                      <w:sz w:val="18"/>
                      <w:szCs w:val="18"/>
                      <w:lang w:val="es-ES_tradnl"/>
                    </w:rPr>
                    <w:t>9.2</w:t>
                  </w:r>
                  <w:r w:rsidR="00E65183" w:rsidRPr="00C83BDF">
                    <w:rPr>
                      <w:sz w:val="18"/>
                      <w:szCs w:val="18"/>
                      <w:lang w:val="es-ES_tradnl"/>
                    </w:rPr>
                    <w:t>42</w:t>
                  </w:r>
                </w:p>
              </w:tc>
              <w:tc>
                <w:tcPr>
                  <w:tcW w:w="1275" w:type="dxa"/>
                </w:tcPr>
                <w:p w:rsidR="00E65183" w:rsidRPr="00C83BDF" w:rsidRDefault="00AD0B9E" w:rsidP="006A0768">
                  <w:pPr>
                    <w:pStyle w:val="Default"/>
                    <w:ind w:right="57"/>
                    <w:jc w:val="right"/>
                    <w:rPr>
                      <w:sz w:val="18"/>
                      <w:szCs w:val="18"/>
                      <w:lang w:val="es-ES_tradnl"/>
                    </w:rPr>
                  </w:pPr>
                  <w:r w:rsidRPr="00C83BDF">
                    <w:rPr>
                      <w:sz w:val="18"/>
                      <w:szCs w:val="18"/>
                      <w:lang w:val="es-ES_tradnl"/>
                    </w:rPr>
                    <w:t>5.5</w:t>
                  </w:r>
                  <w:r w:rsidR="00E65183" w:rsidRPr="00C83BDF">
                    <w:rPr>
                      <w:sz w:val="18"/>
                      <w:szCs w:val="18"/>
                      <w:lang w:val="es-ES_tradnl"/>
                    </w:rPr>
                    <w:t>79</w:t>
                  </w:r>
                </w:p>
              </w:tc>
            </w:tr>
            <w:tr w:rsidR="00E65183" w:rsidRPr="00C83BDF">
              <w:tc>
                <w:tcPr>
                  <w:tcW w:w="1134" w:type="dxa"/>
                </w:tcPr>
                <w:p w:rsidR="00E65183" w:rsidRPr="00C83BDF" w:rsidRDefault="00C16BBE" w:rsidP="004737CD">
                  <w:pPr>
                    <w:autoSpaceDE w:val="0"/>
                    <w:autoSpaceDN w:val="0"/>
                    <w:adjustRightInd w:val="0"/>
                    <w:jc w:val="left"/>
                    <w:rPr>
                      <w:rFonts w:cs="Arial"/>
                      <w:color w:val="000000"/>
                      <w:sz w:val="18"/>
                      <w:szCs w:val="22"/>
                      <w:lang w:val="es-ES_tradnl"/>
                    </w:rPr>
                  </w:pPr>
                  <w:r w:rsidRPr="00C83BDF">
                    <w:rPr>
                      <w:rFonts w:cs="Arial"/>
                      <w:sz w:val="18"/>
                      <w:szCs w:val="22"/>
                      <w:lang w:val="es-ES_tradnl"/>
                    </w:rPr>
                    <w:t>Francés</w:t>
                  </w:r>
                  <w:r w:rsidR="00E65183" w:rsidRPr="00C83BDF">
                    <w:rPr>
                      <w:rFonts w:cs="Arial"/>
                      <w:color w:val="000000"/>
                      <w:sz w:val="18"/>
                      <w:szCs w:val="22"/>
                      <w:lang w:val="es-ES_tradnl"/>
                    </w:rPr>
                    <w:t xml:space="preserve"> </w:t>
                  </w:r>
                </w:p>
              </w:tc>
              <w:tc>
                <w:tcPr>
                  <w:tcW w:w="1134" w:type="dxa"/>
                </w:tcPr>
                <w:p w:rsidR="00E65183" w:rsidRPr="00C83BDF" w:rsidRDefault="00AD0B9E" w:rsidP="006A0768">
                  <w:pPr>
                    <w:pStyle w:val="Default"/>
                    <w:ind w:right="57"/>
                    <w:jc w:val="right"/>
                    <w:rPr>
                      <w:sz w:val="18"/>
                      <w:szCs w:val="18"/>
                      <w:lang w:val="es-ES_tradnl"/>
                    </w:rPr>
                  </w:pPr>
                  <w:r w:rsidRPr="00C83BDF">
                    <w:rPr>
                      <w:sz w:val="18"/>
                      <w:szCs w:val="18"/>
                      <w:lang w:val="es-ES_tradnl"/>
                    </w:rPr>
                    <w:t>4.0</w:t>
                  </w:r>
                  <w:r w:rsidR="00E65183" w:rsidRPr="00C83BDF">
                    <w:rPr>
                      <w:sz w:val="18"/>
                      <w:szCs w:val="18"/>
                      <w:lang w:val="es-ES_tradnl"/>
                    </w:rPr>
                    <w:t>80</w:t>
                  </w:r>
                </w:p>
              </w:tc>
              <w:tc>
                <w:tcPr>
                  <w:tcW w:w="1275" w:type="dxa"/>
                </w:tcPr>
                <w:p w:rsidR="00E65183" w:rsidRPr="00C83BDF" w:rsidRDefault="00AD0B9E" w:rsidP="006A0768">
                  <w:pPr>
                    <w:pStyle w:val="Default"/>
                    <w:ind w:right="57"/>
                    <w:jc w:val="right"/>
                    <w:rPr>
                      <w:sz w:val="18"/>
                      <w:szCs w:val="18"/>
                      <w:lang w:val="es-ES_tradnl"/>
                    </w:rPr>
                  </w:pPr>
                  <w:r w:rsidRPr="00C83BDF">
                    <w:rPr>
                      <w:sz w:val="18"/>
                      <w:szCs w:val="18"/>
                      <w:lang w:val="es-ES_tradnl"/>
                    </w:rPr>
                    <w:t>2.7</w:t>
                  </w:r>
                  <w:r w:rsidR="00E65183" w:rsidRPr="00C83BDF">
                    <w:rPr>
                      <w:sz w:val="18"/>
                      <w:szCs w:val="18"/>
                      <w:lang w:val="es-ES_tradnl"/>
                    </w:rPr>
                    <w:t>54</w:t>
                  </w:r>
                </w:p>
              </w:tc>
            </w:tr>
            <w:tr w:rsidR="00E65183" w:rsidRPr="00C83BDF">
              <w:tc>
                <w:tcPr>
                  <w:tcW w:w="1134" w:type="dxa"/>
                </w:tcPr>
                <w:p w:rsidR="00E65183" w:rsidRPr="00C83BDF" w:rsidRDefault="00C16BBE" w:rsidP="004737CD">
                  <w:pPr>
                    <w:autoSpaceDE w:val="0"/>
                    <w:autoSpaceDN w:val="0"/>
                    <w:adjustRightInd w:val="0"/>
                    <w:jc w:val="left"/>
                    <w:rPr>
                      <w:rFonts w:cs="Arial"/>
                      <w:color w:val="000000"/>
                      <w:sz w:val="18"/>
                      <w:szCs w:val="22"/>
                      <w:lang w:val="es-ES_tradnl"/>
                    </w:rPr>
                  </w:pPr>
                  <w:r w:rsidRPr="00C83BDF">
                    <w:rPr>
                      <w:rFonts w:cs="Arial"/>
                      <w:sz w:val="18"/>
                      <w:szCs w:val="22"/>
                      <w:lang w:val="es-ES_tradnl"/>
                    </w:rPr>
                    <w:t>Alemán</w:t>
                  </w:r>
                  <w:r w:rsidR="00E65183" w:rsidRPr="00C83BDF">
                    <w:rPr>
                      <w:rFonts w:cs="Arial"/>
                      <w:color w:val="000000"/>
                      <w:sz w:val="18"/>
                      <w:szCs w:val="22"/>
                      <w:lang w:val="es-ES_tradnl"/>
                    </w:rPr>
                    <w:t xml:space="preserve"> </w:t>
                  </w:r>
                </w:p>
              </w:tc>
              <w:tc>
                <w:tcPr>
                  <w:tcW w:w="1134" w:type="dxa"/>
                </w:tcPr>
                <w:p w:rsidR="00E65183" w:rsidRPr="00C83BDF" w:rsidRDefault="00AD0B9E" w:rsidP="006A0768">
                  <w:pPr>
                    <w:pStyle w:val="Default"/>
                    <w:ind w:right="57"/>
                    <w:jc w:val="right"/>
                    <w:rPr>
                      <w:sz w:val="18"/>
                      <w:szCs w:val="18"/>
                      <w:lang w:val="es-ES_tradnl"/>
                    </w:rPr>
                  </w:pPr>
                  <w:r w:rsidRPr="00C83BDF">
                    <w:rPr>
                      <w:sz w:val="18"/>
                      <w:szCs w:val="18"/>
                      <w:lang w:val="es-ES_tradnl"/>
                    </w:rPr>
                    <w:t>2.3</w:t>
                  </w:r>
                  <w:r w:rsidR="00E65183" w:rsidRPr="00C83BDF">
                    <w:rPr>
                      <w:sz w:val="18"/>
                      <w:szCs w:val="18"/>
                      <w:lang w:val="es-ES_tradnl"/>
                    </w:rPr>
                    <w:t>45</w:t>
                  </w:r>
                </w:p>
              </w:tc>
              <w:tc>
                <w:tcPr>
                  <w:tcW w:w="1275" w:type="dxa"/>
                </w:tcPr>
                <w:p w:rsidR="00E65183" w:rsidRPr="00C83BDF" w:rsidRDefault="00AD0B9E" w:rsidP="006A0768">
                  <w:pPr>
                    <w:pStyle w:val="Default"/>
                    <w:ind w:right="57"/>
                    <w:jc w:val="right"/>
                    <w:rPr>
                      <w:sz w:val="18"/>
                      <w:szCs w:val="18"/>
                      <w:lang w:val="es-ES_tradnl"/>
                    </w:rPr>
                  </w:pPr>
                  <w:r w:rsidRPr="00C83BDF">
                    <w:rPr>
                      <w:sz w:val="18"/>
                      <w:szCs w:val="18"/>
                      <w:lang w:val="es-ES_tradnl"/>
                    </w:rPr>
                    <w:t>1.6</w:t>
                  </w:r>
                  <w:r w:rsidR="00E65183" w:rsidRPr="00C83BDF">
                    <w:rPr>
                      <w:sz w:val="18"/>
                      <w:szCs w:val="18"/>
                      <w:lang w:val="es-ES_tradnl"/>
                    </w:rPr>
                    <w:t>00</w:t>
                  </w:r>
                </w:p>
              </w:tc>
            </w:tr>
          </w:tbl>
          <w:p w:rsidR="00E65183" w:rsidRPr="00C83BDF" w:rsidRDefault="00E65183" w:rsidP="004737CD">
            <w:pPr>
              <w:keepNext/>
              <w:rPr>
                <w:noProof/>
                <w:highlight w:val="yellow"/>
                <w:lang w:val="es-ES_tradnl"/>
              </w:rPr>
            </w:pPr>
          </w:p>
        </w:tc>
      </w:tr>
      <w:tr w:rsidR="00E65183" w:rsidRPr="00C83BDF">
        <w:tc>
          <w:tcPr>
            <w:tcW w:w="1951" w:type="dxa"/>
            <w:shd w:val="clear" w:color="auto" w:fill="auto"/>
          </w:tcPr>
          <w:p w:rsidR="00E65183" w:rsidRPr="00C83BDF" w:rsidRDefault="00E65183" w:rsidP="004737CD">
            <w:pPr>
              <w:pStyle w:val="Heading6"/>
              <w:rPr>
                <w:lang w:val="es-ES_tradnl"/>
              </w:rPr>
            </w:pPr>
          </w:p>
        </w:tc>
        <w:tc>
          <w:tcPr>
            <w:tcW w:w="7938" w:type="dxa"/>
            <w:gridSpan w:val="2"/>
            <w:shd w:val="clear" w:color="auto" w:fill="auto"/>
          </w:tcPr>
          <w:p w:rsidR="00E65183" w:rsidRPr="00C83BDF" w:rsidRDefault="00E65183" w:rsidP="004737CD">
            <w:pPr>
              <w:rPr>
                <w:bCs/>
                <w:sz w:val="18"/>
                <w:szCs w:val="22"/>
                <w:lang w:val="es-ES_tradnl"/>
              </w:rPr>
            </w:pPr>
          </w:p>
          <w:p w:rsidR="00E65183" w:rsidRPr="00C83BDF" w:rsidRDefault="00C16BBE" w:rsidP="004737CD">
            <w:pPr>
              <w:rPr>
                <w:bCs/>
                <w:sz w:val="18"/>
                <w:szCs w:val="22"/>
                <w:lang w:val="es-ES_tradnl"/>
              </w:rPr>
            </w:pPr>
            <w:r w:rsidRPr="00C83BDF">
              <w:rPr>
                <w:bCs/>
                <w:sz w:val="18"/>
                <w:szCs w:val="22"/>
                <w:lang w:val="es-ES_tradnl"/>
              </w:rPr>
              <w:t>Los diez países que realizaron más visitas a la base de datos GENIE en 2014</w:t>
            </w:r>
            <w:r w:rsidR="006D2ED8" w:rsidRPr="00C83BDF">
              <w:rPr>
                <w:bCs/>
                <w:sz w:val="18"/>
                <w:szCs w:val="22"/>
                <w:lang w:val="es-ES_tradnl"/>
              </w:rPr>
              <w:t>:</w:t>
            </w:r>
          </w:p>
          <w:p w:rsidR="00E65183" w:rsidRPr="00C83BDF" w:rsidRDefault="00E65183" w:rsidP="004737CD">
            <w:pPr>
              <w:rPr>
                <w:b/>
                <w:bCs/>
                <w:sz w:val="18"/>
                <w:szCs w:val="22"/>
                <w:lang w:val="es-ES_tradnl"/>
              </w:rPr>
            </w:pPr>
          </w:p>
          <w:tbl>
            <w:tblPr>
              <w:tblW w:w="66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864"/>
              <w:gridCol w:w="1260"/>
              <w:gridCol w:w="1433"/>
              <w:gridCol w:w="1069"/>
            </w:tblGrid>
            <w:tr w:rsidR="00E65183" w:rsidRPr="00C83BDF">
              <w:tc>
                <w:tcPr>
                  <w:tcW w:w="2864" w:type="dxa"/>
                </w:tcPr>
                <w:p w:rsidR="00E65183" w:rsidRPr="00C83BDF" w:rsidRDefault="00C16BBE" w:rsidP="004737CD">
                  <w:pPr>
                    <w:autoSpaceDE w:val="0"/>
                    <w:autoSpaceDN w:val="0"/>
                    <w:adjustRightInd w:val="0"/>
                    <w:jc w:val="left"/>
                    <w:rPr>
                      <w:rFonts w:cs="Arial"/>
                      <w:color w:val="000000"/>
                      <w:sz w:val="18"/>
                      <w:szCs w:val="18"/>
                      <w:lang w:val="es-ES_tradnl"/>
                    </w:rPr>
                  </w:pPr>
                  <w:r w:rsidRPr="00C83BDF">
                    <w:rPr>
                      <w:rFonts w:cs="Arial"/>
                      <w:bCs/>
                      <w:color w:val="000000"/>
                      <w:sz w:val="18"/>
                      <w:szCs w:val="18"/>
                      <w:lang w:val="es-ES_tradnl"/>
                    </w:rPr>
                    <w:t>País / Territorio</w:t>
                  </w:r>
                  <w:r w:rsidR="00E65183" w:rsidRPr="00C83BDF">
                    <w:rPr>
                      <w:rFonts w:cs="Arial"/>
                      <w:bCs/>
                      <w:color w:val="000000"/>
                      <w:sz w:val="18"/>
                      <w:szCs w:val="18"/>
                      <w:lang w:val="es-ES_tradnl"/>
                    </w:rPr>
                    <w:t xml:space="preserve"> </w:t>
                  </w:r>
                </w:p>
              </w:tc>
              <w:tc>
                <w:tcPr>
                  <w:tcW w:w="1260" w:type="dxa"/>
                </w:tcPr>
                <w:p w:rsidR="00E65183" w:rsidRPr="00C83BDF" w:rsidRDefault="00C16BBE" w:rsidP="004737CD">
                  <w:pPr>
                    <w:autoSpaceDE w:val="0"/>
                    <w:autoSpaceDN w:val="0"/>
                    <w:adjustRightInd w:val="0"/>
                    <w:jc w:val="center"/>
                    <w:rPr>
                      <w:rFonts w:cs="Arial"/>
                      <w:color w:val="000000"/>
                      <w:sz w:val="18"/>
                      <w:szCs w:val="18"/>
                      <w:lang w:val="es-ES_tradnl"/>
                    </w:rPr>
                  </w:pPr>
                  <w:r w:rsidRPr="00C83BDF">
                    <w:rPr>
                      <w:rFonts w:cs="Arial"/>
                      <w:bCs/>
                      <w:sz w:val="18"/>
                      <w:szCs w:val="18"/>
                      <w:lang w:val="es-ES_tradnl"/>
                    </w:rPr>
                    <w:t>Sesiones</w:t>
                  </w:r>
                </w:p>
              </w:tc>
              <w:tc>
                <w:tcPr>
                  <w:tcW w:w="1433" w:type="dxa"/>
                </w:tcPr>
                <w:p w:rsidR="00E65183" w:rsidRPr="00C83BDF" w:rsidRDefault="00C16BBE" w:rsidP="004737CD">
                  <w:pPr>
                    <w:autoSpaceDE w:val="0"/>
                    <w:autoSpaceDN w:val="0"/>
                    <w:adjustRightInd w:val="0"/>
                    <w:jc w:val="center"/>
                    <w:rPr>
                      <w:rFonts w:cs="Arial"/>
                      <w:color w:val="000000"/>
                      <w:sz w:val="18"/>
                      <w:szCs w:val="18"/>
                      <w:lang w:val="es-ES_tradnl"/>
                    </w:rPr>
                  </w:pPr>
                  <w:r w:rsidRPr="00C83BDF">
                    <w:rPr>
                      <w:rFonts w:cs="Arial"/>
                      <w:bCs/>
                      <w:color w:val="000000"/>
                      <w:sz w:val="18"/>
                      <w:szCs w:val="18"/>
                      <w:lang w:val="es-ES_tradnl"/>
                    </w:rPr>
                    <w:t>% de sesiones nuevas</w:t>
                  </w:r>
                </w:p>
              </w:tc>
              <w:tc>
                <w:tcPr>
                  <w:tcW w:w="1069" w:type="dxa"/>
                </w:tcPr>
                <w:p w:rsidR="00E65183" w:rsidRPr="00C83BDF" w:rsidRDefault="00C16BBE" w:rsidP="004737CD">
                  <w:pPr>
                    <w:autoSpaceDE w:val="0"/>
                    <w:autoSpaceDN w:val="0"/>
                    <w:adjustRightInd w:val="0"/>
                    <w:jc w:val="center"/>
                    <w:rPr>
                      <w:rFonts w:cs="Arial"/>
                      <w:color w:val="000000"/>
                      <w:sz w:val="18"/>
                      <w:szCs w:val="18"/>
                      <w:lang w:val="es-ES_tradnl"/>
                    </w:rPr>
                  </w:pPr>
                  <w:r w:rsidRPr="00C83BDF">
                    <w:rPr>
                      <w:rFonts w:cs="Arial"/>
                      <w:bCs/>
                      <w:color w:val="000000"/>
                      <w:sz w:val="18"/>
                      <w:szCs w:val="18"/>
                      <w:lang w:val="es-ES_tradnl"/>
                    </w:rPr>
                    <w:t>Nuevos usuarios</w:t>
                  </w:r>
                </w:p>
              </w:tc>
            </w:tr>
            <w:tr w:rsidR="00E65183" w:rsidRPr="00C83BDF">
              <w:tc>
                <w:tcPr>
                  <w:tcW w:w="2864" w:type="dxa"/>
                </w:tcPr>
                <w:p w:rsidR="00E65183" w:rsidRPr="00C83BDF" w:rsidRDefault="00C16BBE" w:rsidP="004737CD">
                  <w:pPr>
                    <w:autoSpaceDE w:val="0"/>
                    <w:autoSpaceDN w:val="0"/>
                    <w:adjustRightInd w:val="0"/>
                    <w:jc w:val="left"/>
                    <w:rPr>
                      <w:rFonts w:cs="Arial"/>
                      <w:color w:val="000000"/>
                      <w:sz w:val="18"/>
                      <w:szCs w:val="18"/>
                      <w:lang w:val="es-ES_tradnl"/>
                    </w:rPr>
                  </w:pPr>
                  <w:r w:rsidRPr="00C83BDF">
                    <w:rPr>
                      <w:rFonts w:cs="Arial"/>
                      <w:sz w:val="18"/>
                      <w:szCs w:val="18"/>
                      <w:lang w:val="es-ES_tradnl"/>
                    </w:rPr>
                    <w:t>Suiza</w:t>
                  </w:r>
                  <w:r w:rsidR="00E65183" w:rsidRPr="00C83BDF">
                    <w:rPr>
                      <w:rFonts w:cs="Arial"/>
                      <w:color w:val="000000"/>
                      <w:sz w:val="18"/>
                      <w:szCs w:val="18"/>
                      <w:lang w:val="es-ES_tradnl"/>
                    </w:rPr>
                    <w:t xml:space="preserve"> </w:t>
                  </w:r>
                </w:p>
              </w:tc>
              <w:tc>
                <w:tcPr>
                  <w:tcW w:w="1260" w:type="dxa"/>
                </w:tcPr>
                <w:p w:rsidR="00E65183" w:rsidRPr="00C83BDF" w:rsidRDefault="00C16BBE" w:rsidP="004737CD">
                  <w:pPr>
                    <w:autoSpaceDE w:val="0"/>
                    <w:autoSpaceDN w:val="0"/>
                    <w:adjustRightInd w:val="0"/>
                    <w:ind w:right="224"/>
                    <w:jc w:val="right"/>
                    <w:rPr>
                      <w:rFonts w:cs="Arial"/>
                      <w:color w:val="000000"/>
                      <w:sz w:val="18"/>
                      <w:szCs w:val="18"/>
                      <w:lang w:val="es-ES_tradnl"/>
                    </w:rPr>
                  </w:pPr>
                  <w:r w:rsidRPr="00C83BDF">
                    <w:rPr>
                      <w:rFonts w:cs="Arial"/>
                      <w:color w:val="000000"/>
                      <w:sz w:val="18"/>
                      <w:szCs w:val="18"/>
                      <w:lang w:val="es-ES_tradnl"/>
                    </w:rPr>
                    <w:t>1.2</w:t>
                  </w:r>
                  <w:r w:rsidR="00E65183" w:rsidRPr="00C83BDF">
                    <w:rPr>
                      <w:rFonts w:cs="Arial"/>
                      <w:color w:val="000000"/>
                      <w:sz w:val="18"/>
                      <w:szCs w:val="18"/>
                      <w:lang w:val="es-ES_tradnl"/>
                    </w:rPr>
                    <w:t>32</w:t>
                  </w:r>
                </w:p>
              </w:tc>
              <w:tc>
                <w:tcPr>
                  <w:tcW w:w="1433" w:type="dxa"/>
                </w:tcPr>
                <w:p w:rsidR="00E65183" w:rsidRPr="00C83BDF" w:rsidRDefault="00E65183" w:rsidP="004737CD">
                  <w:pPr>
                    <w:autoSpaceDE w:val="0"/>
                    <w:autoSpaceDN w:val="0"/>
                    <w:adjustRightInd w:val="0"/>
                    <w:jc w:val="center"/>
                    <w:rPr>
                      <w:rFonts w:cs="Arial"/>
                      <w:color w:val="000000"/>
                      <w:sz w:val="18"/>
                      <w:szCs w:val="18"/>
                      <w:lang w:val="es-ES_tradnl"/>
                    </w:rPr>
                  </w:pPr>
                  <w:r w:rsidRPr="00C83BDF">
                    <w:rPr>
                      <w:rFonts w:cs="Arial"/>
                      <w:color w:val="000000"/>
                      <w:sz w:val="18"/>
                      <w:szCs w:val="18"/>
                      <w:lang w:val="es-ES_tradnl"/>
                    </w:rPr>
                    <w:t>27,84%</w:t>
                  </w:r>
                </w:p>
              </w:tc>
              <w:tc>
                <w:tcPr>
                  <w:tcW w:w="1069" w:type="dxa"/>
                </w:tcPr>
                <w:p w:rsidR="00E65183" w:rsidRPr="00C83BDF" w:rsidRDefault="00E65183" w:rsidP="004737CD">
                  <w:pPr>
                    <w:autoSpaceDE w:val="0"/>
                    <w:autoSpaceDN w:val="0"/>
                    <w:adjustRightInd w:val="0"/>
                    <w:ind w:right="170"/>
                    <w:jc w:val="right"/>
                    <w:rPr>
                      <w:rFonts w:cs="Arial"/>
                      <w:color w:val="000000"/>
                      <w:sz w:val="18"/>
                      <w:szCs w:val="18"/>
                      <w:lang w:val="es-ES_tradnl"/>
                    </w:rPr>
                  </w:pPr>
                  <w:r w:rsidRPr="00C83BDF">
                    <w:rPr>
                      <w:rFonts w:cs="Arial"/>
                      <w:color w:val="000000"/>
                      <w:sz w:val="18"/>
                      <w:szCs w:val="18"/>
                      <w:lang w:val="es-ES_tradnl"/>
                    </w:rPr>
                    <w:t>343</w:t>
                  </w:r>
                </w:p>
              </w:tc>
            </w:tr>
            <w:tr w:rsidR="00E65183" w:rsidRPr="00C83BDF">
              <w:tc>
                <w:tcPr>
                  <w:tcW w:w="2864" w:type="dxa"/>
                </w:tcPr>
                <w:p w:rsidR="00E65183" w:rsidRPr="00C83BDF" w:rsidRDefault="00C16BBE" w:rsidP="004737CD">
                  <w:pPr>
                    <w:autoSpaceDE w:val="0"/>
                    <w:autoSpaceDN w:val="0"/>
                    <w:adjustRightInd w:val="0"/>
                    <w:jc w:val="left"/>
                    <w:rPr>
                      <w:rFonts w:cs="Arial"/>
                      <w:color w:val="000000"/>
                      <w:sz w:val="18"/>
                      <w:szCs w:val="18"/>
                      <w:lang w:val="es-ES_tradnl"/>
                    </w:rPr>
                  </w:pPr>
                  <w:r w:rsidRPr="00C83BDF">
                    <w:rPr>
                      <w:rFonts w:cs="Arial"/>
                      <w:sz w:val="18"/>
                      <w:szCs w:val="18"/>
                      <w:lang w:val="es-ES_tradnl"/>
                    </w:rPr>
                    <w:t>Francia</w:t>
                  </w:r>
                  <w:r w:rsidR="00E65183" w:rsidRPr="00C83BDF">
                    <w:rPr>
                      <w:rFonts w:cs="Arial"/>
                      <w:color w:val="000000"/>
                      <w:sz w:val="18"/>
                      <w:szCs w:val="18"/>
                      <w:lang w:val="es-ES_tradnl"/>
                    </w:rPr>
                    <w:t xml:space="preserve"> </w:t>
                  </w:r>
                </w:p>
              </w:tc>
              <w:tc>
                <w:tcPr>
                  <w:tcW w:w="1260" w:type="dxa"/>
                </w:tcPr>
                <w:p w:rsidR="00E65183" w:rsidRPr="00C83BDF" w:rsidRDefault="00C16BBE" w:rsidP="004737CD">
                  <w:pPr>
                    <w:autoSpaceDE w:val="0"/>
                    <w:autoSpaceDN w:val="0"/>
                    <w:adjustRightInd w:val="0"/>
                    <w:ind w:right="224"/>
                    <w:jc w:val="right"/>
                    <w:rPr>
                      <w:rFonts w:cs="Arial"/>
                      <w:color w:val="000000"/>
                      <w:sz w:val="18"/>
                      <w:szCs w:val="18"/>
                      <w:lang w:val="es-ES_tradnl"/>
                    </w:rPr>
                  </w:pPr>
                  <w:r w:rsidRPr="00C83BDF">
                    <w:rPr>
                      <w:rFonts w:cs="Arial"/>
                      <w:color w:val="000000"/>
                      <w:sz w:val="18"/>
                      <w:szCs w:val="18"/>
                      <w:lang w:val="es-ES_tradnl"/>
                    </w:rPr>
                    <w:t>1.2</w:t>
                  </w:r>
                  <w:r w:rsidR="00E65183" w:rsidRPr="00C83BDF">
                    <w:rPr>
                      <w:rFonts w:cs="Arial"/>
                      <w:color w:val="000000"/>
                      <w:sz w:val="18"/>
                      <w:szCs w:val="18"/>
                      <w:lang w:val="es-ES_tradnl"/>
                    </w:rPr>
                    <w:t>02</w:t>
                  </w:r>
                </w:p>
              </w:tc>
              <w:tc>
                <w:tcPr>
                  <w:tcW w:w="1433" w:type="dxa"/>
                </w:tcPr>
                <w:p w:rsidR="00E65183" w:rsidRPr="00C83BDF" w:rsidRDefault="00E65183" w:rsidP="004737CD">
                  <w:pPr>
                    <w:autoSpaceDE w:val="0"/>
                    <w:autoSpaceDN w:val="0"/>
                    <w:adjustRightInd w:val="0"/>
                    <w:jc w:val="center"/>
                    <w:rPr>
                      <w:rFonts w:cs="Arial"/>
                      <w:color w:val="000000"/>
                      <w:sz w:val="18"/>
                      <w:szCs w:val="18"/>
                      <w:lang w:val="es-ES_tradnl"/>
                    </w:rPr>
                  </w:pPr>
                  <w:r w:rsidRPr="00C83BDF">
                    <w:rPr>
                      <w:rFonts w:cs="Arial"/>
                      <w:color w:val="000000"/>
                      <w:sz w:val="18"/>
                      <w:szCs w:val="18"/>
                      <w:lang w:val="es-ES_tradnl"/>
                    </w:rPr>
                    <w:t>56,91%</w:t>
                  </w:r>
                </w:p>
              </w:tc>
              <w:tc>
                <w:tcPr>
                  <w:tcW w:w="1069" w:type="dxa"/>
                </w:tcPr>
                <w:p w:rsidR="00E65183" w:rsidRPr="00C83BDF" w:rsidRDefault="00E65183" w:rsidP="004737CD">
                  <w:pPr>
                    <w:autoSpaceDE w:val="0"/>
                    <w:autoSpaceDN w:val="0"/>
                    <w:adjustRightInd w:val="0"/>
                    <w:ind w:right="170"/>
                    <w:jc w:val="right"/>
                    <w:rPr>
                      <w:rFonts w:cs="Arial"/>
                      <w:color w:val="000000"/>
                      <w:sz w:val="18"/>
                      <w:szCs w:val="18"/>
                      <w:lang w:val="es-ES_tradnl"/>
                    </w:rPr>
                  </w:pPr>
                  <w:r w:rsidRPr="00C83BDF">
                    <w:rPr>
                      <w:rFonts w:cs="Arial"/>
                      <w:color w:val="000000"/>
                      <w:sz w:val="18"/>
                      <w:szCs w:val="18"/>
                      <w:lang w:val="es-ES_tradnl"/>
                    </w:rPr>
                    <w:t>684</w:t>
                  </w:r>
                </w:p>
              </w:tc>
            </w:tr>
            <w:tr w:rsidR="00E65183" w:rsidRPr="00C83BDF">
              <w:tc>
                <w:tcPr>
                  <w:tcW w:w="2864" w:type="dxa"/>
                </w:tcPr>
                <w:p w:rsidR="00E65183" w:rsidRPr="00C83BDF" w:rsidRDefault="00C16BBE" w:rsidP="004737CD">
                  <w:pPr>
                    <w:autoSpaceDE w:val="0"/>
                    <w:autoSpaceDN w:val="0"/>
                    <w:adjustRightInd w:val="0"/>
                    <w:jc w:val="left"/>
                    <w:rPr>
                      <w:rFonts w:cs="Arial"/>
                      <w:color w:val="000000"/>
                      <w:sz w:val="18"/>
                      <w:szCs w:val="18"/>
                      <w:lang w:val="es-ES_tradnl"/>
                    </w:rPr>
                  </w:pPr>
                  <w:r w:rsidRPr="00C83BDF">
                    <w:rPr>
                      <w:rFonts w:cs="Arial"/>
                      <w:sz w:val="18"/>
                      <w:szCs w:val="18"/>
                      <w:lang w:val="es-ES_tradnl"/>
                    </w:rPr>
                    <w:t>Estados Unidos de América</w:t>
                  </w:r>
                </w:p>
              </w:tc>
              <w:tc>
                <w:tcPr>
                  <w:tcW w:w="1260" w:type="dxa"/>
                </w:tcPr>
                <w:p w:rsidR="00E65183" w:rsidRPr="00C83BDF" w:rsidRDefault="00E65183" w:rsidP="004737CD">
                  <w:pPr>
                    <w:autoSpaceDE w:val="0"/>
                    <w:autoSpaceDN w:val="0"/>
                    <w:adjustRightInd w:val="0"/>
                    <w:ind w:right="224"/>
                    <w:jc w:val="right"/>
                    <w:rPr>
                      <w:rFonts w:cs="Arial"/>
                      <w:color w:val="000000"/>
                      <w:sz w:val="18"/>
                      <w:szCs w:val="18"/>
                      <w:lang w:val="es-ES_tradnl"/>
                    </w:rPr>
                  </w:pPr>
                  <w:r w:rsidRPr="00C83BDF">
                    <w:rPr>
                      <w:rFonts w:cs="Arial"/>
                      <w:color w:val="000000"/>
                      <w:sz w:val="18"/>
                      <w:szCs w:val="18"/>
                      <w:lang w:val="es-ES_tradnl"/>
                    </w:rPr>
                    <w:t>965</w:t>
                  </w:r>
                </w:p>
              </w:tc>
              <w:tc>
                <w:tcPr>
                  <w:tcW w:w="1433" w:type="dxa"/>
                </w:tcPr>
                <w:p w:rsidR="00E65183" w:rsidRPr="00C83BDF" w:rsidRDefault="00E65183" w:rsidP="004737CD">
                  <w:pPr>
                    <w:autoSpaceDE w:val="0"/>
                    <w:autoSpaceDN w:val="0"/>
                    <w:adjustRightInd w:val="0"/>
                    <w:jc w:val="center"/>
                    <w:rPr>
                      <w:rFonts w:cs="Arial"/>
                      <w:color w:val="000000"/>
                      <w:sz w:val="18"/>
                      <w:szCs w:val="18"/>
                      <w:lang w:val="es-ES_tradnl"/>
                    </w:rPr>
                  </w:pPr>
                  <w:r w:rsidRPr="00C83BDF">
                    <w:rPr>
                      <w:rFonts w:cs="Arial"/>
                      <w:color w:val="000000"/>
                      <w:sz w:val="18"/>
                      <w:szCs w:val="18"/>
                      <w:lang w:val="es-ES_tradnl"/>
                    </w:rPr>
                    <w:t>63,01%</w:t>
                  </w:r>
                </w:p>
              </w:tc>
              <w:tc>
                <w:tcPr>
                  <w:tcW w:w="1069" w:type="dxa"/>
                </w:tcPr>
                <w:p w:rsidR="00E65183" w:rsidRPr="00C83BDF" w:rsidRDefault="00E65183" w:rsidP="004737CD">
                  <w:pPr>
                    <w:autoSpaceDE w:val="0"/>
                    <w:autoSpaceDN w:val="0"/>
                    <w:adjustRightInd w:val="0"/>
                    <w:ind w:right="170"/>
                    <w:jc w:val="right"/>
                    <w:rPr>
                      <w:rFonts w:cs="Arial"/>
                      <w:color w:val="000000"/>
                      <w:sz w:val="18"/>
                      <w:szCs w:val="18"/>
                      <w:lang w:val="es-ES_tradnl"/>
                    </w:rPr>
                  </w:pPr>
                  <w:r w:rsidRPr="00C83BDF">
                    <w:rPr>
                      <w:rFonts w:cs="Arial"/>
                      <w:color w:val="000000"/>
                      <w:sz w:val="18"/>
                      <w:szCs w:val="18"/>
                      <w:lang w:val="es-ES_tradnl"/>
                    </w:rPr>
                    <w:t>608</w:t>
                  </w:r>
                </w:p>
              </w:tc>
            </w:tr>
            <w:tr w:rsidR="00E65183" w:rsidRPr="00C83BDF">
              <w:tc>
                <w:tcPr>
                  <w:tcW w:w="2864" w:type="dxa"/>
                </w:tcPr>
                <w:p w:rsidR="00E65183" w:rsidRPr="00C83BDF" w:rsidRDefault="00C16BBE" w:rsidP="004737CD">
                  <w:pPr>
                    <w:autoSpaceDE w:val="0"/>
                    <w:autoSpaceDN w:val="0"/>
                    <w:adjustRightInd w:val="0"/>
                    <w:jc w:val="left"/>
                    <w:rPr>
                      <w:rFonts w:cs="Arial"/>
                      <w:color w:val="000000"/>
                      <w:sz w:val="18"/>
                      <w:szCs w:val="18"/>
                      <w:lang w:val="es-ES_tradnl"/>
                    </w:rPr>
                  </w:pPr>
                  <w:r w:rsidRPr="00C83BDF">
                    <w:rPr>
                      <w:rFonts w:cs="Arial"/>
                      <w:sz w:val="18"/>
                      <w:szCs w:val="18"/>
                      <w:lang w:val="es-ES_tradnl"/>
                    </w:rPr>
                    <w:t>Alemania</w:t>
                  </w:r>
                  <w:r w:rsidR="00E65183" w:rsidRPr="00C83BDF">
                    <w:rPr>
                      <w:rFonts w:cs="Arial"/>
                      <w:color w:val="000000"/>
                      <w:sz w:val="18"/>
                      <w:szCs w:val="18"/>
                      <w:lang w:val="es-ES_tradnl"/>
                    </w:rPr>
                    <w:t xml:space="preserve"> </w:t>
                  </w:r>
                </w:p>
              </w:tc>
              <w:tc>
                <w:tcPr>
                  <w:tcW w:w="1260" w:type="dxa"/>
                </w:tcPr>
                <w:p w:rsidR="00E65183" w:rsidRPr="00C83BDF" w:rsidRDefault="00E65183" w:rsidP="004737CD">
                  <w:pPr>
                    <w:autoSpaceDE w:val="0"/>
                    <w:autoSpaceDN w:val="0"/>
                    <w:adjustRightInd w:val="0"/>
                    <w:ind w:right="224"/>
                    <w:jc w:val="right"/>
                    <w:rPr>
                      <w:rFonts w:cs="Arial"/>
                      <w:color w:val="000000"/>
                      <w:sz w:val="18"/>
                      <w:szCs w:val="18"/>
                      <w:lang w:val="es-ES_tradnl"/>
                    </w:rPr>
                  </w:pPr>
                  <w:r w:rsidRPr="00C83BDF">
                    <w:rPr>
                      <w:rFonts w:cs="Arial"/>
                      <w:color w:val="000000"/>
                      <w:sz w:val="18"/>
                      <w:szCs w:val="18"/>
                      <w:lang w:val="es-ES_tradnl"/>
                    </w:rPr>
                    <w:t>835</w:t>
                  </w:r>
                </w:p>
              </w:tc>
              <w:tc>
                <w:tcPr>
                  <w:tcW w:w="1433" w:type="dxa"/>
                </w:tcPr>
                <w:p w:rsidR="00E65183" w:rsidRPr="00C83BDF" w:rsidRDefault="00E65183" w:rsidP="004737CD">
                  <w:pPr>
                    <w:autoSpaceDE w:val="0"/>
                    <w:autoSpaceDN w:val="0"/>
                    <w:adjustRightInd w:val="0"/>
                    <w:jc w:val="center"/>
                    <w:rPr>
                      <w:rFonts w:cs="Arial"/>
                      <w:color w:val="000000"/>
                      <w:sz w:val="18"/>
                      <w:szCs w:val="18"/>
                      <w:lang w:val="es-ES_tradnl"/>
                    </w:rPr>
                  </w:pPr>
                  <w:r w:rsidRPr="00C83BDF">
                    <w:rPr>
                      <w:rFonts w:cs="Arial"/>
                      <w:color w:val="000000"/>
                      <w:sz w:val="18"/>
                      <w:szCs w:val="18"/>
                      <w:lang w:val="es-ES_tradnl"/>
                    </w:rPr>
                    <w:t>66,83%</w:t>
                  </w:r>
                </w:p>
              </w:tc>
              <w:tc>
                <w:tcPr>
                  <w:tcW w:w="1069" w:type="dxa"/>
                </w:tcPr>
                <w:p w:rsidR="00E65183" w:rsidRPr="00C83BDF" w:rsidRDefault="00E65183" w:rsidP="004737CD">
                  <w:pPr>
                    <w:autoSpaceDE w:val="0"/>
                    <w:autoSpaceDN w:val="0"/>
                    <w:adjustRightInd w:val="0"/>
                    <w:ind w:right="170"/>
                    <w:jc w:val="right"/>
                    <w:rPr>
                      <w:rFonts w:cs="Arial"/>
                      <w:color w:val="000000"/>
                      <w:sz w:val="18"/>
                      <w:szCs w:val="18"/>
                      <w:lang w:val="es-ES_tradnl"/>
                    </w:rPr>
                  </w:pPr>
                  <w:r w:rsidRPr="00C83BDF">
                    <w:rPr>
                      <w:rFonts w:cs="Arial"/>
                      <w:color w:val="000000"/>
                      <w:sz w:val="18"/>
                      <w:szCs w:val="18"/>
                      <w:lang w:val="es-ES_tradnl"/>
                    </w:rPr>
                    <w:t>558</w:t>
                  </w:r>
                </w:p>
              </w:tc>
            </w:tr>
            <w:tr w:rsidR="00E65183" w:rsidRPr="00C83BDF">
              <w:tc>
                <w:tcPr>
                  <w:tcW w:w="2864" w:type="dxa"/>
                </w:tcPr>
                <w:p w:rsidR="00E65183" w:rsidRPr="00C83BDF" w:rsidRDefault="00C16BBE" w:rsidP="004737CD">
                  <w:pPr>
                    <w:autoSpaceDE w:val="0"/>
                    <w:autoSpaceDN w:val="0"/>
                    <w:adjustRightInd w:val="0"/>
                    <w:jc w:val="left"/>
                    <w:rPr>
                      <w:rFonts w:cs="Arial"/>
                      <w:color w:val="000000"/>
                      <w:sz w:val="18"/>
                      <w:szCs w:val="18"/>
                      <w:lang w:val="es-ES_tradnl"/>
                    </w:rPr>
                  </w:pPr>
                  <w:r w:rsidRPr="00C83BDF">
                    <w:rPr>
                      <w:rFonts w:cs="Arial"/>
                      <w:sz w:val="18"/>
                      <w:szCs w:val="18"/>
                      <w:lang w:val="es-ES_tradnl"/>
                    </w:rPr>
                    <w:t>España</w:t>
                  </w:r>
                  <w:r w:rsidR="00E65183" w:rsidRPr="00C83BDF">
                    <w:rPr>
                      <w:rFonts w:cs="Arial"/>
                      <w:color w:val="000000"/>
                      <w:sz w:val="18"/>
                      <w:szCs w:val="18"/>
                      <w:lang w:val="es-ES_tradnl"/>
                    </w:rPr>
                    <w:t xml:space="preserve"> </w:t>
                  </w:r>
                </w:p>
              </w:tc>
              <w:tc>
                <w:tcPr>
                  <w:tcW w:w="1260" w:type="dxa"/>
                </w:tcPr>
                <w:p w:rsidR="00E65183" w:rsidRPr="00C83BDF" w:rsidRDefault="00E65183" w:rsidP="004737CD">
                  <w:pPr>
                    <w:autoSpaceDE w:val="0"/>
                    <w:autoSpaceDN w:val="0"/>
                    <w:adjustRightInd w:val="0"/>
                    <w:ind w:right="224"/>
                    <w:jc w:val="right"/>
                    <w:rPr>
                      <w:rFonts w:cs="Arial"/>
                      <w:color w:val="000000"/>
                      <w:sz w:val="18"/>
                      <w:szCs w:val="18"/>
                      <w:lang w:val="es-ES_tradnl"/>
                    </w:rPr>
                  </w:pPr>
                  <w:r w:rsidRPr="00C83BDF">
                    <w:rPr>
                      <w:rFonts w:cs="Arial"/>
                      <w:color w:val="000000"/>
                      <w:sz w:val="18"/>
                      <w:szCs w:val="18"/>
                      <w:lang w:val="es-ES_tradnl"/>
                    </w:rPr>
                    <w:t>789</w:t>
                  </w:r>
                </w:p>
              </w:tc>
              <w:tc>
                <w:tcPr>
                  <w:tcW w:w="1433" w:type="dxa"/>
                </w:tcPr>
                <w:p w:rsidR="00E65183" w:rsidRPr="00C83BDF" w:rsidRDefault="00E65183" w:rsidP="004737CD">
                  <w:pPr>
                    <w:autoSpaceDE w:val="0"/>
                    <w:autoSpaceDN w:val="0"/>
                    <w:adjustRightInd w:val="0"/>
                    <w:jc w:val="center"/>
                    <w:rPr>
                      <w:rFonts w:cs="Arial"/>
                      <w:color w:val="000000"/>
                      <w:sz w:val="18"/>
                      <w:szCs w:val="18"/>
                      <w:lang w:val="es-ES_tradnl"/>
                    </w:rPr>
                  </w:pPr>
                  <w:r w:rsidRPr="00C83BDF">
                    <w:rPr>
                      <w:rFonts w:cs="Arial"/>
                      <w:color w:val="000000"/>
                      <w:sz w:val="18"/>
                      <w:szCs w:val="18"/>
                      <w:lang w:val="es-ES_tradnl"/>
                    </w:rPr>
                    <w:t>62,86%</w:t>
                  </w:r>
                </w:p>
              </w:tc>
              <w:tc>
                <w:tcPr>
                  <w:tcW w:w="1069" w:type="dxa"/>
                </w:tcPr>
                <w:p w:rsidR="00E65183" w:rsidRPr="00C83BDF" w:rsidRDefault="00E65183" w:rsidP="004737CD">
                  <w:pPr>
                    <w:autoSpaceDE w:val="0"/>
                    <w:autoSpaceDN w:val="0"/>
                    <w:adjustRightInd w:val="0"/>
                    <w:ind w:right="170"/>
                    <w:jc w:val="right"/>
                    <w:rPr>
                      <w:rFonts w:cs="Arial"/>
                      <w:color w:val="000000"/>
                      <w:sz w:val="18"/>
                      <w:szCs w:val="18"/>
                      <w:lang w:val="es-ES_tradnl"/>
                    </w:rPr>
                  </w:pPr>
                  <w:r w:rsidRPr="00C83BDF">
                    <w:rPr>
                      <w:rFonts w:cs="Arial"/>
                      <w:color w:val="000000"/>
                      <w:sz w:val="18"/>
                      <w:szCs w:val="18"/>
                      <w:lang w:val="es-ES_tradnl"/>
                    </w:rPr>
                    <w:t>496</w:t>
                  </w:r>
                </w:p>
              </w:tc>
            </w:tr>
            <w:tr w:rsidR="00E65183" w:rsidRPr="00C83BDF">
              <w:tc>
                <w:tcPr>
                  <w:tcW w:w="2864" w:type="dxa"/>
                </w:tcPr>
                <w:p w:rsidR="00E65183" w:rsidRPr="00C83BDF" w:rsidRDefault="00C16BBE" w:rsidP="004737CD">
                  <w:pPr>
                    <w:autoSpaceDE w:val="0"/>
                    <w:autoSpaceDN w:val="0"/>
                    <w:adjustRightInd w:val="0"/>
                    <w:jc w:val="left"/>
                    <w:rPr>
                      <w:rFonts w:cs="Arial"/>
                      <w:color w:val="000000"/>
                      <w:sz w:val="18"/>
                      <w:szCs w:val="18"/>
                      <w:lang w:val="es-ES_tradnl"/>
                    </w:rPr>
                  </w:pPr>
                  <w:r w:rsidRPr="00C83BDF">
                    <w:rPr>
                      <w:rFonts w:cs="Arial"/>
                      <w:sz w:val="18"/>
                      <w:szCs w:val="18"/>
                      <w:lang w:val="es-ES_tradnl"/>
                    </w:rPr>
                    <w:t>Japón</w:t>
                  </w:r>
                  <w:r w:rsidR="00E65183" w:rsidRPr="00C83BDF">
                    <w:rPr>
                      <w:rFonts w:cs="Arial"/>
                      <w:color w:val="000000"/>
                      <w:sz w:val="18"/>
                      <w:szCs w:val="18"/>
                      <w:lang w:val="es-ES_tradnl"/>
                    </w:rPr>
                    <w:t xml:space="preserve"> </w:t>
                  </w:r>
                </w:p>
              </w:tc>
              <w:tc>
                <w:tcPr>
                  <w:tcW w:w="1260" w:type="dxa"/>
                </w:tcPr>
                <w:p w:rsidR="00E65183" w:rsidRPr="00C83BDF" w:rsidRDefault="00E65183" w:rsidP="004737CD">
                  <w:pPr>
                    <w:autoSpaceDE w:val="0"/>
                    <w:autoSpaceDN w:val="0"/>
                    <w:adjustRightInd w:val="0"/>
                    <w:ind w:right="224"/>
                    <w:jc w:val="right"/>
                    <w:rPr>
                      <w:rFonts w:cs="Arial"/>
                      <w:color w:val="000000"/>
                      <w:sz w:val="18"/>
                      <w:szCs w:val="18"/>
                      <w:lang w:val="es-ES_tradnl"/>
                    </w:rPr>
                  </w:pPr>
                  <w:r w:rsidRPr="00C83BDF">
                    <w:rPr>
                      <w:rFonts w:cs="Arial"/>
                      <w:color w:val="000000"/>
                      <w:sz w:val="18"/>
                      <w:szCs w:val="18"/>
                      <w:lang w:val="es-ES_tradnl"/>
                    </w:rPr>
                    <w:t>787</w:t>
                  </w:r>
                </w:p>
              </w:tc>
              <w:tc>
                <w:tcPr>
                  <w:tcW w:w="1433" w:type="dxa"/>
                </w:tcPr>
                <w:p w:rsidR="00E65183" w:rsidRPr="00C83BDF" w:rsidRDefault="00E65183" w:rsidP="004737CD">
                  <w:pPr>
                    <w:autoSpaceDE w:val="0"/>
                    <w:autoSpaceDN w:val="0"/>
                    <w:adjustRightInd w:val="0"/>
                    <w:jc w:val="center"/>
                    <w:rPr>
                      <w:rFonts w:cs="Arial"/>
                      <w:color w:val="000000"/>
                      <w:sz w:val="18"/>
                      <w:szCs w:val="18"/>
                      <w:lang w:val="es-ES_tradnl"/>
                    </w:rPr>
                  </w:pPr>
                  <w:r w:rsidRPr="00C83BDF">
                    <w:rPr>
                      <w:rFonts w:cs="Arial"/>
                      <w:color w:val="000000"/>
                      <w:sz w:val="18"/>
                      <w:szCs w:val="18"/>
                      <w:lang w:val="es-ES_tradnl"/>
                    </w:rPr>
                    <w:t>23,13%</w:t>
                  </w:r>
                </w:p>
              </w:tc>
              <w:tc>
                <w:tcPr>
                  <w:tcW w:w="1069" w:type="dxa"/>
                </w:tcPr>
                <w:p w:rsidR="00E65183" w:rsidRPr="00C83BDF" w:rsidRDefault="00E65183" w:rsidP="004737CD">
                  <w:pPr>
                    <w:autoSpaceDE w:val="0"/>
                    <w:autoSpaceDN w:val="0"/>
                    <w:adjustRightInd w:val="0"/>
                    <w:ind w:right="170"/>
                    <w:jc w:val="right"/>
                    <w:rPr>
                      <w:rFonts w:cs="Arial"/>
                      <w:color w:val="000000"/>
                      <w:sz w:val="18"/>
                      <w:szCs w:val="18"/>
                      <w:lang w:val="es-ES_tradnl"/>
                    </w:rPr>
                  </w:pPr>
                  <w:r w:rsidRPr="00C83BDF">
                    <w:rPr>
                      <w:rFonts w:cs="Arial"/>
                      <w:color w:val="000000"/>
                      <w:sz w:val="18"/>
                      <w:szCs w:val="18"/>
                      <w:lang w:val="es-ES_tradnl"/>
                    </w:rPr>
                    <w:t>182</w:t>
                  </w:r>
                </w:p>
              </w:tc>
            </w:tr>
            <w:tr w:rsidR="00E65183" w:rsidRPr="00C83BDF">
              <w:tc>
                <w:tcPr>
                  <w:tcW w:w="2864" w:type="dxa"/>
                </w:tcPr>
                <w:p w:rsidR="00E65183" w:rsidRPr="00C83BDF" w:rsidRDefault="00C16BBE" w:rsidP="004737CD">
                  <w:pPr>
                    <w:autoSpaceDE w:val="0"/>
                    <w:autoSpaceDN w:val="0"/>
                    <w:adjustRightInd w:val="0"/>
                    <w:jc w:val="left"/>
                    <w:rPr>
                      <w:rFonts w:cs="Arial"/>
                      <w:color w:val="000000"/>
                      <w:sz w:val="18"/>
                      <w:szCs w:val="18"/>
                      <w:lang w:val="es-ES_tradnl"/>
                    </w:rPr>
                  </w:pPr>
                  <w:r w:rsidRPr="00C83BDF">
                    <w:rPr>
                      <w:rFonts w:cs="Arial"/>
                      <w:sz w:val="18"/>
                      <w:szCs w:val="18"/>
                      <w:lang w:val="es-ES_tradnl"/>
                    </w:rPr>
                    <w:t>México</w:t>
                  </w:r>
                  <w:r w:rsidR="00E65183" w:rsidRPr="00C83BDF">
                    <w:rPr>
                      <w:rFonts w:cs="Arial"/>
                      <w:color w:val="000000"/>
                      <w:sz w:val="18"/>
                      <w:szCs w:val="18"/>
                      <w:lang w:val="es-ES_tradnl"/>
                    </w:rPr>
                    <w:t xml:space="preserve"> </w:t>
                  </w:r>
                </w:p>
              </w:tc>
              <w:tc>
                <w:tcPr>
                  <w:tcW w:w="1260" w:type="dxa"/>
                </w:tcPr>
                <w:p w:rsidR="00E65183" w:rsidRPr="00C83BDF" w:rsidRDefault="00E65183" w:rsidP="004737CD">
                  <w:pPr>
                    <w:autoSpaceDE w:val="0"/>
                    <w:autoSpaceDN w:val="0"/>
                    <w:adjustRightInd w:val="0"/>
                    <w:ind w:right="224"/>
                    <w:jc w:val="right"/>
                    <w:rPr>
                      <w:rFonts w:cs="Arial"/>
                      <w:color w:val="000000"/>
                      <w:sz w:val="18"/>
                      <w:szCs w:val="18"/>
                      <w:lang w:val="es-ES_tradnl"/>
                    </w:rPr>
                  </w:pPr>
                  <w:r w:rsidRPr="00C83BDF">
                    <w:rPr>
                      <w:rFonts w:cs="Arial"/>
                      <w:color w:val="000000"/>
                      <w:sz w:val="18"/>
                      <w:szCs w:val="18"/>
                      <w:lang w:val="es-ES_tradnl"/>
                    </w:rPr>
                    <w:t>592</w:t>
                  </w:r>
                </w:p>
              </w:tc>
              <w:tc>
                <w:tcPr>
                  <w:tcW w:w="1433" w:type="dxa"/>
                </w:tcPr>
                <w:p w:rsidR="00E65183" w:rsidRPr="00C83BDF" w:rsidRDefault="00E65183" w:rsidP="004737CD">
                  <w:pPr>
                    <w:autoSpaceDE w:val="0"/>
                    <w:autoSpaceDN w:val="0"/>
                    <w:adjustRightInd w:val="0"/>
                    <w:jc w:val="center"/>
                    <w:rPr>
                      <w:rFonts w:cs="Arial"/>
                      <w:color w:val="000000"/>
                      <w:sz w:val="18"/>
                      <w:szCs w:val="18"/>
                      <w:lang w:val="es-ES_tradnl"/>
                    </w:rPr>
                  </w:pPr>
                  <w:r w:rsidRPr="00C83BDF">
                    <w:rPr>
                      <w:rFonts w:cs="Arial"/>
                      <w:color w:val="000000"/>
                      <w:sz w:val="18"/>
                      <w:szCs w:val="18"/>
                      <w:lang w:val="es-ES_tradnl"/>
                    </w:rPr>
                    <w:t>53,72%</w:t>
                  </w:r>
                </w:p>
              </w:tc>
              <w:tc>
                <w:tcPr>
                  <w:tcW w:w="1069" w:type="dxa"/>
                </w:tcPr>
                <w:p w:rsidR="00E65183" w:rsidRPr="00C83BDF" w:rsidRDefault="00E65183" w:rsidP="004737CD">
                  <w:pPr>
                    <w:autoSpaceDE w:val="0"/>
                    <w:autoSpaceDN w:val="0"/>
                    <w:adjustRightInd w:val="0"/>
                    <w:ind w:right="170"/>
                    <w:jc w:val="right"/>
                    <w:rPr>
                      <w:rFonts w:cs="Arial"/>
                      <w:color w:val="000000"/>
                      <w:sz w:val="18"/>
                      <w:szCs w:val="18"/>
                      <w:lang w:val="es-ES_tradnl"/>
                    </w:rPr>
                  </w:pPr>
                  <w:r w:rsidRPr="00C83BDF">
                    <w:rPr>
                      <w:rFonts w:cs="Arial"/>
                      <w:color w:val="000000"/>
                      <w:sz w:val="18"/>
                      <w:szCs w:val="18"/>
                      <w:lang w:val="es-ES_tradnl"/>
                    </w:rPr>
                    <w:t>318</w:t>
                  </w:r>
                </w:p>
              </w:tc>
            </w:tr>
            <w:tr w:rsidR="00E65183" w:rsidRPr="00C83BDF">
              <w:tc>
                <w:tcPr>
                  <w:tcW w:w="2864" w:type="dxa"/>
                </w:tcPr>
                <w:p w:rsidR="00E65183" w:rsidRPr="00C83BDF" w:rsidRDefault="00C16BBE" w:rsidP="004737CD">
                  <w:pPr>
                    <w:autoSpaceDE w:val="0"/>
                    <w:autoSpaceDN w:val="0"/>
                    <w:adjustRightInd w:val="0"/>
                    <w:jc w:val="left"/>
                    <w:rPr>
                      <w:rFonts w:cs="Arial"/>
                      <w:color w:val="000000"/>
                      <w:sz w:val="18"/>
                      <w:szCs w:val="18"/>
                      <w:lang w:val="es-ES_tradnl"/>
                    </w:rPr>
                  </w:pPr>
                  <w:r w:rsidRPr="00C83BDF">
                    <w:rPr>
                      <w:rFonts w:cs="Arial"/>
                      <w:sz w:val="18"/>
                      <w:szCs w:val="18"/>
                      <w:lang w:val="es-ES_tradnl"/>
                    </w:rPr>
                    <w:t>India</w:t>
                  </w:r>
                  <w:r w:rsidR="00E65183" w:rsidRPr="00C83BDF">
                    <w:rPr>
                      <w:rFonts w:cs="Arial"/>
                      <w:color w:val="000000"/>
                      <w:sz w:val="18"/>
                      <w:szCs w:val="18"/>
                      <w:lang w:val="es-ES_tradnl"/>
                    </w:rPr>
                    <w:t xml:space="preserve"> </w:t>
                  </w:r>
                </w:p>
              </w:tc>
              <w:tc>
                <w:tcPr>
                  <w:tcW w:w="1260" w:type="dxa"/>
                </w:tcPr>
                <w:p w:rsidR="00E65183" w:rsidRPr="00C83BDF" w:rsidRDefault="00E65183" w:rsidP="004737CD">
                  <w:pPr>
                    <w:autoSpaceDE w:val="0"/>
                    <w:autoSpaceDN w:val="0"/>
                    <w:adjustRightInd w:val="0"/>
                    <w:ind w:right="224"/>
                    <w:jc w:val="right"/>
                    <w:rPr>
                      <w:rFonts w:cs="Arial"/>
                      <w:color w:val="000000"/>
                      <w:sz w:val="18"/>
                      <w:szCs w:val="18"/>
                      <w:lang w:val="es-ES_tradnl"/>
                    </w:rPr>
                  </w:pPr>
                  <w:r w:rsidRPr="00C83BDF">
                    <w:rPr>
                      <w:rFonts w:cs="Arial"/>
                      <w:color w:val="000000"/>
                      <w:sz w:val="18"/>
                      <w:szCs w:val="18"/>
                      <w:lang w:val="es-ES_tradnl"/>
                    </w:rPr>
                    <w:t>574</w:t>
                  </w:r>
                </w:p>
              </w:tc>
              <w:tc>
                <w:tcPr>
                  <w:tcW w:w="1433" w:type="dxa"/>
                </w:tcPr>
                <w:p w:rsidR="00E65183" w:rsidRPr="00C83BDF" w:rsidRDefault="00E65183" w:rsidP="004737CD">
                  <w:pPr>
                    <w:autoSpaceDE w:val="0"/>
                    <w:autoSpaceDN w:val="0"/>
                    <w:adjustRightInd w:val="0"/>
                    <w:jc w:val="center"/>
                    <w:rPr>
                      <w:rFonts w:cs="Arial"/>
                      <w:color w:val="000000"/>
                      <w:sz w:val="18"/>
                      <w:szCs w:val="18"/>
                      <w:lang w:val="es-ES_tradnl"/>
                    </w:rPr>
                  </w:pPr>
                  <w:r w:rsidRPr="00C83BDF">
                    <w:rPr>
                      <w:rFonts w:cs="Arial"/>
                      <w:color w:val="000000"/>
                      <w:sz w:val="18"/>
                      <w:szCs w:val="18"/>
                      <w:lang w:val="es-ES_tradnl"/>
                    </w:rPr>
                    <w:t>81,01%</w:t>
                  </w:r>
                </w:p>
              </w:tc>
              <w:tc>
                <w:tcPr>
                  <w:tcW w:w="1069" w:type="dxa"/>
                </w:tcPr>
                <w:p w:rsidR="00E65183" w:rsidRPr="00C83BDF" w:rsidRDefault="00E65183" w:rsidP="004737CD">
                  <w:pPr>
                    <w:autoSpaceDE w:val="0"/>
                    <w:autoSpaceDN w:val="0"/>
                    <w:adjustRightInd w:val="0"/>
                    <w:ind w:right="170"/>
                    <w:jc w:val="right"/>
                    <w:rPr>
                      <w:rFonts w:cs="Arial"/>
                      <w:color w:val="000000"/>
                      <w:sz w:val="18"/>
                      <w:szCs w:val="18"/>
                      <w:lang w:val="es-ES_tradnl"/>
                    </w:rPr>
                  </w:pPr>
                  <w:r w:rsidRPr="00C83BDF">
                    <w:rPr>
                      <w:rFonts w:cs="Arial"/>
                      <w:color w:val="000000"/>
                      <w:sz w:val="18"/>
                      <w:szCs w:val="18"/>
                      <w:lang w:val="es-ES_tradnl"/>
                    </w:rPr>
                    <w:t>465</w:t>
                  </w:r>
                </w:p>
              </w:tc>
            </w:tr>
            <w:tr w:rsidR="00E65183" w:rsidRPr="00C83BDF">
              <w:tc>
                <w:tcPr>
                  <w:tcW w:w="2864" w:type="dxa"/>
                </w:tcPr>
                <w:p w:rsidR="00E65183" w:rsidRPr="00C83BDF" w:rsidRDefault="00C16BBE" w:rsidP="004737CD">
                  <w:pPr>
                    <w:autoSpaceDE w:val="0"/>
                    <w:autoSpaceDN w:val="0"/>
                    <w:adjustRightInd w:val="0"/>
                    <w:jc w:val="left"/>
                    <w:rPr>
                      <w:rFonts w:cs="Arial"/>
                      <w:color w:val="000000"/>
                      <w:sz w:val="18"/>
                      <w:szCs w:val="18"/>
                      <w:lang w:val="es-ES_tradnl"/>
                    </w:rPr>
                  </w:pPr>
                  <w:r w:rsidRPr="00C83BDF">
                    <w:rPr>
                      <w:rFonts w:cs="Arial"/>
                      <w:sz w:val="18"/>
                      <w:szCs w:val="18"/>
                      <w:lang w:val="es-ES_tradnl"/>
                    </w:rPr>
                    <w:t>Países Bajos</w:t>
                  </w:r>
                  <w:r w:rsidR="00E65183" w:rsidRPr="00C83BDF">
                    <w:rPr>
                      <w:rFonts w:cs="Arial"/>
                      <w:color w:val="000000"/>
                      <w:sz w:val="18"/>
                      <w:szCs w:val="18"/>
                      <w:lang w:val="es-ES_tradnl"/>
                    </w:rPr>
                    <w:t xml:space="preserve"> </w:t>
                  </w:r>
                </w:p>
              </w:tc>
              <w:tc>
                <w:tcPr>
                  <w:tcW w:w="1260" w:type="dxa"/>
                </w:tcPr>
                <w:p w:rsidR="00E65183" w:rsidRPr="00C83BDF" w:rsidRDefault="00E65183" w:rsidP="004737CD">
                  <w:pPr>
                    <w:autoSpaceDE w:val="0"/>
                    <w:autoSpaceDN w:val="0"/>
                    <w:adjustRightInd w:val="0"/>
                    <w:ind w:right="224"/>
                    <w:jc w:val="right"/>
                    <w:rPr>
                      <w:rFonts w:cs="Arial"/>
                      <w:color w:val="000000"/>
                      <w:sz w:val="18"/>
                      <w:szCs w:val="18"/>
                      <w:lang w:val="es-ES_tradnl"/>
                    </w:rPr>
                  </w:pPr>
                  <w:r w:rsidRPr="00C83BDF">
                    <w:rPr>
                      <w:rFonts w:cs="Arial"/>
                      <w:color w:val="000000"/>
                      <w:sz w:val="18"/>
                      <w:szCs w:val="18"/>
                      <w:lang w:val="es-ES_tradnl"/>
                    </w:rPr>
                    <w:t>459</w:t>
                  </w:r>
                </w:p>
              </w:tc>
              <w:tc>
                <w:tcPr>
                  <w:tcW w:w="1433" w:type="dxa"/>
                </w:tcPr>
                <w:p w:rsidR="00E65183" w:rsidRPr="00C83BDF" w:rsidRDefault="00E65183" w:rsidP="004737CD">
                  <w:pPr>
                    <w:autoSpaceDE w:val="0"/>
                    <w:autoSpaceDN w:val="0"/>
                    <w:adjustRightInd w:val="0"/>
                    <w:jc w:val="center"/>
                    <w:rPr>
                      <w:rFonts w:cs="Arial"/>
                      <w:color w:val="000000"/>
                      <w:sz w:val="18"/>
                      <w:szCs w:val="18"/>
                      <w:lang w:val="es-ES_tradnl"/>
                    </w:rPr>
                  </w:pPr>
                  <w:r w:rsidRPr="00C83BDF">
                    <w:rPr>
                      <w:rFonts w:cs="Arial"/>
                      <w:color w:val="000000"/>
                      <w:sz w:val="18"/>
                      <w:szCs w:val="18"/>
                      <w:lang w:val="es-ES_tradnl"/>
                    </w:rPr>
                    <w:t>46,41%</w:t>
                  </w:r>
                </w:p>
              </w:tc>
              <w:tc>
                <w:tcPr>
                  <w:tcW w:w="1069" w:type="dxa"/>
                </w:tcPr>
                <w:p w:rsidR="00E65183" w:rsidRPr="00C83BDF" w:rsidRDefault="00E65183" w:rsidP="004737CD">
                  <w:pPr>
                    <w:autoSpaceDE w:val="0"/>
                    <w:autoSpaceDN w:val="0"/>
                    <w:adjustRightInd w:val="0"/>
                    <w:ind w:right="170"/>
                    <w:jc w:val="right"/>
                    <w:rPr>
                      <w:rFonts w:cs="Arial"/>
                      <w:color w:val="000000"/>
                      <w:sz w:val="18"/>
                      <w:szCs w:val="18"/>
                      <w:lang w:val="es-ES_tradnl"/>
                    </w:rPr>
                  </w:pPr>
                  <w:r w:rsidRPr="00C83BDF">
                    <w:rPr>
                      <w:rFonts w:cs="Arial"/>
                      <w:color w:val="000000"/>
                      <w:sz w:val="18"/>
                      <w:szCs w:val="18"/>
                      <w:lang w:val="es-ES_tradnl"/>
                    </w:rPr>
                    <w:t>213</w:t>
                  </w:r>
                </w:p>
              </w:tc>
            </w:tr>
            <w:tr w:rsidR="00E65183" w:rsidRPr="00C83BDF">
              <w:tc>
                <w:tcPr>
                  <w:tcW w:w="2864" w:type="dxa"/>
                </w:tcPr>
                <w:p w:rsidR="00E65183" w:rsidRPr="00C83BDF" w:rsidRDefault="00C16BBE" w:rsidP="004737CD">
                  <w:pPr>
                    <w:autoSpaceDE w:val="0"/>
                    <w:autoSpaceDN w:val="0"/>
                    <w:adjustRightInd w:val="0"/>
                    <w:jc w:val="left"/>
                    <w:rPr>
                      <w:rFonts w:cs="Arial"/>
                      <w:color w:val="000000"/>
                      <w:sz w:val="18"/>
                      <w:szCs w:val="18"/>
                      <w:lang w:val="es-ES_tradnl"/>
                    </w:rPr>
                  </w:pPr>
                  <w:r w:rsidRPr="00C83BDF">
                    <w:rPr>
                      <w:rFonts w:cs="Arial"/>
                      <w:sz w:val="18"/>
                      <w:szCs w:val="18"/>
                      <w:lang w:val="es-ES_tradnl"/>
                    </w:rPr>
                    <w:t>Australia</w:t>
                  </w:r>
                  <w:r w:rsidR="00E65183" w:rsidRPr="00C83BDF">
                    <w:rPr>
                      <w:rFonts w:cs="Arial"/>
                      <w:color w:val="000000"/>
                      <w:sz w:val="18"/>
                      <w:szCs w:val="18"/>
                      <w:lang w:val="es-ES_tradnl"/>
                    </w:rPr>
                    <w:t xml:space="preserve"> </w:t>
                  </w:r>
                </w:p>
              </w:tc>
              <w:tc>
                <w:tcPr>
                  <w:tcW w:w="1260" w:type="dxa"/>
                </w:tcPr>
                <w:p w:rsidR="00E65183" w:rsidRPr="00C83BDF" w:rsidRDefault="00E65183" w:rsidP="004737CD">
                  <w:pPr>
                    <w:autoSpaceDE w:val="0"/>
                    <w:autoSpaceDN w:val="0"/>
                    <w:adjustRightInd w:val="0"/>
                    <w:ind w:right="224"/>
                    <w:jc w:val="right"/>
                    <w:rPr>
                      <w:rFonts w:cs="Arial"/>
                      <w:color w:val="000000"/>
                      <w:sz w:val="18"/>
                      <w:szCs w:val="18"/>
                      <w:lang w:val="es-ES_tradnl"/>
                    </w:rPr>
                  </w:pPr>
                  <w:r w:rsidRPr="00C83BDF">
                    <w:rPr>
                      <w:rFonts w:cs="Arial"/>
                      <w:color w:val="000000"/>
                      <w:sz w:val="18"/>
                      <w:szCs w:val="18"/>
                      <w:lang w:val="es-ES_tradnl"/>
                    </w:rPr>
                    <w:t>440</w:t>
                  </w:r>
                </w:p>
              </w:tc>
              <w:tc>
                <w:tcPr>
                  <w:tcW w:w="1433" w:type="dxa"/>
                </w:tcPr>
                <w:p w:rsidR="00E65183" w:rsidRPr="00C83BDF" w:rsidRDefault="00E65183" w:rsidP="004737CD">
                  <w:pPr>
                    <w:autoSpaceDE w:val="0"/>
                    <w:autoSpaceDN w:val="0"/>
                    <w:adjustRightInd w:val="0"/>
                    <w:jc w:val="center"/>
                    <w:rPr>
                      <w:rFonts w:cs="Arial"/>
                      <w:color w:val="000000"/>
                      <w:sz w:val="18"/>
                      <w:szCs w:val="18"/>
                      <w:lang w:val="es-ES_tradnl"/>
                    </w:rPr>
                  </w:pPr>
                  <w:r w:rsidRPr="00C83BDF">
                    <w:rPr>
                      <w:rFonts w:cs="Arial"/>
                      <w:color w:val="000000"/>
                      <w:sz w:val="18"/>
                      <w:szCs w:val="18"/>
                      <w:lang w:val="es-ES_tradnl"/>
                    </w:rPr>
                    <w:t>36,14%</w:t>
                  </w:r>
                </w:p>
              </w:tc>
              <w:tc>
                <w:tcPr>
                  <w:tcW w:w="1069" w:type="dxa"/>
                </w:tcPr>
                <w:p w:rsidR="00E65183" w:rsidRPr="00C83BDF" w:rsidRDefault="00E65183" w:rsidP="004737CD">
                  <w:pPr>
                    <w:autoSpaceDE w:val="0"/>
                    <w:autoSpaceDN w:val="0"/>
                    <w:adjustRightInd w:val="0"/>
                    <w:ind w:right="170"/>
                    <w:jc w:val="right"/>
                    <w:rPr>
                      <w:rFonts w:cs="Arial"/>
                      <w:color w:val="000000"/>
                      <w:sz w:val="18"/>
                      <w:szCs w:val="18"/>
                      <w:lang w:val="es-ES_tradnl"/>
                    </w:rPr>
                  </w:pPr>
                  <w:r w:rsidRPr="00C83BDF">
                    <w:rPr>
                      <w:rFonts w:cs="Arial"/>
                      <w:color w:val="000000"/>
                      <w:sz w:val="18"/>
                      <w:szCs w:val="18"/>
                      <w:lang w:val="es-ES_tradnl"/>
                    </w:rPr>
                    <w:t>159</w:t>
                  </w:r>
                </w:p>
              </w:tc>
            </w:tr>
          </w:tbl>
          <w:p w:rsidR="00E65183" w:rsidRPr="00C83BDF" w:rsidRDefault="00E65183" w:rsidP="004737CD">
            <w:pPr>
              <w:rPr>
                <w:highlight w:val="yellow"/>
                <w:lang w:val="es-ES_tradnl"/>
              </w:rPr>
            </w:pPr>
          </w:p>
        </w:tc>
      </w:tr>
    </w:tbl>
    <w:p w:rsidR="00E65183" w:rsidRPr="00C83BDF" w:rsidRDefault="00E65183" w:rsidP="00E65183">
      <w:pPr>
        <w:rPr>
          <w:lang w:val="es-ES_tradnl"/>
        </w:rPr>
      </w:pPr>
    </w:p>
    <w:tbl>
      <w:tblPr>
        <w:tblW w:w="9889" w:type="dxa"/>
        <w:tblLayout w:type="fixed"/>
        <w:tblLook w:val="0000" w:firstRow="0" w:lastRow="0" w:firstColumn="0" w:lastColumn="0" w:noHBand="0" w:noVBand="0"/>
      </w:tblPr>
      <w:tblGrid>
        <w:gridCol w:w="1951"/>
        <w:gridCol w:w="7938"/>
      </w:tblGrid>
      <w:tr w:rsidR="00E65183" w:rsidRPr="00C83BDF">
        <w:tc>
          <w:tcPr>
            <w:tcW w:w="1951" w:type="dxa"/>
            <w:shd w:val="clear" w:color="auto" w:fill="auto"/>
          </w:tcPr>
          <w:p w:rsidR="00E65183" w:rsidRPr="00C83BDF" w:rsidRDefault="00C16BBE" w:rsidP="006A0768">
            <w:pPr>
              <w:keepNext/>
              <w:rPr>
                <w:b/>
                <w:sz w:val="18"/>
                <w:szCs w:val="18"/>
                <w:lang w:val="es-ES_tradnl"/>
              </w:rPr>
            </w:pPr>
            <w:r w:rsidRPr="00C83BDF">
              <w:rPr>
                <w:b/>
                <w:sz w:val="18"/>
                <w:szCs w:val="18"/>
                <w:lang w:val="es-ES_tradnl"/>
              </w:rPr>
              <w:t>Resultados previstos</w:t>
            </w:r>
          </w:p>
        </w:tc>
        <w:tc>
          <w:tcPr>
            <w:tcW w:w="7938" w:type="dxa"/>
            <w:shd w:val="clear" w:color="auto" w:fill="auto"/>
          </w:tcPr>
          <w:p w:rsidR="00E65183" w:rsidRPr="00C83BDF" w:rsidRDefault="00C16BBE" w:rsidP="006A0768">
            <w:pPr>
              <w:keepNext/>
              <w:rPr>
                <w:b/>
                <w:sz w:val="18"/>
                <w:szCs w:val="18"/>
                <w:lang w:val="es-ES_tradnl"/>
              </w:rPr>
            </w:pPr>
            <w:r w:rsidRPr="00C83BDF">
              <w:rPr>
                <w:b/>
                <w:sz w:val="18"/>
                <w:szCs w:val="18"/>
                <w:lang w:val="es-ES_tradnl"/>
              </w:rPr>
              <w:t>Resultados alcanzados:</w:t>
            </w:r>
            <w:r w:rsidR="00E65183" w:rsidRPr="00C83BDF">
              <w:rPr>
                <w:b/>
                <w:sz w:val="18"/>
                <w:szCs w:val="18"/>
                <w:lang w:val="es-ES_tradnl"/>
              </w:rPr>
              <w:t xml:space="preserve">  </w:t>
            </w:r>
            <w:r w:rsidRPr="00C83BDF">
              <w:rPr>
                <w:b/>
                <w:sz w:val="18"/>
                <w:szCs w:val="18"/>
                <w:lang w:val="es-ES_tradnl"/>
              </w:rPr>
              <w:t>indicadores de rendimiento</w:t>
            </w:r>
          </w:p>
        </w:tc>
      </w:tr>
      <w:tr w:rsidR="00E65183" w:rsidRPr="00C83BDF">
        <w:trPr>
          <w:cantSplit/>
        </w:trPr>
        <w:tc>
          <w:tcPr>
            <w:tcW w:w="1951" w:type="dxa"/>
            <w:shd w:val="clear" w:color="auto" w:fill="auto"/>
          </w:tcPr>
          <w:p w:rsidR="00E65183" w:rsidRPr="00C83BDF" w:rsidRDefault="00E65183" w:rsidP="004737CD">
            <w:pPr>
              <w:jc w:val="left"/>
              <w:rPr>
                <w:highlight w:val="yellow"/>
                <w:lang w:val="es-ES_tradnl"/>
              </w:rPr>
            </w:pPr>
            <w:r w:rsidRPr="00C83BDF">
              <w:rPr>
                <w:i/>
                <w:sz w:val="18"/>
                <w:lang w:val="es-ES_tradnl"/>
              </w:rPr>
              <w:t xml:space="preserve">3.  </w:t>
            </w:r>
            <w:r w:rsidR="00C16BBE" w:rsidRPr="00C83BDF">
              <w:rPr>
                <w:i/>
                <w:sz w:val="18"/>
                <w:lang w:val="es-ES_tradnl"/>
              </w:rPr>
              <w:t xml:space="preserve">Cooperación en materia de examen de variedades vegetales para la obtención de derechos de obtentor </w:t>
            </w:r>
            <w:r w:rsidR="00C16BBE" w:rsidRPr="00C83BDF">
              <w:rPr>
                <w:sz w:val="18"/>
                <w:lang w:val="es-ES_tradnl"/>
              </w:rPr>
              <w:t>(continuación)</w:t>
            </w:r>
          </w:p>
        </w:tc>
        <w:tc>
          <w:tcPr>
            <w:tcW w:w="7938" w:type="dxa"/>
            <w:shd w:val="clear" w:color="auto" w:fill="auto"/>
          </w:tcPr>
          <w:p w:rsidR="00E65183" w:rsidRPr="00C83BDF" w:rsidRDefault="00C16BBE" w:rsidP="006D2ED8">
            <w:pPr>
              <w:pStyle w:val="Heading8"/>
              <w:keepNext/>
              <w:rPr>
                <w:lang w:val="es-ES_tradnl"/>
              </w:rPr>
            </w:pPr>
            <w:bookmarkStart w:id="59" w:name="_Toc431824248"/>
            <w:r w:rsidRPr="00C83BDF">
              <w:rPr>
                <w:lang w:val="es-ES_tradnl"/>
              </w:rPr>
              <w:t>a)  Géneros y especies vegetales respecto de los cuales los miembros de la Unión poseen experiencia práctica</w:t>
            </w:r>
            <w:bookmarkEnd w:id="59"/>
          </w:p>
          <w:p w:rsidR="00E65183" w:rsidRPr="00C83BDF" w:rsidRDefault="00C16BBE" w:rsidP="004737CD">
            <w:pPr>
              <w:keepNext/>
              <w:jc w:val="left"/>
              <w:rPr>
                <w:sz w:val="18"/>
                <w:szCs w:val="18"/>
                <w:lang w:val="es-ES_tradnl"/>
              </w:rPr>
            </w:pPr>
            <w:r w:rsidRPr="00C83BDF">
              <w:rPr>
                <w:sz w:val="18"/>
                <w:szCs w:val="18"/>
                <w:lang w:val="es-ES_tradnl"/>
              </w:rPr>
              <w:t>La experiencia práctica en el examen DHE cubría aproximadamente 3.305 géneros o especies en 2014 (2.589 en 2013;  2.726 en 2012) (véase el documento TC/50/4).</w:t>
            </w:r>
          </w:p>
          <w:p w:rsidR="00E65183" w:rsidRPr="00C83BDF" w:rsidRDefault="00E65183" w:rsidP="004737CD">
            <w:pPr>
              <w:keepNext/>
              <w:jc w:val="left"/>
              <w:rPr>
                <w:sz w:val="18"/>
                <w:szCs w:val="18"/>
                <w:lang w:val="es-ES_tradnl"/>
              </w:rPr>
            </w:pPr>
          </w:p>
          <w:p w:rsidR="00E65183" w:rsidRPr="00C83BDF" w:rsidRDefault="00E65183" w:rsidP="004737CD">
            <w:pPr>
              <w:keepNext/>
              <w:jc w:val="left"/>
              <w:rPr>
                <w:sz w:val="18"/>
                <w:szCs w:val="18"/>
                <w:lang w:val="es-ES_tradnl"/>
              </w:rPr>
            </w:pPr>
          </w:p>
          <w:p w:rsidR="00E65183" w:rsidRPr="00C83BDF" w:rsidRDefault="00C16BBE" w:rsidP="006D2ED8">
            <w:pPr>
              <w:pStyle w:val="Heading8"/>
              <w:keepNext/>
              <w:rPr>
                <w:lang w:val="es-ES_tradnl"/>
              </w:rPr>
            </w:pPr>
            <w:bookmarkStart w:id="60" w:name="_Toc431824249"/>
            <w:r w:rsidRPr="00C83BDF">
              <w:rPr>
                <w:lang w:val="es-ES_tradnl"/>
              </w:rPr>
              <w:t>b)  Géneros y especies vegetales respecto de los cuales los miembros de la Unión cooperan en el examen DHE, según se indica en la base de datos GENIE</w:t>
            </w:r>
            <w:bookmarkEnd w:id="60"/>
          </w:p>
          <w:p w:rsidR="00E65183" w:rsidRPr="00C83BDF" w:rsidRDefault="00E65183" w:rsidP="006D2ED8">
            <w:pPr>
              <w:pStyle w:val="Heading8"/>
              <w:keepNext/>
              <w:rPr>
                <w:lang w:val="es-ES_tradnl"/>
              </w:rPr>
            </w:pPr>
            <w:bookmarkStart w:id="61" w:name="_Toc336339236"/>
            <w:bookmarkStart w:id="62" w:name="_Toc336613838"/>
            <w:bookmarkStart w:id="63" w:name="_Toc431824250"/>
            <w:r w:rsidRPr="00C83BDF">
              <w:rPr>
                <w:lang w:val="es-ES_tradnl"/>
              </w:rPr>
              <w:t xml:space="preserve">-  </w:t>
            </w:r>
            <w:bookmarkEnd w:id="61"/>
            <w:bookmarkEnd w:id="62"/>
            <w:r w:rsidR="00C16BBE" w:rsidRPr="00C83BDF">
              <w:rPr>
                <w:lang w:val="es-ES_tradnl"/>
              </w:rPr>
              <w:t>Cooperación general</w:t>
            </w:r>
            <w:bookmarkEnd w:id="63"/>
          </w:p>
          <w:p w:rsidR="00E65183" w:rsidRPr="00C83BDF" w:rsidRDefault="00C16BBE" w:rsidP="006D2ED8">
            <w:pPr>
              <w:keepNext/>
              <w:spacing w:after="120"/>
              <w:jc w:val="left"/>
              <w:rPr>
                <w:color w:val="000000"/>
                <w:sz w:val="18"/>
                <w:szCs w:val="18"/>
                <w:lang w:val="es-ES_tradnl"/>
              </w:rPr>
            </w:pPr>
            <w:r w:rsidRPr="00C83BDF">
              <w:rPr>
                <w:sz w:val="18"/>
                <w:szCs w:val="18"/>
                <w:lang w:val="es-ES_tradnl"/>
              </w:rPr>
              <w:t>Autoridades que proporcionarán los informes DHE existentes a cualquier miembro de la Unión:</w:t>
            </w:r>
          </w:p>
          <w:p w:rsidR="00E65183" w:rsidRPr="00C83BDF" w:rsidRDefault="00E65183" w:rsidP="004737CD">
            <w:pPr>
              <w:keepNext/>
              <w:jc w:val="left"/>
              <w:rPr>
                <w:color w:val="000000"/>
                <w:sz w:val="18"/>
                <w:szCs w:val="18"/>
                <w:lang w:val="es-ES_tradnl"/>
              </w:rPr>
            </w:pPr>
            <w:r w:rsidRPr="00C83BDF">
              <w:rPr>
                <w:color w:val="000000"/>
                <w:sz w:val="18"/>
                <w:szCs w:val="18"/>
                <w:lang w:val="es-ES_tradnl"/>
              </w:rPr>
              <w:tab/>
            </w:r>
            <w:r w:rsidR="00C16BBE" w:rsidRPr="00C83BDF">
              <w:rPr>
                <w:color w:val="000000"/>
                <w:sz w:val="18"/>
                <w:szCs w:val="18"/>
                <w:lang w:val="es-ES_tradnl"/>
              </w:rPr>
              <w:t>Australia, Brasil</w:t>
            </w:r>
          </w:p>
          <w:p w:rsidR="00E65183" w:rsidRPr="00C83BDF" w:rsidRDefault="00E65183" w:rsidP="004737CD">
            <w:pPr>
              <w:keepNext/>
              <w:jc w:val="left"/>
              <w:rPr>
                <w:color w:val="000000"/>
                <w:sz w:val="18"/>
                <w:szCs w:val="18"/>
                <w:lang w:val="es-ES_tradnl"/>
              </w:rPr>
            </w:pPr>
          </w:p>
          <w:p w:rsidR="00E65183" w:rsidRPr="00C83BDF" w:rsidRDefault="00C16BBE" w:rsidP="006D2ED8">
            <w:pPr>
              <w:keepNext/>
              <w:spacing w:after="120"/>
              <w:jc w:val="left"/>
              <w:rPr>
                <w:color w:val="000000"/>
                <w:sz w:val="18"/>
                <w:szCs w:val="18"/>
                <w:lang w:val="es-ES_tradnl"/>
              </w:rPr>
            </w:pPr>
            <w:r w:rsidRPr="00C83BDF">
              <w:rPr>
                <w:sz w:val="18"/>
                <w:szCs w:val="18"/>
                <w:lang w:val="es-ES_tradnl"/>
              </w:rPr>
              <w:t>Autoridades que proporcionarán, para toda especie respecto de la cual tengan experiencia en el examen DHE, los informes DHE existentes a cualquier miembro de la Unión:</w:t>
            </w:r>
            <w:r w:rsidR="00E65183" w:rsidRPr="00C83BDF">
              <w:rPr>
                <w:color w:val="000000"/>
                <w:sz w:val="18"/>
                <w:szCs w:val="18"/>
                <w:lang w:val="es-ES_tradnl"/>
              </w:rPr>
              <w:t xml:space="preserve">  </w:t>
            </w:r>
          </w:p>
          <w:p w:rsidR="00E65183" w:rsidRPr="00C83BDF" w:rsidRDefault="00E65183" w:rsidP="004737CD">
            <w:pPr>
              <w:keepNext/>
              <w:jc w:val="left"/>
              <w:rPr>
                <w:color w:val="000000"/>
                <w:sz w:val="18"/>
                <w:szCs w:val="18"/>
                <w:lang w:val="es-ES_tradnl"/>
              </w:rPr>
            </w:pPr>
            <w:r w:rsidRPr="00C83BDF">
              <w:rPr>
                <w:color w:val="000000"/>
                <w:sz w:val="18"/>
                <w:szCs w:val="18"/>
                <w:lang w:val="es-ES_tradnl"/>
              </w:rPr>
              <w:tab/>
            </w:r>
            <w:r w:rsidR="00C16BBE" w:rsidRPr="00C83BDF">
              <w:rPr>
                <w:color w:val="000000"/>
                <w:sz w:val="18"/>
                <w:szCs w:val="18"/>
                <w:lang w:val="es-ES_tradnl"/>
              </w:rPr>
              <w:t>Alemania, Canadá, Nueva Zelandia, Serbia, Unión Europea, Uruguay</w:t>
            </w:r>
          </w:p>
          <w:p w:rsidR="00E65183" w:rsidRPr="00C83BDF" w:rsidRDefault="00E65183" w:rsidP="004737CD">
            <w:pPr>
              <w:keepNext/>
              <w:jc w:val="left"/>
              <w:rPr>
                <w:color w:val="000000"/>
                <w:sz w:val="18"/>
                <w:szCs w:val="18"/>
                <w:lang w:val="es-ES_tradnl"/>
              </w:rPr>
            </w:pPr>
          </w:p>
          <w:p w:rsidR="00E65183" w:rsidRPr="00C83BDF" w:rsidRDefault="00C16BBE" w:rsidP="006D2ED8">
            <w:pPr>
              <w:keepNext/>
              <w:spacing w:after="120"/>
              <w:jc w:val="left"/>
              <w:rPr>
                <w:color w:val="000000"/>
                <w:sz w:val="18"/>
                <w:szCs w:val="18"/>
                <w:lang w:val="es-ES_tradnl"/>
              </w:rPr>
            </w:pPr>
            <w:r w:rsidRPr="00C83BDF">
              <w:rPr>
                <w:sz w:val="18"/>
                <w:szCs w:val="18"/>
                <w:lang w:val="es-ES_tradnl"/>
              </w:rPr>
              <w:t>Autoridades que aceptarán los informes DHE de cualquier otro miembro de la Unión:</w:t>
            </w:r>
            <w:r w:rsidR="00E65183" w:rsidRPr="00C83BDF">
              <w:rPr>
                <w:color w:val="000000"/>
                <w:sz w:val="18"/>
                <w:szCs w:val="18"/>
                <w:lang w:val="es-ES_tradnl"/>
              </w:rPr>
              <w:t xml:space="preserve"> </w:t>
            </w:r>
          </w:p>
          <w:p w:rsidR="00E65183" w:rsidRPr="00C83BDF" w:rsidRDefault="00E65183" w:rsidP="004737CD">
            <w:pPr>
              <w:keepNext/>
              <w:jc w:val="left"/>
              <w:rPr>
                <w:color w:val="000000"/>
                <w:sz w:val="18"/>
                <w:szCs w:val="18"/>
                <w:lang w:val="es-ES_tradnl"/>
              </w:rPr>
            </w:pPr>
            <w:r w:rsidRPr="00C83BDF">
              <w:rPr>
                <w:color w:val="000000"/>
                <w:sz w:val="18"/>
                <w:szCs w:val="18"/>
                <w:lang w:val="es-ES_tradnl"/>
              </w:rPr>
              <w:tab/>
            </w:r>
            <w:r w:rsidR="00C16BBE" w:rsidRPr="00C83BDF">
              <w:rPr>
                <w:sz w:val="18"/>
                <w:szCs w:val="18"/>
                <w:lang w:val="es-ES_tradnl"/>
              </w:rPr>
              <w:t xml:space="preserve">Australia (salvo </w:t>
            </w:r>
            <w:r w:rsidR="00C16BBE" w:rsidRPr="00C83BDF">
              <w:rPr>
                <w:i/>
                <w:sz w:val="18"/>
                <w:szCs w:val="18"/>
                <w:lang w:val="es-ES_tradnl"/>
              </w:rPr>
              <w:t xml:space="preserve">Solanum tuberosum </w:t>
            </w:r>
            <w:r w:rsidR="00C16BBE" w:rsidRPr="00C83BDF">
              <w:rPr>
                <w:sz w:val="18"/>
                <w:szCs w:val="18"/>
                <w:lang w:val="es-ES_tradnl"/>
              </w:rPr>
              <w:t>L.)</w:t>
            </w:r>
            <w:r w:rsidRPr="00C83BDF">
              <w:rPr>
                <w:color w:val="000000"/>
                <w:sz w:val="18"/>
                <w:szCs w:val="18"/>
                <w:lang w:val="es-ES_tradnl"/>
              </w:rPr>
              <w:t xml:space="preserve"> </w:t>
            </w:r>
          </w:p>
          <w:p w:rsidR="00E65183" w:rsidRPr="00C83BDF" w:rsidRDefault="00E65183" w:rsidP="004737CD">
            <w:pPr>
              <w:keepNext/>
              <w:jc w:val="left"/>
              <w:rPr>
                <w:sz w:val="18"/>
                <w:szCs w:val="18"/>
                <w:lang w:val="es-ES_tradnl"/>
              </w:rPr>
            </w:pPr>
          </w:p>
          <w:p w:rsidR="00E65183" w:rsidRPr="00C83BDF" w:rsidRDefault="00C16BBE" w:rsidP="004737CD">
            <w:pPr>
              <w:keepNext/>
              <w:jc w:val="left"/>
              <w:rPr>
                <w:color w:val="000000"/>
                <w:sz w:val="18"/>
                <w:szCs w:val="18"/>
                <w:lang w:val="es-ES_tradnl"/>
              </w:rPr>
            </w:pPr>
            <w:r w:rsidRPr="00C83BDF">
              <w:rPr>
                <w:sz w:val="18"/>
                <w:szCs w:val="18"/>
                <w:lang w:val="es-ES_tradnl"/>
              </w:rPr>
              <w:t>Por lo general, Suiza utilizará los informes DHE existentes facilitados por cualquier miembro de la Unión.</w:t>
            </w:r>
            <w:r w:rsidR="00E65183" w:rsidRPr="00C83BDF">
              <w:rPr>
                <w:color w:val="000000"/>
                <w:sz w:val="18"/>
                <w:szCs w:val="18"/>
                <w:lang w:val="es-ES_tradnl"/>
              </w:rPr>
              <w:t xml:space="preserve">  </w:t>
            </w:r>
            <w:r w:rsidRPr="00C83BDF">
              <w:rPr>
                <w:sz w:val="18"/>
                <w:szCs w:val="18"/>
                <w:lang w:val="es-ES_tradnl"/>
              </w:rPr>
              <w:t>En Suiza no se llevan a cabo exámenes DHE.</w:t>
            </w:r>
            <w:r w:rsidR="00E65183" w:rsidRPr="00C83BDF">
              <w:rPr>
                <w:color w:val="000000"/>
                <w:sz w:val="18"/>
                <w:szCs w:val="18"/>
                <w:lang w:val="es-ES_tradnl"/>
              </w:rPr>
              <w:t xml:space="preserve">  </w:t>
            </w:r>
            <w:r w:rsidRPr="00C83BDF">
              <w:rPr>
                <w:sz w:val="18"/>
                <w:szCs w:val="18"/>
                <w:lang w:val="es-ES_tradnl"/>
              </w:rPr>
              <w:t>En aquellos casos en los que no se dispone de un informe de examen DHE de un miembro de la Unión, la Oficina de Protección de Variedades Vegetales invitará a la autoridad apropiada o al centro de examen de un miembro de la Unión a llevar a cabo el examen DHE en su nombre.</w:t>
            </w:r>
            <w:r w:rsidR="00E65183" w:rsidRPr="00C83BDF">
              <w:rPr>
                <w:color w:val="000000"/>
                <w:sz w:val="18"/>
                <w:szCs w:val="18"/>
                <w:lang w:val="es-ES_tradnl"/>
              </w:rPr>
              <w:t xml:space="preserve"> </w:t>
            </w:r>
          </w:p>
          <w:p w:rsidR="00E65183" w:rsidRPr="00C83BDF" w:rsidRDefault="00E65183" w:rsidP="004737CD">
            <w:pPr>
              <w:keepNext/>
              <w:jc w:val="left"/>
              <w:rPr>
                <w:color w:val="000000"/>
                <w:sz w:val="18"/>
                <w:szCs w:val="18"/>
                <w:lang w:val="es-ES_tradnl"/>
              </w:rPr>
            </w:pPr>
          </w:p>
          <w:p w:rsidR="00E65183" w:rsidRPr="00C83BDF" w:rsidRDefault="00C16BBE" w:rsidP="004737CD">
            <w:pPr>
              <w:keepNext/>
              <w:jc w:val="left"/>
              <w:rPr>
                <w:color w:val="000000"/>
                <w:sz w:val="18"/>
                <w:szCs w:val="18"/>
                <w:lang w:val="es-ES_tradnl"/>
              </w:rPr>
            </w:pPr>
            <w:r w:rsidRPr="00C83BDF">
              <w:rPr>
                <w:sz w:val="18"/>
                <w:szCs w:val="18"/>
                <w:lang w:val="es-ES_tradnl"/>
              </w:rPr>
              <w:t>Canadá generalmente acepta los informes DHE existentes de otros miembros de la Unión para variedades de cualquier taxón de multiplicación vegetativa cuyos exámenes DHE se hayan realizado en un invernadero de ambiente controlado.</w:t>
            </w:r>
          </w:p>
          <w:p w:rsidR="00E65183" w:rsidRPr="00C83BDF" w:rsidRDefault="00E65183" w:rsidP="004737CD">
            <w:pPr>
              <w:keepNext/>
              <w:jc w:val="left"/>
              <w:rPr>
                <w:color w:val="000000"/>
                <w:sz w:val="18"/>
                <w:szCs w:val="18"/>
                <w:lang w:val="es-ES_tradnl"/>
              </w:rPr>
            </w:pPr>
          </w:p>
          <w:p w:rsidR="00E65183" w:rsidRPr="00C83BDF" w:rsidRDefault="00E65183" w:rsidP="006D2ED8">
            <w:pPr>
              <w:pStyle w:val="Heading8"/>
              <w:keepNext/>
              <w:rPr>
                <w:lang w:val="es-ES_tradnl"/>
              </w:rPr>
            </w:pPr>
            <w:bookmarkStart w:id="64" w:name="_Toc336339237"/>
            <w:bookmarkStart w:id="65" w:name="_Toc336613839"/>
            <w:bookmarkStart w:id="66" w:name="_Toc431824251"/>
            <w:r w:rsidRPr="00C83BDF">
              <w:rPr>
                <w:lang w:val="es-ES_tradnl"/>
              </w:rPr>
              <w:t xml:space="preserve">-  </w:t>
            </w:r>
            <w:bookmarkEnd w:id="64"/>
            <w:bookmarkEnd w:id="65"/>
            <w:r w:rsidR="00C16BBE" w:rsidRPr="00C83BDF">
              <w:rPr>
                <w:lang w:val="es-ES_tradnl"/>
              </w:rPr>
              <w:t>Número de acuerdos bilaterales y regionales sobre protección de las variedades vegetales</w:t>
            </w:r>
            <w:bookmarkEnd w:id="66"/>
          </w:p>
          <w:p w:rsidR="00E65183" w:rsidRPr="00C83BDF" w:rsidRDefault="00C16BBE" w:rsidP="004737CD">
            <w:pPr>
              <w:keepNext/>
              <w:jc w:val="left"/>
              <w:rPr>
                <w:color w:val="000000"/>
                <w:sz w:val="18"/>
                <w:szCs w:val="18"/>
                <w:lang w:val="es-ES_tradnl"/>
              </w:rPr>
            </w:pPr>
            <w:r w:rsidRPr="00C83BDF">
              <w:rPr>
                <w:sz w:val="18"/>
                <w:szCs w:val="18"/>
                <w:lang w:val="es-ES_tradnl"/>
              </w:rPr>
              <w:t xml:space="preserve">Los acuerdos de cooperación en materia de examen de variedades abarcaban aproximadamente 2.005 géneros o especies (1.997 en 2013; </w:t>
            </w:r>
            <w:r w:rsidR="006173DB" w:rsidRPr="00C83BDF">
              <w:rPr>
                <w:sz w:val="18"/>
                <w:szCs w:val="18"/>
                <w:lang w:val="es-ES_tradnl"/>
              </w:rPr>
              <w:t xml:space="preserve"> </w:t>
            </w:r>
            <w:r w:rsidRPr="00C83BDF">
              <w:rPr>
                <w:sz w:val="18"/>
                <w:szCs w:val="18"/>
                <w:lang w:val="es-ES_tradnl"/>
              </w:rPr>
              <w:t>1</w:t>
            </w:r>
            <w:r w:rsidR="006173DB" w:rsidRPr="00C83BDF">
              <w:rPr>
                <w:sz w:val="18"/>
                <w:szCs w:val="18"/>
                <w:lang w:val="es-ES_tradnl"/>
              </w:rPr>
              <w:t>.</w:t>
            </w:r>
            <w:r w:rsidRPr="00C83BDF">
              <w:rPr>
                <w:sz w:val="18"/>
                <w:szCs w:val="18"/>
                <w:lang w:val="es-ES_tradnl"/>
              </w:rPr>
              <w:t xml:space="preserve">991 en 2012), excluida la cooperación general (véase </w:t>
            </w:r>
            <w:r w:rsidR="000C35AD" w:rsidRPr="00C83BDF">
              <w:rPr>
                <w:sz w:val="18"/>
                <w:szCs w:val="18"/>
                <w:lang w:val="es-ES_tradnl"/>
              </w:rPr>
              <w:t xml:space="preserve">más arriba y </w:t>
            </w:r>
            <w:r w:rsidRPr="00C83BDF">
              <w:rPr>
                <w:sz w:val="18"/>
                <w:szCs w:val="18"/>
                <w:lang w:val="es-ES_tradnl"/>
              </w:rPr>
              <w:t>el documento C/48/5).</w:t>
            </w:r>
          </w:p>
        </w:tc>
      </w:tr>
    </w:tbl>
    <w:p w:rsidR="00E65183" w:rsidRPr="00C83BDF" w:rsidRDefault="00E65183" w:rsidP="00E65183">
      <w:pPr>
        <w:rPr>
          <w:lang w:val="es-ES_tradnl"/>
        </w:rPr>
      </w:pPr>
    </w:p>
    <w:p w:rsidR="00E65183" w:rsidRPr="00C83BDF" w:rsidRDefault="00E65183" w:rsidP="00E65183">
      <w:pPr>
        <w:rPr>
          <w:lang w:val="es-ES_tradnl"/>
        </w:rPr>
      </w:pPr>
    </w:p>
    <w:tbl>
      <w:tblPr>
        <w:tblW w:w="9889" w:type="dxa"/>
        <w:tblLayout w:type="fixed"/>
        <w:tblLook w:val="0000" w:firstRow="0" w:lastRow="0" w:firstColumn="0" w:lastColumn="0" w:noHBand="0" w:noVBand="0"/>
      </w:tblPr>
      <w:tblGrid>
        <w:gridCol w:w="1951"/>
        <w:gridCol w:w="7938"/>
      </w:tblGrid>
      <w:tr w:rsidR="00E65183" w:rsidRPr="00C83BDF">
        <w:tc>
          <w:tcPr>
            <w:tcW w:w="1951" w:type="dxa"/>
            <w:shd w:val="clear" w:color="auto" w:fill="auto"/>
          </w:tcPr>
          <w:p w:rsidR="00E65183" w:rsidRPr="00C83BDF" w:rsidRDefault="00E65183" w:rsidP="004737CD">
            <w:pPr>
              <w:jc w:val="left"/>
              <w:rPr>
                <w:sz w:val="18"/>
                <w:szCs w:val="18"/>
                <w:lang w:val="es-ES_tradnl"/>
              </w:rPr>
            </w:pPr>
          </w:p>
        </w:tc>
        <w:tc>
          <w:tcPr>
            <w:tcW w:w="7938" w:type="dxa"/>
            <w:shd w:val="clear" w:color="auto" w:fill="auto"/>
          </w:tcPr>
          <w:p w:rsidR="00E65183" w:rsidRPr="00C83BDF" w:rsidRDefault="006173DB" w:rsidP="006D2ED8">
            <w:pPr>
              <w:pStyle w:val="Heading8"/>
              <w:jc w:val="both"/>
              <w:rPr>
                <w:szCs w:val="18"/>
                <w:lang w:val="es-ES_tradnl"/>
              </w:rPr>
            </w:pPr>
            <w:bookmarkStart w:id="67" w:name="_Toc431824252"/>
            <w:r w:rsidRPr="00C83BDF">
              <w:rPr>
                <w:szCs w:val="18"/>
                <w:lang w:val="es-ES_tradnl"/>
              </w:rPr>
              <w:t>c)  Participación en la elaboración de directrices de examen</w:t>
            </w:r>
            <w:bookmarkEnd w:id="67"/>
          </w:p>
          <w:p w:rsidR="00E65183" w:rsidRPr="00C83BDF" w:rsidRDefault="006173DB" w:rsidP="004737CD">
            <w:pPr>
              <w:rPr>
                <w:i/>
                <w:sz w:val="18"/>
                <w:szCs w:val="18"/>
                <w:lang w:val="es-ES_tradnl"/>
              </w:rPr>
            </w:pPr>
            <w:r w:rsidRPr="00C83BDF">
              <w:rPr>
                <w:i/>
                <w:sz w:val="18"/>
                <w:szCs w:val="18"/>
                <w:lang w:val="es-ES_tradnl"/>
              </w:rPr>
              <w:t>Directrices de examen aprobadas en 2014:</w:t>
            </w:r>
          </w:p>
          <w:p w:rsidR="00E65183" w:rsidRPr="00C83BDF" w:rsidRDefault="00E65183" w:rsidP="004737CD">
            <w:pPr>
              <w:rPr>
                <w:sz w:val="18"/>
                <w:szCs w:val="18"/>
                <w:lang w:val="es-ES_tradnl"/>
              </w:rPr>
            </w:pPr>
          </w:p>
          <w:p w:rsidR="00E65183" w:rsidRPr="00C83BDF" w:rsidRDefault="00E65183" w:rsidP="006D2ED8">
            <w:pPr>
              <w:spacing w:after="60"/>
              <w:ind w:left="743" w:hanging="386"/>
              <w:jc w:val="left"/>
              <w:rPr>
                <w:i/>
                <w:color w:val="000000"/>
                <w:sz w:val="18"/>
                <w:szCs w:val="18"/>
                <w:lang w:val="es-ES_tradnl"/>
              </w:rPr>
            </w:pPr>
            <w:r w:rsidRPr="00C83BDF">
              <w:rPr>
                <w:color w:val="000000"/>
                <w:sz w:val="18"/>
                <w:szCs w:val="18"/>
                <w:lang w:val="es-ES_tradnl"/>
              </w:rPr>
              <w:t>–</w:t>
            </w:r>
            <w:r w:rsidRPr="00C83BDF">
              <w:rPr>
                <w:color w:val="000000"/>
                <w:sz w:val="18"/>
                <w:szCs w:val="18"/>
                <w:lang w:val="es-ES_tradnl"/>
              </w:rPr>
              <w:tab/>
            </w:r>
            <w:r w:rsidR="006173DB" w:rsidRPr="00C83BDF">
              <w:rPr>
                <w:sz w:val="18"/>
                <w:szCs w:val="18"/>
                <w:lang w:val="es-ES_tradnl"/>
              </w:rPr>
              <w:t>6 nuevas directrices de examen:</w:t>
            </w:r>
            <w:r w:rsidRPr="00C83BDF">
              <w:rPr>
                <w:color w:val="000000"/>
                <w:sz w:val="18"/>
                <w:szCs w:val="18"/>
                <w:lang w:val="es-ES_tradnl"/>
              </w:rPr>
              <w:t xml:space="preserve">  TWA (1)</w:t>
            </w:r>
            <w:r w:rsidR="00220E3C" w:rsidRPr="00C83BDF">
              <w:rPr>
                <w:color w:val="000000"/>
                <w:sz w:val="18"/>
                <w:szCs w:val="18"/>
                <w:lang w:val="es-ES_tradnl"/>
              </w:rPr>
              <w:t xml:space="preserve">, </w:t>
            </w:r>
            <w:r w:rsidRPr="00C83BDF">
              <w:rPr>
                <w:color w:val="000000"/>
                <w:sz w:val="18"/>
                <w:szCs w:val="18"/>
                <w:lang w:val="es-ES_tradnl"/>
              </w:rPr>
              <w:t>TWF (2)</w:t>
            </w:r>
            <w:r w:rsidR="00220E3C" w:rsidRPr="00C83BDF">
              <w:rPr>
                <w:color w:val="000000"/>
                <w:sz w:val="18"/>
                <w:szCs w:val="18"/>
                <w:lang w:val="es-ES_tradnl"/>
              </w:rPr>
              <w:t xml:space="preserve">, </w:t>
            </w:r>
            <w:r w:rsidRPr="00C83BDF">
              <w:rPr>
                <w:color w:val="000000"/>
                <w:sz w:val="18"/>
                <w:szCs w:val="18"/>
                <w:lang w:val="es-ES_tradnl"/>
              </w:rPr>
              <w:t>TWO (3)</w:t>
            </w:r>
            <w:r w:rsidR="00220E3C" w:rsidRPr="00C83BDF">
              <w:rPr>
                <w:color w:val="000000"/>
                <w:sz w:val="18"/>
                <w:szCs w:val="18"/>
                <w:lang w:val="es-ES_tradnl"/>
              </w:rPr>
              <w:t xml:space="preserve">, </w:t>
            </w:r>
            <w:r w:rsidRPr="00C83BDF">
              <w:rPr>
                <w:color w:val="000000"/>
                <w:sz w:val="18"/>
                <w:szCs w:val="18"/>
                <w:lang w:val="es-ES_tradnl"/>
              </w:rPr>
              <w:t>TWV (0)</w:t>
            </w:r>
            <w:r w:rsidRPr="00C83BDF">
              <w:rPr>
                <w:color w:val="000000"/>
                <w:sz w:val="18"/>
                <w:szCs w:val="18"/>
                <w:lang w:val="es-ES_tradnl"/>
              </w:rPr>
              <w:br/>
            </w:r>
            <w:r w:rsidR="006173DB" w:rsidRPr="00C83BDF">
              <w:rPr>
                <w:sz w:val="18"/>
                <w:szCs w:val="18"/>
                <w:lang w:val="es-ES_tradnl"/>
              </w:rPr>
              <w:t>elaboradas por expertos principales de:</w:t>
            </w:r>
          </w:p>
          <w:p w:rsidR="00E65183" w:rsidRPr="00C83BDF" w:rsidRDefault="006173DB" w:rsidP="004737CD">
            <w:pPr>
              <w:keepNext/>
              <w:keepLines/>
              <w:ind w:left="3861" w:hanging="2694"/>
              <w:rPr>
                <w:color w:val="000000"/>
                <w:sz w:val="18"/>
                <w:szCs w:val="18"/>
                <w:lang w:val="es-ES_tradnl"/>
              </w:rPr>
            </w:pPr>
            <w:r w:rsidRPr="00C83BDF">
              <w:rPr>
                <w:sz w:val="18"/>
                <w:szCs w:val="18"/>
                <w:lang w:val="es-ES_tradnl"/>
              </w:rPr>
              <w:t>América:</w:t>
            </w:r>
            <w:r w:rsidR="00E65183" w:rsidRPr="00C83BDF">
              <w:rPr>
                <w:color w:val="000000"/>
                <w:sz w:val="18"/>
                <w:szCs w:val="18"/>
                <w:lang w:val="es-ES_tradnl"/>
              </w:rPr>
              <w:t xml:space="preserve">  </w:t>
            </w:r>
            <w:r w:rsidR="00E65183" w:rsidRPr="00C83BDF">
              <w:rPr>
                <w:color w:val="000000"/>
                <w:sz w:val="18"/>
                <w:szCs w:val="18"/>
                <w:lang w:val="es-ES_tradnl"/>
              </w:rPr>
              <w:tab/>
              <w:t>MX (1)</w:t>
            </w:r>
          </w:p>
          <w:p w:rsidR="00E65183" w:rsidRPr="00C83BDF" w:rsidRDefault="006173DB" w:rsidP="004737CD">
            <w:pPr>
              <w:keepNext/>
              <w:keepLines/>
              <w:ind w:left="3861" w:hanging="2694"/>
              <w:rPr>
                <w:color w:val="000000"/>
                <w:sz w:val="18"/>
                <w:szCs w:val="18"/>
                <w:lang w:val="es-ES_tradnl"/>
              </w:rPr>
            </w:pPr>
            <w:r w:rsidRPr="00C83BDF">
              <w:rPr>
                <w:sz w:val="18"/>
                <w:szCs w:val="18"/>
                <w:lang w:val="es-ES_tradnl"/>
              </w:rPr>
              <w:t>Asia/Pacífico:</w:t>
            </w:r>
            <w:r w:rsidR="00E65183" w:rsidRPr="00C83BDF">
              <w:rPr>
                <w:color w:val="000000"/>
                <w:sz w:val="18"/>
                <w:szCs w:val="18"/>
                <w:lang w:val="es-ES_tradnl"/>
              </w:rPr>
              <w:t xml:space="preserve">  </w:t>
            </w:r>
            <w:r w:rsidR="00E65183" w:rsidRPr="00C83BDF">
              <w:rPr>
                <w:color w:val="000000"/>
                <w:sz w:val="18"/>
                <w:szCs w:val="18"/>
                <w:lang w:val="es-ES_tradnl"/>
              </w:rPr>
              <w:tab/>
              <w:t>AU (1)</w:t>
            </w:r>
            <w:r w:rsidR="00220E3C" w:rsidRPr="00C83BDF">
              <w:rPr>
                <w:color w:val="000000"/>
                <w:sz w:val="18"/>
                <w:szCs w:val="18"/>
                <w:lang w:val="es-ES_tradnl"/>
              </w:rPr>
              <w:t xml:space="preserve">, </w:t>
            </w:r>
            <w:r w:rsidR="00E65183" w:rsidRPr="00C83BDF">
              <w:rPr>
                <w:color w:val="000000"/>
                <w:sz w:val="18"/>
                <w:szCs w:val="18"/>
                <w:lang w:val="es-ES_tradnl"/>
              </w:rPr>
              <w:t>CN (2)</w:t>
            </w:r>
          </w:p>
          <w:p w:rsidR="00E65183" w:rsidRPr="00C83BDF" w:rsidRDefault="006173DB" w:rsidP="004737CD">
            <w:pPr>
              <w:keepNext/>
              <w:keepLines/>
              <w:ind w:left="3861" w:hanging="2694"/>
              <w:rPr>
                <w:color w:val="000000"/>
                <w:sz w:val="18"/>
                <w:szCs w:val="18"/>
                <w:lang w:val="es-ES_tradnl"/>
              </w:rPr>
            </w:pPr>
            <w:r w:rsidRPr="00C83BDF">
              <w:rPr>
                <w:sz w:val="18"/>
                <w:szCs w:val="18"/>
                <w:lang w:val="es-ES_tradnl"/>
              </w:rPr>
              <w:t>Europa:</w:t>
            </w:r>
            <w:r w:rsidR="00E65183" w:rsidRPr="00C83BDF">
              <w:rPr>
                <w:color w:val="000000"/>
                <w:sz w:val="18"/>
                <w:szCs w:val="18"/>
                <w:lang w:val="es-ES_tradnl"/>
              </w:rPr>
              <w:t xml:space="preserve">  </w:t>
            </w:r>
            <w:r w:rsidR="00E65183" w:rsidRPr="00C83BDF">
              <w:rPr>
                <w:color w:val="000000"/>
                <w:sz w:val="18"/>
                <w:szCs w:val="18"/>
                <w:lang w:val="es-ES_tradnl"/>
              </w:rPr>
              <w:tab/>
              <w:t>NL (2)</w:t>
            </w:r>
          </w:p>
          <w:p w:rsidR="00E65183" w:rsidRPr="00C83BDF" w:rsidRDefault="00E65183" w:rsidP="004737CD">
            <w:pPr>
              <w:keepNext/>
              <w:keepLines/>
              <w:tabs>
                <w:tab w:val="left" w:pos="601"/>
              </w:tabs>
              <w:rPr>
                <w:color w:val="000000"/>
                <w:sz w:val="18"/>
                <w:szCs w:val="18"/>
                <w:lang w:val="es-ES_tradnl"/>
              </w:rPr>
            </w:pPr>
          </w:p>
          <w:p w:rsidR="00E65183" w:rsidRPr="00C83BDF" w:rsidRDefault="00E65183" w:rsidP="006D2ED8">
            <w:pPr>
              <w:spacing w:after="120"/>
              <w:ind w:left="743" w:hanging="386"/>
              <w:rPr>
                <w:color w:val="000000"/>
                <w:sz w:val="18"/>
                <w:szCs w:val="18"/>
                <w:lang w:val="es-ES_tradnl"/>
              </w:rPr>
            </w:pPr>
            <w:r w:rsidRPr="00C83BDF">
              <w:rPr>
                <w:color w:val="000000"/>
                <w:sz w:val="18"/>
                <w:szCs w:val="18"/>
                <w:lang w:val="es-ES_tradnl"/>
              </w:rPr>
              <w:t>–</w:t>
            </w:r>
            <w:r w:rsidRPr="00C83BDF">
              <w:rPr>
                <w:color w:val="000000"/>
                <w:sz w:val="18"/>
                <w:szCs w:val="18"/>
                <w:lang w:val="es-ES_tradnl"/>
              </w:rPr>
              <w:tab/>
            </w:r>
            <w:r w:rsidR="006173DB" w:rsidRPr="00C83BDF">
              <w:rPr>
                <w:sz w:val="18"/>
                <w:szCs w:val="18"/>
                <w:lang w:val="es-ES_tradnl"/>
              </w:rPr>
              <w:t>5 revisiones de directrices de examen:</w:t>
            </w:r>
            <w:r w:rsidRPr="00C83BDF">
              <w:rPr>
                <w:color w:val="000000"/>
                <w:sz w:val="18"/>
                <w:szCs w:val="18"/>
                <w:lang w:val="es-ES_tradnl"/>
              </w:rPr>
              <w:t xml:space="preserve">  TWA (2)</w:t>
            </w:r>
            <w:r w:rsidR="00220E3C" w:rsidRPr="00C83BDF">
              <w:rPr>
                <w:color w:val="000000"/>
                <w:sz w:val="18"/>
                <w:szCs w:val="18"/>
                <w:lang w:val="es-ES_tradnl"/>
              </w:rPr>
              <w:t xml:space="preserve">, </w:t>
            </w:r>
            <w:r w:rsidRPr="00C83BDF">
              <w:rPr>
                <w:color w:val="000000"/>
                <w:sz w:val="18"/>
                <w:szCs w:val="18"/>
                <w:lang w:val="es-ES_tradnl"/>
              </w:rPr>
              <w:t>TWF (1)</w:t>
            </w:r>
            <w:r w:rsidR="00220E3C" w:rsidRPr="00C83BDF">
              <w:rPr>
                <w:color w:val="000000"/>
                <w:sz w:val="18"/>
                <w:szCs w:val="18"/>
                <w:lang w:val="es-ES_tradnl"/>
              </w:rPr>
              <w:t xml:space="preserve">, </w:t>
            </w:r>
            <w:r w:rsidRPr="00C83BDF">
              <w:rPr>
                <w:color w:val="000000"/>
                <w:sz w:val="18"/>
                <w:szCs w:val="18"/>
                <w:lang w:val="es-ES_tradnl"/>
              </w:rPr>
              <w:t>TWO (0)</w:t>
            </w:r>
            <w:r w:rsidR="00220E3C" w:rsidRPr="00C83BDF">
              <w:rPr>
                <w:color w:val="000000"/>
                <w:sz w:val="18"/>
                <w:szCs w:val="18"/>
                <w:lang w:val="es-ES_tradnl"/>
              </w:rPr>
              <w:t xml:space="preserve">, </w:t>
            </w:r>
            <w:r w:rsidRPr="00C83BDF">
              <w:rPr>
                <w:color w:val="000000"/>
                <w:sz w:val="18"/>
                <w:szCs w:val="18"/>
                <w:lang w:val="es-ES_tradnl"/>
              </w:rPr>
              <w:t>TWV (2)</w:t>
            </w:r>
          </w:p>
          <w:p w:rsidR="00E65183" w:rsidRPr="00C83BDF" w:rsidRDefault="006173DB" w:rsidP="004737CD">
            <w:pPr>
              <w:keepNext/>
              <w:keepLines/>
              <w:ind w:left="3861" w:hanging="2694"/>
              <w:rPr>
                <w:color w:val="000000"/>
                <w:sz w:val="18"/>
                <w:szCs w:val="18"/>
                <w:lang w:val="es-ES_tradnl"/>
              </w:rPr>
            </w:pPr>
            <w:r w:rsidRPr="00C83BDF">
              <w:rPr>
                <w:sz w:val="18"/>
                <w:szCs w:val="18"/>
                <w:lang w:val="es-ES_tradnl"/>
              </w:rPr>
              <w:t>África:</w:t>
            </w:r>
            <w:r w:rsidR="00E65183" w:rsidRPr="00C83BDF">
              <w:rPr>
                <w:color w:val="000000"/>
                <w:sz w:val="18"/>
                <w:szCs w:val="18"/>
                <w:lang w:val="es-ES_tradnl"/>
              </w:rPr>
              <w:t xml:space="preserve">  </w:t>
            </w:r>
            <w:r w:rsidR="00E65183" w:rsidRPr="00C83BDF">
              <w:rPr>
                <w:color w:val="000000"/>
                <w:sz w:val="18"/>
                <w:szCs w:val="18"/>
                <w:lang w:val="es-ES_tradnl"/>
              </w:rPr>
              <w:tab/>
              <w:t>ZA (1)</w:t>
            </w:r>
          </w:p>
          <w:p w:rsidR="00E65183" w:rsidRPr="00C83BDF" w:rsidRDefault="006173DB" w:rsidP="004737CD">
            <w:pPr>
              <w:keepNext/>
              <w:keepLines/>
              <w:ind w:left="3861" w:hanging="2694"/>
              <w:rPr>
                <w:color w:val="000000"/>
                <w:sz w:val="18"/>
                <w:szCs w:val="18"/>
                <w:lang w:val="es-ES_tradnl"/>
              </w:rPr>
            </w:pPr>
            <w:r w:rsidRPr="00C83BDF">
              <w:rPr>
                <w:sz w:val="18"/>
                <w:szCs w:val="18"/>
                <w:lang w:val="es-ES_tradnl"/>
              </w:rPr>
              <w:t>Europa:</w:t>
            </w:r>
            <w:r w:rsidR="00E65183" w:rsidRPr="00C83BDF">
              <w:rPr>
                <w:color w:val="000000"/>
                <w:sz w:val="18"/>
                <w:szCs w:val="18"/>
                <w:lang w:val="es-ES_tradnl"/>
              </w:rPr>
              <w:t xml:space="preserve">  </w:t>
            </w:r>
            <w:r w:rsidR="00E65183" w:rsidRPr="00C83BDF">
              <w:rPr>
                <w:color w:val="000000"/>
                <w:sz w:val="18"/>
                <w:szCs w:val="18"/>
                <w:lang w:val="es-ES_tradnl"/>
              </w:rPr>
              <w:tab/>
              <w:t>DE (2)</w:t>
            </w:r>
            <w:r w:rsidR="00220E3C" w:rsidRPr="00C83BDF">
              <w:rPr>
                <w:color w:val="000000"/>
                <w:sz w:val="18"/>
                <w:szCs w:val="18"/>
                <w:lang w:val="es-ES_tradnl"/>
              </w:rPr>
              <w:t xml:space="preserve">, </w:t>
            </w:r>
            <w:r w:rsidR="00E65183" w:rsidRPr="00C83BDF">
              <w:rPr>
                <w:color w:val="000000"/>
                <w:sz w:val="18"/>
                <w:szCs w:val="18"/>
                <w:lang w:val="es-ES_tradnl"/>
              </w:rPr>
              <w:t>HU (1)</w:t>
            </w:r>
            <w:r w:rsidR="00220E3C" w:rsidRPr="00C83BDF">
              <w:rPr>
                <w:color w:val="000000"/>
                <w:sz w:val="18"/>
                <w:szCs w:val="18"/>
                <w:lang w:val="es-ES_tradnl"/>
              </w:rPr>
              <w:t xml:space="preserve">, </w:t>
            </w:r>
            <w:r w:rsidR="00E65183" w:rsidRPr="00C83BDF">
              <w:rPr>
                <w:color w:val="000000"/>
                <w:sz w:val="18"/>
                <w:szCs w:val="18"/>
                <w:lang w:val="es-ES_tradnl"/>
              </w:rPr>
              <w:t>NL (1)</w:t>
            </w:r>
          </w:p>
          <w:p w:rsidR="00E65183" w:rsidRPr="00C83BDF" w:rsidRDefault="00E65183" w:rsidP="004737CD">
            <w:pPr>
              <w:keepNext/>
              <w:keepLines/>
              <w:tabs>
                <w:tab w:val="left" w:pos="601"/>
              </w:tabs>
              <w:rPr>
                <w:color w:val="000000"/>
                <w:sz w:val="18"/>
                <w:szCs w:val="18"/>
                <w:lang w:val="es-ES_tradnl"/>
              </w:rPr>
            </w:pPr>
          </w:p>
          <w:p w:rsidR="00E65183" w:rsidRPr="00C83BDF" w:rsidRDefault="00E65183" w:rsidP="006D2ED8">
            <w:pPr>
              <w:spacing w:after="120"/>
              <w:ind w:left="743" w:hanging="386"/>
              <w:rPr>
                <w:color w:val="000000"/>
                <w:sz w:val="18"/>
                <w:szCs w:val="18"/>
                <w:lang w:val="es-ES_tradnl"/>
              </w:rPr>
            </w:pPr>
            <w:r w:rsidRPr="00C83BDF">
              <w:rPr>
                <w:color w:val="000000"/>
                <w:sz w:val="18"/>
                <w:szCs w:val="18"/>
                <w:lang w:val="es-ES_tradnl"/>
              </w:rPr>
              <w:t>–</w:t>
            </w:r>
            <w:r w:rsidRPr="00C83BDF">
              <w:rPr>
                <w:color w:val="000000"/>
                <w:sz w:val="18"/>
                <w:szCs w:val="18"/>
                <w:lang w:val="es-ES_tradnl"/>
              </w:rPr>
              <w:tab/>
            </w:r>
            <w:r w:rsidR="006173DB" w:rsidRPr="00C83BDF">
              <w:rPr>
                <w:sz w:val="18"/>
                <w:szCs w:val="18"/>
                <w:lang w:val="es-ES_tradnl"/>
              </w:rPr>
              <w:t>4 revisiones parciales de directrices de examen:</w:t>
            </w:r>
            <w:r w:rsidRPr="00C83BDF">
              <w:rPr>
                <w:color w:val="000000"/>
                <w:sz w:val="18"/>
                <w:szCs w:val="18"/>
                <w:lang w:val="es-ES_tradnl"/>
              </w:rPr>
              <w:t xml:space="preserve">  TWO (1)</w:t>
            </w:r>
            <w:r w:rsidR="00220E3C" w:rsidRPr="00C83BDF">
              <w:rPr>
                <w:color w:val="000000"/>
                <w:sz w:val="18"/>
                <w:szCs w:val="18"/>
                <w:lang w:val="es-ES_tradnl"/>
              </w:rPr>
              <w:t xml:space="preserve">, </w:t>
            </w:r>
            <w:r w:rsidRPr="00C83BDF">
              <w:rPr>
                <w:color w:val="000000"/>
                <w:sz w:val="18"/>
                <w:szCs w:val="18"/>
                <w:lang w:val="es-ES_tradnl"/>
              </w:rPr>
              <w:t>TWV (3)</w:t>
            </w:r>
          </w:p>
          <w:p w:rsidR="00E65183" w:rsidRPr="00C83BDF" w:rsidRDefault="006173DB" w:rsidP="004737CD">
            <w:pPr>
              <w:keepNext/>
              <w:keepLines/>
              <w:ind w:left="3861" w:hanging="2694"/>
              <w:rPr>
                <w:color w:val="000000"/>
                <w:sz w:val="18"/>
                <w:szCs w:val="18"/>
                <w:lang w:val="es-ES_tradnl"/>
              </w:rPr>
            </w:pPr>
            <w:r w:rsidRPr="00C83BDF">
              <w:rPr>
                <w:sz w:val="18"/>
                <w:szCs w:val="18"/>
                <w:lang w:val="es-ES_tradnl"/>
              </w:rPr>
              <w:t>Europa:</w:t>
            </w:r>
            <w:r w:rsidR="00E65183" w:rsidRPr="00C83BDF">
              <w:rPr>
                <w:color w:val="000000"/>
                <w:sz w:val="18"/>
                <w:szCs w:val="18"/>
                <w:lang w:val="es-ES_tradnl"/>
              </w:rPr>
              <w:t xml:space="preserve">  </w:t>
            </w:r>
            <w:r w:rsidR="00E65183" w:rsidRPr="00C83BDF">
              <w:rPr>
                <w:color w:val="000000"/>
                <w:sz w:val="18"/>
                <w:szCs w:val="18"/>
                <w:lang w:val="es-ES_tradnl"/>
              </w:rPr>
              <w:tab/>
              <w:t>FR (3)</w:t>
            </w:r>
            <w:r w:rsidR="00220E3C" w:rsidRPr="00C83BDF">
              <w:rPr>
                <w:color w:val="000000"/>
                <w:sz w:val="18"/>
                <w:szCs w:val="18"/>
                <w:lang w:val="es-ES_tradnl"/>
              </w:rPr>
              <w:t xml:space="preserve">, </w:t>
            </w:r>
            <w:r w:rsidR="00E65183" w:rsidRPr="00C83BDF">
              <w:rPr>
                <w:color w:val="000000"/>
                <w:sz w:val="18"/>
                <w:szCs w:val="18"/>
                <w:lang w:val="es-ES_tradnl"/>
              </w:rPr>
              <w:t>NL (1)</w:t>
            </w:r>
          </w:p>
          <w:p w:rsidR="00E65183" w:rsidRPr="00C83BDF" w:rsidRDefault="00E65183" w:rsidP="004737CD">
            <w:pPr>
              <w:rPr>
                <w:sz w:val="18"/>
                <w:szCs w:val="18"/>
                <w:lang w:val="es-ES_tradnl"/>
              </w:rPr>
            </w:pPr>
          </w:p>
        </w:tc>
      </w:tr>
    </w:tbl>
    <w:p w:rsidR="00E65183" w:rsidRPr="00C83BDF" w:rsidRDefault="00E65183" w:rsidP="00E65183">
      <w:pPr>
        <w:rPr>
          <w:lang w:val="es-ES_tradnl"/>
        </w:rPr>
      </w:pPr>
    </w:p>
    <w:p w:rsidR="00E65183" w:rsidRPr="00C83BDF" w:rsidRDefault="00E65183" w:rsidP="00E65183">
      <w:pPr>
        <w:rPr>
          <w:lang w:val="es-ES_tradnl"/>
        </w:rPr>
      </w:pPr>
      <w:r w:rsidRPr="00C83BDF">
        <w:rPr>
          <w:lang w:val="es-ES_tradnl"/>
        </w:rPr>
        <w:br w:type="page"/>
      </w:r>
    </w:p>
    <w:tbl>
      <w:tblPr>
        <w:tblW w:w="9889" w:type="dxa"/>
        <w:tblLayout w:type="fixed"/>
        <w:tblLook w:val="0000" w:firstRow="0" w:lastRow="0" w:firstColumn="0" w:lastColumn="0" w:noHBand="0" w:noVBand="0"/>
      </w:tblPr>
      <w:tblGrid>
        <w:gridCol w:w="1951"/>
        <w:gridCol w:w="7938"/>
      </w:tblGrid>
      <w:tr w:rsidR="00E65183" w:rsidRPr="00C83BDF">
        <w:tc>
          <w:tcPr>
            <w:tcW w:w="1951" w:type="dxa"/>
            <w:shd w:val="clear" w:color="auto" w:fill="auto"/>
          </w:tcPr>
          <w:p w:rsidR="00E65183" w:rsidRPr="00C83BDF" w:rsidRDefault="006173DB" w:rsidP="00F64FBE">
            <w:pPr>
              <w:keepNext/>
              <w:rPr>
                <w:b/>
                <w:sz w:val="18"/>
                <w:lang w:val="es-ES_tradnl"/>
              </w:rPr>
            </w:pPr>
            <w:r w:rsidRPr="00C83BDF">
              <w:rPr>
                <w:b/>
                <w:sz w:val="18"/>
                <w:lang w:val="es-ES_tradnl"/>
              </w:rPr>
              <w:t>Resultados previstos</w:t>
            </w:r>
          </w:p>
        </w:tc>
        <w:tc>
          <w:tcPr>
            <w:tcW w:w="7938" w:type="dxa"/>
            <w:shd w:val="clear" w:color="auto" w:fill="auto"/>
          </w:tcPr>
          <w:p w:rsidR="00E65183" w:rsidRPr="00C83BDF" w:rsidRDefault="006173DB" w:rsidP="00F64FBE">
            <w:pPr>
              <w:keepNext/>
              <w:rPr>
                <w:b/>
                <w:i/>
                <w:sz w:val="18"/>
                <w:szCs w:val="18"/>
                <w:lang w:val="es-ES_tradnl"/>
              </w:rPr>
            </w:pPr>
            <w:r w:rsidRPr="00C83BDF">
              <w:rPr>
                <w:b/>
                <w:sz w:val="18"/>
                <w:szCs w:val="18"/>
                <w:lang w:val="es-ES_tradnl"/>
              </w:rPr>
              <w:t>Resultados alcanzados:</w:t>
            </w:r>
            <w:r w:rsidR="00E65183" w:rsidRPr="00C83BDF">
              <w:rPr>
                <w:b/>
                <w:sz w:val="18"/>
                <w:szCs w:val="18"/>
                <w:lang w:val="es-ES_tradnl"/>
              </w:rPr>
              <w:t xml:space="preserve">  </w:t>
            </w:r>
            <w:r w:rsidRPr="00C83BDF">
              <w:rPr>
                <w:b/>
                <w:sz w:val="18"/>
                <w:szCs w:val="18"/>
                <w:lang w:val="es-ES_tradnl"/>
              </w:rPr>
              <w:t>indicadores de rendimiento</w:t>
            </w:r>
          </w:p>
        </w:tc>
      </w:tr>
      <w:tr w:rsidR="00E65183" w:rsidRPr="00C83BDF">
        <w:tc>
          <w:tcPr>
            <w:tcW w:w="1951" w:type="dxa"/>
            <w:shd w:val="clear" w:color="auto" w:fill="auto"/>
          </w:tcPr>
          <w:p w:rsidR="00E65183" w:rsidRPr="00C83BDF" w:rsidRDefault="00E65183" w:rsidP="004737CD">
            <w:pPr>
              <w:jc w:val="left"/>
              <w:rPr>
                <w:sz w:val="18"/>
                <w:szCs w:val="18"/>
                <w:lang w:val="es-ES_tradnl"/>
              </w:rPr>
            </w:pPr>
            <w:r w:rsidRPr="00C83BDF">
              <w:rPr>
                <w:i/>
                <w:sz w:val="18"/>
                <w:szCs w:val="18"/>
                <w:lang w:val="es-ES_tradnl"/>
              </w:rPr>
              <w:t xml:space="preserve">3.  </w:t>
            </w:r>
            <w:r w:rsidR="006173DB" w:rsidRPr="00C83BDF">
              <w:rPr>
                <w:i/>
                <w:sz w:val="18"/>
                <w:szCs w:val="18"/>
                <w:lang w:val="es-ES_tradnl"/>
              </w:rPr>
              <w:t xml:space="preserve">Cooperación en materia de examen de variedades vegetales para la obtención de derechos de obtentor </w:t>
            </w:r>
            <w:r w:rsidR="006173DB" w:rsidRPr="00C83BDF">
              <w:rPr>
                <w:sz w:val="18"/>
                <w:szCs w:val="18"/>
                <w:lang w:val="es-ES_tradnl"/>
              </w:rPr>
              <w:t>(continuación)</w:t>
            </w:r>
          </w:p>
        </w:tc>
        <w:tc>
          <w:tcPr>
            <w:tcW w:w="7938" w:type="dxa"/>
            <w:shd w:val="clear" w:color="auto" w:fill="auto"/>
          </w:tcPr>
          <w:p w:rsidR="00E65183" w:rsidRPr="00C83BDF" w:rsidRDefault="006173DB" w:rsidP="004737CD">
            <w:pPr>
              <w:rPr>
                <w:sz w:val="18"/>
                <w:lang w:val="es-ES_tradnl"/>
              </w:rPr>
            </w:pPr>
            <w:r w:rsidRPr="00C83BDF">
              <w:rPr>
                <w:i/>
                <w:sz w:val="18"/>
                <w:lang w:val="es-ES_tradnl"/>
              </w:rPr>
              <w:t xml:space="preserve">c)  Participación en la elaboración de directrices de examen </w:t>
            </w:r>
            <w:r w:rsidRPr="00C83BDF">
              <w:rPr>
                <w:sz w:val="18"/>
                <w:lang w:val="es-ES_tradnl"/>
              </w:rPr>
              <w:t>(continuación)</w:t>
            </w:r>
          </w:p>
          <w:p w:rsidR="00E65183" w:rsidRPr="00C83BDF" w:rsidRDefault="00E65183" w:rsidP="004737CD">
            <w:pPr>
              <w:rPr>
                <w:i/>
                <w:sz w:val="18"/>
                <w:lang w:val="es-ES_tradnl"/>
              </w:rPr>
            </w:pPr>
          </w:p>
          <w:p w:rsidR="00E65183" w:rsidRPr="00C83BDF" w:rsidRDefault="006173DB" w:rsidP="004737CD">
            <w:pPr>
              <w:rPr>
                <w:i/>
                <w:sz w:val="18"/>
                <w:lang w:val="es-ES_tradnl"/>
              </w:rPr>
            </w:pPr>
            <w:r w:rsidRPr="00C83BDF">
              <w:rPr>
                <w:i/>
                <w:sz w:val="18"/>
                <w:lang w:val="es-ES_tradnl"/>
              </w:rPr>
              <w:t>Directrices de examen en proceso de elaboración en 2014:</w:t>
            </w:r>
          </w:p>
          <w:p w:rsidR="00E65183" w:rsidRPr="00C83BDF" w:rsidRDefault="00E65183" w:rsidP="004737CD">
            <w:pPr>
              <w:rPr>
                <w:sz w:val="18"/>
                <w:lang w:val="es-ES_tradnl"/>
              </w:rPr>
            </w:pPr>
          </w:p>
          <w:p w:rsidR="00E65183" w:rsidRPr="00C83BDF" w:rsidRDefault="00E65183" w:rsidP="006D2ED8">
            <w:pPr>
              <w:spacing w:after="60"/>
              <w:ind w:left="743" w:hanging="386"/>
              <w:jc w:val="left"/>
              <w:rPr>
                <w:i/>
                <w:color w:val="000000"/>
                <w:sz w:val="18"/>
                <w:szCs w:val="18"/>
                <w:lang w:val="es-ES_tradnl"/>
              </w:rPr>
            </w:pPr>
            <w:r w:rsidRPr="00C83BDF">
              <w:rPr>
                <w:color w:val="000000"/>
                <w:sz w:val="18"/>
                <w:szCs w:val="18"/>
                <w:lang w:val="es-ES_tradnl"/>
              </w:rPr>
              <w:t>–</w:t>
            </w:r>
            <w:r w:rsidRPr="00C83BDF">
              <w:rPr>
                <w:color w:val="000000"/>
                <w:sz w:val="18"/>
                <w:szCs w:val="18"/>
                <w:lang w:val="es-ES_tradnl"/>
              </w:rPr>
              <w:tab/>
            </w:r>
            <w:r w:rsidR="006173DB" w:rsidRPr="00C83BDF">
              <w:rPr>
                <w:sz w:val="18"/>
                <w:szCs w:val="18"/>
                <w:lang w:val="es-ES_tradnl"/>
              </w:rPr>
              <w:t>26 nuevas directrices de examen:</w:t>
            </w:r>
            <w:r w:rsidRPr="00C83BDF">
              <w:rPr>
                <w:color w:val="000000"/>
                <w:sz w:val="18"/>
                <w:szCs w:val="18"/>
                <w:lang w:val="es-ES_tradnl"/>
              </w:rPr>
              <w:t xml:space="preserve">  TWA (6)</w:t>
            </w:r>
            <w:r w:rsidR="00220E3C" w:rsidRPr="00C83BDF">
              <w:rPr>
                <w:color w:val="000000"/>
                <w:sz w:val="18"/>
                <w:szCs w:val="18"/>
                <w:lang w:val="es-ES_tradnl"/>
              </w:rPr>
              <w:t xml:space="preserve">, </w:t>
            </w:r>
            <w:r w:rsidRPr="00C83BDF">
              <w:rPr>
                <w:color w:val="000000"/>
                <w:sz w:val="18"/>
                <w:szCs w:val="18"/>
                <w:lang w:val="es-ES_tradnl"/>
              </w:rPr>
              <w:t>TWA/TWV (1)</w:t>
            </w:r>
            <w:r w:rsidR="00220E3C" w:rsidRPr="00C83BDF">
              <w:rPr>
                <w:color w:val="000000"/>
                <w:sz w:val="18"/>
                <w:szCs w:val="18"/>
                <w:lang w:val="es-ES_tradnl"/>
              </w:rPr>
              <w:t xml:space="preserve">, </w:t>
            </w:r>
            <w:r w:rsidRPr="00C83BDF">
              <w:rPr>
                <w:color w:val="000000"/>
                <w:sz w:val="18"/>
                <w:szCs w:val="18"/>
                <w:lang w:val="es-ES_tradnl"/>
              </w:rPr>
              <w:t>TWF (5)</w:t>
            </w:r>
            <w:r w:rsidR="00220E3C" w:rsidRPr="00C83BDF">
              <w:rPr>
                <w:color w:val="000000"/>
                <w:sz w:val="18"/>
                <w:szCs w:val="18"/>
                <w:lang w:val="es-ES_tradnl"/>
              </w:rPr>
              <w:t xml:space="preserve">, </w:t>
            </w:r>
            <w:r w:rsidRPr="00C83BDF">
              <w:rPr>
                <w:color w:val="000000"/>
                <w:sz w:val="18"/>
                <w:szCs w:val="18"/>
                <w:lang w:val="es-ES_tradnl"/>
              </w:rPr>
              <w:t>TWO (11)</w:t>
            </w:r>
            <w:r w:rsidR="00220E3C" w:rsidRPr="00C83BDF">
              <w:rPr>
                <w:color w:val="000000"/>
                <w:sz w:val="18"/>
                <w:szCs w:val="18"/>
                <w:lang w:val="es-ES_tradnl"/>
              </w:rPr>
              <w:t xml:space="preserve">, </w:t>
            </w:r>
            <w:r w:rsidRPr="00C83BDF">
              <w:rPr>
                <w:color w:val="000000"/>
                <w:sz w:val="18"/>
                <w:szCs w:val="18"/>
                <w:lang w:val="es-ES_tradnl"/>
              </w:rPr>
              <w:t>TWV (3)</w:t>
            </w:r>
            <w:r w:rsidR="00F64FBE">
              <w:rPr>
                <w:color w:val="000000"/>
                <w:sz w:val="18"/>
                <w:szCs w:val="18"/>
                <w:lang w:val="es-ES_tradnl"/>
              </w:rPr>
              <w:t xml:space="preserve"> </w:t>
            </w:r>
            <w:r w:rsidR="006173DB" w:rsidRPr="00C83BDF">
              <w:rPr>
                <w:sz w:val="18"/>
                <w:szCs w:val="18"/>
                <w:lang w:val="es-ES_tradnl"/>
              </w:rPr>
              <w:t>elaboradas por expertos principales de:</w:t>
            </w:r>
          </w:p>
          <w:p w:rsidR="00E65183" w:rsidRPr="00C83BDF" w:rsidRDefault="006173DB" w:rsidP="004737CD">
            <w:pPr>
              <w:keepNext/>
              <w:keepLines/>
              <w:ind w:left="3861" w:hanging="2694"/>
              <w:rPr>
                <w:color w:val="000000"/>
                <w:sz w:val="18"/>
                <w:szCs w:val="18"/>
                <w:lang w:val="es-ES_tradnl"/>
              </w:rPr>
            </w:pPr>
            <w:r w:rsidRPr="00C83BDF">
              <w:rPr>
                <w:sz w:val="18"/>
                <w:szCs w:val="18"/>
                <w:lang w:val="es-ES_tradnl"/>
              </w:rPr>
              <w:t>África:</w:t>
            </w:r>
            <w:r w:rsidR="00E65183" w:rsidRPr="00C83BDF">
              <w:rPr>
                <w:color w:val="000000"/>
                <w:sz w:val="18"/>
                <w:szCs w:val="18"/>
                <w:lang w:val="es-ES_tradnl"/>
              </w:rPr>
              <w:t xml:space="preserve">  </w:t>
            </w:r>
            <w:r w:rsidR="00E65183" w:rsidRPr="00C83BDF">
              <w:rPr>
                <w:color w:val="000000"/>
                <w:sz w:val="18"/>
                <w:szCs w:val="18"/>
                <w:lang w:val="es-ES_tradnl"/>
              </w:rPr>
              <w:tab/>
              <w:t>ZA (3)</w:t>
            </w:r>
          </w:p>
          <w:p w:rsidR="00E65183" w:rsidRPr="00C83BDF" w:rsidRDefault="006173DB" w:rsidP="004737CD">
            <w:pPr>
              <w:keepNext/>
              <w:keepLines/>
              <w:ind w:left="3861" w:hanging="2694"/>
              <w:rPr>
                <w:color w:val="000000"/>
                <w:sz w:val="18"/>
                <w:szCs w:val="18"/>
                <w:lang w:val="es-ES_tradnl"/>
              </w:rPr>
            </w:pPr>
            <w:r w:rsidRPr="00C83BDF">
              <w:rPr>
                <w:sz w:val="18"/>
                <w:szCs w:val="18"/>
                <w:lang w:val="es-ES_tradnl"/>
              </w:rPr>
              <w:t>África/América:</w:t>
            </w:r>
            <w:r w:rsidR="00E65183" w:rsidRPr="00C83BDF">
              <w:rPr>
                <w:color w:val="000000"/>
                <w:sz w:val="18"/>
                <w:szCs w:val="18"/>
                <w:lang w:val="es-ES_tradnl"/>
              </w:rPr>
              <w:t xml:space="preserve">  </w:t>
            </w:r>
            <w:r w:rsidR="00E65183" w:rsidRPr="00C83BDF">
              <w:rPr>
                <w:color w:val="000000"/>
                <w:sz w:val="18"/>
                <w:szCs w:val="18"/>
                <w:lang w:val="es-ES_tradnl"/>
              </w:rPr>
              <w:tab/>
              <w:t>KE/BR (1)</w:t>
            </w:r>
          </w:p>
          <w:p w:rsidR="00E65183" w:rsidRPr="00C83BDF" w:rsidRDefault="006173DB" w:rsidP="004737CD">
            <w:pPr>
              <w:keepNext/>
              <w:keepLines/>
              <w:ind w:left="3861" w:hanging="2694"/>
              <w:rPr>
                <w:color w:val="000000"/>
                <w:sz w:val="18"/>
                <w:szCs w:val="18"/>
                <w:lang w:val="es-ES_tradnl"/>
              </w:rPr>
            </w:pPr>
            <w:r w:rsidRPr="00C83BDF">
              <w:rPr>
                <w:sz w:val="18"/>
                <w:szCs w:val="18"/>
                <w:lang w:val="es-ES_tradnl"/>
              </w:rPr>
              <w:t>América:</w:t>
            </w:r>
            <w:r w:rsidR="00E65183" w:rsidRPr="00C83BDF">
              <w:rPr>
                <w:color w:val="000000"/>
                <w:sz w:val="18"/>
                <w:szCs w:val="18"/>
                <w:lang w:val="es-ES_tradnl"/>
              </w:rPr>
              <w:t xml:space="preserve">  </w:t>
            </w:r>
            <w:r w:rsidR="00E65183" w:rsidRPr="00C83BDF">
              <w:rPr>
                <w:color w:val="000000"/>
                <w:sz w:val="18"/>
                <w:szCs w:val="18"/>
                <w:lang w:val="es-ES_tradnl"/>
              </w:rPr>
              <w:tab/>
              <w:t>AR (1)</w:t>
            </w:r>
            <w:r w:rsidR="00220E3C" w:rsidRPr="00C83BDF">
              <w:rPr>
                <w:color w:val="000000"/>
                <w:sz w:val="18"/>
                <w:szCs w:val="18"/>
                <w:lang w:val="es-ES_tradnl"/>
              </w:rPr>
              <w:t xml:space="preserve">, </w:t>
            </w:r>
            <w:r w:rsidR="00E65183" w:rsidRPr="00C83BDF">
              <w:rPr>
                <w:color w:val="000000"/>
                <w:sz w:val="18"/>
                <w:szCs w:val="18"/>
                <w:lang w:val="es-ES_tradnl"/>
              </w:rPr>
              <w:t>BR (2)</w:t>
            </w:r>
            <w:r w:rsidR="00220E3C" w:rsidRPr="00C83BDF">
              <w:rPr>
                <w:color w:val="000000"/>
                <w:sz w:val="18"/>
                <w:szCs w:val="18"/>
                <w:lang w:val="es-ES_tradnl"/>
              </w:rPr>
              <w:t xml:space="preserve">, </w:t>
            </w:r>
            <w:r w:rsidR="00E65183" w:rsidRPr="00C83BDF">
              <w:rPr>
                <w:color w:val="000000"/>
                <w:sz w:val="18"/>
                <w:szCs w:val="18"/>
                <w:lang w:val="es-ES_tradnl"/>
              </w:rPr>
              <w:t>MX (3)</w:t>
            </w:r>
          </w:p>
          <w:p w:rsidR="00E65183" w:rsidRPr="00C83BDF" w:rsidRDefault="006173DB" w:rsidP="004737CD">
            <w:pPr>
              <w:keepNext/>
              <w:keepLines/>
              <w:ind w:left="3861" w:hanging="2694"/>
              <w:rPr>
                <w:color w:val="000000"/>
                <w:sz w:val="18"/>
                <w:szCs w:val="18"/>
                <w:lang w:val="es-ES_tradnl"/>
              </w:rPr>
            </w:pPr>
            <w:r w:rsidRPr="00C83BDF">
              <w:rPr>
                <w:sz w:val="18"/>
                <w:szCs w:val="18"/>
                <w:lang w:val="es-ES_tradnl"/>
              </w:rPr>
              <w:t>Asia/Pacífico:</w:t>
            </w:r>
            <w:r w:rsidR="00E65183" w:rsidRPr="00C83BDF">
              <w:rPr>
                <w:color w:val="000000"/>
                <w:sz w:val="18"/>
                <w:szCs w:val="18"/>
                <w:lang w:val="es-ES_tradnl"/>
              </w:rPr>
              <w:t xml:space="preserve">  </w:t>
            </w:r>
            <w:r w:rsidR="00E65183" w:rsidRPr="00C83BDF">
              <w:rPr>
                <w:color w:val="000000"/>
                <w:sz w:val="18"/>
                <w:szCs w:val="18"/>
                <w:lang w:val="es-ES_tradnl"/>
              </w:rPr>
              <w:tab/>
              <w:t>AU (1)</w:t>
            </w:r>
            <w:r w:rsidR="00220E3C" w:rsidRPr="00C83BDF">
              <w:rPr>
                <w:color w:val="000000"/>
                <w:sz w:val="18"/>
                <w:szCs w:val="18"/>
                <w:lang w:val="es-ES_tradnl"/>
              </w:rPr>
              <w:t xml:space="preserve">, </w:t>
            </w:r>
            <w:r w:rsidR="00E65183" w:rsidRPr="00C83BDF">
              <w:rPr>
                <w:color w:val="000000"/>
                <w:sz w:val="18"/>
                <w:szCs w:val="18"/>
                <w:lang w:val="es-ES_tradnl"/>
              </w:rPr>
              <w:t>JP (7)</w:t>
            </w:r>
            <w:r w:rsidR="00220E3C" w:rsidRPr="00C83BDF">
              <w:rPr>
                <w:color w:val="000000"/>
                <w:sz w:val="18"/>
                <w:szCs w:val="18"/>
                <w:lang w:val="es-ES_tradnl"/>
              </w:rPr>
              <w:t xml:space="preserve">, </w:t>
            </w:r>
            <w:r w:rsidR="00E65183" w:rsidRPr="00C83BDF">
              <w:rPr>
                <w:color w:val="000000"/>
                <w:sz w:val="18"/>
                <w:szCs w:val="18"/>
                <w:lang w:val="es-ES_tradnl"/>
              </w:rPr>
              <w:t>NZ (2)</w:t>
            </w:r>
          </w:p>
          <w:p w:rsidR="006173DB" w:rsidRPr="00C83BDF" w:rsidRDefault="006173DB" w:rsidP="004737CD">
            <w:pPr>
              <w:keepNext/>
              <w:keepLines/>
              <w:ind w:left="3861" w:hanging="2694"/>
              <w:rPr>
                <w:color w:val="000000"/>
                <w:sz w:val="18"/>
                <w:szCs w:val="18"/>
                <w:lang w:val="es-ES_tradnl"/>
              </w:rPr>
            </w:pPr>
            <w:r w:rsidRPr="00C83BDF">
              <w:rPr>
                <w:sz w:val="18"/>
                <w:szCs w:val="18"/>
                <w:lang w:val="es-ES_tradnl"/>
              </w:rPr>
              <w:t>Europa:</w:t>
            </w:r>
            <w:r w:rsidR="00E65183" w:rsidRPr="00C83BDF">
              <w:rPr>
                <w:color w:val="000000"/>
                <w:sz w:val="18"/>
                <w:szCs w:val="18"/>
                <w:lang w:val="es-ES_tradnl"/>
              </w:rPr>
              <w:t xml:space="preserve">  </w:t>
            </w:r>
            <w:r w:rsidR="00E65183" w:rsidRPr="00C83BDF">
              <w:rPr>
                <w:color w:val="000000"/>
                <w:sz w:val="18"/>
                <w:szCs w:val="18"/>
                <w:lang w:val="es-ES_tradnl"/>
              </w:rPr>
              <w:tab/>
              <w:t>DK (1)</w:t>
            </w:r>
            <w:r w:rsidR="00220E3C" w:rsidRPr="00C83BDF">
              <w:rPr>
                <w:color w:val="000000"/>
                <w:sz w:val="18"/>
                <w:szCs w:val="18"/>
                <w:lang w:val="es-ES_tradnl"/>
              </w:rPr>
              <w:t xml:space="preserve">, </w:t>
            </w:r>
            <w:r w:rsidR="00E65183" w:rsidRPr="00C83BDF">
              <w:rPr>
                <w:color w:val="000000"/>
                <w:sz w:val="18"/>
                <w:szCs w:val="18"/>
                <w:lang w:val="es-ES_tradnl"/>
              </w:rPr>
              <w:t>ES (1)</w:t>
            </w:r>
            <w:r w:rsidR="00220E3C" w:rsidRPr="00C83BDF">
              <w:rPr>
                <w:color w:val="000000"/>
                <w:sz w:val="18"/>
                <w:szCs w:val="18"/>
                <w:lang w:val="es-ES_tradnl"/>
              </w:rPr>
              <w:t xml:space="preserve">, </w:t>
            </w:r>
            <w:r w:rsidR="00E65183" w:rsidRPr="00C83BDF">
              <w:rPr>
                <w:color w:val="000000"/>
                <w:sz w:val="18"/>
                <w:szCs w:val="18"/>
                <w:lang w:val="es-ES_tradnl"/>
              </w:rPr>
              <w:t>FR (3)</w:t>
            </w:r>
            <w:r w:rsidR="00220E3C" w:rsidRPr="00C83BDF">
              <w:rPr>
                <w:color w:val="000000"/>
                <w:sz w:val="18"/>
                <w:szCs w:val="18"/>
                <w:lang w:val="es-ES_tradnl"/>
              </w:rPr>
              <w:t xml:space="preserve">, </w:t>
            </w:r>
            <w:r w:rsidR="00E65183" w:rsidRPr="00C83BDF">
              <w:rPr>
                <w:color w:val="000000"/>
                <w:sz w:val="18"/>
                <w:szCs w:val="18"/>
                <w:lang w:val="es-ES_tradnl"/>
              </w:rPr>
              <w:t>GB (1)</w:t>
            </w:r>
          </w:p>
          <w:p w:rsidR="00E65183" w:rsidRPr="00C83BDF" w:rsidRDefault="00E65183" w:rsidP="004737CD">
            <w:pPr>
              <w:keepNext/>
              <w:keepLines/>
              <w:tabs>
                <w:tab w:val="left" w:pos="601"/>
              </w:tabs>
              <w:rPr>
                <w:color w:val="000000"/>
                <w:sz w:val="18"/>
                <w:szCs w:val="18"/>
                <w:lang w:val="es-ES_tradnl"/>
              </w:rPr>
            </w:pPr>
          </w:p>
          <w:p w:rsidR="00E65183" w:rsidRPr="00C83BDF" w:rsidRDefault="00E65183" w:rsidP="006D2ED8">
            <w:pPr>
              <w:tabs>
                <w:tab w:val="left" w:pos="756"/>
                <w:tab w:val="left" w:pos="2444"/>
              </w:tabs>
              <w:spacing w:after="120"/>
              <w:ind w:left="2444" w:hanging="2087"/>
              <w:rPr>
                <w:color w:val="000000"/>
                <w:sz w:val="18"/>
                <w:szCs w:val="18"/>
                <w:lang w:val="es-ES_tradnl"/>
              </w:rPr>
            </w:pPr>
            <w:r w:rsidRPr="00C83BDF">
              <w:rPr>
                <w:color w:val="000000"/>
                <w:sz w:val="18"/>
                <w:szCs w:val="18"/>
                <w:lang w:val="es-ES_tradnl"/>
              </w:rPr>
              <w:t>–</w:t>
            </w:r>
            <w:r w:rsidRPr="00C83BDF">
              <w:rPr>
                <w:color w:val="000000"/>
                <w:sz w:val="18"/>
                <w:szCs w:val="18"/>
                <w:lang w:val="es-ES_tradnl"/>
              </w:rPr>
              <w:tab/>
            </w:r>
            <w:r w:rsidR="006173DB" w:rsidRPr="00C83BDF">
              <w:rPr>
                <w:sz w:val="18"/>
                <w:szCs w:val="18"/>
                <w:lang w:val="es-ES_tradnl"/>
              </w:rPr>
              <w:t>15 revisiones:</w:t>
            </w:r>
            <w:r w:rsidRPr="00C83BDF">
              <w:rPr>
                <w:color w:val="000000"/>
                <w:sz w:val="18"/>
                <w:szCs w:val="18"/>
                <w:lang w:val="es-ES_tradnl"/>
              </w:rPr>
              <w:t xml:space="preserve">  TWA (2)</w:t>
            </w:r>
            <w:r w:rsidR="00220E3C" w:rsidRPr="00C83BDF">
              <w:rPr>
                <w:color w:val="000000"/>
                <w:sz w:val="18"/>
                <w:szCs w:val="18"/>
                <w:lang w:val="es-ES_tradnl"/>
              </w:rPr>
              <w:t xml:space="preserve">, </w:t>
            </w:r>
            <w:r w:rsidRPr="00C83BDF">
              <w:rPr>
                <w:color w:val="000000"/>
                <w:sz w:val="18"/>
                <w:szCs w:val="18"/>
                <w:lang w:val="es-ES_tradnl"/>
              </w:rPr>
              <w:t>TWF (4)</w:t>
            </w:r>
            <w:r w:rsidR="00220E3C" w:rsidRPr="00C83BDF">
              <w:rPr>
                <w:color w:val="000000"/>
                <w:sz w:val="18"/>
                <w:szCs w:val="18"/>
                <w:lang w:val="es-ES_tradnl"/>
              </w:rPr>
              <w:t xml:space="preserve">, </w:t>
            </w:r>
            <w:r w:rsidRPr="00C83BDF">
              <w:rPr>
                <w:color w:val="000000"/>
                <w:sz w:val="18"/>
                <w:szCs w:val="18"/>
                <w:lang w:val="es-ES_tradnl"/>
              </w:rPr>
              <w:t>TWO (5)</w:t>
            </w:r>
            <w:r w:rsidR="00220E3C" w:rsidRPr="00C83BDF">
              <w:rPr>
                <w:color w:val="000000"/>
                <w:sz w:val="18"/>
                <w:szCs w:val="18"/>
                <w:lang w:val="es-ES_tradnl"/>
              </w:rPr>
              <w:t xml:space="preserve">, </w:t>
            </w:r>
            <w:r w:rsidRPr="00C83BDF">
              <w:rPr>
                <w:color w:val="000000"/>
                <w:sz w:val="18"/>
                <w:szCs w:val="18"/>
                <w:lang w:val="es-ES_tradnl"/>
              </w:rPr>
              <w:t>TWV (4)</w:t>
            </w:r>
          </w:p>
          <w:p w:rsidR="00E65183" w:rsidRPr="00C83BDF" w:rsidRDefault="00F0703E" w:rsidP="004737CD">
            <w:pPr>
              <w:keepNext/>
              <w:keepLines/>
              <w:ind w:left="3861" w:hanging="2694"/>
              <w:rPr>
                <w:color w:val="000000"/>
                <w:sz w:val="18"/>
                <w:szCs w:val="18"/>
                <w:lang w:val="es-ES_tradnl"/>
              </w:rPr>
            </w:pPr>
            <w:r w:rsidRPr="00C83BDF">
              <w:rPr>
                <w:sz w:val="18"/>
                <w:szCs w:val="18"/>
                <w:lang w:val="es-ES_tradnl"/>
              </w:rPr>
              <w:t>África:</w:t>
            </w:r>
            <w:r w:rsidR="00E65183" w:rsidRPr="00C83BDF">
              <w:rPr>
                <w:color w:val="000000"/>
                <w:sz w:val="18"/>
                <w:szCs w:val="18"/>
                <w:lang w:val="es-ES_tradnl"/>
              </w:rPr>
              <w:t xml:space="preserve">  </w:t>
            </w:r>
            <w:r w:rsidR="00E65183" w:rsidRPr="00C83BDF">
              <w:rPr>
                <w:color w:val="000000"/>
                <w:sz w:val="18"/>
                <w:szCs w:val="18"/>
                <w:lang w:val="es-ES_tradnl"/>
              </w:rPr>
              <w:tab/>
              <w:t>ZA (1)</w:t>
            </w:r>
          </w:p>
          <w:p w:rsidR="00E65183" w:rsidRPr="00C83BDF" w:rsidRDefault="00F0703E" w:rsidP="004737CD">
            <w:pPr>
              <w:keepNext/>
              <w:keepLines/>
              <w:ind w:left="3861" w:hanging="2694"/>
              <w:rPr>
                <w:color w:val="000000"/>
                <w:sz w:val="18"/>
                <w:szCs w:val="18"/>
                <w:lang w:val="es-ES_tradnl"/>
              </w:rPr>
            </w:pPr>
            <w:r w:rsidRPr="00C83BDF">
              <w:rPr>
                <w:sz w:val="18"/>
                <w:szCs w:val="18"/>
                <w:lang w:val="es-ES_tradnl"/>
              </w:rPr>
              <w:t>América:</w:t>
            </w:r>
            <w:r w:rsidR="00E65183" w:rsidRPr="00C83BDF">
              <w:rPr>
                <w:color w:val="000000"/>
                <w:sz w:val="18"/>
                <w:szCs w:val="18"/>
                <w:lang w:val="es-ES_tradnl"/>
              </w:rPr>
              <w:t xml:space="preserve">  </w:t>
            </w:r>
            <w:r w:rsidR="00E65183" w:rsidRPr="00C83BDF">
              <w:rPr>
                <w:color w:val="000000"/>
                <w:sz w:val="18"/>
                <w:szCs w:val="18"/>
                <w:lang w:val="es-ES_tradnl"/>
              </w:rPr>
              <w:tab/>
              <w:t>MX (1)</w:t>
            </w:r>
          </w:p>
          <w:p w:rsidR="00E65183" w:rsidRPr="00C83BDF" w:rsidRDefault="00F0703E" w:rsidP="004737CD">
            <w:pPr>
              <w:keepNext/>
              <w:keepLines/>
              <w:ind w:left="3861" w:hanging="2694"/>
              <w:rPr>
                <w:color w:val="000000"/>
                <w:sz w:val="18"/>
                <w:szCs w:val="18"/>
                <w:lang w:val="es-ES_tradnl"/>
              </w:rPr>
            </w:pPr>
            <w:r w:rsidRPr="00C83BDF">
              <w:rPr>
                <w:sz w:val="18"/>
                <w:szCs w:val="18"/>
                <w:lang w:val="es-ES_tradnl"/>
              </w:rPr>
              <w:t>Asia/Pacífico:</w:t>
            </w:r>
            <w:r w:rsidR="00E65183" w:rsidRPr="00C83BDF">
              <w:rPr>
                <w:color w:val="000000"/>
                <w:sz w:val="18"/>
                <w:szCs w:val="18"/>
                <w:lang w:val="es-ES_tradnl"/>
              </w:rPr>
              <w:t xml:space="preserve">  </w:t>
            </w:r>
            <w:r w:rsidR="00E65183" w:rsidRPr="00C83BDF">
              <w:rPr>
                <w:color w:val="000000"/>
                <w:sz w:val="18"/>
                <w:szCs w:val="18"/>
                <w:lang w:val="es-ES_tradnl"/>
              </w:rPr>
              <w:tab/>
              <w:t>CN (1)</w:t>
            </w:r>
            <w:r w:rsidR="00220E3C" w:rsidRPr="00C83BDF">
              <w:rPr>
                <w:color w:val="000000"/>
                <w:sz w:val="18"/>
                <w:szCs w:val="18"/>
                <w:lang w:val="es-ES_tradnl"/>
              </w:rPr>
              <w:t xml:space="preserve">, </w:t>
            </w:r>
            <w:r w:rsidR="00E65183" w:rsidRPr="00C83BDF">
              <w:rPr>
                <w:color w:val="000000"/>
                <w:sz w:val="18"/>
                <w:szCs w:val="18"/>
                <w:lang w:val="es-ES_tradnl"/>
              </w:rPr>
              <w:t>JP (1)</w:t>
            </w:r>
          </w:p>
          <w:p w:rsidR="00E65183" w:rsidRPr="00C83BDF" w:rsidRDefault="00F0703E" w:rsidP="004737CD">
            <w:pPr>
              <w:keepNext/>
              <w:keepLines/>
              <w:ind w:left="3861" w:hanging="2694"/>
              <w:rPr>
                <w:color w:val="000000"/>
                <w:sz w:val="18"/>
                <w:szCs w:val="18"/>
                <w:lang w:val="es-ES_tradnl"/>
              </w:rPr>
            </w:pPr>
            <w:r w:rsidRPr="00C83BDF">
              <w:rPr>
                <w:sz w:val="18"/>
                <w:szCs w:val="18"/>
                <w:lang w:val="es-ES_tradnl"/>
              </w:rPr>
              <w:t>Europa:</w:t>
            </w:r>
            <w:r w:rsidR="00E65183" w:rsidRPr="00C83BDF">
              <w:rPr>
                <w:color w:val="000000"/>
                <w:sz w:val="18"/>
                <w:szCs w:val="18"/>
                <w:lang w:val="es-ES_tradnl"/>
              </w:rPr>
              <w:t xml:space="preserve">  </w:t>
            </w:r>
            <w:r w:rsidR="00E65183" w:rsidRPr="00C83BDF">
              <w:rPr>
                <w:color w:val="000000"/>
                <w:sz w:val="18"/>
                <w:szCs w:val="18"/>
                <w:lang w:val="es-ES_tradnl"/>
              </w:rPr>
              <w:tab/>
              <w:t>DE (4)</w:t>
            </w:r>
            <w:r w:rsidR="00220E3C" w:rsidRPr="00C83BDF">
              <w:rPr>
                <w:color w:val="000000"/>
                <w:sz w:val="18"/>
                <w:szCs w:val="18"/>
                <w:lang w:val="es-ES_tradnl"/>
              </w:rPr>
              <w:t xml:space="preserve">, </w:t>
            </w:r>
            <w:r w:rsidR="00E65183" w:rsidRPr="00C83BDF">
              <w:rPr>
                <w:color w:val="000000"/>
                <w:sz w:val="18"/>
                <w:szCs w:val="18"/>
                <w:lang w:val="es-ES_tradnl"/>
              </w:rPr>
              <w:t>ES (1)</w:t>
            </w:r>
            <w:r w:rsidR="00220E3C" w:rsidRPr="00C83BDF">
              <w:rPr>
                <w:color w:val="000000"/>
                <w:sz w:val="18"/>
                <w:szCs w:val="18"/>
                <w:lang w:val="es-ES_tradnl"/>
              </w:rPr>
              <w:t xml:space="preserve">, </w:t>
            </w:r>
            <w:r w:rsidR="00E65183" w:rsidRPr="00C83BDF">
              <w:rPr>
                <w:color w:val="000000"/>
                <w:sz w:val="18"/>
                <w:szCs w:val="18"/>
                <w:lang w:val="es-ES_tradnl"/>
              </w:rPr>
              <w:t>FR (3)</w:t>
            </w:r>
            <w:r w:rsidR="00220E3C" w:rsidRPr="00C83BDF">
              <w:rPr>
                <w:color w:val="000000"/>
                <w:sz w:val="18"/>
                <w:szCs w:val="18"/>
                <w:lang w:val="es-ES_tradnl"/>
              </w:rPr>
              <w:t xml:space="preserve">, </w:t>
            </w:r>
            <w:r w:rsidR="00E65183" w:rsidRPr="00C83BDF">
              <w:rPr>
                <w:color w:val="000000"/>
                <w:sz w:val="18"/>
                <w:szCs w:val="18"/>
                <w:lang w:val="es-ES_tradnl"/>
              </w:rPr>
              <w:t>NL (3)</w:t>
            </w:r>
          </w:p>
          <w:p w:rsidR="00E65183" w:rsidRPr="00C83BDF" w:rsidRDefault="00E65183" w:rsidP="004737CD">
            <w:pPr>
              <w:keepNext/>
              <w:keepLines/>
              <w:tabs>
                <w:tab w:val="left" w:pos="601"/>
              </w:tabs>
              <w:rPr>
                <w:color w:val="000000"/>
                <w:sz w:val="18"/>
                <w:szCs w:val="18"/>
                <w:lang w:val="es-ES_tradnl"/>
              </w:rPr>
            </w:pPr>
          </w:p>
          <w:p w:rsidR="00E65183" w:rsidRPr="00C83BDF" w:rsidRDefault="00E65183" w:rsidP="006D2ED8">
            <w:pPr>
              <w:tabs>
                <w:tab w:val="left" w:pos="756"/>
                <w:tab w:val="left" w:pos="2444"/>
              </w:tabs>
              <w:spacing w:after="120"/>
              <w:ind w:left="2444" w:hanging="2087"/>
              <w:rPr>
                <w:color w:val="000000"/>
                <w:sz w:val="18"/>
                <w:szCs w:val="18"/>
                <w:lang w:val="es-ES_tradnl"/>
              </w:rPr>
            </w:pPr>
            <w:r w:rsidRPr="00C83BDF">
              <w:rPr>
                <w:color w:val="000000"/>
                <w:sz w:val="18"/>
                <w:szCs w:val="18"/>
                <w:lang w:val="es-ES_tradnl"/>
              </w:rPr>
              <w:t>–</w:t>
            </w:r>
            <w:r w:rsidRPr="00C83BDF">
              <w:rPr>
                <w:color w:val="000000"/>
                <w:sz w:val="18"/>
                <w:szCs w:val="18"/>
                <w:lang w:val="es-ES_tradnl"/>
              </w:rPr>
              <w:tab/>
            </w:r>
            <w:r w:rsidR="00F0703E" w:rsidRPr="00C83BDF">
              <w:rPr>
                <w:sz w:val="18"/>
                <w:szCs w:val="18"/>
                <w:lang w:val="es-ES_tradnl"/>
              </w:rPr>
              <w:t>16 revisiones parciales</w:t>
            </w:r>
            <w:r w:rsidRPr="00C83BDF">
              <w:rPr>
                <w:color w:val="000000"/>
                <w:sz w:val="18"/>
                <w:szCs w:val="18"/>
                <w:lang w:val="es-ES_tradnl"/>
              </w:rPr>
              <w:t xml:space="preserve">  TWF (1)</w:t>
            </w:r>
            <w:r w:rsidR="00220E3C" w:rsidRPr="00C83BDF">
              <w:rPr>
                <w:color w:val="000000"/>
                <w:sz w:val="18"/>
                <w:szCs w:val="18"/>
                <w:lang w:val="es-ES_tradnl"/>
              </w:rPr>
              <w:t xml:space="preserve">, </w:t>
            </w:r>
            <w:r w:rsidRPr="00C83BDF">
              <w:rPr>
                <w:color w:val="000000"/>
                <w:sz w:val="18"/>
                <w:szCs w:val="18"/>
                <w:lang w:val="es-ES_tradnl"/>
              </w:rPr>
              <w:t>TWO (2)</w:t>
            </w:r>
            <w:r w:rsidR="00220E3C" w:rsidRPr="00C83BDF">
              <w:rPr>
                <w:color w:val="000000"/>
                <w:sz w:val="18"/>
                <w:szCs w:val="18"/>
                <w:lang w:val="es-ES_tradnl"/>
              </w:rPr>
              <w:t xml:space="preserve">, </w:t>
            </w:r>
            <w:r w:rsidRPr="00C83BDF">
              <w:rPr>
                <w:color w:val="000000"/>
                <w:sz w:val="18"/>
                <w:szCs w:val="18"/>
                <w:lang w:val="es-ES_tradnl"/>
              </w:rPr>
              <w:t xml:space="preserve">TWV (13) </w:t>
            </w:r>
          </w:p>
          <w:p w:rsidR="00E65183" w:rsidRPr="00C83BDF" w:rsidRDefault="00F0703E" w:rsidP="004737CD">
            <w:pPr>
              <w:keepNext/>
              <w:keepLines/>
              <w:ind w:left="3861" w:hanging="2694"/>
              <w:rPr>
                <w:color w:val="000000"/>
                <w:sz w:val="18"/>
                <w:szCs w:val="18"/>
                <w:lang w:val="es-ES_tradnl"/>
              </w:rPr>
            </w:pPr>
            <w:r w:rsidRPr="00C83BDF">
              <w:rPr>
                <w:sz w:val="18"/>
                <w:szCs w:val="18"/>
                <w:lang w:val="es-ES_tradnl"/>
              </w:rPr>
              <w:t>Asia/Pacífico:</w:t>
            </w:r>
            <w:r w:rsidR="00E65183" w:rsidRPr="00C83BDF">
              <w:rPr>
                <w:color w:val="000000"/>
                <w:sz w:val="18"/>
                <w:szCs w:val="18"/>
                <w:lang w:val="es-ES_tradnl"/>
              </w:rPr>
              <w:t xml:space="preserve">  </w:t>
            </w:r>
            <w:r w:rsidR="00E65183" w:rsidRPr="00C83BDF">
              <w:rPr>
                <w:color w:val="000000"/>
                <w:sz w:val="18"/>
                <w:szCs w:val="18"/>
                <w:lang w:val="es-ES_tradnl"/>
              </w:rPr>
              <w:tab/>
              <w:t>JP (1)</w:t>
            </w:r>
          </w:p>
          <w:p w:rsidR="00E65183" w:rsidRPr="00C83BDF" w:rsidRDefault="00F0703E" w:rsidP="004737CD">
            <w:pPr>
              <w:keepNext/>
              <w:keepLines/>
              <w:ind w:left="3861" w:hanging="2694"/>
              <w:rPr>
                <w:color w:val="000000"/>
                <w:sz w:val="18"/>
                <w:szCs w:val="18"/>
                <w:lang w:val="es-ES_tradnl"/>
              </w:rPr>
            </w:pPr>
            <w:r w:rsidRPr="00C83BDF">
              <w:rPr>
                <w:sz w:val="18"/>
                <w:szCs w:val="18"/>
                <w:lang w:val="es-ES_tradnl"/>
              </w:rPr>
              <w:t>Europa:</w:t>
            </w:r>
            <w:r w:rsidR="00E65183" w:rsidRPr="00C83BDF">
              <w:rPr>
                <w:color w:val="000000"/>
                <w:sz w:val="18"/>
                <w:szCs w:val="18"/>
                <w:lang w:val="es-ES_tradnl"/>
              </w:rPr>
              <w:t xml:space="preserve">  </w:t>
            </w:r>
            <w:r w:rsidR="00E65183" w:rsidRPr="00C83BDF">
              <w:rPr>
                <w:color w:val="000000"/>
                <w:sz w:val="18"/>
                <w:szCs w:val="18"/>
                <w:lang w:val="es-ES_tradnl"/>
              </w:rPr>
              <w:tab/>
              <w:t>ES (2)</w:t>
            </w:r>
            <w:r w:rsidR="00220E3C" w:rsidRPr="00C83BDF">
              <w:rPr>
                <w:color w:val="000000"/>
                <w:sz w:val="18"/>
                <w:szCs w:val="18"/>
                <w:lang w:val="es-ES_tradnl"/>
              </w:rPr>
              <w:t xml:space="preserve">, </w:t>
            </w:r>
            <w:r w:rsidR="00E65183" w:rsidRPr="00C83BDF">
              <w:rPr>
                <w:color w:val="000000"/>
                <w:sz w:val="18"/>
                <w:szCs w:val="18"/>
                <w:lang w:val="es-ES_tradnl"/>
              </w:rPr>
              <w:t>FR (3)</w:t>
            </w:r>
            <w:r w:rsidR="00220E3C" w:rsidRPr="00C83BDF">
              <w:rPr>
                <w:color w:val="000000"/>
                <w:sz w:val="18"/>
                <w:szCs w:val="18"/>
                <w:lang w:val="es-ES_tradnl"/>
              </w:rPr>
              <w:t xml:space="preserve">, </w:t>
            </w:r>
            <w:r w:rsidR="00E65183" w:rsidRPr="00C83BDF">
              <w:rPr>
                <w:color w:val="000000"/>
                <w:sz w:val="18"/>
                <w:szCs w:val="18"/>
                <w:lang w:val="es-ES_tradnl"/>
              </w:rPr>
              <w:t>FR/NL (1)</w:t>
            </w:r>
            <w:r w:rsidR="00220E3C" w:rsidRPr="00C83BDF">
              <w:rPr>
                <w:color w:val="000000"/>
                <w:sz w:val="18"/>
                <w:szCs w:val="18"/>
                <w:lang w:val="es-ES_tradnl"/>
              </w:rPr>
              <w:t xml:space="preserve">, </w:t>
            </w:r>
            <w:r w:rsidR="00E65183" w:rsidRPr="00C83BDF">
              <w:rPr>
                <w:color w:val="000000"/>
                <w:sz w:val="18"/>
                <w:szCs w:val="18"/>
                <w:lang w:val="es-ES_tradnl"/>
              </w:rPr>
              <w:t>NL (9)</w:t>
            </w:r>
          </w:p>
          <w:p w:rsidR="00E65183" w:rsidRPr="00C83BDF" w:rsidRDefault="00E65183" w:rsidP="004737CD">
            <w:pPr>
              <w:keepNext/>
              <w:keepLines/>
              <w:ind w:left="3861" w:hanging="2694"/>
              <w:rPr>
                <w:color w:val="000000"/>
                <w:sz w:val="18"/>
                <w:szCs w:val="18"/>
                <w:lang w:val="es-ES_tradnl"/>
              </w:rPr>
            </w:pPr>
          </w:p>
          <w:p w:rsidR="00E65183" w:rsidRPr="00C83BDF" w:rsidRDefault="00F0703E" w:rsidP="004737CD">
            <w:pPr>
              <w:keepNext/>
              <w:rPr>
                <w:sz w:val="18"/>
                <w:szCs w:val="18"/>
                <w:lang w:val="es-ES_tradnl"/>
              </w:rPr>
            </w:pPr>
            <w:r w:rsidRPr="00C83BDF">
              <w:rPr>
                <w:sz w:val="18"/>
                <w:szCs w:val="18"/>
                <w:lang w:val="es-ES_tradnl"/>
              </w:rPr>
              <w:t>En la redacción de las directrices de examen participó un total de 15 miembros de la Unión</w:t>
            </w:r>
            <w:r w:rsidR="00E65183" w:rsidRPr="00C83BDF">
              <w:rPr>
                <w:sz w:val="18"/>
                <w:szCs w:val="18"/>
                <w:lang w:val="es-ES_tradnl"/>
              </w:rPr>
              <w:t xml:space="preserve"> </w:t>
            </w:r>
            <w:r w:rsidR="00F64FBE">
              <w:rPr>
                <w:sz w:val="18"/>
                <w:szCs w:val="18"/>
                <w:lang w:val="es-ES_tradnl"/>
              </w:rPr>
              <w:br/>
            </w:r>
            <w:r w:rsidR="00E65183" w:rsidRPr="00C83BDF">
              <w:rPr>
                <w:sz w:val="18"/>
                <w:szCs w:val="18"/>
                <w:lang w:val="es-ES_tradnl"/>
              </w:rPr>
              <w:t>(AR</w:t>
            </w:r>
            <w:r w:rsidR="00220E3C" w:rsidRPr="00C83BDF">
              <w:rPr>
                <w:sz w:val="18"/>
                <w:szCs w:val="18"/>
                <w:lang w:val="es-ES_tradnl"/>
              </w:rPr>
              <w:t xml:space="preserve">, </w:t>
            </w:r>
            <w:r w:rsidR="00E65183" w:rsidRPr="00C83BDF">
              <w:rPr>
                <w:sz w:val="18"/>
                <w:szCs w:val="18"/>
                <w:lang w:val="es-ES_tradnl"/>
              </w:rPr>
              <w:t>AU</w:t>
            </w:r>
            <w:r w:rsidR="00220E3C" w:rsidRPr="00C83BDF">
              <w:rPr>
                <w:sz w:val="18"/>
                <w:szCs w:val="18"/>
                <w:lang w:val="es-ES_tradnl"/>
              </w:rPr>
              <w:t xml:space="preserve">, </w:t>
            </w:r>
            <w:r w:rsidR="00E65183" w:rsidRPr="00C83BDF">
              <w:rPr>
                <w:sz w:val="18"/>
                <w:szCs w:val="18"/>
                <w:lang w:val="es-ES_tradnl"/>
              </w:rPr>
              <w:t>BR</w:t>
            </w:r>
            <w:r w:rsidR="00220E3C" w:rsidRPr="00C83BDF">
              <w:rPr>
                <w:sz w:val="18"/>
                <w:szCs w:val="18"/>
                <w:lang w:val="es-ES_tradnl"/>
              </w:rPr>
              <w:t xml:space="preserve">, </w:t>
            </w:r>
            <w:r w:rsidR="00E65183" w:rsidRPr="00C83BDF">
              <w:rPr>
                <w:sz w:val="18"/>
                <w:szCs w:val="18"/>
                <w:lang w:val="es-ES_tradnl"/>
              </w:rPr>
              <w:t>CN</w:t>
            </w:r>
            <w:r w:rsidR="00220E3C" w:rsidRPr="00C83BDF">
              <w:rPr>
                <w:sz w:val="18"/>
                <w:szCs w:val="18"/>
                <w:lang w:val="es-ES_tradnl"/>
              </w:rPr>
              <w:t xml:space="preserve">, </w:t>
            </w:r>
            <w:r w:rsidR="00E65183" w:rsidRPr="00C83BDF">
              <w:rPr>
                <w:sz w:val="18"/>
                <w:szCs w:val="18"/>
                <w:lang w:val="es-ES_tradnl"/>
              </w:rPr>
              <w:t>DE</w:t>
            </w:r>
            <w:r w:rsidR="00220E3C" w:rsidRPr="00C83BDF">
              <w:rPr>
                <w:sz w:val="18"/>
                <w:szCs w:val="18"/>
                <w:lang w:val="es-ES_tradnl"/>
              </w:rPr>
              <w:t xml:space="preserve">, </w:t>
            </w:r>
            <w:r w:rsidR="00E65183" w:rsidRPr="00C83BDF">
              <w:rPr>
                <w:sz w:val="18"/>
                <w:szCs w:val="18"/>
                <w:lang w:val="es-ES_tradnl"/>
              </w:rPr>
              <w:t>DK</w:t>
            </w:r>
            <w:r w:rsidR="00220E3C" w:rsidRPr="00C83BDF">
              <w:rPr>
                <w:sz w:val="18"/>
                <w:szCs w:val="18"/>
                <w:lang w:val="es-ES_tradnl"/>
              </w:rPr>
              <w:t xml:space="preserve">, </w:t>
            </w:r>
            <w:r w:rsidR="00E65183" w:rsidRPr="00C83BDF">
              <w:rPr>
                <w:sz w:val="18"/>
                <w:szCs w:val="18"/>
                <w:lang w:val="es-ES_tradnl"/>
              </w:rPr>
              <w:t>ES</w:t>
            </w:r>
            <w:r w:rsidR="00220E3C" w:rsidRPr="00C83BDF">
              <w:rPr>
                <w:sz w:val="18"/>
                <w:szCs w:val="18"/>
                <w:lang w:val="es-ES_tradnl"/>
              </w:rPr>
              <w:t xml:space="preserve">, </w:t>
            </w:r>
            <w:r w:rsidR="00E65183" w:rsidRPr="00C83BDF">
              <w:rPr>
                <w:sz w:val="18"/>
                <w:szCs w:val="18"/>
                <w:lang w:val="es-ES_tradnl"/>
              </w:rPr>
              <w:t>FR</w:t>
            </w:r>
            <w:r w:rsidR="00220E3C" w:rsidRPr="00C83BDF">
              <w:rPr>
                <w:sz w:val="18"/>
                <w:szCs w:val="18"/>
                <w:lang w:val="es-ES_tradnl"/>
              </w:rPr>
              <w:t xml:space="preserve">, </w:t>
            </w:r>
            <w:r w:rsidR="00E65183" w:rsidRPr="00C83BDF">
              <w:rPr>
                <w:sz w:val="18"/>
                <w:szCs w:val="18"/>
                <w:lang w:val="es-ES_tradnl"/>
              </w:rPr>
              <w:t>GB</w:t>
            </w:r>
            <w:r w:rsidR="00220E3C" w:rsidRPr="00C83BDF">
              <w:rPr>
                <w:sz w:val="18"/>
                <w:szCs w:val="18"/>
                <w:lang w:val="es-ES_tradnl"/>
              </w:rPr>
              <w:t xml:space="preserve">, </w:t>
            </w:r>
            <w:r w:rsidR="00E65183" w:rsidRPr="00C83BDF">
              <w:rPr>
                <w:sz w:val="18"/>
                <w:szCs w:val="18"/>
                <w:lang w:val="es-ES_tradnl"/>
              </w:rPr>
              <w:t>JP</w:t>
            </w:r>
            <w:r w:rsidR="00220E3C" w:rsidRPr="00C83BDF">
              <w:rPr>
                <w:sz w:val="18"/>
                <w:szCs w:val="18"/>
                <w:lang w:val="es-ES_tradnl"/>
              </w:rPr>
              <w:t xml:space="preserve">, </w:t>
            </w:r>
            <w:r w:rsidR="00E65183" w:rsidRPr="00C83BDF">
              <w:rPr>
                <w:sz w:val="18"/>
                <w:szCs w:val="18"/>
                <w:lang w:val="es-ES_tradnl"/>
              </w:rPr>
              <w:t>KE</w:t>
            </w:r>
            <w:r w:rsidR="00220E3C" w:rsidRPr="00C83BDF">
              <w:rPr>
                <w:sz w:val="18"/>
                <w:szCs w:val="18"/>
                <w:lang w:val="es-ES_tradnl"/>
              </w:rPr>
              <w:t xml:space="preserve">, </w:t>
            </w:r>
            <w:r w:rsidR="00E65183" w:rsidRPr="00C83BDF">
              <w:rPr>
                <w:sz w:val="18"/>
                <w:szCs w:val="18"/>
                <w:lang w:val="es-ES_tradnl"/>
              </w:rPr>
              <w:t>MX</w:t>
            </w:r>
            <w:r w:rsidR="00220E3C" w:rsidRPr="00C83BDF">
              <w:rPr>
                <w:sz w:val="18"/>
                <w:szCs w:val="18"/>
                <w:lang w:val="es-ES_tradnl"/>
              </w:rPr>
              <w:t xml:space="preserve">, </w:t>
            </w:r>
            <w:r w:rsidR="00E65183" w:rsidRPr="00C83BDF">
              <w:rPr>
                <w:sz w:val="18"/>
                <w:szCs w:val="18"/>
                <w:lang w:val="es-ES_tradnl"/>
              </w:rPr>
              <w:t>NL</w:t>
            </w:r>
            <w:r w:rsidR="00220E3C" w:rsidRPr="00C83BDF">
              <w:rPr>
                <w:sz w:val="18"/>
                <w:szCs w:val="18"/>
                <w:lang w:val="es-ES_tradnl"/>
              </w:rPr>
              <w:t xml:space="preserve">, </w:t>
            </w:r>
            <w:r w:rsidR="00E65183" w:rsidRPr="00C83BDF">
              <w:rPr>
                <w:sz w:val="18"/>
                <w:szCs w:val="18"/>
                <w:lang w:val="es-ES_tradnl"/>
              </w:rPr>
              <w:t>NZ</w:t>
            </w:r>
            <w:r w:rsidR="00220E3C" w:rsidRPr="00C83BDF">
              <w:rPr>
                <w:sz w:val="18"/>
                <w:szCs w:val="18"/>
                <w:lang w:val="es-ES_tradnl"/>
              </w:rPr>
              <w:t xml:space="preserve">, </w:t>
            </w:r>
            <w:r w:rsidR="00E65183" w:rsidRPr="00C83BDF">
              <w:rPr>
                <w:sz w:val="18"/>
                <w:szCs w:val="18"/>
                <w:lang w:val="es-ES_tradnl"/>
              </w:rPr>
              <w:t>ZA).</w:t>
            </w:r>
          </w:p>
          <w:p w:rsidR="00E65183" w:rsidRPr="00C83BDF" w:rsidRDefault="00E65183" w:rsidP="004737CD">
            <w:pPr>
              <w:keepNext/>
              <w:rPr>
                <w:sz w:val="18"/>
                <w:szCs w:val="18"/>
                <w:lang w:val="es-ES_tradnl"/>
              </w:rPr>
            </w:pPr>
          </w:p>
          <w:p w:rsidR="00E65183" w:rsidRPr="00C83BDF" w:rsidRDefault="00E65183" w:rsidP="004737CD">
            <w:pPr>
              <w:keepNext/>
              <w:rPr>
                <w:sz w:val="18"/>
                <w:szCs w:val="18"/>
                <w:lang w:val="es-ES_tradnl"/>
              </w:rPr>
            </w:pPr>
          </w:p>
          <w:p w:rsidR="00E65183" w:rsidRPr="00C83BDF" w:rsidRDefault="00F0703E" w:rsidP="004737CD">
            <w:pPr>
              <w:rPr>
                <w:i/>
                <w:sz w:val="18"/>
                <w:lang w:val="es-ES_tradnl"/>
              </w:rPr>
            </w:pPr>
            <w:r w:rsidRPr="00C83BDF">
              <w:rPr>
                <w:i/>
                <w:sz w:val="18"/>
                <w:lang w:val="es-ES_tradnl"/>
              </w:rPr>
              <w:t>Elaboración de la plantilla en Internet de los documentos TG</w:t>
            </w:r>
          </w:p>
          <w:p w:rsidR="00E65183" w:rsidRPr="00C83BDF" w:rsidRDefault="00E65183" w:rsidP="004737CD">
            <w:pPr>
              <w:rPr>
                <w:sz w:val="18"/>
                <w:lang w:val="es-ES_tradnl"/>
              </w:rPr>
            </w:pPr>
          </w:p>
          <w:p w:rsidR="00E65183" w:rsidRPr="00C83BDF" w:rsidRDefault="00F0703E" w:rsidP="004737CD">
            <w:pPr>
              <w:keepNext/>
              <w:rPr>
                <w:sz w:val="18"/>
                <w:szCs w:val="18"/>
                <w:lang w:val="es-ES_tradnl"/>
              </w:rPr>
            </w:pPr>
            <w:r w:rsidRPr="00C83BDF">
              <w:rPr>
                <w:sz w:val="18"/>
                <w:szCs w:val="18"/>
                <w:lang w:val="es-ES_tradnl"/>
              </w:rPr>
              <w:t xml:space="preserve">Se ha </w:t>
            </w:r>
            <w:r w:rsidR="003C366D" w:rsidRPr="00C83BDF">
              <w:rPr>
                <w:sz w:val="18"/>
                <w:szCs w:val="18"/>
                <w:lang w:val="es-ES_tradnl"/>
              </w:rPr>
              <w:t>puesto en marcha</w:t>
            </w:r>
            <w:r w:rsidRPr="00C83BDF">
              <w:rPr>
                <w:sz w:val="18"/>
                <w:szCs w:val="18"/>
                <w:lang w:val="es-ES_tradnl"/>
              </w:rPr>
              <w:t xml:space="preserve"> la versión 1 de la plantilla en Internet de los documentos TG, que cuenta con las siguientes características:</w:t>
            </w:r>
          </w:p>
          <w:p w:rsidR="00E65183" w:rsidRPr="00C83BDF" w:rsidRDefault="00E65183" w:rsidP="004737CD">
            <w:pPr>
              <w:keepNext/>
              <w:rPr>
                <w:sz w:val="18"/>
                <w:szCs w:val="18"/>
                <w:lang w:val="es-ES_tradnl"/>
              </w:rPr>
            </w:pPr>
          </w:p>
          <w:p w:rsidR="00E65183" w:rsidRPr="00C83BDF" w:rsidRDefault="00F0703E" w:rsidP="00D7088E">
            <w:pPr>
              <w:pStyle w:val="ListParagraph"/>
              <w:keepNext/>
              <w:numPr>
                <w:ilvl w:val="0"/>
                <w:numId w:val="19"/>
              </w:numPr>
              <w:tabs>
                <w:tab w:val="left" w:pos="743"/>
              </w:tabs>
              <w:ind w:left="743" w:hanging="383"/>
              <w:rPr>
                <w:sz w:val="18"/>
                <w:szCs w:val="18"/>
                <w:lang w:val="es-ES_tradnl"/>
              </w:rPr>
            </w:pPr>
            <w:r w:rsidRPr="00C83BDF">
              <w:rPr>
                <w:sz w:val="18"/>
                <w:szCs w:val="18"/>
                <w:lang w:val="es-ES_tradnl"/>
              </w:rPr>
              <w:t>Los expertos principales pueden elaborar los proyectos de directrices de examen en línea por medio de la plantilla en Internet para los documentos TG</w:t>
            </w:r>
          </w:p>
          <w:p w:rsidR="00E65183" w:rsidRPr="00C83BDF" w:rsidRDefault="00A4528F" w:rsidP="00D7088E">
            <w:pPr>
              <w:pStyle w:val="ListParagraph"/>
              <w:keepNext/>
              <w:numPr>
                <w:ilvl w:val="0"/>
                <w:numId w:val="19"/>
              </w:numPr>
              <w:tabs>
                <w:tab w:val="left" w:pos="743"/>
              </w:tabs>
              <w:ind w:left="743" w:hanging="383"/>
              <w:rPr>
                <w:sz w:val="18"/>
                <w:szCs w:val="18"/>
                <w:lang w:val="es-ES_tradnl"/>
              </w:rPr>
            </w:pPr>
            <w:r w:rsidRPr="00C83BDF">
              <w:rPr>
                <w:sz w:val="18"/>
                <w:szCs w:val="18"/>
                <w:lang w:val="es-ES_tradnl"/>
              </w:rPr>
              <w:t>Una plantilla fija que contiene el texto estándar universal apropiado para todas las directrices de examen</w:t>
            </w:r>
          </w:p>
          <w:p w:rsidR="00E65183" w:rsidRPr="00C83BDF" w:rsidRDefault="00A4528F" w:rsidP="00D7088E">
            <w:pPr>
              <w:pStyle w:val="ListParagraph"/>
              <w:keepNext/>
              <w:numPr>
                <w:ilvl w:val="0"/>
                <w:numId w:val="19"/>
              </w:numPr>
              <w:tabs>
                <w:tab w:val="left" w:pos="743"/>
              </w:tabs>
              <w:ind w:left="743" w:hanging="383"/>
              <w:rPr>
                <w:sz w:val="18"/>
                <w:szCs w:val="18"/>
                <w:lang w:val="es-ES_tradnl"/>
              </w:rPr>
            </w:pPr>
            <w:r w:rsidRPr="00C83BDF">
              <w:rPr>
                <w:sz w:val="18"/>
                <w:szCs w:val="18"/>
                <w:lang w:val="es-ES_tradnl"/>
              </w:rPr>
              <w:t>Opciones para añadir texto estándar adicional (ASW)</w:t>
            </w:r>
          </w:p>
          <w:p w:rsidR="00E65183" w:rsidRPr="00C83BDF" w:rsidRDefault="00A4528F" w:rsidP="00D7088E">
            <w:pPr>
              <w:pStyle w:val="ListParagraph"/>
              <w:keepNext/>
              <w:numPr>
                <w:ilvl w:val="0"/>
                <w:numId w:val="19"/>
              </w:numPr>
              <w:tabs>
                <w:tab w:val="left" w:pos="743"/>
              </w:tabs>
              <w:ind w:left="743" w:hanging="383"/>
              <w:rPr>
                <w:sz w:val="18"/>
                <w:szCs w:val="18"/>
                <w:lang w:val="es-ES_tradnl"/>
              </w:rPr>
            </w:pPr>
            <w:r w:rsidRPr="00C83BDF">
              <w:rPr>
                <w:sz w:val="18"/>
                <w:szCs w:val="18"/>
                <w:lang w:val="es-ES_tradnl"/>
              </w:rPr>
              <w:t>Enlaces a notas orientativas</w:t>
            </w:r>
            <w:r w:rsidR="00E65183" w:rsidRPr="00C83BDF">
              <w:rPr>
                <w:sz w:val="18"/>
                <w:szCs w:val="18"/>
                <w:lang w:val="es-ES_tradnl"/>
              </w:rPr>
              <w:t xml:space="preserve"> </w:t>
            </w:r>
          </w:p>
          <w:p w:rsidR="00E65183" w:rsidRPr="00C83BDF" w:rsidRDefault="00A4528F" w:rsidP="00D7088E">
            <w:pPr>
              <w:pStyle w:val="ListParagraph"/>
              <w:keepNext/>
              <w:numPr>
                <w:ilvl w:val="0"/>
                <w:numId w:val="19"/>
              </w:numPr>
              <w:tabs>
                <w:tab w:val="left" w:pos="743"/>
              </w:tabs>
              <w:ind w:left="743" w:hanging="383"/>
              <w:rPr>
                <w:sz w:val="18"/>
                <w:szCs w:val="18"/>
                <w:lang w:val="es-ES_tradnl"/>
              </w:rPr>
            </w:pPr>
            <w:r w:rsidRPr="00C83BDF">
              <w:rPr>
                <w:sz w:val="18"/>
                <w:szCs w:val="18"/>
                <w:lang w:val="es-ES_tradnl"/>
              </w:rPr>
              <w:t>Una base de datos de caracteres (en alemán, español, francés e inglés) creada a partir de las directrices de examen aprobadas tras la adopción del documento TGP/7/1 “Elaboración de las directrices de examen”</w:t>
            </w:r>
          </w:p>
          <w:p w:rsidR="00E65183" w:rsidRPr="00C83BDF" w:rsidRDefault="00E65183" w:rsidP="004737CD">
            <w:pPr>
              <w:keepNext/>
              <w:rPr>
                <w:sz w:val="18"/>
                <w:szCs w:val="18"/>
                <w:lang w:val="es-ES_tradnl"/>
              </w:rPr>
            </w:pPr>
          </w:p>
          <w:p w:rsidR="00E65183" w:rsidRPr="00C83BDF" w:rsidRDefault="00A4528F" w:rsidP="004737CD">
            <w:pPr>
              <w:keepNext/>
              <w:rPr>
                <w:sz w:val="18"/>
                <w:szCs w:val="18"/>
                <w:lang w:val="es-ES_tradnl"/>
              </w:rPr>
            </w:pPr>
            <w:r w:rsidRPr="00C83BDF">
              <w:rPr>
                <w:sz w:val="18"/>
                <w:szCs w:val="18"/>
                <w:lang w:val="es-ES_tradnl"/>
              </w:rPr>
              <w:t>En la base de datos figurará toda la información de la tabla de caracteres con sus niveles de expresión, notas y variedades ejemplo.</w:t>
            </w:r>
            <w:r w:rsidR="00E65183" w:rsidRPr="00C83BDF">
              <w:rPr>
                <w:sz w:val="18"/>
                <w:szCs w:val="18"/>
                <w:lang w:val="es-ES_tradnl"/>
              </w:rPr>
              <w:t xml:space="preserve">  </w:t>
            </w:r>
            <w:r w:rsidRPr="00C83BDF">
              <w:rPr>
                <w:sz w:val="18"/>
                <w:szCs w:val="18"/>
                <w:lang w:val="es-ES_tradnl"/>
              </w:rPr>
              <w:t>En esta base se pueden buscar caracteres pertinentes, y se puede agregar un carácter pertinente al proyecto de directrices de examen con la modificación posterior necesaria.</w:t>
            </w:r>
          </w:p>
        </w:tc>
      </w:tr>
    </w:tbl>
    <w:p w:rsidR="00E65183" w:rsidRPr="00C83BDF" w:rsidRDefault="00E65183" w:rsidP="00E65183">
      <w:pPr>
        <w:rPr>
          <w:lang w:val="es-ES_tradnl"/>
        </w:rPr>
      </w:pPr>
    </w:p>
    <w:p w:rsidR="00E65183" w:rsidRPr="00C83BDF" w:rsidRDefault="00E65183" w:rsidP="00E65183">
      <w:pPr>
        <w:rPr>
          <w:lang w:val="es-ES_tradnl"/>
        </w:rPr>
      </w:pPr>
    </w:p>
    <w:p w:rsidR="00E65183" w:rsidRPr="00C83BDF" w:rsidRDefault="00E65183" w:rsidP="00E65183">
      <w:pPr>
        <w:rPr>
          <w:lang w:val="es-ES_tradnl"/>
        </w:rPr>
      </w:pPr>
      <w:r w:rsidRPr="00C83BDF">
        <w:rPr>
          <w:bCs/>
          <w:i/>
          <w:lang w:val="es-ES_tradnl"/>
        </w:rPr>
        <w:br w:type="page"/>
      </w:r>
    </w:p>
    <w:tbl>
      <w:tblPr>
        <w:tblW w:w="9889" w:type="dxa"/>
        <w:tblLayout w:type="fixed"/>
        <w:tblLook w:val="0000" w:firstRow="0" w:lastRow="0" w:firstColumn="0" w:lastColumn="0" w:noHBand="0" w:noVBand="0"/>
      </w:tblPr>
      <w:tblGrid>
        <w:gridCol w:w="1951"/>
        <w:gridCol w:w="3969"/>
        <w:gridCol w:w="3969"/>
      </w:tblGrid>
      <w:tr w:rsidR="00E65183" w:rsidRPr="00C83BDF">
        <w:trPr>
          <w:trHeight w:val="502"/>
        </w:trPr>
        <w:tc>
          <w:tcPr>
            <w:tcW w:w="1951" w:type="dxa"/>
            <w:shd w:val="clear" w:color="auto" w:fill="auto"/>
          </w:tcPr>
          <w:p w:rsidR="00E65183" w:rsidRPr="00C83BDF" w:rsidRDefault="00A4528F" w:rsidP="00AD29FD">
            <w:pPr>
              <w:keepNext/>
              <w:rPr>
                <w:b/>
                <w:sz w:val="18"/>
                <w:lang w:val="es-ES_tradnl"/>
              </w:rPr>
            </w:pPr>
            <w:r w:rsidRPr="00C83BDF">
              <w:rPr>
                <w:b/>
                <w:sz w:val="18"/>
                <w:lang w:val="es-ES_tradnl"/>
              </w:rPr>
              <w:t>Resultados previstos</w:t>
            </w:r>
          </w:p>
        </w:tc>
        <w:tc>
          <w:tcPr>
            <w:tcW w:w="7938" w:type="dxa"/>
            <w:gridSpan w:val="2"/>
            <w:shd w:val="clear" w:color="auto" w:fill="auto"/>
          </w:tcPr>
          <w:p w:rsidR="00E65183" w:rsidRPr="00C83BDF" w:rsidRDefault="00A4528F" w:rsidP="006D2ED8">
            <w:pPr>
              <w:keepNext/>
              <w:spacing w:after="240"/>
              <w:rPr>
                <w:b/>
                <w:i/>
                <w:sz w:val="18"/>
                <w:szCs w:val="18"/>
                <w:lang w:val="es-ES_tradnl"/>
              </w:rPr>
            </w:pPr>
            <w:r w:rsidRPr="00C83BDF">
              <w:rPr>
                <w:b/>
                <w:sz w:val="18"/>
                <w:szCs w:val="18"/>
                <w:lang w:val="es-ES_tradnl"/>
              </w:rPr>
              <w:t>Resultados alcanzados:</w:t>
            </w:r>
            <w:r w:rsidR="00E65183" w:rsidRPr="00C83BDF">
              <w:rPr>
                <w:b/>
                <w:sz w:val="18"/>
                <w:szCs w:val="18"/>
                <w:lang w:val="es-ES_tradnl"/>
              </w:rPr>
              <w:t xml:space="preserve">  </w:t>
            </w:r>
            <w:r w:rsidRPr="00C83BDF">
              <w:rPr>
                <w:b/>
                <w:sz w:val="18"/>
                <w:szCs w:val="18"/>
                <w:lang w:val="es-ES_tradnl"/>
              </w:rPr>
              <w:t>indicadores de rendimiento</w:t>
            </w:r>
          </w:p>
        </w:tc>
      </w:tr>
      <w:tr w:rsidR="00E65183" w:rsidRPr="00C83BDF">
        <w:tc>
          <w:tcPr>
            <w:tcW w:w="1951" w:type="dxa"/>
            <w:vMerge w:val="restart"/>
            <w:shd w:val="clear" w:color="auto" w:fill="auto"/>
          </w:tcPr>
          <w:p w:rsidR="00E65183" w:rsidRPr="00C83BDF" w:rsidRDefault="00E65183" w:rsidP="0026557D">
            <w:pPr>
              <w:jc w:val="left"/>
              <w:rPr>
                <w:highlight w:val="yellow"/>
                <w:lang w:val="es-ES_tradnl"/>
              </w:rPr>
            </w:pPr>
            <w:r w:rsidRPr="0026557D">
              <w:rPr>
                <w:i/>
                <w:sz w:val="18"/>
                <w:lang w:val="es-ES_tradnl"/>
              </w:rPr>
              <w:t xml:space="preserve">3.  </w:t>
            </w:r>
            <w:r w:rsidR="00A4528F" w:rsidRPr="0026557D">
              <w:rPr>
                <w:i/>
                <w:sz w:val="18"/>
                <w:lang w:val="es-ES_tradnl"/>
              </w:rPr>
              <w:t xml:space="preserve">Cooperación en materia de examen de variedades vegetales para la obtención de derechos de obtentor </w:t>
            </w:r>
            <w:r w:rsidR="00A4528F" w:rsidRPr="0026557D">
              <w:rPr>
                <w:sz w:val="18"/>
                <w:lang w:val="es-ES_tradnl"/>
              </w:rPr>
              <w:t>(continuación)</w:t>
            </w:r>
          </w:p>
        </w:tc>
        <w:tc>
          <w:tcPr>
            <w:tcW w:w="7938" w:type="dxa"/>
            <w:gridSpan w:val="2"/>
            <w:shd w:val="clear" w:color="auto" w:fill="auto"/>
          </w:tcPr>
          <w:p w:rsidR="00E65183" w:rsidRPr="00C83BDF" w:rsidRDefault="00A4528F" w:rsidP="006D2ED8">
            <w:pPr>
              <w:pStyle w:val="Heading8"/>
              <w:rPr>
                <w:lang w:val="es-ES_tradnl"/>
              </w:rPr>
            </w:pPr>
            <w:bookmarkStart w:id="68" w:name="_Toc431824253"/>
            <w:r w:rsidRPr="00C83BDF">
              <w:rPr>
                <w:lang w:val="es-ES_tradnl"/>
              </w:rPr>
              <w:t>Base de datos PLUTO:</w:t>
            </w:r>
            <w:r w:rsidR="00D94EA2" w:rsidRPr="00C83BDF">
              <w:rPr>
                <w:lang w:val="es-ES_tradnl"/>
              </w:rPr>
              <w:t xml:space="preserve">  </w:t>
            </w:r>
            <w:r w:rsidRPr="00C83BDF">
              <w:rPr>
                <w:lang w:val="es-ES_tradnl"/>
              </w:rPr>
              <w:t>visitas al sitio web de la UPOV en 2014</w:t>
            </w:r>
            <w:bookmarkEnd w:id="68"/>
          </w:p>
        </w:tc>
      </w:tr>
      <w:tr w:rsidR="00E65183" w:rsidRPr="00C83BDF">
        <w:tc>
          <w:tcPr>
            <w:tcW w:w="1951" w:type="dxa"/>
            <w:vMerge/>
            <w:shd w:val="clear" w:color="auto" w:fill="auto"/>
          </w:tcPr>
          <w:p w:rsidR="00E65183" w:rsidRPr="00C83BDF" w:rsidRDefault="00E65183" w:rsidP="004737CD">
            <w:pPr>
              <w:pStyle w:val="Heading6"/>
              <w:rPr>
                <w:lang w:val="es-ES_tradnl"/>
              </w:rPr>
            </w:pPr>
          </w:p>
        </w:tc>
        <w:tc>
          <w:tcPr>
            <w:tcW w:w="3969" w:type="dxa"/>
            <w:shd w:val="clear" w:color="auto" w:fill="auto"/>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30"/>
              <w:gridCol w:w="992"/>
              <w:gridCol w:w="992"/>
            </w:tblGrid>
            <w:tr w:rsidR="00E65183" w:rsidRPr="00C83BDF">
              <w:tc>
                <w:tcPr>
                  <w:tcW w:w="1730" w:type="dxa"/>
                </w:tcPr>
                <w:p w:rsidR="00E65183" w:rsidRPr="00C83BDF" w:rsidRDefault="00E65183" w:rsidP="004737CD">
                  <w:pPr>
                    <w:pStyle w:val="Default"/>
                    <w:ind w:firstLine="6"/>
                    <w:rPr>
                      <w:color w:val="auto"/>
                      <w:sz w:val="18"/>
                      <w:szCs w:val="18"/>
                      <w:lang w:val="es-ES_tradnl"/>
                    </w:rPr>
                  </w:pPr>
                </w:p>
              </w:tc>
              <w:tc>
                <w:tcPr>
                  <w:tcW w:w="992" w:type="dxa"/>
                </w:tcPr>
                <w:p w:rsidR="00E65183" w:rsidRPr="00C83BDF" w:rsidRDefault="00E65183" w:rsidP="004737CD">
                  <w:pPr>
                    <w:pStyle w:val="Default"/>
                    <w:ind w:right="113"/>
                    <w:jc w:val="center"/>
                    <w:rPr>
                      <w:i/>
                      <w:color w:val="auto"/>
                      <w:sz w:val="18"/>
                      <w:szCs w:val="18"/>
                      <w:lang w:val="es-ES_tradnl"/>
                    </w:rPr>
                  </w:pPr>
                  <w:r w:rsidRPr="00C83BDF">
                    <w:rPr>
                      <w:i/>
                      <w:color w:val="auto"/>
                      <w:sz w:val="18"/>
                      <w:szCs w:val="18"/>
                      <w:lang w:val="es-ES_tradnl"/>
                    </w:rPr>
                    <w:t>2014</w:t>
                  </w:r>
                </w:p>
              </w:tc>
              <w:tc>
                <w:tcPr>
                  <w:tcW w:w="992" w:type="dxa"/>
                </w:tcPr>
                <w:p w:rsidR="00E65183" w:rsidRPr="00C83BDF" w:rsidRDefault="00E65183" w:rsidP="004737CD">
                  <w:pPr>
                    <w:pStyle w:val="Default"/>
                    <w:ind w:right="113"/>
                    <w:jc w:val="center"/>
                    <w:rPr>
                      <w:i/>
                      <w:color w:val="auto"/>
                      <w:sz w:val="18"/>
                      <w:szCs w:val="18"/>
                      <w:lang w:val="es-ES_tradnl"/>
                    </w:rPr>
                  </w:pPr>
                  <w:r w:rsidRPr="00C83BDF">
                    <w:rPr>
                      <w:i/>
                      <w:color w:val="auto"/>
                      <w:sz w:val="18"/>
                      <w:szCs w:val="18"/>
                      <w:lang w:val="es-ES_tradnl"/>
                    </w:rPr>
                    <w:t>2013</w:t>
                  </w:r>
                </w:p>
              </w:tc>
            </w:tr>
            <w:tr w:rsidR="00E65183" w:rsidRPr="00C83BDF">
              <w:tc>
                <w:tcPr>
                  <w:tcW w:w="1730" w:type="dxa"/>
                </w:tcPr>
                <w:p w:rsidR="00E65183" w:rsidRPr="00C83BDF" w:rsidRDefault="008B426B" w:rsidP="004737CD">
                  <w:pPr>
                    <w:pStyle w:val="Default"/>
                    <w:ind w:firstLine="6"/>
                    <w:rPr>
                      <w:color w:val="auto"/>
                      <w:sz w:val="18"/>
                      <w:szCs w:val="18"/>
                      <w:lang w:val="es-ES_tradnl"/>
                    </w:rPr>
                  </w:pPr>
                  <w:r w:rsidRPr="00C83BDF">
                    <w:rPr>
                      <w:color w:val="auto"/>
                      <w:sz w:val="18"/>
                      <w:szCs w:val="18"/>
                      <w:lang w:val="es-ES_tradnl"/>
                    </w:rPr>
                    <w:t>Sesiones</w:t>
                  </w:r>
                  <w:r w:rsidR="00E65183" w:rsidRPr="00C83BDF">
                    <w:rPr>
                      <w:color w:val="auto"/>
                      <w:sz w:val="18"/>
                      <w:szCs w:val="18"/>
                      <w:lang w:val="es-ES_tradnl"/>
                    </w:rPr>
                    <w:t xml:space="preserve"> </w:t>
                  </w:r>
                </w:p>
              </w:tc>
              <w:tc>
                <w:tcPr>
                  <w:tcW w:w="992" w:type="dxa"/>
                </w:tcPr>
                <w:p w:rsidR="00E65183" w:rsidRPr="00C83BDF" w:rsidRDefault="00E65183" w:rsidP="004737CD">
                  <w:pPr>
                    <w:pStyle w:val="Default"/>
                    <w:ind w:right="113"/>
                    <w:jc w:val="right"/>
                    <w:rPr>
                      <w:color w:val="auto"/>
                      <w:sz w:val="18"/>
                      <w:szCs w:val="18"/>
                      <w:lang w:val="es-ES_tradnl"/>
                    </w:rPr>
                  </w:pPr>
                  <w:r w:rsidRPr="00C83BDF">
                    <w:rPr>
                      <w:color w:val="auto"/>
                      <w:sz w:val="18"/>
                      <w:szCs w:val="18"/>
                      <w:lang w:val="es-ES_tradnl"/>
                    </w:rPr>
                    <w:t>4</w:t>
                  </w:r>
                  <w:r w:rsidR="00A4528F" w:rsidRPr="00C83BDF">
                    <w:rPr>
                      <w:color w:val="auto"/>
                      <w:sz w:val="18"/>
                      <w:szCs w:val="18"/>
                      <w:lang w:val="es-ES_tradnl"/>
                    </w:rPr>
                    <w:t>6.9</w:t>
                  </w:r>
                  <w:r w:rsidRPr="00C83BDF">
                    <w:rPr>
                      <w:color w:val="auto"/>
                      <w:sz w:val="18"/>
                      <w:szCs w:val="18"/>
                      <w:lang w:val="es-ES_tradnl"/>
                    </w:rPr>
                    <w:t>22</w:t>
                  </w:r>
                </w:p>
              </w:tc>
              <w:tc>
                <w:tcPr>
                  <w:tcW w:w="992" w:type="dxa"/>
                </w:tcPr>
                <w:p w:rsidR="00E65183" w:rsidRPr="00C83BDF" w:rsidRDefault="00E65183" w:rsidP="004737CD">
                  <w:pPr>
                    <w:pStyle w:val="Default"/>
                    <w:ind w:right="113"/>
                    <w:jc w:val="right"/>
                    <w:rPr>
                      <w:color w:val="auto"/>
                      <w:sz w:val="18"/>
                      <w:szCs w:val="18"/>
                      <w:lang w:val="es-ES_tradnl"/>
                    </w:rPr>
                  </w:pPr>
                  <w:r w:rsidRPr="00C83BDF">
                    <w:rPr>
                      <w:color w:val="auto"/>
                      <w:sz w:val="18"/>
                      <w:szCs w:val="18"/>
                      <w:lang w:val="es-ES_tradnl"/>
                    </w:rPr>
                    <w:t>4</w:t>
                  </w:r>
                  <w:r w:rsidR="00A4528F" w:rsidRPr="00C83BDF">
                    <w:rPr>
                      <w:color w:val="auto"/>
                      <w:sz w:val="18"/>
                      <w:szCs w:val="18"/>
                      <w:lang w:val="es-ES_tradnl"/>
                    </w:rPr>
                    <w:t>1.9</w:t>
                  </w:r>
                  <w:r w:rsidRPr="00C83BDF">
                    <w:rPr>
                      <w:color w:val="auto"/>
                      <w:sz w:val="18"/>
                      <w:szCs w:val="18"/>
                      <w:lang w:val="es-ES_tradnl"/>
                    </w:rPr>
                    <w:t>57</w:t>
                  </w:r>
                </w:p>
              </w:tc>
            </w:tr>
            <w:tr w:rsidR="00E65183" w:rsidRPr="00C83BDF">
              <w:tc>
                <w:tcPr>
                  <w:tcW w:w="1730" w:type="dxa"/>
                </w:tcPr>
                <w:p w:rsidR="00E65183" w:rsidRPr="00C83BDF" w:rsidRDefault="008B426B" w:rsidP="004737CD">
                  <w:pPr>
                    <w:pStyle w:val="Default"/>
                    <w:ind w:firstLine="6"/>
                    <w:rPr>
                      <w:color w:val="auto"/>
                      <w:sz w:val="18"/>
                      <w:szCs w:val="18"/>
                      <w:lang w:val="es-ES_tradnl"/>
                    </w:rPr>
                  </w:pPr>
                  <w:r w:rsidRPr="00C83BDF">
                    <w:rPr>
                      <w:color w:val="auto"/>
                      <w:sz w:val="18"/>
                      <w:szCs w:val="18"/>
                      <w:lang w:val="es-ES_tradnl"/>
                    </w:rPr>
                    <w:t>Usuarios</w:t>
                  </w:r>
                  <w:r w:rsidR="00E65183" w:rsidRPr="00C83BDF">
                    <w:rPr>
                      <w:color w:val="auto"/>
                      <w:sz w:val="18"/>
                      <w:szCs w:val="18"/>
                      <w:lang w:val="es-ES_tradnl"/>
                    </w:rPr>
                    <w:t xml:space="preserve"> </w:t>
                  </w:r>
                </w:p>
              </w:tc>
              <w:tc>
                <w:tcPr>
                  <w:tcW w:w="992" w:type="dxa"/>
                </w:tcPr>
                <w:p w:rsidR="00E65183" w:rsidRPr="00C83BDF" w:rsidRDefault="00E65183" w:rsidP="004737CD">
                  <w:pPr>
                    <w:pStyle w:val="Default"/>
                    <w:ind w:right="113"/>
                    <w:jc w:val="right"/>
                    <w:rPr>
                      <w:color w:val="auto"/>
                      <w:sz w:val="18"/>
                      <w:szCs w:val="18"/>
                      <w:lang w:val="es-ES_tradnl"/>
                    </w:rPr>
                  </w:pPr>
                  <w:r w:rsidRPr="00C83BDF">
                    <w:rPr>
                      <w:color w:val="auto"/>
                      <w:sz w:val="18"/>
                      <w:szCs w:val="18"/>
                      <w:lang w:val="es-ES_tradnl"/>
                    </w:rPr>
                    <w:t>1</w:t>
                  </w:r>
                  <w:r w:rsidR="00A4528F" w:rsidRPr="00C83BDF">
                    <w:rPr>
                      <w:color w:val="auto"/>
                      <w:sz w:val="18"/>
                      <w:szCs w:val="18"/>
                      <w:lang w:val="es-ES_tradnl"/>
                    </w:rPr>
                    <w:t>3.8</w:t>
                  </w:r>
                  <w:r w:rsidRPr="00C83BDF">
                    <w:rPr>
                      <w:color w:val="auto"/>
                      <w:sz w:val="18"/>
                      <w:szCs w:val="18"/>
                      <w:lang w:val="es-ES_tradnl"/>
                    </w:rPr>
                    <w:t>34</w:t>
                  </w:r>
                </w:p>
              </w:tc>
              <w:tc>
                <w:tcPr>
                  <w:tcW w:w="992" w:type="dxa"/>
                </w:tcPr>
                <w:p w:rsidR="00E65183" w:rsidRPr="00C83BDF" w:rsidRDefault="00E65183" w:rsidP="004737CD">
                  <w:pPr>
                    <w:pStyle w:val="Default"/>
                    <w:ind w:right="113"/>
                    <w:jc w:val="right"/>
                    <w:rPr>
                      <w:color w:val="auto"/>
                      <w:sz w:val="18"/>
                      <w:szCs w:val="18"/>
                      <w:lang w:val="es-ES_tradnl"/>
                    </w:rPr>
                  </w:pPr>
                  <w:r w:rsidRPr="00C83BDF">
                    <w:rPr>
                      <w:color w:val="auto"/>
                      <w:sz w:val="18"/>
                      <w:szCs w:val="18"/>
                      <w:lang w:val="es-ES_tradnl"/>
                    </w:rPr>
                    <w:t>1</w:t>
                  </w:r>
                  <w:r w:rsidR="00A4528F" w:rsidRPr="00C83BDF">
                    <w:rPr>
                      <w:color w:val="auto"/>
                      <w:sz w:val="18"/>
                      <w:szCs w:val="18"/>
                      <w:lang w:val="es-ES_tradnl"/>
                    </w:rPr>
                    <w:t>2.1</w:t>
                  </w:r>
                  <w:r w:rsidRPr="00C83BDF">
                    <w:rPr>
                      <w:color w:val="auto"/>
                      <w:sz w:val="18"/>
                      <w:szCs w:val="18"/>
                      <w:lang w:val="es-ES_tradnl"/>
                    </w:rPr>
                    <w:t>45</w:t>
                  </w:r>
                </w:p>
              </w:tc>
            </w:tr>
            <w:tr w:rsidR="00E65183" w:rsidRPr="00C83BDF">
              <w:tc>
                <w:tcPr>
                  <w:tcW w:w="1730" w:type="dxa"/>
                </w:tcPr>
                <w:p w:rsidR="00E65183" w:rsidRPr="00C83BDF" w:rsidRDefault="008B426B" w:rsidP="004737CD">
                  <w:pPr>
                    <w:pStyle w:val="Default"/>
                    <w:ind w:left="204" w:hanging="198"/>
                    <w:rPr>
                      <w:color w:val="auto"/>
                      <w:sz w:val="18"/>
                      <w:szCs w:val="18"/>
                      <w:lang w:val="es-ES_tradnl"/>
                    </w:rPr>
                  </w:pPr>
                  <w:r w:rsidRPr="00C83BDF">
                    <w:rPr>
                      <w:color w:val="auto"/>
                      <w:sz w:val="18"/>
                      <w:szCs w:val="18"/>
                      <w:lang w:val="es-ES_tradnl"/>
                    </w:rPr>
                    <w:t>Páginas vistas</w:t>
                  </w:r>
                  <w:r w:rsidR="00E65183" w:rsidRPr="00C83BDF">
                    <w:rPr>
                      <w:color w:val="auto"/>
                      <w:sz w:val="18"/>
                      <w:szCs w:val="18"/>
                      <w:lang w:val="es-ES_tradnl"/>
                    </w:rPr>
                    <w:t xml:space="preserve"> </w:t>
                  </w:r>
                </w:p>
              </w:tc>
              <w:tc>
                <w:tcPr>
                  <w:tcW w:w="992" w:type="dxa"/>
                </w:tcPr>
                <w:p w:rsidR="00E65183" w:rsidRPr="00C83BDF" w:rsidRDefault="00E65183" w:rsidP="004737CD">
                  <w:pPr>
                    <w:pStyle w:val="Default"/>
                    <w:ind w:right="113"/>
                    <w:jc w:val="right"/>
                    <w:rPr>
                      <w:color w:val="auto"/>
                      <w:sz w:val="18"/>
                      <w:szCs w:val="18"/>
                      <w:lang w:val="es-ES_tradnl"/>
                    </w:rPr>
                  </w:pPr>
                  <w:r w:rsidRPr="00C83BDF">
                    <w:rPr>
                      <w:color w:val="auto"/>
                      <w:sz w:val="18"/>
                      <w:szCs w:val="18"/>
                      <w:lang w:val="es-ES_tradnl"/>
                    </w:rPr>
                    <w:t>7</w:t>
                  </w:r>
                  <w:r w:rsidR="00A4528F" w:rsidRPr="00C83BDF">
                    <w:rPr>
                      <w:color w:val="auto"/>
                      <w:sz w:val="18"/>
                      <w:szCs w:val="18"/>
                      <w:lang w:val="es-ES_tradnl"/>
                    </w:rPr>
                    <w:t>4.2</w:t>
                  </w:r>
                  <w:r w:rsidRPr="00C83BDF">
                    <w:rPr>
                      <w:color w:val="auto"/>
                      <w:sz w:val="18"/>
                      <w:szCs w:val="18"/>
                      <w:lang w:val="es-ES_tradnl"/>
                    </w:rPr>
                    <w:t>26</w:t>
                  </w:r>
                </w:p>
              </w:tc>
              <w:tc>
                <w:tcPr>
                  <w:tcW w:w="992" w:type="dxa"/>
                </w:tcPr>
                <w:p w:rsidR="00E65183" w:rsidRPr="00C83BDF" w:rsidRDefault="00E65183" w:rsidP="004737CD">
                  <w:pPr>
                    <w:pStyle w:val="Default"/>
                    <w:ind w:right="113"/>
                    <w:jc w:val="right"/>
                    <w:rPr>
                      <w:color w:val="auto"/>
                      <w:sz w:val="18"/>
                      <w:szCs w:val="18"/>
                      <w:lang w:val="es-ES_tradnl"/>
                    </w:rPr>
                  </w:pPr>
                  <w:r w:rsidRPr="00C83BDF">
                    <w:rPr>
                      <w:color w:val="auto"/>
                      <w:sz w:val="18"/>
                      <w:szCs w:val="18"/>
                      <w:lang w:val="es-ES_tradnl"/>
                    </w:rPr>
                    <w:t>7</w:t>
                  </w:r>
                  <w:r w:rsidR="00A4528F" w:rsidRPr="00C83BDF">
                    <w:rPr>
                      <w:color w:val="auto"/>
                      <w:sz w:val="18"/>
                      <w:szCs w:val="18"/>
                      <w:lang w:val="es-ES_tradnl"/>
                    </w:rPr>
                    <w:t>0.7</w:t>
                  </w:r>
                  <w:r w:rsidRPr="00C83BDF">
                    <w:rPr>
                      <w:color w:val="auto"/>
                      <w:sz w:val="18"/>
                      <w:szCs w:val="18"/>
                      <w:lang w:val="es-ES_tradnl"/>
                    </w:rPr>
                    <w:t>39</w:t>
                  </w:r>
                </w:p>
              </w:tc>
            </w:tr>
            <w:tr w:rsidR="00E65183" w:rsidRPr="00C83BDF">
              <w:tc>
                <w:tcPr>
                  <w:tcW w:w="1730" w:type="dxa"/>
                </w:tcPr>
                <w:p w:rsidR="00E65183" w:rsidRPr="00C83BDF" w:rsidRDefault="008B426B" w:rsidP="004737CD">
                  <w:pPr>
                    <w:pStyle w:val="Default"/>
                    <w:ind w:firstLine="6"/>
                    <w:rPr>
                      <w:color w:val="auto"/>
                      <w:sz w:val="18"/>
                      <w:szCs w:val="18"/>
                      <w:lang w:val="es-ES_tradnl"/>
                    </w:rPr>
                  </w:pPr>
                  <w:r w:rsidRPr="00C83BDF">
                    <w:rPr>
                      <w:color w:val="auto"/>
                      <w:sz w:val="18"/>
                      <w:szCs w:val="18"/>
                      <w:lang w:val="es-ES_tradnl"/>
                    </w:rPr>
                    <w:t>Visitas nuevas</w:t>
                  </w:r>
                  <w:r w:rsidR="00E65183" w:rsidRPr="00C83BDF">
                    <w:rPr>
                      <w:color w:val="auto"/>
                      <w:sz w:val="18"/>
                      <w:szCs w:val="18"/>
                      <w:lang w:val="es-ES_tradnl"/>
                    </w:rPr>
                    <w:t xml:space="preserve"> </w:t>
                  </w:r>
                </w:p>
              </w:tc>
              <w:tc>
                <w:tcPr>
                  <w:tcW w:w="992" w:type="dxa"/>
                </w:tcPr>
                <w:p w:rsidR="00E65183" w:rsidRPr="00C83BDF" w:rsidRDefault="00E65183" w:rsidP="004737CD">
                  <w:pPr>
                    <w:pStyle w:val="Default"/>
                    <w:ind w:right="113"/>
                    <w:jc w:val="right"/>
                    <w:rPr>
                      <w:color w:val="auto"/>
                      <w:sz w:val="18"/>
                      <w:szCs w:val="18"/>
                      <w:lang w:val="es-ES_tradnl"/>
                    </w:rPr>
                  </w:pPr>
                  <w:r w:rsidRPr="00C83BDF">
                    <w:rPr>
                      <w:color w:val="auto"/>
                      <w:sz w:val="18"/>
                      <w:szCs w:val="18"/>
                      <w:lang w:val="es-ES_tradnl"/>
                    </w:rPr>
                    <w:t>27</w:t>
                  </w:r>
                  <w:r w:rsidR="00A4528F" w:rsidRPr="00C83BDF">
                    <w:rPr>
                      <w:color w:val="auto"/>
                      <w:sz w:val="18"/>
                      <w:szCs w:val="18"/>
                      <w:lang w:val="es-ES_tradnl"/>
                    </w:rPr>
                    <w:t>,</w:t>
                  </w:r>
                  <w:r w:rsidRPr="00C83BDF">
                    <w:rPr>
                      <w:color w:val="auto"/>
                      <w:sz w:val="18"/>
                      <w:szCs w:val="18"/>
                      <w:lang w:val="es-ES_tradnl"/>
                    </w:rPr>
                    <w:t>7%</w:t>
                  </w:r>
                </w:p>
              </w:tc>
              <w:tc>
                <w:tcPr>
                  <w:tcW w:w="992" w:type="dxa"/>
                </w:tcPr>
                <w:p w:rsidR="00E65183" w:rsidRPr="00C83BDF" w:rsidRDefault="00E65183" w:rsidP="004737CD">
                  <w:pPr>
                    <w:pStyle w:val="Default"/>
                    <w:ind w:right="113"/>
                    <w:jc w:val="right"/>
                    <w:rPr>
                      <w:color w:val="auto"/>
                      <w:sz w:val="18"/>
                      <w:szCs w:val="18"/>
                      <w:lang w:val="es-ES_tradnl"/>
                    </w:rPr>
                  </w:pPr>
                  <w:r w:rsidRPr="00C83BDF">
                    <w:rPr>
                      <w:color w:val="auto"/>
                      <w:sz w:val="18"/>
                      <w:szCs w:val="18"/>
                      <w:lang w:val="es-ES_tradnl"/>
                    </w:rPr>
                    <w:t>27</w:t>
                  </w:r>
                  <w:r w:rsidR="00A4528F" w:rsidRPr="00C83BDF">
                    <w:rPr>
                      <w:color w:val="auto"/>
                      <w:sz w:val="18"/>
                      <w:szCs w:val="18"/>
                      <w:lang w:val="es-ES_tradnl"/>
                    </w:rPr>
                    <w:t>,</w:t>
                  </w:r>
                  <w:r w:rsidRPr="00C83BDF">
                    <w:rPr>
                      <w:color w:val="auto"/>
                      <w:sz w:val="18"/>
                      <w:szCs w:val="18"/>
                      <w:lang w:val="es-ES_tradnl"/>
                    </w:rPr>
                    <w:t>4%</w:t>
                  </w:r>
                </w:p>
              </w:tc>
            </w:tr>
            <w:tr w:rsidR="00E65183" w:rsidRPr="00C83BDF">
              <w:tc>
                <w:tcPr>
                  <w:tcW w:w="1730" w:type="dxa"/>
                </w:tcPr>
                <w:p w:rsidR="00E65183" w:rsidRPr="00C83BDF" w:rsidRDefault="008B426B" w:rsidP="004737CD">
                  <w:pPr>
                    <w:ind w:firstLine="6"/>
                    <w:jc w:val="left"/>
                    <w:rPr>
                      <w:sz w:val="18"/>
                      <w:szCs w:val="18"/>
                      <w:lang w:val="es-ES_tradnl"/>
                    </w:rPr>
                  </w:pPr>
                  <w:r w:rsidRPr="00C83BDF">
                    <w:rPr>
                      <w:sz w:val="18"/>
                      <w:szCs w:val="18"/>
                      <w:lang w:val="es-ES_tradnl"/>
                    </w:rPr>
                    <w:t>Visitas recurrentes</w:t>
                  </w:r>
                  <w:r w:rsidR="00E65183" w:rsidRPr="00C83BDF">
                    <w:rPr>
                      <w:sz w:val="18"/>
                      <w:szCs w:val="18"/>
                      <w:lang w:val="es-ES_tradnl"/>
                    </w:rPr>
                    <w:t xml:space="preserve"> </w:t>
                  </w:r>
                </w:p>
              </w:tc>
              <w:tc>
                <w:tcPr>
                  <w:tcW w:w="992" w:type="dxa"/>
                </w:tcPr>
                <w:p w:rsidR="00E65183" w:rsidRPr="00C83BDF" w:rsidRDefault="00E65183" w:rsidP="004737CD">
                  <w:pPr>
                    <w:ind w:right="113"/>
                    <w:jc w:val="right"/>
                    <w:rPr>
                      <w:sz w:val="18"/>
                      <w:szCs w:val="18"/>
                      <w:lang w:val="es-ES_tradnl"/>
                    </w:rPr>
                  </w:pPr>
                  <w:r w:rsidRPr="00C83BDF">
                    <w:rPr>
                      <w:sz w:val="18"/>
                      <w:szCs w:val="18"/>
                      <w:lang w:val="es-ES_tradnl"/>
                    </w:rPr>
                    <w:t>72</w:t>
                  </w:r>
                  <w:r w:rsidR="00A4528F" w:rsidRPr="00C83BDF">
                    <w:rPr>
                      <w:sz w:val="18"/>
                      <w:szCs w:val="18"/>
                      <w:lang w:val="es-ES_tradnl"/>
                    </w:rPr>
                    <w:t>,</w:t>
                  </w:r>
                  <w:r w:rsidRPr="00C83BDF">
                    <w:rPr>
                      <w:sz w:val="18"/>
                      <w:szCs w:val="18"/>
                      <w:lang w:val="es-ES_tradnl"/>
                    </w:rPr>
                    <w:t>3%</w:t>
                  </w:r>
                </w:p>
              </w:tc>
              <w:tc>
                <w:tcPr>
                  <w:tcW w:w="992" w:type="dxa"/>
                </w:tcPr>
                <w:p w:rsidR="00E65183" w:rsidRPr="00C83BDF" w:rsidRDefault="00E65183" w:rsidP="004737CD">
                  <w:pPr>
                    <w:ind w:right="113"/>
                    <w:jc w:val="right"/>
                    <w:rPr>
                      <w:sz w:val="18"/>
                      <w:szCs w:val="18"/>
                      <w:lang w:val="es-ES_tradnl"/>
                    </w:rPr>
                  </w:pPr>
                  <w:r w:rsidRPr="00C83BDF">
                    <w:rPr>
                      <w:sz w:val="18"/>
                      <w:szCs w:val="18"/>
                      <w:lang w:val="es-ES_tradnl"/>
                    </w:rPr>
                    <w:t>72</w:t>
                  </w:r>
                  <w:r w:rsidR="00A4528F" w:rsidRPr="00C83BDF">
                    <w:rPr>
                      <w:sz w:val="18"/>
                      <w:szCs w:val="18"/>
                      <w:lang w:val="es-ES_tradnl"/>
                    </w:rPr>
                    <w:t>,</w:t>
                  </w:r>
                  <w:r w:rsidRPr="00C83BDF">
                    <w:rPr>
                      <w:sz w:val="18"/>
                      <w:szCs w:val="18"/>
                      <w:lang w:val="es-ES_tradnl"/>
                    </w:rPr>
                    <w:t>6%</w:t>
                  </w:r>
                </w:p>
              </w:tc>
            </w:tr>
          </w:tbl>
          <w:p w:rsidR="00E65183" w:rsidRPr="00C83BDF" w:rsidRDefault="00E65183" w:rsidP="004737CD">
            <w:pPr>
              <w:keepNext/>
              <w:ind w:firstLine="658"/>
              <w:rPr>
                <w:noProof/>
                <w:highlight w:val="yellow"/>
                <w:lang w:val="es-ES_tradnl"/>
              </w:rPr>
            </w:pPr>
          </w:p>
        </w:tc>
        <w:tc>
          <w:tcPr>
            <w:tcW w:w="3969" w:type="dxa"/>
            <w:shd w:val="clear" w:color="auto" w:fill="auto"/>
          </w:tcPr>
          <w:tbl>
            <w:tblPr>
              <w:tblW w:w="3402" w:type="dxa"/>
              <w:tblInd w:w="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34"/>
              <w:gridCol w:w="992"/>
              <w:gridCol w:w="1276"/>
            </w:tblGrid>
            <w:tr w:rsidR="00E65183" w:rsidRPr="00C83BDF">
              <w:tc>
                <w:tcPr>
                  <w:tcW w:w="1134" w:type="dxa"/>
                </w:tcPr>
                <w:p w:rsidR="00E65183" w:rsidRPr="00C83BDF" w:rsidRDefault="008B426B" w:rsidP="004737CD">
                  <w:pPr>
                    <w:autoSpaceDE w:val="0"/>
                    <w:autoSpaceDN w:val="0"/>
                    <w:adjustRightInd w:val="0"/>
                    <w:jc w:val="left"/>
                    <w:rPr>
                      <w:rFonts w:cs="Arial"/>
                      <w:color w:val="000000"/>
                      <w:sz w:val="18"/>
                      <w:szCs w:val="22"/>
                      <w:lang w:val="es-ES_tradnl"/>
                    </w:rPr>
                  </w:pPr>
                  <w:r w:rsidRPr="00C83BDF">
                    <w:rPr>
                      <w:rFonts w:cs="Arial"/>
                      <w:bCs/>
                      <w:sz w:val="18"/>
                      <w:szCs w:val="22"/>
                      <w:lang w:val="es-ES_tradnl"/>
                    </w:rPr>
                    <w:t>Idioma</w:t>
                  </w:r>
                </w:p>
              </w:tc>
              <w:tc>
                <w:tcPr>
                  <w:tcW w:w="992" w:type="dxa"/>
                </w:tcPr>
                <w:p w:rsidR="00E65183" w:rsidRPr="00C83BDF" w:rsidRDefault="008B426B" w:rsidP="004737CD">
                  <w:pPr>
                    <w:autoSpaceDE w:val="0"/>
                    <w:autoSpaceDN w:val="0"/>
                    <w:adjustRightInd w:val="0"/>
                    <w:jc w:val="center"/>
                    <w:rPr>
                      <w:rFonts w:cs="Arial"/>
                      <w:color w:val="000000"/>
                      <w:sz w:val="18"/>
                      <w:szCs w:val="22"/>
                      <w:lang w:val="es-ES_tradnl"/>
                    </w:rPr>
                  </w:pPr>
                  <w:r w:rsidRPr="00C83BDF">
                    <w:rPr>
                      <w:rFonts w:cs="Arial"/>
                      <w:bCs/>
                      <w:sz w:val="18"/>
                      <w:szCs w:val="22"/>
                      <w:lang w:val="es-ES_tradnl"/>
                    </w:rPr>
                    <w:t>Páginas vistas</w:t>
                  </w:r>
                  <w:r w:rsidR="00E65183" w:rsidRPr="00C83BDF">
                    <w:rPr>
                      <w:rFonts w:cs="Arial"/>
                      <w:bCs/>
                      <w:color w:val="000000"/>
                      <w:sz w:val="18"/>
                      <w:szCs w:val="22"/>
                      <w:lang w:val="es-ES_tradnl"/>
                    </w:rPr>
                    <w:t xml:space="preserve"> </w:t>
                  </w:r>
                </w:p>
              </w:tc>
              <w:tc>
                <w:tcPr>
                  <w:tcW w:w="1276" w:type="dxa"/>
                </w:tcPr>
                <w:p w:rsidR="00E65183" w:rsidRPr="00C83BDF" w:rsidRDefault="008B426B" w:rsidP="004737CD">
                  <w:pPr>
                    <w:autoSpaceDE w:val="0"/>
                    <w:autoSpaceDN w:val="0"/>
                    <w:adjustRightInd w:val="0"/>
                    <w:jc w:val="center"/>
                    <w:rPr>
                      <w:rFonts w:cs="Arial"/>
                      <w:color w:val="000000"/>
                      <w:sz w:val="18"/>
                      <w:szCs w:val="22"/>
                      <w:lang w:val="es-ES_tradnl"/>
                    </w:rPr>
                  </w:pPr>
                  <w:r w:rsidRPr="00C83BDF">
                    <w:rPr>
                      <w:rFonts w:cs="Arial"/>
                      <w:bCs/>
                      <w:sz w:val="18"/>
                      <w:szCs w:val="22"/>
                      <w:lang w:val="es-ES_tradnl"/>
                    </w:rPr>
                    <w:t>Páginas vistas únicas</w:t>
                  </w:r>
                </w:p>
              </w:tc>
            </w:tr>
            <w:tr w:rsidR="00E65183" w:rsidRPr="00C83BDF">
              <w:tc>
                <w:tcPr>
                  <w:tcW w:w="1134" w:type="dxa"/>
                </w:tcPr>
                <w:p w:rsidR="00E65183" w:rsidRPr="00C83BDF" w:rsidRDefault="008B426B" w:rsidP="004737CD">
                  <w:pPr>
                    <w:autoSpaceDE w:val="0"/>
                    <w:autoSpaceDN w:val="0"/>
                    <w:adjustRightInd w:val="0"/>
                    <w:jc w:val="left"/>
                    <w:rPr>
                      <w:rFonts w:cs="Arial"/>
                      <w:color w:val="000000"/>
                      <w:sz w:val="18"/>
                      <w:szCs w:val="22"/>
                      <w:lang w:val="es-ES_tradnl"/>
                    </w:rPr>
                  </w:pPr>
                  <w:r w:rsidRPr="00C83BDF">
                    <w:rPr>
                      <w:rFonts w:cs="Arial"/>
                      <w:sz w:val="18"/>
                      <w:szCs w:val="22"/>
                      <w:lang w:val="es-ES_tradnl"/>
                    </w:rPr>
                    <w:t>Inglés</w:t>
                  </w:r>
                  <w:r w:rsidR="00E65183" w:rsidRPr="00C83BDF">
                    <w:rPr>
                      <w:rFonts w:cs="Arial"/>
                      <w:color w:val="000000"/>
                      <w:sz w:val="18"/>
                      <w:szCs w:val="22"/>
                      <w:lang w:val="es-ES_tradnl"/>
                    </w:rPr>
                    <w:t xml:space="preserve"> </w:t>
                  </w:r>
                </w:p>
              </w:tc>
              <w:tc>
                <w:tcPr>
                  <w:tcW w:w="992" w:type="dxa"/>
                </w:tcPr>
                <w:p w:rsidR="00E65183" w:rsidRPr="00C83BDF" w:rsidRDefault="00E65183" w:rsidP="00F64FBE">
                  <w:pPr>
                    <w:pStyle w:val="Default"/>
                    <w:ind w:right="57"/>
                    <w:jc w:val="right"/>
                    <w:rPr>
                      <w:sz w:val="18"/>
                      <w:szCs w:val="18"/>
                      <w:lang w:val="es-ES_tradnl"/>
                    </w:rPr>
                  </w:pPr>
                  <w:r w:rsidRPr="00C83BDF">
                    <w:rPr>
                      <w:sz w:val="18"/>
                      <w:szCs w:val="18"/>
                      <w:lang w:val="es-ES_tradnl"/>
                    </w:rPr>
                    <w:t>6</w:t>
                  </w:r>
                  <w:r w:rsidR="00A4528F" w:rsidRPr="00C83BDF">
                    <w:rPr>
                      <w:sz w:val="18"/>
                      <w:szCs w:val="18"/>
                      <w:lang w:val="es-ES_tradnl"/>
                    </w:rPr>
                    <w:t>3.4</w:t>
                  </w:r>
                  <w:r w:rsidRPr="00C83BDF">
                    <w:rPr>
                      <w:sz w:val="18"/>
                      <w:szCs w:val="18"/>
                      <w:lang w:val="es-ES_tradnl"/>
                    </w:rPr>
                    <w:t>25</w:t>
                  </w:r>
                </w:p>
              </w:tc>
              <w:tc>
                <w:tcPr>
                  <w:tcW w:w="1276" w:type="dxa"/>
                </w:tcPr>
                <w:p w:rsidR="00E65183" w:rsidRPr="00C83BDF" w:rsidRDefault="00E65183" w:rsidP="00F64FBE">
                  <w:pPr>
                    <w:pStyle w:val="Default"/>
                    <w:ind w:right="57"/>
                    <w:jc w:val="right"/>
                    <w:rPr>
                      <w:sz w:val="18"/>
                      <w:szCs w:val="18"/>
                      <w:lang w:val="es-ES_tradnl"/>
                    </w:rPr>
                  </w:pPr>
                  <w:r w:rsidRPr="00C83BDF">
                    <w:rPr>
                      <w:sz w:val="18"/>
                      <w:szCs w:val="18"/>
                      <w:lang w:val="es-ES_tradnl"/>
                    </w:rPr>
                    <w:t>4</w:t>
                  </w:r>
                  <w:r w:rsidR="00A4528F" w:rsidRPr="00C83BDF">
                    <w:rPr>
                      <w:sz w:val="18"/>
                      <w:szCs w:val="18"/>
                      <w:lang w:val="es-ES_tradnl"/>
                    </w:rPr>
                    <w:t>3.0</w:t>
                  </w:r>
                  <w:r w:rsidRPr="00C83BDF">
                    <w:rPr>
                      <w:sz w:val="18"/>
                      <w:szCs w:val="18"/>
                      <w:lang w:val="es-ES_tradnl"/>
                    </w:rPr>
                    <w:t>80</w:t>
                  </w:r>
                </w:p>
              </w:tc>
            </w:tr>
            <w:tr w:rsidR="00E65183" w:rsidRPr="00C83BDF">
              <w:tc>
                <w:tcPr>
                  <w:tcW w:w="1134" w:type="dxa"/>
                </w:tcPr>
                <w:p w:rsidR="00E65183" w:rsidRPr="00C83BDF" w:rsidRDefault="008B426B" w:rsidP="004737CD">
                  <w:pPr>
                    <w:autoSpaceDE w:val="0"/>
                    <w:autoSpaceDN w:val="0"/>
                    <w:adjustRightInd w:val="0"/>
                    <w:jc w:val="left"/>
                    <w:rPr>
                      <w:rFonts w:cs="Arial"/>
                      <w:color w:val="000000"/>
                      <w:sz w:val="18"/>
                      <w:szCs w:val="22"/>
                      <w:lang w:val="es-ES_tradnl"/>
                    </w:rPr>
                  </w:pPr>
                  <w:r w:rsidRPr="00C83BDF">
                    <w:rPr>
                      <w:rFonts w:cs="Arial"/>
                      <w:sz w:val="18"/>
                      <w:szCs w:val="22"/>
                      <w:lang w:val="es-ES_tradnl"/>
                    </w:rPr>
                    <w:t>Español</w:t>
                  </w:r>
                  <w:r w:rsidR="00E65183" w:rsidRPr="00C83BDF">
                    <w:rPr>
                      <w:rFonts w:cs="Arial"/>
                      <w:color w:val="000000"/>
                      <w:sz w:val="18"/>
                      <w:szCs w:val="22"/>
                      <w:lang w:val="es-ES_tradnl"/>
                    </w:rPr>
                    <w:t xml:space="preserve"> </w:t>
                  </w:r>
                </w:p>
              </w:tc>
              <w:tc>
                <w:tcPr>
                  <w:tcW w:w="992" w:type="dxa"/>
                </w:tcPr>
                <w:p w:rsidR="00E65183" w:rsidRPr="00C83BDF" w:rsidRDefault="00A4528F" w:rsidP="00F64FBE">
                  <w:pPr>
                    <w:pStyle w:val="Default"/>
                    <w:ind w:right="57"/>
                    <w:jc w:val="right"/>
                    <w:rPr>
                      <w:sz w:val="18"/>
                      <w:szCs w:val="18"/>
                      <w:lang w:val="es-ES_tradnl"/>
                    </w:rPr>
                  </w:pPr>
                  <w:r w:rsidRPr="00C83BDF">
                    <w:rPr>
                      <w:sz w:val="18"/>
                      <w:szCs w:val="18"/>
                      <w:lang w:val="es-ES_tradnl"/>
                    </w:rPr>
                    <w:t>4.8</w:t>
                  </w:r>
                  <w:r w:rsidR="00E65183" w:rsidRPr="00C83BDF">
                    <w:rPr>
                      <w:sz w:val="18"/>
                      <w:szCs w:val="18"/>
                      <w:lang w:val="es-ES_tradnl"/>
                    </w:rPr>
                    <w:t>88</w:t>
                  </w:r>
                </w:p>
              </w:tc>
              <w:tc>
                <w:tcPr>
                  <w:tcW w:w="1276" w:type="dxa"/>
                </w:tcPr>
                <w:p w:rsidR="00E65183" w:rsidRPr="00C83BDF" w:rsidRDefault="00A4528F" w:rsidP="00F64FBE">
                  <w:pPr>
                    <w:pStyle w:val="Default"/>
                    <w:ind w:right="57"/>
                    <w:jc w:val="right"/>
                    <w:rPr>
                      <w:sz w:val="18"/>
                      <w:szCs w:val="18"/>
                      <w:lang w:val="es-ES_tradnl"/>
                    </w:rPr>
                  </w:pPr>
                  <w:r w:rsidRPr="00C83BDF">
                    <w:rPr>
                      <w:sz w:val="18"/>
                      <w:szCs w:val="18"/>
                      <w:lang w:val="es-ES_tradnl"/>
                    </w:rPr>
                    <w:t>2.9</w:t>
                  </w:r>
                  <w:r w:rsidR="00E65183" w:rsidRPr="00C83BDF">
                    <w:rPr>
                      <w:sz w:val="18"/>
                      <w:szCs w:val="18"/>
                      <w:lang w:val="es-ES_tradnl"/>
                    </w:rPr>
                    <w:t>71</w:t>
                  </w:r>
                </w:p>
              </w:tc>
            </w:tr>
            <w:tr w:rsidR="00E65183" w:rsidRPr="00C83BDF">
              <w:tc>
                <w:tcPr>
                  <w:tcW w:w="1134" w:type="dxa"/>
                </w:tcPr>
                <w:p w:rsidR="00E65183" w:rsidRPr="00C83BDF" w:rsidRDefault="008B426B" w:rsidP="004737CD">
                  <w:pPr>
                    <w:autoSpaceDE w:val="0"/>
                    <w:autoSpaceDN w:val="0"/>
                    <w:adjustRightInd w:val="0"/>
                    <w:jc w:val="left"/>
                    <w:rPr>
                      <w:rFonts w:cs="Arial"/>
                      <w:color w:val="000000"/>
                      <w:sz w:val="18"/>
                      <w:szCs w:val="22"/>
                      <w:lang w:val="es-ES_tradnl"/>
                    </w:rPr>
                  </w:pPr>
                  <w:r w:rsidRPr="00C83BDF">
                    <w:rPr>
                      <w:rFonts w:cs="Arial"/>
                      <w:sz w:val="18"/>
                      <w:szCs w:val="22"/>
                      <w:lang w:val="es-ES_tradnl"/>
                    </w:rPr>
                    <w:t>Francés</w:t>
                  </w:r>
                  <w:r w:rsidR="00E65183" w:rsidRPr="00C83BDF">
                    <w:rPr>
                      <w:rFonts w:cs="Arial"/>
                      <w:color w:val="000000"/>
                      <w:sz w:val="18"/>
                      <w:szCs w:val="22"/>
                      <w:lang w:val="es-ES_tradnl"/>
                    </w:rPr>
                    <w:t xml:space="preserve"> </w:t>
                  </w:r>
                </w:p>
              </w:tc>
              <w:tc>
                <w:tcPr>
                  <w:tcW w:w="992" w:type="dxa"/>
                </w:tcPr>
                <w:p w:rsidR="00E65183" w:rsidRPr="00C83BDF" w:rsidRDefault="00A4528F" w:rsidP="00F64FBE">
                  <w:pPr>
                    <w:pStyle w:val="Default"/>
                    <w:ind w:right="57"/>
                    <w:jc w:val="right"/>
                    <w:rPr>
                      <w:sz w:val="18"/>
                      <w:szCs w:val="18"/>
                      <w:lang w:val="es-ES_tradnl"/>
                    </w:rPr>
                  </w:pPr>
                  <w:r w:rsidRPr="00C83BDF">
                    <w:rPr>
                      <w:sz w:val="18"/>
                      <w:szCs w:val="18"/>
                      <w:lang w:val="es-ES_tradnl"/>
                    </w:rPr>
                    <w:t>4.7</w:t>
                  </w:r>
                  <w:r w:rsidR="00E65183" w:rsidRPr="00C83BDF">
                    <w:rPr>
                      <w:sz w:val="18"/>
                      <w:szCs w:val="18"/>
                      <w:lang w:val="es-ES_tradnl"/>
                    </w:rPr>
                    <w:t>56</w:t>
                  </w:r>
                </w:p>
              </w:tc>
              <w:tc>
                <w:tcPr>
                  <w:tcW w:w="1276" w:type="dxa"/>
                </w:tcPr>
                <w:p w:rsidR="00E65183" w:rsidRPr="00C83BDF" w:rsidRDefault="00A4528F" w:rsidP="00F64FBE">
                  <w:pPr>
                    <w:pStyle w:val="Default"/>
                    <w:ind w:right="57"/>
                    <w:jc w:val="right"/>
                    <w:rPr>
                      <w:sz w:val="18"/>
                      <w:szCs w:val="18"/>
                      <w:lang w:val="es-ES_tradnl"/>
                    </w:rPr>
                  </w:pPr>
                  <w:r w:rsidRPr="00C83BDF">
                    <w:rPr>
                      <w:sz w:val="18"/>
                      <w:szCs w:val="18"/>
                      <w:lang w:val="es-ES_tradnl"/>
                    </w:rPr>
                    <w:t>3.3</w:t>
                  </w:r>
                  <w:r w:rsidR="00E65183" w:rsidRPr="00C83BDF">
                    <w:rPr>
                      <w:sz w:val="18"/>
                      <w:szCs w:val="18"/>
                      <w:lang w:val="es-ES_tradnl"/>
                    </w:rPr>
                    <w:t>81</w:t>
                  </w:r>
                </w:p>
              </w:tc>
            </w:tr>
            <w:tr w:rsidR="00E65183" w:rsidRPr="00C83BDF">
              <w:tc>
                <w:tcPr>
                  <w:tcW w:w="1134" w:type="dxa"/>
                </w:tcPr>
                <w:p w:rsidR="00E65183" w:rsidRPr="00C83BDF" w:rsidRDefault="008B426B" w:rsidP="004737CD">
                  <w:pPr>
                    <w:autoSpaceDE w:val="0"/>
                    <w:autoSpaceDN w:val="0"/>
                    <w:adjustRightInd w:val="0"/>
                    <w:jc w:val="left"/>
                    <w:rPr>
                      <w:rFonts w:cs="Arial"/>
                      <w:color w:val="000000"/>
                      <w:sz w:val="18"/>
                      <w:szCs w:val="22"/>
                      <w:lang w:val="es-ES_tradnl"/>
                    </w:rPr>
                  </w:pPr>
                  <w:r w:rsidRPr="00C83BDF">
                    <w:rPr>
                      <w:rFonts w:cs="Arial"/>
                      <w:sz w:val="18"/>
                      <w:szCs w:val="22"/>
                      <w:lang w:val="es-ES_tradnl"/>
                    </w:rPr>
                    <w:t>Alemán</w:t>
                  </w:r>
                  <w:r w:rsidR="00E65183" w:rsidRPr="00C83BDF">
                    <w:rPr>
                      <w:rFonts w:cs="Arial"/>
                      <w:color w:val="000000"/>
                      <w:sz w:val="18"/>
                      <w:szCs w:val="22"/>
                      <w:lang w:val="es-ES_tradnl"/>
                    </w:rPr>
                    <w:t xml:space="preserve"> </w:t>
                  </w:r>
                </w:p>
              </w:tc>
              <w:tc>
                <w:tcPr>
                  <w:tcW w:w="992" w:type="dxa"/>
                </w:tcPr>
                <w:p w:rsidR="00E65183" w:rsidRPr="00C83BDF" w:rsidRDefault="00A4528F" w:rsidP="00F64FBE">
                  <w:pPr>
                    <w:pStyle w:val="Default"/>
                    <w:ind w:right="57"/>
                    <w:jc w:val="right"/>
                    <w:rPr>
                      <w:sz w:val="18"/>
                      <w:szCs w:val="18"/>
                      <w:lang w:val="es-ES_tradnl"/>
                    </w:rPr>
                  </w:pPr>
                  <w:r w:rsidRPr="00C83BDF">
                    <w:rPr>
                      <w:sz w:val="18"/>
                      <w:szCs w:val="18"/>
                      <w:lang w:val="es-ES_tradnl"/>
                    </w:rPr>
                    <w:t>1.1</w:t>
                  </w:r>
                  <w:r w:rsidR="00E65183" w:rsidRPr="00C83BDF">
                    <w:rPr>
                      <w:sz w:val="18"/>
                      <w:szCs w:val="18"/>
                      <w:lang w:val="es-ES_tradnl"/>
                    </w:rPr>
                    <w:t>57</w:t>
                  </w:r>
                </w:p>
              </w:tc>
              <w:tc>
                <w:tcPr>
                  <w:tcW w:w="1276" w:type="dxa"/>
                </w:tcPr>
                <w:p w:rsidR="00E65183" w:rsidRPr="00C83BDF" w:rsidRDefault="00E65183" w:rsidP="00F64FBE">
                  <w:pPr>
                    <w:pStyle w:val="Default"/>
                    <w:ind w:right="57"/>
                    <w:jc w:val="right"/>
                    <w:rPr>
                      <w:sz w:val="18"/>
                      <w:szCs w:val="18"/>
                      <w:lang w:val="es-ES_tradnl"/>
                    </w:rPr>
                  </w:pPr>
                  <w:r w:rsidRPr="00C83BDF">
                    <w:rPr>
                      <w:sz w:val="18"/>
                      <w:szCs w:val="18"/>
                      <w:lang w:val="es-ES_tradnl"/>
                    </w:rPr>
                    <w:t>771</w:t>
                  </w:r>
                </w:p>
              </w:tc>
            </w:tr>
          </w:tbl>
          <w:p w:rsidR="00E65183" w:rsidRPr="00C83BDF" w:rsidRDefault="00E65183" w:rsidP="004737CD">
            <w:pPr>
              <w:keepNext/>
              <w:rPr>
                <w:noProof/>
                <w:highlight w:val="yellow"/>
                <w:lang w:val="es-ES_tradnl"/>
              </w:rPr>
            </w:pPr>
          </w:p>
        </w:tc>
      </w:tr>
      <w:tr w:rsidR="00E65183" w:rsidRPr="00C83BDF">
        <w:tc>
          <w:tcPr>
            <w:tcW w:w="1951" w:type="dxa"/>
            <w:shd w:val="clear" w:color="auto" w:fill="auto"/>
          </w:tcPr>
          <w:p w:rsidR="00E65183" w:rsidRPr="00C83BDF" w:rsidRDefault="00E65183" w:rsidP="004737CD">
            <w:pPr>
              <w:pStyle w:val="Heading6"/>
              <w:rPr>
                <w:lang w:val="es-ES_tradnl"/>
              </w:rPr>
            </w:pPr>
          </w:p>
        </w:tc>
        <w:tc>
          <w:tcPr>
            <w:tcW w:w="7938" w:type="dxa"/>
            <w:gridSpan w:val="2"/>
            <w:shd w:val="clear" w:color="auto" w:fill="auto"/>
          </w:tcPr>
          <w:p w:rsidR="00E65183" w:rsidRPr="00C83BDF" w:rsidRDefault="00E65183" w:rsidP="004737CD">
            <w:pPr>
              <w:keepNext/>
              <w:rPr>
                <w:i/>
                <w:iCs/>
                <w:sz w:val="18"/>
                <w:szCs w:val="24"/>
                <w:lang w:val="es-ES_tradnl"/>
              </w:rPr>
            </w:pPr>
          </w:p>
          <w:p w:rsidR="00AD29FD" w:rsidRPr="00C83BDF" w:rsidRDefault="00AD29FD" w:rsidP="004737CD">
            <w:pPr>
              <w:keepNext/>
              <w:rPr>
                <w:i/>
                <w:iCs/>
                <w:sz w:val="18"/>
                <w:szCs w:val="24"/>
                <w:lang w:val="es-ES_tradnl"/>
              </w:rPr>
            </w:pPr>
          </w:p>
          <w:p w:rsidR="00E65183" w:rsidRPr="00C83BDF" w:rsidRDefault="008B426B" w:rsidP="004737CD">
            <w:pPr>
              <w:keepNext/>
              <w:rPr>
                <w:bCs/>
                <w:sz w:val="18"/>
                <w:szCs w:val="22"/>
                <w:lang w:val="es-ES_tradnl"/>
              </w:rPr>
            </w:pPr>
            <w:r w:rsidRPr="00C83BDF">
              <w:rPr>
                <w:bCs/>
                <w:sz w:val="18"/>
                <w:szCs w:val="22"/>
                <w:lang w:val="es-ES_tradnl"/>
              </w:rPr>
              <w:t>Los diez países que realizaron más visitas a la base de datos PLUTO en 2014</w:t>
            </w:r>
            <w:r w:rsidR="006D2ED8" w:rsidRPr="00C83BDF">
              <w:rPr>
                <w:bCs/>
                <w:sz w:val="18"/>
                <w:szCs w:val="22"/>
                <w:lang w:val="es-ES_tradnl"/>
              </w:rPr>
              <w:t>:</w:t>
            </w:r>
          </w:p>
          <w:p w:rsidR="00E65183" w:rsidRPr="00F64FBE" w:rsidRDefault="00E65183" w:rsidP="004737CD">
            <w:pPr>
              <w:keepNext/>
              <w:rPr>
                <w:bCs/>
                <w:sz w:val="18"/>
                <w:szCs w:val="22"/>
                <w:lang w:val="es-ES_tradnl"/>
              </w:rPr>
            </w:pPr>
          </w:p>
          <w:tbl>
            <w:tblPr>
              <w:tblW w:w="74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350"/>
              <w:gridCol w:w="1420"/>
              <w:gridCol w:w="1276"/>
            </w:tblGrid>
            <w:tr w:rsidR="00E65183" w:rsidRPr="00C83BDF">
              <w:tc>
                <w:tcPr>
                  <w:tcW w:w="3354" w:type="dxa"/>
                  <w:vAlign w:val="bottom"/>
                </w:tcPr>
                <w:p w:rsidR="00E65183" w:rsidRPr="00C83BDF" w:rsidRDefault="008B426B" w:rsidP="004737CD">
                  <w:pPr>
                    <w:autoSpaceDE w:val="0"/>
                    <w:autoSpaceDN w:val="0"/>
                    <w:adjustRightInd w:val="0"/>
                    <w:jc w:val="left"/>
                    <w:rPr>
                      <w:rFonts w:cs="Arial"/>
                      <w:color w:val="000000"/>
                      <w:sz w:val="18"/>
                      <w:szCs w:val="18"/>
                      <w:lang w:val="es-ES_tradnl"/>
                    </w:rPr>
                  </w:pPr>
                  <w:r w:rsidRPr="00C83BDF">
                    <w:rPr>
                      <w:rFonts w:cs="Arial"/>
                      <w:bCs/>
                      <w:sz w:val="18"/>
                      <w:szCs w:val="18"/>
                      <w:lang w:val="es-ES_tradnl"/>
                    </w:rPr>
                    <w:t>País / Territorio</w:t>
                  </w:r>
                  <w:r w:rsidR="00E65183" w:rsidRPr="00C83BDF">
                    <w:rPr>
                      <w:rFonts w:cs="Arial"/>
                      <w:bCs/>
                      <w:color w:val="000000"/>
                      <w:sz w:val="18"/>
                      <w:szCs w:val="18"/>
                      <w:lang w:val="es-ES_tradnl"/>
                    </w:rPr>
                    <w:t xml:space="preserve"> </w:t>
                  </w:r>
                </w:p>
              </w:tc>
              <w:tc>
                <w:tcPr>
                  <w:tcW w:w="1350" w:type="dxa"/>
                  <w:vAlign w:val="bottom"/>
                </w:tcPr>
                <w:p w:rsidR="00E65183" w:rsidRPr="00C83BDF" w:rsidRDefault="008B426B" w:rsidP="004737CD">
                  <w:pPr>
                    <w:autoSpaceDE w:val="0"/>
                    <w:autoSpaceDN w:val="0"/>
                    <w:adjustRightInd w:val="0"/>
                    <w:jc w:val="center"/>
                    <w:rPr>
                      <w:rFonts w:cs="Arial"/>
                      <w:color w:val="000000"/>
                      <w:sz w:val="18"/>
                      <w:szCs w:val="18"/>
                      <w:lang w:val="es-ES_tradnl"/>
                    </w:rPr>
                  </w:pPr>
                  <w:r w:rsidRPr="00C83BDF">
                    <w:rPr>
                      <w:rFonts w:cs="Arial"/>
                      <w:bCs/>
                      <w:sz w:val="18"/>
                      <w:szCs w:val="18"/>
                      <w:lang w:val="es-ES_tradnl"/>
                    </w:rPr>
                    <w:t>Sesiones</w:t>
                  </w:r>
                </w:p>
              </w:tc>
              <w:tc>
                <w:tcPr>
                  <w:tcW w:w="1420" w:type="dxa"/>
                  <w:vAlign w:val="bottom"/>
                </w:tcPr>
                <w:p w:rsidR="00E65183" w:rsidRPr="00C83BDF" w:rsidRDefault="008B426B" w:rsidP="004737CD">
                  <w:pPr>
                    <w:autoSpaceDE w:val="0"/>
                    <w:autoSpaceDN w:val="0"/>
                    <w:adjustRightInd w:val="0"/>
                    <w:jc w:val="center"/>
                    <w:rPr>
                      <w:rFonts w:cs="Arial"/>
                      <w:bCs/>
                      <w:color w:val="000000"/>
                      <w:sz w:val="18"/>
                      <w:szCs w:val="18"/>
                      <w:lang w:val="es-ES_tradnl"/>
                    </w:rPr>
                  </w:pPr>
                  <w:r w:rsidRPr="00C83BDF">
                    <w:rPr>
                      <w:rFonts w:cs="Arial"/>
                      <w:bCs/>
                      <w:sz w:val="18"/>
                      <w:szCs w:val="18"/>
                      <w:lang w:val="es-ES_tradnl"/>
                    </w:rPr>
                    <w:t>% de sesiones nuevas</w:t>
                  </w:r>
                </w:p>
              </w:tc>
              <w:tc>
                <w:tcPr>
                  <w:tcW w:w="1276" w:type="dxa"/>
                  <w:vAlign w:val="bottom"/>
                </w:tcPr>
                <w:p w:rsidR="00E65183" w:rsidRPr="00C83BDF" w:rsidRDefault="008B426B" w:rsidP="004737CD">
                  <w:pPr>
                    <w:autoSpaceDE w:val="0"/>
                    <w:autoSpaceDN w:val="0"/>
                    <w:adjustRightInd w:val="0"/>
                    <w:jc w:val="center"/>
                    <w:rPr>
                      <w:rFonts w:cs="Arial"/>
                      <w:bCs/>
                      <w:color w:val="000000"/>
                      <w:sz w:val="18"/>
                      <w:szCs w:val="18"/>
                      <w:lang w:val="es-ES_tradnl"/>
                    </w:rPr>
                  </w:pPr>
                  <w:r w:rsidRPr="00C83BDF">
                    <w:rPr>
                      <w:rFonts w:cs="Arial"/>
                      <w:bCs/>
                      <w:sz w:val="18"/>
                      <w:szCs w:val="18"/>
                      <w:lang w:val="es-ES_tradnl"/>
                    </w:rPr>
                    <w:t>Nuevos usuarios</w:t>
                  </w:r>
                </w:p>
              </w:tc>
            </w:tr>
            <w:tr w:rsidR="00E65183" w:rsidRPr="00C83BDF">
              <w:tc>
                <w:tcPr>
                  <w:tcW w:w="3354" w:type="dxa"/>
                </w:tcPr>
                <w:p w:rsidR="00E65183" w:rsidRPr="00C83BDF" w:rsidRDefault="008B426B" w:rsidP="004737CD">
                  <w:pPr>
                    <w:pStyle w:val="Default"/>
                    <w:rPr>
                      <w:sz w:val="18"/>
                      <w:szCs w:val="18"/>
                      <w:lang w:val="es-ES_tradnl"/>
                    </w:rPr>
                  </w:pPr>
                  <w:r w:rsidRPr="00C83BDF">
                    <w:rPr>
                      <w:color w:val="auto"/>
                      <w:sz w:val="18"/>
                      <w:szCs w:val="18"/>
                      <w:lang w:val="es-ES_tradnl"/>
                    </w:rPr>
                    <w:t>Estados Unidos de América</w:t>
                  </w:r>
                </w:p>
              </w:tc>
              <w:tc>
                <w:tcPr>
                  <w:tcW w:w="1350" w:type="dxa"/>
                </w:tcPr>
                <w:p w:rsidR="00E65183" w:rsidRPr="00C83BDF" w:rsidRDefault="00A4528F" w:rsidP="004737CD">
                  <w:pPr>
                    <w:pStyle w:val="Default"/>
                    <w:tabs>
                      <w:tab w:val="decimal" w:pos="819"/>
                    </w:tabs>
                    <w:rPr>
                      <w:sz w:val="18"/>
                      <w:szCs w:val="18"/>
                      <w:lang w:val="es-ES_tradnl"/>
                    </w:rPr>
                  </w:pPr>
                  <w:r w:rsidRPr="00C83BDF">
                    <w:rPr>
                      <w:sz w:val="18"/>
                      <w:szCs w:val="18"/>
                      <w:lang w:val="es-ES_tradnl"/>
                    </w:rPr>
                    <w:t>6.3</w:t>
                  </w:r>
                  <w:r w:rsidR="00E65183" w:rsidRPr="00C83BDF">
                    <w:rPr>
                      <w:sz w:val="18"/>
                      <w:szCs w:val="18"/>
                      <w:lang w:val="es-ES_tradnl"/>
                    </w:rPr>
                    <w:t>28</w:t>
                  </w:r>
                </w:p>
              </w:tc>
              <w:tc>
                <w:tcPr>
                  <w:tcW w:w="1420" w:type="dxa"/>
                </w:tcPr>
                <w:p w:rsidR="00E65183" w:rsidRPr="00C83BDF" w:rsidRDefault="00E65183" w:rsidP="004737CD">
                  <w:pPr>
                    <w:pStyle w:val="Default"/>
                    <w:jc w:val="center"/>
                    <w:rPr>
                      <w:sz w:val="18"/>
                      <w:szCs w:val="18"/>
                      <w:lang w:val="es-ES_tradnl"/>
                    </w:rPr>
                  </w:pPr>
                  <w:r w:rsidRPr="00C83BDF">
                    <w:rPr>
                      <w:sz w:val="18"/>
                      <w:szCs w:val="18"/>
                      <w:lang w:val="es-ES_tradnl"/>
                    </w:rPr>
                    <w:t>20</w:t>
                  </w:r>
                  <w:r w:rsidR="00A4528F" w:rsidRPr="00C83BDF">
                    <w:rPr>
                      <w:sz w:val="18"/>
                      <w:szCs w:val="18"/>
                      <w:lang w:val="es-ES_tradnl"/>
                    </w:rPr>
                    <w:t>,</w:t>
                  </w:r>
                  <w:r w:rsidRPr="00C83BDF">
                    <w:rPr>
                      <w:sz w:val="18"/>
                      <w:szCs w:val="18"/>
                      <w:lang w:val="es-ES_tradnl"/>
                    </w:rPr>
                    <w:t>53%</w:t>
                  </w:r>
                </w:p>
              </w:tc>
              <w:tc>
                <w:tcPr>
                  <w:tcW w:w="1276" w:type="dxa"/>
                </w:tcPr>
                <w:p w:rsidR="00E65183" w:rsidRPr="00C83BDF" w:rsidRDefault="00A4528F" w:rsidP="004737CD">
                  <w:pPr>
                    <w:pStyle w:val="Default"/>
                    <w:tabs>
                      <w:tab w:val="decimal" w:pos="903"/>
                    </w:tabs>
                    <w:rPr>
                      <w:sz w:val="18"/>
                      <w:szCs w:val="18"/>
                      <w:lang w:val="es-ES_tradnl"/>
                    </w:rPr>
                  </w:pPr>
                  <w:r w:rsidRPr="00C83BDF">
                    <w:rPr>
                      <w:sz w:val="18"/>
                      <w:szCs w:val="18"/>
                      <w:lang w:val="es-ES_tradnl"/>
                    </w:rPr>
                    <w:t>1.2</w:t>
                  </w:r>
                  <w:r w:rsidR="00E65183" w:rsidRPr="00C83BDF">
                    <w:rPr>
                      <w:sz w:val="18"/>
                      <w:szCs w:val="18"/>
                      <w:lang w:val="es-ES_tradnl"/>
                    </w:rPr>
                    <w:t>99</w:t>
                  </w:r>
                </w:p>
              </w:tc>
            </w:tr>
            <w:tr w:rsidR="00E65183" w:rsidRPr="00C83BDF">
              <w:tc>
                <w:tcPr>
                  <w:tcW w:w="3354" w:type="dxa"/>
                  <w:shd w:val="clear" w:color="auto" w:fill="auto"/>
                </w:tcPr>
                <w:p w:rsidR="00E65183" w:rsidRPr="00C83BDF" w:rsidRDefault="008B426B" w:rsidP="004737CD">
                  <w:pPr>
                    <w:pStyle w:val="Default"/>
                    <w:rPr>
                      <w:sz w:val="18"/>
                      <w:szCs w:val="18"/>
                      <w:lang w:val="es-ES_tradnl"/>
                    </w:rPr>
                  </w:pPr>
                  <w:r w:rsidRPr="00C83BDF">
                    <w:rPr>
                      <w:color w:val="auto"/>
                      <w:sz w:val="18"/>
                      <w:szCs w:val="18"/>
                      <w:lang w:val="es-ES_tradnl"/>
                    </w:rPr>
                    <w:t>Francia</w:t>
                  </w:r>
                  <w:r w:rsidR="00E65183" w:rsidRPr="00C83BDF">
                    <w:rPr>
                      <w:sz w:val="18"/>
                      <w:szCs w:val="18"/>
                      <w:lang w:val="es-ES_tradnl"/>
                    </w:rPr>
                    <w:t xml:space="preserve"> </w:t>
                  </w:r>
                </w:p>
              </w:tc>
              <w:tc>
                <w:tcPr>
                  <w:tcW w:w="1350" w:type="dxa"/>
                  <w:shd w:val="clear" w:color="auto" w:fill="auto"/>
                </w:tcPr>
                <w:p w:rsidR="00E65183" w:rsidRPr="00C83BDF" w:rsidRDefault="00A4528F" w:rsidP="004737CD">
                  <w:pPr>
                    <w:pStyle w:val="Default"/>
                    <w:tabs>
                      <w:tab w:val="decimal" w:pos="819"/>
                    </w:tabs>
                    <w:rPr>
                      <w:sz w:val="18"/>
                      <w:szCs w:val="18"/>
                      <w:lang w:val="es-ES_tradnl"/>
                    </w:rPr>
                  </w:pPr>
                  <w:r w:rsidRPr="00C83BDF">
                    <w:rPr>
                      <w:sz w:val="18"/>
                      <w:szCs w:val="18"/>
                      <w:lang w:val="es-ES_tradnl"/>
                    </w:rPr>
                    <w:t>4.0</w:t>
                  </w:r>
                  <w:r w:rsidR="00E65183" w:rsidRPr="00C83BDF">
                    <w:rPr>
                      <w:sz w:val="18"/>
                      <w:szCs w:val="18"/>
                      <w:lang w:val="es-ES_tradnl"/>
                    </w:rPr>
                    <w:t>15</w:t>
                  </w:r>
                </w:p>
              </w:tc>
              <w:tc>
                <w:tcPr>
                  <w:tcW w:w="1420" w:type="dxa"/>
                  <w:shd w:val="clear" w:color="auto" w:fill="auto"/>
                </w:tcPr>
                <w:p w:rsidR="00E65183" w:rsidRPr="00C83BDF" w:rsidRDefault="00E65183" w:rsidP="004737CD">
                  <w:pPr>
                    <w:pStyle w:val="Default"/>
                    <w:jc w:val="center"/>
                    <w:rPr>
                      <w:sz w:val="18"/>
                      <w:szCs w:val="18"/>
                      <w:lang w:val="es-ES_tradnl"/>
                    </w:rPr>
                  </w:pPr>
                  <w:r w:rsidRPr="00C83BDF">
                    <w:rPr>
                      <w:sz w:val="18"/>
                      <w:szCs w:val="18"/>
                      <w:lang w:val="es-ES_tradnl"/>
                    </w:rPr>
                    <w:t>29</w:t>
                  </w:r>
                  <w:r w:rsidR="00A4528F" w:rsidRPr="00C83BDF">
                    <w:rPr>
                      <w:sz w:val="18"/>
                      <w:szCs w:val="18"/>
                      <w:lang w:val="es-ES_tradnl"/>
                    </w:rPr>
                    <w:t>,</w:t>
                  </w:r>
                  <w:r w:rsidRPr="00C83BDF">
                    <w:rPr>
                      <w:sz w:val="18"/>
                      <w:szCs w:val="18"/>
                      <w:lang w:val="es-ES_tradnl"/>
                    </w:rPr>
                    <w:t>02%</w:t>
                  </w:r>
                </w:p>
              </w:tc>
              <w:tc>
                <w:tcPr>
                  <w:tcW w:w="1276" w:type="dxa"/>
                  <w:shd w:val="clear" w:color="auto" w:fill="auto"/>
                </w:tcPr>
                <w:p w:rsidR="00E65183" w:rsidRPr="00C83BDF" w:rsidRDefault="00A4528F" w:rsidP="004737CD">
                  <w:pPr>
                    <w:pStyle w:val="Default"/>
                    <w:tabs>
                      <w:tab w:val="decimal" w:pos="903"/>
                    </w:tabs>
                    <w:rPr>
                      <w:sz w:val="18"/>
                      <w:szCs w:val="18"/>
                      <w:lang w:val="es-ES_tradnl"/>
                    </w:rPr>
                  </w:pPr>
                  <w:r w:rsidRPr="00C83BDF">
                    <w:rPr>
                      <w:sz w:val="18"/>
                      <w:szCs w:val="18"/>
                      <w:lang w:val="es-ES_tradnl"/>
                    </w:rPr>
                    <w:t>1.1</w:t>
                  </w:r>
                  <w:r w:rsidR="00E65183" w:rsidRPr="00C83BDF">
                    <w:rPr>
                      <w:sz w:val="18"/>
                      <w:szCs w:val="18"/>
                      <w:lang w:val="es-ES_tradnl"/>
                    </w:rPr>
                    <w:t>65</w:t>
                  </w:r>
                </w:p>
              </w:tc>
            </w:tr>
            <w:tr w:rsidR="00E65183" w:rsidRPr="00C83BDF">
              <w:tc>
                <w:tcPr>
                  <w:tcW w:w="3354" w:type="dxa"/>
                </w:tcPr>
                <w:p w:rsidR="00E65183" w:rsidRPr="00C83BDF" w:rsidRDefault="008B426B" w:rsidP="004737CD">
                  <w:pPr>
                    <w:pStyle w:val="Default"/>
                    <w:rPr>
                      <w:sz w:val="18"/>
                      <w:szCs w:val="18"/>
                      <w:lang w:val="es-ES_tradnl"/>
                    </w:rPr>
                  </w:pPr>
                  <w:r w:rsidRPr="00C83BDF">
                    <w:rPr>
                      <w:color w:val="auto"/>
                      <w:sz w:val="18"/>
                      <w:szCs w:val="18"/>
                      <w:lang w:val="es-ES_tradnl"/>
                    </w:rPr>
                    <w:t>Países Bajos</w:t>
                  </w:r>
                  <w:r w:rsidR="00E65183" w:rsidRPr="00C83BDF">
                    <w:rPr>
                      <w:sz w:val="18"/>
                      <w:szCs w:val="18"/>
                      <w:lang w:val="es-ES_tradnl"/>
                    </w:rPr>
                    <w:t xml:space="preserve"> </w:t>
                  </w:r>
                </w:p>
              </w:tc>
              <w:tc>
                <w:tcPr>
                  <w:tcW w:w="1350" w:type="dxa"/>
                </w:tcPr>
                <w:p w:rsidR="00E65183" w:rsidRPr="00C83BDF" w:rsidRDefault="00A4528F" w:rsidP="004737CD">
                  <w:pPr>
                    <w:pStyle w:val="Default"/>
                    <w:tabs>
                      <w:tab w:val="decimal" w:pos="819"/>
                    </w:tabs>
                    <w:rPr>
                      <w:sz w:val="18"/>
                      <w:szCs w:val="18"/>
                      <w:lang w:val="es-ES_tradnl"/>
                    </w:rPr>
                  </w:pPr>
                  <w:r w:rsidRPr="00C83BDF">
                    <w:rPr>
                      <w:sz w:val="18"/>
                      <w:szCs w:val="18"/>
                      <w:lang w:val="es-ES_tradnl"/>
                    </w:rPr>
                    <w:t>3.8</w:t>
                  </w:r>
                  <w:r w:rsidR="00E65183" w:rsidRPr="00C83BDF">
                    <w:rPr>
                      <w:sz w:val="18"/>
                      <w:szCs w:val="18"/>
                      <w:lang w:val="es-ES_tradnl"/>
                    </w:rPr>
                    <w:t>45</w:t>
                  </w:r>
                </w:p>
              </w:tc>
              <w:tc>
                <w:tcPr>
                  <w:tcW w:w="1420" w:type="dxa"/>
                </w:tcPr>
                <w:p w:rsidR="00E65183" w:rsidRPr="00C83BDF" w:rsidRDefault="00E65183" w:rsidP="004737CD">
                  <w:pPr>
                    <w:pStyle w:val="Default"/>
                    <w:jc w:val="center"/>
                    <w:rPr>
                      <w:sz w:val="18"/>
                      <w:szCs w:val="18"/>
                      <w:lang w:val="es-ES_tradnl"/>
                    </w:rPr>
                  </w:pPr>
                  <w:r w:rsidRPr="00C83BDF">
                    <w:rPr>
                      <w:sz w:val="18"/>
                      <w:szCs w:val="18"/>
                      <w:lang w:val="es-ES_tradnl"/>
                    </w:rPr>
                    <w:t>24</w:t>
                  </w:r>
                  <w:r w:rsidR="00A4528F" w:rsidRPr="00C83BDF">
                    <w:rPr>
                      <w:sz w:val="18"/>
                      <w:szCs w:val="18"/>
                      <w:lang w:val="es-ES_tradnl"/>
                    </w:rPr>
                    <w:t>,</w:t>
                  </w:r>
                  <w:r w:rsidRPr="00C83BDF">
                    <w:rPr>
                      <w:sz w:val="18"/>
                      <w:szCs w:val="18"/>
                      <w:lang w:val="es-ES_tradnl"/>
                    </w:rPr>
                    <w:t>63%</w:t>
                  </w:r>
                </w:p>
              </w:tc>
              <w:tc>
                <w:tcPr>
                  <w:tcW w:w="1276" w:type="dxa"/>
                </w:tcPr>
                <w:p w:rsidR="00E65183" w:rsidRPr="00C83BDF" w:rsidRDefault="00E65183" w:rsidP="004737CD">
                  <w:pPr>
                    <w:pStyle w:val="Default"/>
                    <w:tabs>
                      <w:tab w:val="decimal" w:pos="903"/>
                    </w:tabs>
                    <w:rPr>
                      <w:sz w:val="18"/>
                      <w:szCs w:val="18"/>
                      <w:lang w:val="es-ES_tradnl"/>
                    </w:rPr>
                  </w:pPr>
                  <w:r w:rsidRPr="00C83BDF">
                    <w:rPr>
                      <w:sz w:val="18"/>
                      <w:szCs w:val="18"/>
                      <w:lang w:val="es-ES_tradnl"/>
                    </w:rPr>
                    <w:t>947</w:t>
                  </w:r>
                </w:p>
              </w:tc>
            </w:tr>
            <w:tr w:rsidR="00E65183" w:rsidRPr="00C83BDF">
              <w:tc>
                <w:tcPr>
                  <w:tcW w:w="3354" w:type="dxa"/>
                </w:tcPr>
                <w:p w:rsidR="00E65183" w:rsidRPr="00C83BDF" w:rsidRDefault="008B426B" w:rsidP="004737CD">
                  <w:pPr>
                    <w:pStyle w:val="Default"/>
                    <w:rPr>
                      <w:sz w:val="18"/>
                      <w:szCs w:val="18"/>
                      <w:lang w:val="es-ES_tradnl"/>
                    </w:rPr>
                  </w:pPr>
                  <w:r w:rsidRPr="00C83BDF">
                    <w:rPr>
                      <w:color w:val="auto"/>
                      <w:sz w:val="18"/>
                      <w:szCs w:val="18"/>
                      <w:lang w:val="es-ES_tradnl"/>
                    </w:rPr>
                    <w:t>Australia</w:t>
                  </w:r>
                  <w:r w:rsidR="00E65183" w:rsidRPr="00C83BDF">
                    <w:rPr>
                      <w:sz w:val="18"/>
                      <w:szCs w:val="18"/>
                      <w:lang w:val="es-ES_tradnl"/>
                    </w:rPr>
                    <w:t xml:space="preserve"> </w:t>
                  </w:r>
                </w:p>
              </w:tc>
              <w:tc>
                <w:tcPr>
                  <w:tcW w:w="1350" w:type="dxa"/>
                </w:tcPr>
                <w:p w:rsidR="00E65183" w:rsidRPr="00C83BDF" w:rsidRDefault="00A4528F" w:rsidP="004737CD">
                  <w:pPr>
                    <w:pStyle w:val="Default"/>
                    <w:tabs>
                      <w:tab w:val="decimal" w:pos="819"/>
                    </w:tabs>
                    <w:rPr>
                      <w:sz w:val="18"/>
                      <w:szCs w:val="18"/>
                      <w:lang w:val="es-ES_tradnl"/>
                    </w:rPr>
                  </w:pPr>
                  <w:r w:rsidRPr="00C83BDF">
                    <w:rPr>
                      <w:sz w:val="18"/>
                      <w:szCs w:val="18"/>
                      <w:lang w:val="es-ES_tradnl"/>
                    </w:rPr>
                    <w:t>2.9</w:t>
                  </w:r>
                  <w:r w:rsidR="00E65183" w:rsidRPr="00C83BDF">
                    <w:rPr>
                      <w:sz w:val="18"/>
                      <w:szCs w:val="18"/>
                      <w:lang w:val="es-ES_tradnl"/>
                    </w:rPr>
                    <w:t>30</w:t>
                  </w:r>
                </w:p>
              </w:tc>
              <w:tc>
                <w:tcPr>
                  <w:tcW w:w="1420" w:type="dxa"/>
                </w:tcPr>
                <w:p w:rsidR="00E65183" w:rsidRPr="00C83BDF" w:rsidRDefault="00E65183" w:rsidP="004737CD">
                  <w:pPr>
                    <w:pStyle w:val="Default"/>
                    <w:jc w:val="center"/>
                    <w:rPr>
                      <w:sz w:val="18"/>
                      <w:szCs w:val="18"/>
                      <w:lang w:val="es-ES_tradnl"/>
                    </w:rPr>
                  </w:pPr>
                  <w:r w:rsidRPr="00C83BDF">
                    <w:rPr>
                      <w:sz w:val="18"/>
                      <w:szCs w:val="18"/>
                      <w:lang w:val="es-ES_tradnl"/>
                    </w:rPr>
                    <w:t>10</w:t>
                  </w:r>
                  <w:r w:rsidR="00A4528F" w:rsidRPr="00C83BDF">
                    <w:rPr>
                      <w:sz w:val="18"/>
                      <w:szCs w:val="18"/>
                      <w:lang w:val="es-ES_tradnl"/>
                    </w:rPr>
                    <w:t>,</w:t>
                  </w:r>
                  <w:r w:rsidRPr="00C83BDF">
                    <w:rPr>
                      <w:sz w:val="18"/>
                      <w:szCs w:val="18"/>
                      <w:lang w:val="es-ES_tradnl"/>
                    </w:rPr>
                    <w:t>44%</w:t>
                  </w:r>
                </w:p>
              </w:tc>
              <w:tc>
                <w:tcPr>
                  <w:tcW w:w="1276" w:type="dxa"/>
                </w:tcPr>
                <w:p w:rsidR="00E65183" w:rsidRPr="00C83BDF" w:rsidRDefault="00E65183" w:rsidP="004737CD">
                  <w:pPr>
                    <w:pStyle w:val="Default"/>
                    <w:tabs>
                      <w:tab w:val="decimal" w:pos="903"/>
                    </w:tabs>
                    <w:rPr>
                      <w:sz w:val="18"/>
                      <w:szCs w:val="18"/>
                      <w:lang w:val="es-ES_tradnl"/>
                    </w:rPr>
                  </w:pPr>
                  <w:r w:rsidRPr="00C83BDF">
                    <w:rPr>
                      <w:sz w:val="18"/>
                      <w:szCs w:val="18"/>
                      <w:lang w:val="es-ES_tradnl"/>
                    </w:rPr>
                    <w:t>306</w:t>
                  </w:r>
                </w:p>
              </w:tc>
            </w:tr>
            <w:tr w:rsidR="00E65183" w:rsidRPr="00C83BDF">
              <w:tc>
                <w:tcPr>
                  <w:tcW w:w="3354" w:type="dxa"/>
                </w:tcPr>
                <w:p w:rsidR="00E65183" w:rsidRPr="00C83BDF" w:rsidRDefault="008B426B" w:rsidP="004737CD">
                  <w:pPr>
                    <w:pStyle w:val="Default"/>
                    <w:rPr>
                      <w:sz w:val="18"/>
                      <w:szCs w:val="18"/>
                      <w:lang w:val="es-ES_tradnl"/>
                    </w:rPr>
                  </w:pPr>
                  <w:r w:rsidRPr="00C83BDF">
                    <w:rPr>
                      <w:color w:val="auto"/>
                      <w:sz w:val="18"/>
                      <w:szCs w:val="18"/>
                      <w:lang w:val="es-ES_tradnl"/>
                    </w:rPr>
                    <w:t>Ucrania</w:t>
                  </w:r>
                  <w:r w:rsidR="00E65183" w:rsidRPr="00C83BDF">
                    <w:rPr>
                      <w:sz w:val="18"/>
                      <w:szCs w:val="18"/>
                      <w:lang w:val="es-ES_tradnl"/>
                    </w:rPr>
                    <w:t xml:space="preserve"> </w:t>
                  </w:r>
                </w:p>
              </w:tc>
              <w:tc>
                <w:tcPr>
                  <w:tcW w:w="1350" w:type="dxa"/>
                </w:tcPr>
                <w:p w:rsidR="00E65183" w:rsidRPr="00C83BDF" w:rsidRDefault="00A4528F" w:rsidP="004737CD">
                  <w:pPr>
                    <w:pStyle w:val="Default"/>
                    <w:tabs>
                      <w:tab w:val="decimal" w:pos="819"/>
                    </w:tabs>
                    <w:rPr>
                      <w:sz w:val="18"/>
                      <w:szCs w:val="18"/>
                      <w:lang w:val="es-ES_tradnl"/>
                    </w:rPr>
                  </w:pPr>
                  <w:r w:rsidRPr="00C83BDF">
                    <w:rPr>
                      <w:sz w:val="18"/>
                      <w:szCs w:val="18"/>
                      <w:lang w:val="es-ES_tradnl"/>
                    </w:rPr>
                    <w:t>2.2</w:t>
                  </w:r>
                  <w:r w:rsidR="00E65183" w:rsidRPr="00C83BDF">
                    <w:rPr>
                      <w:sz w:val="18"/>
                      <w:szCs w:val="18"/>
                      <w:lang w:val="es-ES_tradnl"/>
                    </w:rPr>
                    <w:t>10</w:t>
                  </w:r>
                </w:p>
              </w:tc>
              <w:tc>
                <w:tcPr>
                  <w:tcW w:w="1420" w:type="dxa"/>
                </w:tcPr>
                <w:p w:rsidR="00E65183" w:rsidRPr="00C83BDF" w:rsidRDefault="00E65183" w:rsidP="004737CD">
                  <w:pPr>
                    <w:pStyle w:val="Default"/>
                    <w:jc w:val="center"/>
                    <w:rPr>
                      <w:sz w:val="18"/>
                      <w:szCs w:val="18"/>
                      <w:lang w:val="es-ES_tradnl"/>
                    </w:rPr>
                  </w:pPr>
                  <w:r w:rsidRPr="00C83BDF">
                    <w:rPr>
                      <w:sz w:val="18"/>
                      <w:szCs w:val="18"/>
                      <w:lang w:val="es-ES_tradnl"/>
                    </w:rPr>
                    <w:t>15</w:t>
                  </w:r>
                  <w:r w:rsidR="00A4528F" w:rsidRPr="00C83BDF">
                    <w:rPr>
                      <w:sz w:val="18"/>
                      <w:szCs w:val="18"/>
                      <w:lang w:val="es-ES_tradnl"/>
                    </w:rPr>
                    <w:t>,</w:t>
                  </w:r>
                  <w:r w:rsidRPr="00C83BDF">
                    <w:rPr>
                      <w:sz w:val="18"/>
                      <w:szCs w:val="18"/>
                      <w:lang w:val="es-ES_tradnl"/>
                    </w:rPr>
                    <w:t>97%</w:t>
                  </w:r>
                </w:p>
              </w:tc>
              <w:tc>
                <w:tcPr>
                  <w:tcW w:w="1276" w:type="dxa"/>
                </w:tcPr>
                <w:p w:rsidR="00E65183" w:rsidRPr="00C83BDF" w:rsidRDefault="00E65183" w:rsidP="004737CD">
                  <w:pPr>
                    <w:pStyle w:val="Default"/>
                    <w:tabs>
                      <w:tab w:val="decimal" w:pos="903"/>
                    </w:tabs>
                    <w:rPr>
                      <w:sz w:val="18"/>
                      <w:szCs w:val="18"/>
                      <w:lang w:val="es-ES_tradnl"/>
                    </w:rPr>
                  </w:pPr>
                  <w:r w:rsidRPr="00C83BDF">
                    <w:rPr>
                      <w:sz w:val="18"/>
                      <w:szCs w:val="18"/>
                      <w:lang w:val="es-ES_tradnl"/>
                    </w:rPr>
                    <w:t>353</w:t>
                  </w:r>
                </w:p>
              </w:tc>
            </w:tr>
            <w:tr w:rsidR="00E65183" w:rsidRPr="00C83BDF">
              <w:tc>
                <w:tcPr>
                  <w:tcW w:w="3354" w:type="dxa"/>
                </w:tcPr>
                <w:p w:rsidR="00E65183" w:rsidRPr="00C83BDF" w:rsidRDefault="008B426B" w:rsidP="004737CD">
                  <w:pPr>
                    <w:pStyle w:val="Default"/>
                    <w:rPr>
                      <w:sz w:val="18"/>
                      <w:szCs w:val="18"/>
                      <w:lang w:val="es-ES_tradnl"/>
                    </w:rPr>
                  </w:pPr>
                  <w:r w:rsidRPr="00C83BDF">
                    <w:rPr>
                      <w:color w:val="auto"/>
                      <w:sz w:val="18"/>
                      <w:szCs w:val="18"/>
                      <w:lang w:val="es-ES_tradnl"/>
                    </w:rPr>
                    <w:t>Brasil</w:t>
                  </w:r>
                  <w:r w:rsidR="00E65183" w:rsidRPr="00C83BDF">
                    <w:rPr>
                      <w:sz w:val="18"/>
                      <w:szCs w:val="18"/>
                      <w:lang w:val="es-ES_tradnl"/>
                    </w:rPr>
                    <w:t xml:space="preserve"> </w:t>
                  </w:r>
                </w:p>
              </w:tc>
              <w:tc>
                <w:tcPr>
                  <w:tcW w:w="1350" w:type="dxa"/>
                </w:tcPr>
                <w:p w:rsidR="00E65183" w:rsidRPr="00C83BDF" w:rsidRDefault="00A4528F" w:rsidP="004737CD">
                  <w:pPr>
                    <w:pStyle w:val="Default"/>
                    <w:tabs>
                      <w:tab w:val="decimal" w:pos="819"/>
                    </w:tabs>
                    <w:rPr>
                      <w:sz w:val="18"/>
                      <w:szCs w:val="18"/>
                      <w:lang w:val="es-ES_tradnl"/>
                    </w:rPr>
                  </w:pPr>
                  <w:r w:rsidRPr="00C83BDF">
                    <w:rPr>
                      <w:sz w:val="18"/>
                      <w:szCs w:val="18"/>
                      <w:lang w:val="es-ES_tradnl"/>
                    </w:rPr>
                    <w:t>2.1</w:t>
                  </w:r>
                  <w:r w:rsidR="00E65183" w:rsidRPr="00C83BDF">
                    <w:rPr>
                      <w:sz w:val="18"/>
                      <w:szCs w:val="18"/>
                      <w:lang w:val="es-ES_tradnl"/>
                    </w:rPr>
                    <w:t>66</w:t>
                  </w:r>
                </w:p>
              </w:tc>
              <w:tc>
                <w:tcPr>
                  <w:tcW w:w="1420" w:type="dxa"/>
                </w:tcPr>
                <w:p w:rsidR="00E65183" w:rsidRPr="00C83BDF" w:rsidRDefault="00E65183" w:rsidP="004737CD">
                  <w:pPr>
                    <w:pStyle w:val="Default"/>
                    <w:jc w:val="center"/>
                    <w:rPr>
                      <w:sz w:val="18"/>
                      <w:szCs w:val="18"/>
                      <w:lang w:val="es-ES_tradnl"/>
                    </w:rPr>
                  </w:pPr>
                  <w:r w:rsidRPr="00C83BDF">
                    <w:rPr>
                      <w:sz w:val="18"/>
                      <w:szCs w:val="18"/>
                      <w:lang w:val="es-ES_tradnl"/>
                    </w:rPr>
                    <w:t>36</w:t>
                  </w:r>
                  <w:r w:rsidR="00A4528F" w:rsidRPr="00C83BDF">
                    <w:rPr>
                      <w:sz w:val="18"/>
                      <w:szCs w:val="18"/>
                      <w:lang w:val="es-ES_tradnl"/>
                    </w:rPr>
                    <w:t>,</w:t>
                  </w:r>
                  <w:r w:rsidRPr="00C83BDF">
                    <w:rPr>
                      <w:sz w:val="18"/>
                      <w:szCs w:val="18"/>
                      <w:lang w:val="es-ES_tradnl"/>
                    </w:rPr>
                    <w:t>70%</w:t>
                  </w:r>
                </w:p>
              </w:tc>
              <w:tc>
                <w:tcPr>
                  <w:tcW w:w="1276" w:type="dxa"/>
                </w:tcPr>
                <w:p w:rsidR="00E65183" w:rsidRPr="00C83BDF" w:rsidRDefault="00E65183" w:rsidP="004737CD">
                  <w:pPr>
                    <w:pStyle w:val="Default"/>
                    <w:tabs>
                      <w:tab w:val="decimal" w:pos="903"/>
                    </w:tabs>
                    <w:rPr>
                      <w:sz w:val="18"/>
                      <w:szCs w:val="18"/>
                      <w:lang w:val="es-ES_tradnl"/>
                    </w:rPr>
                  </w:pPr>
                  <w:r w:rsidRPr="00C83BDF">
                    <w:rPr>
                      <w:sz w:val="18"/>
                      <w:szCs w:val="18"/>
                      <w:lang w:val="es-ES_tradnl"/>
                    </w:rPr>
                    <w:t>795</w:t>
                  </w:r>
                </w:p>
              </w:tc>
            </w:tr>
            <w:tr w:rsidR="00E65183" w:rsidRPr="00C83BDF">
              <w:tc>
                <w:tcPr>
                  <w:tcW w:w="3354" w:type="dxa"/>
                </w:tcPr>
                <w:p w:rsidR="00E65183" w:rsidRPr="00C83BDF" w:rsidRDefault="008B426B" w:rsidP="004737CD">
                  <w:pPr>
                    <w:pStyle w:val="Default"/>
                    <w:rPr>
                      <w:sz w:val="18"/>
                      <w:szCs w:val="18"/>
                      <w:lang w:val="es-ES_tradnl"/>
                    </w:rPr>
                  </w:pPr>
                  <w:r w:rsidRPr="00C83BDF">
                    <w:rPr>
                      <w:color w:val="auto"/>
                      <w:sz w:val="18"/>
                      <w:szCs w:val="18"/>
                      <w:lang w:val="es-ES_tradnl"/>
                    </w:rPr>
                    <w:t>Rusia</w:t>
                  </w:r>
                  <w:r w:rsidR="00E65183" w:rsidRPr="00C83BDF">
                    <w:rPr>
                      <w:sz w:val="18"/>
                      <w:szCs w:val="18"/>
                      <w:lang w:val="es-ES_tradnl"/>
                    </w:rPr>
                    <w:t xml:space="preserve"> </w:t>
                  </w:r>
                </w:p>
              </w:tc>
              <w:tc>
                <w:tcPr>
                  <w:tcW w:w="1350" w:type="dxa"/>
                </w:tcPr>
                <w:p w:rsidR="00E65183" w:rsidRPr="00C83BDF" w:rsidRDefault="00A4528F" w:rsidP="004737CD">
                  <w:pPr>
                    <w:pStyle w:val="Default"/>
                    <w:tabs>
                      <w:tab w:val="decimal" w:pos="819"/>
                    </w:tabs>
                    <w:rPr>
                      <w:sz w:val="18"/>
                      <w:szCs w:val="18"/>
                      <w:lang w:val="es-ES_tradnl"/>
                    </w:rPr>
                  </w:pPr>
                  <w:r w:rsidRPr="00C83BDF">
                    <w:rPr>
                      <w:sz w:val="18"/>
                      <w:szCs w:val="18"/>
                      <w:lang w:val="es-ES_tradnl"/>
                    </w:rPr>
                    <w:t>1.7</w:t>
                  </w:r>
                  <w:r w:rsidR="00E65183" w:rsidRPr="00C83BDF">
                    <w:rPr>
                      <w:sz w:val="18"/>
                      <w:szCs w:val="18"/>
                      <w:lang w:val="es-ES_tradnl"/>
                    </w:rPr>
                    <w:t>34</w:t>
                  </w:r>
                </w:p>
              </w:tc>
              <w:tc>
                <w:tcPr>
                  <w:tcW w:w="1420" w:type="dxa"/>
                </w:tcPr>
                <w:p w:rsidR="00E65183" w:rsidRPr="00C83BDF" w:rsidRDefault="00E65183" w:rsidP="004737CD">
                  <w:pPr>
                    <w:pStyle w:val="Default"/>
                    <w:jc w:val="center"/>
                    <w:rPr>
                      <w:sz w:val="18"/>
                      <w:szCs w:val="18"/>
                      <w:lang w:val="es-ES_tradnl"/>
                    </w:rPr>
                  </w:pPr>
                  <w:r w:rsidRPr="00C83BDF">
                    <w:rPr>
                      <w:sz w:val="18"/>
                      <w:szCs w:val="18"/>
                      <w:lang w:val="es-ES_tradnl"/>
                    </w:rPr>
                    <w:t>13</w:t>
                  </w:r>
                  <w:r w:rsidR="00A4528F" w:rsidRPr="00C83BDF">
                    <w:rPr>
                      <w:sz w:val="18"/>
                      <w:szCs w:val="18"/>
                      <w:lang w:val="es-ES_tradnl"/>
                    </w:rPr>
                    <w:t>,</w:t>
                  </w:r>
                  <w:r w:rsidRPr="00C83BDF">
                    <w:rPr>
                      <w:sz w:val="18"/>
                      <w:szCs w:val="18"/>
                      <w:lang w:val="es-ES_tradnl"/>
                    </w:rPr>
                    <w:t>55%</w:t>
                  </w:r>
                </w:p>
              </w:tc>
              <w:tc>
                <w:tcPr>
                  <w:tcW w:w="1276" w:type="dxa"/>
                </w:tcPr>
                <w:p w:rsidR="00E65183" w:rsidRPr="00C83BDF" w:rsidRDefault="00E65183" w:rsidP="004737CD">
                  <w:pPr>
                    <w:pStyle w:val="Default"/>
                    <w:tabs>
                      <w:tab w:val="decimal" w:pos="903"/>
                    </w:tabs>
                    <w:rPr>
                      <w:sz w:val="18"/>
                      <w:szCs w:val="18"/>
                      <w:lang w:val="es-ES_tradnl"/>
                    </w:rPr>
                  </w:pPr>
                  <w:r w:rsidRPr="00C83BDF">
                    <w:rPr>
                      <w:sz w:val="18"/>
                      <w:szCs w:val="18"/>
                      <w:lang w:val="es-ES_tradnl"/>
                    </w:rPr>
                    <w:t>235</w:t>
                  </w:r>
                </w:p>
              </w:tc>
            </w:tr>
            <w:tr w:rsidR="00E65183" w:rsidRPr="00C83BDF">
              <w:tc>
                <w:tcPr>
                  <w:tcW w:w="3354" w:type="dxa"/>
                </w:tcPr>
                <w:p w:rsidR="00E65183" w:rsidRPr="00C83BDF" w:rsidRDefault="008B426B" w:rsidP="004737CD">
                  <w:pPr>
                    <w:pStyle w:val="Default"/>
                    <w:rPr>
                      <w:sz w:val="18"/>
                      <w:szCs w:val="18"/>
                      <w:lang w:val="es-ES_tradnl"/>
                    </w:rPr>
                  </w:pPr>
                  <w:r w:rsidRPr="00C83BDF">
                    <w:rPr>
                      <w:color w:val="auto"/>
                      <w:sz w:val="18"/>
                      <w:szCs w:val="18"/>
                      <w:lang w:val="es-ES_tradnl"/>
                    </w:rPr>
                    <w:t>Alemania</w:t>
                  </w:r>
                  <w:r w:rsidR="00E65183" w:rsidRPr="00C83BDF">
                    <w:rPr>
                      <w:sz w:val="18"/>
                      <w:szCs w:val="18"/>
                      <w:lang w:val="es-ES_tradnl"/>
                    </w:rPr>
                    <w:t xml:space="preserve"> </w:t>
                  </w:r>
                </w:p>
              </w:tc>
              <w:tc>
                <w:tcPr>
                  <w:tcW w:w="1350" w:type="dxa"/>
                </w:tcPr>
                <w:p w:rsidR="00E65183" w:rsidRPr="00C83BDF" w:rsidRDefault="00A4528F" w:rsidP="004737CD">
                  <w:pPr>
                    <w:pStyle w:val="Default"/>
                    <w:tabs>
                      <w:tab w:val="decimal" w:pos="819"/>
                    </w:tabs>
                    <w:rPr>
                      <w:sz w:val="18"/>
                      <w:szCs w:val="18"/>
                      <w:lang w:val="es-ES_tradnl"/>
                    </w:rPr>
                  </w:pPr>
                  <w:r w:rsidRPr="00C83BDF">
                    <w:rPr>
                      <w:sz w:val="18"/>
                      <w:szCs w:val="18"/>
                      <w:lang w:val="es-ES_tradnl"/>
                    </w:rPr>
                    <w:t>1.6</w:t>
                  </w:r>
                  <w:r w:rsidR="00E65183" w:rsidRPr="00C83BDF">
                    <w:rPr>
                      <w:sz w:val="18"/>
                      <w:szCs w:val="18"/>
                      <w:lang w:val="es-ES_tradnl"/>
                    </w:rPr>
                    <w:t>87</w:t>
                  </w:r>
                </w:p>
              </w:tc>
              <w:tc>
                <w:tcPr>
                  <w:tcW w:w="1420" w:type="dxa"/>
                </w:tcPr>
                <w:p w:rsidR="00E65183" w:rsidRPr="00C83BDF" w:rsidRDefault="00E65183" w:rsidP="004737CD">
                  <w:pPr>
                    <w:pStyle w:val="Default"/>
                    <w:jc w:val="center"/>
                    <w:rPr>
                      <w:sz w:val="18"/>
                      <w:szCs w:val="18"/>
                      <w:lang w:val="es-ES_tradnl"/>
                    </w:rPr>
                  </w:pPr>
                  <w:r w:rsidRPr="00C83BDF">
                    <w:rPr>
                      <w:sz w:val="18"/>
                      <w:szCs w:val="18"/>
                      <w:lang w:val="es-ES_tradnl"/>
                    </w:rPr>
                    <w:t>34</w:t>
                  </w:r>
                  <w:r w:rsidR="00A4528F" w:rsidRPr="00C83BDF">
                    <w:rPr>
                      <w:sz w:val="18"/>
                      <w:szCs w:val="18"/>
                      <w:lang w:val="es-ES_tradnl"/>
                    </w:rPr>
                    <w:t>,</w:t>
                  </w:r>
                  <w:r w:rsidRPr="00C83BDF">
                    <w:rPr>
                      <w:sz w:val="18"/>
                      <w:szCs w:val="18"/>
                      <w:lang w:val="es-ES_tradnl"/>
                    </w:rPr>
                    <w:t>85%</w:t>
                  </w:r>
                </w:p>
              </w:tc>
              <w:tc>
                <w:tcPr>
                  <w:tcW w:w="1276" w:type="dxa"/>
                </w:tcPr>
                <w:p w:rsidR="00E65183" w:rsidRPr="00C83BDF" w:rsidRDefault="00E65183" w:rsidP="004737CD">
                  <w:pPr>
                    <w:pStyle w:val="Default"/>
                    <w:tabs>
                      <w:tab w:val="decimal" w:pos="903"/>
                    </w:tabs>
                    <w:rPr>
                      <w:sz w:val="18"/>
                      <w:szCs w:val="18"/>
                      <w:lang w:val="es-ES_tradnl"/>
                    </w:rPr>
                  </w:pPr>
                  <w:r w:rsidRPr="00C83BDF">
                    <w:rPr>
                      <w:sz w:val="18"/>
                      <w:szCs w:val="18"/>
                      <w:lang w:val="es-ES_tradnl"/>
                    </w:rPr>
                    <w:t>588</w:t>
                  </w:r>
                </w:p>
              </w:tc>
            </w:tr>
            <w:tr w:rsidR="00E65183" w:rsidRPr="00C83BDF">
              <w:tc>
                <w:tcPr>
                  <w:tcW w:w="3354" w:type="dxa"/>
                </w:tcPr>
                <w:p w:rsidR="00E65183" w:rsidRPr="00C83BDF" w:rsidRDefault="008B426B" w:rsidP="004737CD">
                  <w:pPr>
                    <w:pStyle w:val="Default"/>
                    <w:rPr>
                      <w:sz w:val="18"/>
                      <w:szCs w:val="18"/>
                      <w:lang w:val="es-ES_tradnl"/>
                    </w:rPr>
                  </w:pPr>
                  <w:r w:rsidRPr="00C83BDF">
                    <w:rPr>
                      <w:color w:val="auto"/>
                      <w:sz w:val="18"/>
                      <w:szCs w:val="18"/>
                      <w:lang w:val="es-ES_tradnl"/>
                    </w:rPr>
                    <w:t>Nueva Zelandia</w:t>
                  </w:r>
                </w:p>
              </w:tc>
              <w:tc>
                <w:tcPr>
                  <w:tcW w:w="1350" w:type="dxa"/>
                </w:tcPr>
                <w:p w:rsidR="00E65183" w:rsidRPr="00C83BDF" w:rsidRDefault="00A4528F" w:rsidP="004737CD">
                  <w:pPr>
                    <w:pStyle w:val="Default"/>
                    <w:tabs>
                      <w:tab w:val="decimal" w:pos="819"/>
                    </w:tabs>
                    <w:rPr>
                      <w:sz w:val="18"/>
                      <w:szCs w:val="18"/>
                      <w:lang w:val="es-ES_tradnl"/>
                    </w:rPr>
                  </w:pPr>
                  <w:r w:rsidRPr="00C83BDF">
                    <w:rPr>
                      <w:sz w:val="18"/>
                      <w:szCs w:val="18"/>
                      <w:lang w:val="es-ES_tradnl"/>
                    </w:rPr>
                    <w:t>1.5</w:t>
                  </w:r>
                  <w:r w:rsidR="00E65183" w:rsidRPr="00C83BDF">
                    <w:rPr>
                      <w:sz w:val="18"/>
                      <w:szCs w:val="18"/>
                      <w:lang w:val="es-ES_tradnl"/>
                    </w:rPr>
                    <w:t>86</w:t>
                  </w:r>
                </w:p>
              </w:tc>
              <w:tc>
                <w:tcPr>
                  <w:tcW w:w="1420" w:type="dxa"/>
                </w:tcPr>
                <w:p w:rsidR="00E65183" w:rsidRPr="00C83BDF" w:rsidRDefault="00E65183" w:rsidP="004737CD">
                  <w:pPr>
                    <w:pStyle w:val="Default"/>
                    <w:jc w:val="center"/>
                    <w:rPr>
                      <w:sz w:val="18"/>
                      <w:szCs w:val="18"/>
                      <w:lang w:val="es-ES_tradnl"/>
                    </w:rPr>
                  </w:pPr>
                  <w:r w:rsidRPr="00C83BDF">
                    <w:rPr>
                      <w:sz w:val="18"/>
                      <w:szCs w:val="18"/>
                      <w:lang w:val="es-ES_tradnl"/>
                    </w:rPr>
                    <w:t>13</w:t>
                  </w:r>
                  <w:r w:rsidR="00A4528F" w:rsidRPr="00C83BDF">
                    <w:rPr>
                      <w:sz w:val="18"/>
                      <w:szCs w:val="18"/>
                      <w:lang w:val="es-ES_tradnl"/>
                    </w:rPr>
                    <w:t>,</w:t>
                  </w:r>
                  <w:r w:rsidRPr="00C83BDF">
                    <w:rPr>
                      <w:sz w:val="18"/>
                      <w:szCs w:val="18"/>
                      <w:lang w:val="es-ES_tradnl"/>
                    </w:rPr>
                    <w:t>37%</w:t>
                  </w:r>
                </w:p>
              </w:tc>
              <w:tc>
                <w:tcPr>
                  <w:tcW w:w="1276" w:type="dxa"/>
                </w:tcPr>
                <w:p w:rsidR="00E65183" w:rsidRPr="00C83BDF" w:rsidRDefault="00E65183" w:rsidP="004737CD">
                  <w:pPr>
                    <w:pStyle w:val="Default"/>
                    <w:tabs>
                      <w:tab w:val="decimal" w:pos="903"/>
                    </w:tabs>
                    <w:rPr>
                      <w:sz w:val="18"/>
                      <w:szCs w:val="18"/>
                      <w:lang w:val="es-ES_tradnl"/>
                    </w:rPr>
                  </w:pPr>
                  <w:r w:rsidRPr="00C83BDF">
                    <w:rPr>
                      <w:sz w:val="18"/>
                      <w:szCs w:val="18"/>
                      <w:lang w:val="es-ES_tradnl"/>
                    </w:rPr>
                    <w:t>212</w:t>
                  </w:r>
                </w:p>
              </w:tc>
            </w:tr>
            <w:tr w:rsidR="00E65183" w:rsidRPr="00C83BDF">
              <w:tc>
                <w:tcPr>
                  <w:tcW w:w="3354" w:type="dxa"/>
                </w:tcPr>
                <w:p w:rsidR="00E65183" w:rsidRPr="00C83BDF" w:rsidRDefault="008B426B" w:rsidP="004737CD">
                  <w:pPr>
                    <w:pStyle w:val="Default"/>
                    <w:rPr>
                      <w:sz w:val="18"/>
                      <w:szCs w:val="18"/>
                      <w:lang w:val="es-ES_tradnl"/>
                    </w:rPr>
                  </w:pPr>
                  <w:r w:rsidRPr="00C83BDF">
                    <w:rPr>
                      <w:color w:val="auto"/>
                      <w:sz w:val="18"/>
                      <w:szCs w:val="18"/>
                      <w:lang w:val="es-ES_tradnl"/>
                    </w:rPr>
                    <w:t>Japón</w:t>
                  </w:r>
                  <w:r w:rsidR="00E65183" w:rsidRPr="00C83BDF">
                    <w:rPr>
                      <w:sz w:val="18"/>
                      <w:szCs w:val="18"/>
                      <w:lang w:val="es-ES_tradnl"/>
                    </w:rPr>
                    <w:t xml:space="preserve"> </w:t>
                  </w:r>
                </w:p>
              </w:tc>
              <w:tc>
                <w:tcPr>
                  <w:tcW w:w="1350" w:type="dxa"/>
                </w:tcPr>
                <w:p w:rsidR="00E65183" w:rsidRPr="00C83BDF" w:rsidRDefault="00A4528F" w:rsidP="004737CD">
                  <w:pPr>
                    <w:pStyle w:val="Default"/>
                    <w:tabs>
                      <w:tab w:val="decimal" w:pos="819"/>
                    </w:tabs>
                    <w:rPr>
                      <w:sz w:val="18"/>
                      <w:szCs w:val="18"/>
                      <w:lang w:val="es-ES_tradnl"/>
                    </w:rPr>
                  </w:pPr>
                  <w:r w:rsidRPr="00C83BDF">
                    <w:rPr>
                      <w:sz w:val="18"/>
                      <w:szCs w:val="18"/>
                      <w:lang w:val="es-ES_tradnl"/>
                    </w:rPr>
                    <w:t>1.5</w:t>
                  </w:r>
                  <w:r w:rsidR="00E65183" w:rsidRPr="00C83BDF">
                    <w:rPr>
                      <w:sz w:val="18"/>
                      <w:szCs w:val="18"/>
                      <w:lang w:val="es-ES_tradnl"/>
                    </w:rPr>
                    <w:t>72</w:t>
                  </w:r>
                </w:p>
              </w:tc>
              <w:tc>
                <w:tcPr>
                  <w:tcW w:w="1420" w:type="dxa"/>
                </w:tcPr>
                <w:p w:rsidR="00E65183" w:rsidRPr="00C83BDF" w:rsidRDefault="00E65183" w:rsidP="004737CD">
                  <w:pPr>
                    <w:pStyle w:val="Default"/>
                    <w:jc w:val="center"/>
                    <w:rPr>
                      <w:sz w:val="18"/>
                      <w:szCs w:val="18"/>
                      <w:lang w:val="es-ES_tradnl"/>
                    </w:rPr>
                  </w:pPr>
                  <w:r w:rsidRPr="00C83BDF">
                    <w:rPr>
                      <w:sz w:val="18"/>
                      <w:szCs w:val="18"/>
                      <w:lang w:val="es-ES_tradnl"/>
                    </w:rPr>
                    <w:t>33</w:t>
                  </w:r>
                  <w:r w:rsidR="00A4528F" w:rsidRPr="00C83BDF">
                    <w:rPr>
                      <w:sz w:val="18"/>
                      <w:szCs w:val="18"/>
                      <w:lang w:val="es-ES_tradnl"/>
                    </w:rPr>
                    <w:t>,</w:t>
                  </w:r>
                  <w:r w:rsidRPr="00C83BDF">
                    <w:rPr>
                      <w:sz w:val="18"/>
                      <w:szCs w:val="18"/>
                      <w:lang w:val="es-ES_tradnl"/>
                    </w:rPr>
                    <w:t>46%</w:t>
                  </w:r>
                </w:p>
              </w:tc>
              <w:tc>
                <w:tcPr>
                  <w:tcW w:w="1276" w:type="dxa"/>
                </w:tcPr>
                <w:p w:rsidR="00E65183" w:rsidRPr="00C83BDF" w:rsidRDefault="00E65183" w:rsidP="004737CD">
                  <w:pPr>
                    <w:pStyle w:val="Default"/>
                    <w:tabs>
                      <w:tab w:val="decimal" w:pos="903"/>
                    </w:tabs>
                    <w:rPr>
                      <w:sz w:val="18"/>
                      <w:szCs w:val="18"/>
                      <w:lang w:val="es-ES_tradnl"/>
                    </w:rPr>
                  </w:pPr>
                  <w:r w:rsidRPr="00C83BDF">
                    <w:rPr>
                      <w:sz w:val="18"/>
                      <w:szCs w:val="18"/>
                      <w:lang w:val="es-ES_tradnl"/>
                    </w:rPr>
                    <w:t>526</w:t>
                  </w:r>
                </w:p>
              </w:tc>
            </w:tr>
          </w:tbl>
          <w:p w:rsidR="00E65183" w:rsidRPr="00C83BDF" w:rsidRDefault="00E65183" w:rsidP="004737CD">
            <w:pPr>
              <w:rPr>
                <w:lang w:val="es-ES_tradnl"/>
              </w:rPr>
            </w:pPr>
          </w:p>
        </w:tc>
      </w:tr>
    </w:tbl>
    <w:p w:rsidR="00E65183" w:rsidRDefault="00E65183" w:rsidP="00E65183">
      <w:pPr>
        <w:rPr>
          <w:lang w:val="es-ES_tradnl"/>
        </w:rPr>
      </w:pPr>
    </w:p>
    <w:p w:rsidR="00F64FBE" w:rsidRPr="00C83BDF" w:rsidRDefault="00F64FBE" w:rsidP="00E65183">
      <w:pPr>
        <w:rPr>
          <w:lang w:val="es-ES_tradnl"/>
        </w:rPr>
      </w:pPr>
    </w:p>
    <w:tbl>
      <w:tblPr>
        <w:tblW w:w="9889" w:type="dxa"/>
        <w:tblLayout w:type="fixed"/>
        <w:tblLook w:val="0000" w:firstRow="0" w:lastRow="0" w:firstColumn="0" w:lastColumn="0" w:noHBand="0" w:noVBand="0"/>
      </w:tblPr>
      <w:tblGrid>
        <w:gridCol w:w="1951"/>
        <w:gridCol w:w="7938"/>
      </w:tblGrid>
      <w:tr w:rsidR="00E65183" w:rsidRPr="00C83BDF">
        <w:trPr>
          <w:cantSplit/>
        </w:trPr>
        <w:tc>
          <w:tcPr>
            <w:tcW w:w="1951" w:type="dxa"/>
            <w:shd w:val="clear" w:color="auto" w:fill="auto"/>
          </w:tcPr>
          <w:p w:rsidR="00E65183" w:rsidRPr="00C83BDF" w:rsidRDefault="00E65183" w:rsidP="004737CD">
            <w:pPr>
              <w:jc w:val="left"/>
              <w:rPr>
                <w:sz w:val="18"/>
                <w:lang w:val="es-ES_tradnl"/>
              </w:rPr>
            </w:pPr>
          </w:p>
        </w:tc>
        <w:tc>
          <w:tcPr>
            <w:tcW w:w="7938" w:type="dxa"/>
            <w:shd w:val="clear" w:color="auto" w:fill="auto"/>
          </w:tcPr>
          <w:p w:rsidR="00E65183" w:rsidRPr="00C83BDF" w:rsidRDefault="008B426B" w:rsidP="001D7439">
            <w:pPr>
              <w:pStyle w:val="Heading8"/>
              <w:rPr>
                <w:lang w:val="es-ES_tradnl"/>
              </w:rPr>
            </w:pPr>
            <w:bookmarkStart w:id="69" w:name="_Toc431824254"/>
            <w:r w:rsidRPr="00C83BDF">
              <w:rPr>
                <w:lang w:val="es-ES_tradnl"/>
              </w:rPr>
              <w:t>d)  Calidad e integridad de los datos de la Base de datos sobre variedades vegetales y calidad del mecanismo de búsqueda;</w:t>
            </w:r>
            <w:r w:rsidR="00D94EA2" w:rsidRPr="00C83BDF">
              <w:rPr>
                <w:lang w:val="es-ES_tradnl"/>
              </w:rPr>
              <w:t xml:space="preserve">  </w:t>
            </w:r>
            <w:r w:rsidRPr="00C83BDF">
              <w:rPr>
                <w:lang w:val="es-ES_tradnl"/>
              </w:rPr>
              <w:t>mecanismos de acceso a otros datos pertinentes</w:t>
            </w:r>
            <w:bookmarkEnd w:id="69"/>
          </w:p>
          <w:p w:rsidR="00E65183" w:rsidRPr="00C83BDF" w:rsidRDefault="00E65183" w:rsidP="001D7439">
            <w:pPr>
              <w:tabs>
                <w:tab w:val="left" w:pos="176"/>
                <w:tab w:val="left" w:pos="2302"/>
              </w:tabs>
              <w:spacing w:after="120"/>
              <w:ind w:left="459" w:hanging="459"/>
              <w:jc w:val="left"/>
              <w:rPr>
                <w:sz w:val="18"/>
                <w:szCs w:val="18"/>
                <w:lang w:val="es-ES_tradnl"/>
              </w:rPr>
            </w:pPr>
            <w:r w:rsidRPr="00C83BDF">
              <w:rPr>
                <w:sz w:val="18"/>
                <w:szCs w:val="18"/>
                <w:lang w:val="es-ES_tradnl"/>
              </w:rPr>
              <w:t xml:space="preserve">- </w:t>
            </w:r>
            <w:r w:rsidRPr="00C83BDF">
              <w:rPr>
                <w:sz w:val="18"/>
                <w:szCs w:val="18"/>
                <w:lang w:val="es-ES_tradnl"/>
              </w:rPr>
              <w:tab/>
            </w:r>
            <w:r w:rsidR="008B426B" w:rsidRPr="00C83BDF">
              <w:rPr>
                <w:sz w:val="18"/>
                <w:szCs w:val="18"/>
                <w:lang w:val="es-ES_tradnl"/>
              </w:rPr>
              <w:t>Número total de registros existentes en la base de datos PLUTO al final de 2014:</w:t>
            </w:r>
            <w:r w:rsidRPr="00C83BDF">
              <w:rPr>
                <w:sz w:val="18"/>
                <w:szCs w:val="18"/>
                <w:lang w:val="es-ES_tradnl"/>
              </w:rPr>
              <w:br/>
            </w:r>
            <w:r w:rsidR="008B426B" w:rsidRPr="00C83BDF">
              <w:rPr>
                <w:sz w:val="18"/>
                <w:szCs w:val="18"/>
                <w:lang w:val="es-ES_tradnl" w:eastAsia="ja-JP"/>
              </w:rPr>
              <w:t>688.541</w:t>
            </w:r>
            <w:r w:rsidR="008B426B" w:rsidRPr="00C83BDF">
              <w:rPr>
                <w:sz w:val="18"/>
                <w:szCs w:val="18"/>
                <w:lang w:val="es-ES_tradnl"/>
              </w:rPr>
              <w:t xml:space="preserve">   (</w:t>
            </w:r>
            <w:r w:rsidR="008B426B" w:rsidRPr="00C83BDF">
              <w:rPr>
                <w:sz w:val="18"/>
                <w:szCs w:val="18"/>
                <w:lang w:val="es-ES_tradnl" w:eastAsia="ja-JP"/>
              </w:rPr>
              <w:t>645.068 al final de 2013</w:t>
            </w:r>
            <w:r w:rsidR="008B426B" w:rsidRPr="00C83BDF">
              <w:rPr>
                <w:sz w:val="18"/>
                <w:szCs w:val="18"/>
                <w:lang w:val="es-ES_tradnl"/>
              </w:rPr>
              <w:t>)</w:t>
            </w:r>
          </w:p>
          <w:p w:rsidR="00E65183" w:rsidRPr="00C83BDF" w:rsidRDefault="00E65183" w:rsidP="004737CD">
            <w:pPr>
              <w:tabs>
                <w:tab w:val="left" w:pos="176"/>
              </w:tabs>
              <w:ind w:left="176" w:hanging="176"/>
              <w:jc w:val="left"/>
              <w:rPr>
                <w:sz w:val="18"/>
                <w:szCs w:val="18"/>
                <w:lang w:val="es-ES_tradnl"/>
              </w:rPr>
            </w:pPr>
            <w:r w:rsidRPr="00C83BDF">
              <w:rPr>
                <w:sz w:val="18"/>
                <w:szCs w:val="18"/>
                <w:lang w:val="es-ES_tradnl"/>
              </w:rPr>
              <w:t xml:space="preserve">- </w:t>
            </w:r>
            <w:r w:rsidRPr="00C83BDF">
              <w:rPr>
                <w:sz w:val="18"/>
                <w:szCs w:val="18"/>
                <w:lang w:val="es-ES_tradnl"/>
              </w:rPr>
              <w:tab/>
            </w:r>
            <w:r w:rsidR="008B426B" w:rsidRPr="00C83BDF">
              <w:rPr>
                <w:sz w:val="18"/>
                <w:szCs w:val="18"/>
                <w:lang w:val="es-ES_tradnl"/>
              </w:rPr>
              <w:t>Número de aportaciones de nuevos datos efectuadas en 2014:</w:t>
            </w:r>
          </w:p>
          <w:p w:rsidR="00E65183" w:rsidRPr="00C83BDF" w:rsidRDefault="00E65183" w:rsidP="001D7439">
            <w:pPr>
              <w:spacing w:after="120"/>
              <w:ind w:left="459" w:hanging="459"/>
              <w:jc w:val="left"/>
              <w:rPr>
                <w:sz w:val="18"/>
                <w:szCs w:val="18"/>
                <w:lang w:val="es-ES_tradnl"/>
              </w:rPr>
            </w:pPr>
            <w:r w:rsidRPr="00C83BDF">
              <w:rPr>
                <w:sz w:val="18"/>
                <w:szCs w:val="18"/>
                <w:lang w:val="es-ES_tradnl"/>
              </w:rPr>
              <w:tab/>
            </w:r>
            <w:r w:rsidR="008B426B" w:rsidRPr="00C83BDF">
              <w:rPr>
                <w:sz w:val="18"/>
                <w:szCs w:val="18"/>
                <w:lang w:val="es-ES_tradnl" w:eastAsia="ja-JP"/>
              </w:rPr>
              <w:t>175</w:t>
            </w:r>
            <w:r w:rsidR="008B426B" w:rsidRPr="00C83BDF">
              <w:rPr>
                <w:sz w:val="18"/>
                <w:szCs w:val="18"/>
                <w:lang w:val="es-ES_tradnl"/>
              </w:rPr>
              <w:t xml:space="preserve">   (</w:t>
            </w:r>
            <w:r w:rsidR="008B426B" w:rsidRPr="00C83BDF">
              <w:rPr>
                <w:sz w:val="18"/>
                <w:szCs w:val="18"/>
                <w:lang w:val="es-ES_tradnl" w:eastAsia="ja-JP"/>
              </w:rPr>
              <w:t>163</w:t>
            </w:r>
            <w:r w:rsidR="008B426B" w:rsidRPr="00C83BDF">
              <w:rPr>
                <w:sz w:val="18"/>
                <w:szCs w:val="18"/>
                <w:lang w:val="es-ES_tradnl"/>
              </w:rPr>
              <w:t xml:space="preserve"> en </w:t>
            </w:r>
            <w:r w:rsidR="008B426B" w:rsidRPr="00C83BDF">
              <w:rPr>
                <w:sz w:val="18"/>
                <w:szCs w:val="18"/>
                <w:lang w:val="es-ES_tradnl" w:eastAsia="ja-JP"/>
              </w:rPr>
              <w:t>2013</w:t>
            </w:r>
            <w:r w:rsidR="008B426B" w:rsidRPr="00C83BDF">
              <w:rPr>
                <w:sz w:val="18"/>
                <w:szCs w:val="18"/>
                <w:lang w:val="es-ES_tradnl"/>
              </w:rPr>
              <w:t>)</w:t>
            </w:r>
          </w:p>
          <w:p w:rsidR="00E65183" w:rsidRPr="00C83BDF" w:rsidRDefault="00E65183" w:rsidP="001D7439">
            <w:pPr>
              <w:tabs>
                <w:tab w:val="left" w:pos="176"/>
              </w:tabs>
              <w:spacing w:after="120"/>
              <w:ind w:left="459" w:hanging="459"/>
              <w:jc w:val="left"/>
              <w:rPr>
                <w:sz w:val="18"/>
                <w:szCs w:val="18"/>
                <w:lang w:val="es-ES_tradnl"/>
              </w:rPr>
            </w:pPr>
            <w:r w:rsidRPr="00C83BDF">
              <w:rPr>
                <w:sz w:val="18"/>
                <w:szCs w:val="18"/>
                <w:lang w:val="es-ES_tradnl"/>
              </w:rPr>
              <w:t xml:space="preserve">- </w:t>
            </w:r>
            <w:r w:rsidRPr="00C83BDF">
              <w:rPr>
                <w:sz w:val="18"/>
                <w:szCs w:val="18"/>
                <w:lang w:val="es-ES_tradnl"/>
              </w:rPr>
              <w:tab/>
            </w:r>
            <w:r w:rsidR="008B426B" w:rsidRPr="00C83BDF">
              <w:rPr>
                <w:sz w:val="18"/>
                <w:szCs w:val="18"/>
                <w:lang w:val="es-ES_tradnl"/>
              </w:rPr>
              <w:t>Número de contribuyentes de datos presentes en la base de datos PLUTO al final de 2014:</w:t>
            </w:r>
            <w:r w:rsidRPr="00C83BDF">
              <w:rPr>
                <w:sz w:val="18"/>
                <w:szCs w:val="18"/>
                <w:lang w:val="es-ES_tradnl"/>
              </w:rPr>
              <w:br/>
            </w:r>
            <w:r w:rsidR="008B426B" w:rsidRPr="00C83BDF">
              <w:rPr>
                <w:sz w:val="18"/>
                <w:szCs w:val="18"/>
                <w:lang w:val="es-ES_tradnl"/>
              </w:rPr>
              <w:t>63   (56 en 2013)</w:t>
            </w:r>
          </w:p>
          <w:p w:rsidR="00E65183" w:rsidRPr="00C83BDF" w:rsidRDefault="00E65183" w:rsidP="001D7439">
            <w:pPr>
              <w:tabs>
                <w:tab w:val="left" w:pos="176"/>
                <w:tab w:val="left" w:pos="2302"/>
              </w:tabs>
              <w:spacing w:after="120"/>
              <w:ind w:left="459" w:hanging="459"/>
              <w:jc w:val="left"/>
              <w:rPr>
                <w:sz w:val="18"/>
                <w:szCs w:val="18"/>
                <w:lang w:val="es-ES_tradnl" w:eastAsia="ja-JP"/>
              </w:rPr>
            </w:pPr>
            <w:r w:rsidRPr="00C83BDF">
              <w:rPr>
                <w:sz w:val="18"/>
                <w:szCs w:val="18"/>
                <w:lang w:val="es-ES_tradnl"/>
              </w:rPr>
              <w:t xml:space="preserve">- </w:t>
            </w:r>
            <w:r w:rsidRPr="00C83BDF">
              <w:rPr>
                <w:sz w:val="18"/>
                <w:szCs w:val="18"/>
                <w:lang w:val="es-ES_tradnl"/>
              </w:rPr>
              <w:tab/>
            </w:r>
            <w:r w:rsidR="008B426B" w:rsidRPr="00C83BDF">
              <w:rPr>
                <w:sz w:val="18"/>
                <w:szCs w:val="18"/>
                <w:lang w:val="es-ES_tradnl"/>
              </w:rPr>
              <w:t>Número de miembros de la Unión que aportaron datos en 2014:</w:t>
            </w:r>
            <w:r w:rsidRPr="00C83BDF">
              <w:rPr>
                <w:sz w:val="18"/>
                <w:szCs w:val="18"/>
                <w:lang w:val="es-ES_tradnl"/>
              </w:rPr>
              <w:br/>
            </w:r>
            <w:r w:rsidR="008B426B" w:rsidRPr="00C83BDF">
              <w:rPr>
                <w:sz w:val="18"/>
                <w:szCs w:val="18"/>
                <w:lang w:val="es-ES_tradnl" w:eastAsia="ja-JP"/>
              </w:rPr>
              <w:t>48   (45 en 2013)</w:t>
            </w:r>
          </w:p>
          <w:p w:rsidR="00E65183" w:rsidRPr="00C83BDF" w:rsidRDefault="00E65183" w:rsidP="001D7439">
            <w:pPr>
              <w:tabs>
                <w:tab w:val="left" w:pos="176"/>
              </w:tabs>
              <w:spacing w:after="120"/>
              <w:ind w:left="459" w:hanging="459"/>
              <w:jc w:val="left"/>
              <w:rPr>
                <w:sz w:val="18"/>
                <w:szCs w:val="18"/>
                <w:lang w:val="es-ES_tradnl" w:eastAsia="ja-JP"/>
              </w:rPr>
            </w:pPr>
            <w:r w:rsidRPr="00C83BDF">
              <w:rPr>
                <w:sz w:val="18"/>
                <w:szCs w:val="18"/>
                <w:lang w:val="es-ES_tradnl"/>
              </w:rPr>
              <w:t xml:space="preserve">- </w:t>
            </w:r>
            <w:r w:rsidRPr="00C83BDF">
              <w:rPr>
                <w:sz w:val="18"/>
                <w:szCs w:val="18"/>
                <w:lang w:val="es-ES_tradnl"/>
              </w:rPr>
              <w:tab/>
            </w:r>
            <w:r w:rsidR="008B426B" w:rsidRPr="00C83BDF">
              <w:rPr>
                <w:sz w:val="18"/>
                <w:szCs w:val="18"/>
                <w:lang w:val="es-ES_tradnl"/>
              </w:rPr>
              <w:t>Número de miembros de la Unión que aportaron datos por primera vez en 2014:</w:t>
            </w:r>
            <w:r w:rsidRPr="00C83BDF">
              <w:rPr>
                <w:sz w:val="18"/>
                <w:szCs w:val="18"/>
                <w:lang w:val="es-ES_tradnl"/>
              </w:rPr>
              <w:br/>
            </w:r>
            <w:r w:rsidR="008B426B" w:rsidRPr="00C83BDF">
              <w:rPr>
                <w:sz w:val="18"/>
                <w:szCs w:val="18"/>
                <w:lang w:val="es-ES_tradnl" w:eastAsia="ja-JP"/>
              </w:rPr>
              <w:t>2</w:t>
            </w:r>
            <w:r w:rsidR="008B426B" w:rsidRPr="00C83BDF">
              <w:rPr>
                <w:sz w:val="18"/>
                <w:szCs w:val="18"/>
                <w:lang w:val="es-ES_tradnl"/>
              </w:rPr>
              <w:t xml:space="preserve"> (</w:t>
            </w:r>
            <w:r w:rsidR="008B426B" w:rsidRPr="00C83BDF">
              <w:rPr>
                <w:sz w:val="18"/>
                <w:szCs w:val="18"/>
                <w:lang w:val="es-ES_tradnl" w:eastAsia="ja-JP"/>
              </w:rPr>
              <w:t>CR, PY</w:t>
            </w:r>
            <w:r w:rsidR="008B426B" w:rsidRPr="00C83BDF">
              <w:rPr>
                <w:sz w:val="18"/>
                <w:szCs w:val="18"/>
                <w:lang w:val="es-ES_tradnl"/>
              </w:rPr>
              <w:t>)   (</w:t>
            </w:r>
            <w:r w:rsidR="008B426B" w:rsidRPr="00C83BDF">
              <w:rPr>
                <w:sz w:val="18"/>
                <w:szCs w:val="18"/>
                <w:lang w:val="es-ES_tradnl" w:eastAsia="ja-JP"/>
              </w:rPr>
              <w:t>4</w:t>
            </w:r>
            <w:r w:rsidR="008B426B" w:rsidRPr="00C83BDF">
              <w:rPr>
                <w:sz w:val="18"/>
                <w:szCs w:val="18"/>
                <w:lang w:val="es-ES_tradnl"/>
              </w:rPr>
              <w:t xml:space="preserve"> en 201</w:t>
            </w:r>
            <w:r w:rsidR="008B426B" w:rsidRPr="00C83BDF">
              <w:rPr>
                <w:sz w:val="18"/>
                <w:szCs w:val="18"/>
                <w:lang w:val="es-ES_tradnl" w:eastAsia="ja-JP"/>
              </w:rPr>
              <w:t>3</w:t>
            </w:r>
            <w:r w:rsidR="008B426B" w:rsidRPr="00C83BDF">
              <w:rPr>
                <w:sz w:val="18"/>
                <w:szCs w:val="18"/>
                <w:lang w:val="es-ES_tradnl"/>
              </w:rPr>
              <w:t>)</w:t>
            </w:r>
          </w:p>
          <w:p w:rsidR="00E65183" w:rsidRPr="00C83BDF" w:rsidRDefault="00E65183" w:rsidP="001D7439">
            <w:pPr>
              <w:tabs>
                <w:tab w:val="left" w:pos="176"/>
              </w:tabs>
              <w:spacing w:after="240"/>
              <w:ind w:left="459" w:hanging="459"/>
              <w:jc w:val="left"/>
              <w:rPr>
                <w:sz w:val="18"/>
                <w:szCs w:val="18"/>
                <w:lang w:val="es-ES_tradnl"/>
              </w:rPr>
            </w:pPr>
            <w:r w:rsidRPr="00C83BDF">
              <w:rPr>
                <w:sz w:val="18"/>
                <w:szCs w:val="18"/>
                <w:lang w:val="es-ES_tradnl"/>
              </w:rPr>
              <w:t xml:space="preserve">- </w:t>
            </w:r>
            <w:r w:rsidRPr="00C83BDF">
              <w:rPr>
                <w:sz w:val="18"/>
                <w:szCs w:val="18"/>
                <w:lang w:val="es-ES_tradnl"/>
              </w:rPr>
              <w:tab/>
            </w:r>
            <w:r w:rsidR="008B426B" w:rsidRPr="00C83BDF">
              <w:rPr>
                <w:sz w:val="18"/>
                <w:szCs w:val="18"/>
                <w:lang w:val="es-ES_tradnl"/>
              </w:rPr>
              <w:t>Otros contribuyentes de datos en 2014:</w:t>
            </w:r>
            <w:r w:rsidRPr="00C83BDF">
              <w:rPr>
                <w:sz w:val="18"/>
                <w:szCs w:val="18"/>
                <w:lang w:val="es-ES_tradnl"/>
              </w:rPr>
              <w:br/>
            </w:r>
            <w:r w:rsidR="008B426B" w:rsidRPr="00C83BDF">
              <w:rPr>
                <w:sz w:val="18"/>
                <w:szCs w:val="18"/>
                <w:lang w:val="es-ES_tradnl"/>
              </w:rPr>
              <w:t>1 (OCDE)   (1 en 2013)</w:t>
            </w:r>
          </w:p>
          <w:p w:rsidR="00E65183" w:rsidRPr="00C83BDF" w:rsidRDefault="008B426B" w:rsidP="004737CD">
            <w:pPr>
              <w:jc w:val="left"/>
              <w:rPr>
                <w:sz w:val="18"/>
                <w:szCs w:val="18"/>
                <w:lang w:val="es-ES_tradnl"/>
              </w:rPr>
            </w:pPr>
            <w:r w:rsidRPr="00C83BDF">
              <w:rPr>
                <w:sz w:val="18"/>
                <w:szCs w:val="18"/>
                <w:lang w:val="es-ES_tradnl"/>
              </w:rPr>
              <w:t>Novedades en relación con la Base de datos sobre variedades vegetales (base de datos PLUTO):</w:t>
            </w:r>
            <w:r w:rsidR="00E65183" w:rsidRPr="00C83BDF">
              <w:rPr>
                <w:sz w:val="18"/>
                <w:szCs w:val="18"/>
                <w:lang w:val="es-ES_tradnl"/>
              </w:rPr>
              <w:br/>
            </w:r>
          </w:p>
          <w:p w:rsidR="00E65183" w:rsidRPr="00C83BDF" w:rsidRDefault="00244823" w:rsidP="004737CD">
            <w:pPr>
              <w:pStyle w:val="ListParagraph"/>
              <w:numPr>
                <w:ilvl w:val="0"/>
                <w:numId w:val="9"/>
              </w:numPr>
              <w:tabs>
                <w:tab w:val="clear" w:pos="1209"/>
              </w:tabs>
              <w:ind w:left="601"/>
              <w:jc w:val="left"/>
              <w:rPr>
                <w:rFonts w:cs="Arial"/>
                <w:color w:val="000000"/>
                <w:sz w:val="18"/>
                <w:szCs w:val="18"/>
                <w:lang w:val="es-ES_tradnl"/>
              </w:rPr>
            </w:pPr>
            <w:r w:rsidRPr="00C83BDF">
              <w:rPr>
                <w:rFonts w:cs="Arial"/>
                <w:color w:val="000000"/>
                <w:sz w:val="18"/>
                <w:szCs w:val="18"/>
                <w:lang w:val="es-ES_tradnl"/>
              </w:rPr>
              <w:t>Se ha</w:t>
            </w:r>
            <w:r w:rsidR="00391B43" w:rsidRPr="00C83BDF">
              <w:rPr>
                <w:rFonts w:cs="Arial"/>
                <w:color w:val="000000"/>
                <w:sz w:val="18"/>
                <w:szCs w:val="18"/>
                <w:lang w:val="es-ES_tradnl"/>
              </w:rPr>
              <w:t>n</w:t>
            </w:r>
            <w:r w:rsidRPr="00C83BDF">
              <w:rPr>
                <w:rFonts w:cs="Arial"/>
                <w:color w:val="000000"/>
                <w:sz w:val="18"/>
                <w:szCs w:val="18"/>
                <w:lang w:val="es-ES_tradnl"/>
              </w:rPr>
              <w:t xml:space="preserve"> </w:t>
            </w:r>
            <w:r w:rsidR="008662F1" w:rsidRPr="00C83BDF">
              <w:rPr>
                <w:rFonts w:cs="Arial"/>
                <w:color w:val="000000"/>
                <w:sz w:val="18"/>
                <w:szCs w:val="18"/>
                <w:lang w:val="es-ES_tradnl"/>
              </w:rPr>
              <w:t xml:space="preserve">suprimido </w:t>
            </w:r>
            <w:r w:rsidR="00391B43" w:rsidRPr="00C83BDF">
              <w:rPr>
                <w:rFonts w:cs="Arial"/>
                <w:color w:val="000000"/>
                <w:sz w:val="18"/>
                <w:szCs w:val="18"/>
                <w:lang w:val="es-ES_tradnl"/>
              </w:rPr>
              <w:t xml:space="preserve">los plazos </w:t>
            </w:r>
            <w:r w:rsidRPr="00C83BDF">
              <w:rPr>
                <w:rFonts w:cs="Arial"/>
                <w:color w:val="000000"/>
                <w:sz w:val="18"/>
                <w:szCs w:val="18"/>
                <w:lang w:val="es-ES_tradnl"/>
              </w:rPr>
              <w:t>fijo</w:t>
            </w:r>
            <w:r w:rsidR="00391B43" w:rsidRPr="00C83BDF">
              <w:rPr>
                <w:rFonts w:cs="Arial"/>
                <w:color w:val="000000"/>
                <w:sz w:val="18"/>
                <w:szCs w:val="18"/>
                <w:lang w:val="es-ES_tradnl"/>
              </w:rPr>
              <w:t>s</w:t>
            </w:r>
            <w:r w:rsidRPr="00C83BDF">
              <w:rPr>
                <w:rFonts w:cs="Arial"/>
                <w:color w:val="000000"/>
                <w:sz w:val="18"/>
                <w:szCs w:val="18"/>
                <w:lang w:val="es-ES_tradnl"/>
              </w:rPr>
              <w:t xml:space="preserve"> </w:t>
            </w:r>
            <w:r w:rsidR="00391B43" w:rsidRPr="00C83BDF">
              <w:rPr>
                <w:rFonts w:cs="Arial"/>
                <w:color w:val="000000"/>
                <w:sz w:val="18"/>
                <w:szCs w:val="18"/>
                <w:lang w:val="es-ES_tradnl"/>
              </w:rPr>
              <w:t xml:space="preserve">de </w:t>
            </w:r>
            <w:r w:rsidRPr="00C83BDF">
              <w:rPr>
                <w:rFonts w:cs="Arial"/>
                <w:color w:val="000000"/>
                <w:sz w:val="18"/>
                <w:szCs w:val="18"/>
                <w:lang w:val="es-ES_tradnl"/>
              </w:rPr>
              <w:t>presentación de datos:</w:t>
            </w:r>
            <w:r w:rsidR="00E65183" w:rsidRPr="00C83BDF">
              <w:rPr>
                <w:rFonts w:cs="Arial"/>
                <w:color w:val="000000"/>
                <w:sz w:val="18"/>
                <w:szCs w:val="18"/>
                <w:lang w:val="es-ES_tradnl"/>
              </w:rPr>
              <w:t xml:space="preserve">  </w:t>
            </w:r>
            <w:r w:rsidR="00391B43" w:rsidRPr="00C83BDF">
              <w:rPr>
                <w:rFonts w:cs="Arial"/>
                <w:color w:val="000000"/>
                <w:sz w:val="18"/>
                <w:szCs w:val="18"/>
                <w:lang w:val="es-ES_tradnl"/>
              </w:rPr>
              <w:t xml:space="preserve">los </w:t>
            </w:r>
            <w:r w:rsidR="001D7439" w:rsidRPr="00C83BDF">
              <w:rPr>
                <w:rFonts w:cs="Arial"/>
                <w:color w:val="000000"/>
                <w:sz w:val="18"/>
                <w:szCs w:val="18"/>
                <w:lang w:val="es-ES_tradnl"/>
              </w:rPr>
              <w:t xml:space="preserve">nuevos </w:t>
            </w:r>
            <w:r w:rsidR="00391B43" w:rsidRPr="00C83BDF">
              <w:rPr>
                <w:rFonts w:cs="Arial"/>
                <w:color w:val="000000"/>
                <w:sz w:val="18"/>
                <w:szCs w:val="18"/>
                <w:lang w:val="es-ES_tradnl"/>
              </w:rPr>
              <w:t xml:space="preserve">datos </w:t>
            </w:r>
            <w:r w:rsidRPr="00C83BDF">
              <w:rPr>
                <w:rFonts w:cs="Arial"/>
                <w:color w:val="000000"/>
                <w:sz w:val="18"/>
                <w:szCs w:val="18"/>
                <w:lang w:val="es-ES_tradnl"/>
              </w:rPr>
              <w:t>pueden enviarse a la base de datos en cualquier momento.</w:t>
            </w:r>
          </w:p>
          <w:p w:rsidR="00E65183" w:rsidRPr="00C83BDF" w:rsidRDefault="00244823" w:rsidP="004737CD">
            <w:pPr>
              <w:pStyle w:val="ListParagraph"/>
              <w:numPr>
                <w:ilvl w:val="0"/>
                <w:numId w:val="9"/>
              </w:numPr>
              <w:tabs>
                <w:tab w:val="clear" w:pos="1209"/>
              </w:tabs>
              <w:ind w:left="601"/>
              <w:jc w:val="left"/>
              <w:rPr>
                <w:sz w:val="18"/>
                <w:szCs w:val="18"/>
                <w:lang w:val="es-ES_tradnl"/>
              </w:rPr>
            </w:pPr>
            <w:r w:rsidRPr="00C83BDF">
              <w:rPr>
                <w:rFonts w:cs="Arial"/>
                <w:color w:val="000000"/>
                <w:sz w:val="18"/>
                <w:szCs w:val="18"/>
                <w:lang w:val="es-ES_tradnl" w:eastAsia="ja-JP"/>
              </w:rPr>
              <w:t>El procedimiento para la asignación y la corrección de los códigos UPOV se ha modificado.</w:t>
            </w:r>
            <w:r w:rsidR="00D94EA2" w:rsidRPr="00C83BDF">
              <w:rPr>
                <w:rFonts w:cs="Arial"/>
                <w:color w:val="000000"/>
                <w:sz w:val="18"/>
                <w:szCs w:val="18"/>
                <w:lang w:val="es-ES_tradnl" w:eastAsia="ja-JP"/>
              </w:rPr>
              <w:t xml:space="preserve">  </w:t>
            </w:r>
            <w:r w:rsidRPr="00C83BDF">
              <w:rPr>
                <w:rFonts w:cs="Arial"/>
                <w:color w:val="000000"/>
                <w:sz w:val="18"/>
                <w:szCs w:val="18"/>
                <w:lang w:val="es-ES_tradnl" w:eastAsia="ja-JP"/>
              </w:rPr>
              <w:t>Tras la recepción de los datos, el administrador de la base de datos PLUTO asignará códigos UPOV en los casos en que no se hayan proporcionado y modificará los códigos UPOV que no se correspondan con la asignación realizada en la base de datos GENIE.</w:t>
            </w:r>
            <w:r w:rsidR="00D94EA2" w:rsidRPr="00C83BDF">
              <w:rPr>
                <w:rFonts w:cs="Arial"/>
                <w:color w:val="000000"/>
                <w:sz w:val="18"/>
                <w:szCs w:val="18"/>
                <w:lang w:val="es-ES_tradnl" w:eastAsia="ja-JP"/>
              </w:rPr>
              <w:t xml:space="preserve">  </w:t>
            </w:r>
            <w:r w:rsidRPr="00C83BDF">
              <w:rPr>
                <w:rFonts w:cs="Arial"/>
                <w:color w:val="000000"/>
                <w:sz w:val="18"/>
                <w:szCs w:val="18"/>
                <w:lang w:val="es-ES_tradnl" w:eastAsia="ja-JP"/>
              </w:rPr>
              <w:t>Se notificará a los contribuyentes la asignación propuesta y, salvo indicación en sentido contrario, se utilizarán los códigos UPOV propuestos por el administrador de la base de datos PLUTO.</w:t>
            </w:r>
            <w:r w:rsidR="00E65183" w:rsidRPr="00C83BDF">
              <w:rPr>
                <w:rFonts w:cs="Arial"/>
                <w:color w:val="000000"/>
                <w:sz w:val="18"/>
                <w:szCs w:val="18"/>
                <w:lang w:val="es-ES_tradnl" w:eastAsia="ja-JP"/>
              </w:rPr>
              <w:t xml:space="preserve">  </w:t>
            </w:r>
            <w:r w:rsidRPr="00C83BDF">
              <w:rPr>
                <w:rFonts w:cs="Arial"/>
                <w:color w:val="000000"/>
                <w:sz w:val="18"/>
                <w:szCs w:val="18"/>
                <w:lang w:val="es-ES_tradnl" w:eastAsia="ja-JP"/>
              </w:rPr>
              <w:t>Cuando el contribuyente notifique al administrador de la base de datos PLUTO un error en la asignación, los datos se modificarán en la siguiente introducción de datos.</w:t>
            </w:r>
          </w:p>
        </w:tc>
      </w:tr>
    </w:tbl>
    <w:p w:rsidR="00E65183" w:rsidRDefault="00E65183" w:rsidP="00E65183">
      <w:pPr>
        <w:rPr>
          <w:lang w:val="es-ES_tradnl"/>
        </w:rPr>
      </w:pPr>
    </w:p>
    <w:p w:rsidR="00F64FBE" w:rsidRPr="00C83BDF" w:rsidRDefault="00F64FBE" w:rsidP="00E65183">
      <w:pPr>
        <w:rPr>
          <w:lang w:val="es-ES_tradnl"/>
        </w:rPr>
      </w:pPr>
    </w:p>
    <w:tbl>
      <w:tblPr>
        <w:tblW w:w="9889" w:type="dxa"/>
        <w:tblLayout w:type="fixed"/>
        <w:tblLook w:val="0000" w:firstRow="0" w:lastRow="0" w:firstColumn="0" w:lastColumn="0" w:noHBand="0" w:noVBand="0"/>
      </w:tblPr>
      <w:tblGrid>
        <w:gridCol w:w="1951"/>
        <w:gridCol w:w="7938"/>
      </w:tblGrid>
      <w:tr w:rsidR="00E65183" w:rsidRPr="00C83BDF">
        <w:trPr>
          <w:cantSplit/>
        </w:trPr>
        <w:tc>
          <w:tcPr>
            <w:tcW w:w="1951" w:type="dxa"/>
            <w:shd w:val="clear" w:color="auto" w:fill="auto"/>
          </w:tcPr>
          <w:p w:rsidR="00E65183" w:rsidRPr="00C83BDF" w:rsidRDefault="00E65183" w:rsidP="004737CD">
            <w:pPr>
              <w:jc w:val="left"/>
              <w:rPr>
                <w:sz w:val="18"/>
                <w:lang w:val="es-ES_tradnl"/>
              </w:rPr>
            </w:pPr>
          </w:p>
        </w:tc>
        <w:tc>
          <w:tcPr>
            <w:tcW w:w="7938" w:type="dxa"/>
            <w:shd w:val="clear" w:color="auto" w:fill="auto"/>
          </w:tcPr>
          <w:p w:rsidR="00E65183" w:rsidRPr="00C83BDF" w:rsidRDefault="00244823" w:rsidP="001D7439">
            <w:pPr>
              <w:pStyle w:val="Heading8"/>
              <w:rPr>
                <w:lang w:val="es-ES_tradnl"/>
              </w:rPr>
            </w:pPr>
            <w:bookmarkStart w:id="70" w:name="_Toc431824255"/>
            <w:r w:rsidRPr="00C83BDF">
              <w:rPr>
                <w:lang w:val="es-ES_tradnl"/>
              </w:rPr>
              <w:t>e)  Programas informáticos para intercambio incluidos en el documento UPOV/INF/16 “Programas informáticos para intercambio”</w:t>
            </w:r>
            <w:bookmarkEnd w:id="70"/>
          </w:p>
          <w:p w:rsidR="00E65183" w:rsidRPr="00C83BDF" w:rsidRDefault="00E65183" w:rsidP="004737CD">
            <w:pPr>
              <w:rPr>
                <w:sz w:val="18"/>
                <w:szCs w:val="18"/>
                <w:lang w:val="es-ES_tradnl"/>
              </w:rPr>
            </w:pPr>
            <w:r w:rsidRPr="00C83BDF">
              <w:rPr>
                <w:sz w:val="18"/>
                <w:szCs w:val="18"/>
                <w:lang w:val="es-ES_tradnl"/>
              </w:rPr>
              <w:t>SIVAVE</w:t>
            </w:r>
          </w:p>
        </w:tc>
      </w:tr>
    </w:tbl>
    <w:p w:rsidR="00E65183" w:rsidRPr="00C83BDF" w:rsidRDefault="00E65183" w:rsidP="00E65183">
      <w:pPr>
        <w:rPr>
          <w:lang w:val="es-ES_tradnl"/>
        </w:rPr>
      </w:pPr>
      <w:r w:rsidRPr="00C83BDF">
        <w:rPr>
          <w:bCs/>
          <w:i/>
          <w:lang w:val="es-ES_tradnl"/>
        </w:rPr>
        <w:br w:type="page"/>
      </w:r>
    </w:p>
    <w:tbl>
      <w:tblPr>
        <w:tblW w:w="9889" w:type="dxa"/>
        <w:tblLayout w:type="fixed"/>
        <w:tblLook w:val="0000" w:firstRow="0" w:lastRow="0" w:firstColumn="0" w:lastColumn="0" w:noHBand="0" w:noVBand="0"/>
      </w:tblPr>
      <w:tblGrid>
        <w:gridCol w:w="1951"/>
        <w:gridCol w:w="7938"/>
      </w:tblGrid>
      <w:tr w:rsidR="00E65183" w:rsidRPr="00C83BDF">
        <w:tc>
          <w:tcPr>
            <w:tcW w:w="1951" w:type="dxa"/>
            <w:shd w:val="clear" w:color="auto" w:fill="auto"/>
          </w:tcPr>
          <w:p w:rsidR="00E65183" w:rsidRPr="00C83BDF" w:rsidRDefault="00244823" w:rsidP="003268AA">
            <w:pPr>
              <w:keepNext/>
              <w:spacing w:after="120"/>
              <w:rPr>
                <w:b/>
                <w:sz w:val="18"/>
                <w:lang w:val="es-ES_tradnl"/>
              </w:rPr>
            </w:pPr>
            <w:r w:rsidRPr="00C83BDF">
              <w:rPr>
                <w:b/>
                <w:sz w:val="18"/>
                <w:lang w:val="es-ES_tradnl"/>
              </w:rPr>
              <w:t>Resultados previstos</w:t>
            </w:r>
          </w:p>
        </w:tc>
        <w:tc>
          <w:tcPr>
            <w:tcW w:w="7938" w:type="dxa"/>
            <w:shd w:val="clear" w:color="auto" w:fill="auto"/>
          </w:tcPr>
          <w:p w:rsidR="00E65183" w:rsidRPr="00C83BDF" w:rsidRDefault="00244823" w:rsidP="001D7439">
            <w:pPr>
              <w:keepNext/>
              <w:spacing w:after="240"/>
              <w:rPr>
                <w:b/>
                <w:i/>
                <w:sz w:val="18"/>
                <w:szCs w:val="18"/>
                <w:lang w:val="es-ES_tradnl"/>
              </w:rPr>
            </w:pPr>
            <w:r w:rsidRPr="00C83BDF">
              <w:rPr>
                <w:b/>
                <w:sz w:val="18"/>
                <w:szCs w:val="18"/>
                <w:lang w:val="es-ES_tradnl"/>
              </w:rPr>
              <w:t>Resultados alcanzados:</w:t>
            </w:r>
            <w:r w:rsidR="00E65183" w:rsidRPr="00C83BDF">
              <w:rPr>
                <w:b/>
                <w:sz w:val="18"/>
                <w:szCs w:val="18"/>
                <w:lang w:val="es-ES_tradnl"/>
              </w:rPr>
              <w:t xml:space="preserve">  </w:t>
            </w:r>
            <w:r w:rsidRPr="00C83BDF">
              <w:rPr>
                <w:b/>
                <w:sz w:val="18"/>
                <w:szCs w:val="18"/>
                <w:lang w:val="es-ES_tradnl"/>
              </w:rPr>
              <w:t>indicadores de rendimiento</w:t>
            </w:r>
          </w:p>
        </w:tc>
      </w:tr>
      <w:tr w:rsidR="00E65183" w:rsidRPr="00C83BDF">
        <w:tc>
          <w:tcPr>
            <w:tcW w:w="1951" w:type="dxa"/>
            <w:shd w:val="clear" w:color="auto" w:fill="auto"/>
          </w:tcPr>
          <w:p w:rsidR="00E65183" w:rsidRPr="00C83BDF" w:rsidRDefault="00E65183" w:rsidP="004737CD">
            <w:pPr>
              <w:pStyle w:val="Heading6"/>
              <w:rPr>
                <w:lang w:val="es-ES_tradnl"/>
              </w:rPr>
            </w:pPr>
            <w:bookmarkStart w:id="71" w:name="_Toc431824256"/>
            <w:r w:rsidRPr="00C83BDF">
              <w:rPr>
                <w:lang w:val="es-ES_tradnl"/>
              </w:rPr>
              <w:t>4.  </w:t>
            </w:r>
            <w:r w:rsidR="00244823" w:rsidRPr="00C83BDF">
              <w:rPr>
                <w:lang w:val="es-ES_tradnl"/>
              </w:rPr>
              <w:t>Participación de los miembros de la Unión y los sectores interesados en la labor de los órganos de la UPOV</w:t>
            </w:r>
            <w:bookmarkEnd w:id="71"/>
          </w:p>
        </w:tc>
        <w:tc>
          <w:tcPr>
            <w:tcW w:w="7938" w:type="dxa"/>
            <w:shd w:val="clear" w:color="auto" w:fill="auto"/>
          </w:tcPr>
          <w:p w:rsidR="00E65183" w:rsidRPr="00C83BDF" w:rsidRDefault="00244823" w:rsidP="001D7439">
            <w:pPr>
              <w:pStyle w:val="Heading8"/>
              <w:rPr>
                <w:lang w:val="es-ES_tradnl"/>
              </w:rPr>
            </w:pPr>
            <w:bookmarkStart w:id="72" w:name="_Toc431824257"/>
            <w:r w:rsidRPr="00C83BDF">
              <w:rPr>
                <w:lang w:val="es-ES_tradnl"/>
              </w:rPr>
              <w:t>a)  Participación en el Comité Administrativo y Jurídico</w:t>
            </w:r>
            <w:bookmarkEnd w:id="72"/>
          </w:p>
          <w:p w:rsidR="00E65183" w:rsidRPr="00C83BDF" w:rsidRDefault="00E65183" w:rsidP="001D7439">
            <w:pPr>
              <w:keepNext/>
              <w:keepLines/>
              <w:tabs>
                <w:tab w:val="left" w:pos="885"/>
              </w:tabs>
              <w:spacing w:after="120"/>
              <w:ind w:left="885" w:hanging="885"/>
              <w:jc w:val="left"/>
              <w:rPr>
                <w:sz w:val="18"/>
                <w:szCs w:val="18"/>
                <w:lang w:val="es-ES_tradnl"/>
              </w:rPr>
            </w:pPr>
            <w:r w:rsidRPr="00C83BDF">
              <w:rPr>
                <w:sz w:val="18"/>
                <w:szCs w:val="18"/>
                <w:lang w:val="es-ES_tradnl"/>
              </w:rPr>
              <w:t>CAJ/69:</w:t>
            </w:r>
            <w:r w:rsidRPr="00C83BDF">
              <w:rPr>
                <w:sz w:val="18"/>
                <w:szCs w:val="18"/>
                <w:lang w:val="es-ES_tradnl"/>
              </w:rPr>
              <w:tab/>
            </w:r>
            <w:r w:rsidR="00244823" w:rsidRPr="00C83BDF">
              <w:rPr>
                <w:sz w:val="18"/>
                <w:szCs w:val="18"/>
                <w:lang w:val="es-ES_tradnl"/>
              </w:rPr>
              <w:t>96 participantes en representación de 39 miembros de la Unión y 2 Estados y 7 organizaciones en calidad de observadores</w:t>
            </w:r>
          </w:p>
          <w:p w:rsidR="00E65183" w:rsidRPr="00C83BDF" w:rsidRDefault="00E65183" w:rsidP="004737CD">
            <w:pPr>
              <w:keepNext/>
              <w:keepLines/>
              <w:tabs>
                <w:tab w:val="left" w:pos="885"/>
              </w:tabs>
              <w:ind w:left="885" w:hanging="885"/>
              <w:jc w:val="left"/>
              <w:rPr>
                <w:sz w:val="18"/>
                <w:szCs w:val="18"/>
                <w:lang w:val="es-ES_tradnl"/>
              </w:rPr>
            </w:pPr>
            <w:r w:rsidRPr="00C83BDF">
              <w:rPr>
                <w:sz w:val="18"/>
                <w:szCs w:val="18"/>
                <w:lang w:val="es-ES_tradnl"/>
              </w:rPr>
              <w:t>CAJ/70</w:t>
            </w:r>
            <w:r w:rsidR="00244823" w:rsidRPr="00C83BDF">
              <w:rPr>
                <w:sz w:val="18"/>
                <w:szCs w:val="18"/>
                <w:lang w:val="es-ES_tradnl"/>
              </w:rPr>
              <w:t>:</w:t>
            </w:r>
            <w:r w:rsidRPr="00C83BDF">
              <w:rPr>
                <w:sz w:val="18"/>
                <w:szCs w:val="18"/>
                <w:lang w:val="es-ES_tradnl"/>
              </w:rPr>
              <w:tab/>
            </w:r>
            <w:r w:rsidR="00244823" w:rsidRPr="00C83BDF">
              <w:rPr>
                <w:sz w:val="18"/>
                <w:szCs w:val="18"/>
                <w:lang w:val="es-ES_tradnl"/>
              </w:rPr>
              <w:t>81 participantes en representación de 36 miembros de la Unión y 2 Estados y 6 organizaciones en calidad de observadores</w:t>
            </w:r>
          </w:p>
        </w:tc>
      </w:tr>
    </w:tbl>
    <w:p w:rsidR="00E65183" w:rsidRPr="00C83BDF" w:rsidRDefault="00E65183" w:rsidP="00E65183">
      <w:pPr>
        <w:rPr>
          <w:sz w:val="18"/>
          <w:szCs w:val="18"/>
          <w:lang w:val="es-ES_tradnl"/>
        </w:rPr>
      </w:pPr>
    </w:p>
    <w:p w:rsidR="00E65183" w:rsidRPr="00C83BDF" w:rsidRDefault="00E65183" w:rsidP="00E65183">
      <w:pPr>
        <w:rPr>
          <w:sz w:val="18"/>
          <w:szCs w:val="18"/>
          <w:lang w:val="es-ES_tradnl"/>
        </w:rPr>
      </w:pPr>
    </w:p>
    <w:tbl>
      <w:tblPr>
        <w:tblW w:w="9889" w:type="dxa"/>
        <w:tblLayout w:type="fixed"/>
        <w:tblLook w:val="0000" w:firstRow="0" w:lastRow="0" w:firstColumn="0" w:lastColumn="0" w:noHBand="0" w:noVBand="0"/>
      </w:tblPr>
      <w:tblGrid>
        <w:gridCol w:w="1951"/>
        <w:gridCol w:w="7938"/>
      </w:tblGrid>
      <w:tr w:rsidR="00E65183" w:rsidRPr="00C83BDF">
        <w:tc>
          <w:tcPr>
            <w:tcW w:w="1951" w:type="dxa"/>
            <w:shd w:val="clear" w:color="auto" w:fill="auto"/>
          </w:tcPr>
          <w:p w:rsidR="00E65183" w:rsidRPr="00C83BDF" w:rsidRDefault="00E65183" w:rsidP="004737CD">
            <w:pPr>
              <w:jc w:val="left"/>
              <w:rPr>
                <w:i/>
                <w:color w:val="000000"/>
                <w:sz w:val="18"/>
                <w:szCs w:val="18"/>
                <w:lang w:val="es-ES_tradnl"/>
              </w:rPr>
            </w:pPr>
          </w:p>
        </w:tc>
        <w:tc>
          <w:tcPr>
            <w:tcW w:w="7938" w:type="dxa"/>
            <w:shd w:val="clear" w:color="auto" w:fill="auto"/>
          </w:tcPr>
          <w:p w:rsidR="00E65183" w:rsidRPr="00C83BDF" w:rsidRDefault="00244823" w:rsidP="001D7439">
            <w:pPr>
              <w:pStyle w:val="Heading8"/>
              <w:rPr>
                <w:lang w:val="es-ES_tradnl"/>
              </w:rPr>
            </w:pPr>
            <w:bookmarkStart w:id="73" w:name="_Toc431824258"/>
            <w:r w:rsidRPr="00C83BDF">
              <w:rPr>
                <w:lang w:val="es-ES_tradnl"/>
              </w:rPr>
              <w:t>b)  Participación en el Comité Técnico</w:t>
            </w:r>
            <w:bookmarkEnd w:id="73"/>
          </w:p>
          <w:p w:rsidR="00E65183" w:rsidRPr="00C83BDF" w:rsidRDefault="00E65183" w:rsidP="004737CD">
            <w:pPr>
              <w:keepNext/>
              <w:keepLines/>
              <w:tabs>
                <w:tab w:val="left" w:pos="885"/>
              </w:tabs>
              <w:ind w:left="885" w:hanging="885"/>
              <w:jc w:val="left"/>
              <w:rPr>
                <w:sz w:val="18"/>
                <w:szCs w:val="18"/>
                <w:lang w:val="es-ES_tradnl"/>
              </w:rPr>
            </w:pPr>
            <w:r w:rsidRPr="00C83BDF">
              <w:rPr>
                <w:sz w:val="18"/>
                <w:szCs w:val="18"/>
                <w:lang w:val="es-ES_tradnl"/>
              </w:rPr>
              <w:t>TC/50:</w:t>
            </w:r>
            <w:r w:rsidRPr="00C83BDF">
              <w:rPr>
                <w:sz w:val="18"/>
                <w:szCs w:val="18"/>
                <w:lang w:val="es-ES_tradnl"/>
              </w:rPr>
              <w:tab/>
            </w:r>
            <w:r w:rsidR="00244823" w:rsidRPr="00C83BDF">
              <w:rPr>
                <w:sz w:val="18"/>
                <w:szCs w:val="18"/>
                <w:lang w:val="es-ES_tradnl"/>
              </w:rPr>
              <w:t>79 participantes en representación de 40 miembros de la Unión y 2 Estados y</w:t>
            </w:r>
            <w:r w:rsidRPr="00C83BDF">
              <w:rPr>
                <w:sz w:val="18"/>
                <w:szCs w:val="18"/>
                <w:lang w:val="es-ES_tradnl"/>
              </w:rPr>
              <w:br/>
            </w:r>
            <w:r w:rsidR="00244823" w:rsidRPr="00C83BDF">
              <w:rPr>
                <w:sz w:val="18"/>
                <w:szCs w:val="18"/>
                <w:lang w:val="es-ES_tradnl"/>
              </w:rPr>
              <w:t>5 organizaciones en calidad de observadores</w:t>
            </w:r>
          </w:p>
        </w:tc>
      </w:tr>
    </w:tbl>
    <w:p w:rsidR="00E65183" w:rsidRPr="00C83BDF" w:rsidRDefault="00E65183" w:rsidP="00E65183">
      <w:pPr>
        <w:rPr>
          <w:sz w:val="18"/>
          <w:szCs w:val="18"/>
          <w:lang w:val="es-ES_tradnl"/>
        </w:rPr>
      </w:pPr>
    </w:p>
    <w:p w:rsidR="00E65183" w:rsidRPr="00C83BDF" w:rsidRDefault="00E65183" w:rsidP="00E65183">
      <w:pPr>
        <w:rPr>
          <w:sz w:val="18"/>
          <w:szCs w:val="18"/>
          <w:lang w:val="es-ES_tradnl"/>
        </w:rPr>
      </w:pPr>
    </w:p>
    <w:tbl>
      <w:tblPr>
        <w:tblW w:w="9889" w:type="dxa"/>
        <w:tblLayout w:type="fixed"/>
        <w:tblLook w:val="0000" w:firstRow="0" w:lastRow="0" w:firstColumn="0" w:lastColumn="0" w:noHBand="0" w:noVBand="0"/>
      </w:tblPr>
      <w:tblGrid>
        <w:gridCol w:w="1951"/>
        <w:gridCol w:w="7938"/>
      </w:tblGrid>
      <w:tr w:rsidR="00E65183" w:rsidRPr="00C83BDF">
        <w:tc>
          <w:tcPr>
            <w:tcW w:w="1951" w:type="dxa"/>
            <w:shd w:val="clear" w:color="auto" w:fill="auto"/>
          </w:tcPr>
          <w:p w:rsidR="00E65183" w:rsidRPr="00C83BDF" w:rsidRDefault="00E65183" w:rsidP="004737CD">
            <w:pPr>
              <w:jc w:val="left"/>
              <w:rPr>
                <w:sz w:val="18"/>
                <w:szCs w:val="18"/>
                <w:lang w:val="es-ES_tradnl"/>
              </w:rPr>
            </w:pPr>
          </w:p>
        </w:tc>
        <w:tc>
          <w:tcPr>
            <w:tcW w:w="7938" w:type="dxa"/>
            <w:shd w:val="clear" w:color="auto" w:fill="auto"/>
          </w:tcPr>
          <w:p w:rsidR="00E65183" w:rsidRPr="00C83BDF" w:rsidRDefault="00244823" w:rsidP="001D7439">
            <w:pPr>
              <w:pStyle w:val="Heading8"/>
              <w:jc w:val="both"/>
              <w:rPr>
                <w:lang w:val="es-ES_tradnl"/>
              </w:rPr>
            </w:pPr>
            <w:bookmarkStart w:id="74" w:name="_Toc431824259"/>
            <w:r w:rsidRPr="00C83BDF">
              <w:rPr>
                <w:lang w:val="es-ES_tradnl"/>
              </w:rPr>
              <w:t>c)  Participación en las sesiones de los Grupos de Trabajo Técnico</w:t>
            </w:r>
            <w:bookmarkEnd w:id="74"/>
          </w:p>
          <w:p w:rsidR="00E65183" w:rsidRPr="00C83BDF" w:rsidRDefault="00244823" w:rsidP="001D7439">
            <w:pPr>
              <w:spacing w:after="120"/>
              <w:rPr>
                <w:i/>
                <w:color w:val="000000"/>
                <w:sz w:val="18"/>
                <w:szCs w:val="18"/>
                <w:lang w:val="es-ES_tradnl"/>
              </w:rPr>
            </w:pPr>
            <w:r w:rsidRPr="00C83BDF">
              <w:rPr>
                <w:sz w:val="18"/>
                <w:szCs w:val="18"/>
                <w:lang w:val="es-ES_tradnl"/>
              </w:rPr>
              <w:t>Participaron en los Grupos de Trabajo Técnico 330 expertos en representación de 43 miembros de la Unión (miembros), 9 Estados en calidad de observadores (obs) y 9 organizaciones en calidad de observadoras (orgs), a saber:</w:t>
            </w:r>
          </w:p>
          <w:p w:rsidR="00E65183" w:rsidRPr="00C83BDF" w:rsidRDefault="00244823" w:rsidP="004737CD">
            <w:pPr>
              <w:ind w:left="567"/>
              <w:rPr>
                <w:color w:val="000000"/>
                <w:sz w:val="18"/>
                <w:szCs w:val="18"/>
                <w:lang w:val="es-ES_tradnl"/>
              </w:rPr>
            </w:pPr>
            <w:r w:rsidRPr="00C83BDF">
              <w:rPr>
                <w:color w:val="000000"/>
                <w:sz w:val="18"/>
                <w:szCs w:val="18"/>
                <w:lang w:val="es-ES_tradnl"/>
              </w:rPr>
              <w:t>TWA (Argentina):</w:t>
            </w:r>
            <w:r w:rsidR="00E65183" w:rsidRPr="00C83BDF">
              <w:rPr>
                <w:color w:val="000000"/>
                <w:sz w:val="18"/>
                <w:szCs w:val="18"/>
                <w:lang w:val="es-ES_tradnl"/>
              </w:rPr>
              <w:t xml:space="preserve">  </w:t>
            </w:r>
          </w:p>
          <w:p w:rsidR="00E65183" w:rsidRPr="00C83BDF" w:rsidRDefault="00E65183" w:rsidP="004737CD">
            <w:pPr>
              <w:ind w:left="567"/>
              <w:rPr>
                <w:color w:val="000000"/>
                <w:sz w:val="18"/>
                <w:szCs w:val="18"/>
                <w:lang w:val="es-ES_tradnl"/>
              </w:rPr>
            </w:pPr>
            <w:r w:rsidRPr="00C83BDF">
              <w:rPr>
                <w:color w:val="000000"/>
                <w:sz w:val="18"/>
                <w:szCs w:val="18"/>
                <w:lang w:val="es-ES_tradnl"/>
              </w:rPr>
              <w:tab/>
            </w:r>
            <w:r w:rsidR="00244823" w:rsidRPr="00C83BDF">
              <w:rPr>
                <w:sz w:val="18"/>
                <w:szCs w:val="18"/>
                <w:lang w:val="es-ES_tradnl"/>
              </w:rPr>
              <w:t>23 miembros (45 participantes) / 6 obs (7) / 3 org (3)</w:t>
            </w:r>
          </w:p>
          <w:p w:rsidR="00E65183" w:rsidRPr="00C83BDF" w:rsidRDefault="00244823" w:rsidP="004737CD">
            <w:pPr>
              <w:ind w:left="567"/>
              <w:rPr>
                <w:color w:val="000000"/>
                <w:sz w:val="18"/>
                <w:szCs w:val="18"/>
                <w:lang w:val="es-ES_tradnl"/>
              </w:rPr>
            </w:pPr>
            <w:r w:rsidRPr="00C83BDF">
              <w:rPr>
                <w:color w:val="000000"/>
                <w:sz w:val="18"/>
                <w:szCs w:val="18"/>
                <w:lang w:val="es-ES_tradnl"/>
              </w:rPr>
              <w:t>TWC (Finlandia):</w:t>
            </w:r>
            <w:r w:rsidR="00E65183" w:rsidRPr="00C83BDF">
              <w:rPr>
                <w:color w:val="000000"/>
                <w:sz w:val="18"/>
                <w:szCs w:val="18"/>
                <w:lang w:val="es-ES_tradnl"/>
              </w:rPr>
              <w:t xml:space="preserve">  </w:t>
            </w:r>
          </w:p>
          <w:p w:rsidR="00E65183" w:rsidRPr="00C83BDF" w:rsidRDefault="00E65183" w:rsidP="004737CD">
            <w:pPr>
              <w:ind w:left="567"/>
              <w:rPr>
                <w:color w:val="000000"/>
                <w:sz w:val="18"/>
                <w:szCs w:val="18"/>
                <w:lang w:val="es-ES_tradnl"/>
              </w:rPr>
            </w:pPr>
            <w:r w:rsidRPr="00C83BDF">
              <w:rPr>
                <w:color w:val="000000"/>
                <w:sz w:val="18"/>
                <w:szCs w:val="18"/>
                <w:lang w:val="es-ES_tradnl"/>
              </w:rPr>
              <w:tab/>
            </w:r>
            <w:r w:rsidR="00244823" w:rsidRPr="00C83BDF">
              <w:rPr>
                <w:sz w:val="18"/>
                <w:szCs w:val="18"/>
                <w:lang w:val="es-ES_tradnl"/>
              </w:rPr>
              <w:t>15 miembros (24 participantes) / 0 obs (0) / 0 org (0)</w:t>
            </w:r>
          </w:p>
          <w:p w:rsidR="00E65183" w:rsidRPr="00C83BDF" w:rsidRDefault="00244823" w:rsidP="004737CD">
            <w:pPr>
              <w:ind w:left="567"/>
              <w:rPr>
                <w:color w:val="000000"/>
                <w:sz w:val="18"/>
                <w:szCs w:val="18"/>
                <w:lang w:val="es-ES_tradnl"/>
              </w:rPr>
            </w:pPr>
            <w:r w:rsidRPr="00C83BDF">
              <w:rPr>
                <w:color w:val="000000"/>
                <w:sz w:val="18"/>
                <w:szCs w:val="18"/>
                <w:lang w:val="es-ES_tradnl"/>
              </w:rPr>
              <w:t>TWF (Marruecos):</w:t>
            </w:r>
            <w:r w:rsidR="00E65183" w:rsidRPr="00C83BDF">
              <w:rPr>
                <w:color w:val="000000"/>
                <w:sz w:val="18"/>
                <w:szCs w:val="18"/>
                <w:lang w:val="es-ES_tradnl"/>
              </w:rPr>
              <w:t xml:space="preserve">  </w:t>
            </w:r>
          </w:p>
          <w:p w:rsidR="00E65183" w:rsidRPr="00C83BDF" w:rsidRDefault="00E65183" w:rsidP="004737CD">
            <w:pPr>
              <w:ind w:left="567"/>
              <w:rPr>
                <w:color w:val="000000"/>
                <w:sz w:val="18"/>
                <w:szCs w:val="18"/>
                <w:lang w:val="es-ES_tradnl"/>
              </w:rPr>
            </w:pPr>
            <w:r w:rsidRPr="00C83BDF">
              <w:rPr>
                <w:color w:val="000000"/>
                <w:sz w:val="18"/>
                <w:szCs w:val="18"/>
                <w:lang w:val="es-ES_tradnl"/>
              </w:rPr>
              <w:tab/>
            </w:r>
            <w:r w:rsidR="00244823" w:rsidRPr="00C83BDF">
              <w:rPr>
                <w:sz w:val="18"/>
                <w:szCs w:val="18"/>
                <w:lang w:val="es-ES_tradnl"/>
              </w:rPr>
              <w:t>18 miembros (39 participantes) / 3 obs (3) / 2 org (3)</w:t>
            </w:r>
          </w:p>
          <w:p w:rsidR="00E65183" w:rsidRPr="00C83BDF" w:rsidRDefault="00244823" w:rsidP="004737CD">
            <w:pPr>
              <w:ind w:left="567"/>
              <w:rPr>
                <w:color w:val="000000"/>
                <w:sz w:val="18"/>
                <w:szCs w:val="18"/>
                <w:lang w:val="es-ES_tradnl"/>
              </w:rPr>
            </w:pPr>
            <w:r w:rsidRPr="00C83BDF">
              <w:rPr>
                <w:color w:val="000000"/>
                <w:sz w:val="18"/>
                <w:szCs w:val="18"/>
                <w:lang w:val="es-ES_tradnl"/>
              </w:rPr>
              <w:t>TWO (Kenya):</w:t>
            </w:r>
            <w:r w:rsidR="00E65183" w:rsidRPr="00C83BDF">
              <w:rPr>
                <w:color w:val="000000"/>
                <w:sz w:val="18"/>
                <w:szCs w:val="18"/>
                <w:lang w:val="es-ES_tradnl"/>
              </w:rPr>
              <w:t xml:space="preserve">  </w:t>
            </w:r>
          </w:p>
          <w:p w:rsidR="00E65183" w:rsidRPr="00C83BDF" w:rsidRDefault="00E65183" w:rsidP="004737CD">
            <w:pPr>
              <w:ind w:left="567"/>
              <w:rPr>
                <w:color w:val="000000"/>
                <w:sz w:val="18"/>
                <w:szCs w:val="18"/>
                <w:lang w:val="es-ES_tradnl"/>
              </w:rPr>
            </w:pPr>
            <w:r w:rsidRPr="00C83BDF">
              <w:rPr>
                <w:color w:val="000000"/>
                <w:sz w:val="18"/>
                <w:szCs w:val="18"/>
                <w:lang w:val="es-ES_tradnl"/>
              </w:rPr>
              <w:tab/>
            </w:r>
            <w:r w:rsidR="00244823" w:rsidRPr="00C83BDF">
              <w:rPr>
                <w:sz w:val="18"/>
                <w:szCs w:val="18"/>
                <w:lang w:val="es-ES_tradnl"/>
              </w:rPr>
              <w:t>16 miembros (45 participantes) / 3 obs (3) / 1 org (1)</w:t>
            </w:r>
          </w:p>
          <w:p w:rsidR="00E65183" w:rsidRPr="00C83BDF" w:rsidRDefault="00244823" w:rsidP="004737CD">
            <w:pPr>
              <w:ind w:left="567"/>
              <w:rPr>
                <w:color w:val="000000"/>
                <w:sz w:val="18"/>
                <w:szCs w:val="18"/>
                <w:lang w:val="es-ES_tradnl"/>
              </w:rPr>
            </w:pPr>
            <w:r w:rsidRPr="00C83BDF">
              <w:rPr>
                <w:color w:val="000000"/>
                <w:sz w:val="18"/>
                <w:szCs w:val="18"/>
                <w:lang w:val="es-ES_tradnl"/>
              </w:rPr>
              <w:t>TWV (Italia):</w:t>
            </w:r>
            <w:r w:rsidR="00E65183" w:rsidRPr="00C83BDF">
              <w:rPr>
                <w:color w:val="000000"/>
                <w:sz w:val="18"/>
                <w:szCs w:val="18"/>
                <w:lang w:val="es-ES_tradnl"/>
              </w:rPr>
              <w:t xml:space="preserve">  </w:t>
            </w:r>
          </w:p>
          <w:p w:rsidR="00E65183" w:rsidRPr="00C83BDF" w:rsidRDefault="00E65183" w:rsidP="004737CD">
            <w:pPr>
              <w:ind w:left="567"/>
              <w:rPr>
                <w:color w:val="000000"/>
                <w:sz w:val="18"/>
                <w:szCs w:val="18"/>
                <w:lang w:val="es-ES_tradnl"/>
              </w:rPr>
            </w:pPr>
            <w:r w:rsidRPr="00C83BDF">
              <w:rPr>
                <w:color w:val="000000"/>
                <w:sz w:val="18"/>
                <w:szCs w:val="18"/>
                <w:lang w:val="es-ES_tradnl"/>
              </w:rPr>
              <w:tab/>
            </w:r>
            <w:r w:rsidR="00244823" w:rsidRPr="00C83BDF">
              <w:rPr>
                <w:sz w:val="18"/>
                <w:szCs w:val="18"/>
                <w:lang w:val="es-ES_tradnl"/>
              </w:rPr>
              <w:t>17 miembros (32 participantes) / 0 obs (0) / 3 org (4)</w:t>
            </w:r>
          </w:p>
          <w:p w:rsidR="00E65183" w:rsidRPr="00C83BDF" w:rsidRDefault="00244823" w:rsidP="004737CD">
            <w:pPr>
              <w:ind w:left="567"/>
              <w:rPr>
                <w:color w:val="000000"/>
                <w:sz w:val="18"/>
                <w:szCs w:val="18"/>
                <w:lang w:val="es-ES_tradnl"/>
              </w:rPr>
            </w:pPr>
            <w:r w:rsidRPr="00C83BDF">
              <w:rPr>
                <w:color w:val="000000"/>
                <w:sz w:val="18"/>
                <w:szCs w:val="18"/>
                <w:lang w:val="es-ES_tradnl"/>
              </w:rPr>
              <w:t>BMT (República de Corea):</w:t>
            </w:r>
            <w:r w:rsidR="00E65183" w:rsidRPr="00C83BDF">
              <w:rPr>
                <w:color w:val="000000"/>
                <w:sz w:val="18"/>
                <w:szCs w:val="18"/>
                <w:lang w:val="es-ES_tradnl"/>
              </w:rPr>
              <w:t xml:space="preserve">  </w:t>
            </w:r>
          </w:p>
          <w:p w:rsidR="00E65183" w:rsidRPr="00C83BDF" w:rsidRDefault="00E65183" w:rsidP="004737CD">
            <w:pPr>
              <w:ind w:left="567"/>
              <w:rPr>
                <w:color w:val="000000"/>
                <w:sz w:val="18"/>
                <w:szCs w:val="18"/>
                <w:lang w:val="es-ES_tradnl"/>
              </w:rPr>
            </w:pPr>
            <w:r w:rsidRPr="00C83BDF">
              <w:rPr>
                <w:color w:val="000000"/>
                <w:sz w:val="18"/>
                <w:szCs w:val="18"/>
                <w:lang w:val="es-ES_tradnl"/>
              </w:rPr>
              <w:tab/>
            </w:r>
            <w:r w:rsidR="00244823" w:rsidRPr="00C83BDF">
              <w:rPr>
                <w:sz w:val="18"/>
                <w:szCs w:val="18"/>
                <w:lang w:val="es-ES_tradnl"/>
              </w:rPr>
              <w:t>10 miembros (44 participantes) / 1 obs (1) / 5 org (5)</w:t>
            </w:r>
          </w:p>
        </w:tc>
      </w:tr>
    </w:tbl>
    <w:p w:rsidR="00E65183" w:rsidRPr="00C83BDF" w:rsidRDefault="00E65183" w:rsidP="00E65183">
      <w:pPr>
        <w:rPr>
          <w:sz w:val="18"/>
          <w:szCs w:val="18"/>
          <w:lang w:val="es-ES_tradnl"/>
        </w:rPr>
      </w:pPr>
    </w:p>
    <w:p w:rsidR="00E65183" w:rsidRPr="00C83BDF" w:rsidRDefault="00E65183" w:rsidP="00E65183">
      <w:pPr>
        <w:rPr>
          <w:sz w:val="18"/>
          <w:szCs w:val="18"/>
          <w:lang w:val="es-ES_tradnl"/>
        </w:rPr>
      </w:pPr>
    </w:p>
    <w:tbl>
      <w:tblPr>
        <w:tblW w:w="9889" w:type="dxa"/>
        <w:tblLayout w:type="fixed"/>
        <w:tblLook w:val="0000" w:firstRow="0" w:lastRow="0" w:firstColumn="0" w:lastColumn="0" w:noHBand="0" w:noVBand="0"/>
      </w:tblPr>
      <w:tblGrid>
        <w:gridCol w:w="1951"/>
        <w:gridCol w:w="7938"/>
      </w:tblGrid>
      <w:tr w:rsidR="00E65183" w:rsidRPr="00C83BDF">
        <w:tc>
          <w:tcPr>
            <w:tcW w:w="1951" w:type="dxa"/>
            <w:shd w:val="clear" w:color="auto" w:fill="auto"/>
          </w:tcPr>
          <w:p w:rsidR="00E65183" w:rsidRPr="00C83BDF" w:rsidRDefault="00E65183" w:rsidP="004737CD">
            <w:pPr>
              <w:jc w:val="left"/>
              <w:rPr>
                <w:sz w:val="18"/>
                <w:szCs w:val="18"/>
                <w:lang w:val="es-ES_tradnl"/>
              </w:rPr>
            </w:pPr>
          </w:p>
        </w:tc>
        <w:tc>
          <w:tcPr>
            <w:tcW w:w="7938" w:type="dxa"/>
            <w:shd w:val="clear" w:color="auto" w:fill="auto"/>
          </w:tcPr>
          <w:p w:rsidR="00E65183" w:rsidRPr="00C83BDF" w:rsidRDefault="00244823" w:rsidP="001D7439">
            <w:pPr>
              <w:pStyle w:val="Heading8"/>
              <w:jc w:val="both"/>
              <w:rPr>
                <w:lang w:val="es-ES_tradnl"/>
              </w:rPr>
            </w:pPr>
            <w:bookmarkStart w:id="75" w:name="_Toc431824260"/>
            <w:r w:rsidRPr="00C83BDF">
              <w:rPr>
                <w:lang w:val="es-ES_tradnl"/>
              </w:rPr>
              <w:t>d)  Participación en los talleres preparatorios de las sesiones de los Grupos de Trabajo Técnico</w:t>
            </w:r>
            <w:bookmarkEnd w:id="75"/>
          </w:p>
          <w:p w:rsidR="00E65183" w:rsidRPr="00C83BDF" w:rsidRDefault="00244823" w:rsidP="001D7439">
            <w:pPr>
              <w:spacing w:after="120"/>
              <w:rPr>
                <w:color w:val="000000"/>
                <w:sz w:val="18"/>
                <w:szCs w:val="18"/>
                <w:lang w:val="es-ES_tradnl"/>
              </w:rPr>
            </w:pPr>
            <w:r w:rsidRPr="00C83BDF">
              <w:rPr>
                <w:sz w:val="18"/>
                <w:szCs w:val="18"/>
                <w:lang w:val="es-ES_tradnl"/>
              </w:rPr>
              <w:t>Participaron en los talleres preparatorios de los Grupos de Trabajo Técnico 146 expertos en representación de 26 miembros de la Unión (miembros), 5 Estados en calidad de observadores (obs) y 2 organizaciones en calidad de observadoras (orgs), a saber:</w:t>
            </w:r>
          </w:p>
          <w:p w:rsidR="00E65183" w:rsidRPr="00C83BDF" w:rsidRDefault="00E65183" w:rsidP="004737CD">
            <w:pPr>
              <w:ind w:left="1168" w:hanging="601"/>
              <w:rPr>
                <w:color w:val="000000"/>
                <w:sz w:val="18"/>
                <w:szCs w:val="18"/>
                <w:lang w:val="es-ES_tradnl"/>
              </w:rPr>
            </w:pPr>
            <w:r w:rsidRPr="00C83BDF">
              <w:rPr>
                <w:color w:val="000000"/>
                <w:sz w:val="18"/>
                <w:szCs w:val="18"/>
                <w:lang w:val="es-ES_tradnl"/>
              </w:rPr>
              <w:t>TWA:</w:t>
            </w:r>
            <w:r w:rsidRPr="00C83BDF">
              <w:rPr>
                <w:color w:val="000000"/>
                <w:sz w:val="18"/>
                <w:szCs w:val="18"/>
                <w:lang w:val="es-ES_tradnl"/>
              </w:rPr>
              <w:tab/>
            </w:r>
            <w:r w:rsidR="00244823" w:rsidRPr="00C83BDF">
              <w:rPr>
                <w:color w:val="000000"/>
                <w:sz w:val="18"/>
                <w:szCs w:val="18"/>
                <w:lang w:val="es-ES_tradnl"/>
              </w:rPr>
              <w:t xml:space="preserve"> </w:t>
            </w:r>
            <w:r w:rsidR="00244823" w:rsidRPr="00C83BDF">
              <w:rPr>
                <w:sz w:val="18"/>
                <w:szCs w:val="18"/>
                <w:lang w:val="es-ES_tradnl"/>
              </w:rPr>
              <w:t>13 miembros (24 participantes) / 5 obs (5) / 0 org (0)</w:t>
            </w:r>
          </w:p>
          <w:p w:rsidR="00E65183" w:rsidRPr="00C83BDF" w:rsidRDefault="00E65183" w:rsidP="004737CD">
            <w:pPr>
              <w:ind w:left="1168" w:hanging="601"/>
              <w:rPr>
                <w:color w:val="000000"/>
                <w:sz w:val="18"/>
                <w:szCs w:val="18"/>
                <w:lang w:val="es-ES_tradnl"/>
              </w:rPr>
            </w:pPr>
            <w:r w:rsidRPr="00C83BDF">
              <w:rPr>
                <w:color w:val="000000"/>
                <w:sz w:val="18"/>
                <w:szCs w:val="18"/>
                <w:lang w:val="es-ES_tradnl"/>
              </w:rPr>
              <w:t>TWC:</w:t>
            </w:r>
            <w:r w:rsidRPr="00C83BDF">
              <w:rPr>
                <w:color w:val="000000"/>
                <w:sz w:val="18"/>
                <w:szCs w:val="18"/>
                <w:lang w:val="es-ES_tradnl"/>
              </w:rPr>
              <w:tab/>
            </w:r>
            <w:r w:rsidR="00244823" w:rsidRPr="00C83BDF">
              <w:rPr>
                <w:color w:val="000000"/>
                <w:sz w:val="18"/>
                <w:szCs w:val="18"/>
                <w:lang w:val="es-ES_tradnl"/>
              </w:rPr>
              <w:t xml:space="preserve"> </w:t>
            </w:r>
            <w:r w:rsidR="00244823" w:rsidRPr="00C83BDF">
              <w:rPr>
                <w:sz w:val="18"/>
                <w:szCs w:val="18"/>
                <w:lang w:val="es-ES_tradnl"/>
              </w:rPr>
              <w:t>9 miembros (15 participantes) / 0 obs (0) / 0 org (0)</w:t>
            </w:r>
          </w:p>
          <w:p w:rsidR="00E65183" w:rsidRPr="00C83BDF" w:rsidRDefault="00E65183" w:rsidP="004737CD">
            <w:pPr>
              <w:ind w:left="1168" w:hanging="601"/>
              <w:rPr>
                <w:color w:val="000000"/>
                <w:sz w:val="18"/>
                <w:szCs w:val="18"/>
                <w:lang w:val="es-ES_tradnl"/>
              </w:rPr>
            </w:pPr>
            <w:r w:rsidRPr="00C83BDF">
              <w:rPr>
                <w:color w:val="000000"/>
                <w:sz w:val="18"/>
                <w:szCs w:val="18"/>
                <w:lang w:val="es-ES_tradnl"/>
              </w:rPr>
              <w:t>TWF:</w:t>
            </w:r>
            <w:r w:rsidRPr="00C83BDF">
              <w:rPr>
                <w:color w:val="000000"/>
                <w:sz w:val="18"/>
                <w:szCs w:val="18"/>
                <w:lang w:val="es-ES_tradnl"/>
              </w:rPr>
              <w:tab/>
            </w:r>
            <w:r w:rsidR="00244823" w:rsidRPr="00C83BDF">
              <w:rPr>
                <w:color w:val="000000"/>
                <w:sz w:val="18"/>
                <w:szCs w:val="18"/>
                <w:lang w:val="es-ES_tradnl"/>
              </w:rPr>
              <w:t xml:space="preserve"> </w:t>
            </w:r>
            <w:r w:rsidR="00244823" w:rsidRPr="00C83BDF">
              <w:rPr>
                <w:sz w:val="18"/>
                <w:szCs w:val="18"/>
                <w:lang w:val="es-ES_tradnl"/>
              </w:rPr>
              <w:t>9 miembros (17 participantes) / 3 obs (3) / 0 org (0)</w:t>
            </w:r>
          </w:p>
          <w:p w:rsidR="00E65183" w:rsidRPr="00C83BDF" w:rsidRDefault="00E65183" w:rsidP="004737CD">
            <w:pPr>
              <w:ind w:left="1168" w:hanging="601"/>
              <w:rPr>
                <w:color w:val="000000"/>
                <w:sz w:val="18"/>
                <w:szCs w:val="18"/>
                <w:lang w:val="es-ES_tradnl"/>
              </w:rPr>
            </w:pPr>
            <w:r w:rsidRPr="00C83BDF">
              <w:rPr>
                <w:color w:val="000000"/>
                <w:sz w:val="18"/>
                <w:szCs w:val="18"/>
                <w:lang w:val="es-ES_tradnl"/>
              </w:rPr>
              <w:t>TWO:</w:t>
            </w:r>
            <w:r w:rsidRPr="00C83BDF">
              <w:rPr>
                <w:color w:val="000000"/>
                <w:sz w:val="18"/>
                <w:szCs w:val="18"/>
                <w:lang w:val="es-ES_tradnl"/>
              </w:rPr>
              <w:tab/>
            </w:r>
            <w:r w:rsidR="00244823" w:rsidRPr="00C83BDF">
              <w:rPr>
                <w:color w:val="000000"/>
                <w:sz w:val="18"/>
                <w:szCs w:val="18"/>
                <w:lang w:val="es-ES_tradnl"/>
              </w:rPr>
              <w:t xml:space="preserve"> </w:t>
            </w:r>
            <w:r w:rsidR="00244823" w:rsidRPr="00C83BDF">
              <w:rPr>
                <w:sz w:val="18"/>
                <w:szCs w:val="18"/>
                <w:lang w:val="es-ES_tradnl"/>
              </w:rPr>
              <w:t>15 miembros (40 participantes) / 3 obs (3) / 1 org (1)</w:t>
            </w:r>
          </w:p>
          <w:p w:rsidR="00E65183" w:rsidRPr="00C83BDF" w:rsidRDefault="00E65183" w:rsidP="004737CD">
            <w:pPr>
              <w:ind w:left="1168" w:hanging="601"/>
              <w:rPr>
                <w:color w:val="000000"/>
                <w:sz w:val="18"/>
                <w:szCs w:val="18"/>
                <w:lang w:val="es-ES_tradnl"/>
              </w:rPr>
            </w:pPr>
            <w:r w:rsidRPr="00C83BDF">
              <w:rPr>
                <w:color w:val="000000"/>
                <w:sz w:val="18"/>
                <w:szCs w:val="18"/>
                <w:lang w:val="es-ES_tradnl"/>
              </w:rPr>
              <w:t>TWV:</w:t>
            </w:r>
            <w:r w:rsidRPr="00C83BDF">
              <w:rPr>
                <w:color w:val="000000"/>
                <w:sz w:val="18"/>
                <w:szCs w:val="18"/>
                <w:lang w:val="es-ES_tradnl"/>
              </w:rPr>
              <w:tab/>
              <w:t xml:space="preserve"> </w:t>
            </w:r>
            <w:r w:rsidR="00244823" w:rsidRPr="00C83BDF">
              <w:rPr>
                <w:sz w:val="18"/>
                <w:szCs w:val="18"/>
                <w:lang w:val="es-ES_tradnl"/>
              </w:rPr>
              <w:t>8 miembros (16 participantes) / 0 obs (0) / 0 org (0)</w:t>
            </w:r>
          </w:p>
          <w:p w:rsidR="00E65183" w:rsidRPr="00C83BDF" w:rsidRDefault="00E65183" w:rsidP="004737CD">
            <w:pPr>
              <w:ind w:left="1168" w:hanging="601"/>
              <w:rPr>
                <w:color w:val="000000"/>
                <w:sz w:val="18"/>
                <w:szCs w:val="18"/>
                <w:lang w:val="es-ES_tradnl"/>
              </w:rPr>
            </w:pPr>
            <w:r w:rsidRPr="00C83BDF">
              <w:rPr>
                <w:color w:val="000000"/>
                <w:sz w:val="18"/>
                <w:szCs w:val="18"/>
                <w:lang w:val="es-ES_tradnl"/>
              </w:rPr>
              <w:t>BMT:</w:t>
            </w:r>
            <w:r w:rsidRPr="00C83BDF">
              <w:rPr>
                <w:color w:val="000000"/>
                <w:sz w:val="18"/>
                <w:szCs w:val="18"/>
                <w:lang w:val="es-ES_tradnl"/>
              </w:rPr>
              <w:tab/>
              <w:t xml:space="preserve"> </w:t>
            </w:r>
            <w:r w:rsidR="00244823" w:rsidRPr="00C83BDF">
              <w:rPr>
                <w:sz w:val="18"/>
                <w:szCs w:val="18"/>
                <w:lang w:val="es-ES_tradnl"/>
              </w:rPr>
              <w:t>7 miembros (20 participantes) / 1 obs (2) / 1 org (0)</w:t>
            </w:r>
          </w:p>
        </w:tc>
      </w:tr>
    </w:tbl>
    <w:p w:rsidR="00E65183" w:rsidRPr="00C83BDF" w:rsidRDefault="00E65183" w:rsidP="00E65183">
      <w:pPr>
        <w:rPr>
          <w:sz w:val="18"/>
          <w:szCs w:val="18"/>
          <w:lang w:val="es-ES_tradnl"/>
        </w:rPr>
      </w:pPr>
    </w:p>
    <w:p w:rsidR="00E65183" w:rsidRPr="00C83BDF" w:rsidRDefault="00E65183" w:rsidP="00E65183">
      <w:pPr>
        <w:rPr>
          <w:sz w:val="18"/>
          <w:szCs w:val="18"/>
          <w:lang w:val="es-ES_tradnl"/>
        </w:rPr>
      </w:pPr>
    </w:p>
    <w:tbl>
      <w:tblPr>
        <w:tblW w:w="9889" w:type="dxa"/>
        <w:tblLayout w:type="fixed"/>
        <w:tblLook w:val="0000" w:firstRow="0" w:lastRow="0" w:firstColumn="0" w:lastColumn="0" w:noHBand="0" w:noVBand="0"/>
      </w:tblPr>
      <w:tblGrid>
        <w:gridCol w:w="1951"/>
        <w:gridCol w:w="7938"/>
      </w:tblGrid>
      <w:tr w:rsidR="00E65183" w:rsidRPr="00C83BDF">
        <w:tc>
          <w:tcPr>
            <w:tcW w:w="1951" w:type="dxa"/>
            <w:shd w:val="clear" w:color="auto" w:fill="auto"/>
          </w:tcPr>
          <w:p w:rsidR="00E65183" w:rsidRPr="00C83BDF" w:rsidRDefault="00E65183" w:rsidP="004737CD">
            <w:pPr>
              <w:jc w:val="left"/>
              <w:rPr>
                <w:sz w:val="18"/>
                <w:szCs w:val="18"/>
                <w:lang w:val="es-ES_tradnl"/>
              </w:rPr>
            </w:pPr>
          </w:p>
        </w:tc>
        <w:tc>
          <w:tcPr>
            <w:tcW w:w="7938" w:type="dxa"/>
            <w:shd w:val="clear" w:color="auto" w:fill="auto"/>
          </w:tcPr>
          <w:p w:rsidR="00E65183" w:rsidRPr="00C83BDF" w:rsidRDefault="00244823" w:rsidP="001D7439">
            <w:pPr>
              <w:pStyle w:val="Heading8"/>
              <w:rPr>
                <w:lang w:val="es-ES_tradnl"/>
              </w:rPr>
            </w:pPr>
            <w:bookmarkStart w:id="76" w:name="_Toc431824261"/>
            <w:r w:rsidRPr="00C83BDF">
              <w:rPr>
                <w:lang w:val="es-ES_tradnl"/>
              </w:rPr>
              <w:t>e)  </w:t>
            </w:r>
            <w:r w:rsidR="001D7439" w:rsidRPr="00C83BDF">
              <w:rPr>
                <w:lang w:val="es-ES_tradnl"/>
              </w:rPr>
              <w:t xml:space="preserve">Explicación de las medidas para mejorar </w:t>
            </w:r>
            <w:r w:rsidRPr="00C83BDF">
              <w:rPr>
                <w:lang w:val="es-ES_tradnl"/>
              </w:rPr>
              <w:t>la eficacia del TC, los TWP y los talleres preparatorios</w:t>
            </w:r>
            <w:bookmarkEnd w:id="76"/>
          </w:p>
          <w:p w:rsidR="00E65183" w:rsidRPr="00C83BDF" w:rsidRDefault="00653E16" w:rsidP="004737CD">
            <w:pPr>
              <w:jc w:val="left"/>
              <w:rPr>
                <w:sz w:val="18"/>
                <w:szCs w:val="18"/>
                <w:lang w:val="es-ES_tradnl"/>
              </w:rPr>
            </w:pPr>
            <w:r w:rsidRPr="00C83BDF">
              <w:rPr>
                <w:sz w:val="18"/>
                <w:szCs w:val="18"/>
                <w:lang w:val="es-ES_tradnl"/>
              </w:rPr>
              <w:t>El TC, en su quincuagésima sesión, asistió a ponencias ofrecidas por la Oficina de la Unión sobre una encuesta a los participantes en los TWP, los talleres preparatorios y el TC</w:t>
            </w:r>
            <w:r w:rsidR="00FF74C7" w:rsidRPr="00C83BDF">
              <w:rPr>
                <w:sz w:val="18"/>
                <w:szCs w:val="18"/>
                <w:lang w:val="es-ES_tradnl"/>
              </w:rPr>
              <w:t>,</w:t>
            </w:r>
            <w:r w:rsidRPr="00C83BDF">
              <w:rPr>
                <w:sz w:val="18"/>
                <w:szCs w:val="18"/>
                <w:lang w:val="es-ES_tradnl"/>
              </w:rPr>
              <w:t xml:space="preserve"> </w:t>
            </w:r>
            <w:r w:rsidR="00FF74C7" w:rsidRPr="00C83BDF">
              <w:rPr>
                <w:sz w:val="18"/>
                <w:szCs w:val="18"/>
                <w:lang w:val="es-ES_tradnl"/>
              </w:rPr>
              <w:t xml:space="preserve">distribuida </w:t>
            </w:r>
            <w:r w:rsidRPr="00C83BDF">
              <w:rPr>
                <w:sz w:val="18"/>
                <w:szCs w:val="18"/>
                <w:lang w:val="es-ES_tradnl"/>
              </w:rPr>
              <w:t xml:space="preserve">en sus sesiones de 2013, </w:t>
            </w:r>
            <w:r w:rsidR="00FF74C7" w:rsidRPr="00C83BDF">
              <w:rPr>
                <w:sz w:val="18"/>
                <w:szCs w:val="18"/>
                <w:lang w:val="es-ES_tradnl"/>
              </w:rPr>
              <w:t xml:space="preserve">recibió información acerca de la asistencia </w:t>
            </w:r>
            <w:r w:rsidRPr="00C83BDF">
              <w:rPr>
                <w:sz w:val="18"/>
                <w:szCs w:val="18"/>
                <w:lang w:val="es-ES_tradnl"/>
              </w:rPr>
              <w:t>de los miembros de la Unión a las sesiones del TC y de los TWP en los últimos</w:t>
            </w:r>
            <w:r w:rsidR="00FF74C7" w:rsidRPr="00C83BDF">
              <w:rPr>
                <w:sz w:val="18"/>
                <w:szCs w:val="18"/>
                <w:lang w:val="es-ES_tradnl"/>
              </w:rPr>
              <w:t> </w:t>
            </w:r>
            <w:r w:rsidRPr="00C83BDF">
              <w:rPr>
                <w:sz w:val="18"/>
                <w:szCs w:val="18"/>
                <w:lang w:val="es-ES_tradnl"/>
              </w:rPr>
              <w:t xml:space="preserve">5 años, </w:t>
            </w:r>
            <w:r w:rsidR="00FF74C7" w:rsidRPr="00C83BDF">
              <w:rPr>
                <w:sz w:val="18"/>
                <w:szCs w:val="18"/>
                <w:lang w:val="es-ES_tradnl"/>
              </w:rPr>
              <w:t xml:space="preserve">y recibió asimismo </w:t>
            </w:r>
            <w:r w:rsidRPr="00C83BDF">
              <w:rPr>
                <w:sz w:val="18"/>
                <w:szCs w:val="18"/>
                <w:lang w:val="es-ES_tradnl"/>
              </w:rPr>
              <w:t xml:space="preserve">una propuesta </w:t>
            </w:r>
            <w:r w:rsidR="00FF74C7" w:rsidRPr="00C83BDF">
              <w:rPr>
                <w:sz w:val="18"/>
                <w:szCs w:val="18"/>
                <w:lang w:val="es-ES_tradnl"/>
              </w:rPr>
              <w:t>relativa a la</w:t>
            </w:r>
            <w:r w:rsidRPr="00C83BDF">
              <w:rPr>
                <w:sz w:val="18"/>
                <w:szCs w:val="18"/>
                <w:lang w:val="es-ES_tradnl"/>
              </w:rPr>
              <w:t xml:space="preserve"> </w:t>
            </w:r>
            <w:r w:rsidR="00FF74C7" w:rsidRPr="00C83BDF">
              <w:rPr>
                <w:sz w:val="18"/>
                <w:szCs w:val="18"/>
                <w:lang w:val="es-ES_tradnl"/>
              </w:rPr>
              <w:t xml:space="preserve">invitación a las sesiones de los TWP </w:t>
            </w:r>
            <w:r w:rsidRPr="00C83BDF">
              <w:rPr>
                <w:sz w:val="18"/>
                <w:szCs w:val="18"/>
                <w:lang w:val="es-ES_tradnl"/>
              </w:rPr>
              <w:t xml:space="preserve">y una propuesta de </w:t>
            </w:r>
            <w:r w:rsidR="00FF74C7" w:rsidRPr="00C83BDF">
              <w:rPr>
                <w:sz w:val="18"/>
                <w:szCs w:val="18"/>
                <w:lang w:val="es-ES_tradnl"/>
              </w:rPr>
              <w:t>encuesta par</w:t>
            </w:r>
            <w:r w:rsidRPr="00C83BDF">
              <w:rPr>
                <w:sz w:val="18"/>
                <w:szCs w:val="18"/>
                <w:lang w:val="es-ES_tradnl"/>
              </w:rPr>
              <w:t xml:space="preserve">a los participantes en </w:t>
            </w:r>
            <w:r w:rsidR="00FF74C7" w:rsidRPr="00C83BDF">
              <w:rPr>
                <w:sz w:val="18"/>
                <w:szCs w:val="18"/>
                <w:lang w:val="es-ES_tradnl"/>
              </w:rPr>
              <w:t xml:space="preserve">todas </w:t>
            </w:r>
            <w:r w:rsidR="00FE0C62" w:rsidRPr="00C83BDF">
              <w:rPr>
                <w:sz w:val="18"/>
                <w:szCs w:val="18"/>
                <w:lang w:val="es-ES_tradnl"/>
              </w:rPr>
              <w:t xml:space="preserve">las sesiones </w:t>
            </w:r>
            <w:r w:rsidR="00FF74C7" w:rsidRPr="00C83BDF">
              <w:rPr>
                <w:sz w:val="18"/>
                <w:szCs w:val="18"/>
                <w:lang w:val="es-ES_tradnl"/>
              </w:rPr>
              <w:t xml:space="preserve">de los TWP </w:t>
            </w:r>
            <w:r w:rsidR="00FE0C62" w:rsidRPr="00C83BDF">
              <w:rPr>
                <w:sz w:val="18"/>
                <w:szCs w:val="18"/>
                <w:lang w:val="es-ES_tradnl"/>
              </w:rPr>
              <w:t>de 2014</w:t>
            </w:r>
            <w:r w:rsidRPr="00C83BDF">
              <w:rPr>
                <w:sz w:val="18"/>
                <w:szCs w:val="18"/>
                <w:lang w:val="es-ES_tradnl"/>
              </w:rPr>
              <w:t>.</w:t>
            </w:r>
          </w:p>
        </w:tc>
      </w:tr>
    </w:tbl>
    <w:p w:rsidR="00E65183" w:rsidRPr="00C83BDF" w:rsidRDefault="00E65183" w:rsidP="00E65183">
      <w:pPr>
        <w:rPr>
          <w:sz w:val="18"/>
          <w:szCs w:val="18"/>
          <w:lang w:val="es-ES_tradnl"/>
        </w:rPr>
      </w:pPr>
    </w:p>
    <w:p w:rsidR="00E65183" w:rsidRPr="00C83BDF" w:rsidRDefault="00E65183" w:rsidP="00E65183">
      <w:pPr>
        <w:rPr>
          <w:sz w:val="18"/>
          <w:szCs w:val="18"/>
          <w:lang w:val="es-ES_tradnl"/>
        </w:rPr>
      </w:pPr>
    </w:p>
    <w:tbl>
      <w:tblPr>
        <w:tblW w:w="9889" w:type="dxa"/>
        <w:tblLayout w:type="fixed"/>
        <w:tblLook w:val="0000" w:firstRow="0" w:lastRow="0" w:firstColumn="0" w:lastColumn="0" w:noHBand="0" w:noVBand="0"/>
      </w:tblPr>
      <w:tblGrid>
        <w:gridCol w:w="1951"/>
        <w:gridCol w:w="7938"/>
      </w:tblGrid>
      <w:tr w:rsidR="00E65183" w:rsidRPr="00C83BDF">
        <w:tc>
          <w:tcPr>
            <w:tcW w:w="1951" w:type="dxa"/>
            <w:shd w:val="clear" w:color="auto" w:fill="auto"/>
          </w:tcPr>
          <w:p w:rsidR="00E65183" w:rsidRPr="00C83BDF" w:rsidRDefault="00E65183" w:rsidP="004737CD">
            <w:pPr>
              <w:pStyle w:val="Heading6"/>
              <w:rPr>
                <w:lang w:val="es-ES_tradnl"/>
              </w:rPr>
            </w:pPr>
            <w:bookmarkStart w:id="77" w:name="_Toc431824262"/>
            <w:r w:rsidRPr="00C83BDF">
              <w:rPr>
                <w:lang w:val="es-ES_tradnl"/>
              </w:rPr>
              <w:t>5.  </w:t>
            </w:r>
            <w:r w:rsidR="00653E16" w:rsidRPr="00C83BDF">
              <w:rPr>
                <w:lang w:val="es-ES_tradnl"/>
              </w:rPr>
              <w:t>Documentos y material de la UPOV en otros idiomas</w:t>
            </w:r>
            <w:bookmarkEnd w:id="77"/>
          </w:p>
        </w:tc>
        <w:tc>
          <w:tcPr>
            <w:tcW w:w="7938" w:type="dxa"/>
            <w:shd w:val="clear" w:color="auto" w:fill="auto"/>
          </w:tcPr>
          <w:p w:rsidR="00E65183" w:rsidRPr="00C83BDF" w:rsidRDefault="00653E16" w:rsidP="001D7439">
            <w:pPr>
              <w:pStyle w:val="Heading8"/>
              <w:rPr>
                <w:szCs w:val="18"/>
                <w:lang w:val="es-ES_tradnl"/>
              </w:rPr>
            </w:pPr>
            <w:bookmarkStart w:id="78" w:name="_Toc431824263"/>
            <w:r w:rsidRPr="00C83BDF">
              <w:rPr>
                <w:szCs w:val="18"/>
                <w:lang w:val="es-ES_tradnl"/>
              </w:rPr>
              <w:t>a)  Disponibilidad de los documentos y del material de la UPOV en otros idiomas además de los de la UPOV (español, alemán, francés e inglés)</w:t>
            </w:r>
            <w:bookmarkEnd w:id="78"/>
          </w:p>
          <w:p w:rsidR="00E65183" w:rsidRPr="00C83BDF" w:rsidRDefault="00653E16" w:rsidP="003268AA">
            <w:pPr>
              <w:pStyle w:val="ListParagraph"/>
              <w:numPr>
                <w:ilvl w:val="0"/>
                <w:numId w:val="10"/>
              </w:numPr>
              <w:tabs>
                <w:tab w:val="clear" w:pos="1492"/>
                <w:tab w:val="num" w:pos="317"/>
              </w:tabs>
              <w:ind w:left="317" w:hanging="317"/>
              <w:rPr>
                <w:sz w:val="18"/>
                <w:szCs w:val="18"/>
                <w:lang w:val="es-ES_tradnl"/>
              </w:rPr>
            </w:pPr>
            <w:r w:rsidRPr="00C83BDF">
              <w:rPr>
                <w:sz w:val="18"/>
                <w:szCs w:val="18"/>
                <w:lang w:val="es-ES_tradnl"/>
              </w:rPr>
              <w:t>El Acta de 1991 del Convenio de la UPOV se tradujo al jemer y al serbio (las traducciones se verificarán antes de su publicación en el sitio web de la UPOV.</w:t>
            </w:r>
          </w:p>
        </w:tc>
      </w:tr>
    </w:tbl>
    <w:p w:rsidR="00E65183" w:rsidRPr="00C83BDF" w:rsidRDefault="00E65183" w:rsidP="00E65183">
      <w:pPr>
        <w:rPr>
          <w:sz w:val="18"/>
          <w:szCs w:val="18"/>
          <w:lang w:val="es-ES_tradnl"/>
        </w:rPr>
      </w:pPr>
    </w:p>
    <w:p w:rsidR="00E65183" w:rsidRPr="00C83BDF" w:rsidRDefault="00E65183" w:rsidP="00E65183">
      <w:pPr>
        <w:rPr>
          <w:lang w:val="es-ES_tradnl"/>
        </w:rPr>
      </w:pPr>
      <w:bookmarkStart w:id="79" w:name="_Toc336339195"/>
      <w:r w:rsidRPr="00C83BDF">
        <w:rPr>
          <w:bCs/>
          <w:i/>
          <w:lang w:val="es-ES_tradnl"/>
        </w:rPr>
        <w:br w:type="page"/>
      </w:r>
    </w:p>
    <w:tbl>
      <w:tblPr>
        <w:tblW w:w="9889" w:type="dxa"/>
        <w:tblLayout w:type="fixed"/>
        <w:tblLook w:val="0000" w:firstRow="0" w:lastRow="0" w:firstColumn="0" w:lastColumn="0" w:noHBand="0" w:noVBand="0"/>
      </w:tblPr>
      <w:tblGrid>
        <w:gridCol w:w="1951"/>
        <w:gridCol w:w="7938"/>
      </w:tblGrid>
      <w:tr w:rsidR="00E65183" w:rsidRPr="00C83BDF">
        <w:tc>
          <w:tcPr>
            <w:tcW w:w="1951" w:type="dxa"/>
            <w:shd w:val="clear" w:color="auto" w:fill="auto"/>
          </w:tcPr>
          <w:p w:rsidR="00E65183" w:rsidRPr="00C83BDF" w:rsidRDefault="00653E16" w:rsidP="001D7439">
            <w:pPr>
              <w:keepNext/>
              <w:spacing w:after="240"/>
              <w:rPr>
                <w:b/>
                <w:sz w:val="18"/>
                <w:lang w:val="es-ES_tradnl"/>
              </w:rPr>
            </w:pPr>
            <w:r w:rsidRPr="00C83BDF">
              <w:rPr>
                <w:b/>
                <w:sz w:val="18"/>
                <w:lang w:val="es-ES_tradnl"/>
              </w:rPr>
              <w:t>Resultados previstos</w:t>
            </w:r>
          </w:p>
        </w:tc>
        <w:tc>
          <w:tcPr>
            <w:tcW w:w="7938" w:type="dxa"/>
            <w:shd w:val="clear" w:color="auto" w:fill="auto"/>
          </w:tcPr>
          <w:p w:rsidR="00E65183" w:rsidRPr="00C83BDF" w:rsidRDefault="00653E16" w:rsidP="001D7439">
            <w:pPr>
              <w:keepNext/>
              <w:spacing w:after="240"/>
              <w:rPr>
                <w:b/>
                <w:i/>
                <w:sz w:val="18"/>
                <w:szCs w:val="18"/>
                <w:lang w:val="es-ES_tradnl"/>
              </w:rPr>
            </w:pPr>
            <w:r w:rsidRPr="00C83BDF">
              <w:rPr>
                <w:b/>
                <w:sz w:val="18"/>
                <w:szCs w:val="18"/>
                <w:lang w:val="es-ES_tradnl"/>
              </w:rPr>
              <w:t>Resultados alcanzados:</w:t>
            </w:r>
            <w:r w:rsidR="00E65183" w:rsidRPr="00C83BDF">
              <w:rPr>
                <w:b/>
                <w:sz w:val="18"/>
                <w:szCs w:val="18"/>
                <w:lang w:val="es-ES_tradnl"/>
              </w:rPr>
              <w:t xml:space="preserve">  </w:t>
            </w:r>
            <w:r w:rsidRPr="00C83BDF">
              <w:rPr>
                <w:b/>
                <w:sz w:val="18"/>
                <w:szCs w:val="18"/>
                <w:lang w:val="es-ES_tradnl"/>
              </w:rPr>
              <w:t>indicadores de rendimiento</w:t>
            </w:r>
          </w:p>
        </w:tc>
      </w:tr>
      <w:tr w:rsidR="00E65183" w:rsidRPr="00C83BDF">
        <w:tc>
          <w:tcPr>
            <w:tcW w:w="1951" w:type="dxa"/>
          </w:tcPr>
          <w:p w:rsidR="00E65183" w:rsidRPr="00C83BDF" w:rsidRDefault="00E65183" w:rsidP="004737CD">
            <w:pPr>
              <w:pStyle w:val="Heading6"/>
              <w:rPr>
                <w:lang w:val="es-ES_tradnl"/>
              </w:rPr>
            </w:pPr>
            <w:bookmarkStart w:id="80" w:name="_Toc431824264"/>
            <w:r w:rsidRPr="00C83BDF">
              <w:rPr>
                <w:lang w:val="es-ES_tradnl"/>
              </w:rPr>
              <w:t>6.  </w:t>
            </w:r>
            <w:bookmarkEnd w:id="79"/>
            <w:r w:rsidR="00653E16" w:rsidRPr="00C83BDF">
              <w:rPr>
                <w:lang w:val="es-ES_tradnl"/>
              </w:rPr>
              <w:t>Simplificación de las solicitudes de derechos de obtentor</w:t>
            </w:r>
            <w:bookmarkEnd w:id="80"/>
          </w:p>
        </w:tc>
        <w:tc>
          <w:tcPr>
            <w:tcW w:w="7938" w:type="dxa"/>
          </w:tcPr>
          <w:p w:rsidR="00E65183" w:rsidRPr="00C83BDF" w:rsidRDefault="00653E16" w:rsidP="001D7439">
            <w:pPr>
              <w:pStyle w:val="Heading8"/>
              <w:rPr>
                <w:lang w:val="es-ES_tradnl"/>
              </w:rPr>
            </w:pPr>
            <w:bookmarkStart w:id="81" w:name="_Toc431824265"/>
            <w:r w:rsidRPr="00C83BDF">
              <w:rPr>
                <w:lang w:val="es-ES_tradnl"/>
              </w:rPr>
              <w:t>a)  Número de solicitudes de derechos de obtentor</w:t>
            </w:r>
            <w:bookmarkEnd w:id="81"/>
          </w:p>
          <w:p w:rsidR="00E65183" w:rsidRPr="00C83BDF" w:rsidRDefault="00653E16" w:rsidP="004737CD">
            <w:pPr>
              <w:tabs>
                <w:tab w:val="left" w:pos="2410"/>
                <w:tab w:val="left" w:pos="4536"/>
                <w:tab w:val="left" w:pos="9072"/>
              </w:tabs>
              <w:jc w:val="left"/>
              <w:rPr>
                <w:color w:val="000000"/>
                <w:sz w:val="18"/>
                <w:szCs w:val="18"/>
                <w:lang w:val="es-ES_tradnl"/>
              </w:rPr>
            </w:pPr>
            <w:r w:rsidRPr="00C83BDF">
              <w:rPr>
                <w:sz w:val="18"/>
                <w:szCs w:val="18"/>
                <w:lang w:val="es-ES_tradnl" w:eastAsia="ja-JP"/>
              </w:rPr>
              <w:t>14.788 solicitudes presentadas ante miembros de la Unión en 2013 (13.908 en 2012;  13.981 en 2011) (véase el documento C/48/7)</w:t>
            </w:r>
          </w:p>
          <w:p w:rsidR="00E65183" w:rsidRPr="00C83BDF" w:rsidRDefault="00E65183" w:rsidP="004737CD">
            <w:pPr>
              <w:tabs>
                <w:tab w:val="left" w:pos="2410"/>
                <w:tab w:val="left" w:pos="4536"/>
                <w:tab w:val="left" w:pos="9072"/>
              </w:tabs>
              <w:jc w:val="left"/>
              <w:rPr>
                <w:color w:val="000000"/>
                <w:sz w:val="18"/>
                <w:szCs w:val="18"/>
                <w:lang w:val="es-ES_tradnl"/>
              </w:rPr>
            </w:pPr>
          </w:p>
          <w:p w:rsidR="00E65183" w:rsidRPr="00C83BDF" w:rsidRDefault="00E65183" w:rsidP="004737CD">
            <w:pPr>
              <w:tabs>
                <w:tab w:val="left" w:pos="2410"/>
                <w:tab w:val="left" w:pos="4536"/>
                <w:tab w:val="left" w:pos="9072"/>
              </w:tabs>
              <w:jc w:val="left"/>
              <w:rPr>
                <w:color w:val="000000"/>
                <w:sz w:val="18"/>
                <w:szCs w:val="18"/>
                <w:lang w:val="es-ES_tradnl"/>
              </w:rPr>
            </w:pPr>
          </w:p>
        </w:tc>
      </w:tr>
      <w:tr w:rsidR="00E65183" w:rsidRPr="00C83BDF">
        <w:trPr>
          <w:cantSplit/>
        </w:trPr>
        <w:tc>
          <w:tcPr>
            <w:tcW w:w="1951" w:type="dxa"/>
          </w:tcPr>
          <w:p w:rsidR="00E65183" w:rsidRPr="00C83BDF" w:rsidRDefault="00E65183" w:rsidP="004737CD">
            <w:pPr>
              <w:jc w:val="left"/>
              <w:rPr>
                <w:sz w:val="18"/>
                <w:szCs w:val="18"/>
                <w:lang w:val="es-ES_tradnl"/>
              </w:rPr>
            </w:pPr>
          </w:p>
        </w:tc>
        <w:tc>
          <w:tcPr>
            <w:tcW w:w="7938" w:type="dxa"/>
          </w:tcPr>
          <w:p w:rsidR="00E65183" w:rsidRPr="00C83BDF" w:rsidRDefault="00653E16" w:rsidP="001D7439">
            <w:pPr>
              <w:pStyle w:val="Heading8"/>
              <w:rPr>
                <w:szCs w:val="18"/>
                <w:lang w:val="es-ES_tradnl"/>
              </w:rPr>
            </w:pPr>
            <w:bookmarkStart w:id="82" w:name="_Toc431824266"/>
            <w:r w:rsidRPr="00C83BDF">
              <w:rPr>
                <w:szCs w:val="18"/>
                <w:lang w:val="es-ES_tradnl"/>
              </w:rPr>
              <w:t>b)  Número de títulos concedidos</w:t>
            </w:r>
            <w:bookmarkEnd w:id="82"/>
          </w:p>
          <w:p w:rsidR="00E65183" w:rsidRPr="00C83BDF" w:rsidRDefault="00653E16" w:rsidP="004737CD">
            <w:pPr>
              <w:tabs>
                <w:tab w:val="left" w:pos="2410"/>
                <w:tab w:val="left" w:pos="4536"/>
                <w:tab w:val="left" w:pos="9072"/>
              </w:tabs>
              <w:jc w:val="left"/>
              <w:rPr>
                <w:color w:val="000000"/>
                <w:sz w:val="18"/>
                <w:szCs w:val="18"/>
                <w:lang w:val="es-ES_tradnl"/>
              </w:rPr>
            </w:pPr>
            <w:r w:rsidRPr="00C83BDF">
              <w:rPr>
                <w:sz w:val="18"/>
                <w:szCs w:val="18"/>
                <w:lang w:val="es-ES_tradnl" w:eastAsia="ja-JP"/>
              </w:rPr>
              <w:t>10.052 títulos concedidos por miembros de la Unión en 2013 (9.822 en 2012;  10.189 en 2011)</w:t>
            </w:r>
          </w:p>
          <w:p w:rsidR="00E65183" w:rsidRPr="00C83BDF" w:rsidRDefault="00653E16" w:rsidP="004737CD">
            <w:pPr>
              <w:tabs>
                <w:tab w:val="left" w:pos="2410"/>
                <w:tab w:val="left" w:pos="4536"/>
                <w:tab w:val="left" w:pos="9072"/>
              </w:tabs>
              <w:jc w:val="left"/>
              <w:rPr>
                <w:color w:val="000000"/>
                <w:sz w:val="18"/>
                <w:szCs w:val="18"/>
                <w:lang w:val="es-ES_tradnl"/>
              </w:rPr>
            </w:pPr>
            <w:r w:rsidRPr="00C83BDF">
              <w:rPr>
                <w:sz w:val="18"/>
                <w:szCs w:val="18"/>
                <w:lang w:val="es-ES_tradnl"/>
              </w:rPr>
              <w:t>(véase el documento C/48/7)</w:t>
            </w:r>
          </w:p>
          <w:p w:rsidR="00E65183" w:rsidRPr="00C83BDF" w:rsidRDefault="00E65183" w:rsidP="004737CD">
            <w:pPr>
              <w:rPr>
                <w:sz w:val="18"/>
                <w:szCs w:val="18"/>
                <w:lang w:val="es-ES_tradnl"/>
              </w:rPr>
            </w:pPr>
          </w:p>
          <w:p w:rsidR="00E65183" w:rsidRPr="00C83BDF" w:rsidRDefault="00E65183" w:rsidP="004737CD">
            <w:pPr>
              <w:rPr>
                <w:sz w:val="18"/>
                <w:szCs w:val="18"/>
                <w:lang w:val="es-ES_tradnl"/>
              </w:rPr>
            </w:pPr>
          </w:p>
        </w:tc>
      </w:tr>
      <w:tr w:rsidR="00E65183" w:rsidRPr="00C83BDF">
        <w:trPr>
          <w:cantSplit/>
        </w:trPr>
        <w:tc>
          <w:tcPr>
            <w:tcW w:w="1951" w:type="dxa"/>
          </w:tcPr>
          <w:p w:rsidR="00E65183" w:rsidRPr="00C83BDF" w:rsidRDefault="00E65183" w:rsidP="004737CD">
            <w:pPr>
              <w:rPr>
                <w:sz w:val="18"/>
                <w:szCs w:val="18"/>
                <w:lang w:val="es-ES_tradnl"/>
              </w:rPr>
            </w:pPr>
          </w:p>
        </w:tc>
        <w:tc>
          <w:tcPr>
            <w:tcW w:w="7938" w:type="dxa"/>
          </w:tcPr>
          <w:p w:rsidR="00E65183" w:rsidRPr="00C83BDF" w:rsidRDefault="00653E16" w:rsidP="001D7439">
            <w:pPr>
              <w:pStyle w:val="Heading8"/>
              <w:rPr>
                <w:szCs w:val="18"/>
                <w:lang w:val="es-ES_tradnl"/>
              </w:rPr>
            </w:pPr>
            <w:bookmarkStart w:id="83" w:name="_Toc431824267"/>
            <w:r w:rsidRPr="00C83BDF">
              <w:rPr>
                <w:szCs w:val="18"/>
                <w:lang w:val="es-ES_tradnl"/>
              </w:rPr>
              <w:t>c)  Número de títulos en vigor</w:t>
            </w:r>
            <w:bookmarkEnd w:id="83"/>
          </w:p>
          <w:p w:rsidR="00E65183" w:rsidRPr="00C83BDF" w:rsidRDefault="00653E16" w:rsidP="004737CD">
            <w:pPr>
              <w:jc w:val="left"/>
              <w:rPr>
                <w:color w:val="000000"/>
                <w:sz w:val="18"/>
                <w:szCs w:val="18"/>
                <w:lang w:val="es-ES_tradnl"/>
              </w:rPr>
            </w:pPr>
            <w:r w:rsidRPr="00C83BDF">
              <w:rPr>
                <w:color w:val="000000"/>
                <w:sz w:val="18"/>
                <w:szCs w:val="18"/>
                <w:lang w:val="es-ES_tradnl" w:eastAsia="ja-JP"/>
              </w:rPr>
              <w:t>103.261 títulos en vigor en los miembros de la Unión en 2013 (99.501 en 2012;  95.164 en 2011) (véase el documento C/48/7)</w:t>
            </w:r>
          </w:p>
          <w:p w:rsidR="00E65183" w:rsidRPr="00C83BDF" w:rsidRDefault="00E65183" w:rsidP="004737CD">
            <w:pPr>
              <w:jc w:val="left"/>
              <w:rPr>
                <w:color w:val="000000"/>
                <w:sz w:val="18"/>
                <w:szCs w:val="18"/>
                <w:lang w:val="es-ES_tradnl"/>
              </w:rPr>
            </w:pPr>
          </w:p>
          <w:p w:rsidR="00E65183" w:rsidRPr="00C83BDF" w:rsidRDefault="00E65183" w:rsidP="004737CD">
            <w:pPr>
              <w:jc w:val="left"/>
              <w:rPr>
                <w:color w:val="000000"/>
                <w:sz w:val="18"/>
                <w:szCs w:val="18"/>
                <w:lang w:val="es-ES_tradnl"/>
              </w:rPr>
            </w:pPr>
          </w:p>
        </w:tc>
      </w:tr>
      <w:tr w:rsidR="00E65183" w:rsidRPr="00C83BDF">
        <w:trPr>
          <w:cantSplit/>
        </w:trPr>
        <w:tc>
          <w:tcPr>
            <w:tcW w:w="1951" w:type="dxa"/>
          </w:tcPr>
          <w:p w:rsidR="00E65183" w:rsidRPr="00C83BDF" w:rsidRDefault="00E65183" w:rsidP="004737CD">
            <w:pPr>
              <w:jc w:val="left"/>
              <w:rPr>
                <w:sz w:val="18"/>
                <w:szCs w:val="18"/>
                <w:lang w:val="es-ES_tradnl"/>
              </w:rPr>
            </w:pPr>
          </w:p>
        </w:tc>
        <w:tc>
          <w:tcPr>
            <w:tcW w:w="7938" w:type="dxa"/>
          </w:tcPr>
          <w:p w:rsidR="00E65183" w:rsidRPr="00C83BDF" w:rsidRDefault="00653E16" w:rsidP="00A81503">
            <w:pPr>
              <w:pStyle w:val="Heading8"/>
              <w:rPr>
                <w:szCs w:val="18"/>
                <w:lang w:val="es-ES_tradnl"/>
              </w:rPr>
            </w:pPr>
            <w:bookmarkStart w:id="84" w:name="_Toc431824268"/>
            <w:r w:rsidRPr="00C83BDF">
              <w:rPr>
                <w:szCs w:val="18"/>
                <w:lang w:val="es-ES_tradnl"/>
              </w:rPr>
              <w:t>d)  Número de géneros/especies protegidos por los miembros de la Unión</w:t>
            </w:r>
            <w:bookmarkEnd w:id="84"/>
          </w:p>
          <w:p w:rsidR="00E65183" w:rsidRPr="00C83BDF" w:rsidRDefault="00653E16" w:rsidP="004737CD">
            <w:pPr>
              <w:tabs>
                <w:tab w:val="left" w:pos="2410"/>
                <w:tab w:val="left" w:pos="4536"/>
                <w:tab w:val="left" w:pos="9072"/>
              </w:tabs>
              <w:jc w:val="left"/>
              <w:rPr>
                <w:sz w:val="18"/>
                <w:szCs w:val="18"/>
                <w:lang w:val="es-ES_tradnl" w:eastAsia="ja-JP"/>
              </w:rPr>
            </w:pPr>
            <w:r w:rsidRPr="00C83BDF">
              <w:rPr>
                <w:sz w:val="18"/>
                <w:szCs w:val="18"/>
                <w:lang w:val="es-ES_tradnl"/>
              </w:rPr>
              <w:t>Al final de 2014, 58 miembros de la Unión brindaban protección a todos los géneros y especies vegetales (56 en 2013;  53 en 2012) y 14 miembros de la Unión brindaban protección a un número limitado de géneros y especies vegetales (15 en 2013;  17 en 2012) (véase el documento C/48/6).</w:t>
            </w:r>
          </w:p>
          <w:p w:rsidR="00E65183" w:rsidRPr="00C83BDF" w:rsidRDefault="00E65183" w:rsidP="004737CD">
            <w:pPr>
              <w:tabs>
                <w:tab w:val="left" w:pos="2410"/>
                <w:tab w:val="left" w:pos="4536"/>
                <w:tab w:val="left" w:pos="9072"/>
              </w:tabs>
              <w:jc w:val="left"/>
              <w:rPr>
                <w:sz w:val="18"/>
                <w:szCs w:val="18"/>
                <w:lang w:val="es-ES_tradnl" w:eastAsia="ja-JP"/>
              </w:rPr>
            </w:pPr>
          </w:p>
          <w:p w:rsidR="00E65183" w:rsidRPr="00C83BDF" w:rsidRDefault="00FE2218" w:rsidP="004737CD">
            <w:pPr>
              <w:tabs>
                <w:tab w:val="left" w:pos="2410"/>
                <w:tab w:val="left" w:pos="4536"/>
                <w:tab w:val="left" w:pos="9072"/>
              </w:tabs>
              <w:jc w:val="left"/>
              <w:rPr>
                <w:sz w:val="18"/>
                <w:szCs w:val="18"/>
                <w:lang w:val="es-ES_tradnl" w:eastAsia="ja-JP"/>
              </w:rPr>
            </w:pPr>
            <w:r w:rsidRPr="00C83BDF">
              <w:rPr>
                <w:sz w:val="18"/>
                <w:szCs w:val="18"/>
                <w:lang w:val="es-ES_tradnl"/>
              </w:rPr>
              <w:t>El siguiente miembro de la Unión notificó la ampliación de la protección a todos los géneros y especies vegetales en 2014:</w:t>
            </w:r>
          </w:p>
          <w:p w:rsidR="00E65183" w:rsidRPr="00C83BDF" w:rsidRDefault="00E65183" w:rsidP="004737CD">
            <w:pPr>
              <w:tabs>
                <w:tab w:val="left" w:pos="2410"/>
                <w:tab w:val="left" w:pos="4536"/>
                <w:tab w:val="left" w:pos="9072"/>
              </w:tabs>
              <w:jc w:val="left"/>
              <w:rPr>
                <w:sz w:val="18"/>
                <w:szCs w:val="18"/>
                <w:lang w:val="es-ES_tradnl" w:eastAsia="ja-JP"/>
              </w:rPr>
            </w:pPr>
          </w:p>
          <w:p w:rsidR="00E65183" w:rsidRPr="00C83BDF" w:rsidRDefault="00FE2218" w:rsidP="004737CD">
            <w:pPr>
              <w:tabs>
                <w:tab w:val="left" w:pos="2410"/>
                <w:tab w:val="left" w:pos="4536"/>
                <w:tab w:val="left" w:pos="9072"/>
              </w:tabs>
              <w:jc w:val="left"/>
              <w:rPr>
                <w:sz w:val="18"/>
                <w:szCs w:val="18"/>
                <w:lang w:val="es-ES_tradnl" w:eastAsia="ja-JP"/>
              </w:rPr>
            </w:pPr>
            <w:r w:rsidRPr="00C83BDF">
              <w:rPr>
                <w:sz w:val="18"/>
                <w:szCs w:val="18"/>
                <w:lang w:val="es-ES_tradnl" w:eastAsia="ja-JP"/>
              </w:rPr>
              <w:t>Singapur</w:t>
            </w:r>
          </w:p>
          <w:p w:rsidR="00E65183" w:rsidRPr="00C83BDF" w:rsidRDefault="00E65183" w:rsidP="004737CD">
            <w:pPr>
              <w:tabs>
                <w:tab w:val="left" w:pos="2410"/>
                <w:tab w:val="left" w:pos="4536"/>
                <w:tab w:val="left" w:pos="9072"/>
              </w:tabs>
              <w:jc w:val="left"/>
              <w:rPr>
                <w:sz w:val="18"/>
                <w:szCs w:val="18"/>
                <w:lang w:val="es-ES_tradnl" w:eastAsia="ja-JP"/>
              </w:rPr>
            </w:pPr>
          </w:p>
          <w:p w:rsidR="00E65183" w:rsidRPr="00C83BDF" w:rsidRDefault="00FE2218" w:rsidP="004737CD">
            <w:pPr>
              <w:tabs>
                <w:tab w:val="left" w:pos="1735"/>
                <w:tab w:val="left" w:pos="2410"/>
                <w:tab w:val="left" w:pos="9072"/>
              </w:tabs>
              <w:jc w:val="left"/>
              <w:rPr>
                <w:sz w:val="18"/>
                <w:szCs w:val="18"/>
                <w:lang w:val="es-ES_tradnl"/>
              </w:rPr>
            </w:pPr>
            <w:r w:rsidRPr="00C83BDF">
              <w:rPr>
                <w:sz w:val="18"/>
                <w:szCs w:val="18"/>
                <w:lang w:val="es-ES_tradnl"/>
              </w:rPr>
              <w:t>Los siguientes miembros de la Unión notificaron la ampliación de la protección a géneros y especies vegetales adicionales en 2014:</w:t>
            </w:r>
            <w:r w:rsidR="00E65183" w:rsidRPr="00C83BDF">
              <w:rPr>
                <w:sz w:val="18"/>
                <w:szCs w:val="18"/>
                <w:lang w:val="es-ES_tradnl"/>
              </w:rPr>
              <w:t xml:space="preserve">  </w:t>
            </w:r>
          </w:p>
          <w:p w:rsidR="00E65183" w:rsidRPr="00C83BDF" w:rsidRDefault="00E65183" w:rsidP="004737CD">
            <w:pPr>
              <w:tabs>
                <w:tab w:val="left" w:pos="1735"/>
                <w:tab w:val="left" w:pos="2410"/>
                <w:tab w:val="left" w:pos="9072"/>
              </w:tabs>
              <w:jc w:val="left"/>
              <w:rPr>
                <w:sz w:val="18"/>
                <w:szCs w:val="18"/>
                <w:lang w:val="es-ES_tradnl"/>
              </w:rPr>
            </w:pPr>
          </w:p>
          <w:p w:rsidR="00E65183" w:rsidRPr="00C83BDF" w:rsidRDefault="00FE2218" w:rsidP="004737CD">
            <w:pPr>
              <w:tabs>
                <w:tab w:val="left" w:pos="1735"/>
                <w:tab w:val="left" w:pos="2410"/>
                <w:tab w:val="left" w:pos="9072"/>
              </w:tabs>
              <w:jc w:val="left"/>
              <w:rPr>
                <w:sz w:val="18"/>
                <w:szCs w:val="18"/>
                <w:lang w:val="es-ES_tradnl" w:eastAsia="ja-JP"/>
              </w:rPr>
            </w:pPr>
            <w:r w:rsidRPr="00C83BDF">
              <w:rPr>
                <w:sz w:val="18"/>
                <w:szCs w:val="18"/>
                <w:lang w:val="es-ES_tradnl" w:eastAsia="ja-JP"/>
              </w:rPr>
              <w:t>Brasil, China y Sudáfrica</w:t>
            </w:r>
          </w:p>
          <w:p w:rsidR="00E65183" w:rsidRPr="00C83BDF" w:rsidRDefault="00E65183" w:rsidP="004737CD">
            <w:pPr>
              <w:tabs>
                <w:tab w:val="left" w:pos="1735"/>
                <w:tab w:val="left" w:pos="2410"/>
                <w:tab w:val="left" w:pos="9072"/>
              </w:tabs>
              <w:jc w:val="left"/>
              <w:rPr>
                <w:sz w:val="18"/>
                <w:szCs w:val="18"/>
                <w:lang w:val="es-ES_tradnl"/>
              </w:rPr>
            </w:pPr>
          </w:p>
          <w:p w:rsidR="00E65183" w:rsidRPr="00C83BDF" w:rsidRDefault="00E65183" w:rsidP="004737CD">
            <w:pPr>
              <w:tabs>
                <w:tab w:val="left" w:pos="1735"/>
                <w:tab w:val="left" w:pos="2410"/>
                <w:tab w:val="left" w:pos="9072"/>
              </w:tabs>
              <w:jc w:val="left"/>
              <w:rPr>
                <w:sz w:val="18"/>
                <w:szCs w:val="18"/>
                <w:lang w:val="es-ES_tradnl"/>
              </w:rPr>
            </w:pPr>
          </w:p>
        </w:tc>
      </w:tr>
      <w:tr w:rsidR="00E65183" w:rsidRPr="00C83BDF">
        <w:trPr>
          <w:cantSplit/>
        </w:trPr>
        <w:tc>
          <w:tcPr>
            <w:tcW w:w="1951" w:type="dxa"/>
          </w:tcPr>
          <w:p w:rsidR="00E65183" w:rsidRPr="00C83BDF" w:rsidRDefault="00E65183" w:rsidP="004737CD">
            <w:pPr>
              <w:jc w:val="left"/>
              <w:rPr>
                <w:sz w:val="18"/>
                <w:szCs w:val="18"/>
                <w:lang w:val="es-ES_tradnl"/>
              </w:rPr>
            </w:pPr>
          </w:p>
        </w:tc>
        <w:tc>
          <w:tcPr>
            <w:tcW w:w="7938" w:type="dxa"/>
          </w:tcPr>
          <w:p w:rsidR="00E65183" w:rsidRPr="00C83BDF" w:rsidRDefault="00FE2218" w:rsidP="00922B0B">
            <w:pPr>
              <w:pStyle w:val="Heading8"/>
              <w:rPr>
                <w:szCs w:val="18"/>
                <w:lang w:val="es-ES_tradnl"/>
              </w:rPr>
            </w:pPr>
            <w:bookmarkStart w:id="85" w:name="_Toc431824269"/>
            <w:r w:rsidRPr="00C83BDF">
              <w:rPr>
                <w:szCs w:val="18"/>
                <w:lang w:val="es-ES_tradnl"/>
              </w:rPr>
              <w:t>e)  Número de géneros/especies cuyas variedades se han protegido</w:t>
            </w:r>
            <w:bookmarkEnd w:id="85"/>
          </w:p>
          <w:p w:rsidR="00E65183" w:rsidRPr="00C83BDF" w:rsidRDefault="00FE2218" w:rsidP="004737CD">
            <w:pPr>
              <w:tabs>
                <w:tab w:val="left" w:pos="2410"/>
                <w:tab w:val="left" w:pos="4536"/>
                <w:tab w:val="left" w:pos="9072"/>
              </w:tabs>
              <w:jc w:val="left"/>
              <w:rPr>
                <w:sz w:val="18"/>
                <w:szCs w:val="18"/>
                <w:lang w:val="es-ES_tradnl"/>
              </w:rPr>
            </w:pPr>
            <w:r w:rsidRPr="00C83BDF">
              <w:rPr>
                <w:sz w:val="18"/>
                <w:szCs w:val="18"/>
                <w:lang w:val="es-ES_tradnl"/>
              </w:rPr>
              <w:t>Número de géneros y especies vegetales que figuran como protegidos por derecho de obtentor en la Base de datos de variedades vegetales (PLUTO):</w:t>
            </w:r>
            <w:r w:rsidR="00E65183" w:rsidRPr="00C83BDF">
              <w:rPr>
                <w:sz w:val="18"/>
                <w:szCs w:val="18"/>
                <w:lang w:val="es-ES_tradnl"/>
              </w:rPr>
              <w:t xml:space="preserve">  </w:t>
            </w:r>
          </w:p>
          <w:p w:rsidR="00E65183" w:rsidRPr="00C83BDF" w:rsidRDefault="00E65183" w:rsidP="004737CD">
            <w:pPr>
              <w:tabs>
                <w:tab w:val="left" w:pos="2410"/>
                <w:tab w:val="left" w:pos="4536"/>
                <w:tab w:val="left" w:pos="9072"/>
              </w:tabs>
              <w:jc w:val="left"/>
              <w:rPr>
                <w:sz w:val="18"/>
                <w:szCs w:val="18"/>
                <w:lang w:val="es-ES_tradnl"/>
              </w:rPr>
            </w:pPr>
            <w:r w:rsidRPr="00C83BDF">
              <w:rPr>
                <w:sz w:val="18"/>
                <w:szCs w:val="18"/>
                <w:lang w:val="es-ES_tradnl"/>
              </w:rPr>
              <w:t>3</w:t>
            </w:r>
            <w:r w:rsidR="00FE2218" w:rsidRPr="00C83BDF">
              <w:rPr>
                <w:sz w:val="18"/>
                <w:szCs w:val="18"/>
                <w:lang w:val="es-ES_tradnl"/>
              </w:rPr>
              <w:t>.</w:t>
            </w:r>
            <w:r w:rsidRPr="00C83BDF">
              <w:rPr>
                <w:sz w:val="18"/>
                <w:szCs w:val="18"/>
                <w:lang w:val="es-ES_tradnl"/>
              </w:rPr>
              <w:t>454</w:t>
            </w:r>
            <w:r w:rsidRPr="00C83BDF">
              <w:rPr>
                <w:sz w:val="18"/>
                <w:szCs w:val="18"/>
                <w:lang w:val="es-ES_tradnl"/>
              </w:rPr>
              <w:br/>
            </w:r>
            <w:r w:rsidR="00FE2218" w:rsidRPr="00C83BDF">
              <w:rPr>
                <w:sz w:val="18"/>
                <w:szCs w:val="18"/>
                <w:lang w:val="es-ES_tradnl"/>
              </w:rPr>
              <w:t>(3.297 en agosto de 2013;</w:t>
            </w:r>
            <w:r w:rsidRPr="00C83BDF">
              <w:rPr>
                <w:sz w:val="18"/>
                <w:szCs w:val="18"/>
                <w:lang w:val="es-ES_tradnl"/>
              </w:rPr>
              <w:t xml:space="preserve"> </w:t>
            </w:r>
            <w:r w:rsidR="00653E16" w:rsidRPr="00C83BDF">
              <w:rPr>
                <w:sz w:val="18"/>
                <w:szCs w:val="18"/>
                <w:lang w:val="es-ES_tradnl"/>
              </w:rPr>
              <w:t xml:space="preserve"> </w:t>
            </w:r>
            <w:r w:rsidR="00FE2218" w:rsidRPr="00C83BDF">
              <w:rPr>
                <w:sz w:val="18"/>
                <w:szCs w:val="18"/>
                <w:lang w:val="es-ES_tradnl" w:eastAsia="ja-JP"/>
              </w:rPr>
              <w:t>3.144 en agosto de 2012)</w:t>
            </w:r>
          </w:p>
          <w:p w:rsidR="00E65183" w:rsidRPr="00C83BDF" w:rsidRDefault="00E65183" w:rsidP="004737CD">
            <w:pPr>
              <w:tabs>
                <w:tab w:val="left" w:pos="1735"/>
                <w:tab w:val="left" w:pos="2410"/>
                <w:tab w:val="left" w:pos="9072"/>
              </w:tabs>
              <w:jc w:val="left"/>
              <w:rPr>
                <w:sz w:val="18"/>
                <w:szCs w:val="18"/>
                <w:lang w:val="es-ES_tradnl"/>
              </w:rPr>
            </w:pPr>
          </w:p>
          <w:p w:rsidR="00E65183" w:rsidRPr="00C83BDF" w:rsidRDefault="00E65183" w:rsidP="004737CD">
            <w:pPr>
              <w:tabs>
                <w:tab w:val="left" w:pos="1735"/>
                <w:tab w:val="left" w:pos="2410"/>
                <w:tab w:val="left" w:pos="9072"/>
              </w:tabs>
              <w:jc w:val="left"/>
              <w:rPr>
                <w:sz w:val="18"/>
                <w:szCs w:val="18"/>
                <w:lang w:val="es-ES_tradnl"/>
              </w:rPr>
            </w:pPr>
          </w:p>
        </w:tc>
      </w:tr>
      <w:tr w:rsidR="00E65183" w:rsidRPr="00C83BDF">
        <w:trPr>
          <w:cantSplit/>
        </w:trPr>
        <w:tc>
          <w:tcPr>
            <w:tcW w:w="1951" w:type="dxa"/>
          </w:tcPr>
          <w:p w:rsidR="00E65183" w:rsidRPr="00C83BDF" w:rsidRDefault="00E65183" w:rsidP="004737CD">
            <w:pPr>
              <w:rPr>
                <w:sz w:val="18"/>
                <w:szCs w:val="18"/>
                <w:lang w:val="es-ES_tradnl"/>
              </w:rPr>
            </w:pPr>
          </w:p>
        </w:tc>
        <w:tc>
          <w:tcPr>
            <w:tcW w:w="7938" w:type="dxa"/>
          </w:tcPr>
          <w:p w:rsidR="00E65183" w:rsidRPr="00C83BDF" w:rsidRDefault="00FE2218" w:rsidP="00922B0B">
            <w:pPr>
              <w:pStyle w:val="Heading8"/>
              <w:rPr>
                <w:szCs w:val="18"/>
                <w:lang w:val="es-ES_tradnl"/>
              </w:rPr>
            </w:pPr>
            <w:bookmarkStart w:id="86" w:name="_Toc431824270"/>
            <w:r w:rsidRPr="00C83BDF">
              <w:rPr>
                <w:szCs w:val="18"/>
                <w:lang w:val="es-ES_tradnl"/>
              </w:rPr>
              <w:t>f)  Utilización por los miembros de la Unión de las referencias estándar de la UPOV en los formularios de solicitud</w:t>
            </w:r>
            <w:bookmarkEnd w:id="86"/>
          </w:p>
          <w:p w:rsidR="00E65183" w:rsidRPr="00C83BDF" w:rsidRDefault="00FE2218" w:rsidP="004737CD">
            <w:pPr>
              <w:autoSpaceDE w:val="0"/>
              <w:autoSpaceDN w:val="0"/>
              <w:adjustRightInd w:val="0"/>
              <w:rPr>
                <w:sz w:val="18"/>
                <w:szCs w:val="18"/>
                <w:lang w:val="es-ES_tradnl"/>
              </w:rPr>
            </w:pPr>
            <w:r w:rsidRPr="00C83BDF">
              <w:rPr>
                <w:sz w:val="18"/>
                <w:szCs w:val="18"/>
                <w:lang w:val="es-ES_tradnl"/>
              </w:rPr>
              <w:t>En 2012, 13 miembros de la Unión indicaron que en sus respectivos formularios de solicitud se incluyen las referencias estándar relativas al formulario tipo de solicitud de la UPOV.</w:t>
            </w:r>
          </w:p>
          <w:p w:rsidR="00E65183" w:rsidRPr="00C83BDF" w:rsidRDefault="00E65183" w:rsidP="004737CD">
            <w:pPr>
              <w:rPr>
                <w:sz w:val="18"/>
                <w:szCs w:val="18"/>
                <w:lang w:val="es-ES_tradnl"/>
              </w:rPr>
            </w:pPr>
          </w:p>
          <w:p w:rsidR="00E65183" w:rsidRPr="00C83BDF" w:rsidRDefault="00FE2218" w:rsidP="004737CD">
            <w:pPr>
              <w:rPr>
                <w:sz w:val="18"/>
                <w:szCs w:val="18"/>
                <w:lang w:val="es-ES_tradnl"/>
              </w:rPr>
            </w:pPr>
            <w:r w:rsidRPr="00C83BDF">
              <w:rPr>
                <w:sz w:val="18"/>
                <w:szCs w:val="18"/>
                <w:lang w:val="es-ES_tradnl"/>
              </w:rPr>
              <w:t>No hay información nueva en 2013 ni en 2014.</w:t>
            </w:r>
          </w:p>
          <w:p w:rsidR="00E65183" w:rsidRPr="00C83BDF" w:rsidRDefault="00E65183" w:rsidP="004737CD">
            <w:pPr>
              <w:rPr>
                <w:sz w:val="18"/>
                <w:szCs w:val="18"/>
                <w:lang w:val="es-ES_tradnl"/>
              </w:rPr>
            </w:pPr>
          </w:p>
          <w:p w:rsidR="00E65183" w:rsidRPr="00C83BDF" w:rsidRDefault="00E65183" w:rsidP="004737CD">
            <w:pPr>
              <w:rPr>
                <w:sz w:val="18"/>
                <w:szCs w:val="18"/>
                <w:lang w:val="es-ES_tradnl"/>
              </w:rPr>
            </w:pPr>
          </w:p>
        </w:tc>
      </w:tr>
    </w:tbl>
    <w:p w:rsidR="00E65183" w:rsidRPr="00C83BDF" w:rsidRDefault="00E65183" w:rsidP="00E65183">
      <w:pPr>
        <w:rPr>
          <w:lang w:val="es-ES_tradnl"/>
        </w:rPr>
      </w:pPr>
    </w:p>
    <w:tbl>
      <w:tblPr>
        <w:tblW w:w="9889" w:type="dxa"/>
        <w:tblLayout w:type="fixed"/>
        <w:tblLook w:val="0000" w:firstRow="0" w:lastRow="0" w:firstColumn="0" w:lastColumn="0" w:noHBand="0" w:noVBand="0"/>
      </w:tblPr>
      <w:tblGrid>
        <w:gridCol w:w="1951"/>
        <w:gridCol w:w="7938"/>
      </w:tblGrid>
      <w:tr w:rsidR="00E65183" w:rsidRPr="00C83BDF">
        <w:trPr>
          <w:cantSplit/>
        </w:trPr>
        <w:tc>
          <w:tcPr>
            <w:tcW w:w="1951" w:type="dxa"/>
            <w:shd w:val="clear" w:color="auto" w:fill="auto"/>
          </w:tcPr>
          <w:p w:rsidR="00E65183" w:rsidRPr="00C83BDF" w:rsidRDefault="00FE2218" w:rsidP="00922B0B">
            <w:pPr>
              <w:keepNext/>
              <w:spacing w:after="240"/>
              <w:rPr>
                <w:b/>
                <w:sz w:val="18"/>
                <w:lang w:val="es-ES_tradnl"/>
              </w:rPr>
            </w:pPr>
            <w:r w:rsidRPr="00C83BDF">
              <w:rPr>
                <w:b/>
                <w:sz w:val="18"/>
                <w:lang w:val="es-ES_tradnl"/>
              </w:rPr>
              <w:t>Resultados previstos</w:t>
            </w:r>
          </w:p>
        </w:tc>
        <w:tc>
          <w:tcPr>
            <w:tcW w:w="7938" w:type="dxa"/>
            <w:shd w:val="clear" w:color="auto" w:fill="auto"/>
          </w:tcPr>
          <w:p w:rsidR="00E65183" w:rsidRPr="00C83BDF" w:rsidRDefault="00FE2218" w:rsidP="00922B0B">
            <w:pPr>
              <w:keepNext/>
              <w:spacing w:after="240"/>
              <w:rPr>
                <w:b/>
                <w:i/>
                <w:sz w:val="18"/>
                <w:lang w:val="es-ES_tradnl"/>
              </w:rPr>
            </w:pPr>
            <w:r w:rsidRPr="00C83BDF">
              <w:rPr>
                <w:b/>
                <w:sz w:val="18"/>
                <w:lang w:val="es-ES_tradnl"/>
              </w:rPr>
              <w:t>Resultados alcanzados:</w:t>
            </w:r>
            <w:r w:rsidR="00E65183" w:rsidRPr="00C83BDF">
              <w:rPr>
                <w:b/>
                <w:sz w:val="18"/>
                <w:lang w:val="es-ES_tradnl"/>
              </w:rPr>
              <w:t xml:space="preserve">  </w:t>
            </w:r>
            <w:r w:rsidRPr="00C83BDF">
              <w:rPr>
                <w:b/>
                <w:sz w:val="18"/>
                <w:lang w:val="es-ES_tradnl"/>
              </w:rPr>
              <w:t>indicadores de rendimiento</w:t>
            </w:r>
          </w:p>
        </w:tc>
      </w:tr>
      <w:tr w:rsidR="00E65183" w:rsidRPr="00C83BDF">
        <w:trPr>
          <w:cantSplit/>
        </w:trPr>
        <w:tc>
          <w:tcPr>
            <w:tcW w:w="1951" w:type="dxa"/>
          </w:tcPr>
          <w:p w:rsidR="00E65183" w:rsidRPr="00C83BDF" w:rsidRDefault="00E65183" w:rsidP="004737CD">
            <w:pPr>
              <w:jc w:val="left"/>
              <w:rPr>
                <w:sz w:val="18"/>
                <w:szCs w:val="18"/>
                <w:lang w:val="es-ES_tradnl"/>
              </w:rPr>
            </w:pPr>
            <w:r w:rsidRPr="00C83BDF">
              <w:rPr>
                <w:i/>
                <w:sz w:val="18"/>
                <w:szCs w:val="18"/>
                <w:lang w:val="es-ES_tradnl"/>
              </w:rPr>
              <w:t xml:space="preserve">6.  </w:t>
            </w:r>
            <w:r w:rsidR="00FE2218" w:rsidRPr="00C83BDF">
              <w:rPr>
                <w:i/>
                <w:sz w:val="18"/>
                <w:szCs w:val="18"/>
                <w:lang w:val="es-ES_tradnl"/>
              </w:rPr>
              <w:t xml:space="preserve">Simplificación de las solicitudes de derechos de obtentor </w:t>
            </w:r>
            <w:r w:rsidR="00FE2218" w:rsidRPr="00C83BDF">
              <w:rPr>
                <w:sz w:val="18"/>
                <w:szCs w:val="18"/>
                <w:lang w:val="es-ES_tradnl"/>
              </w:rPr>
              <w:t>(continuación)</w:t>
            </w:r>
          </w:p>
        </w:tc>
        <w:tc>
          <w:tcPr>
            <w:tcW w:w="7938" w:type="dxa"/>
          </w:tcPr>
          <w:p w:rsidR="00E65183" w:rsidRPr="00C83BDF" w:rsidRDefault="00FE2218" w:rsidP="00031FC8">
            <w:pPr>
              <w:pStyle w:val="Heading8"/>
              <w:rPr>
                <w:szCs w:val="18"/>
                <w:lang w:val="es-ES_tradnl"/>
              </w:rPr>
            </w:pPr>
            <w:bookmarkStart w:id="87" w:name="_Toc431824271"/>
            <w:r w:rsidRPr="00C83BDF">
              <w:rPr>
                <w:szCs w:val="18"/>
                <w:lang w:val="es-ES_tradnl"/>
              </w:rPr>
              <w:t>g)  Proyecto de formulario electrónico de la UPOV</w:t>
            </w:r>
            <w:bookmarkEnd w:id="87"/>
          </w:p>
          <w:p w:rsidR="00E65183" w:rsidRPr="00C83BDF" w:rsidRDefault="00FE2218" w:rsidP="004737CD">
            <w:pPr>
              <w:rPr>
                <w:sz w:val="18"/>
                <w:szCs w:val="18"/>
                <w:lang w:val="es-ES_tradnl"/>
              </w:rPr>
            </w:pPr>
            <w:r w:rsidRPr="00C83BDF">
              <w:rPr>
                <w:sz w:val="18"/>
                <w:szCs w:val="18"/>
                <w:lang w:val="es-ES_tradnl"/>
              </w:rPr>
              <w:t>En 2012, el CAJ apoyó la elaboración de un prototipo de formulario electrónico para los miembros de la Unión interesados y acordó su contenido, estado, formato de los datos, idiomas y cultivo o especie.</w:t>
            </w:r>
          </w:p>
          <w:p w:rsidR="00E65183" w:rsidRPr="00C83BDF" w:rsidRDefault="00E65183" w:rsidP="004737CD">
            <w:pPr>
              <w:rPr>
                <w:sz w:val="18"/>
                <w:szCs w:val="18"/>
                <w:lang w:val="es-ES_tradnl"/>
              </w:rPr>
            </w:pPr>
          </w:p>
          <w:p w:rsidR="00E65183" w:rsidRPr="00C83BDF" w:rsidRDefault="00FE2218" w:rsidP="004737CD">
            <w:pPr>
              <w:rPr>
                <w:sz w:val="18"/>
                <w:szCs w:val="18"/>
                <w:lang w:val="es-ES_tradnl"/>
              </w:rPr>
            </w:pPr>
            <w:r w:rsidRPr="00C83BDF">
              <w:rPr>
                <w:sz w:val="18"/>
                <w:szCs w:val="18"/>
                <w:lang w:val="es-ES_tradnl"/>
              </w:rPr>
              <w:t>El formulario electrónico de la UPOV permitirá transmitir los datos en formato Word, Excel, pdf o xml a los miembros de la Unión participantes.</w:t>
            </w:r>
            <w:r w:rsidR="00D94EA2" w:rsidRPr="00C83BDF">
              <w:rPr>
                <w:sz w:val="18"/>
                <w:szCs w:val="18"/>
                <w:lang w:val="es-ES_tradnl"/>
              </w:rPr>
              <w:t xml:space="preserve">  </w:t>
            </w:r>
            <w:r w:rsidRPr="00C83BDF">
              <w:rPr>
                <w:sz w:val="18"/>
                <w:szCs w:val="18"/>
                <w:lang w:val="es-ES_tradnl"/>
              </w:rPr>
              <w:t>Estos decidirán en qué formato o formatos aceptan los datos.</w:t>
            </w:r>
            <w:r w:rsidR="00E65183" w:rsidRPr="00C83BDF">
              <w:rPr>
                <w:sz w:val="18"/>
                <w:szCs w:val="18"/>
                <w:lang w:val="es-ES_tradnl"/>
              </w:rPr>
              <w:t xml:space="preserve">  </w:t>
            </w:r>
            <w:r w:rsidRPr="00C83BDF">
              <w:rPr>
                <w:sz w:val="18"/>
                <w:szCs w:val="18"/>
                <w:lang w:val="es-ES_tradnl"/>
              </w:rPr>
              <w:t>En el caso del formato xml, se elaborará un formato estándar basado en la Norma Técnica ST.96 de la OMPI.</w:t>
            </w:r>
          </w:p>
          <w:p w:rsidR="00E65183" w:rsidRPr="00C83BDF" w:rsidRDefault="00E65183" w:rsidP="004737CD">
            <w:pPr>
              <w:rPr>
                <w:sz w:val="18"/>
                <w:szCs w:val="18"/>
                <w:lang w:val="es-ES_tradnl"/>
              </w:rPr>
            </w:pPr>
          </w:p>
          <w:p w:rsidR="00E65183" w:rsidRPr="00C83BDF" w:rsidRDefault="00FE2218" w:rsidP="004737CD">
            <w:pPr>
              <w:rPr>
                <w:sz w:val="18"/>
                <w:szCs w:val="18"/>
                <w:lang w:val="es-ES_tradnl"/>
              </w:rPr>
            </w:pPr>
            <w:r w:rsidRPr="00C83BDF">
              <w:rPr>
                <w:sz w:val="18"/>
                <w:szCs w:val="18"/>
                <w:lang w:val="es-ES_tradnl"/>
              </w:rPr>
              <w:t>En 2013, se presentó un modelo ilustrativo de algunas partes del prototipo de formulario electrónico.</w:t>
            </w:r>
            <w:r w:rsidR="00E65183" w:rsidRPr="00C83BDF">
              <w:rPr>
                <w:sz w:val="18"/>
                <w:szCs w:val="18"/>
                <w:lang w:val="es-ES_tradnl"/>
              </w:rPr>
              <w:t xml:space="preserve">  </w:t>
            </w:r>
            <w:r w:rsidRPr="00C83BDF">
              <w:rPr>
                <w:sz w:val="18"/>
                <w:szCs w:val="18"/>
                <w:lang w:val="es-ES_tradnl"/>
              </w:rPr>
              <w:t>Se convino en que el prototipo se elaborará en inglés únicamente, y que el cuestionario técnico se referirá a la lechuga (</w:t>
            </w:r>
            <w:r w:rsidRPr="00C83BDF">
              <w:rPr>
                <w:i/>
                <w:sz w:val="18"/>
                <w:szCs w:val="18"/>
                <w:lang w:val="es-ES_tradnl"/>
              </w:rPr>
              <w:t>Lactuca sativa</w:t>
            </w:r>
            <w:r w:rsidRPr="00C83BDF">
              <w:rPr>
                <w:sz w:val="18"/>
                <w:szCs w:val="18"/>
                <w:lang w:val="es-ES_tradnl"/>
              </w:rPr>
              <w:t> L).</w:t>
            </w:r>
            <w:r w:rsidR="00E65183" w:rsidRPr="00C83BDF">
              <w:rPr>
                <w:sz w:val="18"/>
                <w:szCs w:val="18"/>
                <w:lang w:val="es-ES_tradnl"/>
              </w:rPr>
              <w:t xml:space="preserve">  </w:t>
            </w:r>
          </w:p>
          <w:p w:rsidR="00E65183" w:rsidRPr="00C83BDF" w:rsidRDefault="00E65183" w:rsidP="004737CD">
            <w:pPr>
              <w:rPr>
                <w:sz w:val="18"/>
                <w:szCs w:val="18"/>
                <w:lang w:val="es-ES_tradnl"/>
              </w:rPr>
            </w:pPr>
          </w:p>
          <w:p w:rsidR="00E65183" w:rsidRPr="00C83BDF" w:rsidRDefault="00CA7158" w:rsidP="004737CD">
            <w:pPr>
              <w:rPr>
                <w:sz w:val="18"/>
                <w:szCs w:val="18"/>
                <w:lang w:val="es-ES_tradnl"/>
              </w:rPr>
            </w:pPr>
            <w:r w:rsidRPr="00C83BDF">
              <w:rPr>
                <w:sz w:val="18"/>
                <w:szCs w:val="18"/>
                <w:lang w:val="es-ES_tradnl"/>
              </w:rPr>
              <w:t>En 2014, los siguientes miembros de la Unión participaron en el proyecto de elaboración de un prototipo de formulario electrónico:</w:t>
            </w:r>
            <w:r w:rsidR="00E65183" w:rsidRPr="00C83BDF">
              <w:rPr>
                <w:sz w:val="18"/>
                <w:szCs w:val="18"/>
                <w:lang w:val="es-ES_tradnl"/>
              </w:rPr>
              <w:t xml:space="preserve">  </w:t>
            </w:r>
            <w:r w:rsidRPr="00C83BDF">
              <w:rPr>
                <w:sz w:val="18"/>
                <w:szCs w:val="18"/>
                <w:lang w:val="es-ES_tradnl"/>
              </w:rPr>
              <w:t>Alemania, Argentina, Australia, Brasil, Canadá, Colombia, Ecuador, Estados Unidos de América, Francia, Japón, México, Nueva Zelandia, Países Bajos, Paraguay, República de Corea, República Dominicana, Suiza, Unión Europea y Viet Nam.</w:t>
            </w:r>
            <w:r w:rsidR="00E65183" w:rsidRPr="00C83BDF">
              <w:rPr>
                <w:sz w:val="18"/>
                <w:szCs w:val="18"/>
                <w:lang w:val="es-ES_tradnl"/>
              </w:rPr>
              <w:t xml:space="preserve">  </w:t>
            </w:r>
            <w:r w:rsidRPr="00C83BDF">
              <w:rPr>
                <w:sz w:val="18"/>
                <w:szCs w:val="18"/>
                <w:lang w:val="es-ES_tradnl"/>
              </w:rPr>
              <w:t>Se elaboró un proyecto de esquema PVP</w:t>
            </w:r>
            <w:r w:rsidRPr="00C83BDF">
              <w:rPr>
                <w:sz w:val="18"/>
                <w:szCs w:val="18"/>
                <w:lang w:val="es-ES_tradnl"/>
              </w:rPr>
              <w:noBreakHyphen/>
              <w:t xml:space="preserve">XML para </w:t>
            </w:r>
            <w:r w:rsidR="00873C02" w:rsidRPr="00C83BDF">
              <w:rPr>
                <w:sz w:val="18"/>
                <w:szCs w:val="18"/>
                <w:lang w:val="es-ES_tradnl"/>
              </w:rPr>
              <w:t xml:space="preserve">que lo examinaran </w:t>
            </w:r>
            <w:r w:rsidRPr="00C83BDF">
              <w:rPr>
                <w:sz w:val="18"/>
                <w:szCs w:val="18"/>
                <w:lang w:val="es-ES_tradnl"/>
              </w:rPr>
              <w:t xml:space="preserve">los participantes en la cuarta reunión sobre la elaboración de un prototipo de formulario electrónico, </w:t>
            </w:r>
            <w:r w:rsidR="00873C02" w:rsidRPr="00C83BDF">
              <w:rPr>
                <w:sz w:val="18"/>
                <w:szCs w:val="18"/>
                <w:lang w:val="es-ES_tradnl"/>
              </w:rPr>
              <w:t xml:space="preserve">celebrada </w:t>
            </w:r>
            <w:r w:rsidRPr="00C83BDF">
              <w:rPr>
                <w:sz w:val="18"/>
                <w:szCs w:val="18"/>
                <w:lang w:val="es-ES_tradnl"/>
              </w:rPr>
              <w:t>en Ginebra el 14 de octubre de 2014</w:t>
            </w:r>
            <w:r w:rsidR="00990DA0" w:rsidRPr="00C83BDF">
              <w:rPr>
                <w:sz w:val="18"/>
                <w:szCs w:val="18"/>
                <w:lang w:val="es-ES_tradnl"/>
              </w:rPr>
              <w:t>,</w:t>
            </w:r>
            <w:r w:rsidR="00D94EA2" w:rsidRPr="00C83BDF">
              <w:rPr>
                <w:sz w:val="18"/>
                <w:szCs w:val="18"/>
                <w:lang w:val="es-ES_tradnl"/>
              </w:rPr>
              <w:t xml:space="preserve"> </w:t>
            </w:r>
            <w:r w:rsidR="00990DA0" w:rsidRPr="00C83BDF">
              <w:rPr>
                <w:sz w:val="18"/>
                <w:szCs w:val="18"/>
                <w:lang w:val="es-ES_tradnl"/>
              </w:rPr>
              <w:t xml:space="preserve">y se </w:t>
            </w:r>
            <w:r w:rsidRPr="00C83BDF">
              <w:rPr>
                <w:sz w:val="18"/>
                <w:szCs w:val="18"/>
                <w:lang w:val="es-ES_tradnl"/>
              </w:rPr>
              <w:t>dio comienzo a la elaboración del prototipo de formulario electrónico.</w:t>
            </w:r>
          </w:p>
        </w:tc>
      </w:tr>
    </w:tbl>
    <w:p w:rsidR="00E65183" w:rsidRPr="00C83BDF" w:rsidRDefault="00E65183" w:rsidP="00E65183">
      <w:pPr>
        <w:rPr>
          <w:lang w:val="es-ES_tradnl"/>
        </w:rPr>
      </w:pPr>
    </w:p>
    <w:p w:rsidR="00E65183" w:rsidRPr="00C83BDF" w:rsidRDefault="00E65183" w:rsidP="00E65183">
      <w:pPr>
        <w:rPr>
          <w:lang w:val="es-ES_tradnl"/>
        </w:rPr>
      </w:pPr>
    </w:p>
    <w:tbl>
      <w:tblPr>
        <w:tblW w:w="9889" w:type="dxa"/>
        <w:tblLayout w:type="fixed"/>
        <w:tblLook w:val="0000" w:firstRow="0" w:lastRow="0" w:firstColumn="0" w:lastColumn="0" w:noHBand="0" w:noVBand="0"/>
      </w:tblPr>
      <w:tblGrid>
        <w:gridCol w:w="1951"/>
        <w:gridCol w:w="7938"/>
      </w:tblGrid>
      <w:tr w:rsidR="00E65183" w:rsidRPr="00C83BDF">
        <w:tc>
          <w:tcPr>
            <w:tcW w:w="1951" w:type="dxa"/>
          </w:tcPr>
          <w:p w:rsidR="00E65183" w:rsidRPr="00C83BDF" w:rsidRDefault="00E65183" w:rsidP="004737CD">
            <w:pPr>
              <w:pStyle w:val="Heading6"/>
              <w:rPr>
                <w:lang w:val="es-ES_tradnl"/>
              </w:rPr>
            </w:pPr>
            <w:bookmarkStart w:id="88" w:name="_Toc431824272"/>
            <w:r w:rsidRPr="00C83BDF">
              <w:rPr>
                <w:lang w:val="es-ES_tradnl"/>
              </w:rPr>
              <w:t>7.  </w:t>
            </w:r>
            <w:r w:rsidR="00CA7158" w:rsidRPr="00C83BDF">
              <w:rPr>
                <w:lang w:val="es-ES_tradnl"/>
              </w:rPr>
              <w:t>Suministro de información sobre el Convenio de la UPOV a los sectores interesados (obtentores, agricultores, cultivadores, comerciantes de semillas, etc.)</w:t>
            </w:r>
            <w:bookmarkEnd w:id="88"/>
          </w:p>
        </w:tc>
        <w:tc>
          <w:tcPr>
            <w:tcW w:w="7938" w:type="dxa"/>
          </w:tcPr>
          <w:p w:rsidR="00E65183" w:rsidRPr="00C83BDF" w:rsidRDefault="00CA7158" w:rsidP="00031FC8">
            <w:pPr>
              <w:pStyle w:val="Heading8"/>
              <w:rPr>
                <w:szCs w:val="18"/>
                <w:lang w:val="es-ES_tradnl"/>
              </w:rPr>
            </w:pPr>
            <w:bookmarkStart w:id="89" w:name="_Toc431824273"/>
            <w:r w:rsidRPr="00C83BDF">
              <w:rPr>
                <w:szCs w:val="18"/>
                <w:lang w:val="es-ES_tradnl"/>
              </w:rPr>
              <w:t>a)  Información publicada en el sitio web de la UPOV y dirigida a los sectores interesados</w:t>
            </w:r>
            <w:bookmarkEnd w:id="89"/>
          </w:p>
          <w:p w:rsidR="00E65183" w:rsidRPr="00C83BDF" w:rsidRDefault="00CA7158" w:rsidP="004737CD">
            <w:pPr>
              <w:rPr>
                <w:sz w:val="18"/>
                <w:szCs w:val="18"/>
                <w:lang w:val="es-ES_tradnl"/>
              </w:rPr>
            </w:pPr>
            <w:r w:rsidRPr="00C83BDF">
              <w:rPr>
                <w:sz w:val="18"/>
                <w:szCs w:val="18"/>
                <w:lang w:val="es-ES_tradnl"/>
              </w:rPr>
              <w:t xml:space="preserve">En 2014 se publicaron los siguientes </w:t>
            </w:r>
            <w:r w:rsidR="0067210A" w:rsidRPr="00C83BDF">
              <w:rPr>
                <w:sz w:val="18"/>
                <w:szCs w:val="18"/>
                <w:lang w:val="es-ES_tradnl"/>
              </w:rPr>
              <w:t>documentos y material</w:t>
            </w:r>
            <w:r w:rsidRPr="00C83BDF">
              <w:rPr>
                <w:sz w:val="18"/>
                <w:szCs w:val="18"/>
                <w:lang w:val="es-ES_tradnl"/>
              </w:rPr>
              <w:t xml:space="preserve"> en el sitio web de la UPOV:</w:t>
            </w:r>
            <w:r w:rsidR="00E65183" w:rsidRPr="00C83BDF">
              <w:rPr>
                <w:sz w:val="18"/>
                <w:szCs w:val="18"/>
                <w:lang w:val="es-ES_tradnl"/>
              </w:rPr>
              <w:t xml:space="preserve"> </w:t>
            </w:r>
          </w:p>
          <w:p w:rsidR="00E65183" w:rsidRPr="00C83BDF" w:rsidRDefault="00E65183" w:rsidP="004737CD">
            <w:pPr>
              <w:rPr>
                <w:sz w:val="18"/>
                <w:szCs w:val="18"/>
                <w:lang w:val="es-ES_tradnl"/>
              </w:rPr>
            </w:pPr>
          </w:p>
          <w:p w:rsidR="00E65183" w:rsidRPr="00C83BDF" w:rsidRDefault="0067210A" w:rsidP="003268AA">
            <w:pPr>
              <w:pStyle w:val="ListParagraph"/>
              <w:numPr>
                <w:ilvl w:val="0"/>
                <w:numId w:val="10"/>
              </w:numPr>
              <w:tabs>
                <w:tab w:val="clear" w:pos="1492"/>
              </w:tabs>
              <w:spacing w:after="120"/>
              <w:ind w:left="357" w:hanging="357"/>
              <w:contextualSpacing w:val="0"/>
              <w:rPr>
                <w:sz w:val="18"/>
                <w:szCs w:val="18"/>
                <w:lang w:val="es-ES_tradnl"/>
              </w:rPr>
            </w:pPr>
            <w:r w:rsidRPr="00C83BDF">
              <w:rPr>
                <w:sz w:val="18"/>
                <w:szCs w:val="18"/>
                <w:lang w:val="es-ES_tradnl"/>
              </w:rPr>
              <w:t>la Trilogía de la UPOV (en alemán, francés y español), que incluye las siguientes publicaciones:</w:t>
            </w:r>
          </w:p>
          <w:p w:rsidR="00E65183" w:rsidRPr="00C83BDF" w:rsidRDefault="0067210A" w:rsidP="00031FC8">
            <w:pPr>
              <w:pStyle w:val="ListParagraph"/>
              <w:numPr>
                <w:ilvl w:val="0"/>
                <w:numId w:val="17"/>
              </w:numPr>
              <w:spacing w:after="120"/>
              <w:contextualSpacing w:val="0"/>
              <w:rPr>
                <w:sz w:val="18"/>
                <w:szCs w:val="18"/>
                <w:lang w:val="es-ES_tradnl"/>
              </w:rPr>
            </w:pPr>
            <w:r w:rsidRPr="00C83BDF">
              <w:rPr>
                <w:sz w:val="18"/>
                <w:szCs w:val="18"/>
                <w:lang w:val="es-ES_tradnl"/>
              </w:rPr>
              <w:t>Resumen (publicación de la UPOV 357.1)</w:t>
            </w:r>
          </w:p>
          <w:p w:rsidR="00E65183" w:rsidRPr="00C83BDF" w:rsidRDefault="0067210A" w:rsidP="00031FC8">
            <w:pPr>
              <w:pStyle w:val="ListParagraph"/>
              <w:numPr>
                <w:ilvl w:val="0"/>
                <w:numId w:val="17"/>
              </w:numPr>
              <w:spacing w:after="120"/>
              <w:contextualSpacing w:val="0"/>
              <w:rPr>
                <w:sz w:val="18"/>
                <w:szCs w:val="18"/>
                <w:lang w:val="es-ES_tradnl"/>
              </w:rPr>
            </w:pPr>
            <w:r w:rsidRPr="00C83BDF">
              <w:rPr>
                <w:sz w:val="18"/>
                <w:szCs w:val="18"/>
                <w:lang w:val="es-ES_tradnl"/>
              </w:rPr>
              <w:t>Simposio sobre el fitomejoramiento para el futuro (publicación de la UPOV 357.2)</w:t>
            </w:r>
          </w:p>
          <w:p w:rsidR="00E65183" w:rsidRPr="00C83BDF" w:rsidRDefault="0067210A" w:rsidP="00031FC8">
            <w:pPr>
              <w:pStyle w:val="ListParagraph"/>
              <w:numPr>
                <w:ilvl w:val="0"/>
                <w:numId w:val="17"/>
              </w:numPr>
              <w:spacing w:after="120"/>
              <w:contextualSpacing w:val="0"/>
              <w:rPr>
                <w:sz w:val="18"/>
                <w:szCs w:val="18"/>
                <w:lang w:val="es-ES_tradnl"/>
              </w:rPr>
            </w:pPr>
            <w:r w:rsidRPr="00C83BDF">
              <w:rPr>
                <w:sz w:val="18"/>
                <w:szCs w:val="18"/>
                <w:lang w:val="es-ES_tradnl"/>
              </w:rPr>
              <w:t>Seminario sobre la protección de las variedades vegetales y la transferencia de tecnología:</w:t>
            </w:r>
            <w:r w:rsidR="00E65183" w:rsidRPr="00C83BDF">
              <w:rPr>
                <w:sz w:val="18"/>
                <w:szCs w:val="18"/>
                <w:lang w:val="es-ES_tradnl"/>
              </w:rPr>
              <w:t xml:space="preserve">  </w:t>
            </w:r>
            <w:r w:rsidRPr="00C83BDF">
              <w:rPr>
                <w:sz w:val="18"/>
                <w:szCs w:val="18"/>
                <w:lang w:val="es-ES_tradnl"/>
              </w:rPr>
              <w:t>beneficios de la colaboración público</w:t>
            </w:r>
            <w:r w:rsidRPr="00C83BDF">
              <w:rPr>
                <w:sz w:val="18"/>
                <w:szCs w:val="18"/>
                <w:lang w:val="es-ES_tradnl"/>
              </w:rPr>
              <w:noBreakHyphen/>
              <w:t>privada (publicación de la UPOV 357.3)</w:t>
            </w:r>
          </w:p>
          <w:p w:rsidR="00E65183" w:rsidRPr="00C83BDF" w:rsidRDefault="0067210A" w:rsidP="00031FC8">
            <w:pPr>
              <w:pStyle w:val="ListParagraph"/>
              <w:numPr>
                <w:ilvl w:val="0"/>
                <w:numId w:val="17"/>
              </w:numPr>
              <w:spacing w:after="120"/>
              <w:contextualSpacing w:val="0"/>
              <w:rPr>
                <w:sz w:val="18"/>
                <w:szCs w:val="18"/>
                <w:lang w:val="es-ES_tradnl"/>
              </w:rPr>
            </w:pPr>
            <w:r w:rsidRPr="00C83BDF">
              <w:rPr>
                <w:sz w:val="18"/>
                <w:szCs w:val="18"/>
                <w:lang w:val="es-ES_tradnl"/>
              </w:rPr>
              <w:t>Simposio sobre las ventajas de la protección de las obtenciones vegetales para los agricultores y los productores (publicación de la UPOV 357.4)</w:t>
            </w:r>
          </w:p>
          <w:p w:rsidR="00E65183" w:rsidRPr="00C83BDF" w:rsidRDefault="0067210A" w:rsidP="003268AA">
            <w:pPr>
              <w:pStyle w:val="ListParagraph"/>
              <w:numPr>
                <w:ilvl w:val="0"/>
                <w:numId w:val="10"/>
              </w:numPr>
              <w:tabs>
                <w:tab w:val="clear" w:pos="1492"/>
              </w:tabs>
              <w:spacing w:after="120"/>
              <w:ind w:left="357" w:hanging="357"/>
              <w:contextualSpacing w:val="0"/>
              <w:rPr>
                <w:sz w:val="18"/>
                <w:szCs w:val="18"/>
                <w:lang w:val="es-ES_tradnl"/>
              </w:rPr>
            </w:pPr>
            <w:r w:rsidRPr="00C83BDF">
              <w:rPr>
                <w:sz w:val="18"/>
                <w:szCs w:val="18"/>
                <w:lang w:val="es-ES_tradnl"/>
              </w:rPr>
              <w:t>las actas del Seminario sobre variedades esencialmente derivadas, celebrado en Ginebra el 22 de octubre de 2013 (publicación 358), en alemán, español, francés e inglés</w:t>
            </w:r>
          </w:p>
          <w:p w:rsidR="00E65183" w:rsidRPr="00C83BDF" w:rsidRDefault="0067210A" w:rsidP="003268AA">
            <w:pPr>
              <w:pStyle w:val="ListParagraph"/>
              <w:numPr>
                <w:ilvl w:val="0"/>
                <w:numId w:val="10"/>
              </w:numPr>
              <w:tabs>
                <w:tab w:val="clear" w:pos="1492"/>
              </w:tabs>
              <w:spacing w:after="120"/>
              <w:ind w:left="357" w:hanging="357"/>
              <w:contextualSpacing w:val="0"/>
              <w:rPr>
                <w:sz w:val="18"/>
                <w:szCs w:val="18"/>
                <w:lang w:val="es-ES_tradnl"/>
              </w:rPr>
            </w:pPr>
            <w:r w:rsidRPr="00C83BDF">
              <w:rPr>
                <w:sz w:val="18"/>
                <w:szCs w:val="18"/>
                <w:lang w:val="es-ES_tradnl"/>
              </w:rPr>
              <w:t>ediciones actualizadas del folleto de información de la UPOV titulado “Sus actividades, su cometido”, que versa sobre la UPOV y la protección de las variedades vegetales, en alemán, español, francés e inglés (publicación nº 437)</w:t>
            </w:r>
          </w:p>
          <w:p w:rsidR="00E65183" w:rsidRPr="00C83BDF" w:rsidRDefault="0067210A" w:rsidP="003268AA">
            <w:pPr>
              <w:pStyle w:val="ListParagraph"/>
              <w:numPr>
                <w:ilvl w:val="0"/>
                <w:numId w:val="10"/>
              </w:numPr>
              <w:tabs>
                <w:tab w:val="clear" w:pos="1492"/>
              </w:tabs>
              <w:spacing w:after="120"/>
              <w:ind w:left="360"/>
              <w:contextualSpacing w:val="0"/>
              <w:rPr>
                <w:sz w:val="18"/>
                <w:szCs w:val="18"/>
                <w:lang w:val="es-ES_tradnl"/>
              </w:rPr>
            </w:pPr>
            <w:r w:rsidRPr="00C83BDF">
              <w:rPr>
                <w:sz w:val="18"/>
                <w:szCs w:val="18"/>
                <w:lang w:val="es-ES_tradnl"/>
              </w:rPr>
              <w:t>respuestas a las siguientes preguntas frecuentes:</w:t>
            </w:r>
          </w:p>
          <w:p w:rsidR="00E65183" w:rsidRPr="00C83BDF" w:rsidRDefault="0067210A" w:rsidP="00031FC8">
            <w:pPr>
              <w:pStyle w:val="ListParagraph"/>
              <w:numPr>
                <w:ilvl w:val="0"/>
                <w:numId w:val="20"/>
              </w:numPr>
              <w:spacing w:after="120"/>
              <w:rPr>
                <w:sz w:val="18"/>
                <w:szCs w:val="18"/>
                <w:lang w:val="es-ES_tradnl"/>
              </w:rPr>
            </w:pPr>
            <w:r w:rsidRPr="00C83BDF">
              <w:rPr>
                <w:sz w:val="18"/>
                <w:szCs w:val="18"/>
                <w:lang w:val="es-ES_tradnl"/>
              </w:rPr>
              <w:t>¿Qué es la UPOV?</w:t>
            </w:r>
          </w:p>
          <w:p w:rsidR="00E65183" w:rsidRPr="00C83BDF" w:rsidRDefault="0067210A" w:rsidP="00031FC8">
            <w:pPr>
              <w:pStyle w:val="ListParagraph"/>
              <w:numPr>
                <w:ilvl w:val="0"/>
                <w:numId w:val="20"/>
              </w:numPr>
              <w:spacing w:after="120"/>
              <w:rPr>
                <w:sz w:val="18"/>
                <w:szCs w:val="18"/>
                <w:lang w:val="es-ES_tradnl"/>
              </w:rPr>
            </w:pPr>
            <w:r w:rsidRPr="00C83BDF">
              <w:rPr>
                <w:sz w:val="18"/>
                <w:szCs w:val="18"/>
                <w:lang w:val="es-ES_tradnl"/>
              </w:rPr>
              <w:t>¿Qué hace la UPOV?</w:t>
            </w:r>
          </w:p>
          <w:p w:rsidR="00E65183" w:rsidRPr="00C83BDF" w:rsidRDefault="0067210A" w:rsidP="00031FC8">
            <w:pPr>
              <w:pStyle w:val="ListParagraph"/>
              <w:numPr>
                <w:ilvl w:val="0"/>
                <w:numId w:val="20"/>
              </w:numPr>
              <w:spacing w:after="120"/>
              <w:rPr>
                <w:sz w:val="18"/>
                <w:szCs w:val="18"/>
                <w:lang w:val="es-ES_tradnl"/>
              </w:rPr>
            </w:pPr>
            <w:r w:rsidRPr="00C83BDF">
              <w:rPr>
                <w:sz w:val="18"/>
                <w:szCs w:val="18"/>
                <w:lang w:val="es-ES_tradnl"/>
              </w:rPr>
              <w:t>¿Quiénes pueden asistir a las reuniones de la UPOV?</w:t>
            </w:r>
          </w:p>
          <w:p w:rsidR="00E65183" w:rsidRPr="00C83BDF" w:rsidRDefault="0067210A" w:rsidP="00031FC8">
            <w:pPr>
              <w:pStyle w:val="ListParagraph"/>
              <w:numPr>
                <w:ilvl w:val="0"/>
                <w:numId w:val="20"/>
              </w:numPr>
              <w:spacing w:after="120"/>
              <w:rPr>
                <w:sz w:val="18"/>
                <w:szCs w:val="18"/>
                <w:lang w:val="es-ES_tradnl"/>
              </w:rPr>
            </w:pPr>
            <w:r w:rsidRPr="00C83BDF">
              <w:rPr>
                <w:sz w:val="18"/>
                <w:szCs w:val="18"/>
                <w:lang w:val="es-ES_tradnl"/>
              </w:rPr>
              <w:t>¿Qué es una variedad vegetal?</w:t>
            </w:r>
          </w:p>
          <w:p w:rsidR="00E65183" w:rsidRPr="00C83BDF" w:rsidRDefault="0067210A" w:rsidP="00031FC8">
            <w:pPr>
              <w:pStyle w:val="ListParagraph"/>
              <w:numPr>
                <w:ilvl w:val="0"/>
                <w:numId w:val="20"/>
              </w:numPr>
              <w:spacing w:after="120"/>
              <w:rPr>
                <w:sz w:val="18"/>
                <w:szCs w:val="18"/>
                <w:lang w:val="es-ES_tradnl"/>
              </w:rPr>
            </w:pPr>
            <w:r w:rsidRPr="00C83BDF">
              <w:rPr>
                <w:sz w:val="18"/>
                <w:szCs w:val="18"/>
                <w:lang w:val="es-ES_tradnl"/>
              </w:rPr>
              <w:t>¿Por qué los agricultores y los productores necesitan obtenciones vegetales?</w:t>
            </w:r>
          </w:p>
          <w:p w:rsidR="00E65183" w:rsidRPr="00C83BDF" w:rsidRDefault="0067210A" w:rsidP="00031FC8">
            <w:pPr>
              <w:pStyle w:val="ListParagraph"/>
              <w:numPr>
                <w:ilvl w:val="0"/>
                <w:numId w:val="20"/>
              </w:numPr>
              <w:spacing w:after="120"/>
              <w:rPr>
                <w:sz w:val="18"/>
                <w:szCs w:val="18"/>
                <w:lang w:val="es-ES_tradnl"/>
              </w:rPr>
            </w:pPr>
            <w:r w:rsidRPr="00C83BDF">
              <w:rPr>
                <w:sz w:val="18"/>
                <w:szCs w:val="18"/>
                <w:lang w:val="es-ES_tradnl"/>
              </w:rPr>
              <w:t>¿Por qué es necesaria la protección de las obtenciones vegetales?</w:t>
            </w:r>
          </w:p>
          <w:p w:rsidR="00E65183" w:rsidRPr="00C83BDF" w:rsidRDefault="00313783" w:rsidP="00031FC8">
            <w:pPr>
              <w:pStyle w:val="ListParagraph"/>
              <w:numPr>
                <w:ilvl w:val="0"/>
                <w:numId w:val="20"/>
              </w:numPr>
              <w:spacing w:after="120"/>
              <w:rPr>
                <w:sz w:val="18"/>
                <w:szCs w:val="18"/>
                <w:lang w:val="es-ES_tradnl"/>
              </w:rPr>
            </w:pPr>
            <w:r w:rsidRPr="00C83BDF">
              <w:rPr>
                <w:sz w:val="18"/>
                <w:szCs w:val="18"/>
                <w:lang w:val="es-ES_tradnl"/>
              </w:rPr>
              <w:t>¿Cómo se aplica la protección de las obtenciones vegetales?</w:t>
            </w:r>
          </w:p>
          <w:p w:rsidR="00E65183" w:rsidRPr="00C83BDF" w:rsidRDefault="00313783" w:rsidP="00031FC8">
            <w:pPr>
              <w:pStyle w:val="ListParagraph"/>
              <w:numPr>
                <w:ilvl w:val="0"/>
                <w:numId w:val="20"/>
              </w:numPr>
              <w:spacing w:after="120"/>
              <w:rPr>
                <w:sz w:val="18"/>
                <w:szCs w:val="18"/>
                <w:lang w:val="es-ES_tradnl"/>
              </w:rPr>
            </w:pPr>
            <w:r w:rsidRPr="00C83BDF">
              <w:rPr>
                <w:sz w:val="18"/>
                <w:szCs w:val="18"/>
                <w:lang w:val="es-ES_tradnl"/>
              </w:rPr>
              <w:t>¿Qué requisitos ha de cumplir una obtención vegetal para recibir protección?</w:t>
            </w:r>
          </w:p>
          <w:p w:rsidR="00E65183" w:rsidRDefault="00313783" w:rsidP="00793286">
            <w:pPr>
              <w:pStyle w:val="ListParagraph"/>
              <w:numPr>
                <w:ilvl w:val="0"/>
                <w:numId w:val="20"/>
              </w:numPr>
              <w:spacing w:after="120"/>
              <w:jc w:val="left"/>
              <w:rPr>
                <w:sz w:val="18"/>
                <w:szCs w:val="18"/>
                <w:lang w:val="es-ES_tradnl"/>
              </w:rPr>
            </w:pPr>
            <w:r w:rsidRPr="00C83BDF">
              <w:rPr>
                <w:sz w:val="18"/>
                <w:szCs w:val="18"/>
                <w:lang w:val="es-ES_tradnl"/>
              </w:rPr>
              <w:t>¿Por qué exige la UPOV que las variedades sean homogéneas y estables?</w:t>
            </w:r>
            <w:r w:rsidR="00E65183" w:rsidRPr="00C83BDF">
              <w:rPr>
                <w:sz w:val="18"/>
                <w:szCs w:val="18"/>
                <w:lang w:val="es-ES_tradnl"/>
              </w:rPr>
              <w:t xml:space="preserve">  </w:t>
            </w:r>
            <w:r w:rsidR="00793286">
              <w:rPr>
                <w:sz w:val="18"/>
                <w:szCs w:val="18"/>
                <w:lang w:val="es-ES_tradnl"/>
              </w:rPr>
              <w:br/>
            </w:r>
            <w:r w:rsidRPr="00C83BDF">
              <w:rPr>
                <w:sz w:val="18"/>
                <w:szCs w:val="18"/>
                <w:lang w:val="es-ES_tradnl"/>
              </w:rPr>
              <w:t>¿No conduce esta exigencia a una pérdida de diversidad?</w:t>
            </w:r>
          </w:p>
          <w:p w:rsidR="00793286" w:rsidRPr="00C83BDF" w:rsidRDefault="00793286" w:rsidP="00793286">
            <w:pPr>
              <w:pStyle w:val="ListParagraph"/>
              <w:numPr>
                <w:ilvl w:val="0"/>
                <w:numId w:val="20"/>
              </w:numPr>
              <w:spacing w:after="120"/>
              <w:rPr>
                <w:sz w:val="18"/>
                <w:szCs w:val="18"/>
                <w:lang w:val="es-ES_tradnl"/>
              </w:rPr>
            </w:pPr>
            <w:r w:rsidRPr="00C83BDF">
              <w:rPr>
                <w:sz w:val="18"/>
                <w:szCs w:val="18"/>
                <w:lang w:val="es-ES_tradnl"/>
              </w:rPr>
              <w:t>¿Pueden los obtentores utilizar una variedad protegida en sus programas de fitomejoramiento?</w:t>
            </w:r>
          </w:p>
          <w:p w:rsidR="00793286" w:rsidRPr="00C83BDF" w:rsidRDefault="00793286" w:rsidP="00793286">
            <w:pPr>
              <w:pStyle w:val="ListParagraph"/>
              <w:numPr>
                <w:ilvl w:val="0"/>
                <w:numId w:val="20"/>
              </w:numPr>
              <w:spacing w:after="120"/>
              <w:rPr>
                <w:sz w:val="18"/>
                <w:szCs w:val="18"/>
                <w:lang w:val="es-ES_tradnl"/>
              </w:rPr>
            </w:pPr>
            <w:r w:rsidRPr="00C83BDF">
              <w:rPr>
                <w:sz w:val="18"/>
                <w:szCs w:val="18"/>
                <w:lang w:val="es-ES_tradnl"/>
              </w:rPr>
              <w:t>¿Quién puede proteger una obtención vegetal?</w:t>
            </w:r>
          </w:p>
          <w:p w:rsidR="00793286" w:rsidRPr="00C83BDF" w:rsidRDefault="00793286" w:rsidP="00793286">
            <w:pPr>
              <w:pStyle w:val="ListParagraph"/>
              <w:numPr>
                <w:ilvl w:val="0"/>
                <w:numId w:val="20"/>
              </w:numPr>
              <w:spacing w:after="120"/>
              <w:rPr>
                <w:sz w:val="18"/>
                <w:szCs w:val="18"/>
                <w:lang w:val="es-ES_tradnl"/>
              </w:rPr>
            </w:pPr>
            <w:r w:rsidRPr="00C83BDF">
              <w:rPr>
                <w:sz w:val="18"/>
                <w:szCs w:val="18"/>
                <w:lang w:val="es-ES_tradnl"/>
              </w:rPr>
              <w:t>¿Dónde se presentan las solicitudes de protección de variedades?</w:t>
            </w:r>
          </w:p>
          <w:p w:rsidR="00793286" w:rsidRPr="00793286" w:rsidRDefault="00793286" w:rsidP="00793286">
            <w:pPr>
              <w:pStyle w:val="ListParagraph"/>
              <w:numPr>
                <w:ilvl w:val="0"/>
                <w:numId w:val="20"/>
              </w:numPr>
              <w:spacing w:after="120"/>
              <w:rPr>
                <w:sz w:val="18"/>
                <w:szCs w:val="18"/>
                <w:lang w:val="es-ES_tradnl"/>
              </w:rPr>
            </w:pPr>
            <w:r w:rsidRPr="00C83BDF">
              <w:rPr>
                <w:sz w:val="18"/>
                <w:szCs w:val="18"/>
                <w:lang w:val="es-ES_tradnl"/>
              </w:rPr>
              <w:t>¿Puedo obtener protección en más de un país presentando una sola solicitud?</w:t>
            </w:r>
          </w:p>
        </w:tc>
      </w:tr>
    </w:tbl>
    <w:p w:rsidR="005B69D8" w:rsidRPr="00C83BDF" w:rsidRDefault="005B69D8">
      <w:pPr>
        <w:rPr>
          <w:lang w:val="es-ES_tradnl"/>
        </w:rPr>
      </w:pPr>
      <w:r w:rsidRPr="00C83BDF">
        <w:rPr>
          <w:lang w:val="es-ES_tradnl"/>
        </w:rPr>
        <w:br w:type="page"/>
      </w:r>
    </w:p>
    <w:tbl>
      <w:tblPr>
        <w:tblW w:w="9889" w:type="dxa"/>
        <w:tblLayout w:type="fixed"/>
        <w:tblLook w:val="0000" w:firstRow="0" w:lastRow="0" w:firstColumn="0" w:lastColumn="0" w:noHBand="0" w:noVBand="0"/>
      </w:tblPr>
      <w:tblGrid>
        <w:gridCol w:w="1951"/>
        <w:gridCol w:w="7938"/>
      </w:tblGrid>
      <w:tr w:rsidR="00E65183" w:rsidRPr="00C83BDF">
        <w:trPr>
          <w:cantSplit/>
        </w:trPr>
        <w:tc>
          <w:tcPr>
            <w:tcW w:w="1951" w:type="dxa"/>
            <w:shd w:val="clear" w:color="auto" w:fill="auto"/>
          </w:tcPr>
          <w:p w:rsidR="00E65183" w:rsidRPr="00C83BDF" w:rsidRDefault="000C607E" w:rsidP="00031FC8">
            <w:pPr>
              <w:keepNext/>
              <w:spacing w:after="240"/>
              <w:rPr>
                <w:b/>
                <w:sz w:val="18"/>
                <w:lang w:val="es-ES_tradnl"/>
              </w:rPr>
            </w:pPr>
            <w:r w:rsidRPr="00C83BDF">
              <w:rPr>
                <w:b/>
                <w:sz w:val="18"/>
                <w:lang w:val="es-ES_tradnl"/>
              </w:rPr>
              <w:t>Resultados previstos</w:t>
            </w:r>
          </w:p>
        </w:tc>
        <w:tc>
          <w:tcPr>
            <w:tcW w:w="7938" w:type="dxa"/>
            <w:shd w:val="clear" w:color="auto" w:fill="auto"/>
          </w:tcPr>
          <w:p w:rsidR="00E65183" w:rsidRPr="00C83BDF" w:rsidRDefault="000C607E" w:rsidP="00031FC8">
            <w:pPr>
              <w:keepNext/>
              <w:spacing w:after="240"/>
              <w:rPr>
                <w:b/>
                <w:i/>
                <w:sz w:val="18"/>
                <w:lang w:val="es-ES_tradnl"/>
              </w:rPr>
            </w:pPr>
            <w:r w:rsidRPr="00C83BDF">
              <w:rPr>
                <w:b/>
                <w:sz w:val="18"/>
                <w:lang w:val="es-ES_tradnl"/>
              </w:rPr>
              <w:t>Resultados alcanzados:</w:t>
            </w:r>
            <w:r w:rsidR="00E65183" w:rsidRPr="00C83BDF">
              <w:rPr>
                <w:b/>
                <w:sz w:val="18"/>
                <w:lang w:val="es-ES_tradnl"/>
              </w:rPr>
              <w:t xml:space="preserve">  </w:t>
            </w:r>
            <w:r w:rsidRPr="00C83BDF">
              <w:rPr>
                <w:b/>
                <w:sz w:val="18"/>
                <w:lang w:val="es-ES_tradnl"/>
              </w:rPr>
              <w:t>indicadores de rendimiento</w:t>
            </w:r>
          </w:p>
        </w:tc>
      </w:tr>
      <w:tr w:rsidR="00E65183" w:rsidRPr="00C83BDF">
        <w:tc>
          <w:tcPr>
            <w:tcW w:w="1951" w:type="dxa"/>
          </w:tcPr>
          <w:p w:rsidR="00E65183" w:rsidRPr="00C83BDF" w:rsidRDefault="00E65183" w:rsidP="004737CD">
            <w:pPr>
              <w:jc w:val="left"/>
              <w:rPr>
                <w:lang w:val="es-ES_tradnl"/>
              </w:rPr>
            </w:pPr>
            <w:r w:rsidRPr="00C83BDF">
              <w:rPr>
                <w:i/>
                <w:sz w:val="18"/>
                <w:lang w:val="es-ES_tradnl"/>
              </w:rPr>
              <w:t xml:space="preserve">7.  </w:t>
            </w:r>
            <w:r w:rsidR="000C607E" w:rsidRPr="00C83BDF">
              <w:rPr>
                <w:i/>
                <w:sz w:val="18"/>
                <w:lang w:val="es-ES_tradnl"/>
              </w:rPr>
              <w:t>Suministro de información sobre el Convenio de la UPOV a los sectores interesados (obtentores, agricultores, cultivadores, comerciantes de semillas, etc.)</w:t>
            </w:r>
            <w:r w:rsidRPr="00C83BDF">
              <w:rPr>
                <w:sz w:val="18"/>
                <w:lang w:val="es-ES_tradnl"/>
              </w:rPr>
              <w:t xml:space="preserve"> </w:t>
            </w:r>
            <w:r w:rsidR="000C607E" w:rsidRPr="00C83BDF">
              <w:rPr>
                <w:sz w:val="18"/>
                <w:lang w:val="es-ES_tradnl"/>
              </w:rPr>
              <w:t>(continuación)</w:t>
            </w:r>
          </w:p>
        </w:tc>
        <w:tc>
          <w:tcPr>
            <w:tcW w:w="7938" w:type="dxa"/>
          </w:tcPr>
          <w:p w:rsidR="00793286" w:rsidRDefault="00793286" w:rsidP="00D7088E">
            <w:pPr>
              <w:pStyle w:val="ListParagraph"/>
              <w:numPr>
                <w:ilvl w:val="0"/>
                <w:numId w:val="20"/>
              </w:numPr>
              <w:spacing w:after="120"/>
              <w:rPr>
                <w:sz w:val="18"/>
                <w:szCs w:val="18"/>
                <w:lang w:val="es-ES_tradnl"/>
              </w:rPr>
            </w:pPr>
            <w:r w:rsidRPr="00C83BDF">
              <w:rPr>
                <w:sz w:val="18"/>
                <w:szCs w:val="18"/>
                <w:lang w:val="es-ES_tradnl"/>
              </w:rPr>
              <w:t>¿Qué beneficios ofrece la protección de las obtenciones vegetales y la pertenencia a la UPOV?</w:t>
            </w:r>
          </w:p>
          <w:p w:rsidR="00D7088E" w:rsidRPr="00C83BDF" w:rsidRDefault="00D7088E" w:rsidP="00D7088E">
            <w:pPr>
              <w:pStyle w:val="ListParagraph"/>
              <w:numPr>
                <w:ilvl w:val="0"/>
                <w:numId w:val="20"/>
              </w:numPr>
              <w:spacing w:after="120"/>
              <w:rPr>
                <w:sz w:val="18"/>
                <w:szCs w:val="18"/>
                <w:lang w:val="es-ES_tradnl"/>
              </w:rPr>
            </w:pPr>
            <w:r w:rsidRPr="00C83BDF">
              <w:rPr>
                <w:sz w:val="18"/>
                <w:szCs w:val="18"/>
                <w:lang w:val="es-ES_tradnl"/>
              </w:rPr>
              <w:t>¿Qué efecto tiene la protección de las obtenciones vegetales en las variedades que no están protegidas (por ejemplo, las variedades tradicionales, las variedades locales, etcétera)?</w:t>
            </w:r>
          </w:p>
          <w:p w:rsidR="00E65183" w:rsidRPr="00C83BDF" w:rsidRDefault="000C607E" w:rsidP="00D7088E">
            <w:pPr>
              <w:pStyle w:val="ListParagraph"/>
              <w:numPr>
                <w:ilvl w:val="0"/>
                <w:numId w:val="20"/>
              </w:numPr>
              <w:spacing w:after="120"/>
              <w:rPr>
                <w:sz w:val="18"/>
                <w:szCs w:val="18"/>
                <w:lang w:val="es-ES_tradnl"/>
              </w:rPr>
            </w:pPr>
            <w:r w:rsidRPr="00C83BDF">
              <w:rPr>
                <w:sz w:val="18"/>
                <w:szCs w:val="18"/>
                <w:lang w:val="es-ES_tradnl"/>
              </w:rPr>
              <w:t>¿Qué relación hay entre el Convenio de la UPOV y los tratados internacionales relativos a los recursos genéticos, como el Convenio sobre la Diversidad Biológica (CDB) y el Tratado Internacional sobre los Recursos Fitogenéticos para la Alimentación y la Agricultura (ITPGRFA)?</w:t>
            </w:r>
          </w:p>
          <w:p w:rsidR="00E65183" w:rsidRPr="00C83BDF" w:rsidRDefault="000C607E" w:rsidP="00B803BA">
            <w:pPr>
              <w:pStyle w:val="ListParagraph"/>
              <w:numPr>
                <w:ilvl w:val="0"/>
                <w:numId w:val="20"/>
              </w:numPr>
              <w:spacing w:after="120"/>
              <w:rPr>
                <w:sz w:val="18"/>
                <w:szCs w:val="18"/>
                <w:lang w:val="es-ES_tradnl"/>
              </w:rPr>
            </w:pPr>
            <w:r w:rsidRPr="00C83BDF">
              <w:rPr>
                <w:sz w:val="18"/>
                <w:szCs w:val="18"/>
                <w:lang w:val="es-ES_tradnl"/>
              </w:rPr>
              <w:t>¿Qué relación hay entre las patentes y los derechos de obtentor?</w:t>
            </w:r>
          </w:p>
          <w:p w:rsidR="00E65183" w:rsidRPr="00C83BDF" w:rsidRDefault="000C607E" w:rsidP="00B803BA">
            <w:pPr>
              <w:pStyle w:val="ListParagraph"/>
              <w:numPr>
                <w:ilvl w:val="0"/>
                <w:numId w:val="20"/>
              </w:numPr>
              <w:spacing w:after="120"/>
              <w:rPr>
                <w:sz w:val="18"/>
                <w:szCs w:val="18"/>
                <w:lang w:val="es-ES_tradnl"/>
              </w:rPr>
            </w:pPr>
            <w:r w:rsidRPr="00C83BDF">
              <w:rPr>
                <w:sz w:val="18"/>
                <w:szCs w:val="18"/>
                <w:lang w:val="es-ES_tradnl"/>
              </w:rPr>
              <w:t>¿Qué relación hay entre los derechos de obtentor y las medidas que regulan el comercio, como la certificación de semillas, los registros oficiales de variedades admitidas para la comercialización (por ejemplo, listas nacionales, catálogos oficiales), etcétera?</w:t>
            </w:r>
          </w:p>
          <w:p w:rsidR="00E65183" w:rsidRPr="00C83BDF" w:rsidRDefault="000C607E" w:rsidP="00B803BA">
            <w:pPr>
              <w:pStyle w:val="ListParagraph"/>
              <w:numPr>
                <w:ilvl w:val="0"/>
                <w:numId w:val="20"/>
              </w:numPr>
              <w:spacing w:after="120"/>
              <w:rPr>
                <w:sz w:val="18"/>
                <w:szCs w:val="18"/>
                <w:lang w:val="es-ES_tradnl"/>
              </w:rPr>
            </w:pPr>
            <w:r w:rsidRPr="00C83BDF">
              <w:rPr>
                <w:sz w:val="18"/>
                <w:szCs w:val="18"/>
                <w:lang w:val="es-ES_tradnl"/>
              </w:rPr>
              <w:t>Si descubro una planta o variedad ya existente, ¿puedo protegerla?</w:t>
            </w:r>
          </w:p>
          <w:p w:rsidR="00E65183" w:rsidRPr="00C83BDF" w:rsidRDefault="000C607E" w:rsidP="00B803BA">
            <w:pPr>
              <w:pStyle w:val="ListParagraph"/>
              <w:numPr>
                <w:ilvl w:val="0"/>
                <w:numId w:val="20"/>
              </w:numPr>
              <w:spacing w:after="120"/>
              <w:rPr>
                <w:sz w:val="18"/>
                <w:szCs w:val="18"/>
                <w:lang w:val="es-ES_tradnl"/>
              </w:rPr>
            </w:pPr>
            <w:r w:rsidRPr="00C83BDF">
              <w:rPr>
                <w:sz w:val="18"/>
                <w:szCs w:val="18"/>
                <w:lang w:val="es-ES_tradnl"/>
              </w:rPr>
              <w:t>¿Permite el Convenio de la UPOV denegar la protección a una variedad porque ha sido modificada genéticamente?</w:t>
            </w:r>
          </w:p>
          <w:p w:rsidR="00E65183" w:rsidRPr="00C83BDF" w:rsidRDefault="000C607E" w:rsidP="00B803BA">
            <w:pPr>
              <w:pStyle w:val="ListParagraph"/>
              <w:numPr>
                <w:ilvl w:val="0"/>
                <w:numId w:val="20"/>
              </w:numPr>
              <w:spacing w:after="120"/>
              <w:jc w:val="left"/>
              <w:rPr>
                <w:sz w:val="18"/>
                <w:szCs w:val="18"/>
                <w:lang w:val="es-ES_tradnl"/>
              </w:rPr>
            </w:pPr>
            <w:r w:rsidRPr="00C83BDF">
              <w:rPr>
                <w:sz w:val="18"/>
                <w:szCs w:val="18"/>
                <w:lang w:val="es-ES_tradnl"/>
              </w:rPr>
              <w:t>¿Puedo utilizar la protección de las obtenciones vegetales para proteger:</w:t>
            </w:r>
            <w:r w:rsidR="00E65183" w:rsidRPr="00C83BDF">
              <w:rPr>
                <w:sz w:val="18"/>
                <w:szCs w:val="18"/>
                <w:lang w:val="es-ES_tradnl"/>
              </w:rPr>
              <w:t xml:space="preserve">  </w:t>
            </w:r>
            <w:r w:rsidR="00E65183" w:rsidRPr="00C83BDF">
              <w:rPr>
                <w:sz w:val="18"/>
                <w:szCs w:val="18"/>
                <w:lang w:val="es-ES_tradnl"/>
              </w:rPr>
              <w:br/>
              <w:t xml:space="preserve">- </w:t>
            </w:r>
            <w:r w:rsidRPr="00C83BDF">
              <w:rPr>
                <w:sz w:val="18"/>
                <w:szCs w:val="18"/>
                <w:lang w:val="es-ES_tradnl"/>
              </w:rPr>
              <w:t>un rasgo (por ejemplo, resistencia a las enfermedades, color de la flor)</w:t>
            </w:r>
            <w:r w:rsidR="00E65183" w:rsidRPr="00C83BDF">
              <w:rPr>
                <w:sz w:val="18"/>
                <w:szCs w:val="18"/>
                <w:lang w:val="es-ES_tradnl"/>
              </w:rPr>
              <w:t xml:space="preserve"> </w:t>
            </w:r>
            <w:r w:rsidR="00E65183" w:rsidRPr="00C83BDF">
              <w:rPr>
                <w:sz w:val="18"/>
                <w:szCs w:val="18"/>
                <w:lang w:val="es-ES_tradnl"/>
              </w:rPr>
              <w:br/>
              <w:t xml:space="preserve">- </w:t>
            </w:r>
            <w:r w:rsidRPr="00C83BDF">
              <w:rPr>
                <w:sz w:val="18"/>
                <w:szCs w:val="18"/>
                <w:lang w:val="es-ES_tradnl"/>
              </w:rPr>
              <w:t>una sustancia química o de otra índole (por ejemplo, aceite, ADN)</w:t>
            </w:r>
            <w:r w:rsidR="00E65183" w:rsidRPr="00C83BDF">
              <w:rPr>
                <w:sz w:val="18"/>
                <w:szCs w:val="18"/>
                <w:lang w:val="es-ES_tradnl"/>
              </w:rPr>
              <w:t xml:space="preserve"> </w:t>
            </w:r>
            <w:r w:rsidR="00E65183" w:rsidRPr="00C83BDF">
              <w:rPr>
                <w:sz w:val="18"/>
                <w:szCs w:val="18"/>
                <w:lang w:val="es-ES_tradnl"/>
              </w:rPr>
              <w:br/>
              <w:t xml:space="preserve">- </w:t>
            </w:r>
            <w:r w:rsidRPr="00C83BDF">
              <w:rPr>
                <w:sz w:val="18"/>
                <w:szCs w:val="18"/>
                <w:lang w:val="es-ES_tradnl"/>
              </w:rPr>
              <w:t>una tecnología de fitomejoramiento (por ejemplo, el cultivo de tejidos)?</w:t>
            </w:r>
          </w:p>
          <w:p w:rsidR="00E65183" w:rsidRPr="00C83BDF" w:rsidRDefault="000C607E" w:rsidP="00B803BA">
            <w:pPr>
              <w:pStyle w:val="ListParagraph"/>
              <w:numPr>
                <w:ilvl w:val="0"/>
                <w:numId w:val="20"/>
              </w:numPr>
              <w:spacing w:after="120"/>
              <w:rPr>
                <w:sz w:val="18"/>
                <w:szCs w:val="18"/>
                <w:lang w:val="es-ES_tradnl"/>
              </w:rPr>
            </w:pPr>
            <w:r w:rsidRPr="00C83BDF">
              <w:rPr>
                <w:sz w:val="18"/>
                <w:szCs w:val="18"/>
                <w:lang w:val="es-ES_tradnl"/>
              </w:rPr>
              <w:t>¿En el sistema de la UPOV, se puede proteger una variedad híbrida?</w:t>
            </w:r>
          </w:p>
          <w:p w:rsidR="00E65183" w:rsidRPr="00C83BDF" w:rsidRDefault="000C607E" w:rsidP="00B803BA">
            <w:pPr>
              <w:pStyle w:val="ListParagraph"/>
              <w:numPr>
                <w:ilvl w:val="0"/>
                <w:numId w:val="20"/>
              </w:numPr>
              <w:spacing w:after="120"/>
              <w:rPr>
                <w:sz w:val="18"/>
                <w:szCs w:val="18"/>
                <w:lang w:val="es-ES_tradnl"/>
              </w:rPr>
            </w:pPr>
            <w:r w:rsidRPr="00C83BDF">
              <w:rPr>
                <w:sz w:val="18"/>
                <w:szCs w:val="18"/>
                <w:lang w:val="es-ES_tradnl"/>
              </w:rPr>
              <w:t>¿Puede un agricultor volver a sembrar, sin la autorización del obtentor, semillas obtenidas de una variedad protegida?</w:t>
            </w:r>
          </w:p>
          <w:p w:rsidR="00E65183" w:rsidRPr="00C83BDF" w:rsidRDefault="000C607E" w:rsidP="00B803BA">
            <w:pPr>
              <w:pStyle w:val="ListParagraph"/>
              <w:numPr>
                <w:ilvl w:val="0"/>
                <w:numId w:val="20"/>
              </w:numPr>
              <w:spacing w:after="120"/>
              <w:rPr>
                <w:sz w:val="18"/>
                <w:szCs w:val="18"/>
                <w:lang w:val="es-ES_tradnl"/>
              </w:rPr>
            </w:pPr>
            <w:r w:rsidRPr="00C83BDF">
              <w:rPr>
                <w:sz w:val="18"/>
                <w:szCs w:val="18"/>
                <w:lang w:val="es-ES_tradnl"/>
              </w:rPr>
              <w:t>¿Puede un agricultor vender, sin la autorización del obtentor, semillas obtenidas de una variedad protegida?</w:t>
            </w:r>
          </w:p>
          <w:p w:rsidR="00E65183" w:rsidRPr="00C83BDF" w:rsidRDefault="000C607E" w:rsidP="00B803BA">
            <w:pPr>
              <w:pStyle w:val="ListParagraph"/>
              <w:numPr>
                <w:ilvl w:val="0"/>
                <w:numId w:val="20"/>
              </w:numPr>
              <w:spacing w:after="120"/>
              <w:rPr>
                <w:sz w:val="18"/>
                <w:szCs w:val="18"/>
                <w:lang w:val="es-ES_tradnl"/>
              </w:rPr>
            </w:pPr>
            <w:r w:rsidRPr="00C83BDF">
              <w:rPr>
                <w:sz w:val="18"/>
                <w:szCs w:val="18"/>
                <w:lang w:val="es-ES_tradnl"/>
              </w:rPr>
              <w:t>¿Cómo se puede saber si una variedad está protegida?</w:t>
            </w:r>
          </w:p>
          <w:p w:rsidR="00E65183" w:rsidRPr="00C83BDF" w:rsidRDefault="000C607E" w:rsidP="00B803BA">
            <w:pPr>
              <w:pStyle w:val="ListParagraph"/>
              <w:numPr>
                <w:ilvl w:val="0"/>
                <w:numId w:val="20"/>
              </w:numPr>
              <w:spacing w:after="120"/>
              <w:rPr>
                <w:sz w:val="18"/>
                <w:szCs w:val="18"/>
                <w:lang w:val="es-ES_tradnl"/>
              </w:rPr>
            </w:pPr>
            <w:r w:rsidRPr="00C83BDF">
              <w:rPr>
                <w:sz w:val="18"/>
                <w:szCs w:val="18"/>
                <w:lang w:val="es-ES_tradnl"/>
              </w:rPr>
              <w:t>¿Quién es responsable de defender los derechos de obtentor?</w:t>
            </w:r>
          </w:p>
          <w:p w:rsidR="00E65183" w:rsidRPr="00C83BDF" w:rsidRDefault="000C607E" w:rsidP="00B803BA">
            <w:pPr>
              <w:pStyle w:val="ListParagraph"/>
              <w:numPr>
                <w:ilvl w:val="0"/>
                <w:numId w:val="20"/>
              </w:numPr>
              <w:spacing w:after="120"/>
              <w:rPr>
                <w:sz w:val="18"/>
                <w:szCs w:val="18"/>
                <w:lang w:val="es-ES_tradnl"/>
              </w:rPr>
            </w:pPr>
            <w:r w:rsidRPr="00C83BDF">
              <w:rPr>
                <w:sz w:val="18"/>
                <w:szCs w:val="18"/>
                <w:lang w:val="es-ES_tradnl"/>
              </w:rPr>
              <w:t>¿Permite la UPOV la utilización de técnicas moleculares (perfiles de ADN) en el examen de la distinción, la homogeneidad y la estabilidad (“DHE”)?</w:t>
            </w:r>
          </w:p>
          <w:p w:rsidR="00E65183" w:rsidRPr="00C83BDF" w:rsidRDefault="000C607E" w:rsidP="00B803BA">
            <w:pPr>
              <w:pStyle w:val="ListParagraph"/>
              <w:numPr>
                <w:ilvl w:val="0"/>
                <w:numId w:val="20"/>
              </w:numPr>
              <w:spacing w:after="120"/>
              <w:rPr>
                <w:sz w:val="18"/>
                <w:szCs w:val="18"/>
                <w:lang w:val="es-ES_tradnl"/>
              </w:rPr>
            </w:pPr>
            <w:r w:rsidRPr="00C83BDF">
              <w:rPr>
                <w:sz w:val="18"/>
                <w:szCs w:val="18"/>
                <w:lang w:val="es-ES_tradnl"/>
              </w:rPr>
              <w:t>¿Es cierto que la UPOV solo promueve las variedades vegetales obtenidas por medio del fitomejoramiento comercial y destinadas a los agricultores industrializados?</w:t>
            </w:r>
          </w:p>
          <w:p w:rsidR="00E65183" w:rsidRPr="00C83BDF" w:rsidRDefault="00D04B7F" w:rsidP="00B803BA">
            <w:pPr>
              <w:pStyle w:val="ListParagraph"/>
              <w:numPr>
                <w:ilvl w:val="0"/>
                <w:numId w:val="20"/>
              </w:numPr>
              <w:spacing w:after="120"/>
              <w:rPr>
                <w:sz w:val="18"/>
                <w:szCs w:val="18"/>
                <w:lang w:val="es-ES_tradnl"/>
              </w:rPr>
            </w:pPr>
            <w:r w:rsidRPr="00C83BDF">
              <w:rPr>
                <w:sz w:val="18"/>
                <w:szCs w:val="18"/>
                <w:lang w:val="es-ES_tradnl"/>
              </w:rPr>
              <w:t>¿Regula el Convenio de la UPOV las condiciones de utilización de las variedades que no son objeto de la protección de derechos de obtentor?</w:t>
            </w:r>
          </w:p>
          <w:p w:rsidR="00E65183" w:rsidRPr="00C83BDF" w:rsidRDefault="00D04B7F" w:rsidP="00B803BA">
            <w:pPr>
              <w:pStyle w:val="ListParagraph"/>
              <w:numPr>
                <w:ilvl w:val="0"/>
                <w:numId w:val="20"/>
              </w:numPr>
              <w:spacing w:after="120"/>
              <w:rPr>
                <w:sz w:val="18"/>
                <w:szCs w:val="18"/>
                <w:lang w:val="es-ES_tradnl"/>
              </w:rPr>
            </w:pPr>
            <w:r w:rsidRPr="00C83BDF">
              <w:rPr>
                <w:sz w:val="18"/>
                <w:szCs w:val="18"/>
                <w:lang w:val="es-ES_tradnl"/>
              </w:rPr>
              <w:t>¿Tienen los agricultores de subsistencia la posibilidad de intercambiar material de reproducción o de multiplicación de variedades protegidas por otros bienes vitales dentro de la comunidad local?</w:t>
            </w:r>
          </w:p>
          <w:p w:rsidR="00E65183" w:rsidRPr="00C83BDF" w:rsidRDefault="00D04B7F" w:rsidP="00B803BA">
            <w:pPr>
              <w:pStyle w:val="ListParagraph"/>
              <w:numPr>
                <w:ilvl w:val="0"/>
                <w:numId w:val="20"/>
              </w:numPr>
              <w:spacing w:after="120"/>
              <w:rPr>
                <w:szCs w:val="18"/>
                <w:lang w:val="es-ES_tradnl"/>
              </w:rPr>
            </w:pPr>
            <w:r w:rsidRPr="00C83BDF">
              <w:rPr>
                <w:sz w:val="18"/>
                <w:szCs w:val="18"/>
                <w:lang w:val="es-ES_tradnl"/>
              </w:rPr>
              <w:t>En virtud del sistema de la UPOV, los obtentores deciden las condiciones y las limitaciones a las que está sujeta la autorización de la explotación de sus variedades protegidas.</w:t>
            </w:r>
            <w:r w:rsidR="00D94EA2" w:rsidRPr="00C83BDF">
              <w:rPr>
                <w:sz w:val="18"/>
                <w:szCs w:val="18"/>
                <w:lang w:val="es-ES_tradnl"/>
              </w:rPr>
              <w:t xml:space="preserve">  </w:t>
            </w:r>
            <w:r w:rsidRPr="00C83BDF">
              <w:rPr>
                <w:sz w:val="18"/>
                <w:szCs w:val="18"/>
                <w:lang w:val="es-ES_tradnl"/>
              </w:rPr>
              <w:t>¿Es posible, por ejemplo, permitir a los agricultores intercambiar semillas libremente dentro de la comunidad local?</w:t>
            </w:r>
          </w:p>
        </w:tc>
      </w:tr>
    </w:tbl>
    <w:p w:rsidR="00E65183" w:rsidRPr="00C83BDF" w:rsidRDefault="00E65183" w:rsidP="00E65183">
      <w:pPr>
        <w:rPr>
          <w:sz w:val="18"/>
          <w:szCs w:val="18"/>
          <w:lang w:val="es-ES_tradnl"/>
        </w:rPr>
      </w:pPr>
    </w:p>
    <w:p w:rsidR="00E65183" w:rsidRPr="00C83BDF" w:rsidRDefault="00E65183" w:rsidP="00C83BDF">
      <w:pPr>
        <w:pStyle w:val="Heading3"/>
      </w:pPr>
      <w:r w:rsidRPr="00C83BDF">
        <w:br w:type="page"/>
      </w:r>
      <w:bookmarkStart w:id="90" w:name="_Toc431824274"/>
      <w:r w:rsidR="00675369" w:rsidRPr="00C83BDF">
        <w:t>Subprograma</w:t>
      </w:r>
      <w:r w:rsidR="00076853" w:rsidRPr="00C83BDF">
        <w:t> </w:t>
      </w:r>
      <w:r w:rsidR="00675369" w:rsidRPr="00C83BDF">
        <w:t>UV.3:  Prestar asistencia para la introducción</w:t>
      </w:r>
      <w:r w:rsidR="00C83BDF">
        <w:t xml:space="preserve"> y aplicación del sistema de la </w:t>
      </w:r>
      <w:r w:rsidR="00D04B7F" w:rsidRPr="00C83BDF">
        <w:t>UPOV</w:t>
      </w:r>
      <w:bookmarkEnd w:id="90"/>
    </w:p>
    <w:p w:rsidR="00E65183" w:rsidRPr="00C83BDF" w:rsidRDefault="00E65183" w:rsidP="00E65183">
      <w:pPr>
        <w:rPr>
          <w:sz w:val="18"/>
          <w:szCs w:val="18"/>
          <w:lang w:val="es-ES_tradnl"/>
        </w:rPr>
      </w:pPr>
    </w:p>
    <w:p w:rsidR="00E65183" w:rsidRPr="00C83BDF" w:rsidRDefault="00F221DB" w:rsidP="00E65183">
      <w:pPr>
        <w:rPr>
          <w:sz w:val="18"/>
          <w:szCs w:val="18"/>
          <w:lang w:val="es-ES_tradnl"/>
        </w:rPr>
      </w:pPr>
      <w:r w:rsidRPr="00C83BDF">
        <w:rPr>
          <w:sz w:val="18"/>
          <w:szCs w:val="18"/>
          <w:lang w:val="es-ES_tradnl"/>
        </w:rPr>
        <w:t>La Unión ha prestado asistencia a varios Estados para hacer efectiva la protección de las variedades vegetales sobre la base del Convenio de la UPOV y ha proporcionado asesoramiento a los gobiernos sobre la elaboración de legislación.</w:t>
      </w:r>
      <w:r w:rsidR="00E65183" w:rsidRPr="00C83BDF">
        <w:rPr>
          <w:sz w:val="18"/>
          <w:szCs w:val="18"/>
          <w:lang w:val="es-ES_tradnl"/>
        </w:rPr>
        <w:t xml:space="preserve">  </w:t>
      </w:r>
      <w:r w:rsidRPr="00C83BDF">
        <w:rPr>
          <w:sz w:val="18"/>
          <w:szCs w:val="18"/>
          <w:lang w:val="es-ES_tradnl"/>
        </w:rPr>
        <w:t>La cooperación con los miembros de la Unión, particularmente en lo que respecta a los cursos de formación, ha resultado sumamente provechosa para las labores de divulgación.</w:t>
      </w:r>
      <w:r w:rsidR="00E65183" w:rsidRPr="00C83BDF">
        <w:rPr>
          <w:sz w:val="18"/>
          <w:szCs w:val="18"/>
          <w:lang w:val="es-ES_tradnl"/>
        </w:rPr>
        <w:t xml:space="preserve">  </w:t>
      </w:r>
      <w:r w:rsidRPr="00C83BDF">
        <w:rPr>
          <w:sz w:val="18"/>
          <w:szCs w:val="18"/>
          <w:lang w:val="es-ES_tradnl"/>
        </w:rPr>
        <w:t>El curso de enseñanza a distancia por Internet “Introducción al sistema de la UPOV de protección de las variedades vegetales en virtud del Convenio de la UPOV” (DL</w:t>
      </w:r>
      <w:r w:rsidRPr="00C83BDF">
        <w:rPr>
          <w:sz w:val="18"/>
          <w:szCs w:val="18"/>
          <w:lang w:val="es-ES_tradnl"/>
        </w:rPr>
        <w:noBreakHyphen/>
        <w:t>205) y la formación de formadores han cumplido una función fundamental en lo que se refiere a brindar asistencia a un amplio abanico de expertos.</w:t>
      </w:r>
      <w:r w:rsidR="00E65183" w:rsidRPr="00C83BDF">
        <w:rPr>
          <w:sz w:val="18"/>
          <w:szCs w:val="18"/>
          <w:lang w:val="es-ES_tradnl"/>
        </w:rPr>
        <w:t xml:space="preserve">  </w:t>
      </w:r>
      <w:r w:rsidRPr="00C83BDF">
        <w:rPr>
          <w:sz w:val="18"/>
          <w:szCs w:val="18"/>
          <w:lang w:val="es-ES_tradnl"/>
        </w:rPr>
        <w:t xml:space="preserve">En 2014 </w:t>
      </w:r>
      <w:r w:rsidR="000A36E2" w:rsidRPr="00C83BDF">
        <w:rPr>
          <w:sz w:val="18"/>
          <w:szCs w:val="18"/>
          <w:lang w:val="es-ES_tradnl"/>
        </w:rPr>
        <w:t>se puso en marcha el nuevo curso de enseñanza a distancia “Examen de solicitudes de derechos de obtentor” (DL</w:t>
      </w:r>
      <w:r w:rsidR="000A36E2" w:rsidRPr="00C83BDF">
        <w:rPr>
          <w:sz w:val="18"/>
          <w:szCs w:val="18"/>
          <w:lang w:val="es-ES_tradnl"/>
        </w:rPr>
        <w:noBreakHyphen/>
        <w:t>305).</w:t>
      </w:r>
    </w:p>
    <w:p w:rsidR="00E65183" w:rsidRPr="00C83BDF" w:rsidRDefault="00E65183" w:rsidP="00E65183">
      <w:pPr>
        <w:rPr>
          <w:sz w:val="18"/>
          <w:szCs w:val="18"/>
          <w:lang w:val="es-ES_tradnl"/>
        </w:rPr>
      </w:pPr>
    </w:p>
    <w:p w:rsidR="00E65183" w:rsidRPr="00C83BDF" w:rsidRDefault="00E65183" w:rsidP="00E65183">
      <w:pPr>
        <w:rPr>
          <w:sz w:val="18"/>
          <w:szCs w:val="18"/>
          <w:lang w:val="es-ES_tradnl"/>
        </w:rPr>
      </w:pPr>
    </w:p>
    <w:tbl>
      <w:tblPr>
        <w:tblW w:w="9889" w:type="dxa"/>
        <w:tblLayout w:type="fixed"/>
        <w:tblLook w:val="0000" w:firstRow="0" w:lastRow="0" w:firstColumn="0" w:lastColumn="0" w:noHBand="0" w:noVBand="0"/>
      </w:tblPr>
      <w:tblGrid>
        <w:gridCol w:w="1951"/>
        <w:gridCol w:w="7938"/>
      </w:tblGrid>
      <w:tr w:rsidR="00E65183" w:rsidRPr="00C83BDF">
        <w:tc>
          <w:tcPr>
            <w:tcW w:w="1951" w:type="dxa"/>
          </w:tcPr>
          <w:p w:rsidR="00E65183" w:rsidRPr="00C83BDF" w:rsidRDefault="000A36E2" w:rsidP="00EC6385">
            <w:pPr>
              <w:pStyle w:val="Heading5"/>
            </w:pPr>
            <w:bookmarkStart w:id="91" w:name="_Toc431824275"/>
            <w:r w:rsidRPr="00C83BDF">
              <w:t>Objetivos:</w:t>
            </w:r>
            <w:bookmarkEnd w:id="91"/>
          </w:p>
        </w:tc>
        <w:tc>
          <w:tcPr>
            <w:tcW w:w="7938" w:type="dxa"/>
          </w:tcPr>
          <w:p w:rsidR="00E65183" w:rsidRPr="00C83BDF" w:rsidRDefault="000A36E2" w:rsidP="004737CD">
            <w:pPr>
              <w:keepNext/>
              <w:keepLines/>
              <w:widowControl w:val="0"/>
              <w:numPr>
                <w:ilvl w:val="0"/>
                <w:numId w:val="2"/>
              </w:numPr>
              <w:jc w:val="left"/>
              <w:rPr>
                <w:spacing w:val="-1"/>
                <w:sz w:val="18"/>
                <w:szCs w:val="18"/>
                <w:lang w:val="es-ES_tradnl"/>
              </w:rPr>
            </w:pPr>
            <w:r w:rsidRPr="00C83BDF">
              <w:rPr>
                <w:spacing w:val="-1"/>
                <w:sz w:val="18"/>
                <w:szCs w:val="18"/>
                <w:lang w:val="es-ES_tradnl"/>
              </w:rPr>
              <w:t>Fomentar la sensibilización acerca del papel de la protección de las variedades vegetales con arreglo al Convenio de la UPOV.</w:t>
            </w:r>
          </w:p>
          <w:p w:rsidR="00E65183" w:rsidRPr="00C83BDF" w:rsidRDefault="000A36E2" w:rsidP="004737CD">
            <w:pPr>
              <w:keepNext/>
              <w:keepLines/>
              <w:widowControl w:val="0"/>
              <w:numPr>
                <w:ilvl w:val="0"/>
                <w:numId w:val="2"/>
              </w:numPr>
              <w:jc w:val="left"/>
              <w:rPr>
                <w:sz w:val="18"/>
                <w:szCs w:val="18"/>
                <w:lang w:val="es-ES_tradnl"/>
              </w:rPr>
            </w:pPr>
            <w:r w:rsidRPr="00C83BDF">
              <w:rPr>
                <w:sz w:val="18"/>
                <w:szCs w:val="18"/>
                <w:lang w:val="es-ES_tradnl"/>
              </w:rPr>
              <w:t>Prestar asistencia a los Estados y las organizaciones, en particular a los gobiernos de países en desarrollo y de países en transición a una economía de mercado, en la elaboración de legislación conforme al Acta de 1991 del Convenio de la UPOV.</w:t>
            </w:r>
          </w:p>
          <w:p w:rsidR="00E65183" w:rsidRPr="00C83BDF" w:rsidRDefault="000A36E2" w:rsidP="004737CD">
            <w:pPr>
              <w:keepNext/>
              <w:keepLines/>
              <w:widowControl w:val="0"/>
              <w:numPr>
                <w:ilvl w:val="0"/>
                <w:numId w:val="2"/>
              </w:numPr>
              <w:jc w:val="left"/>
              <w:rPr>
                <w:sz w:val="18"/>
                <w:szCs w:val="18"/>
                <w:lang w:val="es-ES_tradnl"/>
              </w:rPr>
            </w:pPr>
            <w:r w:rsidRPr="00C83BDF">
              <w:rPr>
                <w:sz w:val="18"/>
                <w:szCs w:val="18"/>
                <w:lang w:val="es-ES_tradnl"/>
              </w:rPr>
              <w:t>Prestar asistencia a los Estados y las organizaciones para la adhesión al Acta de 1991 del Convenio de la UPOV.</w:t>
            </w:r>
          </w:p>
          <w:p w:rsidR="00E65183" w:rsidRPr="00C83BDF" w:rsidRDefault="000A36E2" w:rsidP="004737CD">
            <w:pPr>
              <w:keepNext/>
              <w:keepLines/>
              <w:widowControl w:val="0"/>
              <w:numPr>
                <w:ilvl w:val="0"/>
                <w:numId w:val="2"/>
              </w:numPr>
              <w:jc w:val="left"/>
              <w:rPr>
                <w:sz w:val="18"/>
                <w:szCs w:val="18"/>
                <w:lang w:val="es-ES_tradnl"/>
              </w:rPr>
            </w:pPr>
            <w:r w:rsidRPr="00C83BDF">
              <w:rPr>
                <w:sz w:val="18"/>
                <w:szCs w:val="18"/>
                <w:lang w:val="es-ES_tradnl"/>
              </w:rPr>
              <w:t>Prestar asistencia a los Estados y las organizaciones para la aplicación de un sistema eficaz de protección de las variedades vegetales de conformidad con el Acta de 1991 del Convenio de la UPOV.</w:t>
            </w:r>
          </w:p>
        </w:tc>
      </w:tr>
    </w:tbl>
    <w:p w:rsidR="00E65183" w:rsidRPr="00C83BDF" w:rsidRDefault="00E65183" w:rsidP="00E65183">
      <w:pPr>
        <w:rPr>
          <w:sz w:val="18"/>
          <w:szCs w:val="18"/>
          <w:lang w:val="es-ES_tradnl"/>
        </w:rPr>
      </w:pPr>
    </w:p>
    <w:p w:rsidR="00E65183" w:rsidRPr="00C83BDF" w:rsidRDefault="00E65183" w:rsidP="00E65183">
      <w:pPr>
        <w:rPr>
          <w:sz w:val="18"/>
          <w:szCs w:val="18"/>
          <w:lang w:val="es-ES_tradnl"/>
        </w:rPr>
      </w:pPr>
    </w:p>
    <w:tbl>
      <w:tblPr>
        <w:tblW w:w="9889" w:type="dxa"/>
        <w:tblLayout w:type="fixed"/>
        <w:tblLook w:val="0000" w:firstRow="0" w:lastRow="0" w:firstColumn="0" w:lastColumn="0" w:noHBand="0" w:noVBand="0"/>
      </w:tblPr>
      <w:tblGrid>
        <w:gridCol w:w="1951"/>
        <w:gridCol w:w="7938"/>
      </w:tblGrid>
      <w:tr w:rsidR="00E65183" w:rsidRPr="00C83BDF">
        <w:trPr>
          <w:tblHeader/>
        </w:trPr>
        <w:tc>
          <w:tcPr>
            <w:tcW w:w="1951" w:type="dxa"/>
          </w:tcPr>
          <w:p w:rsidR="00E65183" w:rsidRPr="00C83BDF" w:rsidRDefault="000A36E2" w:rsidP="00EC6385">
            <w:pPr>
              <w:pStyle w:val="Heading5"/>
            </w:pPr>
            <w:bookmarkStart w:id="92" w:name="_Toc431824276"/>
            <w:r w:rsidRPr="00C83BDF">
              <w:t>Resultados previstos</w:t>
            </w:r>
            <w:bookmarkEnd w:id="92"/>
          </w:p>
        </w:tc>
        <w:tc>
          <w:tcPr>
            <w:tcW w:w="7938" w:type="dxa"/>
          </w:tcPr>
          <w:p w:rsidR="00E65183" w:rsidRPr="00C83BDF" w:rsidRDefault="000A36E2" w:rsidP="00C94ED1">
            <w:pPr>
              <w:pStyle w:val="Heading7"/>
              <w:rPr>
                <w:lang w:val="es-ES_tradnl"/>
              </w:rPr>
            </w:pPr>
            <w:bookmarkStart w:id="93" w:name="_Toc336331205"/>
            <w:bookmarkStart w:id="94" w:name="_Toc336339207"/>
            <w:bookmarkStart w:id="95" w:name="_Toc431824277"/>
            <w:r w:rsidRPr="00C83BDF">
              <w:rPr>
                <w:lang w:val="es-ES_tradnl"/>
              </w:rPr>
              <w:t>Resultados alcanzados:</w:t>
            </w:r>
            <w:r w:rsidR="00E65183" w:rsidRPr="00C83BDF">
              <w:rPr>
                <w:lang w:val="es-ES_tradnl"/>
              </w:rPr>
              <w:t xml:space="preserve">  </w:t>
            </w:r>
            <w:bookmarkEnd w:id="93"/>
            <w:bookmarkEnd w:id="94"/>
            <w:r w:rsidRPr="00C83BDF">
              <w:rPr>
                <w:lang w:val="es-ES_tradnl"/>
              </w:rPr>
              <w:t>indicadores de rendimiento</w:t>
            </w:r>
            <w:bookmarkEnd w:id="95"/>
          </w:p>
        </w:tc>
      </w:tr>
      <w:tr w:rsidR="00E65183" w:rsidRPr="00C83BDF">
        <w:tc>
          <w:tcPr>
            <w:tcW w:w="1951" w:type="dxa"/>
          </w:tcPr>
          <w:p w:rsidR="00E65183" w:rsidRPr="00C83BDF" w:rsidRDefault="00E65183" w:rsidP="004737CD">
            <w:pPr>
              <w:pStyle w:val="Heading6"/>
              <w:rPr>
                <w:lang w:val="es-ES_tradnl"/>
              </w:rPr>
            </w:pPr>
            <w:bookmarkStart w:id="96" w:name="_Toc431824278"/>
            <w:r w:rsidRPr="00C83BDF">
              <w:rPr>
                <w:lang w:val="es-ES_tradnl"/>
              </w:rPr>
              <w:t xml:space="preserve">1.  </w:t>
            </w:r>
            <w:r w:rsidR="000A36E2" w:rsidRPr="00C83BDF">
              <w:rPr>
                <w:lang w:val="es-ES_tradnl"/>
              </w:rPr>
              <w:t>Fomento de la sensibilización acerca del papel de la protección de las variedades vegetales con arreglo al Convenio de la UPOV</w:t>
            </w:r>
            <w:bookmarkEnd w:id="96"/>
          </w:p>
        </w:tc>
        <w:tc>
          <w:tcPr>
            <w:tcW w:w="7938" w:type="dxa"/>
          </w:tcPr>
          <w:p w:rsidR="00E65183" w:rsidRPr="00C83BDF" w:rsidRDefault="000A36E2" w:rsidP="00C94ED1">
            <w:pPr>
              <w:pStyle w:val="Heading8"/>
              <w:rPr>
                <w:szCs w:val="18"/>
                <w:lang w:val="es-ES_tradnl"/>
              </w:rPr>
            </w:pPr>
            <w:bookmarkStart w:id="97" w:name="_Toc431824279"/>
            <w:r w:rsidRPr="00C83BDF">
              <w:rPr>
                <w:szCs w:val="18"/>
                <w:lang w:val="es-ES_tradnl"/>
              </w:rPr>
              <w:t>a)  Publicaciones sobre la función de la protección de las variedades vegetales, incluidas las publicaciones del sitio web de la UPOV</w:t>
            </w:r>
            <w:bookmarkEnd w:id="97"/>
          </w:p>
          <w:p w:rsidR="00E65183" w:rsidRPr="00C83BDF" w:rsidRDefault="000A36E2" w:rsidP="00C94ED1">
            <w:pPr>
              <w:spacing w:after="120"/>
              <w:rPr>
                <w:sz w:val="18"/>
                <w:szCs w:val="18"/>
                <w:lang w:val="es-ES_tradnl"/>
              </w:rPr>
            </w:pPr>
            <w:r w:rsidRPr="00C83BDF">
              <w:rPr>
                <w:sz w:val="18"/>
                <w:szCs w:val="18"/>
                <w:lang w:val="es-ES_tradnl"/>
              </w:rPr>
              <w:t xml:space="preserve">Véase </w:t>
            </w:r>
            <w:r w:rsidR="00F33650" w:rsidRPr="00C83BDF">
              <w:rPr>
                <w:sz w:val="18"/>
                <w:szCs w:val="18"/>
                <w:lang w:val="es-ES_tradnl"/>
              </w:rPr>
              <w:t>el apartado a) del resultado previsto nº</w:t>
            </w:r>
            <w:r w:rsidR="00236C28" w:rsidRPr="00C83BDF">
              <w:rPr>
                <w:sz w:val="18"/>
                <w:szCs w:val="18"/>
                <w:lang w:val="es-ES_tradnl"/>
              </w:rPr>
              <w:t> </w:t>
            </w:r>
            <w:r w:rsidR="00F33650" w:rsidRPr="00C83BDF">
              <w:rPr>
                <w:sz w:val="18"/>
                <w:szCs w:val="18"/>
                <w:lang w:val="es-ES_tradnl"/>
              </w:rPr>
              <w:t xml:space="preserve">7 “Suministro de información sobre el Convenio de la UPOV a los sectores interesados (obtentores, agricultores, cultivadores, comerciantes de semillas, etc.)” del </w:t>
            </w:r>
            <w:r w:rsidRPr="00C83BDF">
              <w:rPr>
                <w:sz w:val="18"/>
                <w:szCs w:val="18"/>
                <w:lang w:val="es-ES_tradnl"/>
              </w:rPr>
              <w:t>Subprograma</w:t>
            </w:r>
            <w:r w:rsidR="003054C5" w:rsidRPr="00C83BDF">
              <w:rPr>
                <w:sz w:val="18"/>
                <w:szCs w:val="18"/>
                <w:lang w:val="es-ES_tradnl"/>
              </w:rPr>
              <w:t> </w:t>
            </w:r>
            <w:r w:rsidRPr="00C83BDF">
              <w:rPr>
                <w:sz w:val="18"/>
                <w:szCs w:val="18"/>
                <w:lang w:val="es-ES_tradnl"/>
              </w:rPr>
              <w:t>UV.2</w:t>
            </w:r>
            <w:r w:rsidR="00F33650" w:rsidRPr="00C83BDF">
              <w:rPr>
                <w:sz w:val="18"/>
                <w:szCs w:val="18"/>
                <w:lang w:val="es-ES_tradnl"/>
              </w:rPr>
              <w:t>.</w:t>
            </w:r>
          </w:p>
          <w:p w:rsidR="00E65183" w:rsidRPr="00C83BDF" w:rsidRDefault="00E65183" w:rsidP="004737CD">
            <w:pPr>
              <w:rPr>
                <w:szCs w:val="18"/>
                <w:lang w:val="es-ES_tradnl"/>
              </w:rPr>
            </w:pPr>
          </w:p>
          <w:p w:rsidR="00E65183" w:rsidRPr="00C83BDF" w:rsidRDefault="003054C5" w:rsidP="00C94ED1">
            <w:pPr>
              <w:pStyle w:val="Heading8"/>
              <w:rPr>
                <w:szCs w:val="18"/>
                <w:lang w:val="es-ES_tradnl"/>
              </w:rPr>
            </w:pPr>
            <w:bookmarkStart w:id="98" w:name="_Toc431824280"/>
            <w:r w:rsidRPr="00C83BDF">
              <w:rPr>
                <w:szCs w:val="18"/>
                <w:lang w:val="es-ES_tradnl"/>
              </w:rPr>
              <w:t>b)  Estados y organizaciones que han recibido información en las actividades de la UPOV</w:t>
            </w:r>
            <w:bookmarkEnd w:id="98"/>
          </w:p>
          <w:p w:rsidR="00E65183" w:rsidRPr="00C83BDF" w:rsidRDefault="001A09F7" w:rsidP="004737CD">
            <w:pPr>
              <w:rPr>
                <w:sz w:val="18"/>
                <w:szCs w:val="18"/>
                <w:lang w:val="es-ES_tradnl"/>
              </w:rPr>
            </w:pPr>
            <w:r w:rsidRPr="00C83BDF">
              <w:rPr>
                <w:sz w:val="18"/>
                <w:szCs w:val="18"/>
                <w:lang w:val="es-ES_tradnl"/>
              </w:rPr>
              <w:t xml:space="preserve">Albania, Argentina, Belarús, </w:t>
            </w:r>
            <w:r w:rsidR="00C94ED1" w:rsidRPr="00C83BDF">
              <w:rPr>
                <w:sz w:val="18"/>
                <w:szCs w:val="18"/>
                <w:lang w:val="es-ES_tradnl"/>
              </w:rPr>
              <w:t xml:space="preserve">Bolivia, </w:t>
            </w:r>
            <w:r w:rsidRPr="00C83BDF">
              <w:rPr>
                <w:sz w:val="18"/>
                <w:szCs w:val="18"/>
                <w:lang w:val="es-ES_tradnl"/>
              </w:rPr>
              <w:t xml:space="preserve">Botswana, Brasil, Brunei Darussalam, Camboya, </w:t>
            </w:r>
            <w:r w:rsidR="00C94ED1" w:rsidRPr="00C83BDF">
              <w:rPr>
                <w:sz w:val="18"/>
                <w:szCs w:val="18"/>
                <w:lang w:val="es-ES_tradnl"/>
              </w:rPr>
              <w:t xml:space="preserve">Chile, China, </w:t>
            </w:r>
            <w:r w:rsidRPr="00C83BDF">
              <w:rPr>
                <w:sz w:val="18"/>
                <w:szCs w:val="18"/>
                <w:lang w:val="es-ES_tradnl"/>
              </w:rPr>
              <w:t xml:space="preserve">Colombia, Costa Rica, Cuba, Ecuador, España, Estados Unidos de América, ex República Yugoslava de Macedonia, Federación de Rusia, Filipinas, Francia, Gambia, Georgia, Ghana, Guatemala, Honduras, Indonesia, Irán (República Islámica del), Japón, Jordania, Kenya, Malasia, Malawi, México, Mozambique, Myanmar, Namibia, Nicaragua, Países Bajos, Panamá, Paraguay, Perú, Reino Unido, República de Corea, República Dominicana, República de Moldova, </w:t>
            </w:r>
            <w:r w:rsidR="00C94ED1" w:rsidRPr="00C83BDF">
              <w:rPr>
                <w:sz w:val="18"/>
                <w:szCs w:val="18"/>
                <w:lang w:val="es-ES_tradnl"/>
              </w:rPr>
              <w:t>República Democrática Popular Lao</w:t>
            </w:r>
            <w:r w:rsidRPr="00C83BDF">
              <w:rPr>
                <w:sz w:val="18"/>
                <w:szCs w:val="18"/>
                <w:lang w:val="es-ES_tradnl"/>
              </w:rPr>
              <w:t xml:space="preserve">, República Unida de Tanzanía, Rwanda, Singapur, Sudán, Swazilandia, Tailandia, </w:t>
            </w:r>
            <w:r w:rsidR="00E11F4C" w:rsidRPr="00C83BDF">
              <w:rPr>
                <w:sz w:val="18"/>
                <w:szCs w:val="18"/>
                <w:lang w:val="es-ES_tradnl"/>
              </w:rPr>
              <w:t>Trinidad y Tabago</w:t>
            </w:r>
            <w:r w:rsidRPr="00C83BDF">
              <w:rPr>
                <w:sz w:val="18"/>
                <w:szCs w:val="18"/>
                <w:lang w:val="es-ES_tradnl"/>
              </w:rPr>
              <w:t>, Uganda, Unión Europea, Uruguay, Uzbekistán, Viet Nam, Zambia, Zimbabwe</w:t>
            </w:r>
            <w:r w:rsidR="003054C5" w:rsidRPr="00C83BDF">
              <w:rPr>
                <w:sz w:val="18"/>
                <w:szCs w:val="18"/>
                <w:lang w:val="es-ES_tradnl"/>
              </w:rPr>
              <w:t>, ARIPO, ASTA, Crop</w:t>
            </w:r>
            <w:r w:rsidR="00895AD8" w:rsidRPr="00C83BDF">
              <w:rPr>
                <w:sz w:val="18"/>
                <w:szCs w:val="18"/>
                <w:lang w:val="es-ES_tradnl"/>
              </w:rPr>
              <w:t>L</w:t>
            </w:r>
            <w:r w:rsidR="003054C5" w:rsidRPr="00C83BDF">
              <w:rPr>
                <w:sz w:val="18"/>
                <w:szCs w:val="18"/>
                <w:lang w:val="es-ES_tradnl"/>
              </w:rPr>
              <w:t>ife Interna</w:t>
            </w:r>
            <w:r w:rsidR="00895AD8" w:rsidRPr="00C83BDF">
              <w:rPr>
                <w:sz w:val="18"/>
                <w:szCs w:val="18"/>
                <w:lang w:val="es-ES_tradnl"/>
              </w:rPr>
              <w:t>t</w:t>
            </w:r>
            <w:r w:rsidR="003054C5" w:rsidRPr="00C83BDF">
              <w:rPr>
                <w:sz w:val="18"/>
                <w:szCs w:val="18"/>
                <w:lang w:val="es-ES_tradnl"/>
              </w:rPr>
              <w:t xml:space="preserve">ional, </w:t>
            </w:r>
            <w:r w:rsidR="00C94ED1" w:rsidRPr="00C83BDF">
              <w:rPr>
                <w:i/>
                <w:sz w:val="18"/>
                <w:szCs w:val="18"/>
                <w:lang w:val="es-ES_tradnl"/>
              </w:rPr>
              <w:t>Groupement technique horticole de Genève</w:t>
            </w:r>
            <w:r w:rsidR="003054C5" w:rsidRPr="00C83BDF">
              <w:rPr>
                <w:sz w:val="18"/>
                <w:szCs w:val="18"/>
                <w:lang w:val="es-ES_tradnl"/>
              </w:rPr>
              <w:t>, ISF, ISTA, OAPI, OCDE.</w:t>
            </w:r>
          </w:p>
          <w:p w:rsidR="00E65183" w:rsidRPr="00C83BDF" w:rsidRDefault="00E65183" w:rsidP="004737CD">
            <w:pPr>
              <w:rPr>
                <w:sz w:val="18"/>
                <w:szCs w:val="18"/>
                <w:lang w:val="es-ES_tradnl"/>
              </w:rPr>
            </w:pPr>
          </w:p>
          <w:p w:rsidR="00E65183" w:rsidRPr="00C83BDF" w:rsidRDefault="00147FDA" w:rsidP="004737CD">
            <w:pPr>
              <w:rPr>
                <w:sz w:val="18"/>
                <w:szCs w:val="18"/>
                <w:lang w:val="es-ES_tradnl"/>
              </w:rPr>
            </w:pPr>
            <w:r w:rsidRPr="00C83BDF">
              <w:rPr>
                <w:sz w:val="18"/>
                <w:szCs w:val="18"/>
                <w:lang w:val="es-ES_tradnl"/>
              </w:rPr>
              <w:t>Véase también el apartado e) posterior.</w:t>
            </w:r>
          </w:p>
        </w:tc>
      </w:tr>
    </w:tbl>
    <w:p w:rsidR="00E65183" w:rsidRPr="00C83BDF" w:rsidRDefault="00E65183" w:rsidP="00E65183">
      <w:pPr>
        <w:rPr>
          <w:lang w:val="es-ES_tradnl"/>
        </w:rPr>
      </w:pPr>
    </w:p>
    <w:p w:rsidR="00E65183" w:rsidRPr="00C83BDF" w:rsidRDefault="00E65183" w:rsidP="00E65183">
      <w:pPr>
        <w:rPr>
          <w:lang w:val="es-ES_tradnl"/>
        </w:rPr>
      </w:pPr>
    </w:p>
    <w:tbl>
      <w:tblPr>
        <w:tblW w:w="9889" w:type="dxa"/>
        <w:tblLayout w:type="fixed"/>
        <w:tblLook w:val="0000" w:firstRow="0" w:lastRow="0" w:firstColumn="0" w:lastColumn="0" w:noHBand="0" w:noVBand="0"/>
      </w:tblPr>
      <w:tblGrid>
        <w:gridCol w:w="1951"/>
        <w:gridCol w:w="7938"/>
      </w:tblGrid>
      <w:tr w:rsidR="00E65183" w:rsidRPr="00C83BDF">
        <w:tc>
          <w:tcPr>
            <w:tcW w:w="1951" w:type="dxa"/>
          </w:tcPr>
          <w:p w:rsidR="00E65183" w:rsidRPr="00C83BDF" w:rsidRDefault="00E65183" w:rsidP="004737CD">
            <w:pPr>
              <w:jc w:val="left"/>
              <w:rPr>
                <w:sz w:val="18"/>
                <w:szCs w:val="18"/>
                <w:lang w:val="es-ES_tradnl"/>
              </w:rPr>
            </w:pPr>
          </w:p>
        </w:tc>
        <w:tc>
          <w:tcPr>
            <w:tcW w:w="7938" w:type="dxa"/>
          </w:tcPr>
          <w:p w:rsidR="00E65183" w:rsidRPr="00C83BDF" w:rsidRDefault="001A09F7" w:rsidP="0097495E">
            <w:pPr>
              <w:pStyle w:val="Heading8"/>
              <w:rPr>
                <w:szCs w:val="18"/>
                <w:lang w:val="es-ES_tradnl"/>
              </w:rPr>
            </w:pPr>
            <w:bookmarkStart w:id="99" w:name="_Toc431824281"/>
            <w:r w:rsidRPr="00C83BDF">
              <w:rPr>
                <w:szCs w:val="18"/>
                <w:lang w:val="es-ES_tradnl"/>
              </w:rPr>
              <w:t>c)  Estados y organizaciones que han contactado con la Oficina de la Unión para recibir asistencia en la elaboración de legislación sobre la protección de las variedades vegetales</w:t>
            </w:r>
            <w:bookmarkEnd w:id="99"/>
          </w:p>
          <w:p w:rsidR="00E65183" w:rsidRPr="00C83BDF" w:rsidRDefault="00C95336" w:rsidP="004737CD">
            <w:pPr>
              <w:pStyle w:val="BodyText"/>
              <w:rPr>
                <w:sz w:val="18"/>
                <w:szCs w:val="18"/>
                <w:lang w:val="es-ES_tradnl"/>
              </w:rPr>
            </w:pPr>
            <w:r w:rsidRPr="00C83BDF">
              <w:rPr>
                <w:sz w:val="18"/>
                <w:szCs w:val="18"/>
                <w:lang w:val="es-ES_tradnl"/>
              </w:rPr>
              <w:t>Miembros de la Unión:</w:t>
            </w:r>
            <w:r w:rsidR="00E65183" w:rsidRPr="00C83BDF">
              <w:rPr>
                <w:sz w:val="18"/>
                <w:szCs w:val="18"/>
                <w:lang w:val="es-ES_tradnl"/>
              </w:rPr>
              <w:t xml:space="preserve"> </w:t>
            </w:r>
            <w:r w:rsidR="001A09F7" w:rsidRPr="00C83BDF">
              <w:rPr>
                <w:sz w:val="18"/>
                <w:szCs w:val="18"/>
                <w:lang w:val="es-ES_tradnl"/>
              </w:rPr>
              <w:t xml:space="preserve"> </w:t>
            </w:r>
            <w:r w:rsidRPr="00C83BDF">
              <w:rPr>
                <w:sz w:val="18"/>
                <w:szCs w:val="18"/>
                <w:lang w:val="es-ES_tradnl"/>
              </w:rPr>
              <w:t>Canadá, Chile, Colombia, Singapur</w:t>
            </w:r>
          </w:p>
          <w:p w:rsidR="00E65183" w:rsidRPr="00C83BDF" w:rsidRDefault="00E65183" w:rsidP="004737CD">
            <w:pPr>
              <w:rPr>
                <w:sz w:val="18"/>
                <w:szCs w:val="18"/>
                <w:lang w:val="es-ES_tradnl"/>
              </w:rPr>
            </w:pPr>
          </w:p>
          <w:p w:rsidR="00E65183" w:rsidRPr="00C83BDF" w:rsidRDefault="00C95336" w:rsidP="004737CD">
            <w:pPr>
              <w:tabs>
                <w:tab w:val="left" w:pos="2410"/>
              </w:tabs>
              <w:jc w:val="left"/>
              <w:rPr>
                <w:sz w:val="18"/>
                <w:szCs w:val="18"/>
                <w:lang w:val="es-ES_tradnl"/>
              </w:rPr>
            </w:pPr>
            <w:r w:rsidRPr="00C83BDF">
              <w:rPr>
                <w:sz w:val="18"/>
                <w:szCs w:val="18"/>
                <w:lang w:val="es-ES_tradnl"/>
              </w:rPr>
              <w:t>No miembros de la Unión:</w:t>
            </w:r>
            <w:r w:rsidR="00E65183" w:rsidRPr="00C83BDF">
              <w:rPr>
                <w:sz w:val="18"/>
                <w:szCs w:val="18"/>
                <w:lang w:val="es-ES_tradnl"/>
              </w:rPr>
              <w:t xml:space="preserve">  </w:t>
            </w:r>
            <w:r w:rsidRPr="00C83BDF">
              <w:rPr>
                <w:sz w:val="18"/>
                <w:szCs w:val="18"/>
                <w:lang w:val="es-ES_tradnl"/>
              </w:rPr>
              <w:t>ARIPO, Bosnia y Herzegovina, Brunei Darussalam, Camboya, Egipto, Emiratos Árabes Unidos, Guatemala, Malasia, Mauricio, Myanmar, Pakistán, República Unida de Tanzanía, Tayikistán, Zimbabwe</w:t>
            </w:r>
          </w:p>
          <w:p w:rsidR="00E65183" w:rsidRPr="00C83BDF" w:rsidRDefault="00E65183" w:rsidP="004737CD">
            <w:pPr>
              <w:tabs>
                <w:tab w:val="left" w:pos="2410"/>
              </w:tabs>
              <w:jc w:val="left"/>
              <w:rPr>
                <w:sz w:val="18"/>
                <w:szCs w:val="18"/>
                <w:lang w:val="es-ES_tradnl"/>
              </w:rPr>
            </w:pPr>
          </w:p>
          <w:p w:rsidR="00E65183" w:rsidRPr="00C83BDF" w:rsidRDefault="00E65183" w:rsidP="004737CD">
            <w:pPr>
              <w:tabs>
                <w:tab w:val="left" w:pos="2410"/>
              </w:tabs>
              <w:jc w:val="left"/>
              <w:rPr>
                <w:sz w:val="18"/>
                <w:szCs w:val="18"/>
                <w:lang w:val="es-ES_tradnl"/>
              </w:rPr>
            </w:pPr>
          </w:p>
          <w:p w:rsidR="00E65183" w:rsidRPr="00C83BDF" w:rsidRDefault="00C95336" w:rsidP="0097495E">
            <w:pPr>
              <w:pStyle w:val="Heading8"/>
              <w:rPr>
                <w:szCs w:val="18"/>
                <w:lang w:val="es-ES_tradnl"/>
              </w:rPr>
            </w:pPr>
            <w:bookmarkStart w:id="100" w:name="_Toc431824282"/>
            <w:r w:rsidRPr="00C83BDF">
              <w:rPr>
                <w:szCs w:val="18"/>
                <w:lang w:val="es-ES_tradnl"/>
              </w:rPr>
              <w:t>d)  Estados y organizaciones que han iniciado ante el Consejo de la UPOV el procedimiento para ser miembro de la Unión</w:t>
            </w:r>
            <w:bookmarkEnd w:id="100"/>
          </w:p>
          <w:p w:rsidR="00E65183" w:rsidRPr="00C83BDF" w:rsidRDefault="00C95336" w:rsidP="004737CD">
            <w:pPr>
              <w:rPr>
                <w:sz w:val="18"/>
                <w:szCs w:val="18"/>
                <w:highlight w:val="yellow"/>
                <w:lang w:val="es-ES_tradnl"/>
              </w:rPr>
            </w:pPr>
            <w:r w:rsidRPr="00C83BDF">
              <w:rPr>
                <w:sz w:val="18"/>
                <w:szCs w:val="18"/>
                <w:lang w:val="es-ES_tradnl"/>
              </w:rPr>
              <w:t>ARIPO, República Unida de Tanzanía</w:t>
            </w:r>
          </w:p>
        </w:tc>
      </w:tr>
    </w:tbl>
    <w:p w:rsidR="00E65183" w:rsidRPr="00C83BDF" w:rsidRDefault="00E65183" w:rsidP="00E65183">
      <w:pPr>
        <w:rPr>
          <w:sz w:val="18"/>
          <w:szCs w:val="18"/>
          <w:lang w:val="es-ES_tradnl"/>
        </w:rPr>
      </w:pPr>
    </w:p>
    <w:p w:rsidR="00E65183" w:rsidRPr="00C83BDF" w:rsidRDefault="00E65183" w:rsidP="00E65183">
      <w:pPr>
        <w:rPr>
          <w:lang w:val="es-ES_tradnl"/>
        </w:rPr>
      </w:pPr>
      <w:r w:rsidRPr="00C83BDF">
        <w:rPr>
          <w:lang w:val="es-ES_tradnl"/>
        </w:rPr>
        <w:br w:type="page"/>
      </w:r>
    </w:p>
    <w:tbl>
      <w:tblPr>
        <w:tblW w:w="9889" w:type="dxa"/>
        <w:tblLayout w:type="fixed"/>
        <w:tblLook w:val="0000" w:firstRow="0" w:lastRow="0" w:firstColumn="0" w:lastColumn="0" w:noHBand="0" w:noVBand="0"/>
      </w:tblPr>
      <w:tblGrid>
        <w:gridCol w:w="1951"/>
        <w:gridCol w:w="7938"/>
      </w:tblGrid>
      <w:tr w:rsidR="00E65183" w:rsidRPr="00C83BDF">
        <w:tc>
          <w:tcPr>
            <w:tcW w:w="1951" w:type="dxa"/>
            <w:shd w:val="clear" w:color="auto" w:fill="auto"/>
          </w:tcPr>
          <w:p w:rsidR="00E65183" w:rsidRPr="00C83BDF" w:rsidRDefault="00C95336" w:rsidP="00450139">
            <w:pPr>
              <w:rPr>
                <w:b/>
                <w:sz w:val="18"/>
                <w:lang w:val="es-ES_tradnl"/>
              </w:rPr>
            </w:pPr>
            <w:r w:rsidRPr="00C83BDF">
              <w:rPr>
                <w:b/>
                <w:sz w:val="18"/>
                <w:lang w:val="es-ES_tradnl"/>
              </w:rPr>
              <w:t>Resultados previstos</w:t>
            </w:r>
          </w:p>
        </w:tc>
        <w:tc>
          <w:tcPr>
            <w:tcW w:w="7938" w:type="dxa"/>
            <w:shd w:val="clear" w:color="auto" w:fill="auto"/>
          </w:tcPr>
          <w:p w:rsidR="00E65183" w:rsidRPr="00C83BDF" w:rsidRDefault="00C95336" w:rsidP="00450139">
            <w:pPr>
              <w:rPr>
                <w:b/>
                <w:sz w:val="18"/>
                <w:lang w:val="es-ES_tradnl"/>
              </w:rPr>
            </w:pPr>
            <w:r w:rsidRPr="00C83BDF">
              <w:rPr>
                <w:b/>
                <w:sz w:val="18"/>
                <w:lang w:val="es-ES_tradnl"/>
              </w:rPr>
              <w:t>Resultados alcanzados:</w:t>
            </w:r>
            <w:r w:rsidR="00E65183" w:rsidRPr="00C83BDF">
              <w:rPr>
                <w:b/>
                <w:sz w:val="18"/>
                <w:lang w:val="es-ES_tradnl"/>
              </w:rPr>
              <w:t xml:space="preserve">  </w:t>
            </w:r>
            <w:r w:rsidRPr="00C83BDF">
              <w:rPr>
                <w:b/>
                <w:sz w:val="18"/>
                <w:lang w:val="es-ES_tradnl"/>
              </w:rPr>
              <w:t>indicadores de rendimiento</w:t>
            </w:r>
          </w:p>
        </w:tc>
      </w:tr>
      <w:tr w:rsidR="00E65183" w:rsidRPr="00C83BDF">
        <w:tc>
          <w:tcPr>
            <w:tcW w:w="1951" w:type="dxa"/>
          </w:tcPr>
          <w:p w:rsidR="00E65183" w:rsidRPr="00C83BDF" w:rsidRDefault="00E65183" w:rsidP="004737CD">
            <w:pPr>
              <w:jc w:val="left"/>
              <w:rPr>
                <w:sz w:val="18"/>
                <w:szCs w:val="18"/>
                <w:lang w:val="es-ES_tradnl"/>
              </w:rPr>
            </w:pPr>
            <w:r w:rsidRPr="00C83BDF">
              <w:rPr>
                <w:i/>
                <w:sz w:val="18"/>
                <w:szCs w:val="18"/>
                <w:lang w:val="es-ES_tradnl"/>
              </w:rPr>
              <w:t xml:space="preserve">1.  </w:t>
            </w:r>
            <w:r w:rsidR="00C95336" w:rsidRPr="00C83BDF">
              <w:rPr>
                <w:i/>
                <w:sz w:val="18"/>
                <w:szCs w:val="18"/>
                <w:lang w:val="es-ES_tradnl"/>
              </w:rPr>
              <w:t>Fomento de la sensibilización acerca del papel de la protección de las variedades vegetales con arreglo al Convenio de la UPOV</w:t>
            </w:r>
            <w:r w:rsidR="00C95336" w:rsidRPr="00C83BDF">
              <w:rPr>
                <w:sz w:val="18"/>
                <w:szCs w:val="18"/>
                <w:lang w:val="es-ES_tradnl"/>
              </w:rPr>
              <w:t xml:space="preserve"> (continuación)</w:t>
            </w:r>
          </w:p>
        </w:tc>
        <w:tc>
          <w:tcPr>
            <w:tcW w:w="7938" w:type="dxa"/>
          </w:tcPr>
          <w:p w:rsidR="00E65183" w:rsidRPr="00C83BDF" w:rsidRDefault="00C95336" w:rsidP="007D1D1A">
            <w:pPr>
              <w:pStyle w:val="Heading8"/>
              <w:rPr>
                <w:szCs w:val="18"/>
                <w:lang w:val="es-ES_tradnl"/>
              </w:rPr>
            </w:pPr>
            <w:bookmarkStart w:id="101" w:name="_Toc431824283"/>
            <w:r w:rsidRPr="00C83BDF">
              <w:rPr>
                <w:szCs w:val="18"/>
                <w:lang w:val="es-ES_tradnl"/>
              </w:rPr>
              <w:t>e)  Participación en actividades de la UPOV de fomento de la sensibilización o actividades en las que toma parte el personal de la UPOV o formadores en nombre del personal de la UPOV</w:t>
            </w:r>
            <w:bookmarkEnd w:id="101"/>
          </w:p>
          <w:p w:rsidR="00E65183" w:rsidRPr="00C83BDF" w:rsidRDefault="00C95336" w:rsidP="004737CD">
            <w:pPr>
              <w:rPr>
                <w:sz w:val="18"/>
                <w:szCs w:val="18"/>
                <w:lang w:val="es-ES_tradnl"/>
              </w:rPr>
            </w:pPr>
            <w:r w:rsidRPr="00C83BDF">
              <w:rPr>
                <w:sz w:val="18"/>
                <w:szCs w:val="18"/>
                <w:lang w:val="es-ES_tradnl"/>
              </w:rPr>
              <w:t>1)  Actividades organizadas por la UPOV o conjuntamente con ella:</w:t>
            </w:r>
          </w:p>
          <w:p w:rsidR="00E65183" w:rsidRPr="00C83BDF" w:rsidRDefault="00E65183" w:rsidP="004737CD">
            <w:pPr>
              <w:rPr>
                <w:sz w:val="18"/>
                <w:szCs w:val="18"/>
                <w:lang w:val="es-ES_tradnl"/>
              </w:rPr>
            </w:pPr>
          </w:p>
          <w:p w:rsidR="00E65183" w:rsidRPr="00C83BDF" w:rsidRDefault="00C95336" w:rsidP="007D1D1A">
            <w:pPr>
              <w:numPr>
                <w:ilvl w:val="0"/>
                <w:numId w:val="5"/>
              </w:numPr>
              <w:tabs>
                <w:tab w:val="left" w:pos="459"/>
              </w:tabs>
              <w:spacing w:after="60"/>
              <w:jc w:val="left"/>
              <w:rPr>
                <w:rFonts w:cs="Arial"/>
                <w:color w:val="000000"/>
                <w:sz w:val="18"/>
                <w:szCs w:val="18"/>
                <w:lang w:val="es-ES_tradnl"/>
              </w:rPr>
            </w:pPr>
            <w:r w:rsidRPr="00C83BDF">
              <w:rPr>
                <w:rFonts w:cs="Arial"/>
                <w:color w:val="000000"/>
                <w:sz w:val="18"/>
                <w:szCs w:val="18"/>
                <w:lang w:val="es-ES_tradnl"/>
              </w:rPr>
              <w:t>Curso nacional de formación para expertos en el examen DHE titulado “Armonización de los trabajos de distinción, homogeneidad y estabilidad de nuevas variedades para los centros acreditados por la OCVV, normativa españo</w:t>
            </w:r>
            <w:r w:rsidR="00450139">
              <w:rPr>
                <w:rFonts w:cs="Arial"/>
                <w:color w:val="000000"/>
                <w:sz w:val="18"/>
                <w:szCs w:val="18"/>
                <w:lang w:val="es-ES_tradnl"/>
              </w:rPr>
              <w:t>la, de la UE y de la UPOV”, San </w:t>
            </w:r>
            <w:r w:rsidRPr="00C83BDF">
              <w:rPr>
                <w:rFonts w:cs="Arial"/>
                <w:color w:val="000000"/>
                <w:sz w:val="18"/>
                <w:szCs w:val="18"/>
                <w:lang w:val="es-ES_tradnl"/>
              </w:rPr>
              <w:t>Fernando de Henares (España)</w:t>
            </w:r>
            <w:r w:rsidR="00C622D6" w:rsidRPr="00C83BDF">
              <w:rPr>
                <w:rFonts w:cs="Arial"/>
                <w:color w:val="000000"/>
                <w:sz w:val="18"/>
                <w:szCs w:val="18"/>
                <w:lang w:val="es-ES_tradnl"/>
              </w:rPr>
              <w:t>,</w:t>
            </w:r>
            <w:r w:rsidRPr="00C83BDF">
              <w:rPr>
                <w:rFonts w:cs="Arial"/>
                <w:color w:val="000000"/>
                <w:sz w:val="18"/>
                <w:szCs w:val="18"/>
                <w:lang w:val="es-ES_tradnl"/>
              </w:rPr>
              <w:t xml:space="preserve"> febrero</w:t>
            </w:r>
            <w:r w:rsidR="00C622D6" w:rsidRPr="00C83BDF">
              <w:rPr>
                <w:rFonts w:cs="Arial"/>
                <w:color w:val="000000"/>
                <w:sz w:val="18"/>
                <w:szCs w:val="18"/>
                <w:lang w:val="es-ES_tradnl"/>
              </w:rPr>
              <w:t xml:space="preserve"> de</w:t>
            </w:r>
            <w:r w:rsidRPr="00C83BDF">
              <w:rPr>
                <w:rFonts w:cs="Arial"/>
                <w:color w:val="000000"/>
                <w:sz w:val="18"/>
                <w:szCs w:val="18"/>
                <w:lang w:val="es-ES_tradnl"/>
              </w:rPr>
              <w:t> 2014</w:t>
            </w:r>
          </w:p>
          <w:p w:rsidR="00E65183" w:rsidRPr="00C83BDF" w:rsidRDefault="00C622D6" w:rsidP="007D1D1A">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 xml:space="preserve">Visita de estudio del </w:t>
            </w:r>
            <w:r w:rsidRPr="00C83BDF">
              <w:rPr>
                <w:i/>
                <w:color w:val="000000"/>
                <w:sz w:val="18"/>
                <w:szCs w:val="18"/>
                <w:lang w:val="es-ES_tradnl"/>
              </w:rPr>
              <w:t>Groupement technique horticole de Genève</w:t>
            </w:r>
            <w:r w:rsidRPr="00C83BDF">
              <w:rPr>
                <w:color w:val="000000"/>
                <w:sz w:val="18"/>
                <w:szCs w:val="18"/>
                <w:lang w:val="es-ES_tradnl"/>
              </w:rPr>
              <w:t xml:space="preserve"> a la sede de la UPOV, febrero de 2014</w:t>
            </w:r>
          </w:p>
          <w:p w:rsidR="00E65183" w:rsidRPr="00C83BDF" w:rsidRDefault="00C622D6" w:rsidP="007D1D1A">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Taller previo al congreso sobre “Sistemas internacionales para crear un entorno propicio a la seguridad alimentaria y el desarrollo económico fortaleciendo al sector semillero”, Túnez (Túnez), marzo de 2014</w:t>
            </w:r>
          </w:p>
          <w:p w:rsidR="00E65183" w:rsidRPr="00C83BDF" w:rsidRDefault="00C622D6" w:rsidP="007D1D1A">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 xml:space="preserve">Séptima </w:t>
            </w:r>
            <w:r w:rsidR="007D1D1A" w:rsidRPr="00C83BDF">
              <w:rPr>
                <w:color w:val="000000"/>
                <w:sz w:val="18"/>
                <w:szCs w:val="18"/>
                <w:lang w:val="es-ES_tradnl"/>
              </w:rPr>
              <w:t xml:space="preserve">reunión anual </w:t>
            </w:r>
            <w:r w:rsidRPr="00C83BDF">
              <w:rPr>
                <w:color w:val="000000"/>
                <w:sz w:val="18"/>
                <w:szCs w:val="18"/>
                <w:lang w:val="es-ES_tradnl"/>
              </w:rPr>
              <w:t>del Foro EAPVP, Vientián (República Democrática Popular Lao), agosto de 2014</w:t>
            </w:r>
          </w:p>
          <w:p w:rsidR="00E65183" w:rsidRPr="00C83BDF" w:rsidRDefault="00C622D6" w:rsidP="007D1D1A">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Simposio “El fitomejoramiento y la protección de los derechos de obtentor son claves para el desarrollo agrícola”, Vientián (República Democrática Popular Lao), agosto de 2014</w:t>
            </w:r>
          </w:p>
          <w:p w:rsidR="00E65183" w:rsidRPr="00C83BDF" w:rsidRDefault="00C622D6" w:rsidP="007D1D1A">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Seminario y taller sobre la protección de las obtenciones vegetales, Quevedo (Ecuador), octubre de 2014</w:t>
            </w:r>
          </w:p>
          <w:p w:rsidR="00E65183" w:rsidRPr="00C83BDF" w:rsidRDefault="00185C52" w:rsidP="007D1D1A">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Taller sobre aplicación de un régimen de protección de las variedades vegetales y sensibilización, Skopie (ex República Yugoslava de Macedonia), octubre de 2014</w:t>
            </w:r>
          </w:p>
          <w:p w:rsidR="00E65183" w:rsidRPr="00C83BDF" w:rsidRDefault="00185C52" w:rsidP="007D1D1A">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Taller regional sobre el proyecto de Protocolo de la ARIPO para la Protección de las Obtenciones Vegetales, Harare (Zimbabwe), octubre de 2014</w:t>
            </w:r>
          </w:p>
          <w:p w:rsidR="00E65183" w:rsidRPr="00C83BDF" w:rsidRDefault="00185C52" w:rsidP="007D1D1A">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Taller conjunto OCDE</w:t>
            </w:r>
            <w:r w:rsidRPr="00C83BDF">
              <w:rPr>
                <w:color w:val="000000"/>
                <w:sz w:val="18"/>
                <w:szCs w:val="18"/>
                <w:lang w:val="es-ES_tradnl"/>
              </w:rPr>
              <w:noBreakHyphen/>
              <w:t>UPOV</w:t>
            </w:r>
            <w:r w:rsidRPr="00C83BDF">
              <w:rPr>
                <w:color w:val="000000"/>
                <w:sz w:val="18"/>
                <w:szCs w:val="18"/>
                <w:lang w:val="es-ES_tradnl"/>
              </w:rPr>
              <w:noBreakHyphen/>
              <w:t>ISTA sobre técnicas moleculares, Seúl (República de Corea), noviembre de 2014</w:t>
            </w:r>
          </w:p>
          <w:p w:rsidR="00E65183" w:rsidRPr="00C83BDF" w:rsidRDefault="00185C52" w:rsidP="007D1D1A">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Curso de formación “Aportación de datos a la base de datos PLUTO”, Ginebra (Suiza)</w:t>
            </w:r>
            <w:r w:rsidR="007D1D1A" w:rsidRPr="00C83BDF">
              <w:rPr>
                <w:color w:val="000000"/>
                <w:sz w:val="18"/>
                <w:szCs w:val="18"/>
                <w:lang w:val="es-ES_tradnl"/>
              </w:rPr>
              <w:t>,</w:t>
            </w:r>
            <w:r w:rsidRPr="00C83BDF">
              <w:rPr>
                <w:color w:val="000000"/>
                <w:sz w:val="18"/>
                <w:szCs w:val="18"/>
                <w:lang w:val="es-ES_tradnl"/>
              </w:rPr>
              <w:t xml:space="preserve"> diciembre de 2014</w:t>
            </w:r>
          </w:p>
          <w:p w:rsidR="00E65183" w:rsidRPr="00C83BDF" w:rsidRDefault="00185C52" w:rsidP="007D1D1A">
            <w:pPr>
              <w:numPr>
                <w:ilvl w:val="0"/>
                <w:numId w:val="5"/>
              </w:numPr>
              <w:tabs>
                <w:tab w:val="left" w:pos="459"/>
              </w:tabs>
              <w:spacing w:after="60"/>
              <w:jc w:val="left"/>
              <w:rPr>
                <w:color w:val="000000"/>
                <w:sz w:val="18"/>
                <w:szCs w:val="18"/>
                <w:lang w:val="es-ES_tradnl"/>
              </w:rPr>
            </w:pPr>
            <w:r w:rsidRPr="00C83BDF">
              <w:rPr>
                <w:sz w:val="18"/>
                <w:szCs w:val="18"/>
                <w:lang w:val="es-ES_tradnl"/>
              </w:rPr>
              <w:t>Curso de formación de capacitadores para países iberoamericanos:</w:t>
            </w:r>
            <w:r w:rsidR="00D94EA2" w:rsidRPr="00C83BDF">
              <w:rPr>
                <w:color w:val="000000"/>
                <w:sz w:val="18"/>
                <w:szCs w:val="18"/>
                <w:lang w:val="es-ES_tradnl"/>
              </w:rPr>
              <w:t xml:space="preserve">  </w:t>
            </w:r>
            <w:r w:rsidRPr="00C83BDF">
              <w:rPr>
                <w:color w:val="000000"/>
                <w:sz w:val="18"/>
                <w:szCs w:val="18"/>
                <w:lang w:val="es-ES_tradnl"/>
              </w:rPr>
              <w:t>protección de obtenciones vegetales según el Convenio de la UPOV y formas complementarias de propiedad intelectual, Montevideo (Uruguay), diciembre de 2014</w:t>
            </w:r>
          </w:p>
          <w:p w:rsidR="00E65183" w:rsidRPr="00C83BDF" w:rsidRDefault="00185C52" w:rsidP="007D1D1A">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Seminario sobre fitomejoramiento en el Perú con arreglo al Convenio de la UPOV, Lima (Perú), diciembre de 2014</w:t>
            </w:r>
          </w:p>
          <w:p w:rsidR="00E65183" w:rsidRPr="00C83BDF" w:rsidRDefault="00E65183" w:rsidP="004737CD">
            <w:pPr>
              <w:rPr>
                <w:sz w:val="18"/>
                <w:szCs w:val="18"/>
                <w:lang w:val="es-ES_tradnl"/>
              </w:rPr>
            </w:pPr>
          </w:p>
          <w:p w:rsidR="00E65183" w:rsidRPr="00C83BDF" w:rsidRDefault="00185C52" w:rsidP="004737CD">
            <w:pPr>
              <w:rPr>
                <w:sz w:val="18"/>
                <w:szCs w:val="18"/>
                <w:lang w:val="es-ES_tradnl"/>
              </w:rPr>
            </w:pPr>
            <w:r w:rsidRPr="00C83BDF">
              <w:rPr>
                <w:sz w:val="18"/>
                <w:szCs w:val="18"/>
                <w:lang w:val="es-ES_tradnl"/>
              </w:rPr>
              <w:t>2)  Actividades/reuniones en las que participó la UPOV:</w:t>
            </w:r>
          </w:p>
          <w:p w:rsidR="00E65183" w:rsidRPr="00C83BDF" w:rsidRDefault="00E65183" w:rsidP="004737CD">
            <w:pPr>
              <w:rPr>
                <w:sz w:val="18"/>
                <w:szCs w:val="18"/>
                <w:lang w:val="es-ES_tradnl"/>
              </w:rPr>
            </w:pPr>
          </w:p>
          <w:p w:rsidR="00E65183" w:rsidRPr="00C83BDF" w:rsidRDefault="001E4282" w:rsidP="007D1D1A">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Reuniones de los sistemas de semillas de la OCDE, Edimburgo (Reino Unido), enero de 2014</w:t>
            </w:r>
          </w:p>
          <w:p w:rsidR="00E65183" w:rsidRPr="00C83BDF" w:rsidRDefault="001E4282" w:rsidP="007D1D1A">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Vigésima sexta sesión del CIG de la OMPI, Ginebra (Suiza), febrero de 2014</w:t>
            </w:r>
          </w:p>
          <w:p w:rsidR="00E65183" w:rsidRPr="00C83BDF" w:rsidRDefault="001E4282" w:rsidP="00C1528E">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Tercera reunión del Comité Intergubernamental Especial de Composición Abierta para el Protocolo de Nagoya sobre Acceso a los Recursos Genéticos y Participación Justa y Equitativa en los Beneficios que se Deriven de su Utilización (CIPE</w:t>
            </w:r>
            <w:r w:rsidR="00C1528E" w:rsidRPr="00C83BDF">
              <w:rPr>
                <w:color w:val="000000"/>
                <w:sz w:val="18"/>
                <w:szCs w:val="18"/>
                <w:lang w:val="es-ES_tradnl"/>
              </w:rPr>
              <w:noBreakHyphen/>
            </w:r>
            <w:r w:rsidRPr="00C83BDF">
              <w:rPr>
                <w:color w:val="000000"/>
                <w:sz w:val="18"/>
                <w:szCs w:val="18"/>
                <w:lang w:val="es-ES_tradnl"/>
              </w:rPr>
              <w:t>3), Pyeongchang (República de Corea), febrero de 2014</w:t>
            </w:r>
          </w:p>
          <w:p w:rsidR="00E65183" w:rsidRPr="00C83BDF" w:rsidRDefault="001E4282" w:rsidP="00C1528E">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Reunión del Consejo de los ADPIC, Ginebra</w:t>
            </w:r>
            <w:r w:rsidR="004D1A8C" w:rsidRPr="00C83BDF">
              <w:rPr>
                <w:color w:val="000000"/>
                <w:sz w:val="18"/>
                <w:szCs w:val="18"/>
                <w:lang w:val="es-ES_tradnl"/>
              </w:rPr>
              <w:t xml:space="preserve"> (</w:t>
            </w:r>
            <w:r w:rsidRPr="00C83BDF">
              <w:rPr>
                <w:color w:val="000000"/>
                <w:sz w:val="18"/>
                <w:szCs w:val="18"/>
                <w:lang w:val="es-ES_tradnl"/>
              </w:rPr>
              <w:t>Suiza</w:t>
            </w:r>
            <w:r w:rsidR="004D1A8C" w:rsidRPr="00C83BDF">
              <w:rPr>
                <w:color w:val="000000"/>
                <w:sz w:val="18"/>
                <w:szCs w:val="18"/>
                <w:lang w:val="es-ES_tradnl"/>
              </w:rPr>
              <w:t xml:space="preserve">), </w:t>
            </w:r>
            <w:r w:rsidRPr="00C83BDF">
              <w:rPr>
                <w:color w:val="000000"/>
                <w:sz w:val="18"/>
                <w:szCs w:val="18"/>
                <w:lang w:val="es-ES_tradnl"/>
              </w:rPr>
              <w:t>febrero</w:t>
            </w:r>
            <w:r w:rsidR="004D1A8C" w:rsidRPr="00C83BDF">
              <w:rPr>
                <w:color w:val="000000"/>
                <w:sz w:val="18"/>
                <w:szCs w:val="18"/>
                <w:lang w:val="es-ES_tradnl"/>
              </w:rPr>
              <w:t xml:space="preserve"> de 2014</w:t>
            </w:r>
          </w:p>
          <w:p w:rsidR="00E65183" w:rsidRPr="00C83BDF" w:rsidRDefault="004D1A8C" w:rsidP="00AB20E5">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Sesión de sensibilización de alto nivel sobre la Armonización internacional del sistema de protección de las variedades vegetales, Putrajaya (Malasia), febrero de 2014</w:t>
            </w:r>
          </w:p>
          <w:p w:rsidR="00E65183" w:rsidRPr="00C83BDF" w:rsidRDefault="004D1A8C" w:rsidP="00AB20E5">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 xml:space="preserve">Decimocuarto </w:t>
            </w:r>
            <w:r w:rsidR="00AB20E5" w:rsidRPr="00C83BDF">
              <w:rPr>
                <w:color w:val="000000"/>
                <w:sz w:val="18"/>
                <w:szCs w:val="18"/>
                <w:lang w:val="es-ES_tradnl"/>
              </w:rPr>
              <w:t xml:space="preserve">congreso anual </w:t>
            </w:r>
            <w:r w:rsidRPr="00C83BDF">
              <w:rPr>
                <w:color w:val="000000"/>
                <w:sz w:val="18"/>
                <w:szCs w:val="18"/>
                <w:lang w:val="es-ES_tradnl"/>
              </w:rPr>
              <w:t>de la AFSTA, Túnez (Túnez), marzo de 2014</w:t>
            </w:r>
          </w:p>
          <w:p w:rsidR="00E65183" w:rsidRPr="00C83BDF" w:rsidRDefault="004D1A8C" w:rsidP="00AB20E5">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Taller de la OMC acerca del Acuerdo sobre los ADPIC y las cuestiones que atañen a la P.I., Port Louis (Mauricio), marzo de 2014</w:t>
            </w:r>
          </w:p>
          <w:p w:rsidR="00E65183" w:rsidRPr="00C83BDF" w:rsidRDefault="004D1A8C" w:rsidP="00AB20E5">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Consejo Administrativo de la OCVV, Nitra (Eslovaquia), marzo de 2014</w:t>
            </w:r>
          </w:p>
          <w:p w:rsidR="00E65183" w:rsidRPr="00C83BDF" w:rsidRDefault="004D1A8C" w:rsidP="00AB20E5">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Programa conjunto OMPI</w:t>
            </w:r>
            <w:r w:rsidRPr="00C83BDF">
              <w:rPr>
                <w:color w:val="000000"/>
                <w:sz w:val="18"/>
                <w:szCs w:val="18"/>
                <w:lang w:val="es-ES_tradnl"/>
              </w:rPr>
              <w:noBreakHyphen/>
              <w:t xml:space="preserve">UBIS para un grupo de alumnos de doctorado de la Universidad Nacional Euroasiática </w:t>
            </w:r>
            <w:r w:rsidR="00796CE1" w:rsidRPr="00C83BDF">
              <w:rPr>
                <w:color w:val="000000"/>
                <w:sz w:val="18"/>
                <w:szCs w:val="18"/>
                <w:lang w:val="es-ES_tradnl"/>
              </w:rPr>
              <w:t>L. N.</w:t>
            </w:r>
            <w:r w:rsidRPr="00C83BDF">
              <w:rPr>
                <w:color w:val="000000"/>
                <w:sz w:val="18"/>
                <w:szCs w:val="18"/>
                <w:lang w:val="es-ES_tradnl"/>
              </w:rPr>
              <w:t> Gumilyov de Kazajstán, Ginebra (Suiza), marzo de 2014</w:t>
            </w:r>
          </w:p>
          <w:p w:rsidR="00E65183" w:rsidRPr="00C83BDF" w:rsidRDefault="004D1A8C" w:rsidP="00AB20E5">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Vigésima séptima sesión del CIG de la OMPI, Ginebra (Suiza), marzo de 2014</w:t>
            </w:r>
          </w:p>
          <w:p w:rsidR="00E65183" w:rsidRPr="00C83BDF" w:rsidRDefault="004D1A8C" w:rsidP="00AB20E5">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Asamblea General de la OMA, Buenos Aires (Argentina), marzo de 2014</w:t>
            </w:r>
          </w:p>
          <w:p w:rsidR="00E65183" w:rsidRPr="00C83BDF" w:rsidRDefault="004D1A8C" w:rsidP="00AB20E5">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Reunión anual general de la CIOPORA, La Haya (Países Bajos), abril de 2014</w:t>
            </w:r>
          </w:p>
          <w:p w:rsidR="00E65183" w:rsidRDefault="004D1A8C" w:rsidP="00AB20E5">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Sesiones informativas con funcionarios de la OAPI, Yaundé (Camerún), abril de 2014</w:t>
            </w:r>
          </w:p>
          <w:p w:rsidR="00450139" w:rsidRPr="00C83BDF" w:rsidRDefault="00450139" w:rsidP="00450139">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Reunión del Grupo de Trabajo Técnico del Sistema de la OCDE de certificación del material forestal de reproducción destinado al comercio internacional, París (Francia), abril de 2014</w:t>
            </w:r>
          </w:p>
          <w:p w:rsidR="00450139" w:rsidRPr="00450139" w:rsidRDefault="00450139" w:rsidP="00450139">
            <w:pPr>
              <w:numPr>
                <w:ilvl w:val="0"/>
                <w:numId w:val="5"/>
              </w:numPr>
              <w:tabs>
                <w:tab w:val="left" w:pos="459"/>
              </w:tabs>
              <w:spacing w:after="60"/>
              <w:jc w:val="left"/>
              <w:rPr>
                <w:sz w:val="18"/>
                <w:szCs w:val="18"/>
                <w:lang w:val="es-ES_tradnl"/>
              </w:rPr>
            </w:pPr>
            <w:r w:rsidRPr="00C83BDF">
              <w:rPr>
                <w:color w:val="000000"/>
                <w:sz w:val="18"/>
                <w:szCs w:val="18"/>
                <w:lang w:val="es-ES_tradnl"/>
              </w:rPr>
              <w:t>Quinta edición de la Maestría OMPI</w:t>
            </w:r>
            <w:r w:rsidRPr="00C83BDF">
              <w:rPr>
                <w:color w:val="000000"/>
                <w:sz w:val="18"/>
                <w:szCs w:val="18"/>
                <w:lang w:val="es-ES_tradnl"/>
              </w:rPr>
              <w:noBreakHyphen/>
              <w:t>QUT en Derecho de Propiedad Intelectual, Brisbane (Australia), mayo de 2014</w:t>
            </w:r>
          </w:p>
        </w:tc>
      </w:tr>
      <w:tr w:rsidR="00E65183" w:rsidRPr="00C83BDF" w:rsidTr="00450139">
        <w:trPr>
          <w:trHeight w:val="442"/>
        </w:trPr>
        <w:tc>
          <w:tcPr>
            <w:tcW w:w="1951" w:type="dxa"/>
            <w:shd w:val="clear" w:color="auto" w:fill="auto"/>
          </w:tcPr>
          <w:p w:rsidR="00E65183" w:rsidRPr="00C83BDF" w:rsidRDefault="004D1A8C" w:rsidP="00450139">
            <w:pPr>
              <w:rPr>
                <w:b/>
                <w:sz w:val="18"/>
                <w:lang w:val="es-ES_tradnl"/>
              </w:rPr>
            </w:pPr>
            <w:r w:rsidRPr="00C83BDF">
              <w:rPr>
                <w:b/>
                <w:sz w:val="18"/>
                <w:lang w:val="es-ES_tradnl"/>
              </w:rPr>
              <w:t>Resultados previstos</w:t>
            </w:r>
          </w:p>
        </w:tc>
        <w:tc>
          <w:tcPr>
            <w:tcW w:w="7938" w:type="dxa"/>
            <w:shd w:val="clear" w:color="auto" w:fill="auto"/>
          </w:tcPr>
          <w:p w:rsidR="00E65183" w:rsidRPr="00C83BDF" w:rsidRDefault="004D1A8C" w:rsidP="00450139">
            <w:pPr>
              <w:rPr>
                <w:b/>
                <w:sz w:val="18"/>
                <w:lang w:val="es-ES_tradnl"/>
              </w:rPr>
            </w:pPr>
            <w:r w:rsidRPr="00C83BDF">
              <w:rPr>
                <w:b/>
                <w:sz w:val="18"/>
                <w:lang w:val="es-ES_tradnl"/>
              </w:rPr>
              <w:t>Resultados alcanzados:</w:t>
            </w:r>
            <w:r w:rsidR="00E65183" w:rsidRPr="00C83BDF">
              <w:rPr>
                <w:b/>
                <w:sz w:val="18"/>
                <w:lang w:val="es-ES_tradnl"/>
              </w:rPr>
              <w:t xml:space="preserve">  </w:t>
            </w:r>
            <w:r w:rsidRPr="00C83BDF">
              <w:rPr>
                <w:b/>
                <w:sz w:val="18"/>
                <w:lang w:val="es-ES_tradnl"/>
              </w:rPr>
              <w:t>indicadores de rendimiento</w:t>
            </w:r>
          </w:p>
        </w:tc>
      </w:tr>
      <w:tr w:rsidR="00E65183" w:rsidRPr="00C83BDF">
        <w:tc>
          <w:tcPr>
            <w:tcW w:w="1951" w:type="dxa"/>
          </w:tcPr>
          <w:p w:rsidR="00E65183" w:rsidRPr="00C83BDF" w:rsidRDefault="00E65183" w:rsidP="004737CD">
            <w:pPr>
              <w:jc w:val="left"/>
              <w:rPr>
                <w:sz w:val="18"/>
                <w:szCs w:val="18"/>
                <w:lang w:val="es-ES_tradnl"/>
              </w:rPr>
            </w:pPr>
            <w:r w:rsidRPr="00C83BDF">
              <w:rPr>
                <w:i/>
                <w:sz w:val="18"/>
                <w:szCs w:val="18"/>
                <w:lang w:val="es-ES_tradnl"/>
              </w:rPr>
              <w:t xml:space="preserve">1.  </w:t>
            </w:r>
            <w:r w:rsidR="009E1D3A" w:rsidRPr="00C83BDF">
              <w:rPr>
                <w:i/>
                <w:sz w:val="18"/>
                <w:szCs w:val="18"/>
                <w:lang w:val="es-ES_tradnl"/>
              </w:rPr>
              <w:t xml:space="preserve">Fomento de la sensibilización acerca del papel de la protección de las variedades vegetales con arreglo al Convenio de la UPOV </w:t>
            </w:r>
            <w:r w:rsidR="009E1D3A" w:rsidRPr="00C83BDF">
              <w:rPr>
                <w:sz w:val="18"/>
                <w:szCs w:val="18"/>
                <w:lang w:val="es-ES_tradnl"/>
              </w:rPr>
              <w:t>(continuación)</w:t>
            </w:r>
          </w:p>
        </w:tc>
        <w:tc>
          <w:tcPr>
            <w:tcW w:w="7938" w:type="dxa"/>
          </w:tcPr>
          <w:p w:rsidR="00671D1C" w:rsidRPr="00C83BDF" w:rsidRDefault="00671D1C" w:rsidP="00671D1C">
            <w:pPr>
              <w:numPr>
                <w:ilvl w:val="0"/>
                <w:numId w:val="5"/>
              </w:numPr>
              <w:tabs>
                <w:tab w:val="left" w:pos="459"/>
              </w:tabs>
              <w:spacing w:after="60"/>
              <w:jc w:val="left"/>
              <w:rPr>
                <w:sz w:val="18"/>
                <w:szCs w:val="18"/>
                <w:lang w:val="es-ES_tradnl"/>
              </w:rPr>
            </w:pPr>
            <w:r w:rsidRPr="00C83BDF">
              <w:rPr>
                <w:color w:val="000000"/>
                <w:sz w:val="18"/>
                <w:szCs w:val="18"/>
                <w:lang w:val="es-ES_tradnl"/>
              </w:rPr>
              <w:t>Congreso Mundial de Semillas de 2014 de la ISF, Beijing (China), mayo de 2014</w:t>
            </w:r>
          </w:p>
          <w:p w:rsidR="00E65183" w:rsidRPr="00C83BDF" w:rsidRDefault="009E1D3A" w:rsidP="00702D1C">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Conferencia internacional “Sobre las principales reservas para aplicar el programa alimentario en Uzbekistán”, Tashkent (Uzbekistán), junio de 2014</w:t>
            </w:r>
          </w:p>
          <w:p w:rsidR="00E65183" w:rsidRPr="00C83BDF" w:rsidRDefault="009E1D3A" w:rsidP="00702D1C">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Reunión anual de los sistemas de semillas de la OCDE, Zagreb (Croacia), junio de 2014</w:t>
            </w:r>
          </w:p>
          <w:p w:rsidR="00E65183" w:rsidRPr="00C83BDF" w:rsidRDefault="009E1D3A" w:rsidP="00702D1C">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Reunión del Consejo de los ADPIC, Ginebra (Suiza), junio de 2014</w:t>
            </w:r>
          </w:p>
          <w:p w:rsidR="00E65183" w:rsidRPr="00C83BDF" w:rsidRDefault="009E1D3A" w:rsidP="00702D1C">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XVII Curso internacional sobre protección de las variedades vegetales (Naktuinbouw 2014), Wageningen (Países Bajos), junio de 2014</w:t>
            </w:r>
          </w:p>
          <w:p w:rsidR="00E65183" w:rsidRPr="00C83BDF" w:rsidRDefault="009E1D3A" w:rsidP="00702D1C">
            <w:pPr>
              <w:numPr>
                <w:ilvl w:val="0"/>
                <w:numId w:val="5"/>
              </w:numPr>
              <w:tabs>
                <w:tab w:val="left" w:pos="459"/>
              </w:tabs>
              <w:spacing w:after="60"/>
              <w:jc w:val="left"/>
              <w:rPr>
                <w:color w:val="000000"/>
                <w:sz w:val="18"/>
                <w:szCs w:val="18"/>
                <w:lang w:val="es-ES_tradnl"/>
              </w:rPr>
            </w:pPr>
            <w:r w:rsidRPr="00C83BDF">
              <w:rPr>
                <w:sz w:val="18"/>
                <w:szCs w:val="18"/>
                <w:lang w:val="es-ES_tradnl"/>
              </w:rPr>
              <w:t>Coloquio OMPI</w:t>
            </w:r>
            <w:r w:rsidRPr="00C83BDF">
              <w:rPr>
                <w:sz w:val="18"/>
                <w:szCs w:val="18"/>
                <w:lang w:val="es-ES_tradnl"/>
              </w:rPr>
              <w:noBreakHyphen/>
              <w:t>OMC para docentes de propiedad intelectual, Ginebra (Suiza), junio de 2014</w:t>
            </w:r>
          </w:p>
          <w:p w:rsidR="00E65183" w:rsidRPr="00C83BDF" w:rsidRDefault="009E1D3A" w:rsidP="00702D1C">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Curso de verano OMPI</w:t>
            </w:r>
            <w:r w:rsidRPr="00C83BDF">
              <w:rPr>
                <w:color w:val="000000"/>
                <w:sz w:val="18"/>
                <w:szCs w:val="18"/>
                <w:lang w:val="es-ES_tradnl"/>
              </w:rPr>
              <w:noBreakHyphen/>
              <w:t>UNIGE sobre propiedad intelectual, Ginebra (Suiza), julio de 2014</w:t>
            </w:r>
          </w:p>
          <w:p w:rsidR="00E65183" w:rsidRPr="00C83BDF" w:rsidRDefault="009E1D3A" w:rsidP="00702D1C">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Curso de formación KOICA</w:t>
            </w:r>
            <w:r w:rsidRPr="00C83BDF">
              <w:rPr>
                <w:color w:val="000000"/>
                <w:sz w:val="18"/>
                <w:szCs w:val="18"/>
                <w:lang w:val="es-ES_tradnl"/>
              </w:rPr>
              <w:noBreakHyphen/>
              <w:t>KSVS “Protección de las variedades vegetales y examen DHE”, Seúl (República de Corea), junio</w:t>
            </w:r>
            <w:r w:rsidRPr="00C83BDF">
              <w:rPr>
                <w:color w:val="000000"/>
                <w:sz w:val="18"/>
                <w:szCs w:val="18"/>
                <w:lang w:val="es-ES_tradnl"/>
              </w:rPr>
              <w:noBreakHyphen/>
              <w:t>julio de 2014</w:t>
            </w:r>
          </w:p>
          <w:p w:rsidR="00E65183" w:rsidRPr="00C83BDF" w:rsidRDefault="009E1D3A" w:rsidP="00702D1C">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Celebraciones del décimo aniversario de la entrada en vigor del ITPGRFA, Ginebra (Suiza), julio de 2014</w:t>
            </w:r>
          </w:p>
          <w:p w:rsidR="00E65183" w:rsidRPr="00C83BDF" w:rsidRDefault="00F91253" w:rsidP="00702D1C">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Vigésima octava sesión del CIG de la OMPI, Ginebra (Suiza), julio de 2014</w:t>
            </w:r>
          </w:p>
          <w:p w:rsidR="00E65183" w:rsidRPr="00C83BDF" w:rsidRDefault="00F91253" w:rsidP="00702D1C">
            <w:pPr>
              <w:numPr>
                <w:ilvl w:val="0"/>
                <w:numId w:val="5"/>
              </w:numPr>
              <w:tabs>
                <w:tab w:val="left" w:pos="459"/>
              </w:tabs>
              <w:spacing w:after="60"/>
              <w:jc w:val="left"/>
              <w:rPr>
                <w:color w:val="000000"/>
                <w:sz w:val="18"/>
                <w:szCs w:val="18"/>
                <w:lang w:val="es-ES_tradnl"/>
              </w:rPr>
            </w:pPr>
            <w:r w:rsidRPr="00C83BDF">
              <w:rPr>
                <w:i/>
                <w:color w:val="000000"/>
                <w:sz w:val="18"/>
                <w:szCs w:val="18"/>
                <w:lang w:val="es-ES_tradnl"/>
              </w:rPr>
              <w:t>10K Seed Company Convening</w:t>
            </w:r>
            <w:r w:rsidRPr="00C83BDF">
              <w:rPr>
                <w:color w:val="000000"/>
                <w:sz w:val="18"/>
                <w:szCs w:val="18"/>
                <w:lang w:val="es-ES_tradnl"/>
              </w:rPr>
              <w:t xml:space="preserve"> de la AGRA, Kampala (Uganda), julio de 2014</w:t>
            </w:r>
          </w:p>
          <w:p w:rsidR="00E65183" w:rsidRPr="00C83BDF" w:rsidRDefault="00F91253" w:rsidP="00702D1C">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Séptima sesión del Grupo de Trabajo Técnico Intergubernamental sobre los Recursos Fitogenéticos para la Alimentación y la Agricultura de la CRGAA de la FAO, Roma (Italia), julio de 2014</w:t>
            </w:r>
          </w:p>
          <w:p w:rsidR="00E65183" w:rsidRPr="00C83BDF" w:rsidRDefault="00F91253" w:rsidP="00702D1C">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Reunión en la sede del Naktuinbouw para examinar las novedades producidas en los Países Bajos y la UPOV, Roelofarendsveen (Países Bajos), julio de 2014</w:t>
            </w:r>
          </w:p>
          <w:p w:rsidR="00E65183" w:rsidRPr="00C83BDF" w:rsidRDefault="00682848" w:rsidP="00702D1C">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 xml:space="preserve">Curso de formación de la JICA </w:t>
            </w:r>
            <w:r w:rsidR="00F91253" w:rsidRPr="00C83BDF">
              <w:rPr>
                <w:color w:val="000000"/>
                <w:sz w:val="18"/>
                <w:szCs w:val="18"/>
                <w:lang w:val="es-ES_tradnl"/>
              </w:rPr>
              <w:t>“Sistema de control de la calidad de las semillas y plántulas para facilitar la distribuci</w:t>
            </w:r>
            <w:r w:rsidRPr="00C83BDF">
              <w:rPr>
                <w:color w:val="000000"/>
                <w:sz w:val="18"/>
                <w:szCs w:val="18"/>
                <w:lang w:val="es-ES_tradnl"/>
              </w:rPr>
              <w:t>ón de semillas de alta calidad”</w:t>
            </w:r>
            <w:r w:rsidR="00F91253" w:rsidRPr="00C83BDF">
              <w:rPr>
                <w:color w:val="000000"/>
                <w:sz w:val="18"/>
                <w:szCs w:val="18"/>
                <w:lang w:val="es-ES_tradnl"/>
              </w:rPr>
              <w:t>, Tsukuba (Japón), agosto de 2014</w:t>
            </w:r>
          </w:p>
          <w:p w:rsidR="00E65183" w:rsidRPr="00C83BDF" w:rsidRDefault="00F91253" w:rsidP="00702D1C">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 xml:space="preserve">Seminario sobre </w:t>
            </w:r>
            <w:r w:rsidR="00DA1ACF" w:rsidRPr="00C83BDF">
              <w:rPr>
                <w:color w:val="000000"/>
                <w:sz w:val="18"/>
                <w:szCs w:val="18"/>
                <w:lang w:val="es-ES_tradnl"/>
              </w:rPr>
              <w:t>protección al derecho de obtentor</w:t>
            </w:r>
            <w:r w:rsidRPr="00C83BDF">
              <w:rPr>
                <w:color w:val="000000"/>
                <w:sz w:val="18"/>
                <w:szCs w:val="18"/>
                <w:lang w:val="es-ES_tradnl"/>
              </w:rPr>
              <w:t>, Ciudad de México (México), agosto de 2014</w:t>
            </w:r>
          </w:p>
          <w:p w:rsidR="00E65183" w:rsidRPr="00C83BDF" w:rsidRDefault="00F91253" w:rsidP="00702D1C">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 xml:space="preserve">X Taller </w:t>
            </w:r>
            <w:r w:rsidR="00DA1ACF" w:rsidRPr="00C83BDF">
              <w:rPr>
                <w:color w:val="000000"/>
                <w:sz w:val="18"/>
                <w:szCs w:val="18"/>
                <w:lang w:val="es-ES_tradnl"/>
              </w:rPr>
              <w:t xml:space="preserve">internacional de evaluación </w:t>
            </w:r>
            <w:r w:rsidRPr="00C83BDF">
              <w:rPr>
                <w:color w:val="000000"/>
                <w:sz w:val="18"/>
                <w:szCs w:val="18"/>
                <w:lang w:val="es-ES_tradnl"/>
              </w:rPr>
              <w:t xml:space="preserve">DHE de </w:t>
            </w:r>
            <w:r w:rsidR="00DA1ACF" w:rsidRPr="00C83BDF">
              <w:rPr>
                <w:color w:val="000000"/>
                <w:sz w:val="18"/>
                <w:szCs w:val="18"/>
                <w:lang w:val="es-ES_tradnl"/>
              </w:rPr>
              <w:t>variedades vegetales</w:t>
            </w:r>
            <w:r w:rsidRPr="00C83BDF">
              <w:rPr>
                <w:color w:val="000000"/>
                <w:sz w:val="18"/>
                <w:szCs w:val="18"/>
                <w:lang w:val="es-ES_tradnl"/>
              </w:rPr>
              <w:t>, Ciudad de México (México), agosto de 2014</w:t>
            </w:r>
          </w:p>
          <w:p w:rsidR="00E65183" w:rsidRPr="00C83BDF" w:rsidRDefault="00625127" w:rsidP="00702D1C">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Sesión informativa en la</w:t>
            </w:r>
            <w:r w:rsidR="00F91253" w:rsidRPr="00C83BDF">
              <w:rPr>
                <w:color w:val="000000"/>
                <w:sz w:val="18"/>
                <w:szCs w:val="18"/>
                <w:lang w:val="es-ES_tradnl"/>
              </w:rPr>
              <w:t xml:space="preserve"> </w:t>
            </w:r>
            <w:r w:rsidRPr="00C83BDF">
              <w:rPr>
                <w:color w:val="000000"/>
                <w:sz w:val="18"/>
                <w:szCs w:val="18"/>
                <w:lang w:val="es-ES_tradnl"/>
              </w:rPr>
              <w:t xml:space="preserve">Estación Nishi Nihon del </w:t>
            </w:r>
            <w:r w:rsidR="00F91253" w:rsidRPr="00C83BDF">
              <w:rPr>
                <w:color w:val="000000"/>
                <w:sz w:val="18"/>
                <w:szCs w:val="18"/>
                <w:lang w:val="es-ES_tradnl"/>
              </w:rPr>
              <w:t xml:space="preserve">NCSS, Kasaoka </w:t>
            </w:r>
            <w:r w:rsidRPr="00C83BDF">
              <w:rPr>
                <w:color w:val="000000"/>
                <w:sz w:val="18"/>
                <w:szCs w:val="18"/>
                <w:lang w:val="es-ES_tradnl"/>
              </w:rPr>
              <w:t>(</w:t>
            </w:r>
            <w:r w:rsidR="00F91253" w:rsidRPr="00C83BDF">
              <w:rPr>
                <w:color w:val="000000"/>
                <w:sz w:val="18"/>
                <w:szCs w:val="18"/>
                <w:lang w:val="es-ES_tradnl"/>
              </w:rPr>
              <w:t>Japón</w:t>
            </w:r>
            <w:r w:rsidRPr="00C83BDF">
              <w:rPr>
                <w:color w:val="000000"/>
                <w:sz w:val="18"/>
                <w:szCs w:val="18"/>
                <w:lang w:val="es-ES_tradnl"/>
              </w:rPr>
              <w:t>), agosto de 2014</w:t>
            </w:r>
          </w:p>
          <w:p w:rsidR="00E65183" w:rsidRPr="00C83BDF" w:rsidRDefault="00A502EE" w:rsidP="00702D1C">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Reunión del Grupo de Trabajo Técnico y reunión anual del Sistema de la OCDE para las semillas y plantas forestales, París (Francia), septiembre de 2014</w:t>
            </w:r>
          </w:p>
          <w:p w:rsidR="00E65183" w:rsidRPr="00C83BDF" w:rsidRDefault="00A502EE" w:rsidP="00702D1C">
            <w:pPr>
              <w:numPr>
                <w:ilvl w:val="0"/>
                <w:numId w:val="5"/>
              </w:numPr>
              <w:tabs>
                <w:tab w:val="left" w:pos="459"/>
              </w:tabs>
              <w:spacing w:after="60"/>
              <w:jc w:val="left"/>
              <w:rPr>
                <w:color w:val="000000"/>
                <w:sz w:val="18"/>
                <w:szCs w:val="18"/>
                <w:lang w:val="es-ES_tradnl"/>
              </w:rPr>
            </w:pPr>
            <w:r w:rsidRPr="00C83BDF">
              <w:rPr>
                <w:i/>
                <w:color w:val="000000"/>
                <w:sz w:val="18"/>
                <w:szCs w:val="18"/>
                <w:lang w:val="es-ES_tradnl"/>
              </w:rPr>
              <w:t>Le Forum francophone de l’innovation</w:t>
            </w:r>
            <w:r w:rsidRPr="00C83BDF">
              <w:rPr>
                <w:color w:val="000000"/>
                <w:sz w:val="18"/>
                <w:szCs w:val="18"/>
                <w:lang w:val="es-ES_tradnl"/>
              </w:rPr>
              <w:t>, Namur (Bélgica), septiembre de 2014</w:t>
            </w:r>
          </w:p>
          <w:p w:rsidR="00E65183" w:rsidRPr="00C83BDF" w:rsidRDefault="00A502EE" w:rsidP="00702D1C">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Reunión de directores de oficinas de la propiedad intelectual de los países del Caribe, Ginebra (Suiza), septiembre de 2014</w:t>
            </w:r>
          </w:p>
          <w:p w:rsidR="00E65183" w:rsidRPr="00C83BDF" w:rsidRDefault="00A502EE" w:rsidP="00702D1C">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Consejo Administrativo de la OCVV, Bruselas (Bélgica), octubre de 2014</w:t>
            </w:r>
          </w:p>
          <w:p w:rsidR="00E65183" w:rsidRPr="00C83BDF" w:rsidRDefault="00A502EE" w:rsidP="00702D1C">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 xml:space="preserve">Jornada </w:t>
            </w:r>
            <w:r w:rsidR="00BC19D1" w:rsidRPr="00C83BDF">
              <w:rPr>
                <w:color w:val="000000"/>
                <w:sz w:val="18"/>
                <w:szCs w:val="18"/>
                <w:lang w:val="es-ES_tradnl"/>
              </w:rPr>
              <w:t>de puertas abiertas dedicada a las variedades hortícolas</w:t>
            </w:r>
            <w:r w:rsidRPr="00C83BDF">
              <w:rPr>
                <w:color w:val="000000"/>
                <w:sz w:val="18"/>
                <w:szCs w:val="18"/>
                <w:lang w:val="es-ES_tradnl"/>
              </w:rPr>
              <w:t>, Valencia (España), octubre de 2014</w:t>
            </w:r>
          </w:p>
          <w:p w:rsidR="00E65183" w:rsidRPr="00C83BDF" w:rsidRDefault="00A502EE" w:rsidP="00702D1C">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 xml:space="preserve">Reuniones con el Ministerio de Agricultura y un taller con la </w:t>
            </w:r>
            <w:r w:rsidR="001D4B97" w:rsidRPr="00C83BDF">
              <w:rPr>
                <w:color w:val="000000"/>
                <w:sz w:val="18"/>
                <w:szCs w:val="18"/>
                <w:lang w:val="es-ES_tradnl"/>
              </w:rPr>
              <w:t xml:space="preserve">Asociación Nacional de Productores de Semillas </w:t>
            </w:r>
            <w:r w:rsidRPr="00C83BDF">
              <w:rPr>
                <w:color w:val="000000"/>
                <w:sz w:val="18"/>
                <w:szCs w:val="18"/>
                <w:lang w:val="es-ES_tradnl"/>
              </w:rPr>
              <w:t>de Chile, Santiago</w:t>
            </w:r>
            <w:r w:rsidR="00511257" w:rsidRPr="00C83BDF">
              <w:rPr>
                <w:color w:val="000000"/>
                <w:sz w:val="18"/>
                <w:szCs w:val="18"/>
                <w:lang w:val="es-ES_tradnl"/>
              </w:rPr>
              <w:t xml:space="preserve"> (</w:t>
            </w:r>
            <w:r w:rsidRPr="00C83BDF">
              <w:rPr>
                <w:color w:val="000000"/>
                <w:sz w:val="18"/>
                <w:szCs w:val="18"/>
                <w:lang w:val="es-ES_tradnl"/>
              </w:rPr>
              <w:t>Chile</w:t>
            </w:r>
            <w:r w:rsidR="00511257" w:rsidRPr="00C83BDF">
              <w:rPr>
                <w:color w:val="000000"/>
                <w:sz w:val="18"/>
                <w:szCs w:val="18"/>
                <w:lang w:val="es-ES_tradnl"/>
              </w:rPr>
              <w:t>),</w:t>
            </w:r>
            <w:r w:rsidRPr="00C83BDF">
              <w:rPr>
                <w:color w:val="000000"/>
                <w:sz w:val="18"/>
                <w:szCs w:val="18"/>
                <w:lang w:val="es-ES_tradnl"/>
              </w:rPr>
              <w:t xml:space="preserve"> </w:t>
            </w:r>
            <w:r w:rsidR="00511257" w:rsidRPr="00C83BDF">
              <w:rPr>
                <w:color w:val="000000"/>
                <w:sz w:val="18"/>
                <w:szCs w:val="18"/>
                <w:lang w:val="es-ES_tradnl"/>
              </w:rPr>
              <w:t>octubre de 2014</w:t>
            </w:r>
          </w:p>
          <w:p w:rsidR="00E65183" w:rsidRPr="00C83BDF" w:rsidRDefault="004B7043" w:rsidP="00702D1C">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Reunión del Consejo de los ADPIC, Ginebra (Suiza), octubre de 2014</w:t>
            </w:r>
          </w:p>
          <w:p w:rsidR="00E65183" w:rsidRPr="00C83BDF" w:rsidRDefault="004B7043" w:rsidP="00702D1C">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 xml:space="preserve">Taller de la SAA sobre protección de las obtenciones vegetales, Sao Paulo (Brasil) </w:t>
            </w:r>
            <w:r w:rsidR="00B0563B" w:rsidRPr="00C83BDF">
              <w:rPr>
                <w:color w:val="000000"/>
                <w:sz w:val="18"/>
                <w:szCs w:val="18"/>
                <w:lang w:val="es-ES_tradnl"/>
              </w:rPr>
              <w:t>(por videoconferencia), noviembre de 2014</w:t>
            </w:r>
          </w:p>
          <w:p w:rsidR="00E65183" w:rsidRPr="00C83BDF" w:rsidRDefault="00C26EAA" w:rsidP="00702D1C">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Reunión del Grupo de Traba</w:t>
            </w:r>
            <w:r w:rsidR="00702D1C" w:rsidRPr="00C83BDF">
              <w:rPr>
                <w:color w:val="000000"/>
                <w:sz w:val="18"/>
                <w:szCs w:val="18"/>
                <w:lang w:val="es-ES_tradnl"/>
              </w:rPr>
              <w:t>jo del Proyecto XML4IP, Londres</w:t>
            </w:r>
            <w:r w:rsidRPr="00C83BDF">
              <w:rPr>
                <w:color w:val="000000"/>
                <w:sz w:val="18"/>
                <w:szCs w:val="18"/>
                <w:lang w:val="es-ES_tradnl"/>
              </w:rPr>
              <w:t xml:space="preserve"> (Reino Unido), noviembre de 2014</w:t>
            </w:r>
          </w:p>
          <w:p w:rsidR="00E65183" w:rsidRPr="00C83BDF" w:rsidRDefault="00C26EAA" w:rsidP="00702D1C">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Congreso de la APSA de 2014, Macao (China), noviembre de 2014</w:t>
            </w:r>
          </w:p>
          <w:p w:rsidR="00E65183" w:rsidRPr="00C83BDF" w:rsidRDefault="00C26EAA" w:rsidP="00702D1C">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Módulo intensivo de derechos de obtentor vegetal sobre protección de las obtenciones vegetales del Máster en propiedad intelectual (Magister Lvcentinvs), Alicante (España), noviembre de 2014</w:t>
            </w:r>
          </w:p>
          <w:p w:rsidR="00E65183" w:rsidRPr="00C83BDF" w:rsidRDefault="00C26EAA" w:rsidP="00702D1C">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Simposio conjunto KSVS</w:t>
            </w:r>
            <w:r w:rsidRPr="00C83BDF">
              <w:rPr>
                <w:color w:val="000000"/>
                <w:sz w:val="18"/>
                <w:szCs w:val="18"/>
                <w:lang w:val="es-ES_tradnl"/>
              </w:rPr>
              <w:noBreakHyphen/>
              <w:t xml:space="preserve">KPMMRC sobre la situación actual y la </w:t>
            </w:r>
            <w:r w:rsidR="00DA1ACF" w:rsidRPr="00C83BDF">
              <w:rPr>
                <w:color w:val="000000"/>
                <w:sz w:val="18"/>
                <w:szCs w:val="18"/>
                <w:lang w:val="es-ES_tradnl"/>
              </w:rPr>
              <w:t>estrategia de utilización de los marcadores moleculares en la protección de variedades</w:t>
            </w:r>
            <w:r w:rsidRPr="00C83BDF">
              <w:rPr>
                <w:color w:val="000000"/>
                <w:sz w:val="18"/>
                <w:szCs w:val="18"/>
                <w:lang w:val="es-ES_tradnl"/>
              </w:rPr>
              <w:t>, Seúl (República de Corea), noviembre de 2014</w:t>
            </w:r>
          </w:p>
          <w:p w:rsidR="00E65183" w:rsidRPr="00C83BDF" w:rsidRDefault="00C26EAA" w:rsidP="00702D1C">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Trigésima octava sesión del Consejo de Administración de la ARIPO, Victoria Falls (Zimbabwe), noviembre de 2014</w:t>
            </w:r>
          </w:p>
          <w:p w:rsidR="00E65183" w:rsidRPr="00C83BDF" w:rsidRDefault="00C26EAA" w:rsidP="00702D1C">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Mesa redonda de alto nivel sobre la protección de las obtenciones vegetales en África, Ciudad del Cabo (Sudáfrica), noviembre de 2014</w:t>
            </w:r>
          </w:p>
          <w:p w:rsidR="00E65183" w:rsidRPr="00C83BDF" w:rsidRDefault="00C26EAA" w:rsidP="00702D1C">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Decimoctava reunión anual de la OCVV con sus oficinas de examen, Angers (Francia), diciembre de 2014</w:t>
            </w:r>
          </w:p>
          <w:p w:rsidR="00E65183" w:rsidRPr="00C83BDF" w:rsidRDefault="00C26EAA" w:rsidP="00702D1C">
            <w:pPr>
              <w:numPr>
                <w:ilvl w:val="0"/>
                <w:numId w:val="5"/>
              </w:numPr>
              <w:tabs>
                <w:tab w:val="left" w:pos="459"/>
              </w:tabs>
              <w:spacing w:after="60"/>
              <w:jc w:val="left"/>
              <w:rPr>
                <w:color w:val="000000"/>
                <w:sz w:val="18"/>
                <w:szCs w:val="18"/>
                <w:lang w:val="es-ES_tradnl"/>
              </w:rPr>
            </w:pPr>
            <w:r w:rsidRPr="00C83BDF">
              <w:rPr>
                <w:color w:val="000000"/>
                <w:sz w:val="18"/>
                <w:szCs w:val="18"/>
                <w:lang w:val="es-ES_tradnl"/>
              </w:rPr>
              <w:t>Taller sobre la calidad de las semillas y los derechos de obtentor, Stone Town, Zanzíbar (República Unida de Tanzanía), diciembre de 2014</w:t>
            </w:r>
          </w:p>
        </w:tc>
      </w:tr>
    </w:tbl>
    <w:p w:rsidR="00E65183" w:rsidRPr="00C83BDF" w:rsidRDefault="00E65183" w:rsidP="00E65183">
      <w:pPr>
        <w:rPr>
          <w:sz w:val="18"/>
          <w:szCs w:val="18"/>
          <w:lang w:val="es-ES_tradnl"/>
        </w:rPr>
      </w:pPr>
    </w:p>
    <w:tbl>
      <w:tblPr>
        <w:tblW w:w="9889" w:type="dxa"/>
        <w:tblLayout w:type="fixed"/>
        <w:tblLook w:val="0000" w:firstRow="0" w:lastRow="0" w:firstColumn="0" w:lastColumn="0" w:noHBand="0" w:noVBand="0"/>
      </w:tblPr>
      <w:tblGrid>
        <w:gridCol w:w="1951"/>
        <w:gridCol w:w="7938"/>
      </w:tblGrid>
      <w:tr w:rsidR="00E65183" w:rsidRPr="00C83BDF">
        <w:tc>
          <w:tcPr>
            <w:tcW w:w="1951" w:type="dxa"/>
            <w:shd w:val="clear" w:color="auto" w:fill="auto"/>
          </w:tcPr>
          <w:p w:rsidR="00E65183" w:rsidRPr="00C83BDF" w:rsidRDefault="00C26EAA" w:rsidP="00702D1C">
            <w:pPr>
              <w:keepNext/>
              <w:spacing w:after="240"/>
              <w:rPr>
                <w:b/>
                <w:sz w:val="18"/>
                <w:lang w:val="es-ES_tradnl"/>
              </w:rPr>
            </w:pPr>
            <w:r w:rsidRPr="00C83BDF">
              <w:rPr>
                <w:b/>
                <w:sz w:val="18"/>
                <w:lang w:val="es-ES_tradnl"/>
              </w:rPr>
              <w:t>Resultados previstos</w:t>
            </w:r>
          </w:p>
        </w:tc>
        <w:tc>
          <w:tcPr>
            <w:tcW w:w="7938" w:type="dxa"/>
            <w:shd w:val="clear" w:color="auto" w:fill="auto"/>
          </w:tcPr>
          <w:p w:rsidR="00E65183" w:rsidRPr="00C83BDF" w:rsidRDefault="00C26EAA" w:rsidP="00702D1C">
            <w:pPr>
              <w:keepNext/>
              <w:spacing w:after="240"/>
              <w:rPr>
                <w:b/>
                <w:sz w:val="18"/>
                <w:lang w:val="es-ES_tradnl"/>
              </w:rPr>
            </w:pPr>
            <w:r w:rsidRPr="00C83BDF">
              <w:rPr>
                <w:b/>
                <w:sz w:val="18"/>
                <w:lang w:val="es-ES_tradnl"/>
              </w:rPr>
              <w:t>Resultados alcanzados:</w:t>
            </w:r>
            <w:r w:rsidR="00E65183" w:rsidRPr="00C83BDF">
              <w:rPr>
                <w:b/>
                <w:sz w:val="18"/>
                <w:lang w:val="es-ES_tradnl"/>
              </w:rPr>
              <w:t xml:space="preserve">  </w:t>
            </w:r>
            <w:r w:rsidRPr="00C83BDF">
              <w:rPr>
                <w:b/>
                <w:sz w:val="18"/>
                <w:lang w:val="es-ES_tradnl"/>
              </w:rPr>
              <w:t>indicadores de rendimiento</w:t>
            </w:r>
          </w:p>
        </w:tc>
      </w:tr>
      <w:tr w:rsidR="00E65183" w:rsidRPr="00C83BDF">
        <w:tc>
          <w:tcPr>
            <w:tcW w:w="1951" w:type="dxa"/>
          </w:tcPr>
          <w:p w:rsidR="00E65183" w:rsidRPr="00C83BDF" w:rsidRDefault="00E65183" w:rsidP="004737CD">
            <w:pPr>
              <w:pStyle w:val="Heading6"/>
              <w:rPr>
                <w:lang w:val="es-ES_tradnl"/>
              </w:rPr>
            </w:pPr>
            <w:bookmarkStart w:id="102" w:name="_Toc336339208"/>
            <w:bookmarkStart w:id="103" w:name="_Toc431824284"/>
            <w:r w:rsidRPr="00C83BDF">
              <w:rPr>
                <w:lang w:val="es-ES_tradnl"/>
              </w:rPr>
              <w:t>2.  </w:t>
            </w:r>
            <w:bookmarkEnd w:id="102"/>
            <w:r w:rsidR="00B76BD5" w:rsidRPr="00C83BDF">
              <w:rPr>
                <w:lang w:val="es-ES_tradnl"/>
              </w:rPr>
              <w:t>Asistencia en la elaboración de legislación sobre la protección de las variedades vegetales de conformidad con el Acta de 1991 del Convenio de la UPOV</w:t>
            </w:r>
            <w:bookmarkEnd w:id="103"/>
          </w:p>
        </w:tc>
        <w:tc>
          <w:tcPr>
            <w:tcW w:w="7938" w:type="dxa"/>
          </w:tcPr>
          <w:p w:rsidR="00E65183" w:rsidRPr="00C83BDF" w:rsidRDefault="00B76BD5" w:rsidP="00702D1C">
            <w:pPr>
              <w:pStyle w:val="Heading8"/>
              <w:spacing w:after="120"/>
              <w:rPr>
                <w:lang w:val="es-ES_tradnl"/>
              </w:rPr>
            </w:pPr>
            <w:bookmarkStart w:id="104" w:name="_Toc431824285"/>
            <w:r w:rsidRPr="00C83BDF">
              <w:rPr>
                <w:lang w:val="es-ES_tradnl"/>
              </w:rPr>
              <w:t>a)  Estados y organizaciones que han recibido comentarios sobre la legislación</w:t>
            </w:r>
            <w:bookmarkEnd w:id="104"/>
          </w:p>
          <w:p w:rsidR="00E65183" w:rsidRPr="00C83BDF" w:rsidRDefault="00B76BD5" w:rsidP="004737CD">
            <w:pPr>
              <w:pStyle w:val="BodyText"/>
              <w:rPr>
                <w:sz w:val="18"/>
                <w:szCs w:val="18"/>
                <w:lang w:val="es-ES_tradnl"/>
              </w:rPr>
            </w:pPr>
            <w:r w:rsidRPr="00C83BDF">
              <w:rPr>
                <w:sz w:val="18"/>
                <w:szCs w:val="18"/>
                <w:lang w:val="es-ES_tradnl"/>
              </w:rPr>
              <w:t>Miembros de la Unión:</w:t>
            </w:r>
            <w:r w:rsidR="00E65183" w:rsidRPr="00C83BDF">
              <w:rPr>
                <w:sz w:val="18"/>
                <w:szCs w:val="18"/>
                <w:lang w:val="es-ES_tradnl"/>
              </w:rPr>
              <w:t xml:space="preserve">  </w:t>
            </w:r>
            <w:r w:rsidRPr="00C83BDF">
              <w:rPr>
                <w:sz w:val="18"/>
                <w:szCs w:val="18"/>
                <w:lang w:val="es-ES_tradnl"/>
              </w:rPr>
              <w:t>Singapur</w:t>
            </w:r>
          </w:p>
          <w:p w:rsidR="00E65183" w:rsidRPr="00C83BDF" w:rsidRDefault="00E65183" w:rsidP="004737CD">
            <w:pPr>
              <w:rPr>
                <w:sz w:val="18"/>
                <w:szCs w:val="18"/>
                <w:lang w:val="es-ES_tradnl"/>
              </w:rPr>
            </w:pPr>
          </w:p>
          <w:p w:rsidR="00E65183" w:rsidRPr="00C83BDF" w:rsidRDefault="00B76BD5" w:rsidP="004737CD">
            <w:pPr>
              <w:rPr>
                <w:sz w:val="18"/>
                <w:szCs w:val="18"/>
                <w:lang w:val="es-ES_tradnl"/>
              </w:rPr>
            </w:pPr>
            <w:r w:rsidRPr="00C83BDF">
              <w:rPr>
                <w:sz w:val="18"/>
                <w:szCs w:val="18"/>
                <w:lang w:val="es-ES_tradnl"/>
              </w:rPr>
              <w:t>No miembros de la Unión:</w:t>
            </w:r>
            <w:r w:rsidR="00E65183" w:rsidRPr="00C83BDF">
              <w:rPr>
                <w:sz w:val="18"/>
                <w:szCs w:val="18"/>
                <w:lang w:val="es-ES_tradnl"/>
              </w:rPr>
              <w:t xml:space="preserve">  </w:t>
            </w:r>
            <w:r w:rsidRPr="00C83BDF">
              <w:rPr>
                <w:sz w:val="18"/>
                <w:szCs w:val="18"/>
                <w:lang w:val="es-ES_tradnl"/>
              </w:rPr>
              <w:t>ARIPO, Bosnia y Herzegovina, Brunei Darussalam, Egipto, Guatemala, Mauricio, Myanmar, República Unida de Tanzanía, Tayikistán</w:t>
            </w:r>
          </w:p>
          <w:p w:rsidR="00E65183" w:rsidRPr="00C83BDF" w:rsidRDefault="00E65183" w:rsidP="004737CD">
            <w:pPr>
              <w:tabs>
                <w:tab w:val="left" w:pos="2410"/>
              </w:tabs>
              <w:jc w:val="left"/>
              <w:rPr>
                <w:i/>
                <w:color w:val="000000"/>
                <w:sz w:val="18"/>
                <w:szCs w:val="18"/>
                <w:lang w:val="es-ES_tradnl"/>
              </w:rPr>
            </w:pPr>
          </w:p>
          <w:p w:rsidR="00E65183" w:rsidRPr="00C83BDF" w:rsidRDefault="00B76BD5" w:rsidP="00702D1C">
            <w:pPr>
              <w:pStyle w:val="Heading8"/>
              <w:spacing w:after="120"/>
              <w:rPr>
                <w:lang w:val="es-ES_tradnl"/>
              </w:rPr>
            </w:pPr>
            <w:bookmarkStart w:id="105" w:name="_Toc431824286"/>
            <w:r w:rsidRPr="00C83BDF">
              <w:rPr>
                <w:lang w:val="es-ES_tradnl"/>
              </w:rPr>
              <w:t>b)  Estados y organizaciones respecto de cuya legislación el Consejo de la UPOV ha adoptado una decisión positiva</w:t>
            </w:r>
            <w:bookmarkEnd w:id="105"/>
          </w:p>
          <w:p w:rsidR="00E65183" w:rsidRPr="00C83BDF" w:rsidRDefault="00B76BD5" w:rsidP="004737CD">
            <w:pPr>
              <w:tabs>
                <w:tab w:val="left" w:pos="2410"/>
              </w:tabs>
              <w:jc w:val="left"/>
              <w:rPr>
                <w:sz w:val="18"/>
                <w:szCs w:val="18"/>
                <w:lang w:val="es-ES_tradnl"/>
              </w:rPr>
            </w:pPr>
            <w:r w:rsidRPr="00C83BDF">
              <w:rPr>
                <w:sz w:val="18"/>
                <w:szCs w:val="18"/>
                <w:lang w:val="es-ES_tradnl"/>
              </w:rPr>
              <w:t>República Unida de Tanzanía (la totalidad del territorio), ARIPO</w:t>
            </w:r>
          </w:p>
          <w:p w:rsidR="00E65183" w:rsidRPr="00C83BDF" w:rsidRDefault="00E65183" w:rsidP="004737CD">
            <w:pPr>
              <w:tabs>
                <w:tab w:val="left" w:pos="2410"/>
              </w:tabs>
              <w:jc w:val="left"/>
              <w:rPr>
                <w:i/>
                <w:color w:val="000000"/>
                <w:sz w:val="18"/>
                <w:szCs w:val="18"/>
                <w:lang w:val="es-ES_tradnl"/>
              </w:rPr>
            </w:pPr>
          </w:p>
          <w:p w:rsidR="00E65183" w:rsidRPr="00C83BDF" w:rsidRDefault="00B76BD5" w:rsidP="00702D1C">
            <w:pPr>
              <w:pStyle w:val="Heading8"/>
              <w:spacing w:after="120"/>
              <w:rPr>
                <w:lang w:val="es-ES_tradnl"/>
              </w:rPr>
            </w:pPr>
            <w:bookmarkStart w:id="106" w:name="_Toc431824287"/>
            <w:r w:rsidRPr="00C83BDF">
              <w:rPr>
                <w:lang w:val="es-ES_tradnl"/>
              </w:rPr>
              <w:t>c)  Reuniones con funcionarios gubernamentales</w:t>
            </w:r>
            <w:bookmarkEnd w:id="106"/>
          </w:p>
          <w:p w:rsidR="00E65183" w:rsidRPr="00C83BDF" w:rsidRDefault="00962918" w:rsidP="004737CD">
            <w:pPr>
              <w:pStyle w:val="BodyText"/>
              <w:rPr>
                <w:sz w:val="18"/>
                <w:szCs w:val="18"/>
                <w:lang w:val="es-ES_tradnl"/>
              </w:rPr>
            </w:pPr>
            <w:r w:rsidRPr="00C83BDF">
              <w:rPr>
                <w:sz w:val="18"/>
                <w:szCs w:val="18"/>
                <w:lang w:val="es-ES_tradnl"/>
              </w:rPr>
              <w:t>Miembros de la Unión:</w:t>
            </w:r>
            <w:r w:rsidR="00E65183" w:rsidRPr="00C83BDF">
              <w:rPr>
                <w:sz w:val="18"/>
                <w:szCs w:val="18"/>
                <w:lang w:val="es-ES_tradnl"/>
              </w:rPr>
              <w:t xml:space="preserve"> </w:t>
            </w:r>
            <w:r w:rsidR="00B76BD5" w:rsidRPr="00C83BDF">
              <w:rPr>
                <w:sz w:val="18"/>
                <w:szCs w:val="18"/>
                <w:lang w:val="es-ES_tradnl"/>
              </w:rPr>
              <w:t xml:space="preserve"> </w:t>
            </w:r>
            <w:r w:rsidRPr="00C83BDF">
              <w:rPr>
                <w:sz w:val="18"/>
                <w:szCs w:val="18"/>
                <w:lang w:val="es-ES_tradnl"/>
              </w:rPr>
              <w:t>Chile</w:t>
            </w:r>
          </w:p>
          <w:p w:rsidR="00E65183" w:rsidRPr="00C83BDF" w:rsidRDefault="00E65183" w:rsidP="004737CD">
            <w:pPr>
              <w:rPr>
                <w:lang w:val="es-ES_tradnl"/>
              </w:rPr>
            </w:pPr>
          </w:p>
          <w:p w:rsidR="00E65183" w:rsidRPr="00C83BDF" w:rsidRDefault="00962918" w:rsidP="004737CD">
            <w:pPr>
              <w:rPr>
                <w:sz w:val="18"/>
                <w:szCs w:val="18"/>
                <w:lang w:val="es-ES_tradnl"/>
              </w:rPr>
            </w:pPr>
            <w:r w:rsidRPr="00C83BDF">
              <w:rPr>
                <w:sz w:val="18"/>
                <w:szCs w:val="18"/>
                <w:lang w:val="es-ES_tradnl"/>
              </w:rPr>
              <w:t>No miembros de la Unión:</w:t>
            </w:r>
            <w:r w:rsidR="00E65183" w:rsidRPr="00C83BDF">
              <w:rPr>
                <w:sz w:val="18"/>
                <w:szCs w:val="18"/>
                <w:lang w:val="es-ES_tradnl"/>
              </w:rPr>
              <w:t xml:space="preserve">  </w:t>
            </w:r>
            <w:r w:rsidRPr="00C83BDF">
              <w:rPr>
                <w:sz w:val="18"/>
                <w:szCs w:val="18"/>
                <w:lang w:val="es-ES_tradnl"/>
              </w:rPr>
              <w:t>ARIPO, Egipto, Malasia, Mauricio, Pakistán, República Unida de Tanzanía</w:t>
            </w:r>
          </w:p>
        </w:tc>
      </w:tr>
    </w:tbl>
    <w:p w:rsidR="00E65183" w:rsidRPr="00C83BDF" w:rsidRDefault="00E65183" w:rsidP="00E65183">
      <w:pPr>
        <w:rPr>
          <w:sz w:val="18"/>
          <w:szCs w:val="18"/>
          <w:lang w:val="es-ES_tradnl"/>
        </w:rPr>
      </w:pPr>
    </w:p>
    <w:p w:rsidR="00E65183" w:rsidRPr="00C83BDF" w:rsidRDefault="00E65183" w:rsidP="00E65183">
      <w:pPr>
        <w:rPr>
          <w:sz w:val="18"/>
          <w:szCs w:val="18"/>
          <w:lang w:val="es-ES_tradnl"/>
        </w:rPr>
      </w:pPr>
    </w:p>
    <w:tbl>
      <w:tblPr>
        <w:tblW w:w="9889" w:type="dxa"/>
        <w:tblLayout w:type="fixed"/>
        <w:tblLook w:val="0000" w:firstRow="0" w:lastRow="0" w:firstColumn="0" w:lastColumn="0" w:noHBand="0" w:noVBand="0"/>
      </w:tblPr>
      <w:tblGrid>
        <w:gridCol w:w="1951"/>
        <w:gridCol w:w="7938"/>
      </w:tblGrid>
      <w:tr w:rsidR="00E65183" w:rsidRPr="00C83BDF">
        <w:tc>
          <w:tcPr>
            <w:tcW w:w="1951" w:type="dxa"/>
          </w:tcPr>
          <w:p w:rsidR="00E65183" w:rsidRPr="00C83BDF" w:rsidRDefault="00E65183" w:rsidP="004737CD">
            <w:pPr>
              <w:pStyle w:val="Heading6"/>
              <w:rPr>
                <w:lang w:val="es-ES_tradnl"/>
              </w:rPr>
            </w:pPr>
            <w:bookmarkStart w:id="107" w:name="_Toc431824288"/>
            <w:r w:rsidRPr="00C83BDF">
              <w:rPr>
                <w:lang w:val="es-ES_tradnl"/>
              </w:rPr>
              <w:t>3.  </w:t>
            </w:r>
            <w:r w:rsidR="00342A9C" w:rsidRPr="00C83BDF">
              <w:rPr>
                <w:lang w:val="es-ES_tradnl"/>
              </w:rPr>
              <w:t>Asistencia a Estados y organizaciones para la adhesión al Acta de 1991 del Convenio de la UPOV</w:t>
            </w:r>
            <w:bookmarkEnd w:id="107"/>
          </w:p>
        </w:tc>
        <w:tc>
          <w:tcPr>
            <w:tcW w:w="7938" w:type="dxa"/>
          </w:tcPr>
          <w:p w:rsidR="00E65183" w:rsidRPr="00C83BDF" w:rsidRDefault="00342A9C" w:rsidP="00702D1C">
            <w:pPr>
              <w:pStyle w:val="Heading8"/>
              <w:spacing w:after="120"/>
              <w:rPr>
                <w:lang w:val="es-ES_tradnl"/>
              </w:rPr>
            </w:pPr>
            <w:bookmarkStart w:id="108" w:name="_Toc431824289"/>
            <w:r w:rsidRPr="00C83BDF">
              <w:rPr>
                <w:lang w:val="es-ES_tradnl"/>
              </w:rPr>
              <w:t>a)  Estados que se han adherido al Acta de 1991 del Convenio de la UPOV, o que han ratificado dicha Acta</w:t>
            </w:r>
            <w:bookmarkEnd w:id="108"/>
          </w:p>
          <w:p w:rsidR="00E65183" w:rsidRPr="00C83BDF" w:rsidRDefault="00342A9C" w:rsidP="004737CD">
            <w:pPr>
              <w:tabs>
                <w:tab w:val="left" w:pos="2410"/>
              </w:tabs>
              <w:jc w:val="left"/>
              <w:rPr>
                <w:sz w:val="18"/>
                <w:szCs w:val="18"/>
                <w:lang w:val="es-ES_tradnl"/>
              </w:rPr>
            </w:pPr>
            <w:r w:rsidRPr="00C83BDF">
              <w:rPr>
                <w:sz w:val="18"/>
                <w:szCs w:val="18"/>
                <w:lang w:val="es-ES_tradnl"/>
              </w:rPr>
              <w:t>OAPI</w:t>
            </w:r>
          </w:p>
          <w:p w:rsidR="00E65183" w:rsidRPr="00C83BDF" w:rsidRDefault="00E65183" w:rsidP="004737CD">
            <w:pPr>
              <w:tabs>
                <w:tab w:val="left" w:pos="2410"/>
              </w:tabs>
              <w:jc w:val="left"/>
              <w:rPr>
                <w:color w:val="000000"/>
                <w:sz w:val="18"/>
                <w:szCs w:val="18"/>
                <w:lang w:val="es-ES_tradnl"/>
              </w:rPr>
            </w:pPr>
          </w:p>
          <w:p w:rsidR="00E65183" w:rsidRPr="00C83BDF" w:rsidRDefault="00342A9C" w:rsidP="008E6816">
            <w:pPr>
              <w:pStyle w:val="Heading8"/>
              <w:spacing w:after="120"/>
              <w:rPr>
                <w:lang w:val="es-ES_tradnl"/>
              </w:rPr>
            </w:pPr>
            <w:bookmarkStart w:id="109" w:name="_Toc431824290"/>
            <w:r w:rsidRPr="00C83BDF">
              <w:rPr>
                <w:lang w:val="es-ES_tradnl"/>
              </w:rPr>
              <w:t>b)  Estados y organizaciones que han pasado a ser miembros de la Unión</w:t>
            </w:r>
            <w:bookmarkEnd w:id="109"/>
          </w:p>
          <w:p w:rsidR="00E65183" w:rsidRPr="00C83BDF" w:rsidRDefault="00342A9C" w:rsidP="004737CD">
            <w:pPr>
              <w:tabs>
                <w:tab w:val="left" w:pos="2410"/>
              </w:tabs>
              <w:jc w:val="left"/>
              <w:rPr>
                <w:sz w:val="18"/>
                <w:szCs w:val="18"/>
                <w:lang w:val="es-ES_tradnl"/>
              </w:rPr>
            </w:pPr>
            <w:r w:rsidRPr="00C83BDF">
              <w:rPr>
                <w:sz w:val="18"/>
                <w:szCs w:val="18"/>
                <w:lang w:val="es-ES_tradnl"/>
              </w:rPr>
              <w:t>OAPI</w:t>
            </w:r>
          </w:p>
        </w:tc>
      </w:tr>
    </w:tbl>
    <w:p w:rsidR="00E65183" w:rsidRPr="00C83BDF" w:rsidRDefault="00E65183" w:rsidP="00E65183">
      <w:pPr>
        <w:rPr>
          <w:lang w:val="es-ES_tradnl"/>
        </w:rPr>
      </w:pPr>
    </w:p>
    <w:p w:rsidR="00E65183" w:rsidRPr="00C83BDF" w:rsidRDefault="00E65183" w:rsidP="00E65183">
      <w:pPr>
        <w:rPr>
          <w:lang w:val="es-ES_tradnl"/>
        </w:rPr>
      </w:pPr>
    </w:p>
    <w:tbl>
      <w:tblPr>
        <w:tblW w:w="9889" w:type="dxa"/>
        <w:tblLayout w:type="fixed"/>
        <w:tblLook w:val="0000" w:firstRow="0" w:lastRow="0" w:firstColumn="0" w:lastColumn="0" w:noHBand="0" w:noVBand="0"/>
      </w:tblPr>
      <w:tblGrid>
        <w:gridCol w:w="1951"/>
        <w:gridCol w:w="7938"/>
      </w:tblGrid>
      <w:tr w:rsidR="00E65183" w:rsidRPr="00C83BDF">
        <w:tc>
          <w:tcPr>
            <w:tcW w:w="1951" w:type="dxa"/>
          </w:tcPr>
          <w:p w:rsidR="00E65183" w:rsidRPr="00C83BDF" w:rsidRDefault="00E65183" w:rsidP="004737CD">
            <w:pPr>
              <w:pStyle w:val="Heading6"/>
              <w:rPr>
                <w:lang w:val="es-ES_tradnl"/>
              </w:rPr>
            </w:pPr>
            <w:bookmarkStart w:id="110" w:name="_Toc431824291"/>
            <w:r w:rsidRPr="00C83BDF">
              <w:rPr>
                <w:lang w:val="es-ES_tradnl"/>
              </w:rPr>
              <w:t>4.  </w:t>
            </w:r>
            <w:r w:rsidR="00342A9C" w:rsidRPr="00C83BDF">
              <w:rPr>
                <w:lang w:val="es-ES_tradnl"/>
              </w:rPr>
              <w:t>Asistencia para la aplicación de un sistema eficaz de derechos de obtentor de conformidad con el Acta de 1991 del Convenio de la UPOV</w:t>
            </w:r>
            <w:bookmarkEnd w:id="110"/>
          </w:p>
        </w:tc>
        <w:tc>
          <w:tcPr>
            <w:tcW w:w="7938" w:type="dxa"/>
          </w:tcPr>
          <w:p w:rsidR="00E65183" w:rsidRPr="00C83BDF" w:rsidRDefault="00342A9C" w:rsidP="008E6816">
            <w:pPr>
              <w:pStyle w:val="Heading8"/>
              <w:rPr>
                <w:lang w:val="es-ES_tradnl"/>
              </w:rPr>
            </w:pPr>
            <w:bookmarkStart w:id="111" w:name="_Toc431824292"/>
            <w:r w:rsidRPr="00C83BDF">
              <w:rPr>
                <w:lang w:val="es-ES_tradnl"/>
              </w:rPr>
              <w:t>a)  Participación en cursos de enseñanza a distancia</w:t>
            </w:r>
            <w:bookmarkEnd w:id="111"/>
          </w:p>
          <w:p w:rsidR="00E65183" w:rsidRPr="00C83BDF" w:rsidRDefault="00E65183" w:rsidP="004737CD">
            <w:pPr>
              <w:tabs>
                <w:tab w:val="left" w:pos="2410"/>
              </w:tabs>
              <w:ind w:left="317" w:hanging="317"/>
              <w:jc w:val="left"/>
              <w:rPr>
                <w:sz w:val="18"/>
                <w:szCs w:val="18"/>
                <w:lang w:val="es-ES_tradnl"/>
              </w:rPr>
            </w:pPr>
            <w:r w:rsidRPr="00C83BDF">
              <w:rPr>
                <w:color w:val="000000"/>
                <w:sz w:val="18"/>
                <w:szCs w:val="18"/>
                <w:lang w:val="es-ES_tradnl"/>
              </w:rPr>
              <w:t>1.</w:t>
            </w:r>
            <w:r w:rsidRPr="00C83BDF">
              <w:rPr>
                <w:color w:val="000000"/>
                <w:sz w:val="18"/>
                <w:szCs w:val="18"/>
                <w:lang w:val="es-ES_tradnl"/>
              </w:rPr>
              <w:tab/>
            </w:r>
            <w:r w:rsidR="00342A9C" w:rsidRPr="00C83BDF">
              <w:rPr>
                <w:sz w:val="18"/>
                <w:szCs w:val="18"/>
                <w:lang w:val="es-ES_tradnl"/>
              </w:rPr>
              <w:t>Curso DL</w:t>
            </w:r>
            <w:r w:rsidR="00342A9C" w:rsidRPr="00C83BDF">
              <w:rPr>
                <w:sz w:val="18"/>
                <w:szCs w:val="18"/>
                <w:lang w:val="es-ES_tradnl"/>
              </w:rPr>
              <w:noBreakHyphen/>
              <w:t>205 de la UPOV:  “Introducción al sistema de la UPOV de protección de las variedades vegetales en virtud del Convenio de la UPOV”</w:t>
            </w:r>
          </w:p>
          <w:p w:rsidR="00E65183" w:rsidRPr="00C83BDF" w:rsidRDefault="00E65183" w:rsidP="004737CD">
            <w:pPr>
              <w:tabs>
                <w:tab w:val="left" w:pos="2410"/>
              </w:tabs>
              <w:jc w:val="left"/>
              <w:rPr>
                <w:sz w:val="18"/>
                <w:szCs w:val="18"/>
                <w:lang w:val="es-ES_tradnl"/>
              </w:rPr>
            </w:pPr>
          </w:p>
          <w:p w:rsidR="00E65183" w:rsidRPr="00C83BDF" w:rsidRDefault="00E65183" w:rsidP="004737CD">
            <w:pPr>
              <w:tabs>
                <w:tab w:val="left" w:pos="2410"/>
              </w:tabs>
              <w:ind w:left="317" w:hanging="317"/>
              <w:jc w:val="left"/>
              <w:rPr>
                <w:sz w:val="18"/>
                <w:szCs w:val="18"/>
                <w:lang w:val="es-ES_tradnl"/>
              </w:rPr>
            </w:pPr>
            <w:r w:rsidRPr="00C83BDF">
              <w:rPr>
                <w:sz w:val="18"/>
                <w:szCs w:val="18"/>
                <w:lang w:val="es-ES_tradnl"/>
              </w:rPr>
              <w:t>2.</w:t>
            </w:r>
            <w:r w:rsidRPr="00C83BDF">
              <w:rPr>
                <w:sz w:val="18"/>
                <w:szCs w:val="18"/>
                <w:lang w:val="es-ES_tradnl"/>
              </w:rPr>
              <w:tab/>
            </w:r>
            <w:r w:rsidR="00342A9C" w:rsidRPr="00C83BDF">
              <w:rPr>
                <w:sz w:val="18"/>
                <w:szCs w:val="18"/>
                <w:lang w:val="es-ES_tradnl"/>
              </w:rPr>
              <w:t>Curso DL</w:t>
            </w:r>
            <w:r w:rsidR="00342A9C" w:rsidRPr="00C83BDF">
              <w:rPr>
                <w:sz w:val="18"/>
                <w:szCs w:val="18"/>
                <w:lang w:val="es-ES_tradnl"/>
              </w:rPr>
              <w:noBreakHyphen/>
              <w:t>305 de enseñanza a distancia de la UPOV:  “Examen de solicitudes de derechos de obtentor”</w:t>
            </w:r>
          </w:p>
        </w:tc>
      </w:tr>
    </w:tbl>
    <w:p w:rsidR="00E65183" w:rsidRPr="00C83BDF" w:rsidRDefault="00E65183" w:rsidP="00E65183">
      <w:pPr>
        <w:rPr>
          <w:sz w:val="18"/>
          <w:szCs w:val="18"/>
          <w:lang w:val="es-ES_tradnl"/>
        </w:rPr>
      </w:pPr>
    </w:p>
    <w:p w:rsidR="00E65183" w:rsidRPr="00C83BDF" w:rsidRDefault="00E65183" w:rsidP="00E65183">
      <w:pPr>
        <w:rPr>
          <w:sz w:val="18"/>
          <w:szCs w:val="18"/>
          <w:lang w:val="es-ES_tradnl"/>
        </w:rPr>
      </w:pPr>
    </w:p>
    <w:p w:rsidR="00E65183" w:rsidRPr="00C83BDF" w:rsidRDefault="00F70C48" w:rsidP="00E65183">
      <w:pPr>
        <w:jc w:val="center"/>
        <w:rPr>
          <w:rFonts w:cs="Arial"/>
          <w:sz w:val="18"/>
          <w:szCs w:val="18"/>
          <w:lang w:val="es-ES_tradnl"/>
        </w:rPr>
      </w:pPr>
      <w:bookmarkStart w:id="112" w:name="_Toc336339239"/>
      <w:r w:rsidRPr="00C83BDF">
        <w:rPr>
          <w:rFonts w:cs="Arial"/>
          <w:sz w:val="18"/>
          <w:szCs w:val="18"/>
          <w:lang w:val="es-ES_tradnl"/>
        </w:rPr>
        <w:t>Lista de países y organizaciones de los que proceden los participantes</w:t>
      </w:r>
      <w:r w:rsidR="00E65183" w:rsidRPr="00C83BDF">
        <w:rPr>
          <w:rFonts w:cs="Arial"/>
          <w:sz w:val="18"/>
          <w:szCs w:val="18"/>
          <w:lang w:val="es-ES_tradnl"/>
        </w:rPr>
        <w:t xml:space="preserve"> </w:t>
      </w:r>
      <w:r w:rsidR="00E65183" w:rsidRPr="00C83BDF">
        <w:rPr>
          <w:rFonts w:cs="Arial"/>
          <w:sz w:val="18"/>
          <w:szCs w:val="18"/>
          <w:lang w:val="es-ES_tradnl"/>
        </w:rPr>
        <w:br/>
      </w:r>
      <w:r w:rsidRPr="00C83BDF">
        <w:rPr>
          <w:rFonts w:cs="Arial"/>
          <w:sz w:val="18"/>
          <w:szCs w:val="18"/>
          <w:lang w:val="es-ES_tradnl"/>
        </w:rPr>
        <w:t>del curso de enseñanza a distancia de la UPOV (en 2014)</w:t>
      </w:r>
    </w:p>
    <w:p w:rsidR="00E65183" w:rsidRPr="00C83BDF" w:rsidRDefault="00E65183" w:rsidP="00E65183">
      <w:pPr>
        <w:jc w:val="center"/>
        <w:rPr>
          <w:rFonts w:cs="Arial"/>
          <w:sz w:val="18"/>
          <w:szCs w:val="18"/>
          <w:lang w:val="es-ES_tradnl"/>
        </w:rPr>
      </w:pPr>
    </w:p>
    <w:p w:rsidR="00E65183" w:rsidRPr="00C83BDF" w:rsidRDefault="00682848" w:rsidP="00E65183">
      <w:pPr>
        <w:rPr>
          <w:rFonts w:eastAsia="MS Mincho" w:cs="Arial"/>
          <w:sz w:val="18"/>
          <w:szCs w:val="18"/>
          <w:lang w:val="es-ES_tradnl" w:eastAsia="ja-JP"/>
        </w:rPr>
      </w:pPr>
      <w:r w:rsidRPr="00C83BDF">
        <w:rPr>
          <w:rFonts w:eastAsia="MS Mincho" w:cs="Arial"/>
          <w:sz w:val="18"/>
          <w:szCs w:val="18"/>
          <w:lang w:val="es-ES_tradnl" w:eastAsia="ja-JP"/>
        </w:rPr>
        <w:t xml:space="preserve">Albania, Alemania, Argentina, Bélgica, Bolivia, Bosnia y Herzegovina, Brasil, Burkina Faso, Camboya, Camerún, Canadá, Chile, China, Colombia, Costa Rica, Croacia, Cuba, Ecuador, Egipto, Eslovaquia, España, Estados Unidos de América, Estonia, Etiopía, ex República Yugoslava de Macedonia, Federación de Rusia, Filipinas, Francia, Ghana, Grecia, Honduras, Hungría, India, Indonesia, Irán (República Islámica del), Italia, Japón, Kenya, Malasia, Marruecos, México, Myanmar, Nigeria, Nueva Zelandia, OAPI, Omán, Países Bajos, Paraguay, Perú, Polonia, Portugal, Reino Unido, República de Corea, República de Moldova, República Democrática Popular Lao, República Unida de Tanzanía, Senegal, Serbia, Singapur, Sri Lanka, Trinidad y Tabago, Turquía, Uganda, Unión Europea, Uruguay, Viet Nam </w:t>
      </w:r>
      <w:r w:rsidR="00E11F4C" w:rsidRPr="00C83BDF">
        <w:rPr>
          <w:rFonts w:eastAsia="MS Mincho" w:cs="Arial"/>
          <w:sz w:val="18"/>
          <w:szCs w:val="18"/>
          <w:lang w:val="es-ES_tradnl" w:eastAsia="ja-JP"/>
        </w:rPr>
        <w:t>(total:  63 países y 2 organizaciones).</w:t>
      </w:r>
    </w:p>
    <w:p w:rsidR="00E65183" w:rsidRPr="00C83BDF" w:rsidRDefault="00E65183" w:rsidP="00E65183">
      <w:pPr>
        <w:rPr>
          <w:rFonts w:eastAsia="MS Mincho" w:cs="Arial"/>
          <w:sz w:val="18"/>
          <w:szCs w:val="18"/>
          <w:lang w:val="es-ES_tradnl" w:eastAsia="ja-JP"/>
        </w:rPr>
      </w:pPr>
    </w:p>
    <w:p w:rsidR="00E65183" w:rsidRPr="00C83BDF" w:rsidRDefault="00E65183" w:rsidP="00E65183">
      <w:pPr>
        <w:rPr>
          <w:sz w:val="18"/>
          <w:szCs w:val="18"/>
          <w:lang w:val="es-ES_tradnl"/>
        </w:rPr>
      </w:pPr>
    </w:p>
    <w:p w:rsidR="00E65183" w:rsidRPr="00C83BDF" w:rsidRDefault="005F4562" w:rsidP="00E65183">
      <w:pPr>
        <w:keepNext/>
        <w:jc w:val="center"/>
        <w:rPr>
          <w:rFonts w:cs="Arial"/>
          <w:sz w:val="18"/>
          <w:szCs w:val="18"/>
          <w:lang w:val="es-ES_tradnl"/>
        </w:rPr>
      </w:pPr>
      <w:r w:rsidRPr="00C83BDF">
        <w:rPr>
          <w:rFonts w:cs="Arial"/>
          <w:sz w:val="18"/>
          <w:szCs w:val="18"/>
          <w:lang w:val="es-ES_tradnl"/>
        </w:rPr>
        <w:br w:type="page"/>
      </w:r>
      <w:r w:rsidR="00E11F4C" w:rsidRPr="00C83BDF">
        <w:rPr>
          <w:rFonts w:cs="Arial"/>
          <w:sz w:val="18"/>
          <w:szCs w:val="18"/>
          <w:lang w:val="es-ES_tradnl"/>
        </w:rPr>
        <w:t>Número total de participantes en las sesiones principales del curso DL</w:t>
      </w:r>
      <w:r w:rsidR="00E11F4C" w:rsidRPr="00C83BDF">
        <w:rPr>
          <w:rFonts w:cs="Arial"/>
          <w:sz w:val="18"/>
          <w:szCs w:val="18"/>
          <w:lang w:val="es-ES_tradnl"/>
        </w:rPr>
        <w:noBreakHyphen/>
        <w:t>205</w:t>
      </w:r>
      <w:r w:rsidR="00E65183" w:rsidRPr="00C83BDF">
        <w:rPr>
          <w:rFonts w:cs="Arial"/>
          <w:sz w:val="18"/>
          <w:szCs w:val="18"/>
          <w:lang w:val="es-ES_tradnl"/>
        </w:rPr>
        <w:t xml:space="preserve"> </w:t>
      </w:r>
      <w:r w:rsidR="00E65183" w:rsidRPr="00C83BDF">
        <w:rPr>
          <w:rFonts w:cs="Arial"/>
          <w:sz w:val="18"/>
          <w:szCs w:val="18"/>
          <w:lang w:val="es-ES_tradnl"/>
        </w:rPr>
        <w:br/>
      </w:r>
      <w:r w:rsidR="00E11F4C" w:rsidRPr="00C83BDF">
        <w:rPr>
          <w:rFonts w:cs="Arial"/>
          <w:sz w:val="18"/>
          <w:szCs w:val="18"/>
          <w:lang w:val="es-ES_tradnl"/>
        </w:rPr>
        <w:t>por categoría (dos sesiones en 2014)</w:t>
      </w:r>
    </w:p>
    <w:p w:rsidR="00E65183" w:rsidRPr="00C83BDF" w:rsidRDefault="00E65183" w:rsidP="00E65183">
      <w:pPr>
        <w:keepNext/>
        <w:rPr>
          <w:rFonts w:cs="Arial"/>
          <w:sz w:val="18"/>
          <w:szCs w:val="18"/>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275"/>
      </w:tblGrid>
      <w:tr w:rsidR="00E65183" w:rsidRPr="00C83BDF">
        <w:tc>
          <w:tcPr>
            <w:tcW w:w="8364" w:type="dxa"/>
            <w:shd w:val="clear" w:color="auto" w:fill="D9D9D9"/>
            <w:vAlign w:val="center"/>
          </w:tcPr>
          <w:p w:rsidR="00E65183" w:rsidRPr="00C83BDF" w:rsidRDefault="00682848" w:rsidP="00BB0D03">
            <w:pPr>
              <w:spacing w:before="20" w:after="20"/>
              <w:jc w:val="left"/>
              <w:rPr>
                <w:rFonts w:eastAsia="MS Mincho"/>
                <w:sz w:val="18"/>
                <w:szCs w:val="18"/>
                <w:lang w:val="es-ES_tradnl"/>
              </w:rPr>
            </w:pPr>
            <w:r w:rsidRPr="00C83BDF">
              <w:rPr>
                <w:rFonts w:eastAsia="MS Mincho"/>
                <w:sz w:val="18"/>
                <w:szCs w:val="18"/>
                <w:lang w:val="es-ES_tradnl"/>
              </w:rPr>
              <w:t>Categoría</w:t>
            </w:r>
          </w:p>
        </w:tc>
        <w:tc>
          <w:tcPr>
            <w:tcW w:w="1275" w:type="dxa"/>
            <w:shd w:val="clear" w:color="auto" w:fill="D9D9D9"/>
            <w:vAlign w:val="center"/>
          </w:tcPr>
          <w:p w:rsidR="00E65183" w:rsidRPr="00C83BDF" w:rsidRDefault="00682848" w:rsidP="00BB0D03">
            <w:pPr>
              <w:spacing w:before="20" w:after="20"/>
              <w:jc w:val="center"/>
              <w:rPr>
                <w:sz w:val="18"/>
                <w:szCs w:val="18"/>
                <w:lang w:val="es-ES_tradnl"/>
              </w:rPr>
            </w:pPr>
            <w:r w:rsidRPr="00C83BDF">
              <w:rPr>
                <w:sz w:val="18"/>
                <w:szCs w:val="18"/>
                <w:lang w:val="es-ES_tradnl"/>
              </w:rPr>
              <w:t>Número de participantes</w:t>
            </w:r>
          </w:p>
        </w:tc>
      </w:tr>
      <w:tr w:rsidR="00E65183" w:rsidRPr="00C83BDF">
        <w:tc>
          <w:tcPr>
            <w:tcW w:w="8364" w:type="dxa"/>
          </w:tcPr>
          <w:p w:rsidR="00E65183" w:rsidRPr="00C83BDF" w:rsidRDefault="00682848" w:rsidP="00BB0D03">
            <w:pPr>
              <w:spacing w:before="20" w:after="20"/>
              <w:jc w:val="left"/>
              <w:rPr>
                <w:sz w:val="18"/>
                <w:szCs w:val="18"/>
                <w:lang w:val="es-ES_tradnl"/>
              </w:rPr>
            </w:pPr>
            <w:r w:rsidRPr="00C83BDF">
              <w:rPr>
                <w:rFonts w:eastAsia="MS Mincho"/>
                <w:sz w:val="18"/>
                <w:szCs w:val="18"/>
                <w:lang w:val="es-ES_tradnl"/>
              </w:rPr>
              <w:t>Categoría 1:</w:t>
            </w:r>
            <w:r w:rsidR="00E65183" w:rsidRPr="00C83BDF">
              <w:rPr>
                <w:rFonts w:eastAsia="MS Mincho"/>
                <w:sz w:val="18"/>
                <w:szCs w:val="18"/>
                <w:lang w:val="es-ES_tradnl"/>
              </w:rPr>
              <w:t xml:space="preserve">  </w:t>
            </w:r>
            <w:r w:rsidRPr="00C83BDF">
              <w:rPr>
                <w:rFonts w:eastAsia="MS Mincho"/>
                <w:sz w:val="18"/>
                <w:szCs w:val="18"/>
                <w:lang w:val="es-ES_tradnl"/>
              </w:rPr>
              <w:t>Funcionarios gubernamentales de miembros de la Unión designados por el representante pertinente ante el Consejo de la UPOV</w:t>
            </w:r>
            <w:r w:rsidR="00E65183" w:rsidRPr="00C83BDF">
              <w:rPr>
                <w:rFonts w:eastAsia="MS Mincho"/>
                <w:sz w:val="18"/>
                <w:szCs w:val="18"/>
                <w:lang w:val="es-ES_tradnl"/>
              </w:rPr>
              <w:br/>
            </w:r>
            <w:r w:rsidRPr="00C83BDF">
              <w:rPr>
                <w:rFonts w:eastAsia="MS Mincho"/>
                <w:sz w:val="18"/>
                <w:szCs w:val="18"/>
                <w:lang w:val="es-ES_tradnl"/>
              </w:rPr>
              <w:t>Inscripción gratuita</w:t>
            </w:r>
          </w:p>
        </w:tc>
        <w:tc>
          <w:tcPr>
            <w:tcW w:w="1275" w:type="dxa"/>
            <w:vAlign w:val="bottom"/>
          </w:tcPr>
          <w:p w:rsidR="00E65183" w:rsidRPr="00C83BDF" w:rsidRDefault="00E65183" w:rsidP="006A7447">
            <w:pPr>
              <w:spacing w:before="20" w:after="20"/>
              <w:ind w:right="340"/>
              <w:jc w:val="right"/>
              <w:rPr>
                <w:sz w:val="18"/>
                <w:szCs w:val="18"/>
                <w:lang w:val="es-ES_tradnl"/>
              </w:rPr>
            </w:pPr>
            <w:r w:rsidRPr="00C83BDF">
              <w:rPr>
                <w:sz w:val="18"/>
                <w:szCs w:val="18"/>
                <w:lang w:val="es-ES_tradnl"/>
              </w:rPr>
              <w:t>196</w:t>
            </w:r>
          </w:p>
        </w:tc>
      </w:tr>
      <w:tr w:rsidR="00E65183" w:rsidRPr="00C83BDF">
        <w:tc>
          <w:tcPr>
            <w:tcW w:w="8364" w:type="dxa"/>
          </w:tcPr>
          <w:p w:rsidR="00E65183" w:rsidRPr="00C83BDF" w:rsidRDefault="00682848" w:rsidP="004D15B4">
            <w:pPr>
              <w:spacing w:before="20" w:after="20"/>
              <w:jc w:val="left"/>
              <w:rPr>
                <w:sz w:val="18"/>
                <w:szCs w:val="18"/>
                <w:lang w:val="es-ES_tradnl"/>
              </w:rPr>
            </w:pPr>
            <w:r w:rsidRPr="00C83BDF">
              <w:rPr>
                <w:rFonts w:eastAsia="MS Mincho"/>
                <w:sz w:val="18"/>
                <w:szCs w:val="18"/>
                <w:lang w:val="es-ES_tradnl"/>
              </w:rPr>
              <w:t>Categoría 2:</w:t>
            </w:r>
            <w:r w:rsidR="00E65183" w:rsidRPr="00C83BDF">
              <w:rPr>
                <w:rFonts w:eastAsia="MS Mincho"/>
                <w:sz w:val="18"/>
                <w:szCs w:val="18"/>
                <w:lang w:val="es-ES_tradnl"/>
              </w:rPr>
              <w:t xml:space="preserve">  </w:t>
            </w:r>
            <w:r w:rsidRPr="00C83BDF">
              <w:rPr>
                <w:rFonts w:eastAsia="MS Mincho"/>
                <w:sz w:val="18"/>
                <w:szCs w:val="18"/>
                <w:lang w:val="es-ES_tradnl"/>
              </w:rPr>
              <w:t>Funcionarios de organizaciones intergubernamentales o Estados observadores designados por el representante pertinente ante el Consejo de la UPOV</w:t>
            </w:r>
            <w:r w:rsidR="00E65183" w:rsidRPr="00C83BDF">
              <w:rPr>
                <w:rFonts w:eastAsia="MS Mincho"/>
                <w:sz w:val="18"/>
                <w:szCs w:val="18"/>
                <w:lang w:val="es-ES_tradnl"/>
              </w:rPr>
              <w:t xml:space="preserve"> </w:t>
            </w:r>
            <w:r w:rsidR="00E65183" w:rsidRPr="00C83BDF">
              <w:rPr>
                <w:rFonts w:eastAsia="MS Mincho"/>
                <w:sz w:val="18"/>
                <w:szCs w:val="18"/>
                <w:lang w:val="es-ES_tradnl"/>
              </w:rPr>
              <w:br/>
            </w:r>
            <w:r w:rsidRPr="00C83BDF">
              <w:rPr>
                <w:rFonts w:eastAsia="MS Mincho"/>
                <w:sz w:val="18"/>
                <w:szCs w:val="18"/>
                <w:lang w:val="es-ES_tradnl"/>
              </w:rPr>
              <w:t>Una inscripción gratuita por cada Estado u organización intergubernamental;</w:t>
            </w:r>
            <w:r w:rsidR="00E65183" w:rsidRPr="00C83BDF">
              <w:rPr>
                <w:rFonts w:eastAsia="MS Mincho"/>
                <w:sz w:val="18"/>
                <w:szCs w:val="18"/>
                <w:lang w:val="es-ES_tradnl"/>
              </w:rPr>
              <w:t xml:space="preserve">  </w:t>
            </w:r>
            <w:r w:rsidR="00E65183" w:rsidRPr="00C83BDF">
              <w:rPr>
                <w:rFonts w:eastAsia="MS Mincho"/>
                <w:sz w:val="18"/>
                <w:szCs w:val="18"/>
                <w:lang w:val="es-ES_tradnl"/>
              </w:rPr>
              <w:br/>
            </w:r>
            <w:r w:rsidRPr="00C83BDF">
              <w:rPr>
                <w:rFonts w:eastAsia="MS Mincho"/>
                <w:sz w:val="18"/>
                <w:szCs w:val="18"/>
                <w:lang w:val="es-ES_tradnl"/>
              </w:rPr>
              <w:t>Inscripciones adicionales:</w:t>
            </w:r>
            <w:r w:rsidR="00E65183" w:rsidRPr="00C83BDF">
              <w:rPr>
                <w:rFonts w:eastAsia="MS Mincho"/>
                <w:sz w:val="18"/>
                <w:szCs w:val="18"/>
                <w:lang w:val="es-ES_tradnl"/>
              </w:rPr>
              <w:t xml:space="preserve"> </w:t>
            </w:r>
            <w:r w:rsidRPr="00C83BDF">
              <w:rPr>
                <w:rFonts w:eastAsia="MS Mincho"/>
                <w:sz w:val="18"/>
                <w:szCs w:val="18"/>
                <w:lang w:val="es-ES_tradnl"/>
              </w:rPr>
              <w:t xml:space="preserve"> 1.000 francos suizos por participante</w:t>
            </w:r>
          </w:p>
        </w:tc>
        <w:tc>
          <w:tcPr>
            <w:tcW w:w="1275" w:type="dxa"/>
            <w:vAlign w:val="bottom"/>
          </w:tcPr>
          <w:p w:rsidR="00E65183" w:rsidRPr="00C83BDF" w:rsidRDefault="00E65183" w:rsidP="006A7447">
            <w:pPr>
              <w:spacing w:before="20" w:after="20"/>
              <w:ind w:right="340"/>
              <w:jc w:val="right"/>
              <w:rPr>
                <w:sz w:val="18"/>
                <w:szCs w:val="18"/>
                <w:lang w:val="es-ES_tradnl"/>
              </w:rPr>
            </w:pPr>
            <w:r w:rsidRPr="00C83BDF">
              <w:rPr>
                <w:sz w:val="18"/>
                <w:szCs w:val="18"/>
                <w:lang w:val="es-ES_tradnl"/>
              </w:rPr>
              <w:t>7</w:t>
            </w:r>
          </w:p>
        </w:tc>
      </w:tr>
      <w:tr w:rsidR="00E65183" w:rsidRPr="00C83BDF">
        <w:tc>
          <w:tcPr>
            <w:tcW w:w="8364" w:type="dxa"/>
          </w:tcPr>
          <w:p w:rsidR="00E65183" w:rsidRPr="00C83BDF" w:rsidRDefault="00682848" w:rsidP="004D15B4">
            <w:pPr>
              <w:spacing w:before="20" w:after="20"/>
              <w:jc w:val="left"/>
              <w:rPr>
                <w:sz w:val="18"/>
                <w:szCs w:val="18"/>
                <w:lang w:val="es-ES_tradnl"/>
              </w:rPr>
            </w:pPr>
            <w:r w:rsidRPr="00C83BDF">
              <w:rPr>
                <w:rFonts w:eastAsia="MS Mincho"/>
                <w:sz w:val="18"/>
                <w:szCs w:val="18"/>
                <w:lang w:val="es-ES_tradnl"/>
              </w:rPr>
              <w:t>Categoría 3:</w:t>
            </w:r>
            <w:r w:rsidR="00E65183" w:rsidRPr="00C83BDF">
              <w:rPr>
                <w:rFonts w:eastAsia="MS Mincho"/>
                <w:sz w:val="18"/>
                <w:szCs w:val="18"/>
                <w:lang w:val="es-ES_tradnl"/>
              </w:rPr>
              <w:t xml:space="preserve">  </w:t>
            </w:r>
            <w:r w:rsidRPr="00C83BDF">
              <w:rPr>
                <w:rFonts w:eastAsia="MS Mincho"/>
                <w:sz w:val="18"/>
                <w:szCs w:val="18"/>
                <w:lang w:val="es-ES_tradnl"/>
              </w:rPr>
              <w:t>Otros</w:t>
            </w:r>
            <w:r w:rsidR="00E65183" w:rsidRPr="00C83BDF">
              <w:rPr>
                <w:rFonts w:eastAsia="MS Mincho"/>
                <w:sz w:val="18"/>
                <w:szCs w:val="18"/>
                <w:lang w:val="es-ES_tradnl"/>
              </w:rPr>
              <w:br/>
            </w:r>
            <w:r w:rsidRPr="00C83BDF">
              <w:rPr>
                <w:rFonts w:eastAsia="MS Mincho"/>
                <w:sz w:val="18"/>
                <w:szCs w:val="18"/>
                <w:lang w:val="es-ES_tradnl"/>
              </w:rPr>
              <w:t>Tasa de inscripción:</w:t>
            </w:r>
            <w:r w:rsidR="00E65183" w:rsidRPr="00C83BDF">
              <w:rPr>
                <w:rFonts w:eastAsia="MS Mincho"/>
                <w:sz w:val="18"/>
                <w:szCs w:val="18"/>
                <w:lang w:val="es-ES_tradnl"/>
              </w:rPr>
              <w:t xml:space="preserve"> </w:t>
            </w:r>
            <w:r w:rsidRPr="00C83BDF">
              <w:rPr>
                <w:rFonts w:eastAsia="MS Mincho"/>
                <w:sz w:val="18"/>
                <w:szCs w:val="18"/>
                <w:lang w:val="es-ES_tradnl"/>
              </w:rPr>
              <w:t xml:space="preserve"> 1.000 francos suizos</w:t>
            </w:r>
          </w:p>
        </w:tc>
        <w:tc>
          <w:tcPr>
            <w:tcW w:w="1275" w:type="dxa"/>
            <w:vAlign w:val="bottom"/>
          </w:tcPr>
          <w:p w:rsidR="00E65183" w:rsidRPr="00C83BDF" w:rsidRDefault="00E65183" w:rsidP="006A7447">
            <w:pPr>
              <w:spacing w:before="20" w:after="20"/>
              <w:ind w:right="340"/>
              <w:jc w:val="right"/>
              <w:rPr>
                <w:sz w:val="18"/>
                <w:szCs w:val="18"/>
                <w:lang w:val="es-ES_tradnl"/>
              </w:rPr>
            </w:pPr>
            <w:r w:rsidRPr="00C83BDF">
              <w:rPr>
                <w:sz w:val="18"/>
                <w:szCs w:val="18"/>
                <w:lang w:val="es-ES_tradnl"/>
              </w:rPr>
              <w:t>18</w:t>
            </w:r>
          </w:p>
        </w:tc>
      </w:tr>
      <w:tr w:rsidR="00E65183" w:rsidRPr="00C83BDF">
        <w:tc>
          <w:tcPr>
            <w:tcW w:w="8364" w:type="dxa"/>
          </w:tcPr>
          <w:p w:rsidR="00E65183" w:rsidRPr="00C83BDF" w:rsidRDefault="00682848" w:rsidP="004D15B4">
            <w:pPr>
              <w:spacing w:before="20" w:after="20"/>
              <w:jc w:val="left"/>
              <w:rPr>
                <w:sz w:val="18"/>
                <w:szCs w:val="18"/>
                <w:lang w:val="es-ES_tradnl"/>
              </w:rPr>
            </w:pPr>
            <w:r w:rsidRPr="00C83BDF">
              <w:rPr>
                <w:rFonts w:eastAsia="MS Mincho"/>
                <w:sz w:val="18"/>
                <w:szCs w:val="18"/>
                <w:lang w:val="es-ES_tradnl"/>
              </w:rPr>
              <w:t>Categoría 4:</w:t>
            </w:r>
            <w:r w:rsidR="00E65183" w:rsidRPr="00C83BDF">
              <w:rPr>
                <w:rFonts w:eastAsia="MS Mincho"/>
                <w:sz w:val="18"/>
                <w:szCs w:val="18"/>
                <w:lang w:val="es-ES_tradnl"/>
              </w:rPr>
              <w:t xml:space="preserve">  </w:t>
            </w:r>
            <w:r w:rsidRPr="00C83BDF">
              <w:rPr>
                <w:sz w:val="18"/>
                <w:szCs w:val="18"/>
                <w:lang w:val="es-ES_tradnl"/>
              </w:rPr>
              <w:t>Exención discrecional del pago de la tasa de inscripción para determinados participantes</w:t>
            </w:r>
          </w:p>
        </w:tc>
        <w:tc>
          <w:tcPr>
            <w:tcW w:w="1275" w:type="dxa"/>
            <w:vAlign w:val="bottom"/>
          </w:tcPr>
          <w:p w:rsidR="00E65183" w:rsidRPr="00C83BDF" w:rsidRDefault="00E65183" w:rsidP="006A7447">
            <w:pPr>
              <w:spacing w:before="20" w:after="20"/>
              <w:ind w:right="340"/>
              <w:jc w:val="right"/>
              <w:rPr>
                <w:sz w:val="18"/>
                <w:szCs w:val="18"/>
                <w:lang w:val="es-ES_tradnl"/>
              </w:rPr>
            </w:pPr>
            <w:r w:rsidRPr="00C83BDF">
              <w:rPr>
                <w:sz w:val="18"/>
                <w:szCs w:val="18"/>
                <w:lang w:val="es-ES_tradnl"/>
              </w:rPr>
              <w:t>8</w:t>
            </w:r>
          </w:p>
        </w:tc>
      </w:tr>
      <w:tr w:rsidR="00E65183" w:rsidRPr="00C83BDF">
        <w:tc>
          <w:tcPr>
            <w:tcW w:w="8364" w:type="dxa"/>
          </w:tcPr>
          <w:p w:rsidR="00E65183" w:rsidRPr="00C83BDF" w:rsidRDefault="00682848" w:rsidP="004D15B4">
            <w:pPr>
              <w:spacing w:before="20" w:after="20"/>
              <w:ind w:right="318"/>
              <w:jc w:val="right"/>
              <w:rPr>
                <w:rFonts w:eastAsia="MS Mincho"/>
                <w:sz w:val="18"/>
                <w:szCs w:val="18"/>
                <w:lang w:val="es-ES_tradnl"/>
              </w:rPr>
            </w:pPr>
            <w:r w:rsidRPr="00C83BDF">
              <w:rPr>
                <w:rFonts w:eastAsia="MS Mincho"/>
                <w:sz w:val="18"/>
                <w:szCs w:val="18"/>
                <w:lang w:val="es-ES_tradnl"/>
              </w:rPr>
              <w:t>Total:</w:t>
            </w:r>
          </w:p>
        </w:tc>
        <w:tc>
          <w:tcPr>
            <w:tcW w:w="1275" w:type="dxa"/>
            <w:vAlign w:val="bottom"/>
          </w:tcPr>
          <w:p w:rsidR="00E65183" w:rsidRPr="00C83BDF" w:rsidRDefault="00E65183" w:rsidP="006A7447">
            <w:pPr>
              <w:spacing w:before="20" w:after="20"/>
              <w:ind w:right="340"/>
              <w:jc w:val="right"/>
              <w:rPr>
                <w:sz w:val="18"/>
                <w:szCs w:val="18"/>
                <w:lang w:val="es-ES_tradnl"/>
              </w:rPr>
            </w:pPr>
            <w:r w:rsidRPr="00C83BDF">
              <w:rPr>
                <w:sz w:val="18"/>
                <w:szCs w:val="18"/>
                <w:lang w:val="es-ES_tradnl"/>
              </w:rPr>
              <w:t>229</w:t>
            </w:r>
          </w:p>
        </w:tc>
      </w:tr>
    </w:tbl>
    <w:p w:rsidR="00E65183" w:rsidRPr="00C83BDF" w:rsidRDefault="00E65183" w:rsidP="00E65183">
      <w:pPr>
        <w:rPr>
          <w:rFonts w:cs="Arial"/>
          <w:sz w:val="18"/>
          <w:szCs w:val="18"/>
          <w:lang w:val="es-ES_tradnl"/>
        </w:rPr>
      </w:pPr>
    </w:p>
    <w:p w:rsidR="00E65183" w:rsidRPr="00C83BDF" w:rsidRDefault="00E65183" w:rsidP="00E65183">
      <w:pPr>
        <w:rPr>
          <w:rFonts w:cs="Arial"/>
          <w:sz w:val="18"/>
          <w:szCs w:val="18"/>
          <w:lang w:val="es-ES_tradnl"/>
        </w:rPr>
      </w:pPr>
    </w:p>
    <w:p w:rsidR="00E65183" w:rsidRPr="00C83BDF" w:rsidRDefault="00682848" w:rsidP="00E65183">
      <w:pPr>
        <w:keepNext/>
        <w:jc w:val="center"/>
        <w:rPr>
          <w:rFonts w:cs="Arial"/>
          <w:sz w:val="18"/>
          <w:szCs w:val="18"/>
          <w:lang w:val="es-ES_tradnl"/>
        </w:rPr>
      </w:pPr>
      <w:r w:rsidRPr="00C83BDF">
        <w:rPr>
          <w:rFonts w:cs="Arial"/>
          <w:sz w:val="18"/>
          <w:szCs w:val="18"/>
          <w:lang w:val="es-ES_tradnl"/>
        </w:rPr>
        <w:t>Número total de participantes en las sesiones principales del curso DL</w:t>
      </w:r>
      <w:r w:rsidRPr="00C83BDF">
        <w:rPr>
          <w:rFonts w:cs="Arial"/>
          <w:sz w:val="18"/>
          <w:szCs w:val="18"/>
          <w:lang w:val="es-ES_tradnl"/>
        </w:rPr>
        <w:noBreakHyphen/>
        <w:t>205</w:t>
      </w:r>
      <w:r w:rsidR="00E65183" w:rsidRPr="00C83BDF">
        <w:rPr>
          <w:rFonts w:cs="Arial"/>
          <w:sz w:val="18"/>
          <w:szCs w:val="18"/>
          <w:lang w:val="es-ES_tradnl"/>
        </w:rPr>
        <w:t xml:space="preserve"> </w:t>
      </w:r>
      <w:r w:rsidR="00E65183" w:rsidRPr="00C83BDF">
        <w:rPr>
          <w:rFonts w:cs="Arial"/>
          <w:sz w:val="18"/>
          <w:szCs w:val="18"/>
          <w:lang w:val="es-ES_tradnl"/>
        </w:rPr>
        <w:br/>
      </w:r>
      <w:r w:rsidRPr="00C83BDF">
        <w:rPr>
          <w:rFonts w:cs="Arial"/>
          <w:sz w:val="18"/>
          <w:szCs w:val="18"/>
          <w:lang w:val="es-ES_tradnl"/>
        </w:rPr>
        <w:t>por idioma (en 2014)</w:t>
      </w:r>
    </w:p>
    <w:p w:rsidR="00E65183" w:rsidRPr="00C83BDF" w:rsidRDefault="00E65183" w:rsidP="00E65183">
      <w:pPr>
        <w:keepNext/>
        <w:rPr>
          <w:lang w:val="es-ES_tradn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169"/>
        <w:gridCol w:w="1170"/>
        <w:gridCol w:w="1169"/>
        <w:gridCol w:w="1170"/>
        <w:gridCol w:w="1275"/>
      </w:tblGrid>
      <w:tr w:rsidR="00E121A4" w:rsidRPr="00C83BDF">
        <w:tc>
          <w:tcPr>
            <w:tcW w:w="3686" w:type="dxa"/>
            <w:tcBorders>
              <w:top w:val="single" w:sz="4" w:space="0" w:color="auto"/>
              <w:left w:val="single" w:sz="4" w:space="0" w:color="auto"/>
              <w:bottom w:val="single" w:sz="4" w:space="0" w:color="auto"/>
              <w:right w:val="single" w:sz="4" w:space="0" w:color="auto"/>
            </w:tcBorders>
            <w:vAlign w:val="center"/>
          </w:tcPr>
          <w:p w:rsidR="00E121A4" w:rsidRPr="00C83BDF" w:rsidRDefault="00E121A4" w:rsidP="006A7447">
            <w:pPr>
              <w:spacing w:before="40" w:after="40"/>
              <w:jc w:val="left"/>
              <w:rPr>
                <w:sz w:val="18"/>
                <w:lang w:val="es-ES_tradnl"/>
              </w:rPr>
            </w:pPr>
          </w:p>
        </w:tc>
        <w:tc>
          <w:tcPr>
            <w:tcW w:w="1169" w:type="dxa"/>
            <w:tcBorders>
              <w:top w:val="single" w:sz="4" w:space="0" w:color="auto"/>
              <w:left w:val="single" w:sz="4" w:space="0" w:color="auto"/>
              <w:bottom w:val="single" w:sz="4" w:space="0" w:color="auto"/>
              <w:right w:val="single" w:sz="4" w:space="0" w:color="auto"/>
            </w:tcBorders>
            <w:vAlign w:val="center"/>
          </w:tcPr>
          <w:p w:rsidR="00E121A4" w:rsidRPr="00C83BDF" w:rsidRDefault="00E121A4" w:rsidP="00984BC0">
            <w:pPr>
              <w:spacing w:before="40" w:after="40"/>
              <w:jc w:val="center"/>
              <w:rPr>
                <w:sz w:val="18"/>
                <w:lang w:val="es-ES_tradnl"/>
              </w:rPr>
            </w:pPr>
            <w:r w:rsidRPr="00C83BDF">
              <w:rPr>
                <w:sz w:val="18"/>
                <w:lang w:val="es-ES_tradnl"/>
              </w:rPr>
              <w:t>Alemán</w:t>
            </w:r>
          </w:p>
        </w:tc>
        <w:tc>
          <w:tcPr>
            <w:tcW w:w="1170" w:type="dxa"/>
            <w:tcBorders>
              <w:top w:val="single" w:sz="4" w:space="0" w:color="auto"/>
              <w:left w:val="single" w:sz="4" w:space="0" w:color="auto"/>
              <w:bottom w:val="single" w:sz="4" w:space="0" w:color="auto"/>
              <w:right w:val="single" w:sz="4" w:space="0" w:color="auto"/>
            </w:tcBorders>
            <w:vAlign w:val="center"/>
          </w:tcPr>
          <w:p w:rsidR="00E121A4" w:rsidRPr="00C83BDF" w:rsidRDefault="00E121A4" w:rsidP="00984BC0">
            <w:pPr>
              <w:spacing w:before="40" w:after="40"/>
              <w:jc w:val="center"/>
              <w:rPr>
                <w:sz w:val="18"/>
                <w:lang w:val="es-ES_tradnl"/>
              </w:rPr>
            </w:pPr>
            <w:r w:rsidRPr="00C83BDF">
              <w:rPr>
                <w:sz w:val="18"/>
                <w:lang w:val="es-ES_tradnl"/>
              </w:rPr>
              <w:t>Español</w:t>
            </w:r>
          </w:p>
        </w:tc>
        <w:tc>
          <w:tcPr>
            <w:tcW w:w="1169" w:type="dxa"/>
            <w:tcBorders>
              <w:top w:val="single" w:sz="4" w:space="0" w:color="auto"/>
              <w:left w:val="single" w:sz="4" w:space="0" w:color="auto"/>
              <w:bottom w:val="single" w:sz="4" w:space="0" w:color="auto"/>
              <w:right w:val="single" w:sz="4" w:space="0" w:color="auto"/>
            </w:tcBorders>
            <w:vAlign w:val="center"/>
          </w:tcPr>
          <w:p w:rsidR="00E121A4" w:rsidRPr="00C83BDF" w:rsidRDefault="00E121A4" w:rsidP="00984BC0">
            <w:pPr>
              <w:spacing w:before="40" w:after="40"/>
              <w:jc w:val="center"/>
              <w:rPr>
                <w:sz w:val="18"/>
                <w:lang w:val="es-ES_tradnl"/>
              </w:rPr>
            </w:pPr>
            <w:r w:rsidRPr="00C83BDF">
              <w:rPr>
                <w:sz w:val="18"/>
                <w:lang w:val="es-ES_tradnl"/>
              </w:rPr>
              <w:t>Francés</w:t>
            </w:r>
          </w:p>
        </w:tc>
        <w:tc>
          <w:tcPr>
            <w:tcW w:w="1170" w:type="dxa"/>
            <w:tcBorders>
              <w:top w:val="single" w:sz="4" w:space="0" w:color="auto"/>
              <w:left w:val="single" w:sz="4" w:space="0" w:color="auto"/>
              <w:bottom w:val="single" w:sz="4" w:space="0" w:color="auto"/>
              <w:right w:val="single" w:sz="4" w:space="0" w:color="auto"/>
            </w:tcBorders>
            <w:vAlign w:val="center"/>
          </w:tcPr>
          <w:p w:rsidR="00E121A4" w:rsidRPr="00C83BDF" w:rsidRDefault="00E121A4" w:rsidP="00984BC0">
            <w:pPr>
              <w:spacing w:before="40" w:after="40"/>
              <w:jc w:val="center"/>
              <w:rPr>
                <w:sz w:val="18"/>
                <w:lang w:val="es-ES_tradnl"/>
              </w:rPr>
            </w:pPr>
            <w:r w:rsidRPr="00C83BDF">
              <w:rPr>
                <w:sz w:val="18"/>
                <w:lang w:val="es-ES_tradnl"/>
              </w:rPr>
              <w:t>Inglés</w:t>
            </w:r>
          </w:p>
        </w:tc>
        <w:tc>
          <w:tcPr>
            <w:tcW w:w="1275" w:type="dxa"/>
            <w:tcBorders>
              <w:top w:val="single" w:sz="4" w:space="0" w:color="auto"/>
              <w:left w:val="single" w:sz="4" w:space="0" w:color="auto"/>
              <w:bottom w:val="single" w:sz="4" w:space="0" w:color="auto"/>
              <w:right w:val="single" w:sz="4" w:space="0" w:color="auto"/>
            </w:tcBorders>
            <w:vAlign w:val="center"/>
          </w:tcPr>
          <w:p w:rsidR="00E121A4" w:rsidRPr="00C83BDF" w:rsidRDefault="00E121A4" w:rsidP="004D15B4">
            <w:pPr>
              <w:spacing w:before="40" w:after="40"/>
              <w:jc w:val="center"/>
              <w:rPr>
                <w:sz w:val="18"/>
                <w:lang w:val="es-ES_tradnl"/>
              </w:rPr>
            </w:pPr>
            <w:r w:rsidRPr="00C83BDF">
              <w:rPr>
                <w:sz w:val="18"/>
                <w:lang w:val="es-ES_tradnl"/>
              </w:rPr>
              <w:t>Total</w:t>
            </w:r>
          </w:p>
        </w:tc>
      </w:tr>
      <w:tr w:rsidR="00E121A4" w:rsidRPr="00C83BDF">
        <w:tc>
          <w:tcPr>
            <w:tcW w:w="3686" w:type="dxa"/>
            <w:tcBorders>
              <w:top w:val="single" w:sz="4" w:space="0" w:color="auto"/>
              <w:left w:val="single" w:sz="4" w:space="0" w:color="auto"/>
              <w:bottom w:val="single" w:sz="4" w:space="0" w:color="auto"/>
              <w:right w:val="single" w:sz="4" w:space="0" w:color="auto"/>
            </w:tcBorders>
          </w:tcPr>
          <w:p w:rsidR="00E121A4" w:rsidRPr="00C83BDF" w:rsidRDefault="00E121A4" w:rsidP="004D15B4">
            <w:pPr>
              <w:spacing w:before="40" w:after="40"/>
              <w:jc w:val="left"/>
              <w:rPr>
                <w:sz w:val="18"/>
                <w:lang w:val="es-ES_tradnl"/>
              </w:rPr>
            </w:pPr>
            <w:r w:rsidRPr="00C83BDF">
              <w:rPr>
                <w:sz w:val="18"/>
                <w:szCs w:val="24"/>
                <w:lang w:val="es-ES_tradnl"/>
              </w:rPr>
              <w:t>Sesión I:</w:t>
            </w:r>
            <w:r w:rsidRPr="00C83BDF">
              <w:rPr>
                <w:sz w:val="18"/>
                <w:szCs w:val="24"/>
                <w:lang w:val="es-ES_tradnl"/>
              </w:rPr>
              <w:tab/>
              <w:t>Total por idioma</w:t>
            </w:r>
          </w:p>
        </w:tc>
        <w:tc>
          <w:tcPr>
            <w:tcW w:w="1169" w:type="dxa"/>
            <w:tcBorders>
              <w:top w:val="single" w:sz="4" w:space="0" w:color="auto"/>
              <w:left w:val="single" w:sz="4" w:space="0" w:color="auto"/>
              <w:bottom w:val="single" w:sz="4" w:space="0" w:color="auto"/>
              <w:right w:val="single" w:sz="4" w:space="0" w:color="auto"/>
            </w:tcBorders>
          </w:tcPr>
          <w:p w:rsidR="00E121A4" w:rsidRPr="00C83BDF" w:rsidRDefault="00E121A4" w:rsidP="00984BC0">
            <w:pPr>
              <w:spacing w:before="40" w:after="40"/>
              <w:ind w:right="340"/>
              <w:jc w:val="right"/>
              <w:rPr>
                <w:sz w:val="18"/>
                <w:lang w:val="es-ES_tradnl"/>
              </w:rPr>
            </w:pPr>
            <w:r w:rsidRPr="00C83BDF">
              <w:rPr>
                <w:sz w:val="18"/>
                <w:lang w:val="es-ES_tradnl"/>
              </w:rPr>
              <w:t>1</w:t>
            </w:r>
          </w:p>
        </w:tc>
        <w:tc>
          <w:tcPr>
            <w:tcW w:w="1170" w:type="dxa"/>
            <w:tcBorders>
              <w:top w:val="single" w:sz="4" w:space="0" w:color="auto"/>
              <w:left w:val="single" w:sz="4" w:space="0" w:color="auto"/>
              <w:bottom w:val="single" w:sz="4" w:space="0" w:color="auto"/>
              <w:right w:val="single" w:sz="4" w:space="0" w:color="auto"/>
            </w:tcBorders>
          </w:tcPr>
          <w:p w:rsidR="00E121A4" w:rsidRPr="00C83BDF" w:rsidRDefault="00E121A4" w:rsidP="00984BC0">
            <w:pPr>
              <w:spacing w:before="40" w:after="40"/>
              <w:ind w:right="340"/>
              <w:jc w:val="right"/>
              <w:rPr>
                <w:sz w:val="18"/>
                <w:lang w:val="es-ES_tradnl"/>
              </w:rPr>
            </w:pPr>
            <w:r w:rsidRPr="00C83BDF">
              <w:rPr>
                <w:sz w:val="18"/>
                <w:lang w:val="es-ES_tradnl"/>
              </w:rPr>
              <w:t>25</w:t>
            </w:r>
          </w:p>
        </w:tc>
        <w:tc>
          <w:tcPr>
            <w:tcW w:w="1169" w:type="dxa"/>
            <w:tcBorders>
              <w:top w:val="single" w:sz="4" w:space="0" w:color="auto"/>
              <w:left w:val="single" w:sz="4" w:space="0" w:color="auto"/>
              <w:bottom w:val="single" w:sz="4" w:space="0" w:color="auto"/>
              <w:right w:val="single" w:sz="4" w:space="0" w:color="auto"/>
            </w:tcBorders>
          </w:tcPr>
          <w:p w:rsidR="00E121A4" w:rsidRPr="00C83BDF" w:rsidRDefault="00E121A4" w:rsidP="00984BC0">
            <w:pPr>
              <w:spacing w:before="40" w:after="40"/>
              <w:ind w:right="340"/>
              <w:jc w:val="right"/>
              <w:rPr>
                <w:sz w:val="18"/>
                <w:lang w:val="es-ES_tradnl"/>
              </w:rPr>
            </w:pPr>
            <w:r w:rsidRPr="00C83BDF">
              <w:rPr>
                <w:sz w:val="18"/>
                <w:lang w:val="es-ES_tradnl"/>
              </w:rPr>
              <w:t>2</w:t>
            </w:r>
          </w:p>
        </w:tc>
        <w:tc>
          <w:tcPr>
            <w:tcW w:w="1170" w:type="dxa"/>
            <w:tcBorders>
              <w:top w:val="single" w:sz="4" w:space="0" w:color="auto"/>
              <w:left w:val="single" w:sz="4" w:space="0" w:color="auto"/>
              <w:bottom w:val="single" w:sz="4" w:space="0" w:color="auto"/>
              <w:right w:val="single" w:sz="4" w:space="0" w:color="auto"/>
            </w:tcBorders>
          </w:tcPr>
          <w:p w:rsidR="00E121A4" w:rsidRPr="00C83BDF" w:rsidRDefault="00E121A4" w:rsidP="00984BC0">
            <w:pPr>
              <w:spacing w:before="40" w:after="40"/>
              <w:ind w:right="340"/>
              <w:jc w:val="right"/>
              <w:rPr>
                <w:sz w:val="18"/>
                <w:lang w:val="es-ES_tradnl"/>
              </w:rPr>
            </w:pPr>
            <w:r w:rsidRPr="00C83BDF">
              <w:rPr>
                <w:sz w:val="18"/>
                <w:lang w:val="es-ES_tradnl"/>
              </w:rPr>
              <w:t>55</w:t>
            </w:r>
          </w:p>
        </w:tc>
        <w:tc>
          <w:tcPr>
            <w:tcW w:w="1275" w:type="dxa"/>
            <w:tcBorders>
              <w:top w:val="single" w:sz="4" w:space="0" w:color="auto"/>
              <w:left w:val="single" w:sz="4" w:space="0" w:color="auto"/>
              <w:bottom w:val="single" w:sz="4" w:space="0" w:color="auto"/>
              <w:right w:val="single" w:sz="4" w:space="0" w:color="auto"/>
            </w:tcBorders>
          </w:tcPr>
          <w:p w:rsidR="00E121A4" w:rsidRPr="00C83BDF" w:rsidRDefault="00E121A4" w:rsidP="006A7447">
            <w:pPr>
              <w:spacing w:before="40" w:after="40"/>
              <w:ind w:right="340"/>
              <w:jc w:val="right"/>
              <w:rPr>
                <w:sz w:val="18"/>
                <w:lang w:val="es-ES_tradnl"/>
              </w:rPr>
            </w:pPr>
            <w:r w:rsidRPr="00C83BDF">
              <w:rPr>
                <w:sz w:val="18"/>
                <w:lang w:val="es-ES_tradnl"/>
              </w:rPr>
              <w:t>83</w:t>
            </w:r>
          </w:p>
        </w:tc>
      </w:tr>
      <w:tr w:rsidR="00E121A4" w:rsidRPr="00C83BDF">
        <w:tc>
          <w:tcPr>
            <w:tcW w:w="3686" w:type="dxa"/>
            <w:tcBorders>
              <w:top w:val="single" w:sz="4" w:space="0" w:color="auto"/>
              <w:left w:val="single" w:sz="4" w:space="0" w:color="auto"/>
              <w:bottom w:val="single" w:sz="4" w:space="0" w:color="auto"/>
              <w:right w:val="single" w:sz="4" w:space="0" w:color="auto"/>
            </w:tcBorders>
          </w:tcPr>
          <w:p w:rsidR="00E121A4" w:rsidRPr="00C83BDF" w:rsidRDefault="00E121A4" w:rsidP="00682848">
            <w:pPr>
              <w:spacing w:before="40" w:after="40"/>
              <w:jc w:val="left"/>
              <w:rPr>
                <w:sz w:val="18"/>
                <w:szCs w:val="24"/>
                <w:lang w:val="es-ES_tradnl"/>
              </w:rPr>
            </w:pPr>
            <w:r w:rsidRPr="00C83BDF">
              <w:rPr>
                <w:sz w:val="18"/>
                <w:szCs w:val="24"/>
                <w:lang w:val="es-ES_tradnl"/>
              </w:rPr>
              <w:t>Sesión II:</w:t>
            </w:r>
            <w:r w:rsidRPr="00C83BDF">
              <w:rPr>
                <w:sz w:val="18"/>
                <w:szCs w:val="24"/>
                <w:lang w:val="es-ES_tradnl"/>
              </w:rPr>
              <w:tab/>
              <w:t>Total por idioma</w:t>
            </w:r>
          </w:p>
        </w:tc>
        <w:tc>
          <w:tcPr>
            <w:tcW w:w="1169" w:type="dxa"/>
            <w:tcBorders>
              <w:top w:val="single" w:sz="4" w:space="0" w:color="auto"/>
              <w:left w:val="single" w:sz="4" w:space="0" w:color="auto"/>
              <w:bottom w:val="single" w:sz="4" w:space="0" w:color="auto"/>
              <w:right w:val="single" w:sz="4" w:space="0" w:color="auto"/>
            </w:tcBorders>
          </w:tcPr>
          <w:p w:rsidR="00E121A4" w:rsidRPr="00C83BDF" w:rsidRDefault="00E121A4" w:rsidP="00984BC0">
            <w:pPr>
              <w:spacing w:before="40" w:after="40"/>
              <w:ind w:right="340"/>
              <w:jc w:val="right"/>
              <w:rPr>
                <w:sz w:val="18"/>
                <w:lang w:val="es-ES_tradnl"/>
              </w:rPr>
            </w:pPr>
            <w:r w:rsidRPr="00C83BDF">
              <w:rPr>
                <w:sz w:val="18"/>
                <w:lang w:val="es-ES_tradnl"/>
              </w:rPr>
              <w:t>6</w:t>
            </w:r>
          </w:p>
        </w:tc>
        <w:tc>
          <w:tcPr>
            <w:tcW w:w="1170" w:type="dxa"/>
            <w:tcBorders>
              <w:top w:val="single" w:sz="4" w:space="0" w:color="auto"/>
              <w:left w:val="single" w:sz="4" w:space="0" w:color="auto"/>
              <w:bottom w:val="single" w:sz="4" w:space="0" w:color="auto"/>
              <w:right w:val="single" w:sz="4" w:space="0" w:color="auto"/>
            </w:tcBorders>
          </w:tcPr>
          <w:p w:rsidR="00E121A4" w:rsidRPr="00C83BDF" w:rsidRDefault="00E121A4" w:rsidP="00984BC0">
            <w:pPr>
              <w:spacing w:before="40" w:after="40"/>
              <w:ind w:right="340"/>
              <w:jc w:val="right"/>
              <w:rPr>
                <w:sz w:val="18"/>
                <w:lang w:val="es-ES_tradnl"/>
              </w:rPr>
            </w:pPr>
            <w:r w:rsidRPr="00C83BDF">
              <w:rPr>
                <w:sz w:val="18"/>
                <w:lang w:val="es-ES_tradnl"/>
              </w:rPr>
              <w:t>73</w:t>
            </w:r>
          </w:p>
        </w:tc>
        <w:tc>
          <w:tcPr>
            <w:tcW w:w="1169" w:type="dxa"/>
            <w:tcBorders>
              <w:top w:val="single" w:sz="4" w:space="0" w:color="auto"/>
              <w:left w:val="single" w:sz="4" w:space="0" w:color="auto"/>
              <w:bottom w:val="single" w:sz="4" w:space="0" w:color="auto"/>
              <w:right w:val="single" w:sz="4" w:space="0" w:color="auto"/>
            </w:tcBorders>
          </w:tcPr>
          <w:p w:rsidR="00E121A4" w:rsidRPr="00C83BDF" w:rsidRDefault="00E121A4" w:rsidP="00984BC0">
            <w:pPr>
              <w:spacing w:before="40" w:after="40"/>
              <w:ind w:right="340"/>
              <w:jc w:val="right"/>
              <w:rPr>
                <w:sz w:val="18"/>
                <w:lang w:val="es-ES_tradnl"/>
              </w:rPr>
            </w:pPr>
            <w:r w:rsidRPr="00C83BDF">
              <w:rPr>
                <w:sz w:val="18"/>
                <w:lang w:val="es-ES_tradnl"/>
              </w:rPr>
              <w:t>14</w:t>
            </w:r>
          </w:p>
        </w:tc>
        <w:tc>
          <w:tcPr>
            <w:tcW w:w="1170" w:type="dxa"/>
            <w:tcBorders>
              <w:top w:val="single" w:sz="4" w:space="0" w:color="auto"/>
              <w:left w:val="single" w:sz="4" w:space="0" w:color="auto"/>
              <w:bottom w:val="single" w:sz="4" w:space="0" w:color="auto"/>
              <w:right w:val="single" w:sz="4" w:space="0" w:color="auto"/>
            </w:tcBorders>
          </w:tcPr>
          <w:p w:rsidR="00E121A4" w:rsidRPr="00C83BDF" w:rsidRDefault="00E121A4" w:rsidP="00984BC0">
            <w:pPr>
              <w:spacing w:before="40" w:after="40"/>
              <w:ind w:right="340"/>
              <w:jc w:val="right"/>
              <w:rPr>
                <w:sz w:val="18"/>
                <w:lang w:val="es-ES_tradnl"/>
              </w:rPr>
            </w:pPr>
            <w:r w:rsidRPr="00C83BDF">
              <w:rPr>
                <w:sz w:val="18"/>
                <w:lang w:val="es-ES_tradnl"/>
              </w:rPr>
              <w:t>53</w:t>
            </w:r>
          </w:p>
        </w:tc>
        <w:tc>
          <w:tcPr>
            <w:tcW w:w="1275" w:type="dxa"/>
            <w:tcBorders>
              <w:top w:val="single" w:sz="4" w:space="0" w:color="auto"/>
              <w:left w:val="single" w:sz="4" w:space="0" w:color="auto"/>
              <w:bottom w:val="single" w:sz="4" w:space="0" w:color="auto"/>
              <w:right w:val="single" w:sz="4" w:space="0" w:color="auto"/>
            </w:tcBorders>
          </w:tcPr>
          <w:p w:rsidR="00E121A4" w:rsidRPr="00C83BDF" w:rsidRDefault="00E121A4" w:rsidP="006A7447">
            <w:pPr>
              <w:spacing w:before="40" w:after="40"/>
              <w:ind w:right="340"/>
              <w:jc w:val="right"/>
              <w:rPr>
                <w:sz w:val="18"/>
                <w:lang w:val="es-ES_tradnl"/>
              </w:rPr>
            </w:pPr>
            <w:r w:rsidRPr="00C83BDF">
              <w:rPr>
                <w:sz w:val="18"/>
                <w:lang w:val="es-ES_tradnl"/>
              </w:rPr>
              <w:t>146</w:t>
            </w:r>
          </w:p>
        </w:tc>
      </w:tr>
      <w:tr w:rsidR="00E121A4" w:rsidRPr="00C83BDF">
        <w:tc>
          <w:tcPr>
            <w:tcW w:w="8364" w:type="dxa"/>
            <w:gridSpan w:val="5"/>
            <w:tcBorders>
              <w:top w:val="single" w:sz="4" w:space="0" w:color="auto"/>
              <w:left w:val="single" w:sz="4" w:space="0" w:color="auto"/>
              <w:bottom w:val="single" w:sz="4" w:space="0" w:color="auto"/>
              <w:right w:val="single" w:sz="4" w:space="0" w:color="auto"/>
            </w:tcBorders>
            <w:vAlign w:val="center"/>
          </w:tcPr>
          <w:p w:rsidR="00E121A4" w:rsidRPr="00C83BDF" w:rsidRDefault="00E121A4" w:rsidP="00682848">
            <w:pPr>
              <w:spacing w:before="40" w:after="40"/>
              <w:ind w:right="318"/>
              <w:jc w:val="right"/>
              <w:rPr>
                <w:rFonts w:eastAsia="MS Mincho"/>
                <w:sz w:val="18"/>
                <w:szCs w:val="18"/>
                <w:lang w:val="es-ES_tradnl"/>
              </w:rPr>
            </w:pPr>
            <w:r w:rsidRPr="00C83BDF">
              <w:rPr>
                <w:rFonts w:eastAsia="MS Mincho"/>
                <w:sz w:val="18"/>
                <w:szCs w:val="18"/>
                <w:lang w:val="es-ES_tradnl"/>
              </w:rPr>
              <w:t>Total:</w:t>
            </w:r>
          </w:p>
        </w:tc>
        <w:tc>
          <w:tcPr>
            <w:tcW w:w="1275" w:type="dxa"/>
            <w:tcBorders>
              <w:top w:val="single" w:sz="4" w:space="0" w:color="auto"/>
              <w:left w:val="single" w:sz="4" w:space="0" w:color="auto"/>
              <w:bottom w:val="single" w:sz="4" w:space="0" w:color="auto"/>
              <w:right w:val="single" w:sz="4" w:space="0" w:color="auto"/>
            </w:tcBorders>
          </w:tcPr>
          <w:p w:rsidR="00E121A4" w:rsidRPr="00C83BDF" w:rsidRDefault="00E121A4" w:rsidP="006A7447">
            <w:pPr>
              <w:spacing w:before="40" w:after="40"/>
              <w:ind w:right="340"/>
              <w:jc w:val="right"/>
              <w:rPr>
                <w:sz w:val="18"/>
                <w:lang w:val="es-ES_tradnl"/>
              </w:rPr>
            </w:pPr>
            <w:r w:rsidRPr="00C83BDF">
              <w:rPr>
                <w:sz w:val="18"/>
                <w:lang w:val="es-ES_tradnl"/>
              </w:rPr>
              <w:t>229</w:t>
            </w:r>
          </w:p>
        </w:tc>
      </w:tr>
    </w:tbl>
    <w:p w:rsidR="00E65183" w:rsidRPr="00C83BDF" w:rsidRDefault="00E65183" w:rsidP="00E65183">
      <w:pPr>
        <w:rPr>
          <w:rFonts w:cs="Arial"/>
          <w:sz w:val="18"/>
          <w:szCs w:val="18"/>
          <w:lang w:val="es-ES_tradnl"/>
        </w:rPr>
      </w:pPr>
    </w:p>
    <w:p w:rsidR="00E65183" w:rsidRPr="00C83BDF" w:rsidRDefault="00E65183" w:rsidP="00E65183">
      <w:pPr>
        <w:rPr>
          <w:rFonts w:cs="Arial"/>
          <w:sz w:val="18"/>
          <w:szCs w:val="18"/>
          <w:lang w:val="es-ES_tradnl"/>
        </w:rPr>
      </w:pPr>
    </w:p>
    <w:p w:rsidR="00E65183" w:rsidRPr="00C83BDF" w:rsidRDefault="00682848" w:rsidP="00E65183">
      <w:pPr>
        <w:keepNext/>
        <w:jc w:val="center"/>
        <w:rPr>
          <w:rFonts w:cs="Arial"/>
          <w:sz w:val="18"/>
          <w:szCs w:val="18"/>
          <w:u w:val="single"/>
          <w:lang w:val="es-ES_tradnl"/>
        </w:rPr>
      </w:pPr>
      <w:r w:rsidRPr="00C83BDF">
        <w:rPr>
          <w:rFonts w:cs="Arial"/>
          <w:sz w:val="18"/>
          <w:szCs w:val="18"/>
          <w:u w:val="single"/>
          <w:lang w:val="es-ES_tradnl"/>
        </w:rPr>
        <w:t>Sesiones especiales del curso DL</w:t>
      </w:r>
      <w:r w:rsidRPr="00C83BDF">
        <w:rPr>
          <w:rFonts w:cs="Arial"/>
          <w:sz w:val="18"/>
          <w:szCs w:val="18"/>
          <w:u w:val="single"/>
          <w:lang w:val="es-ES_tradnl"/>
        </w:rPr>
        <w:noBreakHyphen/>
        <w:t>205 en 2014</w:t>
      </w:r>
    </w:p>
    <w:p w:rsidR="00E65183" w:rsidRPr="00C83BDF" w:rsidRDefault="00E65183" w:rsidP="00E65183">
      <w:pPr>
        <w:keepNext/>
        <w:rPr>
          <w:rFonts w:cs="Arial"/>
          <w:sz w:val="18"/>
          <w:szCs w:val="18"/>
          <w:lang w:val="es-ES_tradnl"/>
        </w:rPr>
      </w:pPr>
    </w:p>
    <w:tbl>
      <w:tblPr>
        <w:tblW w:w="978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6396"/>
        <w:gridCol w:w="993"/>
        <w:gridCol w:w="1275"/>
      </w:tblGrid>
      <w:tr w:rsidR="00E65183" w:rsidRPr="00C83BDF">
        <w:tc>
          <w:tcPr>
            <w:tcW w:w="1117" w:type="dxa"/>
            <w:shd w:val="solid" w:color="C0C0C0" w:fill="D9D9D9"/>
            <w:tcMar>
              <w:left w:w="57" w:type="dxa"/>
              <w:right w:w="57" w:type="dxa"/>
            </w:tcMar>
            <w:vAlign w:val="bottom"/>
          </w:tcPr>
          <w:p w:rsidR="00E65183" w:rsidRPr="00C83BDF" w:rsidRDefault="00682848" w:rsidP="00682848">
            <w:pPr>
              <w:autoSpaceDE w:val="0"/>
              <w:autoSpaceDN w:val="0"/>
              <w:adjustRightInd w:val="0"/>
              <w:spacing w:before="40" w:after="40"/>
              <w:jc w:val="left"/>
              <w:rPr>
                <w:rFonts w:eastAsia="MS Mincho" w:cs="Arial"/>
                <w:color w:val="000000"/>
                <w:sz w:val="18"/>
                <w:szCs w:val="18"/>
                <w:lang w:val="es-ES_tradnl" w:eastAsia="ja-JP"/>
              </w:rPr>
            </w:pPr>
            <w:r w:rsidRPr="00C83BDF">
              <w:rPr>
                <w:rFonts w:eastAsia="MS Mincho" w:cs="Arial"/>
                <w:sz w:val="18"/>
                <w:szCs w:val="18"/>
                <w:lang w:val="es-ES_tradnl" w:eastAsia="ja-JP"/>
              </w:rPr>
              <w:t>Mes/</w:t>
            </w:r>
            <w:r w:rsidR="00E65183" w:rsidRPr="00C83BDF">
              <w:rPr>
                <w:rFonts w:eastAsia="MS Mincho" w:cs="Arial"/>
                <w:color w:val="000000"/>
                <w:sz w:val="18"/>
                <w:szCs w:val="18"/>
                <w:lang w:val="es-ES_tradnl" w:eastAsia="ja-JP"/>
              </w:rPr>
              <w:br/>
            </w:r>
            <w:r w:rsidRPr="00C83BDF">
              <w:rPr>
                <w:rFonts w:eastAsia="MS Mincho" w:cs="Arial"/>
                <w:sz w:val="18"/>
                <w:szCs w:val="18"/>
                <w:lang w:val="es-ES_tradnl" w:eastAsia="ja-JP"/>
              </w:rPr>
              <w:t>año</w:t>
            </w:r>
          </w:p>
        </w:tc>
        <w:tc>
          <w:tcPr>
            <w:tcW w:w="6396" w:type="dxa"/>
            <w:shd w:val="solid" w:color="C0C0C0" w:fill="D9D9D9"/>
            <w:tcMar>
              <w:left w:w="57" w:type="dxa"/>
              <w:right w:w="57" w:type="dxa"/>
            </w:tcMar>
            <w:vAlign w:val="bottom"/>
          </w:tcPr>
          <w:p w:rsidR="00E65183" w:rsidRPr="00C83BDF" w:rsidRDefault="00682848" w:rsidP="00682848">
            <w:pPr>
              <w:autoSpaceDE w:val="0"/>
              <w:autoSpaceDN w:val="0"/>
              <w:adjustRightInd w:val="0"/>
              <w:spacing w:before="40" w:after="40"/>
              <w:jc w:val="left"/>
              <w:rPr>
                <w:rFonts w:eastAsia="MS Mincho" w:cs="Arial"/>
                <w:color w:val="000000"/>
                <w:sz w:val="18"/>
                <w:szCs w:val="18"/>
                <w:lang w:val="es-ES_tradnl" w:eastAsia="ja-JP"/>
              </w:rPr>
            </w:pPr>
            <w:r w:rsidRPr="00C83BDF">
              <w:rPr>
                <w:rFonts w:eastAsia="MS Mincho" w:cs="Arial"/>
                <w:sz w:val="18"/>
                <w:szCs w:val="18"/>
                <w:lang w:val="es-ES_tradnl" w:eastAsia="ja-JP"/>
              </w:rPr>
              <w:t>Título del Curso</w:t>
            </w:r>
          </w:p>
        </w:tc>
        <w:tc>
          <w:tcPr>
            <w:tcW w:w="993" w:type="dxa"/>
            <w:shd w:val="solid" w:color="C0C0C0" w:fill="D9D9D9"/>
            <w:tcMar>
              <w:left w:w="57" w:type="dxa"/>
              <w:right w:w="57" w:type="dxa"/>
            </w:tcMar>
            <w:vAlign w:val="bottom"/>
          </w:tcPr>
          <w:p w:rsidR="00E65183" w:rsidRPr="00C83BDF" w:rsidRDefault="00682848" w:rsidP="00E121A4">
            <w:pPr>
              <w:autoSpaceDE w:val="0"/>
              <w:autoSpaceDN w:val="0"/>
              <w:adjustRightInd w:val="0"/>
              <w:spacing w:before="40" w:after="40"/>
              <w:jc w:val="center"/>
              <w:rPr>
                <w:rFonts w:eastAsia="MS Mincho" w:cs="Arial"/>
                <w:color w:val="000000"/>
                <w:sz w:val="18"/>
                <w:szCs w:val="18"/>
                <w:lang w:val="es-ES_tradnl" w:eastAsia="ja-JP"/>
              </w:rPr>
            </w:pPr>
            <w:r w:rsidRPr="00C83BDF">
              <w:rPr>
                <w:rFonts w:eastAsia="MS Mincho" w:cs="Arial"/>
                <w:sz w:val="18"/>
                <w:szCs w:val="18"/>
                <w:lang w:val="es-ES_tradnl" w:eastAsia="ja-JP"/>
              </w:rPr>
              <w:t>Idioma</w:t>
            </w:r>
          </w:p>
        </w:tc>
        <w:tc>
          <w:tcPr>
            <w:tcW w:w="1275" w:type="dxa"/>
            <w:shd w:val="solid" w:color="C0C0C0" w:fill="D9D9D9"/>
            <w:tcMar>
              <w:left w:w="57" w:type="dxa"/>
              <w:right w:w="57" w:type="dxa"/>
            </w:tcMar>
            <w:vAlign w:val="bottom"/>
          </w:tcPr>
          <w:p w:rsidR="00E65183" w:rsidRPr="00C83BDF" w:rsidRDefault="00682848" w:rsidP="00682848">
            <w:pPr>
              <w:autoSpaceDE w:val="0"/>
              <w:autoSpaceDN w:val="0"/>
              <w:adjustRightInd w:val="0"/>
              <w:spacing w:before="40" w:after="40"/>
              <w:jc w:val="center"/>
              <w:rPr>
                <w:rFonts w:eastAsia="MS Mincho" w:cs="Arial"/>
                <w:color w:val="000000"/>
                <w:sz w:val="18"/>
                <w:szCs w:val="18"/>
                <w:lang w:val="es-ES_tradnl" w:eastAsia="ja-JP"/>
              </w:rPr>
            </w:pPr>
            <w:r w:rsidRPr="00C83BDF">
              <w:rPr>
                <w:rFonts w:eastAsia="MS Mincho" w:cs="Arial"/>
                <w:color w:val="000000"/>
                <w:sz w:val="18"/>
                <w:szCs w:val="18"/>
                <w:lang w:val="es-ES_tradnl" w:eastAsia="ja-JP"/>
              </w:rPr>
              <w:t>Número de participantes</w:t>
            </w:r>
          </w:p>
        </w:tc>
      </w:tr>
      <w:tr w:rsidR="00E65183" w:rsidRPr="00C83BDF">
        <w:tc>
          <w:tcPr>
            <w:tcW w:w="1117" w:type="dxa"/>
            <w:tcMar>
              <w:left w:w="57" w:type="dxa"/>
              <w:right w:w="57" w:type="dxa"/>
            </w:tcMar>
          </w:tcPr>
          <w:p w:rsidR="00E65183" w:rsidRPr="00C83BDF" w:rsidRDefault="00682848" w:rsidP="00682848">
            <w:pPr>
              <w:autoSpaceDE w:val="0"/>
              <w:autoSpaceDN w:val="0"/>
              <w:adjustRightInd w:val="0"/>
              <w:spacing w:before="40" w:after="40"/>
              <w:jc w:val="left"/>
              <w:rPr>
                <w:rFonts w:eastAsia="MS Mincho" w:cs="Arial"/>
                <w:color w:val="000000"/>
                <w:sz w:val="18"/>
                <w:szCs w:val="18"/>
                <w:lang w:val="es-ES_tradnl" w:eastAsia="ja-JP"/>
              </w:rPr>
            </w:pPr>
            <w:r w:rsidRPr="00C83BDF">
              <w:rPr>
                <w:rFonts w:eastAsia="MS Mincho" w:cs="Arial"/>
                <w:sz w:val="18"/>
                <w:szCs w:val="18"/>
                <w:lang w:val="es-ES_tradnl" w:eastAsia="ja-JP"/>
              </w:rPr>
              <w:t>Junio de 2014</w:t>
            </w:r>
          </w:p>
        </w:tc>
        <w:tc>
          <w:tcPr>
            <w:tcW w:w="6396" w:type="dxa"/>
            <w:tcMar>
              <w:left w:w="57" w:type="dxa"/>
              <w:right w:w="57" w:type="dxa"/>
            </w:tcMar>
          </w:tcPr>
          <w:p w:rsidR="00E65183" w:rsidRPr="00C83BDF" w:rsidRDefault="00682848" w:rsidP="00682848">
            <w:pPr>
              <w:autoSpaceDE w:val="0"/>
              <w:autoSpaceDN w:val="0"/>
              <w:adjustRightInd w:val="0"/>
              <w:spacing w:before="40" w:after="40"/>
              <w:jc w:val="left"/>
              <w:rPr>
                <w:rFonts w:eastAsia="MS Mincho" w:cs="Arial"/>
                <w:color w:val="000000"/>
                <w:sz w:val="18"/>
                <w:szCs w:val="18"/>
                <w:lang w:val="es-ES_tradnl" w:eastAsia="ja-JP"/>
              </w:rPr>
            </w:pPr>
            <w:r w:rsidRPr="00C83BDF">
              <w:rPr>
                <w:rFonts w:eastAsia="MS Mincho" w:cs="Arial"/>
                <w:sz w:val="18"/>
                <w:szCs w:val="18"/>
                <w:lang w:val="es-ES_tradnl" w:eastAsia="ja-JP"/>
              </w:rPr>
              <w:t>Curso internacional del Naktuinbouw sobre protección de las variedades vegetales</w:t>
            </w:r>
          </w:p>
        </w:tc>
        <w:tc>
          <w:tcPr>
            <w:tcW w:w="993" w:type="dxa"/>
            <w:tcMar>
              <w:left w:w="57" w:type="dxa"/>
              <w:right w:w="57" w:type="dxa"/>
            </w:tcMar>
          </w:tcPr>
          <w:p w:rsidR="00E65183" w:rsidRPr="00C83BDF" w:rsidRDefault="00E65183" w:rsidP="004737CD">
            <w:pPr>
              <w:autoSpaceDE w:val="0"/>
              <w:autoSpaceDN w:val="0"/>
              <w:adjustRightInd w:val="0"/>
              <w:spacing w:before="40" w:after="40"/>
              <w:jc w:val="center"/>
              <w:rPr>
                <w:rFonts w:eastAsia="MS Mincho" w:cs="Arial"/>
                <w:color w:val="000000"/>
                <w:sz w:val="18"/>
                <w:szCs w:val="18"/>
                <w:lang w:val="es-ES_tradnl" w:eastAsia="ja-JP"/>
              </w:rPr>
            </w:pPr>
            <w:r w:rsidRPr="00C83BDF">
              <w:rPr>
                <w:rFonts w:eastAsia="MS Mincho" w:cs="Arial"/>
                <w:color w:val="000000"/>
                <w:sz w:val="18"/>
                <w:szCs w:val="18"/>
                <w:lang w:val="es-ES_tradnl" w:eastAsia="ja-JP"/>
              </w:rPr>
              <w:t>EN</w:t>
            </w:r>
          </w:p>
        </w:tc>
        <w:tc>
          <w:tcPr>
            <w:tcW w:w="1275" w:type="dxa"/>
            <w:tcMar>
              <w:left w:w="57" w:type="dxa"/>
              <w:right w:w="57" w:type="dxa"/>
            </w:tcMar>
          </w:tcPr>
          <w:p w:rsidR="00E65183" w:rsidRPr="00C83BDF" w:rsidRDefault="00E65183" w:rsidP="004737CD">
            <w:pPr>
              <w:autoSpaceDE w:val="0"/>
              <w:autoSpaceDN w:val="0"/>
              <w:adjustRightInd w:val="0"/>
              <w:spacing w:before="40" w:after="40"/>
              <w:jc w:val="center"/>
              <w:rPr>
                <w:rFonts w:eastAsia="MS Mincho" w:cs="Arial"/>
                <w:color w:val="000000"/>
                <w:sz w:val="18"/>
                <w:szCs w:val="18"/>
                <w:lang w:val="es-ES_tradnl" w:eastAsia="ja-JP"/>
              </w:rPr>
            </w:pPr>
            <w:r w:rsidRPr="00C83BDF">
              <w:rPr>
                <w:sz w:val="18"/>
                <w:szCs w:val="18"/>
                <w:lang w:val="es-ES_tradnl"/>
              </w:rPr>
              <w:t>11</w:t>
            </w:r>
          </w:p>
        </w:tc>
      </w:tr>
      <w:tr w:rsidR="00E65183" w:rsidRPr="00C83BDF">
        <w:tc>
          <w:tcPr>
            <w:tcW w:w="1117" w:type="dxa"/>
            <w:tcMar>
              <w:left w:w="57" w:type="dxa"/>
              <w:right w:w="57" w:type="dxa"/>
            </w:tcMar>
          </w:tcPr>
          <w:p w:rsidR="00E65183" w:rsidRPr="00C83BDF" w:rsidRDefault="00682848" w:rsidP="00682848">
            <w:pPr>
              <w:autoSpaceDE w:val="0"/>
              <w:autoSpaceDN w:val="0"/>
              <w:adjustRightInd w:val="0"/>
              <w:spacing w:before="40" w:after="40"/>
              <w:jc w:val="left"/>
              <w:rPr>
                <w:rFonts w:eastAsia="MS Mincho" w:cs="Arial"/>
                <w:color w:val="000000"/>
                <w:sz w:val="18"/>
                <w:szCs w:val="18"/>
                <w:lang w:val="es-ES_tradnl" w:eastAsia="ja-JP"/>
              </w:rPr>
            </w:pPr>
            <w:r w:rsidRPr="00C83BDF">
              <w:rPr>
                <w:rFonts w:eastAsia="MS Mincho" w:cs="Arial"/>
                <w:sz w:val="18"/>
                <w:szCs w:val="18"/>
                <w:lang w:val="es-ES_tradnl" w:eastAsia="ja-JP"/>
              </w:rPr>
              <w:t>Julio de 2014</w:t>
            </w:r>
          </w:p>
        </w:tc>
        <w:tc>
          <w:tcPr>
            <w:tcW w:w="6396" w:type="dxa"/>
            <w:tcMar>
              <w:left w:w="57" w:type="dxa"/>
              <w:right w:w="57" w:type="dxa"/>
            </w:tcMar>
          </w:tcPr>
          <w:p w:rsidR="00E65183" w:rsidRPr="00C83BDF" w:rsidRDefault="00682848" w:rsidP="00682848">
            <w:pPr>
              <w:autoSpaceDE w:val="0"/>
              <w:autoSpaceDN w:val="0"/>
              <w:adjustRightInd w:val="0"/>
              <w:spacing w:before="40" w:after="40"/>
              <w:jc w:val="left"/>
              <w:rPr>
                <w:rFonts w:eastAsia="MS Mincho" w:cs="Arial"/>
                <w:color w:val="000000"/>
                <w:sz w:val="18"/>
                <w:szCs w:val="18"/>
                <w:lang w:val="es-ES_tradnl" w:eastAsia="ja-JP"/>
              </w:rPr>
            </w:pPr>
            <w:r w:rsidRPr="00C83BDF">
              <w:rPr>
                <w:rFonts w:eastAsia="MS Mincho" w:cs="Arial"/>
                <w:sz w:val="18"/>
                <w:szCs w:val="18"/>
                <w:lang w:val="es-ES_tradnl" w:eastAsia="ja-JP"/>
              </w:rPr>
              <w:t>Curso de formación de la KOICA sobre protección de las variedades vegetales (República de Corea)</w:t>
            </w:r>
          </w:p>
        </w:tc>
        <w:tc>
          <w:tcPr>
            <w:tcW w:w="993" w:type="dxa"/>
            <w:tcMar>
              <w:left w:w="57" w:type="dxa"/>
              <w:right w:w="57" w:type="dxa"/>
            </w:tcMar>
          </w:tcPr>
          <w:p w:rsidR="00E65183" w:rsidRPr="00C83BDF" w:rsidRDefault="00E65183" w:rsidP="004737CD">
            <w:pPr>
              <w:autoSpaceDE w:val="0"/>
              <w:autoSpaceDN w:val="0"/>
              <w:adjustRightInd w:val="0"/>
              <w:spacing w:before="40" w:after="40"/>
              <w:jc w:val="center"/>
              <w:rPr>
                <w:rFonts w:eastAsia="MS Mincho" w:cs="Arial"/>
                <w:color w:val="000000"/>
                <w:sz w:val="18"/>
                <w:szCs w:val="18"/>
                <w:lang w:val="es-ES_tradnl" w:eastAsia="ja-JP"/>
              </w:rPr>
            </w:pPr>
            <w:r w:rsidRPr="00C83BDF">
              <w:rPr>
                <w:rFonts w:eastAsia="MS Mincho" w:cs="Arial"/>
                <w:color w:val="000000"/>
                <w:sz w:val="18"/>
                <w:szCs w:val="18"/>
                <w:lang w:val="es-ES_tradnl" w:eastAsia="ja-JP"/>
              </w:rPr>
              <w:t>EN</w:t>
            </w:r>
          </w:p>
        </w:tc>
        <w:tc>
          <w:tcPr>
            <w:tcW w:w="1275" w:type="dxa"/>
            <w:tcMar>
              <w:left w:w="57" w:type="dxa"/>
              <w:right w:w="57" w:type="dxa"/>
            </w:tcMar>
          </w:tcPr>
          <w:p w:rsidR="00E65183" w:rsidRPr="00C83BDF" w:rsidRDefault="00E65183" w:rsidP="004737CD">
            <w:pPr>
              <w:autoSpaceDE w:val="0"/>
              <w:autoSpaceDN w:val="0"/>
              <w:adjustRightInd w:val="0"/>
              <w:spacing w:before="40" w:after="40"/>
              <w:jc w:val="center"/>
              <w:rPr>
                <w:rFonts w:eastAsia="MS Mincho" w:cs="Arial"/>
                <w:color w:val="000000"/>
                <w:sz w:val="18"/>
                <w:szCs w:val="18"/>
                <w:lang w:val="es-ES_tradnl" w:eastAsia="ja-JP"/>
              </w:rPr>
            </w:pPr>
            <w:r w:rsidRPr="00C83BDF">
              <w:rPr>
                <w:sz w:val="18"/>
                <w:szCs w:val="18"/>
                <w:lang w:val="es-ES_tradnl"/>
              </w:rPr>
              <w:t>13</w:t>
            </w:r>
          </w:p>
        </w:tc>
      </w:tr>
      <w:tr w:rsidR="00E65183" w:rsidRPr="00C83BDF">
        <w:tc>
          <w:tcPr>
            <w:tcW w:w="1117" w:type="dxa"/>
            <w:shd w:val="clear" w:color="auto" w:fill="auto"/>
            <w:tcMar>
              <w:left w:w="57" w:type="dxa"/>
              <w:right w:w="57" w:type="dxa"/>
            </w:tcMar>
          </w:tcPr>
          <w:p w:rsidR="00E65183" w:rsidRPr="00C83BDF" w:rsidRDefault="00682848" w:rsidP="00682848">
            <w:pPr>
              <w:autoSpaceDE w:val="0"/>
              <w:autoSpaceDN w:val="0"/>
              <w:adjustRightInd w:val="0"/>
              <w:spacing w:before="40" w:after="40"/>
              <w:jc w:val="left"/>
              <w:rPr>
                <w:rFonts w:eastAsia="MS Mincho" w:cs="Arial"/>
                <w:color w:val="000000"/>
                <w:sz w:val="18"/>
                <w:szCs w:val="18"/>
                <w:lang w:val="es-ES_tradnl" w:eastAsia="ja-JP"/>
              </w:rPr>
            </w:pPr>
            <w:r w:rsidRPr="00C83BDF">
              <w:rPr>
                <w:rFonts w:eastAsia="MS Mincho" w:cs="Arial"/>
                <w:sz w:val="18"/>
                <w:szCs w:val="18"/>
                <w:lang w:val="es-ES_tradnl" w:eastAsia="ja-JP"/>
              </w:rPr>
              <w:t>Julio de 2014</w:t>
            </w:r>
          </w:p>
        </w:tc>
        <w:tc>
          <w:tcPr>
            <w:tcW w:w="6396" w:type="dxa"/>
            <w:shd w:val="clear" w:color="auto" w:fill="auto"/>
            <w:tcMar>
              <w:left w:w="57" w:type="dxa"/>
              <w:right w:w="57" w:type="dxa"/>
            </w:tcMar>
          </w:tcPr>
          <w:p w:rsidR="00E65183" w:rsidRPr="00C83BDF" w:rsidRDefault="00682848" w:rsidP="00584574">
            <w:pPr>
              <w:autoSpaceDE w:val="0"/>
              <w:autoSpaceDN w:val="0"/>
              <w:adjustRightInd w:val="0"/>
              <w:spacing w:before="40" w:after="40"/>
              <w:jc w:val="left"/>
              <w:rPr>
                <w:rFonts w:eastAsia="MS Mincho" w:cs="Arial"/>
                <w:color w:val="000000"/>
                <w:sz w:val="18"/>
                <w:szCs w:val="18"/>
                <w:lang w:val="es-ES_tradnl" w:eastAsia="ja-JP"/>
              </w:rPr>
            </w:pPr>
            <w:r w:rsidRPr="00C83BDF">
              <w:rPr>
                <w:rFonts w:eastAsia="MS Mincho" w:cs="Arial"/>
                <w:sz w:val="18"/>
                <w:szCs w:val="18"/>
                <w:lang w:val="es-ES_tradnl" w:eastAsia="ja-JP"/>
              </w:rPr>
              <w:t xml:space="preserve">Curso de formación de la JICA </w:t>
            </w:r>
            <w:r w:rsidR="00584574" w:rsidRPr="00C83BDF">
              <w:rPr>
                <w:rFonts w:eastAsia="MS Mincho" w:cs="Arial"/>
                <w:sz w:val="18"/>
                <w:szCs w:val="18"/>
                <w:lang w:val="es-ES_tradnl" w:eastAsia="ja-JP"/>
              </w:rPr>
              <w:t xml:space="preserve">sobre la armonización internacional del sistema de protección de las variedades vegetales </w:t>
            </w:r>
            <w:r w:rsidRPr="00C83BDF">
              <w:rPr>
                <w:rFonts w:eastAsia="MS Mincho" w:cs="Arial"/>
                <w:sz w:val="18"/>
                <w:szCs w:val="18"/>
                <w:lang w:val="es-ES_tradnl" w:eastAsia="ja-JP"/>
              </w:rPr>
              <w:t>(Japón)</w:t>
            </w:r>
          </w:p>
        </w:tc>
        <w:tc>
          <w:tcPr>
            <w:tcW w:w="993" w:type="dxa"/>
            <w:shd w:val="clear" w:color="auto" w:fill="auto"/>
            <w:tcMar>
              <w:left w:w="57" w:type="dxa"/>
              <w:right w:w="57" w:type="dxa"/>
            </w:tcMar>
          </w:tcPr>
          <w:p w:rsidR="00E65183" w:rsidRPr="00C83BDF" w:rsidRDefault="00E65183" w:rsidP="004737CD">
            <w:pPr>
              <w:autoSpaceDE w:val="0"/>
              <w:autoSpaceDN w:val="0"/>
              <w:adjustRightInd w:val="0"/>
              <w:spacing w:before="40" w:after="40"/>
              <w:jc w:val="center"/>
              <w:rPr>
                <w:rFonts w:eastAsia="MS Mincho" w:cs="Arial"/>
                <w:color w:val="000000"/>
                <w:sz w:val="18"/>
                <w:szCs w:val="18"/>
                <w:lang w:val="es-ES_tradnl" w:eastAsia="ja-JP"/>
              </w:rPr>
            </w:pPr>
            <w:r w:rsidRPr="00C83BDF">
              <w:rPr>
                <w:rFonts w:eastAsia="MS Mincho" w:cs="Arial"/>
                <w:color w:val="000000"/>
                <w:sz w:val="18"/>
                <w:szCs w:val="18"/>
                <w:lang w:val="es-ES_tradnl" w:eastAsia="ja-JP"/>
              </w:rPr>
              <w:t>EN</w:t>
            </w:r>
          </w:p>
        </w:tc>
        <w:tc>
          <w:tcPr>
            <w:tcW w:w="1275" w:type="dxa"/>
            <w:shd w:val="clear" w:color="auto" w:fill="auto"/>
            <w:tcMar>
              <w:left w:w="57" w:type="dxa"/>
              <w:right w:w="57" w:type="dxa"/>
            </w:tcMar>
          </w:tcPr>
          <w:p w:rsidR="00E65183" w:rsidRPr="00C83BDF" w:rsidRDefault="00E65183" w:rsidP="004737CD">
            <w:pPr>
              <w:autoSpaceDE w:val="0"/>
              <w:autoSpaceDN w:val="0"/>
              <w:adjustRightInd w:val="0"/>
              <w:spacing w:before="40" w:after="40"/>
              <w:jc w:val="center"/>
              <w:rPr>
                <w:rFonts w:eastAsia="MS Mincho" w:cs="Arial"/>
                <w:color w:val="000000"/>
                <w:sz w:val="18"/>
                <w:szCs w:val="18"/>
                <w:lang w:val="es-ES_tradnl" w:eastAsia="ja-JP"/>
              </w:rPr>
            </w:pPr>
            <w:r w:rsidRPr="00C83BDF">
              <w:rPr>
                <w:sz w:val="18"/>
                <w:szCs w:val="18"/>
                <w:lang w:val="es-ES_tradnl"/>
              </w:rPr>
              <w:t>10</w:t>
            </w:r>
          </w:p>
        </w:tc>
      </w:tr>
      <w:tr w:rsidR="00E65183" w:rsidRPr="00C83BDF">
        <w:tc>
          <w:tcPr>
            <w:tcW w:w="1117" w:type="dxa"/>
            <w:shd w:val="clear" w:color="auto" w:fill="auto"/>
            <w:tcMar>
              <w:left w:w="57" w:type="dxa"/>
              <w:right w:w="57" w:type="dxa"/>
            </w:tcMar>
          </w:tcPr>
          <w:p w:rsidR="00E65183" w:rsidRPr="00C83BDF" w:rsidRDefault="00682848" w:rsidP="00584574">
            <w:pPr>
              <w:autoSpaceDE w:val="0"/>
              <w:autoSpaceDN w:val="0"/>
              <w:adjustRightInd w:val="0"/>
              <w:spacing w:before="40" w:after="40"/>
              <w:jc w:val="left"/>
              <w:rPr>
                <w:rFonts w:eastAsia="MS Mincho" w:cs="Arial"/>
                <w:color w:val="000000"/>
                <w:sz w:val="18"/>
                <w:szCs w:val="18"/>
                <w:lang w:val="es-ES_tradnl" w:eastAsia="ja-JP"/>
              </w:rPr>
            </w:pPr>
            <w:r w:rsidRPr="00C83BDF">
              <w:rPr>
                <w:rFonts w:eastAsia="MS Mincho" w:cs="Arial"/>
                <w:sz w:val="18"/>
                <w:szCs w:val="18"/>
                <w:lang w:val="es-ES_tradnl" w:eastAsia="ja-JP"/>
              </w:rPr>
              <w:t>Octubre de 2014</w:t>
            </w:r>
          </w:p>
        </w:tc>
        <w:tc>
          <w:tcPr>
            <w:tcW w:w="6396" w:type="dxa"/>
            <w:shd w:val="clear" w:color="auto" w:fill="auto"/>
            <w:tcMar>
              <w:left w:w="57" w:type="dxa"/>
              <w:right w:w="57" w:type="dxa"/>
            </w:tcMar>
          </w:tcPr>
          <w:p w:rsidR="00E65183" w:rsidRPr="00C83BDF" w:rsidRDefault="00682848" w:rsidP="00584574">
            <w:pPr>
              <w:autoSpaceDE w:val="0"/>
              <w:autoSpaceDN w:val="0"/>
              <w:adjustRightInd w:val="0"/>
              <w:spacing w:before="40" w:after="40"/>
              <w:jc w:val="left"/>
              <w:rPr>
                <w:rFonts w:eastAsia="MS Mincho" w:cs="Arial"/>
                <w:color w:val="000000"/>
                <w:sz w:val="18"/>
                <w:szCs w:val="18"/>
                <w:lang w:val="es-ES_tradnl" w:eastAsia="ja-JP"/>
              </w:rPr>
            </w:pPr>
            <w:r w:rsidRPr="00C83BDF">
              <w:rPr>
                <w:rFonts w:eastAsia="MS Mincho" w:cs="Arial"/>
                <w:color w:val="000000"/>
                <w:sz w:val="18"/>
                <w:szCs w:val="18"/>
                <w:lang w:val="es-ES_tradnl" w:eastAsia="ja-JP"/>
              </w:rPr>
              <w:t>Curso de formación sobre protección de las obtenciones vegetales, Arusha (República Unida de Tanzanía)</w:t>
            </w:r>
          </w:p>
        </w:tc>
        <w:tc>
          <w:tcPr>
            <w:tcW w:w="993" w:type="dxa"/>
            <w:shd w:val="clear" w:color="auto" w:fill="auto"/>
            <w:tcMar>
              <w:left w:w="57" w:type="dxa"/>
              <w:right w:w="57" w:type="dxa"/>
            </w:tcMar>
          </w:tcPr>
          <w:p w:rsidR="00E65183" w:rsidRPr="00C83BDF" w:rsidRDefault="00E65183" w:rsidP="004737CD">
            <w:pPr>
              <w:autoSpaceDE w:val="0"/>
              <w:autoSpaceDN w:val="0"/>
              <w:adjustRightInd w:val="0"/>
              <w:spacing w:before="40" w:after="40"/>
              <w:jc w:val="center"/>
              <w:rPr>
                <w:rFonts w:eastAsia="MS Mincho" w:cs="Arial"/>
                <w:color w:val="000000"/>
                <w:sz w:val="18"/>
                <w:szCs w:val="18"/>
                <w:lang w:val="es-ES_tradnl" w:eastAsia="ja-JP"/>
              </w:rPr>
            </w:pPr>
            <w:r w:rsidRPr="00C83BDF">
              <w:rPr>
                <w:rFonts w:eastAsia="MS Mincho" w:cs="Arial"/>
                <w:color w:val="000000"/>
                <w:sz w:val="18"/>
                <w:szCs w:val="18"/>
                <w:lang w:val="es-ES_tradnl" w:eastAsia="ja-JP"/>
              </w:rPr>
              <w:t>EN</w:t>
            </w:r>
          </w:p>
        </w:tc>
        <w:tc>
          <w:tcPr>
            <w:tcW w:w="1275" w:type="dxa"/>
            <w:shd w:val="clear" w:color="auto" w:fill="auto"/>
            <w:tcMar>
              <w:left w:w="57" w:type="dxa"/>
              <w:right w:w="57" w:type="dxa"/>
            </w:tcMar>
          </w:tcPr>
          <w:p w:rsidR="00E65183" w:rsidRPr="00C83BDF" w:rsidRDefault="00E65183" w:rsidP="004737CD">
            <w:pPr>
              <w:autoSpaceDE w:val="0"/>
              <w:autoSpaceDN w:val="0"/>
              <w:adjustRightInd w:val="0"/>
              <w:spacing w:before="40" w:after="40"/>
              <w:jc w:val="center"/>
              <w:rPr>
                <w:sz w:val="18"/>
                <w:szCs w:val="18"/>
                <w:lang w:val="es-ES_tradnl"/>
              </w:rPr>
            </w:pPr>
            <w:r w:rsidRPr="00C83BDF">
              <w:rPr>
                <w:sz w:val="18"/>
                <w:szCs w:val="18"/>
                <w:lang w:val="es-ES_tradnl"/>
              </w:rPr>
              <w:t>10</w:t>
            </w:r>
          </w:p>
        </w:tc>
      </w:tr>
      <w:tr w:rsidR="00E65183" w:rsidRPr="00C83BDF">
        <w:tc>
          <w:tcPr>
            <w:tcW w:w="1117" w:type="dxa"/>
            <w:shd w:val="clear" w:color="auto" w:fill="auto"/>
            <w:tcMar>
              <w:left w:w="57" w:type="dxa"/>
              <w:right w:w="57" w:type="dxa"/>
            </w:tcMar>
          </w:tcPr>
          <w:p w:rsidR="00E65183" w:rsidRPr="00C83BDF" w:rsidRDefault="00682848" w:rsidP="00584574">
            <w:pPr>
              <w:autoSpaceDE w:val="0"/>
              <w:autoSpaceDN w:val="0"/>
              <w:adjustRightInd w:val="0"/>
              <w:spacing w:before="40" w:after="40"/>
              <w:jc w:val="left"/>
              <w:rPr>
                <w:rFonts w:eastAsia="MS Mincho" w:cs="Arial"/>
                <w:color w:val="000000"/>
                <w:sz w:val="18"/>
                <w:szCs w:val="18"/>
                <w:highlight w:val="yellow"/>
                <w:lang w:val="es-ES_tradnl" w:eastAsia="ja-JP"/>
              </w:rPr>
            </w:pPr>
            <w:r w:rsidRPr="00C83BDF">
              <w:rPr>
                <w:rFonts w:eastAsia="MS Mincho" w:cs="Arial"/>
                <w:color w:val="000000"/>
                <w:sz w:val="18"/>
                <w:szCs w:val="18"/>
                <w:lang w:val="es-ES_tradnl" w:eastAsia="ja-JP"/>
              </w:rPr>
              <w:t>Septiembre de 2014</w:t>
            </w:r>
          </w:p>
        </w:tc>
        <w:tc>
          <w:tcPr>
            <w:tcW w:w="6396" w:type="dxa"/>
            <w:shd w:val="clear" w:color="auto" w:fill="auto"/>
            <w:tcMar>
              <w:left w:w="57" w:type="dxa"/>
              <w:right w:w="57" w:type="dxa"/>
            </w:tcMar>
          </w:tcPr>
          <w:p w:rsidR="00E65183" w:rsidRPr="00C83BDF" w:rsidRDefault="00682848" w:rsidP="00584574">
            <w:pPr>
              <w:autoSpaceDE w:val="0"/>
              <w:autoSpaceDN w:val="0"/>
              <w:adjustRightInd w:val="0"/>
              <w:spacing w:before="40" w:after="40"/>
              <w:jc w:val="left"/>
              <w:rPr>
                <w:rFonts w:eastAsia="MS Mincho" w:cs="Arial"/>
                <w:color w:val="000000"/>
                <w:sz w:val="18"/>
                <w:szCs w:val="18"/>
                <w:highlight w:val="yellow"/>
                <w:lang w:val="es-ES_tradnl" w:eastAsia="ja-JP"/>
              </w:rPr>
            </w:pPr>
            <w:r w:rsidRPr="00C83BDF">
              <w:rPr>
                <w:rFonts w:eastAsia="MS Mincho" w:cs="Arial"/>
                <w:color w:val="000000"/>
                <w:sz w:val="18"/>
                <w:szCs w:val="18"/>
                <w:lang w:val="es-ES_tradnl" w:eastAsia="ja-JP"/>
              </w:rPr>
              <w:t>Seminario internacional sobre la protección de las obtenciones vegetales y Taller internacional sobre los caracteres de las variedades vegetales:</w:t>
            </w:r>
            <w:r w:rsidR="00D94EA2" w:rsidRPr="00C83BDF">
              <w:rPr>
                <w:rFonts w:eastAsia="MS Mincho" w:cs="Arial"/>
                <w:color w:val="000000"/>
                <w:sz w:val="18"/>
                <w:szCs w:val="18"/>
                <w:lang w:val="es-ES_tradnl" w:eastAsia="ja-JP"/>
              </w:rPr>
              <w:t xml:space="preserve">  </w:t>
            </w:r>
            <w:r w:rsidRPr="00C83BDF">
              <w:rPr>
                <w:rFonts w:eastAsia="MS Mincho" w:cs="Arial"/>
                <w:color w:val="000000"/>
                <w:sz w:val="18"/>
                <w:szCs w:val="18"/>
                <w:lang w:val="es-ES_tradnl" w:eastAsia="ja-JP"/>
              </w:rPr>
              <w:t>el aroma del cacao fino (Ecuador)</w:t>
            </w:r>
          </w:p>
        </w:tc>
        <w:tc>
          <w:tcPr>
            <w:tcW w:w="993" w:type="dxa"/>
            <w:shd w:val="clear" w:color="auto" w:fill="auto"/>
            <w:tcMar>
              <w:left w:w="57" w:type="dxa"/>
              <w:right w:w="57" w:type="dxa"/>
            </w:tcMar>
          </w:tcPr>
          <w:p w:rsidR="00E65183" w:rsidRPr="00C83BDF" w:rsidRDefault="00E65183" w:rsidP="004737CD">
            <w:pPr>
              <w:autoSpaceDE w:val="0"/>
              <w:autoSpaceDN w:val="0"/>
              <w:adjustRightInd w:val="0"/>
              <w:spacing w:before="40" w:after="40"/>
              <w:jc w:val="center"/>
              <w:rPr>
                <w:rFonts w:eastAsia="MS Mincho" w:cs="Arial"/>
                <w:color w:val="000000"/>
                <w:sz w:val="18"/>
                <w:szCs w:val="18"/>
                <w:highlight w:val="yellow"/>
                <w:lang w:val="es-ES_tradnl" w:eastAsia="ja-JP"/>
              </w:rPr>
            </w:pPr>
            <w:r w:rsidRPr="00C83BDF">
              <w:rPr>
                <w:rFonts w:eastAsia="MS Mincho" w:cs="Arial"/>
                <w:color w:val="000000"/>
                <w:sz w:val="18"/>
                <w:szCs w:val="18"/>
                <w:lang w:val="es-ES_tradnl" w:eastAsia="ja-JP"/>
              </w:rPr>
              <w:t>ES</w:t>
            </w:r>
          </w:p>
        </w:tc>
        <w:tc>
          <w:tcPr>
            <w:tcW w:w="1275" w:type="dxa"/>
            <w:shd w:val="clear" w:color="auto" w:fill="auto"/>
            <w:tcMar>
              <w:left w:w="57" w:type="dxa"/>
              <w:right w:w="57" w:type="dxa"/>
            </w:tcMar>
          </w:tcPr>
          <w:p w:rsidR="00E65183" w:rsidRPr="00C83BDF" w:rsidRDefault="00E65183" w:rsidP="004737CD">
            <w:pPr>
              <w:autoSpaceDE w:val="0"/>
              <w:autoSpaceDN w:val="0"/>
              <w:adjustRightInd w:val="0"/>
              <w:spacing w:before="40" w:after="40"/>
              <w:jc w:val="center"/>
              <w:rPr>
                <w:rFonts w:eastAsia="MS Mincho" w:cs="Arial"/>
                <w:color w:val="000000"/>
                <w:sz w:val="18"/>
                <w:szCs w:val="18"/>
                <w:lang w:val="es-ES_tradnl" w:eastAsia="ja-JP"/>
              </w:rPr>
            </w:pPr>
            <w:r w:rsidRPr="00C83BDF">
              <w:rPr>
                <w:rFonts w:eastAsia="MS Mincho" w:cs="Arial"/>
                <w:color w:val="000000"/>
                <w:sz w:val="18"/>
                <w:szCs w:val="18"/>
                <w:lang w:val="es-ES_tradnl" w:eastAsia="ja-JP"/>
              </w:rPr>
              <w:t>219</w:t>
            </w:r>
          </w:p>
        </w:tc>
      </w:tr>
      <w:tr w:rsidR="00E65183" w:rsidRPr="00C83BDF">
        <w:tc>
          <w:tcPr>
            <w:tcW w:w="1117" w:type="dxa"/>
            <w:shd w:val="clear" w:color="auto" w:fill="auto"/>
            <w:tcMar>
              <w:left w:w="57" w:type="dxa"/>
              <w:right w:w="57" w:type="dxa"/>
            </w:tcMar>
          </w:tcPr>
          <w:p w:rsidR="00E65183" w:rsidRPr="00C83BDF" w:rsidRDefault="00682848" w:rsidP="00584574">
            <w:pPr>
              <w:autoSpaceDE w:val="0"/>
              <w:autoSpaceDN w:val="0"/>
              <w:adjustRightInd w:val="0"/>
              <w:spacing w:before="40" w:after="40"/>
              <w:jc w:val="left"/>
              <w:rPr>
                <w:rFonts w:eastAsia="MS Mincho" w:cs="Arial"/>
                <w:color w:val="000000"/>
                <w:sz w:val="18"/>
                <w:szCs w:val="18"/>
                <w:lang w:val="es-ES_tradnl" w:eastAsia="ja-JP"/>
              </w:rPr>
            </w:pPr>
            <w:r w:rsidRPr="00C83BDF">
              <w:rPr>
                <w:rFonts w:eastAsia="MS Mincho" w:cs="Arial"/>
                <w:color w:val="000000"/>
                <w:sz w:val="18"/>
                <w:szCs w:val="18"/>
                <w:lang w:val="es-ES_tradnl" w:eastAsia="ja-JP"/>
              </w:rPr>
              <w:t>Noviembre de 2014</w:t>
            </w:r>
          </w:p>
        </w:tc>
        <w:tc>
          <w:tcPr>
            <w:tcW w:w="6396" w:type="dxa"/>
            <w:shd w:val="clear" w:color="auto" w:fill="auto"/>
            <w:tcMar>
              <w:left w:w="57" w:type="dxa"/>
              <w:right w:w="57" w:type="dxa"/>
            </w:tcMar>
          </w:tcPr>
          <w:p w:rsidR="00E65183" w:rsidRPr="00C83BDF" w:rsidRDefault="00682848" w:rsidP="00584574">
            <w:pPr>
              <w:autoSpaceDE w:val="0"/>
              <w:autoSpaceDN w:val="0"/>
              <w:adjustRightInd w:val="0"/>
              <w:spacing w:before="40" w:after="40"/>
              <w:jc w:val="left"/>
              <w:rPr>
                <w:rFonts w:eastAsia="MS Mincho" w:cs="Arial"/>
                <w:color w:val="000000"/>
                <w:sz w:val="18"/>
                <w:szCs w:val="18"/>
                <w:lang w:val="es-ES_tradnl" w:eastAsia="ja-JP"/>
              </w:rPr>
            </w:pPr>
            <w:r w:rsidRPr="00C83BDF">
              <w:rPr>
                <w:rFonts w:eastAsia="MS Mincho" w:cs="Arial"/>
                <w:color w:val="000000"/>
                <w:sz w:val="18"/>
                <w:szCs w:val="18"/>
                <w:lang w:val="es-ES_tradnl" w:eastAsia="ja-JP"/>
              </w:rPr>
              <w:t>Curso de formación para países iberoamericanos sobre la protección de las obtenciones vegetales (Uruguay)</w:t>
            </w:r>
          </w:p>
        </w:tc>
        <w:tc>
          <w:tcPr>
            <w:tcW w:w="993" w:type="dxa"/>
            <w:shd w:val="clear" w:color="auto" w:fill="auto"/>
            <w:tcMar>
              <w:left w:w="57" w:type="dxa"/>
              <w:right w:w="57" w:type="dxa"/>
            </w:tcMar>
          </w:tcPr>
          <w:p w:rsidR="00E65183" w:rsidRPr="00C83BDF" w:rsidRDefault="00E65183" w:rsidP="004737CD">
            <w:pPr>
              <w:autoSpaceDE w:val="0"/>
              <w:autoSpaceDN w:val="0"/>
              <w:adjustRightInd w:val="0"/>
              <w:spacing w:before="40" w:after="40"/>
              <w:jc w:val="center"/>
              <w:rPr>
                <w:rFonts w:eastAsia="MS Mincho" w:cs="Arial"/>
                <w:color w:val="000000"/>
                <w:sz w:val="18"/>
                <w:szCs w:val="18"/>
                <w:lang w:val="es-ES_tradnl" w:eastAsia="ja-JP"/>
              </w:rPr>
            </w:pPr>
            <w:r w:rsidRPr="00C83BDF">
              <w:rPr>
                <w:rFonts w:eastAsia="MS Mincho" w:cs="Arial"/>
                <w:color w:val="000000"/>
                <w:sz w:val="18"/>
                <w:szCs w:val="18"/>
                <w:lang w:val="es-ES_tradnl" w:eastAsia="ja-JP"/>
              </w:rPr>
              <w:t>ES</w:t>
            </w:r>
          </w:p>
        </w:tc>
        <w:tc>
          <w:tcPr>
            <w:tcW w:w="1275" w:type="dxa"/>
            <w:shd w:val="clear" w:color="auto" w:fill="auto"/>
            <w:tcMar>
              <w:left w:w="57" w:type="dxa"/>
              <w:right w:w="57" w:type="dxa"/>
            </w:tcMar>
          </w:tcPr>
          <w:p w:rsidR="00E65183" w:rsidRPr="00C83BDF" w:rsidRDefault="00E65183" w:rsidP="004737CD">
            <w:pPr>
              <w:autoSpaceDE w:val="0"/>
              <w:autoSpaceDN w:val="0"/>
              <w:adjustRightInd w:val="0"/>
              <w:spacing w:before="40" w:after="40"/>
              <w:jc w:val="center"/>
              <w:rPr>
                <w:rFonts w:eastAsia="MS Mincho" w:cs="Arial"/>
                <w:color w:val="000000"/>
                <w:sz w:val="18"/>
                <w:szCs w:val="18"/>
                <w:lang w:val="es-ES_tradnl" w:eastAsia="ja-JP"/>
              </w:rPr>
            </w:pPr>
            <w:r w:rsidRPr="00C83BDF">
              <w:rPr>
                <w:sz w:val="18"/>
                <w:szCs w:val="18"/>
                <w:lang w:val="es-ES_tradnl"/>
              </w:rPr>
              <w:t>2</w:t>
            </w:r>
          </w:p>
        </w:tc>
      </w:tr>
    </w:tbl>
    <w:p w:rsidR="00E65183" w:rsidRPr="00C83BDF" w:rsidRDefault="00E65183" w:rsidP="00E65183">
      <w:pPr>
        <w:rPr>
          <w:rFonts w:cs="Arial"/>
          <w:sz w:val="18"/>
          <w:szCs w:val="18"/>
          <w:lang w:val="es-ES_tradnl"/>
        </w:rPr>
      </w:pPr>
    </w:p>
    <w:p w:rsidR="00E65183" w:rsidRPr="00C83BDF" w:rsidRDefault="00E65183" w:rsidP="00E65183">
      <w:pPr>
        <w:rPr>
          <w:rFonts w:cs="Arial"/>
          <w:sz w:val="18"/>
          <w:szCs w:val="18"/>
          <w:lang w:val="es-ES_tradnl"/>
        </w:rPr>
      </w:pPr>
    </w:p>
    <w:p w:rsidR="00E65183" w:rsidRPr="00C83BDF" w:rsidRDefault="00682848" w:rsidP="00E65183">
      <w:pPr>
        <w:keepNext/>
        <w:jc w:val="center"/>
        <w:rPr>
          <w:rFonts w:cs="Arial"/>
          <w:sz w:val="18"/>
          <w:szCs w:val="18"/>
          <w:lang w:val="es-ES_tradnl"/>
        </w:rPr>
      </w:pPr>
      <w:r w:rsidRPr="00C83BDF">
        <w:rPr>
          <w:rFonts w:cs="Arial"/>
          <w:sz w:val="18"/>
          <w:szCs w:val="18"/>
          <w:lang w:val="es-ES_tradnl"/>
        </w:rPr>
        <w:t>Número total de participantes en el curso DL</w:t>
      </w:r>
      <w:r w:rsidRPr="00C83BDF">
        <w:rPr>
          <w:rFonts w:cs="Arial"/>
          <w:sz w:val="18"/>
          <w:szCs w:val="18"/>
          <w:lang w:val="es-ES_tradnl"/>
        </w:rPr>
        <w:noBreakHyphen/>
        <w:t>305 (</w:t>
      </w:r>
      <w:r w:rsidR="005461DF" w:rsidRPr="00C83BDF">
        <w:rPr>
          <w:rFonts w:cs="Arial"/>
          <w:sz w:val="18"/>
          <w:szCs w:val="18"/>
          <w:lang w:val="es-ES_tradnl"/>
        </w:rPr>
        <w:t>solo en inglés</w:t>
      </w:r>
      <w:r w:rsidRPr="00C83BDF">
        <w:rPr>
          <w:rFonts w:cs="Arial"/>
          <w:sz w:val="18"/>
          <w:szCs w:val="18"/>
          <w:lang w:val="es-ES_tradnl"/>
        </w:rPr>
        <w:t>)</w:t>
      </w:r>
      <w:r w:rsidR="00E65183" w:rsidRPr="00C83BDF">
        <w:rPr>
          <w:rFonts w:cs="Arial"/>
          <w:sz w:val="18"/>
          <w:szCs w:val="18"/>
          <w:lang w:val="es-ES_tradnl"/>
        </w:rPr>
        <w:br/>
      </w:r>
      <w:r w:rsidR="005461DF" w:rsidRPr="00C83BDF">
        <w:rPr>
          <w:rFonts w:cs="Arial"/>
          <w:sz w:val="18"/>
          <w:szCs w:val="18"/>
          <w:lang w:val="es-ES_tradnl"/>
        </w:rPr>
        <w:t>(una sesión en 2014)</w:t>
      </w:r>
    </w:p>
    <w:p w:rsidR="00E65183" w:rsidRPr="00C83BDF" w:rsidRDefault="00E65183" w:rsidP="00E65183">
      <w:pPr>
        <w:keepNext/>
        <w:rPr>
          <w:rFonts w:cs="Arial"/>
          <w:sz w:val="18"/>
          <w:szCs w:val="1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2"/>
        <w:gridCol w:w="1275"/>
      </w:tblGrid>
      <w:tr w:rsidR="00E65183" w:rsidRPr="00C83BDF">
        <w:tc>
          <w:tcPr>
            <w:tcW w:w="8472" w:type="dxa"/>
            <w:shd w:val="clear" w:color="auto" w:fill="D9D9D9"/>
            <w:vAlign w:val="center"/>
          </w:tcPr>
          <w:p w:rsidR="00E65183" w:rsidRPr="00C83BDF" w:rsidRDefault="005461DF" w:rsidP="00584574">
            <w:pPr>
              <w:spacing w:before="40" w:after="40"/>
              <w:jc w:val="left"/>
              <w:rPr>
                <w:rFonts w:eastAsia="MS Mincho"/>
                <w:sz w:val="18"/>
                <w:szCs w:val="18"/>
                <w:lang w:val="es-ES_tradnl"/>
              </w:rPr>
            </w:pPr>
            <w:r w:rsidRPr="00C83BDF">
              <w:rPr>
                <w:rFonts w:eastAsia="MS Mincho"/>
                <w:sz w:val="18"/>
                <w:szCs w:val="18"/>
                <w:lang w:val="es-ES_tradnl"/>
              </w:rPr>
              <w:t>Categoría</w:t>
            </w:r>
          </w:p>
        </w:tc>
        <w:tc>
          <w:tcPr>
            <w:tcW w:w="1275" w:type="dxa"/>
            <w:shd w:val="clear" w:color="auto" w:fill="D9D9D9"/>
            <w:vAlign w:val="center"/>
          </w:tcPr>
          <w:p w:rsidR="00E65183" w:rsidRPr="00C83BDF" w:rsidRDefault="005461DF" w:rsidP="00584574">
            <w:pPr>
              <w:spacing w:before="40" w:after="40"/>
              <w:jc w:val="center"/>
              <w:rPr>
                <w:sz w:val="18"/>
                <w:szCs w:val="18"/>
                <w:lang w:val="es-ES_tradnl"/>
              </w:rPr>
            </w:pPr>
            <w:r w:rsidRPr="00C83BDF">
              <w:rPr>
                <w:sz w:val="18"/>
                <w:szCs w:val="18"/>
                <w:lang w:val="es-ES_tradnl"/>
              </w:rPr>
              <w:t>Número de participantes</w:t>
            </w:r>
          </w:p>
        </w:tc>
      </w:tr>
      <w:tr w:rsidR="00E65183" w:rsidRPr="00C83BDF">
        <w:tc>
          <w:tcPr>
            <w:tcW w:w="8472" w:type="dxa"/>
          </w:tcPr>
          <w:p w:rsidR="00E65183" w:rsidRPr="00C83BDF" w:rsidRDefault="005461DF" w:rsidP="00584574">
            <w:pPr>
              <w:spacing w:before="40" w:after="40"/>
              <w:jc w:val="left"/>
              <w:rPr>
                <w:rFonts w:eastAsia="MS Mincho"/>
                <w:sz w:val="18"/>
                <w:szCs w:val="18"/>
                <w:lang w:val="es-ES_tradnl"/>
              </w:rPr>
            </w:pPr>
            <w:r w:rsidRPr="00C83BDF">
              <w:rPr>
                <w:rFonts w:eastAsia="MS Mincho"/>
                <w:sz w:val="18"/>
                <w:szCs w:val="18"/>
                <w:lang w:val="es-ES_tradnl"/>
              </w:rPr>
              <w:t>Categoría 1:</w:t>
            </w:r>
            <w:r w:rsidR="00E65183" w:rsidRPr="00C83BDF">
              <w:rPr>
                <w:rFonts w:eastAsia="MS Mincho"/>
                <w:sz w:val="18"/>
                <w:szCs w:val="18"/>
                <w:lang w:val="es-ES_tradnl"/>
              </w:rPr>
              <w:t xml:space="preserve">  </w:t>
            </w:r>
            <w:r w:rsidRPr="00C83BDF">
              <w:rPr>
                <w:rFonts w:eastAsia="MS Mincho"/>
                <w:sz w:val="18"/>
                <w:szCs w:val="18"/>
                <w:lang w:val="es-ES_tradnl"/>
              </w:rPr>
              <w:t>Funcionarios gubernamentales de miembros de la Unión designados por el representante pertinente ante el Consejo de la UPOV</w:t>
            </w:r>
          </w:p>
          <w:p w:rsidR="00E65183" w:rsidRPr="00C83BDF" w:rsidRDefault="005461DF" w:rsidP="00584574">
            <w:pPr>
              <w:spacing w:before="40" w:after="40"/>
              <w:jc w:val="left"/>
              <w:rPr>
                <w:sz w:val="18"/>
                <w:szCs w:val="18"/>
                <w:lang w:val="es-ES_tradnl"/>
              </w:rPr>
            </w:pPr>
            <w:r w:rsidRPr="00C83BDF">
              <w:rPr>
                <w:rFonts w:eastAsia="MS Mincho"/>
                <w:sz w:val="18"/>
                <w:szCs w:val="18"/>
                <w:lang w:val="es-ES_tradnl"/>
              </w:rPr>
              <w:t>Inscripción gratuita</w:t>
            </w:r>
          </w:p>
        </w:tc>
        <w:tc>
          <w:tcPr>
            <w:tcW w:w="1275" w:type="dxa"/>
            <w:vAlign w:val="bottom"/>
          </w:tcPr>
          <w:p w:rsidR="00E65183" w:rsidRPr="00C83BDF" w:rsidRDefault="00E65183" w:rsidP="00347FC4">
            <w:pPr>
              <w:spacing w:before="40" w:after="40"/>
              <w:jc w:val="center"/>
              <w:rPr>
                <w:sz w:val="18"/>
                <w:szCs w:val="18"/>
                <w:highlight w:val="yellow"/>
                <w:lang w:val="es-ES_tradnl"/>
              </w:rPr>
            </w:pPr>
            <w:r w:rsidRPr="00C83BDF">
              <w:rPr>
                <w:sz w:val="18"/>
                <w:szCs w:val="18"/>
                <w:lang w:val="es-ES_tradnl"/>
              </w:rPr>
              <w:t>86</w:t>
            </w:r>
          </w:p>
        </w:tc>
      </w:tr>
    </w:tbl>
    <w:p w:rsidR="00E65183" w:rsidRPr="00C83BDF" w:rsidRDefault="00E65183" w:rsidP="00E65183">
      <w:pPr>
        <w:rPr>
          <w:rFonts w:cs="Arial"/>
          <w:sz w:val="18"/>
          <w:szCs w:val="18"/>
          <w:lang w:val="es-ES_tradnl"/>
        </w:rPr>
      </w:pPr>
    </w:p>
    <w:p w:rsidR="00E65183" w:rsidRPr="00C83BDF" w:rsidRDefault="00E65183" w:rsidP="00E65183">
      <w:pPr>
        <w:rPr>
          <w:rFonts w:cs="Arial"/>
          <w:sz w:val="18"/>
          <w:szCs w:val="18"/>
          <w:lang w:val="es-ES_tradnl"/>
        </w:rPr>
      </w:pPr>
    </w:p>
    <w:p w:rsidR="00E65183" w:rsidRPr="00C83BDF" w:rsidRDefault="00E65183" w:rsidP="00E65183">
      <w:pPr>
        <w:rPr>
          <w:lang w:val="es-ES_tradnl"/>
        </w:rPr>
      </w:pPr>
      <w:r w:rsidRPr="00C83BDF">
        <w:rPr>
          <w:lang w:val="es-ES_tradnl"/>
        </w:rPr>
        <w:br w:type="page"/>
      </w:r>
    </w:p>
    <w:tbl>
      <w:tblPr>
        <w:tblW w:w="9889" w:type="dxa"/>
        <w:tblLayout w:type="fixed"/>
        <w:tblLook w:val="0000" w:firstRow="0" w:lastRow="0" w:firstColumn="0" w:lastColumn="0" w:noHBand="0" w:noVBand="0"/>
      </w:tblPr>
      <w:tblGrid>
        <w:gridCol w:w="1951"/>
        <w:gridCol w:w="7938"/>
      </w:tblGrid>
      <w:tr w:rsidR="00E65183" w:rsidRPr="00C83BDF">
        <w:tc>
          <w:tcPr>
            <w:tcW w:w="1951" w:type="dxa"/>
            <w:shd w:val="clear" w:color="auto" w:fill="auto"/>
          </w:tcPr>
          <w:p w:rsidR="00E65183" w:rsidRPr="00C83BDF" w:rsidRDefault="005461DF" w:rsidP="004737CD">
            <w:pPr>
              <w:keepNext/>
              <w:rPr>
                <w:b/>
                <w:sz w:val="18"/>
                <w:szCs w:val="18"/>
                <w:lang w:val="es-ES_tradnl"/>
              </w:rPr>
            </w:pPr>
            <w:r w:rsidRPr="00C83BDF">
              <w:rPr>
                <w:b/>
                <w:sz w:val="18"/>
                <w:szCs w:val="18"/>
                <w:lang w:val="es-ES_tradnl"/>
              </w:rPr>
              <w:t>Resultados previstos</w:t>
            </w:r>
          </w:p>
        </w:tc>
        <w:tc>
          <w:tcPr>
            <w:tcW w:w="7938" w:type="dxa"/>
            <w:shd w:val="clear" w:color="auto" w:fill="auto"/>
          </w:tcPr>
          <w:p w:rsidR="00E65183" w:rsidRPr="00C83BDF" w:rsidRDefault="005461DF" w:rsidP="004737CD">
            <w:pPr>
              <w:keepNext/>
              <w:rPr>
                <w:b/>
                <w:sz w:val="18"/>
                <w:szCs w:val="18"/>
                <w:lang w:val="es-ES_tradnl"/>
              </w:rPr>
            </w:pPr>
            <w:r w:rsidRPr="00C83BDF">
              <w:rPr>
                <w:b/>
                <w:sz w:val="18"/>
                <w:szCs w:val="18"/>
                <w:lang w:val="es-ES_tradnl"/>
              </w:rPr>
              <w:t>Resultados alcanzados:</w:t>
            </w:r>
            <w:r w:rsidR="00E65183" w:rsidRPr="00C83BDF">
              <w:rPr>
                <w:b/>
                <w:sz w:val="18"/>
                <w:szCs w:val="18"/>
                <w:lang w:val="es-ES_tradnl"/>
              </w:rPr>
              <w:t xml:space="preserve">  </w:t>
            </w:r>
            <w:r w:rsidRPr="00C83BDF">
              <w:rPr>
                <w:b/>
                <w:sz w:val="18"/>
                <w:szCs w:val="18"/>
                <w:lang w:val="es-ES_tradnl"/>
              </w:rPr>
              <w:t>indicadores de rendimiento</w:t>
            </w:r>
          </w:p>
          <w:p w:rsidR="00E65183" w:rsidRPr="00C83BDF" w:rsidRDefault="00E65183" w:rsidP="004737CD">
            <w:pPr>
              <w:keepNext/>
              <w:rPr>
                <w:b/>
                <w:sz w:val="18"/>
                <w:szCs w:val="18"/>
                <w:lang w:val="es-ES_tradnl"/>
              </w:rPr>
            </w:pPr>
          </w:p>
        </w:tc>
      </w:tr>
      <w:tr w:rsidR="00E65183" w:rsidRPr="00C83BDF">
        <w:tc>
          <w:tcPr>
            <w:tcW w:w="1951" w:type="dxa"/>
          </w:tcPr>
          <w:p w:rsidR="00E65183" w:rsidRPr="00C83BDF" w:rsidRDefault="00E65183" w:rsidP="004737CD">
            <w:pPr>
              <w:jc w:val="left"/>
              <w:rPr>
                <w:sz w:val="18"/>
                <w:szCs w:val="18"/>
                <w:lang w:val="es-ES_tradnl"/>
              </w:rPr>
            </w:pPr>
            <w:r w:rsidRPr="00C83BDF">
              <w:rPr>
                <w:i/>
                <w:sz w:val="18"/>
                <w:szCs w:val="18"/>
                <w:lang w:val="es-ES_tradnl"/>
              </w:rPr>
              <w:t>4.  </w:t>
            </w:r>
            <w:r w:rsidR="005461DF" w:rsidRPr="00C83BDF">
              <w:rPr>
                <w:i/>
                <w:sz w:val="18"/>
                <w:szCs w:val="18"/>
                <w:lang w:val="es-ES_tradnl"/>
              </w:rPr>
              <w:t xml:space="preserve">Asistencia para la aplicación de un sistema eficaz de derechos de obtentor de conformidad con el Acta de 1991 del Convenio de la UPOV </w:t>
            </w:r>
            <w:r w:rsidR="005461DF" w:rsidRPr="00C83BDF">
              <w:rPr>
                <w:sz w:val="18"/>
                <w:szCs w:val="18"/>
                <w:lang w:val="es-ES_tradnl"/>
              </w:rPr>
              <w:t>(continuación)</w:t>
            </w:r>
          </w:p>
        </w:tc>
        <w:tc>
          <w:tcPr>
            <w:tcW w:w="7938" w:type="dxa"/>
          </w:tcPr>
          <w:p w:rsidR="00E65183" w:rsidRPr="00C83BDF" w:rsidRDefault="005461DF" w:rsidP="00AF77CF">
            <w:pPr>
              <w:pStyle w:val="Heading8"/>
              <w:rPr>
                <w:szCs w:val="18"/>
                <w:lang w:val="es-ES_tradnl"/>
              </w:rPr>
            </w:pPr>
            <w:bookmarkStart w:id="113" w:name="_Toc431824293"/>
            <w:r w:rsidRPr="00C83BDF">
              <w:rPr>
                <w:szCs w:val="18"/>
                <w:lang w:val="es-ES_tradnl"/>
              </w:rPr>
              <w:t>b)  Participación de Estados y organizaciones observadores en el CAJ, el TC, los TWP y los talleres preparatorios conexos</w:t>
            </w:r>
            <w:bookmarkEnd w:id="113"/>
          </w:p>
          <w:p w:rsidR="00E65183" w:rsidRPr="00C83BDF" w:rsidRDefault="00F33650" w:rsidP="004737CD">
            <w:pPr>
              <w:jc w:val="left"/>
              <w:rPr>
                <w:sz w:val="18"/>
                <w:szCs w:val="18"/>
                <w:lang w:val="es-ES_tradnl"/>
              </w:rPr>
            </w:pPr>
            <w:r w:rsidRPr="00C83BDF">
              <w:rPr>
                <w:sz w:val="18"/>
                <w:szCs w:val="18"/>
                <w:lang w:val="es-ES_tradnl"/>
              </w:rPr>
              <w:t>Véanse los apartados a) a d) del indicador de rendimiento nº 4 “Participación de los miembros de la Unión y los sectores interesados en la labor de los órganos de la UPOV” del Subprograma UV.2.</w:t>
            </w:r>
          </w:p>
          <w:p w:rsidR="00E65183" w:rsidRPr="00C83BDF" w:rsidRDefault="00E65183" w:rsidP="004737CD">
            <w:pPr>
              <w:jc w:val="left"/>
              <w:rPr>
                <w:sz w:val="18"/>
                <w:szCs w:val="18"/>
                <w:lang w:val="es-ES_tradnl"/>
              </w:rPr>
            </w:pPr>
          </w:p>
          <w:p w:rsidR="00E65183" w:rsidRPr="00C83BDF" w:rsidRDefault="00E65183" w:rsidP="004737CD">
            <w:pPr>
              <w:jc w:val="left"/>
              <w:rPr>
                <w:sz w:val="18"/>
                <w:szCs w:val="18"/>
                <w:lang w:val="es-ES_tradnl"/>
              </w:rPr>
            </w:pPr>
          </w:p>
          <w:p w:rsidR="00E65183" w:rsidRPr="00C83BDF" w:rsidRDefault="0018433C" w:rsidP="00AF77CF">
            <w:pPr>
              <w:pStyle w:val="Heading8"/>
              <w:rPr>
                <w:szCs w:val="18"/>
                <w:lang w:val="es-ES_tradnl"/>
              </w:rPr>
            </w:pPr>
            <w:bookmarkStart w:id="114" w:name="_Toc431824294"/>
            <w:r w:rsidRPr="00C83BDF">
              <w:rPr>
                <w:szCs w:val="18"/>
                <w:lang w:val="es-ES_tradnl"/>
              </w:rPr>
              <w:t>c)  Participación en actividades de la UPOV</w:t>
            </w:r>
            <w:bookmarkEnd w:id="114"/>
          </w:p>
          <w:p w:rsidR="00E65183" w:rsidRPr="00C83BDF" w:rsidRDefault="0018433C" w:rsidP="004737CD">
            <w:pPr>
              <w:jc w:val="left"/>
              <w:rPr>
                <w:sz w:val="18"/>
                <w:szCs w:val="18"/>
                <w:lang w:val="es-ES_tradnl"/>
              </w:rPr>
            </w:pPr>
            <w:r w:rsidRPr="00C83BDF">
              <w:rPr>
                <w:sz w:val="18"/>
                <w:szCs w:val="18"/>
                <w:lang w:val="es-ES_tradnl"/>
              </w:rPr>
              <w:t>Véase el apartado b) del indicador de rendimiento nº 1 “Fomento de la sensibilización acerca del papel de la protección de las variedades vegetales con arreglo al Convenio de la UPOV” del Subprograma UV.3.</w:t>
            </w:r>
          </w:p>
          <w:p w:rsidR="00E65183" w:rsidRPr="00C83BDF" w:rsidRDefault="00E65183" w:rsidP="004737CD">
            <w:pPr>
              <w:rPr>
                <w:sz w:val="18"/>
                <w:szCs w:val="18"/>
                <w:lang w:val="es-ES_tradnl"/>
              </w:rPr>
            </w:pPr>
          </w:p>
          <w:p w:rsidR="00E65183" w:rsidRPr="00C83BDF" w:rsidRDefault="00E65183" w:rsidP="004737CD">
            <w:pPr>
              <w:rPr>
                <w:sz w:val="18"/>
                <w:szCs w:val="18"/>
                <w:lang w:val="es-ES_tradnl"/>
              </w:rPr>
            </w:pPr>
          </w:p>
          <w:p w:rsidR="00E65183" w:rsidRPr="00C83BDF" w:rsidRDefault="0018433C" w:rsidP="00AF77CF">
            <w:pPr>
              <w:pStyle w:val="Heading8"/>
              <w:rPr>
                <w:szCs w:val="18"/>
                <w:lang w:val="es-ES_tradnl"/>
              </w:rPr>
            </w:pPr>
            <w:bookmarkStart w:id="115" w:name="_Toc431824295"/>
            <w:r w:rsidRPr="00C83BDF">
              <w:rPr>
                <w:szCs w:val="18"/>
                <w:lang w:val="es-ES_tradnl"/>
              </w:rPr>
              <w:t>d)  Participación en actividades en las que toma parte el personal de la UPOV o formadores en nombre del personal de la UPOV</w:t>
            </w:r>
            <w:bookmarkEnd w:id="115"/>
          </w:p>
          <w:p w:rsidR="00024625" w:rsidRPr="00C83BDF" w:rsidRDefault="0073424F" w:rsidP="00024625">
            <w:pPr>
              <w:rPr>
                <w:sz w:val="18"/>
                <w:szCs w:val="18"/>
                <w:lang w:val="es-ES_tradnl"/>
              </w:rPr>
            </w:pPr>
            <w:r w:rsidRPr="00C83BDF">
              <w:rPr>
                <w:sz w:val="18"/>
                <w:szCs w:val="18"/>
                <w:lang w:val="es-ES_tradnl"/>
              </w:rPr>
              <w:t xml:space="preserve">Albania, Alemania, Antigua y Barbuda, Argentina, Armenia, Australia, Belarús, </w:t>
            </w:r>
            <w:r w:rsidR="002E74C0" w:rsidRPr="00C83BDF">
              <w:rPr>
                <w:sz w:val="18"/>
                <w:szCs w:val="18"/>
                <w:lang w:val="es-ES_tradnl"/>
              </w:rPr>
              <w:t>Belice,</w:t>
            </w:r>
            <w:r w:rsidR="002E74C0" w:rsidRPr="00C83BDF">
              <w:rPr>
                <w:color w:val="008000"/>
                <w:sz w:val="18"/>
                <w:szCs w:val="18"/>
                <w:lang w:val="es-ES_tradnl"/>
              </w:rPr>
              <w:t xml:space="preserve"> </w:t>
            </w:r>
            <w:r w:rsidRPr="00C83BDF">
              <w:rPr>
                <w:sz w:val="18"/>
                <w:szCs w:val="18"/>
                <w:lang w:val="es-ES_tradnl"/>
              </w:rPr>
              <w:t>Bosnia y Herzegovina, Brasil, Bulgaria, Burkina Faso, Camboya, Camerún, Canadá, Chile, China, Colombia, Croacia, Dominica, Ecuador, Egipto, Eslovaquia, Eslovenia, España, Estados Unidos de América, Etiopía, ex República Yugoslava de Macedonia, Federación de Rusia, Fiji, Filipinas, Francia, Ghana, Granada, Grecia, Haití, India, Indonesia, Irán (República Islámica del), Islas Salomón, Italia, Jamaica, Japón, Kenya, Letonia, Malasia, Malawi, Marruecos, Mauricio, México, Myanmar, Nepal, Nigeria, Países Bajos, Pakistán, Panamá, Paraguay, Polonia, Reino Unido, República de Corea, República Checa, República Democrática Popular Lao, República de Moldova, República Dominicana, República Unida de Tanzanía, Rumania, Saint Kitts y Nevis, Santa Lucía, Senegal, Serbia, Sri Lanka, Suiza, Tailandia, Trinidad y Tabago, Túnez, Turquía, Ucrania, Uganda, Unión Europea, Uzbekistán, Venezuela, Viet Nam, Zimbabwe.</w:t>
            </w:r>
            <w:r w:rsidR="00024625" w:rsidRPr="00C83BDF">
              <w:rPr>
                <w:sz w:val="18"/>
                <w:szCs w:val="18"/>
                <w:lang w:val="es-ES_tradnl"/>
              </w:rPr>
              <w:t xml:space="preserve">  </w:t>
            </w:r>
            <w:r w:rsidR="00040272" w:rsidRPr="00C83BDF">
              <w:rPr>
                <w:sz w:val="18"/>
                <w:szCs w:val="18"/>
                <w:lang w:val="es-ES_tradnl"/>
              </w:rPr>
              <w:t>También asistieron participantes de Kosovo y Palestina.</w:t>
            </w:r>
          </w:p>
          <w:p w:rsidR="00024625" w:rsidRPr="00C83BDF" w:rsidRDefault="00024625" w:rsidP="00024625">
            <w:pPr>
              <w:rPr>
                <w:sz w:val="18"/>
                <w:szCs w:val="18"/>
                <w:lang w:val="es-ES_tradnl"/>
              </w:rPr>
            </w:pPr>
          </w:p>
          <w:p w:rsidR="00024625" w:rsidRPr="00C83BDF" w:rsidRDefault="00024625" w:rsidP="00024625">
            <w:pPr>
              <w:rPr>
                <w:sz w:val="18"/>
                <w:szCs w:val="18"/>
                <w:lang w:val="es-ES_tradnl"/>
              </w:rPr>
            </w:pPr>
          </w:p>
          <w:p w:rsidR="00024625" w:rsidRPr="00C83BDF" w:rsidRDefault="00040272" w:rsidP="009369E3">
            <w:pPr>
              <w:pStyle w:val="Heading8"/>
              <w:rPr>
                <w:szCs w:val="18"/>
                <w:lang w:val="es-ES_tradnl"/>
              </w:rPr>
            </w:pPr>
            <w:bookmarkStart w:id="116" w:name="_Toc431824296"/>
            <w:r w:rsidRPr="00C83BDF">
              <w:rPr>
                <w:szCs w:val="18"/>
                <w:lang w:val="es-ES_tradnl"/>
              </w:rPr>
              <w:t>e)  Formación proporcionada por formadores de la UPOV en actividades no organizadas por la UPOV</w:t>
            </w:r>
            <w:bookmarkEnd w:id="116"/>
          </w:p>
          <w:p w:rsidR="00E65183" w:rsidRPr="00C83BDF" w:rsidRDefault="00040272" w:rsidP="004737CD">
            <w:pPr>
              <w:rPr>
                <w:sz w:val="18"/>
                <w:lang w:val="es-ES_tradnl"/>
              </w:rPr>
            </w:pPr>
            <w:r w:rsidRPr="00C83BDF">
              <w:rPr>
                <w:sz w:val="18"/>
                <w:lang w:val="es-ES_tradnl"/>
              </w:rPr>
              <w:t>Información aún no disponible</w:t>
            </w:r>
          </w:p>
          <w:p w:rsidR="00E65183" w:rsidRPr="00C83BDF" w:rsidRDefault="00E65183" w:rsidP="004737CD">
            <w:pPr>
              <w:rPr>
                <w:sz w:val="18"/>
                <w:lang w:val="es-ES_tradnl"/>
              </w:rPr>
            </w:pPr>
          </w:p>
          <w:p w:rsidR="00E65183" w:rsidRPr="00C83BDF" w:rsidRDefault="00E65183" w:rsidP="004737CD">
            <w:pPr>
              <w:rPr>
                <w:sz w:val="18"/>
                <w:lang w:val="es-ES_tradnl"/>
              </w:rPr>
            </w:pPr>
          </w:p>
          <w:p w:rsidR="00E65183" w:rsidRPr="00C83BDF" w:rsidRDefault="00040272" w:rsidP="009369E3">
            <w:pPr>
              <w:pStyle w:val="Heading8"/>
              <w:rPr>
                <w:szCs w:val="18"/>
                <w:lang w:val="es-ES_tradnl"/>
              </w:rPr>
            </w:pPr>
            <w:bookmarkStart w:id="117" w:name="_Toc431824297"/>
            <w:r w:rsidRPr="00C83BDF">
              <w:rPr>
                <w:szCs w:val="18"/>
                <w:lang w:val="es-ES_tradnl"/>
              </w:rPr>
              <w:t>f)  Ejecución de proyectos con organizaciones y donantes asociados</w:t>
            </w:r>
            <w:bookmarkEnd w:id="117"/>
          </w:p>
          <w:p w:rsidR="00E65183" w:rsidRPr="00C83BDF" w:rsidRDefault="00040272" w:rsidP="004737CD">
            <w:pPr>
              <w:rPr>
                <w:sz w:val="18"/>
                <w:lang w:val="es-ES_tradnl"/>
              </w:rPr>
            </w:pPr>
            <w:r w:rsidRPr="00C83BDF">
              <w:rPr>
                <w:sz w:val="18"/>
                <w:szCs w:val="18"/>
                <w:lang w:val="es-ES_tradnl"/>
              </w:rPr>
              <w:t>Proyecto Mundial de Semillas:</w:t>
            </w:r>
            <w:r w:rsidR="00E65183" w:rsidRPr="00C83BDF">
              <w:rPr>
                <w:sz w:val="18"/>
                <w:szCs w:val="18"/>
                <w:lang w:val="es-ES_tradnl"/>
              </w:rPr>
              <w:t xml:space="preserve"> </w:t>
            </w:r>
            <w:r w:rsidRPr="00C83BDF">
              <w:rPr>
                <w:sz w:val="18"/>
                <w:szCs w:val="18"/>
                <w:lang w:val="es-ES_tradnl"/>
              </w:rPr>
              <w:t xml:space="preserve"> 4 reuniones por vía electrónica, 2 reuniones presenciales del Comité Ejecutivo</w:t>
            </w:r>
          </w:p>
        </w:tc>
      </w:tr>
    </w:tbl>
    <w:p w:rsidR="00E65183" w:rsidRPr="00C83BDF" w:rsidRDefault="00E65183" w:rsidP="00E65183">
      <w:pPr>
        <w:rPr>
          <w:lang w:val="es-ES_tradnl"/>
        </w:rPr>
      </w:pPr>
    </w:p>
    <w:p w:rsidR="00E65183" w:rsidRPr="00C83BDF" w:rsidRDefault="00E65183" w:rsidP="00E65183">
      <w:pPr>
        <w:jc w:val="left"/>
        <w:rPr>
          <w:b/>
          <w:caps/>
          <w:sz w:val="18"/>
          <w:lang w:val="es-ES_tradnl"/>
        </w:rPr>
      </w:pPr>
      <w:bookmarkStart w:id="118" w:name="_Toc336339250"/>
      <w:bookmarkEnd w:id="112"/>
      <w:r w:rsidRPr="00C83BDF">
        <w:rPr>
          <w:lang w:val="es-ES_tradnl"/>
        </w:rPr>
        <w:br w:type="page"/>
      </w:r>
    </w:p>
    <w:p w:rsidR="00E65183" w:rsidRPr="00C83BDF" w:rsidRDefault="00076853" w:rsidP="00C83BDF">
      <w:pPr>
        <w:pStyle w:val="Heading3"/>
      </w:pPr>
      <w:bookmarkStart w:id="119" w:name="_Toc431824298"/>
      <w:bookmarkEnd w:id="118"/>
      <w:r w:rsidRPr="00C83BDF">
        <w:t>Subprograma UV.4:  Relaciones exteriores</w:t>
      </w:r>
      <w:bookmarkEnd w:id="119"/>
    </w:p>
    <w:p w:rsidR="00E65183" w:rsidRPr="00C83BDF" w:rsidRDefault="00E65183" w:rsidP="00E65183">
      <w:pPr>
        <w:rPr>
          <w:sz w:val="18"/>
          <w:szCs w:val="18"/>
          <w:lang w:val="es-ES_tradnl"/>
        </w:rPr>
      </w:pPr>
    </w:p>
    <w:p w:rsidR="00E65183" w:rsidRPr="00C83BDF" w:rsidRDefault="008C635E" w:rsidP="00E65183">
      <w:pPr>
        <w:rPr>
          <w:lang w:val="es-ES_tradnl"/>
        </w:rPr>
      </w:pPr>
      <w:r w:rsidRPr="00C83BDF">
        <w:rPr>
          <w:lang w:val="es-ES_tradnl"/>
        </w:rPr>
        <w:t>El sitio web de la UPOV continúa siendo el punto central de difusión de la información.</w:t>
      </w:r>
      <w:r w:rsidR="00E65183" w:rsidRPr="00C83BDF">
        <w:rPr>
          <w:lang w:val="es-ES_tradnl"/>
        </w:rPr>
        <w:t xml:space="preserve">  </w:t>
      </w:r>
      <w:r w:rsidRPr="00C83BDF">
        <w:rPr>
          <w:lang w:val="es-ES_tradnl"/>
        </w:rPr>
        <w:t>En 2014 se publicó en alemán, español y francés, tanto en papel como en formato electrónico, la trilogía de la UPOV, que comprende un resumen y las actas del “Simposio sobre el fitomejoramiento para el futuro”, el “Seminario sobre la protección de las variedades vegetales y la transferencia de tecnología:  beneficios de la colaboración público</w:t>
      </w:r>
      <w:r w:rsidRPr="00C83BDF">
        <w:rPr>
          <w:lang w:val="es-ES_tradnl"/>
        </w:rPr>
        <w:noBreakHyphen/>
        <w:t>privada” y el “Simposio sobre las ventajas de la protección de las obtenciones vegetales para los agricultores y los productores”.</w:t>
      </w:r>
      <w:r w:rsidR="00E65183" w:rsidRPr="00C83BDF">
        <w:rPr>
          <w:lang w:val="es-ES_tradnl"/>
        </w:rPr>
        <w:t xml:space="preserve">  </w:t>
      </w:r>
      <w:r w:rsidR="00D37FFD" w:rsidRPr="00C83BDF">
        <w:rPr>
          <w:lang w:val="es-ES_tradnl"/>
        </w:rPr>
        <w:t>La publicación periódica de comunicados de prensa, en particular sobre las novedades acaecidas en el Consejo de la UPOV, representan un medio valioso de difusión de la información al público en general.</w:t>
      </w:r>
      <w:r w:rsidR="00E65183" w:rsidRPr="00C83BDF">
        <w:rPr>
          <w:lang w:val="es-ES_tradnl"/>
        </w:rPr>
        <w:t xml:space="preserve">  </w:t>
      </w:r>
      <w:r w:rsidR="00D37FFD" w:rsidRPr="00C83BDF">
        <w:rPr>
          <w:rFonts w:cs="Arial"/>
          <w:lang w:val="es-ES_tradnl"/>
        </w:rPr>
        <w:t xml:space="preserve">Como parte de la estrategia de comunicación, se ha publicado un nuevo conjunto de respuestas a </w:t>
      </w:r>
      <w:r w:rsidR="00377554" w:rsidRPr="00C83BDF">
        <w:rPr>
          <w:rFonts w:cs="Arial"/>
          <w:lang w:val="es-ES_tradnl"/>
        </w:rPr>
        <w:t>preguntas frecuentes</w:t>
      </w:r>
      <w:r w:rsidR="00D37FFD" w:rsidRPr="00C83BDF">
        <w:rPr>
          <w:rFonts w:cs="Arial"/>
          <w:lang w:val="es-ES_tradnl"/>
        </w:rPr>
        <w:t>.</w:t>
      </w:r>
    </w:p>
    <w:p w:rsidR="00E65183" w:rsidRPr="00C83BDF" w:rsidRDefault="00E65183" w:rsidP="00E65183">
      <w:pPr>
        <w:rPr>
          <w:lang w:val="es-ES_tradnl"/>
        </w:rPr>
      </w:pPr>
    </w:p>
    <w:p w:rsidR="00E65183" w:rsidRPr="00C83BDF" w:rsidRDefault="00377554" w:rsidP="00E65183">
      <w:pPr>
        <w:rPr>
          <w:lang w:val="es-ES_tradnl"/>
        </w:rPr>
      </w:pPr>
      <w:r w:rsidRPr="00C83BDF">
        <w:rPr>
          <w:lang w:val="es-ES_tradnl"/>
        </w:rPr>
        <w:t>Varias organizaciones intergubernamentales han invitado a la UPOV a contribuir a su labor.</w:t>
      </w:r>
      <w:r w:rsidR="00E65183" w:rsidRPr="00C83BDF">
        <w:rPr>
          <w:lang w:val="es-ES_tradnl"/>
        </w:rPr>
        <w:t xml:space="preserve">  </w:t>
      </w:r>
      <w:r w:rsidRPr="00C83BDF">
        <w:rPr>
          <w:lang w:val="es-ES_tradnl"/>
        </w:rPr>
        <w:t>La UPOV ha participado en reuniones con otras organizaciones pertinentes.</w:t>
      </w:r>
    </w:p>
    <w:p w:rsidR="00E65183" w:rsidRPr="00C83BDF" w:rsidRDefault="00E65183" w:rsidP="00E65183">
      <w:pPr>
        <w:rPr>
          <w:lang w:val="es-ES_tradnl"/>
        </w:rPr>
      </w:pPr>
    </w:p>
    <w:p w:rsidR="00E65183" w:rsidRPr="00C83BDF" w:rsidRDefault="00E65183" w:rsidP="00E65183">
      <w:pPr>
        <w:rPr>
          <w:lang w:val="es-ES_tradnl"/>
        </w:rPr>
      </w:pPr>
    </w:p>
    <w:tbl>
      <w:tblPr>
        <w:tblW w:w="9889" w:type="dxa"/>
        <w:tblLayout w:type="fixed"/>
        <w:tblLook w:val="0000" w:firstRow="0" w:lastRow="0" w:firstColumn="0" w:lastColumn="0" w:noHBand="0" w:noVBand="0"/>
      </w:tblPr>
      <w:tblGrid>
        <w:gridCol w:w="1809"/>
        <w:gridCol w:w="8080"/>
      </w:tblGrid>
      <w:tr w:rsidR="00E65183" w:rsidRPr="00C83BDF">
        <w:tc>
          <w:tcPr>
            <w:tcW w:w="1809" w:type="dxa"/>
          </w:tcPr>
          <w:p w:rsidR="00E65183" w:rsidRPr="00C83BDF" w:rsidRDefault="00377554" w:rsidP="00EC6385">
            <w:pPr>
              <w:pStyle w:val="Heading5"/>
            </w:pPr>
            <w:bookmarkStart w:id="120" w:name="_Toc431824299"/>
            <w:r w:rsidRPr="00C83BDF">
              <w:t>Objetivos:</w:t>
            </w:r>
            <w:bookmarkEnd w:id="120"/>
          </w:p>
        </w:tc>
        <w:tc>
          <w:tcPr>
            <w:tcW w:w="8080" w:type="dxa"/>
          </w:tcPr>
          <w:p w:rsidR="00E65183" w:rsidRPr="00C83BDF" w:rsidRDefault="00377554" w:rsidP="004737CD">
            <w:pPr>
              <w:keepNext/>
              <w:keepLines/>
              <w:widowControl w:val="0"/>
              <w:numPr>
                <w:ilvl w:val="0"/>
                <w:numId w:val="2"/>
              </w:numPr>
              <w:jc w:val="left"/>
              <w:rPr>
                <w:sz w:val="18"/>
                <w:szCs w:val="18"/>
                <w:lang w:val="es-ES_tradnl"/>
              </w:rPr>
            </w:pPr>
            <w:r w:rsidRPr="00C83BDF">
              <w:rPr>
                <w:sz w:val="18"/>
                <w:szCs w:val="18"/>
                <w:lang w:val="es-ES_tradnl"/>
              </w:rPr>
              <w:t>Ampliar y mejorar la comprensión acerca del sistema de protección de las variedades vegetales de la UPOV.</w:t>
            </w:r>
          </w:p>
          <w:p w:rsidR="00E65183" w:rsidRPr="00C83BDF" w:rsidRDefault="00377554" w:rsidP="004737CD">
            <w:pPr>
              <w:keepNext/>
              <w:keepLines/>
              <w:widowControl w:val="0"/>
              <w:numPr>
                <w:ilvl w:val="0"/>
                <w:numId w:val="2"/>
              </w:numPr>
              <w:jc w:val="left"/>
              <w:rPr>
                <w:sz w:val="18"/>
                <w:szCs w:val="18"/>
                <w:lang w:val="es-ES_tradnl"/>
              </w:rPr>
            </w:pPr>
            <w:r w:rsidRPr="00C83BDF">
              <w:rPr>
                <w:sz w:val="18"/>
                <w:szCs w:val="18"/>
                <w:lang w:val="es-ES_tradnl"/>
              </w:rPr>
              <w:t>Proporcionar información sobre el Convenio de la UPOV a otras organizaciones intergubernamentales, con el fin de lograr la complementariedad con otros tratados internacionales.</w:t>
            </w:r>
          </w:p>
          <w:p w:rsidR="00E65183" w:rsidRPr="00C83BDF" w:rsidRDefault="00377554" w:rsidP="004737CD">
            <w:pPr>
              <w:keepNext/>
              <w:keepLines/>
              <w:widowControl w:val="0"/>
              <w:numPr>
                <w:ilvl w:val="0"/>
                <w:numId w:val="2"/>
              </w:numPr>
              <w:jc w:val="left"/>
              <w:rPr>
                <w:sz w:val="18"/>
                <w:szCs w:val="18"/>
                <w:lang w:val="es-ES_tradnl"/>
              </w:rPr>
            </w:pPr>
            <w:r w:rsidRPr="00C83BDF">
              <w:rPr>
                <w:sz w:val="18"/>
                <w:szCs w:val="18"/>
                <w:lang w:val="es-ES_tradnl"/>
              </w:rPr>
              <w:t>Informar a los miembros de la Unión de novedades de interés para la UPOV.</w:t>
            </w:r>
          </w:p>
        </w:tc>
      </w:tr>
    </w:tbl>
    <w:p w:rsidR="00E65183" w:rsidRPr="00C83BDF" w:rsidRDefault="00E65183" w:rsidP="00E65183">
      <w:pPr>
        <w:rPr>
          <w:sz w:val="18"/>
          <w:szCs w:val="18"/>
          <w:lang w:val="es-ES_tradnl"/>
        </w:rPr>
      </w:pPr>
    </w:p>
    <w:p w:rsidR="00E65183" w:rsidRPr="00C83BDF" w:rsidRDefault="00E65183" w:rsidP="00E65183">
      <w:pPr>
        <w:rPr>
          <w:sz w:val="18"/>
          <w:szCs w:val="18"/>
          <w:lang w:val="es-ES_tradnl"/>
        </w:rPr>
      </w:pPr>
    </w:p>
    <w:tbl>
      <w:tblPr>
        <w:tblW w:w="9889" w:type="dxa"/>
        <w:tblLayout w:type="fixed"/>
        <w:tblLook w:val="0000" w:firstRow="0" w:lastRow="0" w:firstColumn="0" w:lastColumn="0" w:noHBand="0" w:noVBand="0"/>
      </w:tblPr>
      <w:tblGrid>
        <w:gridCol w:w="1809"/>
        <w:gridCol w:w="8080"/>
      </w:tblGrid>
      <w:tr w:rsidR="00E65183" w:rsidRPr="00C83BDF">
        <w:trPr>
          <w:tblHeader/>
        </w:trPr>
        <w:tc>
          <w:tcPr>
            <w:tcW w:w="1809" w:type="dxa"/>
          </w:tcPr>
          <w:p w:rsidR="00E65183" w:rsidRPr="00C83BDF" w:rsidRDefault="00377554" w:rsidP="00EC6385">
            <w:pPr>
              <w:pStyle w:val="Heading5"/>
            </w:pPr>
            <w:bookmarkStart w:id="121" w:name="_Toc431824300"/>
            <w:r w:rsidRPr="00C83BDF">
              <w:t>Resultados previstos</w:t>
            </w:r>
            <w:bookmarkEnd w:id="121"/>
          </w:p>
        </w:tc>
        <w:tc>
          <w:tcPr>
            <w:tcW w:w="8080" w:type="dxa"/>
          </w:tcPr>
          <w:p w:rsidR="00E65183" w:rsidRPr="00C83BDF" w:rsidRDefault="00377554" w:rsidP="009369E3">
            <w:pPr>
              <w:pStyle w:val="Heading7"/>
              <w:rPr>
                <w:lang w:val="es-ES_tradnl"/>
              </w:rPr>
            </w:pPr>
            <w:bookmarkStart w:id="122" w:name="_Toc336339253"/>
            <w:bookmarkStart w:id="123" w:name="_Toc431824301"/>
            <w:r w:rsidRPr="00C83BDF">
              <w:rPr>
                <w:lang w:val="es-ES_tradnl"/>
              </w:rPr>
              <w:t>Resultados alcanzados:</w:t>
            </w:r>
            <w:r w:rsidR="00E65183" w:rsidRPr="00C83BDF">
              <w:rPr>
                <w:lang w:val="es-ES_tradnl"/>
              </w:rPr>
              <w:t xml:space="preserve">  </w:t>
            </w:r>
            <w:bookmarkEnd w:id="122"/>
            <w:r w:rsidRPr="00C83BDF">
              <w:rPr>
                <w:lang w:val="es-ES_tradnl"/>
              </w:rPr>
              <w:t>indicadores de rendimiento</w:t>
            </w:r>
            <w:bookmarkEnd w:id="123"/>
          </w:p>
        </w:tc>
      </w:tr>
      <w:tr w:rsidR="00E65183" w:rsidRPr="00C83BDF">
        <w:tc>
          <w:tcPr>
            <w:tcW w:w="1809" w:type="dxa"/>
          </w:tcPr>
          <w:p w:rsidR="00E65183" w:rsidRPr="00C83BDF" w:rsidRDefault="00E65183" w:rsidP="004737CD">
            <w:pPr>
              <w:pStyle w:val="Heading6"/>
              <w:rPr>
                <w:lang w:val="es-ES_tradnl"/>
              </w:rPr>
            </w:pPr>
            <w:bookmarkStart w:id="124" w:name="_Toc336339254"/>
            <w:bookmarkStart w:id="125" w:name="_Toc431824302"/>
            <w:r w:rsidRPr="00C83BDF">
              <w:rPr>
                <w:lang w:val="es-ES_tradnl"/>
              </w:rPr>
              <w:t>1.  </w:t>
            </w:r>
            <w:bookmarkEnd w:id="124"/>
            <w:r w:rsidR="00377554" w:rsidRPr="00C83BDF">
              <w:rPr>
                <w:lang w:val="es-ES_tradnl"/>
              </w:rPr>
              <w:t>Mejora de la comprensión del público acerca de la función y las actividades de la UPOV</w:t>
            </w:r>
            <w:bookmarkEnd w:id="125"/>
          </w:p>
        </w:tc>
        <w:tc>
          <w:tcPr>
            <w:tcW w:w="8080" w:type="dxa"/>
          </w:tcPr>
          <w:p w:rsidR="00E65183" w:rsidRPr="00C83BDF" w:rsidRDefault="00377554" w:rsidP="000F5BBB">
            <w:pPr>
              <w:pStyle w:val="Heading8"/>
              <w:rPr>
                <w:lang w:val="es-ES_tradnl"/>
              </w:rPr>
            </w:pPr>
            <w:bookmarkStart w:id="126" w:name="_Toc431824303"/>
            <w:r w:rsidRPr="00C83BDF">
              <w:rPr>
                <w:lang w:val="es-ES_tradnl"/>
              </w:rPr>
              <w:t>a)  Disponibilidad de información y material orientado al público en el sitio web de la UPOV</w:t>
            </w:r>
            <w:bookmarkEnd w:id="126"/>
          </w:p>
          <w:p w:rsidR="00E65183" w:rsidRPr="00C83BDF" w:rsidRDefault="00236C28" w:rsidP="004737CD">
            <w:pPr>
              <w:ind w:right="459"/>
              <w:jc w:val="left"/>
              <w:rPr>
                <w:rFonts w:cs="Arial"/>
                <w:sz w:val="18"/>
                <w:szCs w:val="18"/>
                <w:lang w:val="es-ES_tradnl"/>
              </w:rPr>
            </w:pPr>
            <w:r w:rsidRPr="00C83BDF">
              <w:rPr>
                <w:rFonts w:cs="Arial"/>
                <w:sz w:val="18"/>
                <w:szCs w:val="18"/>
                <w:lang w:val="es-ES_tradnl"/>
              </w:rPr>
              <w:t>Información y documentos añadidos al sitio web en 2014</w:t>
            </w:r>
          </w:p>
          <w:p w:rsidR="00E65183" w:rsidRPr="00C83BDF" w:rsidRDefault="00E65183" w:rsidP="004737CD">
            <w:pPr>
              <w:ind w:right="459"/>
              <w:jc w:val="left"/>
              <w:rPr>
                <w:rFonts w:cs="Arial"/>
                <w:sz w:val="18"/>
                <w:szCs w:val="18"/>
                <w:lang w:val="es-ES_tradnl"/>
              </w:rPr>
            </w:pPr>
          </w:p>
          <w:p w:rsidR="00E65183" w:rsidRPr="00C83BDF" w:rsidRDefault="00236C28" w:rsidP="000F5BBB">
            <w:pPr>
              <w:pStyle w:val="ListParagraph"/>
              <w:numPr>
                <w:ilvl w:val="0"/>
                <w:numId w:val="10"/>
              </w:numPr>
              <w:spacing w:after="120"/>
              <w:ind w:left="360"/>
              <w:contextualSpacing w:val="0"/>
              <w:rPr>
                <w:sz w:val="18"/>
                <w:szCs w:val="18"/>
                <w:lang w:val="es-ES_tradnl"/>
              </w:rPr>
            </w:pPr>
            <w:r w:rsidRPr="00C83BDF">
              <w:rPr>
                <w:sz w:val="18"/>
                <w:szCs w:val="18"/>
                <w:lang w:val="es-ES_tradnl"/>
              </w:rPr>
              <w:t>Véase el apartado a) del resultado previsto nº 7 “Suministro de información sobre el Convenio de la UPOV a los sectores interesados (obtentores, agricultores, cultivadores, comerciantes de semillas, etc.)” del Subprograma UV.2.</w:t>
            </w:r>
          </w:p>
          <w:p w:rsidR="00E65183" w:rsidRPr="00C83BDF" w:rsidRDefault="00236C28" w:rsidP="000F5BBB">
            <w:pPr>
              <w:pStyle w:val="ListParagraph"/>
              <w:numPr>
                <w:ilvl w:val="0"/>
                <w:numId w:val="10"/>
              </w:numPr>
              <w:spacing w:after="120"/>
              <w:ind w:left="360"/>
              <w:contextualSpacing w:val="0"/>
              <w:rPr>
                <w:rFonts w:cs="Arial"/>
                <w:sz w:val="18"/>
                <w:szCs w:val="18"/>
                <w:lang w:val="es-ES_tradnl"/>
              </w:rPr>
            </w:pPr>
            <w:r w:rsidRPr="00C83BDF">
              <w:rPr>
                <w:rFonts w:cs="Arial"/>
                <w:sz w:val="18"/>
                <w:szCs w:val="18"/>
                <w:lang w:val="es-ES_tradnl"/>
              </w:rPr>
              <w:t>Tres comunicados de prensa</w:t>
            </w:r>
          </w:p>
          <w:p w:rsidR="00E65183" w:rsidRPr="00C83BDF" w:rsidRDefault="00E65183" w:rsidP="004737CD">
            <w:pPr>
              <w:ind w:right="459"/>
              <w:jc w:val="left"/>
              <w:rPr>
                <w:rFonts w:cs="Arial"/>
                <w:sz w:val="18"/>
                <w:szCs w:val="18"/>
                <w:lang w:val="es-ES_tradnl"/>
              </w:rPr>
            </w:pPr>
          </w:p>
          <w:p w:rsidR="00E65183" w:rsidRPr="00C83BDF" w:rsidRDefault="00E65183" w:rsidP="004737CD">
            <w:pPr>
              <w:ind w:right="459"/>
              <w:jc w:val="left"/>
              <w:rPr>
                <w:rFonts w:cs="Arial"/>
                <w:sz w:val="18"/>
                <w:szCs w:val="18"/>
                <w:lang w:val="es-ES_tradnl"/>
              </w:rPr>
            </w:pPr>
          </w:p>
          <w:p w:rsidR="00E65183" w:rsidRPr="00C83BDF" w:rsidRDefault="00236C28" w:rsidP="000F5BBB">
            <w:pPr>
              <w:pStyle w:val="Heading8"/>
              <w:rPr>
                <w:lang w:val="es-ES_tradnl"/>
              </w:rPr>
            </w:pPr>
            <w:bookmarkStart w:id="127" w:name="_Toc431824304"/>
            <w:r w:rsidRPr="00C83BDF">
              <w:rPr>
                <w:lang w:val="es-ES_tradnl"/>
              </w:rPr>
              <w:t>b)  Visitas al sitio web</w:t>
            </w:r>
            <w:bookmarkEnd w:id="127"/>
          </w:p>
        </w:tc>
      </w:tr>
    </w:tbl>
    <w:p w:rsidR="00E65183" w:rsidRPr="00C83BDF" w:rsidRDefault="00E65183" w:rsidP="00E65183">
      <w:pPr>
        <w:rPr>
          <w:lang w:val="es-ES_tradn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701"/>
        <w:gridCol w:w="1077"/>
        <w:gridCol w:w="1077"/>
        <w:gridCol w:w="1077"/>
        <w:gridCol w:w="1077"/>
        <w:gridCol w:w="1078"/>
      </w:tblGrid>
      <w:tr w:rsidR="00E65183" w:rsidRPr="00C83BDF">
        <w:tc>
          <w:tcPr>
            <w:tcW w:w="2694" w:type="dxa"/>
          </w:tcPr>
          <w:p w:rsidR="00E65183" w:rsidRPr="00C83BDF" w:rsidRDefault="00E65183" w:rsidP="006A7447">
            <w:pPr>
              <w:jc w:val="left"/>
              <w:rPr>
                <w:rFonts w:cs="Arial"/>
                <w:sz w:val="18"/>
                <w:szCs w:val="18"/>
                <w:lang w:val="es-ES_tradnl"/>
              </w:rPr>
            </w:pPr>
          </w:p>
        </w:tc>
        <w:tc>
          <w:tcPr>
            <w:tcW w:w="1701" w:type="dxa"/>
            <w:tcMar>
              <w:top w:w="28" w:type="dxa"/>
              <w:bottom w:w="0" w:type="dxa"/>
            </w:tcMar>
          </w:tcPr>
          <w:p w:rsidR="00E65183" w:rsidRPr="00C83BDF" w:rsidRDefault="00AE71B9" w:rsidP="006A7447">
            <w:pPr>
              <w:jc w:val="center"/>
              <w:rPr>
                <w:rFonts w:cs="Arial"/>
                <w:i/>
                <w:sz w:val="18"/>
                <w:szCs w:val="18"/>
                <w:lang w:val="es-ES_tradnl"/>
              </w:rPr>
            </w:pPr>
            <w:r w:rsidRPr="00C83BDF">
              <w:rPr>
                <w:rFonts w:cs="Arial"/>
                <w:i/>
                <w:sz w:val="18"/>
                <w:szCs w:val="18"/>
                <w:lang w:val="es-ES_tradnl"/>
              </w:rPr>
              <w:t xml:space="preserve">2014 </w:t>
            </w:r>
            <w:r w:rsidR="00045821" w:rsidRPr="00C83BDF">
              <w:rPr>
                <w:rFonts w:cs="Arial"/>
                <w:i/>
                <w:sz w:val="18"/>
                <w:szCs w:val="18"/>
                <w:lang w:val="es-ES_tradnl"/>
              </w:rPr>
              <w:t>con respecto a </w:t>
            </w:r>
            <w:r w:rsidRPr="00C83BDF">
              <w:rPr>
                <w:rFonts w:cs="Arial"/>
                <w:i/>
                <w:sz w:val="18"/>
                <w:szCs w:val="18"/>
                <w:lang w:val="es-ES_tradnl"/>
              </w:rPr>
              <w:t>2013 (%)</w:t>
            </w:r>
          </w:p>
        </w:tc>
        <w:tc>
          <w:tcPr>
            <w:tcW w:w="1077" w:type="dxa"/>
            <w:tcMar>
              <w:bottom w:w="0" w:type="dxa"/>
            </w:tcMar>
          </w:tcPr>
          <w:p w:rsidR="00E65183" w:rsidRPr="00C83BDF" w:rsidRDefault="00E65183" w:rsidP="006A7447">
            <w:pPr>
              <w:ind w:right="57"/>
              <w:jc w:val="center"/>
              <w:rPr>
                <w:rFonts w:cs="Arial"/>
                <w:i/>
                <w:sz w:val="18"/>
                <w:szCs w:val="18"/>
                <w:lang w:val="es-ES_tradnl"/>
              </w:rPr>
            </w:pPr>
            <w:r w:rsidRPr="00C83BDF">
              <w:rPr>
                <w:rFonts w:cs="Arial"/>
                <w:i/>
                <w:sz w:val="18"/>
                <w:szCs w:val="18"/>
                <w:lang w:val="es-ES_tradnl"/>
              </w:rPr>
              <w:t>2014</w:t>
            </w:r>
          </w:p>
        </w:tc>
        <w:tc>
          <w:tcPr>
            <w:tcW w:w="1077" w:type="dxa"/>
            <w:tcMar>
              <w:bottom w:w="0" w:type="dxa"/>
            </w:tcMar>
          </w:tcPr>
          <w:p w:rsidR="00E65183" w:rsidRPr="00C83BDF" w:rsidRDefault="00E65183" w:rsidP="006A7447">
            <w:pPr>
              <w:ind w:right="57"/>
              <w:jc w:val="center"/>
              <w:rPr>
                <w:rFonts w:cs="Arial"/>
                <w:i/>
                <w:sz w:val="18"/>
                <w:szCs w:val="18"/>
                <w:lang w:val="es-ES_tradnl"/>
              </w:rPr>
            </w:pPr>
            <w:r w:rsidRPr="00C83BDF">
              <w:rPr>
                <w:rFonts w:cs="Arial"/>
                <w:i/>
                <w:sz w:val="18"/>
                <w:szCs w:val="18"/>
                <w:lang w:val="es-ES_tradnl"/>
              </w:rPr>
              <w:t>2013</w:t>
            </w:r>
          </w:p>
        </w:tc>
        <w:tc>
          <w:tcPr>
            <w:tcW w:w="1077" w:type="dxa"/>
            <w:tcMar>
              <w:bottom w:w="0" w:type="dxa"/>
            </w:tcMar>
          </w:tcPr>
          <w:p w:rsidR="00E65183" w:rsidRPr="00C83BDF" w:rsidRDefault="00E65183" w:rsidP="006A7447">
            <w:pPr>
              <w:ind w:right="57"/>
              <w:jc w:val="center"/>
              <w:rPr>
                <w:rFonts w:cs="Arial"/>
                <w:i/>
                <w:sz w:val="18"/>
                <w:szCs w:val="18"/>
                <w:lang w:val="es-ES_tradnl"/>
              </w:rPr>
            </w:pPr>
            <w:r w:rsidRPr="00C83BDF">
              <w:rPr>
                <w:rFonts w:cs="Arial"/>
                <w:i/>
                <w:sz w:val="18"/>
                <w:szCs w:val="18"/>
                <w:lang w:val="es-ES_tradnl"/>
              </w:rPr>
              <w:t>2012</w:t>
            </w:r>
          </w:p>
        </w:tc>
        <w:tc>
          <w:tcPr>
            <w:tcW w:w="1077" w:type="dxa"/>
            <w:tcMar>
              <w:bottom w:w="0" w:type="dxa"/>
            </w:tcMar>
          </w:tcPr>
          <w:p w:rsidR="00E65183" w:rsidRPr="00C83BDF" w:rsidRDefault="00E65183" w:rsidP="006A7447">
            <w:pPr>
              <w:ind w:right="57"/>
              <w:jc w:val="center"/>
              <w:rPr>
                <w:rFonts w:cs="Arial"/>
                <w:i/>
                <w:sz w:val="18"/>
                <w:szCs w:val="18"/>
                <w:lang w:val="es-ES_tradnl"/>
              </w:rPr>
            </w:pPr>
            <w:r w:rsidRPr="00C83BDF">
              <w:rPr>
                <w:rFonts w:cs="Arial"/>
                <w:i/>
                <w:sz w:val="18"/>
                <w:szCs w:val="18"/>
                <w:lang w:val="es-ES_tradnl"/>
              </w:rPr>
              <w:t>2011</w:t>
            </w:r>
          </w:p>
        </w:tc>
        <w:tc>
          <w:tcPr>
            <w:tcW w:w="1078" w:type="dxa"/>
          </w:tcPr>
          <w:p w:rsidR="00E65183" w:rsidRPr="00C83BDF" w:rsidRDefault="00E65183" w:rsidP="006A7447">
            <w:pPr>
              <w:ind w:right="57"/>
              <w:jc w:val="center"/>
              <w:rPr>
                <w:rFonts w:cs="Arial"/>
                <w:i/>
                <w:sz w:val="18"/>
                <w:szCs w:val="18"/>
                <w:lang w:val="es-ES_tradnl"/>
              </w:rPr>
            </w:pPr>
            <w:r w:rsidRPr="00C83BDF">
              <w:rPr>
                <w:rFonts w:cs="Arial"/>
                <w:i/>
                <w:sz w:val="18"/>
                <w:szCs w:val="18"/>
                <w:lang w:val="es-ES_tradnl"/>
              </w:rPr>
              <w:t>2010</w:t>
            </w:r>
          </w:p>
        </w:tc>
      </w:tr>
      <w:tr w:rsidR="00E65183" w:rsidRPr="00C83BDF">
        <w:tc>
          <w:tcPr>
            <w:tcW w:w="2694" w:type="dxa"/>
          </w:tcPr>
          <w:p w:rsidR="00E65183" w:rsidRPr="00C83BDF" w:rsidRDefault="00045821" w:rsidP="006A7447">
            <w:pPr>
              <w:jc w:val="left"/>
              <w:rPr>
                <w:rFonts w:cs="Arial"/>
                <w:i/>
                <w:sz w:val="18"/>
                <w:szCs w:val="18"/>
                <w:lang w:val="es-ES_tradnl"/>
              </w:rPr>
            </w:pPr>
            <w:r w:rsidRPr="00C83BDF">
              <w:rPr>
                <w:rFonts w:cs="Arial"/>
                <w:i/>
                <w:sz w:val="18"/>
                <w:szCs w:val="18"/>
                <w:lang w:val="es-ES_tradnl"/>
              </w:rPr>
              <w:t>Número de sesiones:</w:t>
            </w:r>
            <w:r w:rsidR="00E65183" w:rsidRPr="00C83BDF">
              <w:rPr>
                <w:rFonts w:cs="Arial"/>
                <w:i/>
                <w:sz w:val="18"/>
                <w:szCs w:val="18"/>
                <w:lang w:val="es-ES_tradnl"/>
              </w:rPr>
              <w:t xml:space="preserve"> </w:t>
            </w:r>
          </w:p>
        </w:tc>
        <w:tc>
          <w:tcPr>
            <w:tcW w:w="1701" w:type="dxa"/>
            <w:tcMar>
              <w:top w:w="28" w:type="dxa"/>
              <w:bottom w:w="0" w:type="dxa"/>
            </w:tcMar>
          </w:tcPr>
          <w:p w:rsidR="00E65183" w:rsidRPr="00C83BDF" w:rsidRDefault="00E65183" w:rsidP="006A7447">
            <w:pPr>
              <w:jc w:val="center"/>
              <w:rPr>
                <w:rFonts w:cs="Arial"/>
                <w:sz w:val="18"/>
                <w:szCs w:val="18"/>
                <w:lang w:val="es-ES_tradnl"/>
              </w:rPr>
            </w:pPr>
            <w:r w:rsidRPr="00C83BDF">
              <w:rPr>
                <w:rFonts w:cs="Arial"/>
                <w:sz w:val="18"/>
                <w:szCs w:val="18"/>
                <w:lang w:val="es-ES_tradnl"/>
              </w:rPr>
              <w:t>+4</w:t>
            </w:r>
            <w:r w:rsidR="00EC1AC0" w:rsidRPr="00C83BDF">
              <w:rPr>
                <w:rFonts w:cs="Arial"/>
                <w:sz w:val="18"/>
                <w:szCs w:val="18"/>
                <w:lang w:val="es-ES_tradnl"/>
              </w:rPr>
              <w:t>,</w:t>
            </w:r>
            <w:r w:rsidRPr="00C83BDF">
              <w:rPr>
                <w:rFonts w:cs="Arial"/>
                <w:sz w:val="18"/>
                <w:szCs w:val="18"/>
                <w:lang w:val="es-ES_tradnl"/>
              </w:rPr>
              <w:t>70%</w:t>
            </w:r>
          </w:p>
        </w:tc>
        <w:tc>
          <w:tcPr>
            <w:tcW w:w="1077" w:type="dxa"/>
            <w:tcMar>
              <w:bottom w:w="0" w:type="dxa"/>
            </w:tcMar>
          </w:tcPr>
          <w:p w:rsidR="00E65183" w:rsidRPr="00C83BDF" w:rsidRDefault="00E65183" w:rsidP="006A7447">
            <w:pPr>
              <w:ind w:right="57"/>
              <w:jc w:val="right"/>
              <w:rPr>
                <w:rFonts w:cs="Arial"/>
                <w:sz w:val="18"/>
                <w:szCs w:val="18"/>
                <w:lang w:val="es-ES_tradnl"/>
              </w:rPr>
            </w:pPr>
            <w:r w:rsidRPr="00C83BDF">
              <w:rPr>
                <w:rFonts w:cs="Arial"/>
                <w:sz w:val="18"/>
                <w:szCs w:val="18"/>
                <w:lang w:val="es-ES_tradnl"/>
              </w:rPr>
              <w:t>18</w:t>
            </w:r>
            <w:r w:rsidR="00EC1AC0" w:rsidRPr="00C83BDF">
              <w:rPr>
                <w:rFonts w:cs="Arial"/>
                <w:sz w:val="18"/>
                <w:szCs w:val="18"/>
                <w:lang w:val="es-ES_tradnl"/>
              </w:rPr>
              <w:t>7.1</w:t>
            </w:r>
            <w:r w:rsidRPr="00C83BDF">
              <w:rPr>
                <w:rFonts w:cs="Arial"/>
                <w:sz w:val="18"/>
                <w:szCs w:val="18"/>
                <w:lang w:val="es-ES_tradnl"/>
              </w:rPr>
              <w:t>25</w:t>
            </w:r>
          </w:p>
        </w:tc>
        <w:tc>
          <w:tcPr>
            <w:tcW w:w="1077" w:type="dxa"/>
            <w:tcMar>
              <w:bottom w:w="0" w:type="dxa"/>
            </w:tcMar>
          </w:tcPr>
          <w:p w:rsidR="00E65183" w:rsidRPr="00C83BDF" w:rsidRDefault="00E65183" w:rsidP="006A7447">
            <w:pPr>
              <w:ind w:right="57"/>
              <w:jc w:val="right"/>
              <w:rPr>
                <w:rFonts w:cs="Arial"/>
                <w:sz w:val="18"/>
                <w:szCs w:val="18"/>
                <w:lang w:val="es-ES_tradnl"/>
              </w:rPr>
            </w:pPr>
            <w:r w:rsidRPr="00C83BDF">
              <w:rPr>
                <w:rFonts w:cs="Arial"/>
                <w:sz w:val="18"/>
                <w:szCs w:val="18"/>
                <w:lang w:val="es-ES_tradnl"/>
              </w:rPr>
              <w:t>17</w:t>
            </w:r>
            <w:r w:rsidR="00EC1AC0" w:rsidRPr="00C83BDF">
              <w:rPr>
                <w:rFonts w:cs="Arial"/>
                <w:sz w:val="18"/>
                <w:szCs w:val="18"/>
                <w:lang w:val="es-ES_tradnl"/>
              </w:rPr>
              <w:t>8.7</w:t>
            </w:r>
            <w:r w:rsidRPr="00C83BDF">
              <w:rPr>
                <w:rFonts w:cs="Arial"/>
                <w:sz w:val="18"/>
                <w:szCs w:val="18"/>
                <w:lang w:val="es-ES_tradnl"/>
              </w:rPr>
              <w:t>32</w:t>
            </w:r>
          </w:p>
        </w:tc>
        <w:tc>
          <w:tcPr>
            <w:tcW w:w="1077" w:type="dxa"/>
            <w:tcMar>
              <w:bottom w:w="0" w:type="dxa"/>
            </w:tcMar>
          </w:tcPr>
          <w:p w:rsidR="00E65183" w:rsidRPr="00C83BDF" w:rsidRDefault="00E65183" w:rsidP="006A7447">
            <w:pPr>
              <w:ind w:right="57"/>
              <w:jc w:val="right"/>
              <w:rPr>
                <w:rFonts w:cs="Arial"/>
                <w:sz w:val="18"/>
                <w:szCs w:val="18"/>
                <w:lang w:val="es-ES_tradnl"/>
              </w:rPr>
            </w:pPr>
            <w:r w:rsidRPr="00C83BDF">
              <w:rPr>
                <w:rFonts w:cs="Arial"/>
                <w:sz w:val="18"/>
                <w:szCs w:val="18"/>
                <w:lang w:val="es-ES_tradnl"/>
              </w:rPr>
              <w:t>15</w:t>
            </w:r>
            <w:r w:rsidR="00EC1AC0" w:rsidRPr="00C83BDF">
              <w:rPr>
                <w:rFonts w:cs="Arial"/>
                <w:sz w:val="18"/>
                <w:szCs w:val="18"/>
                <w:lang w:val="es-ES_tradnl"/>
              </w:rPr>
              <w:t>1.9</w:t>
            </w:r>
            <w:r w:rsidRPr="00C83BDF">
              <w:rPr>
                <w:rFonts w:cs="Arial"/>
                <w:sz w:val="18"/>
                <w:szCs w:val="18"/>
                <w:lang w:val="es-ES_tradnl"/>
              </w:rPr>
              <w:t>14</w:t>
            </w:r>
          </w:p>
        </w:tc>
        <w:tc>
          <w:tcPr>
            <w:tcW w:w="1077" w:type="dxa"/>
            <w:tcMar>
              <w:bottom w:w="0" w:type="dxa"/>
            </w:tcMar>
          </w:tcPr>
          <w:p w:rsidR="00E65183" w:rsidRPr="00C83BDF" w:rsidRDefault="00E65183" w:rsidP="006A7447">
            <w:pPr>
              <w:ind w:right="57"/>
              <w:jc w:val="right"/>
              <w:rPr>
                <w:rFonts w:cs="Arial"/>
                <w:sz w:val="18"/>
                <w:szCs w:val="18"/>
                <w:lang w:val="es-ES_tradnl"/>
              </w:rPr>
            </w:pPr>
            <w:r w:rsidRPr="00C83BDF">
              <w:rPr>
                <w:rFonts w:cs="Arial"/>
                <w:sz w:val="18"/>
                <w:szCs w:val="18"/>
                <w:lang w:val="es-ES_tradnl"/>
              </w:rPr>
              <w:t>14</w:t>
            </w:r>
            <w:r w:rsidR="00EC1AC0" w:rsidRPr="00C83BDF">
              <w:rPr>
                <w:rFonts w:cs="Arial"/>
                <w:sz w:val="18"/>
                <w:szCs w:val="18"/>
                <w:lang w:val="es-ES_tradnl"/>
              </w:rPr>
              <w:t>0.3</w:t>
            </w:r>
            <w:r w:rsidRPr="00C83BDF">
              <w:rPr>
                <w:rFonts w:cs="Arial"/>
                <w:sz w:val="18"/>
                <w:szCs w:val="18"/>
                <w:lang w:val="es-ES_tradnl"/>
              </w:rPr>
              <w:t>71</w:t>
            </w:r>
          </w:p>
        </w:tc>
        <w:tc>
          <w:tcPr>
            <w:tcW w:w="1078" w:type="dxa"/>
          </w:tcPr>
          <w:p w:rsidR="00E65183" w:rsidRPr="00C83BDF" w:rsidRDefault="00E65183" w:rsidP="006A7447">
            <w:pPr>
              <w:ind w:right="57"/>
              <w:jc w:val="right"/>
              <w:rPr>
                <w:rFonts w:cs="Arial"/>
                <w:sz w:val="18"/>
                <w:szCs w:val="18"/>
                <w:lang w:val="es-ES_tradnl"/>
              </w:rPr>
            </w:pPr>
            <w:r w:rsidRPr="00C83BDF">
              <w:rPr>
                <w:rFonts w:cs="Arial"/>
                <w:sz w:val="18"/>
                <w:szCs w:val="18"/>
                <w:lang w:val="es-ES_tradnl"/>
              </w:rPr>
              <w:t>11</w:t>
            </w:r>
            <w:r w:rsidR="00EC1AC0" w:rsidRPr="00C83BDF">
              <w:rPr>
                <w:rFonts w:cs="Arial"/>
                <w:sz w:val="18"/>
                <w:szCs w:val="18"/>
                <w:lang w:val="es-ES_tradnl"/>
              </w:rPr>
              <w:t>8.8</w:t>
            </w:r>
            <w:r w:rsidRPr="00C83BDF">
              <w:rPr>
                <w:rFonts w:cs="Arial"/>
                <w:sz w:val="18"/>
                <w:szCs w:val="18"/>
                <w:lang w:val="es-ES_tradnl"/>
              </w:rPr>
              <w:t>95</w:t>
            </w:r>
          </w:p>
        </w:tc>
      </w:tr>
      <w:tr w:rsidR="00E65183" w:rsidRPr="00C83BDF">
        <w:tc>
          <w:tcPr>
            <w:tcW w:w="2694" w:type="dxa"/>
          </w:tcPr>
          <w:p w:rsidR="00E65183" w:rsidRPr="00C83BDF" w:rsidRDefault="00045821" w:rsidP="006A7447">
            <w:pPr>
              <w:jc w:val="left"/>
              <w:rPr>
                <w:rFonts w:cs="Arial"/>
                <w:i/>
                <w:sz w:val="18"/>
                <w:szCs w:val="18"/>
                <w:lang w:val="es-ES_tradnl"/>
              </w:rPr>
            </w:pPr>
            <w:r w:rsidRPr="00C83BDF">
              <w:rPr>
                <w:rFonts w:cs="Arial"/>
                <w:i/>
                <w:sz w:val="18"/>
                <w:szCs w:val="18"/>
                <w:lang w:val="es-ES_tradnl"/>
              </w:rPr>
              <w:t>Usuarios únicos:</w:t>
            </w:r>
          </w:p>
        </w:tc>
        <w:tc>
          <w:tcPr>
            <w:tcW w:w="1701" w:type="dxa"/>
            <w:tcMar>
              <w:top w:w="28" w:type="dxa"/>
              <w:bottom w:w="0" w:type="dxa"/>
            </w:tcMar>
          </w:tcPr>
          <w:p w:rsidR="00E65183" w:rsidRPr="00C83BDF" w:rsidRDefault="00E65183" w:rsidP="006A7447">
            <w:pPr>
              <w:jc w:val="center"/>
              <w:rPr>
                <w:rFonts w:cs="Arial"/>
                <w:sz w:val="18"/>
                <w:szCs w:val="18"/>
                <w:lang w:val="es-ES_tradnl"/>
              </w:rPr>
            </w:pPr>
            <w:r w:rsidRPr="00C83BDF">
              <w:rPr>
                <w:rFonts w:cs="Arial"/>
                <w:sz w:val="18"/>
                <w:szCs w:val="18"/>
                <w:lang w:val="es-ES_tradnl"/>
              </w:rPr>
              <w:t>+2</w:t>
            </w:r>
            <w:r w:rsidR="00EC1AC0" w:rsidRPr="00C83BDF">
              <w:rPr>
                <w:rFonts w:cs="Arial"/>
                <w:sz w:val="18"/>
                <w:szCs w:val="18"/>
                <w:lang w:val="es-ES_tradnl"/>
              </w:rPr>
              <w:t>,</w:t>
            </w:r>
            <w:r w:rsidRPr="00C83BDF">
              <w:rPr>
                <w:rFonts w:cs="Arial"/>
                <w:sz w:val="18"/>
                <w:szCs w:val="18"/>
                <w:lang w:val="es-ES_tradnl"/>
              </w:rPr>
              <w:t>32%</w:t>
            </w:r>
          </w:p>
        </w:tc>
        <w:tc>
          <w:tcPr>
            <w:tcW w:w="1077" w:type="dxa"/>
            <w:tcMar>
              <w:bottom w:w="0" w:type="dxa"/>
            </w:tcMar>
          </w:tcPr>
          <w:p w:rsidR="00E65183" w:rsidRPr="00C83BDF" w:rsidRDefault="00E65183" w:rsidP="006A7447">
            <w:pPr>
              <w:ind w:right="57"/>
              <w:jc w:val="right"/>
              <w:rPr>
                <w:rFonts w:cs="Arial"/>
                <w:sz w:val="18"/>
                <w:szCs w:val="18"/>
                <w:lang w:val="es-ES_tradnl"/>
              </w:rPr>
            </w:pPr>
            <w:r w:rsidRPr="00C83BDF">
              <w:rPr>
                <w:rFonts w:cs="Arial"/>
                <w:sz w:val="18"/>
                <w:szCs w:val="18"/>
                <w:lang w:val="es-ES_tradnl"/>
              </w:rPr>
              <w:t>8</w:t>
            </w:r>
            <w:r w:rsidR="00EC1AC0" w:rsidRPr="00C83BDF">
              <w:rPr>
                <w:rFonts w:cs="Arial"/>
                <w:sz w:val="18"/>
                <w:szCs w:val="18"/>
                <w:lang w:val="es-ES_tradnl"/>
              </w:rPr>
              <w:t>6.2</w:t>
            </w:r>
            <w:r w:rsidRPr="00C83BDF">
              <w:rPr>
                <w:rFonts w:cs="Arial"/>
                <w:sz w:val="18"/>
                <w:szCs w:val="18"/>
                <w:lang w:val="es-ES_tradnl"/>
              </w:rPr>
              <w:t>91</w:t>
            </w:r>
          </w:p>
        </w:tc>
        <w:tc>
          <w:tcPr>
            <w:tcW w:w="1077" w:type="dxa"/>
            <w:tcMar>
              <w:bottom w:w="0" w:type="dxa"/>
            </w:tcMar>
          </w:tcPr>
          <w:p w:rsidR="00E65183" w:rsidRPr="00C83BDF" w:rsidRDefault="00E65183" w:rsidP="006A7447">
            <w:pPr>
              <w:ind w:right="57"/>
              <w:jc w:val="right"/>
              <w:rPr>
                <w:rFonts w:cs="Arial"/>
                <w:sz w:val="18"/>
                <w:szCs w:val="18"/>
                <w:lang w:val="es-ES_tradnl"/>
              </w:rPr>
            </w:pPr>
            <w:r w:rsidRPr="00C83BDF">
              <w:rPr>
                <w:rFonts w:cs="Arial"/>
                <w:sz w:val="18"/>
                <w:szCs w:val="18"/>
                <w:lang w:val="es-ES_tradnl"/>
              </w:rPr>
              <w:t>8</w:t>
            </w:r>
            <w:r w:rsidR="00EC1AC0" w:rsidRPr="00C83BDF">
              <w:rPr>
                <w:rFonts w:cs="Arial"/>
                <w:sz w:val="18"/>
                <w:szCs w:val="18"/>
                <w:lang w:val="es-ES_tradnl"/>
              </w:rPr>
              <w:t>4.3</w:t>
            </w:r>
            <w:r w:rsidRPr="00C83BDF">
              <w:rPr>
                <w:rFonts w:cs="Arial"/>
                <w:sz w:val="18"/>
                <w:szCs w:val="18"/>
                <w:lang w:val="es-ES_tradnl"/>
              </w:rPr>
              <w:t>36</w:t>
            </w:r>
          </w:p>
        </w:tc>
        <w:tc>
          <w:tcPr>
            <w:tcW w:w="1077" w:type="dxa"/>
            <w:tcMar>
              <w:bottom w:w="0" w:type="dxa"/>
            </w:tcMar>
          </w:tcPr>
          <w:p w:rsidR="00E65183" w:rsidRPr="00C83BDF" w:rsidRDefault="00E65183" w:rsidP="006A7447">
            <w:pPr>
              <w:ind w:right="57"/>
              <w:jc w:val="right"/>
              <w:rPr>
                <w:rFonts w:cs="Arial"/>
                <w:sz w:val="18"/>
                <w:szCs w:val="18"/>
                <w:lang w:val="es-ES_tradnl"/>
              </w:rPr>
            </w:pPr>
            <w:r w:rsidRPr="00C83BDF">
              <w:rPr>
                <w:rFonts w:cs="Arial"/>
                <w:sz w:val="18"/>
                <w:szCs w:val="18"/>
                <w:lang w:val="es-ES_tradnl"/>
              </w:rPr>
              <w:t>7</w:t>
            </w:r>
            <w:r w:rsidR="00EC1AC0" w:rsidRPr="00C83BDF">
              <w:rPr>
                <w:rFonts w:cs="Arial"/>
                <w:sz w:val="18"/>
                <w:szCs w:val="18"/>
                <w:lang w:val="es-ES_tradnl"/>
              </w:rPr>
              <w:t>1.5</w:t>
            </w:r>
            <w:r w:rsidRPr="00C83BDF">
              <w:rPr>
                <w:rFonts w:cs="Arial"/>
                <w:sz w:val="18"/>
                <w:szCs w:val="18"/>
                <w:lang w:val="es-ES_tradnl"/>
              </w:rPr>
              <w:t>06</w:t>
            </w:r>
          </w:p>
        </w:tc>
        <w:tc>
          <w:tcPr>
            <w:tcW w:w="1077" w:type="dxa"/>
            <w:tcMar>
              <w:bottom w:w="0" w:type="dxa"/>
            </w:tcMar>
          </w:tcPr>
          <w:p w:rsidR="00E65183" w:rsidRPr="00C83BDF" w:rsidRDefault="00E65183" w:rsidP="006A7447">
            <w:pPr>
              <w:ind w:right="57"/>
              <w:jc w:val="right"/>
              <w:rPr>
                <w:rFonts w:cs="Arial"/>
                <w:sz w:val="18"/>
                <w:szCs w:val="18"/>
                <w:lang w:val="es-ES_tradnl"/>
              </w:rPr>
            </w:pPr>
            <w:r w:rsidRPr="00C83BDF">
              <w:rPr>
                <w:rFonts w:cs="Arial"/>
                <w:sz w:val="18"/>
                <w:szCs w:val="18"/>
                <w:lang w:val="es-ES_tradnl"/>
              </w:rPr>
              <w:t>7</w:t>
            </w:r>
            <w:r w:rsidR="00EC1AC0" w:rsidRPr="00C83BDF">
              <w:rPr>
                <w:rFonts w:cs="Arial"/>
                <w:sz w:val="18"/>
                <w:szCs w:val="18"/>
                <w:lang w:val="es-ES_tradnl"/>
              </w:rPr>
              <w:t>5.6</w:t>
            </w:r>
            <w:r w:rsidRPr="00C83BDF">
              <w:rPr>
                <w:rFonts w:cs="Arial"/>
                <w:sz w:val="18"/>
                <w:szCs w:val="18"/>
                <w:lang w:val="es-ES_tradnl"/>
              </w:rPr>
              <w:t>73</w:t>
            </w:r>
          </w:p>
        </w:tc>
        <w:tc>
          <w:tcPr>
            <w:tcW w:w="1078" w:type="dxa"/>
          </w:tcPr>
          <w:p w:rsidR="00E65183" w:rsidRPr="00C83BDF" w:rsidRDefault="00E65183" w:rsidP="006A7447">
            <w:pPr>
              <w:ind w:right="57"/>
              <w:jc w:val="right"/>
              <w:rPr>
                <w:rFonts w:cs="Arial"/>
                <w:sz w:val="18"/>
                <w:szCs w:val="18"/>
                <w:lang w:val="es-ES_tradnl"/>
              </w:rPr>
            </w:pPr>
            <w:r w:rsidRPr="00C83BDF">
              <w:rPr>
                <w:rFonts w:cs="Arial"/>
                <w:sz w:val="18"/>
                <w:szCs w:val="18"/>
                <w:lang w:val="es-ES_tradnl"/>
              </w:rPr>
              <w:t>6</w:t>
            </w:r>
            <w:r w:rsidR="00EC1AC0" w:rsidRPr="00C83BDF">
              <w:rPr>
                <w:rFonts w:cs="Arial"/>
                <w:sz w:val="18"/>
                <w:szCs w:val="18"/>
                <w:lang w:val="es-ES_tradnl"/>
              </w:rPr>
              <w:t>2.7</w:t>
            </w:r>
            <w:r w:rsidRPr="00C83BDF">
              <w:rPr>
                <w:rFonts w:cs="Arial"/>
                <w:sz w:val="18"/>
                <w:szCs w:val="18"/>
                <w:lang w:val="es-ES_tradnl"/>
              </w:rPr>
              <w:t>58</w:t>
            </w:r>
          </w:p>
        </w:tc>
      </w:tr>
      <w:tr w:rsidR="00E65183" w:rsidRPr="00C83BDF">
        <w:tc>
          <w:tcPr>
            <w:tcW w:w="2694" w:type="dxa"/>
          </w:tcPr>
          <w:p w:rsidR="00E65183" w:rsidRPr="00C83BDF" w:rsidRDefault="00045821" w:rsidP="006A7447">
            <w:pPr>
              <w:jc w:val="left"/>
              <w:rPr>
                <w:rFonts w:cs="Arial"/>
                <w:i/>
                <w:sz w:val="18"/>
                <w:szCs w:val="18"/>
                <w:lang w:val="es-ES_tradnl"/>
              </w:rPr>
            </w:pPr>
            <w:r w:rsidRPr="00C83BDF">
              <w:rPr>
                <w:rFonts w:cs="Arial"/>
                <w:i/>
                <w:sz w:val="18"/>
                <w:szCs w:val="18"/>
                <w:lang w:val="es-ES_tradnl"/>
              </w:rPr>
              <w:t>Número de páginas vistas:</w:t>
            </w:r>
          </w:p>
        </w:tc>
        <w:tc>
          <w:tcPr>
            <w:tcW w:w="1701" w:type="dxa"/>
            <w:tcMar>
              <w:top w:w="28" w:type="dxa"/>
              <w:bottom w:w="0" w:type="dxa"/>
            </w:tcMar>
          </w:tcPr>
          <w:p w:rsidR="00E65183" w:rsidRPr="00C83BDF" w:rsidRDefault="00E65183" w:rsidP="006A7447">
            <w:pPr>
              <w:jc w:val="center"/>
              <w:rPr>
                <w:rFonts w:cs="Arial"/>
                <w:sz w:val="18"/>
                <w:szCs w:val="18"/>
                <w:lang w:val="es-ES_tradnl"/>
              </w:rPr>
            </w:pPr>
            <w:r w:rsidRPr="00C83BDF">
              <w:rPr>
                <w:rFonts w:cs="Arial"/>
                <w:sz w:val="18"/>
                <w:szCs w:val="18"/>
                <w:lang w:val="es-ES_tradnl"/>
              </w:rPr>
              <w:t>-0</w:t>
            </w:r>
            <w:r w:rsidR="00EC1AC0" w:rsidRPr="00C83BDF">
              <w:rPr>
                <w:rFonts w:cs="Arial"/>
                <w:sz w:val="18"/>
                <w:szCs w:val="18"/>
                <w:lang w:val="es-ES_tradnl"/>
              </w:rPr>
              <w:t>,</w:t>
            </w:r>
            <w:r w:rsidRPr="00C83BDF">
              <w:rPr>
                <w:rFonts w:cs="Arial"/>
                <w:sz w:val="18"/>
                <w:szCs w:val="18"/>
                <w:lang w:val="es-ES_tradnl"/>
              </w:rPr>
              <w:t>11%</w:t>
            </w:r>
          </w:p>
        </w:tc>
        <w:tc>
          <w:tcPr>
            <w:tcW w:w="1077" w:type="dxa"/>
            <w:tcMar>
              <w:bottom w:w="0" w:type="dxa"/>
            </w:tcMar>
          </w:tcPr>
          <w:p w:rsidR="00E65183" w:rsidRPr="00C83BDF" w:rsidRDefault="00EC1AC0" w:rsidP="006A7447">
            <w:pPr>
              <w:ind w:right="57"/>
              <w:jc w:val="right"/>
              <w:rPr>
                <w:rFonts w:cs="Arial"/>
                <w:sz w:val="18"/>
                <w:szCs w:val="18"/>
                <w:lang w:val="es-ES_tradnl"/>
              </w:rPr>
            </w:pPr>
            <w:r w:rsidRPr="00C83BDF">
              <w:rPr>
                <w:rFonts w:cs="Arial"/>
                <w:sz w:val="18"/>
                <w:szCs w:val="18"/>
                <w:lang w:val="es-ES_tradnl"/>
              </w:rPr>
              <w:t>1.1</w:t>
            </w:r>
            <w:r w:rsidR="00E65183" w:rsidRPr="00C83BDF">
              <w:rPr>
                <w:rFonts w:cs="Arial"/>
                <w:sz w:val="18"/>
                <w:szCs w:val="18"/>
                <w:lang w:val="es-ES_tradnl"/>
              </w:rPr>
              <w:t>2</w:t>
            </w:r>
            <w:r w:rsidRPr="00C83BDF">
              <w:rPr>
                <w:rFonts w:cs="Arial"/>
                <w:sz w:val="18"/>
                <w:szCs w:val="18"/>
                <w:lang w:val="es-ES_tradnl"/>
              </w:rPr>
              <w:t>7.7</w:t>
            </w:r>
            <w:r w:rsidR="00E65183" w:rsidRPr="00C83BDF">
              <w:rPr>
                <w:rFonts w:cs="Arial"/>
                <w:sz w:val="18"/>
                <w:szCs w:val="18"/>
                <w:lang w:val="es-ES_tradnl"/>
              </w:rPr>
              <w:t>86</w:t>
            </w:r>
          </w:p>
        </w:tc>
        <w:tc>
          <w:tcPr>
            <w:tcW w:w="1077" w:type="dxa"/>
            <w:tcMar>
              <w:bottom w:w="0" w:type="dxa"/>
            </w:tcMar>
          </w:tcPr>
          <w:p w:rsidR="00E65183" w:rsidRPr="00C83BDF" w:rsidRDefault="00EC1AC0" w:rsidP="006A7447">
            <w:pPr>
              <w:ind w:right="57"/>
              <w:jc w:val="right"/>
              <w:rPr>
                <w:rFonts w:cs="Arial"/>
                <w:sz w:val="18"/>
                <w:szCs w:val="18"/>
                <w:lang w:val="es-ES_tradnl"/>
              </w:rPr>
            </w:pPr>
            <w:r w:rsidRPr="00C83BDF">
              <w:rPr>
                <w:rFonts w:cs="Arial"/>
                <w:sz w:val="18"/>
                <w:szCs w:val="18"/>
                <w:lang w:val="es-ES_tradnl"/>
              </w:rPr>
              <w:t>1.1</w:t>
            </w:r>
            <w:r w:rsidR="00E65183" w:rsidRPr="00C83BDF">
              <w:rPr>
                <w:rFonts w:cs="Arial"/>
                <w:sz w:val="18"/>
                <w:szCs w:val="18"/>
                <w:lang w:val="es-ES_tradnl"/>
              </w:rPr>
              <w:t>2</w:t>
            </w:r>
            <w:r w:rsidRPr="00C83BDF">
              <w:rPr>
                <w:rFonts w:cs="Arial"/>
                <w:sz w:val="18"/>
                <w:szCs w:val="18"/>
                <w:lang w:val="es-ES_tradnl"/>
              </w:rPr>
              <w:t>9.0</w:t>
            </w:r>
            <w:r w:rsidR="00E65183" w:rsidRPr="00C83BDF">
              <w:rPr>
                <w:rFonts w:cs="Arial"/>
                <w:sz w:val="18"/>
                <w:szCs w:val="18"/>
                <w:lang w:val="es-ES_tradnl"/>
              </w:rPr>
              <w:t>52</w:t>
            </w:r>
          </w:p>
        </w:tc>
        <w:tc>
          <w:tcPr>
            <w:tcW w:w="1077" w:type="dxa"/>
            <w:tcMar>
              <w:bottom w:w="0" w:type="dxa"/>
            </w:tcMar>
          </w:tcPr>
          <w:p w:rsidR="00E65183" w:rsidRPr="00C83BDF" w:rsidRDefault="00EC1AC0" w:rsidP="006A7447">
            <w:pPr>
              <w:ind w:right="57"/>
              <w:jc w:val="right"/>
              <w:rPr>
                <w:rFonts w:cs="Arial"/>
                <w:sz w:val="18"/>
                <w:szCs w:val="18"/>
                <w:lang w:val="es-ES_tradnl"/>
              </w:rPr>
            </w:pPr>
            <w:r w:rsidRPr="00C83BDF">
              <w:rPr>
                <w:rFonts w:cs="Arial"/>
                <w:sz w:val="18"/>
                <w:szCs w:val="18"/>
                <w:lang w:val="es-ES_tradnl"/>
              </w:rPr>
              <w:t>1.1</w:t>
            </w:r>
            <w:r w:rsidR="00E65183" w:rsidRPr="00C83BDF">
              <w:rPr>
                <w:rFonts w:cs="Arial"/>
                <w:sz w:val="18"/>
                <w:szCs w:val="18"/>
                <w:lang w:val="es-ES_tradnl"/>
              </w:rPr>
              <w:t>3</w:t>
            </w:r>
            <w:r w:rsidRPr="00C83BDF">
              <w:rPr>
                <w:rFonts w:cs="Arial"/>
                <w:sz w:val="18"/>
                <w:szCs w:val="18"/>
                <w:lang w:val="es-ES_tradnl"/>
              </w:rPr>
              <w:t>9.5</w:t>
            </w:r>
            <w:r w:rsidR="00E65183" w:rsidRPr="00C83BDF">
              <w:rPr>
                <w:rFonts w:cs="Arial"/>
                <w:sz w:val="18"/>
                <w:szCs w:val="18"/>
                <w:lang w:val="es-ES_tradnl"/>
              </w:rPr>
              <w:t>70</w:t>
            </w:r>
          </w:p>
        </w:tc>
        <w:tc>
          <w:tcPr>
            <w:tcW w:w="1077" w:type="dxa"/>
            <w:tcMar>
              <w:bottom w:w="0" w:type="dxa"/>
            </w:tcMar>
          </w:tcPr>
          <w:p w:rsidR="00E65183" w:rsidRPr="00C83BDF" w:rsidRDefault="00E65183" w:rsidP="006A7447">
            <w:pPr>
              <w:ind w:right="57"/>
              <w:jc w:val="right"/>
              <w:rPr>
                <w:rFonts w:cs="Arial"/>
                <w:sz w:val="18"/>
                <w:szCs w:val="18"/>
                <w:lang w:val="es-ES_tradnl"/>
              </w:rPr>
            </w:pPr>
            <w:r w:rsidRPr="00C83BDF">
              <w:rPr>
                <w:rFonts w:cs="Arial"/>
                <w:sz w:val="18"/>
                <w:szCs w:val="18"/>
                <w:lang w:val="es-ES_tradnl"/>
              </w:rPr>
              <w:t>79</w:t>
            </w:r>
            <w:r w:rsidR="00EC1AC0" w:rsidRPr="00C83BDF">
              <w:rPr>
                <w:rFonts w:cs="Arial"/>
                <w:sz w:val="18"/>
                <w:szCs w:val="18"/>
                <w:lang w:val="es-ES_tradnl"/>
              </w:rPr>
              <w:t>8.9</w:t>
            </w:r>
            <w:r w:rsidRPr="00C83BDF">
              <w:rPr>
                <w:rFonts w:cs="Arial"/>
                <w:sz w:val="18"/>
                <w:szCs w:val="18"/>
                <w:lang w:val="es-ES_tradnl"/>
              </w:rPr>
              <w:t>42</w:t>
            </w:r>
          </w:p>
        </w:tc>
        <w:tc>
          <w:tcPr>
            <w:tcW w:w="1078" w:type="dxa"/>
          </w:tcPr>
          <w:p w:rsidR="00E65183" w:rsidRPr="00C83BDF" w:rsidRDefault="00E65183" w:rsidP="006A7447">
            <w:pPr>
              <w:ind w:right="57"/>
              <w:jc w:val="right"/>
              <w:rPr>
                <w:rFonts w:cs="Arial"/>
                <w:sz w:val="18"/>
                <w:szCs w:val="18"/>
                <w:lang w:val="es-ES_tradnl"/>
              </w:rPr>
            </w:pPr>
            <w:r w:rsidRPr="00C83BDF">
              <w:rPr>
                <w:rFonts w:cs="Arial"/>
                <w:sz w:val="18"/>
                <w:szCs w:val="18"/>
                <w:lang w:val="es-ES_tradnl"/>
              </w:rPr>
              <w:t>65</w:t>
            </w:r>
            <w:r w:rsidR="00EC1AC0" w:rsidRPr="00C83BDF">
              <w:rPr>
                <w:rFonts w:cs="Arial"/>
                <w:sz w:val="18"/>
                <w:szCs w:val="18"/>
                <w:lang w:val="es-ES_tradnl"/>
              </w:rPr>
              <w:t>6.7</w:t>
            </w:r>
            <w:r w:rsidRPr="00C83BDF">
              <w:rPr>
                <w:rFonts w:cs="Arial"/>
                <w:sz w:val="18"/>
                <w:szCs w:val="18"/>
                <w:lang w:val="es-ES_tradnl"/>
              </w:rPr>
              <w:t>22</w:t>
            </w:r>
          </w:p>
        </w:tc>
      </w:tr>
      <w:tr w:rsidR="00E65183" w:rsidRPr="00C83BDF">
        <w:tc>
          <w:tcPr>
            <w:tcW w:w="2694" w:type="dxa"/>
          </w:tcPr>
          <w:p w:rsidR="00E65183" w:rsidRPr="00C83BDF" w:rsidRDefault="00045821" w:rsidP="006A7447">
            <w:pPr>
              <w:jc w:val="left"/>
              <w:rPr>
                <w:rFonts w:cs="Arial"/>
                <w:i/>
                <w:sz w:val="18"/>
                <w:szCs w:val="18"/>
                <w:lang w:val="es-ES_tradnl"/>
              </w:rPr>
            </w:pPr>
            <w:r w:rsidRPr="00C83BDF">
              <w:rPr>
                <w:rFonts w:cs="Arial"/>
                <w:i/>
                <w:sz w:val="18"/>
                <w:szCs w:val="18"/>
                <w:lang w:val="es-ES_tradnl"/>
              </w:rPr>
              <w:t>Número de páginas por visita:</w:t>
            </w:r>
          </w:p>
        </w:tc>
        <w:tc>
          <w:tcPr>
            <w:tcW w:w="1701" w:type="dxa"/>
            <w:tcMar>
              <w:top w:w="28" w:type="dxa"/>
              <w:bottom w:w="0" w:type="dxa"/>
            </w:tcMar>
          </w:tcPr>
          <w:p w:rsidR="00E65183" w:rsidRPr="00C83BDF" w:rsidRDefault="00E65183" w:rsidP="006A7447">
            <w:pPr>
              <w:jc w:val="center"/>
              <w:rPr>
                <w:rFonts w:cs="Arial"/>
                <w:sz w:val="18"/>
                <w:szCs w:val="18"/>
                <w:lang w:val="es-ES_tradnl"/>
              </w:rPr>
            </w:pPr>
            <w:r w:rsidRPr="00C83BDF">
              <w:rPr>
                <w:rFonts w:cs="Arial"/>
                <w:sz w:val="18"/>
                <w:szCs w:val="18"/>
                <w:lang w:val="es-ES_tradnl"/>
              </w:rPr>
              <w:t>-4</w:t>
            </w:r>
            <w:r w:rsidR="00EC1AC0" w:rsidRPr="00C83BDF">
              <w:rPr>
                <w:rFonts w:cs="Arial"/>
                <w:sz w:val="18"/>
                <w:szCs w:val="18"/>
                <w:lang w:val="es-ES_tradnl"/>
              </w:rPr>
              <w:t>,</w:t>
            </w:r>
            <w:r w:rsidRPr="00C83BDF">
              <w:rPr>
                <w:rFonts w:cs="Arial"/>
                <w:sz w:val="18"/>
                <w:szCs w:val="18"/>
                <w:lang w:val="es-ES_tradnl"/>
              </w:rPr>
              <w:t>59%</w:t>
            </w:r>
          </w:p>
        </w:tc>
        <w:tc>
          <w:tcPr>
            <w:tcW w:w="1077" w:type="dxa"/>
            <w:tcMar>
              <w:bottom w:w="0" w:type="dxa"/>
            </w:tcMar>
          </w:tcPr>
          <w:p w:rsidR="00E65183" w:rsidRPr="00C83BDF" w:rsidRDefault="00E65183" w:rsidP="006A7447">
            <w:pPr>
              <w:ind w:right="57"/>
              <w:jc w:val="right"/>
              <w:rPr>
                <w:rFonts w:cs="Arial"/>
                <w:sz w:val="18"/>
                <w:szCs w:val="18"/>
                <w:lang w:val="es-ES_tradnl"/>
              </w:rPr>
            </w:pPr>
            <w:r w:rsidRPr="00C83BDF">
              <w:rPr>
                <w:rFonts w:cs="Arial"/>
                <w:sz w:val="18"/>
                <w:szCs w:val="18"/>
                <w:lang w:val="es-ES_tradnl"/>
              </w:rPr>
              <w:t>6</w:t>
            </w:r>
            <w:r w:rsidR="00EC1AC0" w:rsidRPr="00C83BDF">
              <w:rPr>
                <w:rFonts w:cs="Arial"/>
                <w:sz w:val="18"/>
                <w:szCs w:val="18"/>
                <w:lang w:val="es-ES_tradnl"/>
              </w:rPr>
              <w:t>,</w:t>
            </w:r>
            <w:r w:rsidRPr="00C83BDF">
              <w:rPr>
                <w:rFonts w:cs="Arial"/>
                <w:sz w:val="18"/>
                <w:szCs w:val="18"/>
                <w:lang w:val="es-ES_tradnl"/>
              </w:rPr>
              <w:t>03</w:t>
            </w:r>
          </w:p>
        </w:tc>
        <w:tc>
          <w:tcPr>
            <w:tcW w:w="1077" w:type="dxa"/>
            <w:tcMar>
              <w:bottom w:w="0" w:type="dxa"/>
            </w:tcMar>
          </w:tcPr>
          <w:p w:rsidR="00E65183" w:rsidRPr="00C83BDF" w:rsidRDefault="00E65183" w:rsidP="006A7447">
            <w:pPr>
              <w:ind w:right="57"/>
              <w:jc w:val="right"/>
              <w:rPr>
                <w:rFonts w:cs="Arial"/>
                <w:sz w:val="18"/>
                <w:szCs w:val="18"/>
                <w:lang w:val="es-ES_tradnl"/>
              </w:rPr>
            </w:pPr>
            <w:r w:rsidRPr="00C83BDF">
              <w:rPr>
                <w:rFonts w:cs="Arial"/>
                <w:sz w:val="18"/>
                <w:szCs w:val="18"/>
                <w:lang w:val="es-ES_tradnl"/>
              </w:rPr>
              <w:t>6</w:t>
            </w:r>
            <w:r w:rsidR="00EC1AC0" w:rsidRPr="00C83BDF">
              <w:rPr>
                <w:rFonts w:cs="Arial"/>
                <w:sz w:val="18"/>
                <w:szCs w:val="18"/>
                <w:lang w:val="es-ES_tradnl"/>
              </w:rPr>
              <w:t>,</w:t>
            </w:r>
            <w:r w:rsidRPr="00C83BDF">
              <w:rPr>
                <w:rFonts w:cs="Arial"/>
                <w:sz w:val="18"/>
                <w:szCs w:val="18"/>
                <w:lang w:val="es-ES_tradnl"/>
              </w:rPr>
              <w:t>32</w:t>
            </w:r>
          </w:p>
        </w:tc>
        <w:tc>
          <w:tcPr>
            <w:tcW w:w="1077" w:type="dxa"/>
            <w:tcMar>
              <w:bottom w:w="0" w:type="dxa"/>
            </w:tcMar>
          </w:tcPr>
          <w:p w:rsidR="00E65183" w:rsidRPr="00C83BDF" w:rsidRDefault="00E65183" w:rsidP="006A7447">
            <w:pPr>
              <w:ind w:right="57"/>
              <w:jc w:val="right"/>
              <w:rPr>
                <w:rFonts w:cs="Arial"/>
                <w:sz w:val="18"/>
                <w:szCs w:val="18"/>
                <w:lang w:val="es-ES_tradnl"/>
              </w:rPr>
            </w:pPr>
            <w:r w:rsidRPr="00C83BDF">
              <w:rPr>
                <w:rFonts w:cs="Arial"/>
                <w:sz w:val="18"/>
                <w:szCs w:val="18"/>
                <w:lang w:val="es-ES_tradnl"/>
              </w:rPr>
              <w:t>7</w:t>
            </w:r>
            <w:r w:rsidR="00EC1AC0" w:rsidRPr="00C83BDF">
              <w:rPr>
                <w:rFonts w:cs="Arial"/>
                <w:sz w:val="18"/>
                <w:szCs w:val="18"/>
                <w:lang w:val="es-ES_tradnl"/>
              </w:rPr>
              <w:t>,</w:t>
            </w:r>
            <w:r w:rsidRPr="00C83BDF">
              <w:rPr>
                <w:rFonts w:cs="Arial"/>
                <w:sz w:val="18"/>
                <w:szCs w:val="18"/>
                <w:lang w:val="es-ES_tradnl"/>
              </w:rPr>
              <w:t>50</w:t>
            </w:r>
          </w:p>
        </w:tc>
        <w:tc>
          <w:tcPr>
            <w:tcW w:w="1077" w:type="dxa"/>
            <w:tcMar>
              <w:bottom w:w="0" w:type="dxa"/>
            </w:tcMar>
          </w:tcPr>
          <w:p w:rsidR="00E65183" w:rsidRPr="00C83BDF" w:rsidRDefault="00E65183" w:rsidP="006A7447">
            <w:pPr>
              <w:ind w:right="57"/>
              <w:jc w:val="right"/>
              <w:rPr>
                <w:rFonts w:cs="Arial"/>
                <w:sz w:val="18"/>
                <w:szCs w:val="18"/>
                <w:lang w:val="es-ES_tradnl"/>
              </w:rPr>
            </w:pPr>
            <w:r w:rsidRPr="00C83BDF">
              <w:rPr>
                <w:rFonts w:cs="Arial"/>
                <w:sz w:val="18"/>
                <w:szCs w:val="18"/>
                <w:lang w:val="es-ES_tradnl"/>
              </w:rPr>
              <w:t>5</w:t>
            </w:r>
            <w:r w:rsidR="00EC1AC0" w:rsidRPr="00C83BDF">
              <w:rPr>
                <w:rFonts w:cs="Arial"/>
                <w:sz w:val="18"/>
                <w:szCs w:val="18"/>
                <w:lang w:val="es-ES_tradnl"/>
              </w:rPr>
              <w:t>,</w:t>
            </w:r>
            <w:r w:rsidRPr="00C83BDF">
              <w:rPr>
                <w:rFonts w:cs="Arial"/>
                <w:sz w:val="18"/>
                <w:szCs w:val="18"/>
                <w:lang w:val="es-ES_tradnl"/>
              </w:rPr>
              <w:t>69</w:t>
            </w:r>
          </w:p>
        </w:tc>
        <w:tc>
          <w:tcPr>
            <w:tcW w:w="1078" w:type="dxa"/>
          </w:tcPr>
          <w:p w:rsidR="00E65183" w:rsidRPr="00C83BDF" w:rsidRDefault="00E65183" w:rsidP="006A7447">
            <w:pPr>
              <w:ind w:right="57"/>
              <w:jc w:val="right"/>
              <w:rPr>
                <w:rFonts w:cs="Arial"/>
                <w:sz w:val="18"/>
                <w:szCs w:val="18"/>
                <w:lang w:val="es-ES_tradnl"/>
              </w:rPr>
            </w:pPr>
            <w:r w:rsidRPr="00C83BDF">
              <w:rPr>
                <w:rFonts w:cs="Arial"/>
                <w:sz w:val="18"/>
                <w:szCs w:val="18"/>
                <w:lang w:val="es-ES_tradnl"/>
              </w:rPr>
              <w:t>5</w:t>
            </w:r>
            <w:r w:rsidR="00EC1AC0" w:rsidRPr="00C83BDF">
              <w:rPr>
                <w:rFonts w:cs="Arial"/>
                <w:sz w:val="18"/>
                <w:szCs w:val="18"/>
                <w:lang w:val="es-ES_tradnl"/>
              </w:rPr>
              <w:t>,</w:t>
            </w:r>
            <w:r w:rsidRPr="00C83BDF">
              <w:rPr>
                <w:rFonts w:cs="Arial"/>
                <w:sz w:val="18"/>
                <w:szCs w:val="18"/>
                <w:lang w:val="es-ES_tradnl"/>
              </w:rPr>
              <w:t>52</w:t>
            </w:r>
          </w:p>
        </w:tc>
      </w:tr>
      <w:tr w:rsidR="00E65183" w:rsidRPr="00C83BDF">
        <w:tc>
          <w:tcPr>
            <w:tcW w:w="2694" w:type="dxa"/>
          </w:tcPr>
          <w:p w:rsidR="00E65183" w:rsidRPr="00C83BDF" w:rsidRDefault="00045821" w:rsidP="006A7447">
            <w:pPr>
              <w:jc w:val="left"/>
              <w:rPr>
                <w:rFonts w:cs="Arial"/>
                <w:i/>
                <w:sz w:val="18"/>
                <w:szCs w:val="18"/>
                <w:lang w:val="es-ES_tradnl"/>
              </w:rPr>
            </w:pPr>
            <w:r w:rsidRPr="00C83BDF">
              <w:rPr>
                <w:rFonts w:cs="Arial"/>
                <w:i/>
                <w:sz w:val="18"/>
                <w:szCs w:val="18"/>
                <w:lang w:val="es-ES_tradnl"/>
              </w:rPr>
              <w:t>Duración media de la visita:</w:t>
            </w:r>
          </w:p>
        </w:tc>
        <w:tc>
          <w:tcPr>
            <w:tcW w:w="1701" w:type="dxa"/>
            <w:tcMar>
              <w:top w:w="28" w:type="dxa"/>
              <w:bottom w:w="0" w:type="dxa"/>
            </w:tcMar>
          </w:tcPr>
          <w:p w:rsidR="00E65183" w:rsidRPr="00C83BDF" w:rsidRDefault="00E65183" w:rsidP="006A7447">
            <w:pPr>
              <w:jc w:val="center"/>
              <w:rPr>
                <w:rFonts w:cs="Arial"/>
                <w:sz w:val="18"/>
                <w:szCs w:val="18"/>
                <w:lang w:val="es-ES_tradnl"/>
              </w:rPr>
            </w:pPr>
            <w:r w:rsidRPr="00C83BDF">
              <w:rPr>
                <w:rFonts w:cs="Arial"/>
                <w:sz w:val="18"/>
                <w:szCs w:val="18"/>
                <w:lang w:val="es-ES_tradnl"/>
              </w:rPr>
              <w:t>-8</w:t>
            </w:r>
            <w:r w:rsidR="00EC1AC0" w:rsidRPr="00C83BDF">
              <w:rPr>
                <w:rFonts w:cs="Arial"/>
                <w:sz w:val="18"/>
                <w:szCs w:val="18"/>
                <w:lang w:val="es-ES_tradnl"/>
              </w:rPr>
              <w:t>,</w:t>
            </w:r>
            <w:r w:rsidRPr="00C83BDF">
              <w:rPr>
                <w:rFonts w:cs="Arial"/>
                <w:sz w:val="18"/>
                <w:szCs w:val="18"/>
                <w:lang w:val="es-ES_tradnl"/>
              </w:rPr>
              <w:t>86%</w:t>
            </w:r>
          </w:p>
        </w:tc>
        <w:tc>
          <w:tcPr>
            <w:tcW w:w="1077" w:type="dxa"/>
            <w:tcMar>
              <w:bottom w:w="0" w:type="dxa"/>
            </w:tcMar>
          </w:tcPr>
          <w:p w:rsidR="00E65183" w:rsidRPr="00C83BDF" w:rsidRDefault="00E65183" w:rsidP="006A7447">
            <w:pPr>
              <w:ind w:right="57"/>
              <w:jc w:val="right"/>
              <w:rPr>
                <w:rFonts w:cs="Arial"/>
                <w:sz w:val="18"/>
                <w:szCs w:val="18"/>
                <w:lang w:val="es-ES_tradnl"/>
              </w:rPr>
            </w:pPr>
            <w:r w:rsidRPr="00C83BDF">
              <w:rPr>
                <w:rFonts w:cs="Arial"/>
                <w:sz w:val="18"/>
                <w:szCs w:val="18"/>
                <w:lang w:val="es-ES_tradnl"/>
              </w:rPr>
              <w:t>00:06:00</w:t>
            </w:r>
          </w:p>
        </w:tc>
        <w:tc>
          <w:tcPr>
            <w:tcW w:w="1077" w:type="dxa"/>
            <w:tcMar>
              <w:bottom w:w="0" w:type="dxa"/>
            </w:tcMar>
          </w:tcPr>
          <w:p w:rsidR="00E65183" w:rsidRPr="00C83BDF" w:rsidRDefault="00E65183" w:rsidP="006A7447">
            <w:pPr>
              <w:ind w:right="57"/>
              <w:jc w:val="right"/>
              <w:rPr>
                <w:rFonts w:cs="Arial"/>
                <w:sz w:val="18"/>
                <w:szCs w:val="18"/>
                <w:lang w:val="es-ES_tradnl"/>
              </w:rPr>
            </w:pPr>
            <w:r w:rsidRPr="00C83BDF">
              <w:rPr>
                <w:rFonts w:cs="Arial"/>
                <w:sz w:val="18"/>
                <w:szCs w:val="18"/>
                <w:lang w:val="es-ES_tradnl"/>
              </w:rPr>
              <w:t>00:06:35</w:t>
            </w:r>
          </w:p>
        </w:tc>
        <w:tc>
          <w:tcPr>
            <w:tcW w:w="1077" w:type="dxa"/>
            <w:tcMar>
              <w:bottom w:w="0" w:type="dxa"/>
            </w:tcMar>
          </w:tcPr>
          <w:p w:rsidR="00E65183" w:rsidRPr="00C83BDF" w:rsidRDefault="00E65183" w:rsidP="006A7447">
            <w:pPr>
              <w:ind w:right="57"/>
              <w:jc w:val="right"/>
              <w:rPr>
                <w:rFonts w:cs="Arial"/>
                <w:sz w:val="18"/>
                <w:szCs w:val="18"/>
                <w:lang w:val="es-ES_tradnl"/>
              </w:rPr>
            </w:pPr>
            <w:r w:rsidRPr="00C83BDF">
              <w:rPr>
                <w:rFonts w:cs="Arial"/>
                <w:sz w:val="18"/>
                <w:szCs w:val="18"/>
                <w:lang w:val="es-ES_tradnl"/>
              </w:rPr>
              <w:t>00:07:19</w:t>
            </w:r>
          </w:p>
        </w:tc>
        <w:tc>
          <w:tcPr>
            <w:tcW w:w="1077" w:type="dxa"/>
            <w:tcMar>
              <w:bottom w:w="0" w:type="dxa"/>
            </w:tcMar>
          </w:tcPr>
          <w:p w:rsidR="00E65183" w:rsidRPr="00C83BDF" w:rsidRDefault="00E65183" w:rsidP="006A7447">
            <w:pPr>
              <w:ind w:right="57"/>
              <w:jc w:val="right"/>
              <w:rPr>
                <w:rFonts w:cs="Arial"/>
                <w:sz w:val="18"/>
                <w:szCs w:val="18"/>
                <w:lang w:val="es-ES_tradnl"/>
              </w:rPr>
            </w:pPr>
            <w:r w:rsidRPr="00C83BDF">
              <w:rPr>
                <w:rFonts w:cs="Arial"/>
                <w:sz w:val="18"/>
                <w:szCs w:val="18"/>
                <w:lang w:val="es-ES_tradnl"/>
              </w:rPr>
              <w:t>00:04:41</w:t>
            </w:r>
          </w:p>
        </w:tc>
        <w:tc>
          <w:tcPr>
            <w:tcW w:w="1078" w:type="dxa"/>
          </w:tcPr>
          <w:p w:rsidR="00E65183" w:rsidRPr="00C83BDF" w:rsidRDefault="00E65183" w:rsidP="006A7447">
            <w:pPr>
              <w:ind w:right="57"/>
              <w:jc w:val="right"/>
              <w:rPr>
                <w:rFonts w:cs="Arial"/>
                <w:sz w:val="18"/>
                <w:szCs w:val="18"/>
                <w:lang w:val="es-ES_tradnl"/>
              </w:rPr>
            </w:pPr>
            <w:r w:rsidRPr="00C83BDF">
              <w:rPr>
                <w:rFonts w:cs="Arial"/>
                <w:sz w:val="18"/>
                <w:szCs w:val="18"/>
                <w:lang w:val="es-ES_tradnl"/>
              </w:rPr>
              <w:t>00:04:12</w:t>
            </w:r>
          </w:p>
        </w:tc>
      </w:tr>
      <w:tr w:rsidR="00E65183" w:rsidRPr="00C83BDF">
        <w:tc>
          <w:tcPr>
            <w:tcW w:w="2694" w:type="dxa"/>
          </w:tcPr>
          <w:p w:rsidR="00E65183" w:rsidRPr="00C83BDF" w:rsidRDefault="00045821" w:rsidP="006A7447">
            <w:pPr>
              <w:jc w:val="left"/>
              <w:rPr>
                <w:rFonts w:cs="Arial"/>
                <w:i/>
                <w:sz w:val="18"/>
                <w:szCs w:val="18"/>
                <w:lang w:val="es-ES_tradnl"/>
              </w:rPr>
            </w:pPr>
            <w:r w:rsidRPr="00C83BDF">
              <w:rPr>
                <w:rFonts w:cs="Arial"/>
                <w:i/>
                <w:sz w:val="18"/>
                <w:szCs w:val="18"/>
                <w:lang w:val="es-ES_tradnl"/>
              </w:rPr>
              <w:t>Porcentaje de nuevas visitas:</w:t>
            </w:r>
          </w:p>
        </w:tc>
        <w:tc>
          <w:tcPr>
            <w:tcW w:w="1701" w:type="dxa"/>
            <w:tcMar>
              <w:top w:w="28" w:type="dxa"/>
              <w:bottom w:w="0" w:type="dxa"/>
            </w:tcMar>
          </w:tcPr>
          <w:p w:rsidR="00E65183" w:rsidRPr="00C83BDF" w:rsidRDefault="00E65183" w:rsidP="006A7447">
            <w:pPr>
              <w:jc w:val="center"/>
              <w:rPr>
                <w:rFonts w:cs="Arial"/>
                <w:sz w:val="18"/>
                <w:szCs w:val="18"/>
                <w:lang w:val="es-ES_tradnl"/>
              </w:rPr>
            </w:pPr>
            <w:r w:rsidRPr="00C83BDF">
              <w:rPr>
                <w:rFonts w:cs="Arial"/>
                <w:sz w:val="18"/>
                <w:szCs w:val="18"/>
                <w:lang w:val="es-ES_tradnl"/>
              </w:rPr>
              <w:t>-19</w:t>
            </w:r>
            <w:r w:rsidR="00EC1AC0" w:rsidRPr="00C83BDF">
              <w:rPr>
                <w:rFonts w:cs="Arial"/>
                <w:sz w:val="18"/>
                <w:szCs w:val="18"/>
                <w:lang w:val="es-ES_tradnl"/>
              </w:rPr>
              <w:t>,</w:t>
            </w:r>
            <w:r w:rsidRPr="00C83BDF">
              <w:rPr>
                <w:rFonts w:cs="Arial"/>
                <w:sz w:val="18"/>
                <w:szCs w:val="18"/>
                <w:lang w:val="es-ES_tradnl"/>
              </w:rPr>
              <w:t>07%</w:t>
            </w:r>
          </w:p>
        </w:tc>
        <w:tc>
          <w:tcPr>
            <w:tcW w:w="1077" w:type="dxa"/>
            <w:tcMar>
              <w:bottom w:w="0" w:type="dxa"/>
            </w:tcMar>
          </w:tcPr>
          <w:p w:rsidR="00E65183" w:rsidRPr="00C83BDF" w:rsidRDefault="00E65183" w:rsidP="006A7447">
            <w:pPr>
              <w:ind w:right="57"/>
              <w:jc w:val="right"/>
              <w:rPr>
                <w:rFonts w:cs="Arial"/>
                <w:sz w:val="18"/>
                <w:szCs w:val="18"/>
                <w:lang w:val="es-ES_tradnl"/>
              </w:rPr>
            </w:pPr>
            <w:r w:rsidRPr="00C83BDF">
              <w:rPr>
                <w:rFonts w:cs="Arial"/>
                <w:sz w:val="18"/>
                <w:szCs w:val="18"/>
                <w:lang w:val="es-ES_tradnl"/>
              </w:rPr>
              <w:t>44</w:t>
            </w:r>
            <w:r w:rsidR="00EC1AC0" w:rsidRPr="00C83BDF">
              <w:rPr>
                <w:rFonts w:cs="Arial"/>
                <w:sz w:val="18"/>
                <w:szCs w:val="18"/>
                <w:lang w:val="es-ES_tradnl"/>
              </w:rPr>
              <w:t>,</w:t>
            </w:r>
            <w:r w:rsidRPr="00C83BDF">
              <w:rPr>
                <w:rFonts w:cs="Arial"/>
                <w:sz w:val="18"/>
                <w:szCs w:val="18"/>
                <w:lang w:val="es-ES_tradnl"/>
              </w:rPr>
              <w:t>19%</w:t>
            </w:r>
          </w:p>
        </w:tc>
        <w:tc>
          <w:tcPr>
            <w:tcW w:w="1077" w:type="dxa"/>
            <w:tcMar>
              <w:bottom w:w="0" w:type="dxa"/>
            </w:tcMar>
          </w:tcPr>
          <w:p w:rsidR="00E65183" w:rsidRPr="00C83BDF" w:rsidRDefault="00E65183" w:rsidP="006A7447">
            <w:pPr>
              <w:ind w:right="57"/>
              <w:jc w:val="right"/>
              <w:rPr>
                <w:rFonts w:cs="Arial"/>
                <w:sz w:val="18"/>
                <w:szCs w:val="18"/>
                <w:lang w:val="es-ES_tradnl"/>
              </w:rPr>
            </w:pPr>
            <w:r w:rsidRPr="00C83BDF">
              <w:rPr>
                <w:rFonts w:cs="Arial"/>
                <w:sz w:val="18"/>
                <w:szCs w:val="18"/>
                <w:lang w:val="es-ES_tradnl"/>
              </w:rPr>
              <w:t>54</w:t>
            </w:r>
            <w:r w:rsidR="00EC1AC0" w:rsidRPr="00C83BDF">
              <w:rPr>
                <w:rFonts w:cs="Arial"/>
                <w:sz w:val="18"/>
                <w:szCs w:val="18"/>
                <w:lang w:val="es-ES_tradnl"/>
              </w:rPr>
              <w:t>,</w:t>
            </w:r>
            <w:r w:rsidRPr="00C83BDF">
              <w:rPr>
                <w:rFonts w:cs="Arial"/>
                <w:sz w:val="18"/>
                <w:szCs w:val="18"/>
                <w:lang w:val="es-ES_tradnl"/>
              </w:rPr>
              <w:t>6%</w:t>
            </w:r>
          </w:p>
        </w:tc>
        <w:tc>
          <w:tcPr>
            <w:tcW w:w="1077" w:type="dxa"/>
            <w:tcMar>
              <w:bottom w:w="0" w:type="dxa"/>
            </w:tcMar>
          </w:tcPr>
          <w:p w:rsidR="00E65183" w:rsidRPr="00C83BDF" w:rsidRDefault="00E65183" w:rsidP="006A7447">
            <w:pPr>
              <w:ind w:right="57"/>
              <w:jc w:val="right"/>
              <w:rPr>
                <w:rFonts w:cs="Arial"/>
                <w:sz w:val="18"/>
                <w:szCs w:val="18"/>
                <w:lang w:val="es-ES_tradnl"/>
              </w:rPr>
            </w:pPr>
            <w:r w:rsidRPr="00C83BDF">
              <w:rPr>
                <w:rFonts w:cs="Arial"/>
                <w:sz w:val="18"/>
                <w:szCs w:val="18"/>
                <w:lang w:val="es-ES_tradnl"/>
              </w:rPr>
              <w:t>45</w:t>
            </w:r>
            <w:r w:rsidR="00EC1AC0" w:rsidRPr="00C83BDF">
              <w:rPr>
                <w:rFonts w:cs="Arial"/>
                <w:sz w:val="18"/>
                <w:szCs w:val="18"/>
                <w:lang w:val="es-ES_tradnl"/>
              </w:rPr>
              <w:t>,</w:t>
            </w:r>
            <w:r w:rsidRPr="00C83BDF">
              <w:rPr>
                <w:rFonts w:cs="Arial"/>
                <w:sz w:val="18"/>
                <w:szCs w:val="18"/>
                <w:lang w:val="es-ES_tradnl"/>
              </w:rPr>
              <w:t>05%</w:t>
            </w:r>
          </w:p>
        </w:tc>
        <w:tc>
          <w:tcPr>
            <w:tcW w:w="1077" w:type="dxa"/>
            <w:tcMar>
              <w:bottom w:w="0" w:type="dxa"/>
            </w:tcMar>
          </w:tcPr>
          <w:p w:rsidR="00E65183" w:rsidRPr="00C83BDF" w:rsidRDefault="00E65183" w:rsidP="006A7447">
            <w:pPr>
              <w:ind w:right="57"/>
              <w:jc w:val="right"/>
              <w:rPr>
                <w:rFonts w:cs="Arial"/>
                <w:sz w:val="18"/>
                <w:szCs w:val="18"/>
                <w:lang w:val="es-ES_tradnl"/>
              </w:rPr>
            </w:pPr>
            <w:r w:rsidRPr="00C83BDF">
              <w:rPr>
                <w:rFonts w:cs="Arial"/>
                <w:sz w:val="18"/>
                <w:szCs w:val="18"/>
                <w:lang w:val="es-ES_tradnl"/>
              </w:rPr>
              <w:t>51</w:t>
            </w:r>
            <w:r w:rsidR="00EC1AC0" w:rsidRPr="00C83BDF">
              <w:rPr>
                <w:rFonts w:cs="Arial"/>
                <w:sz w:val="18"/>
                <w:szCs w:val="18"/>
                <w:lang w:val="es-ES_tradnl"/>
              </w:rPr>
              <w:t>,</w:t>
            </w:r>
            <w:r w:rsidRPr="00C83BDF">
              <w:rPr>
                <w:rFonts w:cs="Arial"/>
                <w:sz w:val="18"/>
                <w:szCs w:val="18"/>
                <w:lang w:val="es-ES_tradnl"/>
              </w:rPr>
              <w:t>91%</w:t>
            </w:r>
          </w:p>
        </w:tc>
        <w:tc>
          <w:tcPr>
            <w:tcW w:w="1078" w:type="dxa"/>
          </w:tcPr>
          <w:p w:rsidR="00E65183" w:rsidRPr="00C83BDF" w:rsidRDefault="00E65183" w:rsidP="006A7447">
            <w:pPr>
              <w:ind w:right="57"/>
              <w:jc w:val="right"/>
              <w:rPr>
                <w:rFonts w:cs="Arial"/>
                <w:sz w:val="18"/>
                <w:szCs w:val="18"/>
                <w:lang w:val="es-ES_tradnl"/>
              </w:rPr>
            </w:pPr>
            <w:r w:rsidRPr="00C83BDF">
              <w:rPr>
                <w:rFonts w:cs="Arial"/>
                <w:sz w:val="18"/>
                <w:szCs w:val="18"/>
                <w:lang w:val="es-ES_tradnl"/>
              </w:rPr>
              <w:t>50</w:t>
            </w:r>
            <w:r w:rsidR="00EC1AC0" w:rsidRPr="00C83BDF">
              <w:rPr>
                <w:rFonts w:cs="Arial"/>
                <w:sz w:val="18"/>
                <w:szCs w:val="18"/>
                <w:lang w:val="es-ES_tradnl"/>
              </w:rPr>
              <w:t>,</w:t>
            </w:r>
            <w:r w:rsidRPr="00C83BDF">
              <w:rPr>
                <w:rFonts w:cs="Arial"/>
                <w:sz w:val="18"/>
                <w:szCs w:val="18"/>
                <w:lang w:val="es-ES_tradnl"/>
              </w:rPr>
              <w:t>57%</w:t>
            </w:r>
          </w:p>
        </w:tc>
      </w:tr>
    </w:tbl>
    <w:p w:rsidR="00E65183" w:rsidRPr="00C83BDF" w:rsidRDefault="00E65183" w:rsidP="00E65183">
      <w:pPr>
        <w:rPr>
          <w:lang w:val="es-ES_tradnl"/>
        </w:rPr>
      </w:pPr>
    </w:p>
    <w:p w:rsidR="00E65183" w:rsidRPr="00C83BDF" w:rsidRDefault="00E65183" w:rsidP="00E65183">
      <w:pPr>
        <w:rPr>
          <w:lang w:val="es-ES_tradnl"/>
        </w:rPr>
      </w:pPr>
    </w:p>
    <w:tbl>
      <w:tblPr>
        <w:tblW w:w="9889" w:type="dxa"/>
        <w:tblLayout w:type="fixed"/>
        <w:tblLook w:val="0000" w:firstRow="0" w:lastRow="0" w:firstColumn="0" w:lastColumn="0" w:noHBand="0" w:noVBand="0"/>
      </w:tblPr>
      <w:tblGrid>
        <w:gridCol w:w="1809"/>
        <w:gridCol w:w="4040"/>
        <w:gridCol w:w="4040"/>
      </w:tblGrid>
      <w:tr w:rsidR="00E65183" w:rsidRPr="00C83BDF">
        <w:tc>
          <w:tcPr>
            <w:tcW w:w="1809" w:type="dxa"/>
          </w:tcPr>
          <w:p w:rsidR="00E65183" w:rsidRPr="00C83BDF" w:rsidRDefault="00E65183" w:rsidP="004737CD">
            <w:pPr>
              <w:pStyle w:val="Heading6"/>
              <w:rPr>
                <w:lang w:val="es-ES_tradnl"/>
              </w:rPr>
            </w:pPr>
          </w:p>
        </w:tc>
        <w:tc>
          <w:tcPr>
            <w:tcW w:w="4040" w:type="dxa"/>
          </w:tcPr>
          <w:p w:rsidR="00E65183" w:rsidRPr="00C83BDF" w:rsidRDefault="00045821" w:rsidP="000F5BBB">
            <w:pPr>
              <w:pStyle w:val="Heading8"/>
              <w:rPr>
                <w:lang w:val="es-ES_tradnl"/>
              </w:rPr>
            </w:pPr>
            <w:bookmarkStart w:id="128" w:name="_Toc431824305"/>
            <w:r w:rsidRPr="00C83BDF">
              <w:rPr>
                <w:lang w:val="es-ES_tradnl"/>
              </w:rPr>
              <w:t>Mapa mundial de visitas al sitio web</w:t>
            </w:r>
            <w:bookmarkEnd w:id="128"/>
          </w:p>
          <w:p w:rsidR="00E65183" w:rsidRPr="00C83BDF" w:rsidRDefault="00156328" w:rsidP="004737CD">
            <w:pPr>
              <w:pStyle w:val="Default"/>
              <w:rPr>
                <w:b/>
                <w:bCs/>
                <w:sz w:val="18"/>
                <w:szCs w:val="18"/>
                <w:lang w:val="es-ES_tradnl"/>
              </w:rPr>
            </w:pPr>
            <w:r w:rsidRPr="00C83BDF">
              <w:rPr>
                <w:noProof/>
                <w:lang w:val="es-ES_tradnl"/>
              </w:rPr>
              <w:drawing>
                <wp:inline distT="0" distB="0" distL="0" distR="0" wp14:anchorId="01B42A62" wp14:editId="77CAA081">
                  <wp:extent cx="2381250" cy="1485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81250" cy="1485900"/>
                          </a:xfrm>
                          <a:prstGeom prst="rect">
                            <a:avLst/>
                          </a:prstGeom>
                          <a:noFill/>
                          <a:ln>
                            <a:noFill/>
                          </a:ln>
                        </pic:spPr>
                      </pic:pic>
                    </a:graphicData>
                  </a:graphic>
                </wp:inline>
              </w:drawing>
            </w:r>
          </w:p>
          <w:p w:rsidR="00E65183" w:rsidRPr="00C83BDF" w:rsidRDefault="00E65183" w:rsidP="004737CD">
            <w:pPr>
              <w:pStyle w:val="Default"/>
              <w:rPr>
                <w:sz w:val="18"/>
                <w:szCs w:val="18"/>
                <w:lang w:val="es-ES_tradnl"/>
              </w:rPr>
            </w:pPr>
          </w:p>
        </w:tc>
        <w:tc>
          <w:tcPr>
            <w:tcW w:w="4040" w:type="dxa"/>
          </w:tcPr>
          <w:p w:rsidR="00E65183" w:rsidRPr="00C83BDF" w:rsidRDefault="00045821" w:rsidP="004737CD">
            <w:pPr>
              <w:pStyle w:val="Default"/>
              <w:rPr>
                <w:b/>
                <w:bCs/>
                <w:sz w:val="18"/>
                <w:szCs w:val="18"/>
                <w:lang w:val="es-ES_tradnl"/>
              </w:rPr>
            </w:pPr>
            <w:r w:rsidRPr="00C83BDF">
              <w:rPr>
                <w:b/>
                <w:bCs/>
                <w:sz w:val="18"/>
                <w:szCs w:val="18"/>
                <w:lang w:val="es-ES_tradnl"/>
              </w:rPr>
              <w:t>Sesiones por país:</w:t>
            </w:r>
            <w:r w:rsidR="00E65183" w:rsidRPr="00C83BDF">
              <w:rPr>
                <w:b/>
                <w:bCs/>
                <w:sz w:val="18"/>
                <w:szCs w:val="18"/>
                <w:lang w:val="es-ES_tradnl"/>
              </w:rPr>
              <w:t xml:space="preserve"> </w:t>
            </w:r>
          </w:p>
          <w:p w:rsidR="00E65183" w:rsidRPr="00C83BDF" w:rsidRDefault="00E65183" w:rsidP="004737CD">
            <w:pPr>
              <w:pStyle w:val="Default"/>
              <w:rPr>
                <w:sz w:val="18"/>
                <w:szCs w:val="18"/>
                <w:lang w:val="es-ES_tradnl"/>
              </w:rPr>
            </w:pPr>
          </w:p>
          <w:p w:rsidR="00E65183" w:rsidRPr="00C83BDF" w:rsidRDefault="00E65183" w:rsidP="004737CD">
            <w:pPr>
              <w:pStyle w:val="Default"/>
              <w:tabs>
                <w:tab w:val="left" w:pos="490"/>
                <w:tab w:val="left" w:pos="2906"/>
              </w:tabs>
              <w:rPr>
                <w:sz w:val="18"/>
                <w:szCs w:val="18"/>
                <w:lang w:val="es-ES_tradnl"/>
              </w:rPr>
            </w:pPr>
            <w:r w:rsidRPr="00C83BDF">
              <w:rPr>
                <w:sz w:val="18"/>
                <w:szCs w:val="18"/>
                <w:lang w:val="es-ES_tradnl"/>
              </w:rPr>
              <w:t xml:space="preserve">1. </w:t>
            </w:r>
            <w:r w:rsidRPr="00C83BDF">
              <w:rPr>
                <w:sz w:val="18"/>
                <w:szCs w:val="18"/>
                <w:lang w:val="es-ES_tradnl"/>
              </w:rPr>
              <w:tab/>
            </w:r>
            <w:r w:rsidR="00D011B1" w:rsidRPr="00C83BDF">
              <w:rPr>
                <w:color w:val="auto"/>
                <w:sz w:val="18"/>
                <w:szCs w:val="18"/>
                <w:lang w:val="es-ES_tradnl"/>
              </w:rPr>
              <w:t>Suiza</w:t>
            </w:r>
            <w:r w:rsidRPr="00C83BDF">
              <w:rPr>
                <w:sz w:val="18"/>
                <w:szCs w:val="18"/>
                <w:lang w:val="es-ES_tradnl"/>
              </w:rPr>
              <w:t xml:space="preserve"> </w:t>
            </w:r>
            <w:r w:rsidRPr="00C83BDF">
              <w:rPr>
                <w:sz w:val="18"/>
                <w:szCs w:val="18"/>
                <w:lang w:val="es-ES_tradnl"/>
              </w:rPr>
              <w:tab/>
              <w:t>(8</w:t>
            </w:r>
            <w:r w:rsidR="00045821" w:rsidRPr="00C83BDF">
              <w:rPr>
                <w:sz w:val="18"/>
                <w:szCs w:val="18"/>
                <w:lang w:val="es-ES_tradnl"/>
              </w:rPr>
              <w:t>,</w:t>
            </w:r>
            <w:r w:rsidRPr="00C83BDF">
              <w:rPr>
                <w:sz w:val="18"/>
                <w:szCs w:val="18"/>
                <w:lang w:val="es-ES_tradnl"/>
              </w:rPr>
              <w:t xml:space="preserve">78%) </w:t>
            </w:r>
          </w:p>
          <w:p w:rsidR="00E65183" w:rsidRPr="00C83BDF" w:rsidRDefault="00E65183" w:rsidP="004737CD">
            <w:pPr>
              <w:pStyle w:val="Default"/>
              <w:tabs>
                <w:tab w:val="left" w:pos="490"/>
                <w:tab w:val="left" w:pos="2906"/>
              </w:tabs>
              <w:rPr>
                <w:sz w:val="18"/>
                <w:szCs w:val="18"/>
                <w:lang w:val="es-ES_tradnl"/>
              </w:rPr>
            </w:pPr>
            <w:r w:rsidRPr="00C83BDF">
              <w:rPr>
                <w:sz w:val="18"/>
                <w:szCs w:val="18"/>
                <w:lang w:val="es-ES_tradnl"/>
              </w:rPr>
              <w:t xml:space="preserve">2. </w:t>
            </w:r>
            <w:r w:rsidRPr="00C83BDF">
              <w:rPr>
                <w:sz w:val="18"/>
                <w:szCs w:val="18"/>
                <w:lang w:val="es-ES_tradnl"/>
              </w:rPr>
              <w:tab/>
            </w:r>
            <w:r w:rsidR="00D011B1" w:rsidRPr="00C83BDF">
              <w:rPr>
                <w:color w:val="auto"/>
                <w:sz w:val="18"/>
                <w:szCs w:val="18"/>
                <w:lang w:val="es-ES_tradnl"/>
              </w:rPr>
              <w:t>Estados Unidos de América</w:t>
            </w:r>
            <w:r w:rsidRPr="00C83BDF">
              <w:rPr>
                <w:sz w:val="18"/>
                <w:szCs w:val="18"/>
                <w:lang w:val="es-ES_tradnl"/>
              </w:rPr>
              <w:t xml:space="preserve"> </w:t>
            </w:r>
            <w:r w:rsidRPr="00C83BDF">
              <w:rPr>
                <w:sz w:val="18"/>
                <w:szCs w:val="18"/>
                <w:lang w:val="es-ES_tradnl"/>
              </w:rPr>
              <w:tab/>
              <w:t>(6</w:t>
            </w:r>
            <w:r w:rsidR="00045821" w:rsidRPr="00C83BDF">
              <w:rPr>
                <w:sz w:val="18"/>
                <w:szCs w:val="18"/>
                <w:lang w:val="es-ES_tradnl"/>
              </w:rPr>
              <w:t>,</w:t>
            </w:r>
            <w:r w:rsidRPr="00C83BDF">
              <w:rPr>
                <w:sz w:val="18"/>
                <w:szCs w:val="18"/>
                <w:lang w:val="es-ES_tradnl"/>
              </w:rPr>
              <w:t xml:space="preserve">84%) </w:t>
            </w:r>
          </w:p>
          <w:p w:rsidR="00E65183" w:rsidRPr="00C83BDF" w:rsidRDefault="00E65183" w:rsidP="004737CD">
            <w:pPr>
              <w:pStyle w:val="Default"/>
              <w:tabs>
                <w:tab w:val="left" w:pos="490"/>
                <w:tab w:val="left" w:pos="2906"/>
              </w:tabs>
              <w:rPr>
                <w:sz w:val="18"/>
                <w:szCs w:val="18"/>
                <w:lang w:val="es-ES_tradnl"/>
              </w:rPr>
            </w:pPr>
            <w:r w:rsidRPr="00C83BDF">
              <w:rPr>
                <w:sz w:val="18"/>
                <w:szCs w:val="18"/>
                <w:lang w:val="es-ES_tradnl"/>
              </w:rPr>
              <w:t xml:space="preserve">3. </w:t>
            </w:r>
            <w:r w:rsidRPr="00C83BDF">
              <w:rPr>
                <w:sz w:val="18"/>
                <w:szCs w:val="18"/>
                <w:lang w:val="es-ES_tradnl"/>
              </w:rPr>
              <w:tab/>
            </w:r>
            <w:r w:rsidR="00D011B1" w:rsidRPr="00C83BDF">
              <w:rPr>
                <w:color w:val="auto"/>
                <w:sz w:val="18"/>
                <w:szCs w:val="18"/>
                <w:lang w:val="es-ES_tradnl"/>
              </w:rPr>
              <w:t>Francia</w:t>
            </w:r>
            <w:r w:rsidRPr="00C83BDF">
              <w:rPr>
                <w:sz w:val="18"/>
                <w:szCs w:val="18"/>
                <w:lang w:val="es-ES_tradnl"/>
              </w:rPr>
              <w:t xml:space="preserve"> </w:t>
            </w:r>
            <w:r w:rsidRPr="00C83BDF">
              <w:rPr>
                <w:sz w:val="18"/>
                <w:szCs w:val="18"/>
                <w:lang w:val="es-ES_tradnl"/>
              </w:rPr>
              <w:tab/>
              <w:t>(6</w:t>
            </w:r>
            <w:r w:rsidR="00045821" w:rsidRPr="00C83BDF">
              <w:rPr>
                <w:sz w:val="18"/>
                <w:szCs w:val="18"/>
                <w:lang w:val="es-ES_tradnl"/>
              </w:rPr>
              <w:t>,</w:t>
            </w:r>
            <w:r w:rsidRPr="00C83BDF">
              <w:rPr>
                <w:sz w:val="18"/>
                <w:szCs w:val="18"/>
                <w:lang w:val="es-ES_tradnl"/>
              </w:rPr>
              <w:t xml:space="preserve">69%) </w:t>
            </w:r>
          </w:p>
          <w:p w:rsidR="00E65183" w:rsidRPr="00C83BDF" w:rsidRDefault="00E65183" w:rsidP="004737CD">
            <w:pPr>
              <w:pStyle w:val="Default"/>
              <w:tabs>
                <w:tab w:val="left" w:pos="490"/>
                <w:tab w:val="left" w:pos="2906"/>
              </w:tabs>
              <w:rPr>
                <w:sz w:val="18"/>
                <w:szCs w:val="18"/>
                <w:lang w:val="es-ES_tradnl"/>
              </w:rPr>
            </w:pPr>
            <w:r w:rsidRPr="00C83BDF">
              <w:rPr>
                <w:sz w:val="18"/>
                <w:szCs w:val="18"/>
                <w:lang w:val="es-ES_tradnl"/>
              </w:rPr>
              <w:t xml:space="preserve">4. </w:t>
            </w:r>
            <w:r w:rsidRPr="00C83BDF">
              <w:rPr>
                <w:sz w:val="18"/>
                <w:szCs w:val="18"/>
                <w:lang w:val="es-ES_tradnl"/>
              </w:rPr>
              <w:tab/>
            </w:r>
            <w:r w:rsidR="00D011B1" w:rsidRPr="00C83BDF">
              <w:rPr>
                <w:color w:val="auto"/>
                <w:sz w:val="18"/>
                <w:szCs w:val="18"/>
                <w:lang w:val="es-ES_tradnl"/>
              </w:rPr>
              <w:t>México</w:t>
            </w:r>
            <w:r w:rsidRPr="00C83BDF">
              <w:rPr>
                <w:sz w:val="18"/>
                <w:szCs w:val="18"/>
                <w:lang w:val="es-ES_tradnl"/>
              </w:rPr>
              <w:t xml:space="preserve"> </w:t>
            </w:r>
            <w:r w:rsidRPr="00C83BDF">
              <w:rPr>
                <w:sz w:val="18"/>
                <w:szCs w:val="18"/>
                <w:lang w:val="es-ES_tradnl"/>
              </w:rPr>
              <w:tab/>
              <w:t>(4</w:t>
            </w:r>
            <w:r w:rsidR="00045821" w:rsidRPr="00C83BDF">
              <w:rPr>
                <w:sz w:val="18"/>
                <w:szCs w:val="18"/>
                <w:lang w:val="es-ES_tradnl"/>
              </w:rPr>
              <w:t>,</w:t>
            </w:r>
            <w:r w:rsidRPr="00C83BDF">
              <w:rPr>
                <w:sz w:val="18"/>
                <w:szCs w:val="18"/>
                <w:lang w:val="es-ES_tradnl"/>
              </w:rPr>
              <w:t xml:space="preserve">27%) </w:t>
            </w:r>
          </w:p>
          <w:p w:rsidR="00E65183" w:rsidRPr="00C83BDF" w:rsidRDefault="00E65183" w:rsidP="004737CD">
            <w:pPr>
              <w:pStyle w:val="Default"/>
              <w:tabs>
                <w:tab w:val="left" w:pos="490"/>
                <w:tab w:val="left" w:pos="2906"/>
              </w:tabs>
              <w:rPr>
                <w:sz w:val="18"/>
                <w:szCs w:val="18"/>
                <w:lang w:val="es-ES_tradnl"/>
              </w:rPr>
            </w:pPr>
            <w:r w:rsidRPr="00C83BDF">
              <w:rPr>
                <w:sz w:val="18"/>
                <w:szCs w:val="18"/>
                <w:lang w:val="es-ES_tradnl"/>
              </w:rPr>
              <w:t xml:space="preserve">5. </w:t>
            </w:r>
            <w:r w:rsidRPr="00C83BDF">
              <w:rPr>
                <w:sz w:val="18"/>
                <w:szCs w:val="18"/>
                <w:lang w:val="es-ES_tradnl"/>
              </w:rPr>
              <w:tab/>
            </w:r>
            <w:r w:rsidR="00D011B1" w:rsidRPr="00C83BDF">
              <w:rPr>
                <w:color w:val="auto"/>
                <w:sz w:val="18"/>
                <w:szCs w:val="18"/>
                <w:lang w:val="es-ES_tradnl"/>
              </w:rPr>
              <w:t>Países Bajos</w:t>
            </w:r>
            <w:r w:rsidRPr="00C83BDF">
              <w:rPr>
                <w:sz w:val="18"/>
                <w:szCs w:val="18"/>
                <w:lang w:val="es-ES_tradnl"/>
              </w:rPr>
              <w:t xml:space="preserve"> </w:t>
            </w:r>
            <w:r w:rsidRPr="00C83BDF">
              <w:rPr>
                <w:sz w:val="18"/>
                <w:szCs w:val="18"/>
                <w:lang w:val="es-ES_tradnl"/>
              </w:rPr>
              <w:tab/>
              <w:t>(4</w:t>
            </w:r>
            <w:r w:rsidR="00045821" w:rsidRPr="00C83BDF">
              <w:rPr>
                <w:sz w:val="18"/>
                <w:szCs w:val="18"/>
                <w:lang w:val="es-ES_tradnl"/>
              </w:rPr>
              <w:t>,</w:t>
            </w:r>
            <w:r w:rsidRPr="00C83BDF">
              <w:rPr>
                <w:sz w:val="18"/>
                <w:szCs w:val="18"/>
                <w:lang w:val="es-ES_tradnl"/>
              </w:rPr>
              <w:t xml:space="preserve">22%) </w:t>
            </w:r>
          </w:p>
          <w:p w:rsidR="00E65183" w:rsidRPr="00C83BDF" w:rsidRDefault="00E65183" w:rsidP="004737CD">
            <w:pPr>
              <w:pStyle w:val="Default"/>
              <w:tabs>
                <w:tab w:val="left" w:pos="490"/>
                <w:tab w:val="left" w:pos="2906"/>
              </w:tabs>
              <w:rPr>
                <w:sz w:val="18"/>
                <w:szCs w:val="18"/>
                <w:lang w:val="es-ES_tradnl"/>
              </w:rPr>
            </w:pPr>
            <w:r w:rsidRPr="00C83BDF">
              <w:rPr>
                <w:sz w:val="18"/>
                <w:szCs w:val="18"/>
                <w:lang w:val="es-ES_tradnl"/>
              </w:rPr>
              <w:t xml:space="preserve">6. </w:t>
            </w:r>
            <w:r w:rsidRPr="00C83BDF">
              <w:rPr>
                <w:sz w:val="18"/>
                <w:szCs w:val="18"/>
                <w:lang w:val="es-ES_tradnl"/>
              </w:rPr>
              <w:tab/>
            </w:r>
            <w:r w:rsidR="00D011B1" w:rsidRPr="00C83BDF">
              <w:rPr>
                <w:color w:val="auto"/>
                <w:sz w:val="18"/>
                <w:szCs w:val="18"/>
                <w:lang w:val="es-ES_tradnl"/>
              </w:rPr>
              <w:t>Japón</w:t>
            </w:r>
            <w:r w:rsidRPr="00C83BDF">
              <w:rPr>
                <w:sz w:val="18"/>
                <w:szCs w:val="18"/>
                <w:lang w:val="es-ES_tradnl"/>
              </w:rPr>
              <w:t xml:space="preserve"> </w:t>
            </w:r>
            <w:r w:rsidRPr="00C83BDF">
              <w:rPr>
                <w:sz w:val="18"/>
                <w:szCs w:val="18"/>
                <w:lang w:val="es-ES_tradnl"/>
              </w:rPr>
              <w:tab/>
              <w:t>(4</w:t>
            </w:r>
            <w:r w:rsidR="00045821" w:rsidRPr="00C83BDF">
              <w:rPr>
                <w:sz w:val="18"/>
                <w:szCs w:val="18"/>
                <w:lang w:val="es-ES_tradnl"/>
              </w:rPr>
              <w:t>,</w:t>
            </w:r>
            <w:r w:rsidRPr="00C83BDF">
              <w:rPr>
                <w:sz w:val="18"/>
                <w:szCs w:val="18"/>
                <w:lang w:val="es-ES_tradnl"/>
              </w:rPr>
              <w:t xml:space="preserve">12%) </w:t>
            </w:r>
          </w:p>
          <w:p w:rsidR="00E65183" w:rsidRPr="00C83BDF" w:rsidRDefault="00E65183" w:rsidP="004737CD">
            <w:pPr>
              <w:pStyle w:val="Default"/>
              <w:tabs>
                <w:tab w:val="left" w:pos="490"/>
                <w:tab w:val="left" w:pos="2906"/>
              </w:tabs>
              <w:rPr>
                <w:sz w:val="18"/>
                <w:szCs w:val="18"/>
                <w:lang w:val="es-ES_tradnl"/>
              </w:rPr>
            </w:pPr>
            <w:r w:rsidRPr="00C83BDF">
              <w:rPr>
                <w:sz w:val="18"/>
                <w:szCs w:val="18"/>
                <w:lang w:val="es-ES_tradnl"/>
              </w:rPr>
              <w:t>7.</w:t>
            </w:r>
            <w:r w:rsidRPr="00C83BDF">
              <w:rPr>
                <w:sz w:val="18"/>
                <w:szCs w:val="18"/>
                <w:lang w:val="es-ES_tradnl"/>
              </w:rPr>
              <w:tab/>
            </w:r>
            <w:r w:rsidR="00D011B1" w:rsidRPr="00C83BDF">
              <w:rPr>
                <w:color w:val="auto"/>
                <w:sz w:val="18"/>
                <w:szCs w:val="18"/>
                <w:lang w:val="es-ES_tradnl"/>
              </w:rPr>
              <w:t>Alemania</w:t>
            </w:r>
            <w:r w:rsidRPr="00C83BDF">
              <w:rPr>
                <w:sz w:val="18"/>
                <w:szCs w:val="18"/>
                <w:lang w:val="es-ES_tradnl"/>
              </w:rPr>
              <w:t xml:space="preserve"> </w:t>
            </w:r>
            <w:r w:rsidRPr="00C83BDF">
              <w:rPr>
                <w:sz w:val="18"/>
                <w:szCs w:val="18"/>
                <w:lang w:val="es-ES_tradnl"/>
              </w:rPr>
              <w:tab/>
              <w:t>(3</w:t>
            </w:r>
            <w:r w:rsidR="00045821" w:rsidRPr="00C83BDF">
              <w:rPr>
                <w:sz w:val="18"/>
                <w:szCs w:val="18"/>
                <w:lang w:val="es-ES_tradnl"/>
              </w:rPr>
              <w:t>,</w:t>
            </w:r>
            <w:r w:rsidRPr="00C83BDF">
              <w:rPr>
                <w:sz w:val="18"/>
                <w:szCs w:val="18"/>
                <w:lang w:val="es-ES_tradnl"/>
              </w:rPr>
              <w:t xml:space="preserve">92%) </w:t>
            </w:r>
          </w:p>
          <w:p w:rsidR="00E65183" w:rsidRPr="00C83BDF" w:rsidRDefault="00E65183" w:rsidP="004737CD">
            <w:pPr>
              <w:pStyle w:val="Default"/>
              <w:tabs>
                <w:tab w:val="left" w:pos="490"/>
                <w:tab w:val="left" w:pos="2906"/>
              </w:tabs>
              <w:rPr>
                <w:sz w:val="18"/>
                <w:szCs w:val="18"/>
                <w:lang w:val="es-ES_tradnl"/>
              </w:rPr>
            </w:pPr>
            <w:r w:rsidRPr="00C83BDF">
              <w:rPr>
                <w:sz w:val="18"/>
                <w:szCs w:val="18"/>
                <w:lang w:val="es-ES_tradnl"/>
              </w:rPr>
              <w:t>8.</w:t>
            </w:r>
            <w:r w:rsidRPr="00C83BDF">
              <w:rPr>
                <w:sz w:val="18"/>
                <w:szCs w:val="18"/>
                <w:lang w:val="es-ES_tradnl"/>
              </w:rPr>
              <w:tab/>
            </w:r>
            <w:r w:rsidR="00D011B1" w:rsidRPr="00C83BDF">
              <w:rPr>
                <w:color w:val="auto"/>
                <w:sz w:val="18"/>
                <w:szCs w:val="18"/>
                <w:lang w:val="es-ES_tradnl"/>
              </w:rPr>
              <w:t>España</w:t>
            </w:r>
            <w:r w:rsidRPr="00C83BDF">
              <w:rPr>
                <w:sz w:val="18"/>
                <w:szCs w:val="18"/>
                <w:lang w:val="es-ES_tradnl"/>
              </w:rPr>
              <w:t xml:space="preserve"> </w:t>
            </w:r>
            <w:r w:rsidRPr="00C83BDF">
              <w:rPr>
                <w:sz w:val="18"/>
                <w:szCs w:val="18"/>
                <w:lang w:val="es-ES_tradnl"/>
              </w:rPr>
              <w:tab/>
              <w:t>(3</w:t>
            </w:r>
            <w:r w:rsidR="00045821" w:rsidRPr="00C83BDF">
              <w:rPr>
                <w:sz w:val="18"/>
                <w:szCs w:val="18"/>
                <w:lang w:val="es-ES_tradnl"/>
              </w:rPr>
              <w:t>,</w:t>
            </w:r>
            <w:r w:rsidRPr="00C83BDF">
              <w:rPr>
                <w:sz w:val="18"/>
                <w:szCs w:val="18"/>
                <w:lang w:val="es-ES_tradnl"/>
              </w:rPr>
              <w:t xml:space="preserve">80%) </w:t>
            </w:r>
          </w:p>
          <w:p w:rsidR="00E65183" w:rsidRPr="00C83BDF" w:rsidRDefault="00E65183" w:rsidP="004737CD">
            <w:pPr>
              <w:pStyle w:val="Default"/>
              <w:tabs>
                <w:tab w:val="left" w:pos="490"/>
                <w:tab w:val="left" w:pos="2906"/>
              </w:tabs>
              <w:rPr>
                <w:sz w:val="18"/>
                <w:szCs w:val="18"/>
                <w:lang w:val="es-ES_tradnl"/>
              </w:rPr>
            </w:pPr>
            <w:r w:rsidRPr="00C83BDF">
              <w:rPr>
                <w:sz w:val="18"/>
                <w:szCs w:val="18"/>
                <w:lang w:val="es-ES_tradnl"/>
              </w:rPr>
              <w:t xml:space="preserve">9. </w:t>
            </w:r>
            <w:r w:rsidRPr="00C83BDF">
              <w:rPr>
                <w:sz w:val="18"/>
                <w:szCs w:val="18"/>
                <w:lang w:val="es-ES_tradnl"/>
              </w:rPr>
              <w:tab/>
            </w:r>
            <w:r w:rsidR="00D011B1" w:rsidRPr="00C83BDF">
              <w:rPr>
                <w:color w:val="auto"/>
                <w:sz w:val="18"/>
                <w:szCs w:val="18"/>
                <w:lang w:val="es-ES_tradnl"/>
              </w:rPr>
              <w:t>India</w:t>
            </w:r>
            <w:r w:rsidRPr="00C83BDF">
              <w:rPr>
                <w:sz w:val="18"/>
                <w:szCs w:val="18"/>
                <w:lang w:val="es-ES_tradnl"/>
              </w:rPr>
              <w:t xml:space="preserve"> </w:t>
            </w:r>
            <w:r w:rsidRPr="00C83BDF">
              <w:rPr>
                <w:sz w:val="18"/>
                <w:szCs w:val="18"/>
                <w:lang w:val="es-ES_tradnl"/>
              </w:rPr>
              <w:tab/>
              <w:t>(3</w:t>
            </w:r>
            <w:r w:rsidR="00045821" w:rsidRPr="00C83BDF">
              <w:rPr>
                <w:sz w:val="18"/>
                <w:szCs w:val="18"/>
                <w:lang w:val="es-ES_tradnl"/>
              </w:rPr>
              <w:t>,</w:t>
            </w:r>
            <w:r w:rsidRPr="00C83BDF">
              <w:rPr>
                <w:sz w:val="18"/>
                <w:szCs w:val="18"/>
                <w:lang w:val="es-ES_tradnl"/>
              </w:rPr>
              <w:t xml:space="preserve">58%) </w:t>
            </w:r>
          </w:p>
          <w:p w:rsidR="00E65183" w:rsidRPr="00C83BDF" w:rsidRDefault="00E65183" w:rsidP="004737CD">
            <w:pPr>
              <w:pStyle w:val="Default"/>
              <w:tabs>
                <w:tab w:val="left" w:pos="490"/>
                <w:tab w:val="left" w:pos="2906"/>
              </w:tabs>
              <w:rPr>
                <w:sz w:val="18"/>
                <w:szCs w:val="18"/>
                <w:lang w:val="es-ES_tradnl"/>
              </w:rPr>
            </w:pPr>
            <w:r w:rsidRPr="00C83BDF">
              <w:rPr>
                <w:sz w:val="18"/>
                <w:szCs w:val="18"/>
                <w:lang w:val="es-ES_tradnl"/>
              </w:rPr>
              <w:t xml:space="preserve">10. </w:t>
            </w:r>
            <w:r w:rsidRPr="00C83BDF">
              <w:rPr>
                <w:sz w:val="18"/>
                <w:szCs w:val="18"/>
                <w:lang w:val="es-ES_tradnl"/>
              </w:rPr>
              <w:tab/>
            </w:r>
            <w:r w:rsidR="00D011B1" w:rsidRPr="00C83BDF">
              <w:rPr>
                <w:color w:val="auto"/>
                <w:sz w:val="18"/>
                <w:szCs w:val="18"/>
                <w:lang w:val="es-ES_tradnl"/>
              </w:rPr>
              <w:t>Ucrania</w:t>
            </w:r>
            <w:r w:rsidRPr="00C83BDF">
              <w:rPr>
                <w:sz w:val="18"/>
                <w:szCs w:val="18"/>
                <w:lang w:val="es-ES_tradnl"/>
              </w:rPr>
              <w:t xml:space="preserve"> </w:t>
            </w:r>
            <w:r w:rsidRPr="00C83BDF">
              <w:rPr>
                <w:sz w:val="18"/>
                <w:szCs w:val="18"/>
                <w:lang w:val="es-ES_tradnl"/>
              </w:rPr>
              <w:tab/>
              <w:t>(2</w:t>
            </w:r>
            <w:r w:rsidR="00045821" w:rsidRPr="00C83BDF">
              <w:rPr>
                <w:sz w:val="18"/>
                <w:szCs w:val="18"/>
                <w:lang w:val="es-ES_tradnl"/>
              </w:rPr>
              <w:t>,</w:t>
            </w:r>
            <w:r w:rsidRPr="00C83BDF">
              <w:rPr>
                <w:sz w:val="18"/>
                <w:szCs w:val="18"/>
                <w:lang w:val="es-ES_tradnl"/>
              </w:rPr>
              <w:t xml:space="preserve">86%) </w:t>
            </w:r>
          </w:p>
          <w:p w:rsidR="00E65183" w:rsidRPr="00C83BDF" w:rsidRDefault="00E65183" w:rsidP="004737CD">
            <w:pPr>
              <w:rPr>
                <w:lang w:val="es-ES_tradnl"/>
              </w:rPr>
            </w:pPr>
          </w:p>
        </w:tc>
      </w:tr>
    </w:tbl>
    <w:p w:rsidR="00E65183" w:rsidRPr="00C83BDF" w:rsidRDefault="00E65183" w:rsidP="00E65183">
      <w:pPr>
        <w:jc w:val="left"/>
        <w:rPr>
          <w:sz w:val="18"/>
          <w:szCs w:val="18"/>
          <w:lang w:val="es-ES_tradnl"/>
        </w:rPr>
      </w:pPr>
      <w:r w:rsidRPr="00C83BDF">
        <w:rPr>
          <w:sz w:val="18"/>
          <w:szCs w:val="18"/>
          <w:lang w:val="es-ES_tradnl"/>
        </w:rPr>
        <w:br w:type="page"/>
      </w:r>
    </w:p>
    <w:tbl>
      <w:tblPr>
        <w:tblW w:w="9889" w:type="dxa"/>
        <w:tblLayout w:type="fixed"/>
        <w:tblLook w:val="0000" w:firstRow="0" w:lastRow="0" w:firstColumn="0" w:lastColumn="0" w:noHBand="0" w:noVBand="0"/>
      </w:tblPr>
      <w:tblGrid>
        <w:gridCol w:w="1809"/>
        <w:gridCol w:w="8080"/>
      </w:tblGrid>
      <w:tr w:rsidR="00E65183" w:rsidRPr="00C83BDF">
        <w:trPr>
          <w:tblHeader/>
        </w:trPr>
        <w:tc>
          <w:tcPr>
            <w:tcW w:w="1809" w:type="dxa"/>
          </w:tcPr>
          <w:p w:rsidR="00E65183" w:rsidRPr="00C83BDF" w:rsidRDefault="00D011B1" w:rsidP="000F5BBB">
            <w:pPr>
              <w:keepNext/>
              <w:spacing w:after="240"/>
              <w:rPr>
                <w:b/>
                <w:sz w:val="18"/>
                <w:lang w:val="es-ES_tradnl"/>
              </w:rPr>
            </w:pPr>
            <w:r w:rsidRPr="00C83BDF">
              <w:rPr>
                <w:b/>
                <w:sz w:val="18"/>
                <w:lang w:val="es-ES_tradnl"/>
              </w:rPr>
              <w:t>Resultados previstos</w:t>
            </w:r>
          </w:p>
        </w:tc>
        <w:tc>
          <w:tcPr>
            <w:tcW w:w="8080" w:type="dxa"/>
          </w:tcPr>
          <w:p w:rsidR="00E65183" w:rsidRPr="00C83BDF" w:rsidRDefault="00D011B1" w:rsidP="000F5BBB">
            <w:pPr>
              <w:keepNext/>
              <w:spacing w:after="240"/>
              <w:rPr>
                <w:b/>
                <w:sz w:val="18"/>
                <w:lang w:val="es-ES_tradnl"/>
              </w:rPr>
            </w:pPr>
            <w:r w:rsidRPr="00C83BDF">
              <w:rPr>
                <w:b/>
                <w:sz w:val="18"/>
                <w:lang w:val="es-ES_tradnl"/>
              </w:rPr>
              <w:t>Resultados alcanzados:</w:t>
            </w:r>
            <w:r w:rsidR="00E65183" w:rsidRPr="00C83BDF">
              <w:rPr>
                <w:b/>
                <w:sz w:val="18"/>
                <w:lang w:val="es-ES_tradnl"/>
              </w:rPr>
              <w:t xml:space="preserve">  </w:t>
            </w:r>
            <w:r w:rsidRPr="00C83BDF">
              <w:rPr>
                <w:b/>
                <w:sz w:val="18"/>
                <w:lang w:val="es-ES_tradnl"/>
              </w:rPr>
              <w:t>indicadores de rendimiento</w:t>
            </w:r>
          </w:p>
        </w:tc>
      </w:tr>
      <w:tr w:rsidR="00E65183" w:rsidRPr="00C83BDF">
        <w:tc>
          <w:tcPr>
            <w:tcW w:w="1809" w:type="dxa"/>
          </w:tcPr>
          <w:p w:rsidR="00E65183" w:rsidRPr="00C83BDF" w:rsidRDefault="00E65183" w:rsidP="004737CD">
            <w:pPr>
              <w:jc w:val="left"/>
              <w:rPr>
                <w:sz w:val="18"/>
                <w:lang w:val="es-ES_tradnl"/>
              </w:rPr>
            </w:pPr>
            <w:r w:rsidRPr="00C83BDF">
              <w:rPr>
                <w:i/>
                <w:sz w:val="18"/>
                <w:lang w:val="es-ES_tradnl"/>
              </w:rPr>
              <w:t>1.  </w:t>
            </w:r>
            <w:r w:rsidR="00D011B1" w:rsidRPr="00C83BDF">
              <w:rPr>
                <w:i/>
                <w:sz w:val="18"/>
                <w:lang w:val="es-ES_tradnl"/>
              </w:rPr>
              <w:t xml:space="preserve">Mejora de la comprensión del público acerca de la función y las actividades de la UPOV </w:t>
            </w:r>
            <w:r w:rsidR="00D011B1" w:rsidRPr="00C83BDF">
              <w:rPr>
                <w:sz w:val="18"/>
                <w:lang w:val="es-ES_tradnl"/>
              </w:rPr>
              <w:t>(continuación)</w:t>
            </w:r>
          </w:p>
        </w:tc>
        <w:tc>
          <w:tcPr>
            <w:tcW w:w="8080" w:type="dxa"/>
          </w:tcPr>
          <w:p w:rsidR="00E65183" w:rsidRPr="00C83BDF" w:rsidRDefault="00D011B1" w:rsidP="004737CD">
            <w:pPr>
              <w:jc w:val="left"/>
              <w:rPr>
                <w:sz w:val="18"/>
                <w:szCs w:val="24"/>
                <w:lang w:val="es-ES_tradnl"/>
              </w:rPr>
            </w:pPr>
            <w:r w:rsidRPr="00C83BDF">
              <w:rPr>
                <w:i/>
                <w:sz w:val="18"/>
                <w:lang w:val="es-ES_tradnl"/>
              </w:rPr>
              <w:t>b)  Visitas al sitio web</w:t>
            </w:r>
            <w:r w:rsidRPr="00C83BDF">
              <w:rPr>
                <w:sz w:val="18"/>
                <w:lang w:val="es-ES_tradnl"/>
              </w:rPr>
              <w:t xml:space="preserve"> (continuación)</w:t>
            </w:r>
          </w:p>
        </w:tc>
      </w:tr>
    </w:tbl>
    <w:p w:rsidR="00E65183" w:rsidRPr="00C83BDF" w:rsidRDefault="00E65183" w:rsidP="00E65183">
      <w:pPr>
        <w:jc w:val="left"/>
        <w:rPr>
          <w:sz w:val="18"/>
          <w:szCs w:val="18"/>
          <w:lang w:val="es-ES_tradnl"/>
        </w:rPr>
      </w:pPr>
    </w:p>
    <w:p w:rsidR="00E65183" w:rsidRPr="00C83BDF" w:rsidRDefault="00E65183" w:rsidP="00E65183">
      <w:pPr>
        <w:jc w:val="left"/>
        <w:rPr>
          <w:sz w:val="18"/>
          <w:szCs w:val="18"/>
          <w:lang w:val="es-ES_tradnl"/>
        </w:rPr>
      </w:pPr>
    </w:p>
    <w:tbl>
      <w:tblPr>
        <w:tblW w:w="9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817"/>
        <w:gridCol w:w="817"/>
        <w:gridCol w:w="867"/>
        <w:gridCol w:w="767"/>
        <w:gridCol w:w="793"/>
        <w:gridCol w:w="767"/>
        <w:gridCol w:w="792"/>
        <w:gridCol w:w="767"/>
        <w:gridCol w:w="792"/>
        <w:gridCol w:w="767"/>
      </w:tblGrid>
      <w:tr w:rsidR="00E65183" w:rsidRPr="00C83BDF">
        <w:tc>
          <w:tcPr>
            <w:tcW w:w="1559" w:type="dxa"/>
            <w:vMerge w:val="restart"/>
          </w:tcPr>
          <w:p w:rsidR="00E65183" w:rsidRPr="00C83BDF" w:rsidRDefault="00D251B6" w:rsidP="006A7447">
            <w:pPr>
              <w:tabs>
                <w:tab w:val="right" w:pos="3720"/>
                <w:tab w:val="left" w:pos="4003"/>
              </w:tabs>
              <w:jc w:val="left"/>
              <w:rPr>
                <w:rFonts w:cs="Arial"/>
                <w:sz w:val="18"/>
                <w:szCs w:val="18"/>
                <w:lang w:val="es-ES_tradnl"/>
              </w:rPr>
            </w:pPr>
            <w:r w:rsidRPr="00C83BDF">
              <w:rPr>
                <w:rFonts w:cs="Arial"/>
                <w:sz w:val="18"/>
                <w:szCs w:val="18"/>
                <w:lang w:val="es-ES_tradnl"/>
              </w:rPr>
              <w:t>Idioma del navegador del visitante</w:t>
            </w:r>
          </w:p>
        </w:tc>
        <w:tc>
          <w:tcPr>
            <w:tcW w:w="1634" w:type="dxa"/>
            <w:gridSpan w:val="2"/>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2014</w:t>
            </w:r>
          </w:p>
        </w:tc>
        <w:tc>
          <w:tcPr>
            <w:tcW w:w="1634" w:type="dxa"/>
            <w:gridSpan w:val="2"/>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2013</w:t>
            </w:r>
          </w:p>
        </w:tc>
        <w:tc>
          <w:tcPr>
            <w:tcW w:w="1560" w:type="dxa"/>
            <w:gridSpan w:val="2"/>
            <w:tcMar>
              <w:top w:w="28" w:type="dxa"/>
              <w:left w:w="57" w:type="dxa"/>
              <w:bottom w:w="28" w:type="dxa"/>
              <w:right w:w="57" w:type="dxa"/>
            </w:tcMar>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2012</w:t>
            </w:r>
          </w:p>
        </w:tc>
        <w:tc>
          <w:tcPr>
            <w:tcW w:w="1559" w:type="dxa"/>
            <w:gridSpan w:val="2"/>
            <w:tcMar>
              <w:left w:w="57" w:type="dxa"/>
              <w:right w:w="57" w:type="dxa"/>
            </w:tcMar>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2011</w:t>
            </w:r>
          </w:p>
        </w:tc>
        <w:tc>
          <w:tcPr>
            <w:tcW w:w="1559" w:type="dxa"/>
            <w:gridSpan w:val="2"/>
            <w:tcMar>
              <w:left w:w="57" w:type="dxa"/>
              <w:right w:w="57" w:type="dxa"/>
            </w:tcMar>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2010</w:t>
            </w:r>
          </w:p>
        </w:tc>
      </w:tr>
      <w:tr w:rsidR="00E65183" w:rsidRPr="00C83BDF">
        <w:tc>
          <w:tcPr>
            <w:tcW w:w="1559" w:type="dxa"/>
            <w:vMerge/>
          </w:tcPr>
          <w:p w:rsidR="00E65183" w:rsidRPr="00C83BDF" w:rsidRDefault="00E65183" w:rsidP="006A7447">
            <w:pPr>
              <w:tabs>
                <w:tab w:val="right" w:pos="3720"/>
                <w:tab w:val="left" w:pos="4003"/>
              </w:tabs>
              <w:jc w:val="left"/>
              <w:rPr>
                <w:rFonts w:cs="Arial"/>
                <w:sz w:val="18"/>
                <w:szCs w:val="18"/>
                <w:lang w:val="es-ES_tradnl"/>
              </w:rPr>
            </w:pPr>
          </w:p>
        </w:tc>
        <w:tc>
          <w:tcPr>
            <w:tcW w:w="817" w:type="dxa"/>
          </w:tcPr>
          <w:p w:rsidR="00E65183" w:rsidRPr="00C83BDF" w:rsidRDefault="00D251B6" w:rsidP="006A7447">
            <w:pPr>
              <w:tabs>
                <w:tab w:val="right" w:pos="3720"/>
                <w:tab w:val="left" w:pos="4003"/>
              </w:tabs>
              <w:jc w:val="center"/>
              <w:rPr>
                <w:rFonts w:cs="Arial"/>
                <w:sz w:val="18"/>
                <w:szCs w:val="18"/>
                <w:lang w:val="es-ES_tradnl"/>
              </w:rPr>
            </w:pPr>
            <w:r w:rsidRPr="00C83BDF">
              <w:rPr>
                <w:rFonts w:cs="Arial"/>
                <w:sz w:val="18"/>
                <w:szCs w:val="18"/>
                <w:lang w:val="es-ES_tradnl"/>
              </w:rPr>
              <w:t>Visitas</w:t>
            </w:r>
          </w:p>
        </w:tc>
        <w:tc>
          <w:tcPr>
            <w:tcW w:w="817" w:type="dxa"/>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w:t>
            </w:r>
          </w:p>
        </w:tc>
        <w:tc>
          <w:tcPr>
            <w:tcW w:w="867" w:type="dxa"/>
          </w:tcPr>
          <w:p w:rsidR="00E65183" w:rsidRPr="00C83BDF" w:rsidRDefault="00D251B6" w:rsidP="006A7447">
            <w:pPr>
              <w:tabs>
                <w:tab w:val="right" w:pos="3720"/>
                <w:tab w:val="left" w:pos="4003"/>
              </w:tabs>
              <w:jc w:val="center"/>
              <w:rPr>
                <w:rFonts w:cs="Arial"/>
                <w:sz w:val="18"/>
                <w:szCs w:val="18"/>
                <w:lang w:val="es-ES_tradnl"/>
              </w:rPr>
            </w:pPr>
            <w:r w:rsidRPr="00C83BDF">
              <w:rPr>
                <w:rFonts w:cs="Arial"/>
                <w:sz w:val="18"/>
                <w:szCs w:val="18"/>
                <w:lang w:val="es-ES_tradnl"/>
              </w:rPr>
              <w:t>Visitas</w:t>
            </w:r>
          </w:p>
        </w:tc>
        <w:tc>
          <w:tcPr>
            <w:tcW w:w="767" w:type="dxa"/>
            <w:tcMar>
              <w:top w:w="28" w:type="dxa"/>
              <w:left w:w="57" w:type="dxa"/>
              <w:bottom w:w="28" w:type="dxa"/>
              <w:right w:w="57" w:type="dxa"/>
            </w:tcMar>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w:t>
            </w:r>
          </w:p>
        </w:tc>
        <w:tc>
          <w:tcPr>
            <w:tcW w:w="793" w:type="dxa"/>
            <w:tcMar>
              <w:left w:w="57" w:type="dxa"/>
              <w:right w:w="57" w:type="dxa"/>
            </w:tcMar>
          </w:tcPr>
          <w:p w:rsidR="00E65183" w:rsidRPr="00C83BDF" w:rsidRDefault="00D251B6" w:rsidP="006A7447">
            <w:pPr>
              <w:tabs>
                <w:tab w:val="right" w:pos="3720"/>
                <w:tab w:val="left" w:pos="4003"/>
              </w:tabs>
              <w:jc w:val="center"/>
              <w:rPr>
                <w:rFonts w:cs="Arial"/>
                <w:sz w:val="18"/>
                <w:szCs w:val="18"/>
                <w:lang w:val="es-ES_tradnl"/>
              </w:rPr>
            </w:pPr>
            <w:r w:rsidRPr="00C83BDF">
              <w:rPr>
                <w:rFonts w:cs="Arial"/>
                <w:sz w:val="18"/>
                <w:szCs w:val="18"/>
                <w:lang w:val="es-ES_tradnl"/>
              </w:rPr>
              <w:t>Visitas</w:t>
            </w:r>
          </w:p>
        </w:tc>
        <w:tc>
          <w:tcPr>
            <w:tcW w:w="767" w:type="dxa"/>
            <w:tcMar>
              <w:left w:w="57" w:type="dxa"/>
              <w:right w:w="57" w:type="dxa"/>
            </w:tcMar>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w:t>
            </w:r>
          </w:p>
        </w:tc>
        <w:tc>
          <w:tcPr>
            <w:tcW w:w="792" w:type="dxa"/>
            <w:tcMar>
              <w:left w:w="57" w:type="dxa"/>
              <w:right w:w="57" w:type="dxa"/>
            </w:tcMar>
          </w:tcPr>
          <w:p w:rsidR="00E65183" w:rsidRPr="00C83BDF" w:rsidRDefault="00D251B6" w:rsidP="006A7447">
            <w:pPr>
              <w:tabs>
                <w:tab w:val="right" w:pos="3720"/>
                <w:tab w:val="left" w:pos="4003"/>
              </w:tabs>
              <w:jc w:val="center"/>
              <w:rPr>
                <w:rFonts w:cs="Arial"/>
                <w:sz w:val="18"/>
                <w:szCs w:val="18"/>
                <w:lang w:val="es-ES_tradnl"/>
              </w:rPr>
            </w:pPr>
            <w:r w:rsidRPr="00C83BDF">
              <w:rPr>
                <w:rFonts w:cs="Arial"/>
                <w:sz w:val="18"/>
                <w:szCs w:val="18"/>
                <w:lang w:val="es-ES_tradnl"/>
              </w:rPr>
              <w:t>Visitas</w:t>
            </w:r>
          </w:p>
        </w:tc>
        <w:tc>
          <w:tcPr>
            <w:tcW w:w="767" w:type="dxa"/>
            <w:tcMar>
              <w:left w:w="57" w:type="dxa"/>
              <w:right w:w="57" w:type="dxa"/>
            </w:tcMar>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w:t>
            </w:r>
          </w:p>
        </w:tc>
        <w:tc>
          <w:tcPr>
            <w:tcW w:w="792" w:type="dxa"/>
            <w:tcMar>
              <w:left w:w="57" w:type="dxa"/>
              <w:right w:w="57" w:type="dxa"/>
            </w:tcMar>
          </w:tcPr>
          <w:p w:rsidR="00E65183" w:rsidRPr="00C83BDF" w:rsidRDefault="00D251B6" w:rsidP="006A7447">
            <w:pPr>
              <w:tabs>
                <w:tab w:val="right" w:pos="3720"/>
                <w:tab w:val="left" w:pos="4003"/>
              </w:tabs>
              <w:jc w:val="center"/>
              <w:rPr>
                <w:rFonts w:cs="Arial"/>
                <w:sz w:val="18"/>
                <w:szCs w:val="18"/>
                <w:lang w:val="es-ES_tradnl"/>
              </w:rPr>
            </w:pPr>
            <w:r w:rsidRPr="00C83BDF">
              <w:rPr>
                <w:rFonts w:cs="Arial"/>
                <w:sz w:val="18"/>
                <w:szCs w:val="18"/>
                <w:lang w:val="es-ES_tradnl"/>
              </w:rPr>
              <w:t>Visitas</w:t>
            </w:r>
          </w:p>
        </w:tc>
        <w:tc>
          <w:tcPr>
            <w:tcW w:w="767" w:type="dxa"/>
            <w:tcMar>
              <w:left w:w="57" w:type="dxa"/>
              <w:right w:w="57" w:type="dxa"/>
            </w:tcMar>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w:t>
            </w:r>
          </w:p>
        </w:tc>
      </w:tr>
      <w:tr w:rsidR="00E65183" w:rsidRPr="00C83BDF">
        <w:tc>
          <w:tcPr>
            <w:tcW w:w="1559" w:type="dxa"/>
          </w:tcPr>
          <w:p w:rsidR="00E65183" w:rsidRPr="00C83BDF" w:rsidRDefault="00E65183" w:rsidP="006A7447">
            <w:pPr>
              <w:pStyle w:val="ListParagraph"/>
              <w:numPr>
                <w:ilvl w:val="0"/>
                <w:numId w:val="11"/>
              </w:numPr>
              <w:tabs>
                <w:tab w:val="right" w:pos="3720"/>
                <w:tab w:val="left" w:pos="4003"/>
              </w:tabs>
              <w:jc w:val="left"/>
              <w:rPr>
                <w:rFonts w:cs="Arial"/>
                <w:sz w:val="18"/>
                <w:szCs w:val="18"/>
                <w:lang w:val="es-ES_tradnl"/>
              </w:rPr>
            </w:pPr>
            <w:r w:rsidRPr="00C83BDF">
              <w:rPr>
                <w:rFonts w:cs="Arial"/>
                <w:sz w:val="18"/>
                <w:szCs w:val="18"/>
                <w:lang w:val="es-ES_tradnl"/>
              </w:rPr>
              <w:t>en-us</w:t>
            </w:r>
          </w:p>
        </w:tc>
        <w:tc>
          <w:tcPr>
            <w:tcW w:w="817" w:type="dxa"/>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7</w:t>
            </w:r>
            <w:r w:rsidR="002178F3" w:rsidRPr="00C83BDF">
              <w:rPr>
                <w:rFonts w:cs="Arial"/>
                <w:sz w:val="18"/>
                <w:szCs w:val="18"/>
                <w:lang w:val="es-ES_tradnl"/>
              </w:rPr>
              <w:t>2.2</w:t>
            </w:r>
            <w:r w:rsidRPr="00C83BDF">
              <w:rPr>
                <w:rFonts w:cs="Arial"/>
                <w:sz w:val="18"/>
                <w:szCs w:val="18"/>
                <w:lang w:val="es-ES_tradnl"/>
              </w:rPr>
              <w:t>48</w:t>
            </w:r>
          </w:p>
        </w:tc>
        <w:tc>
          <w:tcPr>
            <w:tcW w:w="817" w:type="dxa"/>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38</w:t>
            </w:r>
            <w:r w:rsidR="002178F3" w:rsidRPr="00C83BDF">
              <w:rPr>
                <w:rFonts w:cs="Arial"/>
                <w:sz w:val="18"/>
                <w:szCs w:val="18"/>
                <w:lang w:val="es-ES_tradnl"/>
              </w:rPr>
              <w:t>,</w:t>
            </w:r>
            <w:r w:rsidRPr="00C83BDF">
              <w:rPr>
                <w:rFonts w:cs="Arial"/>
                <w:sz w:val="18"/>
                <w:szCs w:val="18"/>
                <w:lang w:val="es-ES_tradnl"/>
              </w:rPr>
              <w:t>61</w:t>
            </w:r>
          </w:p>
        </w:tc>
        <w:tc>
          <w:tcPr>
            <w:tcW w:w="867" w:type="dxa"/>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7</w:t>
            </w:r>
            <w:r w:rsidR="002178F3" w:rsidRPr="00C83BDF">
              <w:rPr>
                <w:rFonts w:cs="Arial"/>
                <w:sz w:val="18"/>
                <w:szCs w:val="18"/>
                <w:lang w:val="es-ES_tradnl"/>
              </w:rPr>
              <w:t>0.7</w:t>
            </w:r>
            <w:r w:rsidRPr="00C83BDF">
              <w:rPr>
                <w:rFonts w:cs="Arial"/>
                <w:sz w:val="18"/>
                <w:szCs w:val="18"/>
                <w:lang w:val="es-ES_tradnl"/>
              </w:rPr>
              <w:t>06</w:t>
            </w:r>
          </w:p>
        </w:tc>
        <w:tc>
          <w:tcPr>
            <w:tcW w:w="767" w:type="dxa"/>
            <w:tcMar>
              <w:top w:w="28" w:type="dxa"/>
              <w:left w:w="57" w:type="dxa"/>
              <w:bottom w:w="28"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39</w:t>
            </w:r>
            <w:r w:rsidR="002178F3" w:rsidRPr="00C83BDF">
              <w:rPr>
                <w:rFonts w:cs="Arial"/>
                <w:sz w:val="18"/>
                <w:szCs w:val="18"/>
                <w:lang w:val="es-ES_tradnl"/>
              </w:rPr>
              <w:t>,</w:t>
            </w:r>
            <w:r w:rsidRPr="00C83BDF">
              <w:rPr>
                <w:rFonts w:cs="Arial"/>
                <w:sz w:val="18"/>
                <w:szCs w:val="18"/>
                <w:lang w:val="es-ES_tradnl"/>
              </w:rPr>
              <w:t>56</w:t>
            </w:r>
          </w:p>
        </w:tc>
        <w:tc>
          <w:tcPr>
            <w:tcW w:w="793"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5</w:t>
            </w:r>
            <w:r w:rsidR="002178F3" w:rsidRPr="00C83BDF">
              <w:rPr>
                <w:rFonts w:cs="Arial"/>
                <w:sz w:val="18"/>
                <w:szCs w:val="18"/>
                <w:lang w:val="es-ES_tradnl"/>
              </w:rPr>
              <w:t>7.3</w:t>
            </w:r>
            <w:r w:rsidRPr="00C83BDF">
              <w:rPr>
                <w:rFonts w:cs="Arial"/>
                <w:sz w:val="18"/>
                <w:szCs w:val="18"/>
                <w:lang w:val="es-ES_tradnl"/>
              </w:rPr>
              <w:t>41</w:t>
            </w:r>
          </w:p>
        </w:tc>
        <w:tc>
          <w:tcPr>
            <w:tcW w:w="767"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37</w:t>
            </w:r>
            <w:r w:rsidR="002178F3" w:rsidRPr="00C83BDF">
              <w:rPr>
                <w:rFonts w:cs="Arial"/>
                <w:sz w:val="18"/>
                <w:szCs w:val="18"/>
                <w:lang w:val="es-ES_tradnl"/>
              </w:rPr>
              <w:t>,</w:t>
            </w:r>
            <w:r w:rsidRPr="00C83BDF">
              <w:rPr>
                <w:rFonts w:cs="Arial"/>
                <w:sz w:val="18"/>
                <w:szCs w:val="18"/>
                <w:lang w:val="es-ES_tradnl"/>
              </w:rPr>
              <w:t>75</w:t>
            </w:r>
          </w:p>
        </w:tc>
        <w:tc>
          <w:tcPr>
            <w:tcW w:w="792"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5</w:t>
            </w:r>
            <w:r w:rsidR="002178F3" w:rsidRPr="00C83BDF">
              <w:rPr>
                <w:rFonts w:cs="Arial"/>
                <w:sz w:val="18"/>
                <w:szCs w:val="18"/>
                <w:lang w:val="es-ES_tradnl"/>
              </w:rPr>
              <w:t>0.5</w:t>
            </w:r>
            <w:r w:rsidRPr="00C83BDF">
              <w:rPr>
                <w:rFonts w:cs="Arial"/>
                <w:sz w:val="18"/>
                <w:szCs w:val="18"/>
                <w:lang w:val="es-ES_tradnl"/>
              </w:rPr>
              <w:t>71</w:t>
            </w:r>
          </w:p>
        </w:tc>
        <w:tc>
          <w:tcPr>
            <w:tcW w:w="767"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36</w:t>
            </w:r>
            <w:r w:rsidR="002178F3" w:rsidRPr="00C83BDF">
              <w:rPr>
                <w:rFonts w:cs="Arial"/>
                <w:sz w:val="18"/>
                <w:szCs w:val="18"/>
                <w:lang w:val="es-ES_tradnl"/>
              </w:rPr>
              <w:t>,</w:t>
            </w:r>
            <w:r w:rsidRPr="00C83BDF">
              <w:rPr>
                <w:rFonts w:cs="Arial"/>
                <w:sz w:val="18"/>
                <w:szCs w:val="18"/>
                <w:lang w:val="es-ES_tradnl"/>
              </w:rPr>
              <w:t>03</w:t>
            </w:r>
          </w:p>
        </w:tc>
        <w:tc>
          <w:tcPr>
            <w:tcW w:w="792"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4</w:t>
            </w:r>
            <w:r w:rsidR="005609E5" w:rsidRPr="00C83BDF">
              <w:rPr>
                <w:rFonts w:cs="Arial"/>
                <w:sz w:val="18"/>
                <w:szCs w:val="18"/>
                <w:lang w:val="es-ES_tradnl"/>
              </w:rPr>
              <w:t>6.5</w:t>
            </w:r>
            <w:r w:rsidRPr="00C83BDF">
              <w:rPr>
                <w:rFonts w:cs="Arial"/>
                <w:sz w:val="18"/>
                <w:szCs w:val="18"/>
                <w:lang w:val="es-ES_tradnl"/>
              </w:rPr>
              <w:t>27</w:t>
            </w:r>
          </w:p>
        </w:tc>
        <w:tc>
          <w:tcPr>
            <w:tcW w:w="767"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39</w:t>
            </w:r>
            <w:r w:rsidR="002178F3" w:rsidRPr="00C83BDF">
              <w:rPr>
                <w:rFonts w:cs="Arial"/>
                <w:sz w:val="18"/>
                <w:szCs w:val="18"/>
                <w:lang w:val="es-ES_tradnl"/>
              </w:rPr>
              <w:t>,</w:t>
            </w:r>
            <w:r w:rsidRPr="00C83BDF">
              <w:rPr>
                <w:rFonts w:cs="Arial"/>
                <w:sz w:val="18"/>
                <w:szCs w:val="18"/>
                <w:lang w:val="es-ES_tradnl"/>
              </w:rPr>
              <w:t>13</w:t>
            </w:r>
          </w:p>
        </w:tc>
      </w:tr>
      <w:tr w:rsidR="00E65183" w:rsidRPr="00C83BDF">
        <w:tc>
          <w:tcPr>
            <w:tcW w:w="1559" w:type="dxa"/>
          </w:tcPr>
          <w:p w:rsidR="00E65183" w:rsidRPr="00C83BDF" w:rsidRDefault="00E65183" w:rsidP="006A7447">
            <w:pPr>
              <w:pStyle w:val="ListParagraph"/>
              <w:numPr>
                <w:ilvl w:val="0"/>
                <w:numId w:val="11"/>
              </w:numPr>
              <w:tabs>
                <w:tab w:val="right" w:pos="3720"/>
                <w:tab w:val="left" w:pos="4003"/>
              </w:tabs>
              <w:jc w:val="left"/>
              <w:rPr>
                <w:rFonts w:cs="Arial"/>
                <w:sz w:val="18"/>
                <w:szCs w:val="18"/>
                <w:lang w:val="es-ES_tradnl"/>
              </w:rPr>
            </w:pPr>
            <w:r w:rsidRPr="00C83BDF">
              <w:rPr>
                <w:rFonts w:cs="Arial"/>
                <w:sz w:val="18"/>
                <w:szCs w:val="18"/>
                <w:lang w:val="es-ES_tradnl"/>
              </w:rPr>
              <w:t>es</w:t>
            </w:r>
          </w:p>
        </w:tc>
        <w:tc>
          <w:tcPr>
            <w:tcW w:w="817" w:type="dxa"/>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1</w:t>
            </w:r>
            <w:r w:rsidR="002178F3" w:rsidRPr="00C83BDF">
              <w:rPr>
                <w:rFonts w:cs="Arial"/>
                <w:sz w:val="18"/>
                <w:szCs w:val="18"/>
                <w:lang w:val="es-ES_tradnl"/>
              </w:rPr>
              <w:t>8.1</w:t>
            </w:r>
            <w:r w:rsidRPr="00C83BDF">
              <w:rPr>
                <w:rFonts w:cs="Arial"/>
                <w:sz w:val="18"/>
                <w:szCs w:val="18"/>
                <w:lang w:val="es-ES_tradnl"/>
              </w:rPr>
              <w:t>54</w:t>
            </w:r>
          </w:p>
        </w:tc>
        <w:tc>
          <w:tcPr>
            <w:tcW w:w="817" w:type="dxa"/>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9</w:t>
            </w:r>
            <w:r w:rsidR="002178F3" w:rsidRPr="00C83BDF">
              <w:rPr>
                <w:rFonts w:cs="Arial"/>
                <w:sz w:val="18"/>
                <w:szCs w:val="18"/>
                <w:lang w:val="es-ES_tradnl"/>
              </w:rPr>
              <w:t>,</w:t>
            </w:r>
            <w:r w:rsidRPr="00C83BDF">
              <w:rPr>
                <w:rFonts w:cs="Arial"/>
                <w:sz w:val="18"/>
                <w:szCs w:val="18"/>
                <w:lang w:val="es-ES_tradnl"/>
              </w:rPr>
              <w:t>70</w:t>
            </w:r>
          </w:p>
        </w:tc>
        <w:tc>
          <w:tcPr>
            <w:tcW w:w="867" w:type="dxa"/>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1</w:t>
            </w:r>
            <w:r w:rsidR="002178F3" w:rsidRPr="00C83BDF">
              <w:rPr>
                <w:rFonts w:cs="Arial"/>
                <w:sz w:val="18"/>
                <w:szCs w:val="18"/>
                <w:lang w:val="es-ES_tradnl"/>
              </w:rPr>
              <w:t>8.6</w:t>
            </w:r>
            <w:r w:rsidRPr="00C83BDF">
              <w:rPr>
                <w:rFonts w:cs="Arial"/>
                <w:sz w:val="18"/>
                <w:szCs w:val="18"/>
                <w:lang w:val="es-ES_tradnl"/>
              </w:rPr>
              <w:t>69</w:t>
            </w:r>
          </w:p>
        </w:tc>
        <w:tc>
          <w:tcPr>
            <w:tcW w:w="767" w:type="dxa"/>
            <w:tcMar>
              <w:top w:w="28" w:type="dxa"/>
              <w:left w:w="57" w:type="dxa"/>
              <w:bottom w:w="28"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10</w:t>
            </w:r>
            <w:r w:rsidR="002178F3" w:rsidRPr="00C83BDF">
              <w:rPr>
                <w:rFonts w:cs="Arial"/>
                <w:sz w:val="18"/>
                <w:szCs w:val="18"/>
                <w:lang w:val="es-ES_tradnl"/>
              </w:rPr>
              <w:t>,</w:t>
            </w:r>
            <w:r w:rsidRPr="00C83BDF">
              <w:rPr>
                <w:rFonts w:cs="Arial"/>
                <w:sz w:val="18"/>
                <w:szCs w:val="18"/>
                <w:lang w:val="es-ES_tradnl"/>
              </w:rPr>
              <w:t>45</w:t>
            </w:r>
          </w:p>
        </w:tc>
        <w:tc>
          <w:tcPr>
            <w:tcW w:w="793"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1</w:t>
            </w:r>
            <w:r w:rsidR="002178F3" w:rsidRPr="00C83BDF">
              <w:rPr>
                <w:rFonts w:cs="Arial"/>
                <w:sz w:val="18"/>
                <w:szCs w:val="18"/>
                <w:lang w:val="es-ES_tradnl"/>
              </w:rPr>
              <w:t>9.0</w:t>
            </w:r>
            <w:r w:rsidRPr="00C83BDF">
              <w:rPr>
                <w:rFonts w:cs="Arial"/>
                <w:sz w:val="18"/>
                <w:szCs w:val="18"/>
                <w:lang w:val="es-ES_tradnl"/>
              </w:rPr>
              <w:t>01</w:t>
            </w:r>
          </w:p>
        </w:tc>
        <w:tc>
          <w:tcPr>
            <w:tcW w:w="767"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12</w:t>
            </w:r>
            <w:r w:rsidR="002178F3" w:rsidRPr="00C83BDF">
              <w:rPr>
                <w:rFonts w:cs="Arial"/>
                <w:sz w:val="18"/>
                <w:szCs w:val="18"/>
                <w:lang w:val="es-ES_tradnl"/>
              </w:rPr>
              <w:t>,</w:t>
            </w:r>
            <w:r w:rsidRPr="00C83BDF">
              <w:rPr>
                <w:rFonts w:cs="Arial"/>
                <w:sz w:val="18"/>
                <w:szCs w:val="18"/>
                <w:lang w:val="es-ES_tradnl"/>
              </w:rPr>
              <w:t>51</w:t>
            </w:r>
          </w:p>
        </w:tc>
        <w:tc>
          <w:tcPr>
            <w:tcW w:w="792"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2</w:t>
            </w:r>
            <w:r w:rsidR="002178F3" w:rsidRPr="00C83BDF">
              <w:rPr>
                <w:rFonts w:cs="Arial"/>
                <w:sz w:val="18"/>
                <w:szCs w:val="18"/>
                <w:lang w:val="es-ES_tradnl"/>
              </w:rPr>
              <w:t>3.6</w:t>
            </w:r>
            <w:r w:rsidRPr="00C83BDF">
              <w:rPr>
                <w:rFonts w:cs="Arial"/>
                <w:sz w:val="18"/>
                <w:szCs w:val="18"/>
                <w:lang w:val="es-ES_tradnl"/>
              </w:rPr>
              <w:t>05</w:t>
            </w:r>
          </w:p>
        </w:tc>
        <w:tc>
          <w:tcPr>
            <w:tcW w:w="767"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16</w:t>
            </w:r>
            <w:r w:rsidR="002178F3" w:rsidRPr="00C83BDF">
              <w:rPr>
                <w:rFonts w:cs="Arial"/>
                <w:sz w:val="18"/>
                <w:szCs w:val="18"/>
                <w:lang w:val="es-ES_tradnl"/>
              </w:rPr>
              <w:t>,</w:t>
            </w:r>
            <w:r w:rsidRPr="00C83BDF">
              <w:rPr>
                <w:rFonts w:cs="Arial"/>
                <w:sz w:val="18"/>
                <w:szCs w:val="18"/>
                <w:lang w:val="es-ES_tradnl"/>
              </w:rPr>
              <w:t>82</w:t>
            </w:r>
          </w:p>
        </w:tc>
        <w:tc>
          <w:tcPr>
            <w:tcW w:w="792"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1</w:t>
            </w:r>
            <w:r w:rsidR="005609E5" w:rsidRPr="00C83BDF">
              <w:rPr>
                <w:rFonts w:cs="Arial"/>
                <w:sz w:val="18"/>
                <w:szCs w:val="18"/>
                <w:lang w:val="es-ES_tradnl"/>
              </w:rPr>
              <w:t>6.1</w:t>
            </w:r>
            <w:r w:rsidRPr="00C83BDF">
              <w:rPr>
                <w:rFonts w:cs="Arial"/>
                <w:sz w:val="18"/>
                <w:szCs w:val="18"/>
                <w:lang w:val="es-ES_tradnl"/>
              </w:rPr>
              <w:t>41</w:t>
            </w:r>
          </w:p>
        </w:tc>
        <w:tc>
          <w:tcPr>
            <w:tcW w:w="767"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13</w:t>
            </w:r>
            <w:r w:rsidR="002178F3" w:rsidRPr="00C83BDF">
              <w:rPr>
                <w:rFonts w:cs="Arial"/>
                <w:sz w:val="18"/>
                <w:szCs w:val="18"/>
                <w:lang w:val="es-ES_tradnl"/>
              </w:rPr>
              <w:t>,</w:t>
            </w:r>
            <w:r w:rsidRPr="00C83BDF">
              <w:rPr>
                <w:rFonts w:cs="Arial"/>
                <w:sz w:val="18"/>
                <w:szCs w:val="18"/>
                <w:lang w:val="es-ES_tradnl"/>
              </w:rPr>
              <w:t>58</w:t>
            </w:r>
          </w:p>
        </w:tc>
      </w:tr>
      <w:tr w:rsidR="00E65183" w:rsidRPr="00C83BDF">
        <w:tc>
          <w:tcPr>
            <w:tcW w:w="1559" w:type="dxa"/>
          </w:tcPr>
          <w:p w:rsidR="00E65183" w:rsidRPr="00C83BDF" w:rsidRDefault="00E65183" w:rsidP="006A7447">
            <w:pPr>
              <w:pStyle w:val="ListParagraph"/>
              <w:numPr>
                <w:ilvl w:val="0"/>
                <w:numId w:val="11"/>
              </w:numPr>
              <w:tabs>
                <w:tab w:val="right" w:pos="3720"/>
                <w:tab w:val="left" w:pos="4003"/>
              </w:tabs>
              <w:jc w:val="left"/>
              <w:rPr>
                <w:rFonts w:cs="Arial"/>
                <w:sz w:val="18"/>
                <w:szCs w:val="18"/>
                <w:lang w:val="es-ES_tradnl"/>
              </w:rPr>
            </w:pPr>
            <w:r w:rsidRPr="00C83BDF">
              <w:rPr>
                <w:rFonts w:cs="Arial"/>
                <w:sz w:val="18"/>
                <w:szCs w:val="18"/>
                <w:lang w:val="es-ES_tradnl"/>
              </w:rPr>
              <w:t>fr</w:t>
            </w:r>
          </w:p>
        </w:tc>
        <w:tc>
          <w:tcPr>
            <w:tcW w:w="817" w:type="dxa"/>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1</w:t>
            </w:r>
            <w:r w:rsidR="002178F3" w:rsidRPr="00C83BDF">
              <w:rPr>
                <w:rFonts w:cs="Arial"/>
                <w:sz w:val="18"/>
                <w:szCs w:val="18"/>
                <w:lang w:val="es-ES_tradnl"/>
              </w:rPr>
              <w:t>1.8</w:t>
            </w:r>
            <w:r w:rsidRPr="00C83BDF">
              <w:rPr>
                <w:rFonts w:cs="Arial"/>
                <w:sz w:val="18"/>
                <w:szCs w:val="18"/>
                <w:lang w:val="es-ES_tradnl"/>
              </w:rPr>
              <w:t>62</w:t>
            </w:r>
          </w:p>
        </w:tc>
        <w:tc>
          <w:tcPr>
            <w:tcW w:w="817" w:type="dxa"/>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6</w:t>
            </w:r>
            <w:r w:rsidR="002178F3" w:rsidRPr="00C83BDF">
              <w:rPr>
                <w:rFonts w:cs="Arial"/>
                <w:sz w:val="18"/>
                <w:szCs w:val="18"/>
                <w:lang w:val="es-ES_tradnl"/>
              </w:rPr>
              <w:t>,</w:t>
            </w:r>
            <w:r w:rsidRPr="00C83BDF">
              <w:rPr>
                <w:rFonts w:cs="Arial"/>
                <w:sz w:val="18"/>
                <w:szCs w:val="18"/>
                <w:lang w:val="es-ES_tradnl"/>
              </w:rPr>
              <w:t>34</w:t>
            </w:r>
          </w:p>
        </w:tc>
        <w:tc>
          <w:tcPr>
            <w:tcW w:w="867" w:type="dxa"/>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1</w:t>
            </w:r>
            <w:r w:rsidR="002178F3" w:rsidRPr="00C83BDF">
              <w:rPr>
                <w:rFonts w:cs="Arial"/>
                <w:sz w:val="18"/>
                <w:szCs w:val="18"/>
                <w:lang w:val="es-ES_tradnl"/>
              </w:rPr>
              <w:t>3.8</w:t>
            </w:r>
            <w:r w:rsidRPr="00C83BDF">
              <w:rPr>
                <w:rFonts w:cs="Arial"/>
                <w:sz w:val="18"/>
                <w:szCs w:val="18"/>
                <w:lang w:val="es-ES_tradnl"/>
              </w:rPr>
              <w:t>76</w:t>
            </w:r>
          </w:p>
        </w:tc>
        <w:tc>
          <w:tcPr>
            <w:tcW w:w="767" w:type="dxa"/>
            <w:tcMar>
              <w:top w:w="28" w:type="dxa"/>
              <w:left w:w="57" w:type="dxa"/>
              <w:bottom w:w="28"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7</w:t>
            </w:r>
            <w:r w:rsidR="002178F3" w:rsidRPr="00C83BDF">
              <w:rPr>
                <w:rFonts w:cs="Arial"/>
                <w:sz w:val="18"/>
                <w:szCs w:val="18"/>
                <w:lang w:val="es-ES_tradnl"/>
              </w:rPr>
              <w:t>,</w:t>
            </w:r>
            <w:r w:rsidRPr="00C83BDF">
              <w:rPr>
                <w:rFonts w:cs="Arial"/>
                <w:sz w:val="18"/>
                <w:szCs w:val="18"/>
                <w:lang w:val="es-ES_tradnl"/>
              </w:rPr>
              <w:t>76</w:t>
            </w:r>
          </w:p>
        </w:tc>
        <w:tc>
          <w:tcPr>
            <w:tcW w:w="793"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1</w:t>
            </w:r>
            <w:r w:rsidR="002178F3" w:rsidRPr="00C83BDF">
              <w:rPr>
                <w:rFonts w:cs="Arial"/>
                <w:sz w:val="18"/>
                <w:szCs w:val="18"/>
                <w:lang w:val="es-ES_tradnl"/>
              </w:rPr>
              <w:t>4.2</w:t>
            </w:r>
            <w:r w:rsidRPr="00C83BDF">
              <w:rPr>
                <w:rFonts w:cs="Arial"/>
                <w:sz w:val="18"/>
                <w:szCs w:val="18"/>
                <w:lang w:val="es-ES_tradnl"/>
              </w:rPr>
              <w:t>12</w:t>
            </w:r>
          </w:p>
        </w:tc>
        <w:tc>
          <w:tcPr>
            <w:tcW w:w="767"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9</w:t>
            </w:r>
            <w:r w:rsidR="002178F3" w:rsidRPr="00C83BDF">
              <w:rPr>
                <w:rFonts w:cs="Arial"/>
                <w:sz w:val="18"/>
                <w:szCs w:val="18"/>
                <w:lang w:val="es-ES_tradnl"/>
              </w:rPr>
              <w:t>,</w:t>
            </w:r>
            <w:r w:rsidRPr="00C83BDF">
              <w:rPr>
                <w:rFonts w:cs="Arial"/>
                <w:sz w:val="18"/>
                <w:szCs w:val="18"/>
                <w:lang w:val="es-ES_tradnl"/>
              </w:rPr>
              <w:t>36</w:t>
            </w:r>
          </w:p>
        </w:tc>
        <w:tc>
          <w:tcPr>
            <w:tcW w:w="792"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1</w:t>
            </w:r>
            <w:r w:rsidR="002178F3" w:rsidRPr="00C83BDF">
              <w:rPr>
                <w:rFonts w:cs="Arial"/>
                <w:sz w:val="18"/>
                <w:szCs w:val="18"/>
                <w:lang w:val="es-ES_tradnl"/>
              </w:rPr>
              <w:t>0.6</w:t>
            </w:r>
            <w:r w:rsidRPr="00C83BDF">
              <w:rPr>
                <w:rFonts w:cs="Arial"/>
                <w:sz w:val="18"/>
                <w:szCs w:val="18"/>
                <w:lang w:val="es-ES_tradnl"/>
              </w:rPr>
              <w:t>70</w:t>
            </w:r>
          </w:p>
        </w:tc>
        <w:tc>
          <w:tcPr>
            <w:tcW w:w="767"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7</w:t>
            </w:r>
            <w:r w:rsidR="002178F3" w:rsidRPr="00C83BDF">
              <w:rPr>
                <w:rFonts w:cs="Arial"/>
                <w:sz w:val="18"/>
                <w:szCs w:val="18"/>
                <w:lang w:val="es-ES_tradnl"/>
              </w:rPr>
              <w:t>,</w:t>
            </w:r>
            <w:r w:rsidRPr="00C83BDF">
              <w:rPr>
                <w:rFonts w:cs="Arial"/>
                <w:sz w:val="18"/>
                <w:szCs w:val="18"/>
                <w:lang w:val="es-ES_tradnl"/>
              </w:rPr>
              <w:t>60</w:t>
            </w:r>
          </w:p>
        </w:tc>
        <w:tc>
          <w:tcPr>
            <w:tcW w:w="792"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1</w:t>
            </w:r>
            <w:r w:rsidR="005609E5" w:rsidRPr="00C83BDF">
              <w:rPr>
                <w:rFonts w:cs="Arial"/>
                <w:sz w:val="18"/>
                <w:szCs w:val="18"/>
                <w:lang w:val="es-ES_tradnl"/>
              </w:rPr>
              <w:t>1.1</w:t>
            </w:r>
            <w:r w:rsidRPr="00C83BDF">
              <w:rPr>
                <w:rFonts w:cs="Arial"/>
                <w:sz w:val="18"/>
                <w:szCs w:val="18"/>
                <w:lang w:val="es-ES_tradnl"/>
              </w:rPr>
              <w:t>69</w:t>
            </w:r>
          </w:p>
        </w:tc>
        <w:tc>
          <w:tcPr>
            <w:tcW w:w="767"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9</w:t>
            </w:r>
            <w:r w:rsidR="002178F3" w:rsidRPr="00C83BDF">
              <w:rPr>
                <w:rFonts w:cs="Arial"/>
                <w:sz w:val="18"/>
                <w:szCs w:val="18"/>
                <w:lang w:val="es-ES_tradnl"/>
              </w:rPr>
              <w:t>,</w:t>
            </w:r>
            <w:r w:rsidRPr="00C83BDF">
              <w:rPr>
                <w:rFonts w:cs="Arial"/>
                <w:sz w:val="18"/>
                <w:szCs w:val="18"/>
                <w:lang w:val="es-ES_tradnl"/>
              </w:rPr>
              <w:t>39</w:t>
            </w:r>
          </w:p>
        </w:tc>
      </w:tr>
      <w:tr w:rsidR="00E65183" w:rsidRPr="00C83BDF">
        <w:tc>
          <w:tcPr>
            <w:tcW w:w="1559" w:type="dxa"/>
          </w:tcPr>
          <w:p w:rsidR="00E65183" w:rsidRPr="00C83BDF" w:rsidRDefault="00E65183" w:rsidP="006A7447">
            <w:pPr>
              <w:pStyle w:val="ListParagraph"/>
              <w:numPr>
                <w:ilvl w:val="0"/>
                <w:numId w:val="11"/>
              </w:numPr>
              <w:tabs>
                <w:tab w:val="right" w:pos="3720"/>
                <w:tab w:val="left" w:pos="4003"/>
              </w:tabs>
              <w:jc w:val="left"/>
              <w:rPr>
                <w:rFonts w:cs="Arial"/>
                <w:sz w:val="18"/>
                <w:szCs w:val="18"/>
                <w:lang w:val="es-ES_tradnl"/>
              </w:rPr>
            </w:pPr>
            <w:r w:rsidRPr="00C83BDF">
              <w:rPr>
                <w:rFonts w:cs="Arial"/>
                <w:sz w:val="18"/>
                <w:szCs w:val="18"/>
                <w:lang w:val="es-ES_tradnl"/>
              </w:rPr>
              <w:t>es-es</w:t>
            </w:r>
          </w:p>
        </w:tc>
        <w:tc>
          <w:tcPr>
            <w:tcW w:w="817" w:type="dxa"/>
            <w:vAlign w:val="bottom"/>
          </w:tcPr>
          <w:p w:rsidR="00E65183" w:rsidRPr="00C83BDF" w:rsidRDefault="002178F3" w:rsidP="006A7447">
            <w:pPr>
              <w:tabs>
                <w:tab w:val="right" w:pos="3720"/>
                <w:tab w:val="left" w:pos="4003"/>
              </w:tabs>
              <w:jc w:val="center"/>
              <w:rPr>
                <w:rFonts w:cs="Arial"/>
                <w:sz w:val="18"/>
                <w:szCs w:val="18"/>
                <w:lang w:val="es-ES_tradnl"/>
              </w:rPr>
            </w:pPr>
            <w:r w:rsidRPr="00C83BDF">
              <w:rPr>
                <w:rFonts w:cs="Arial"/>
                <w:sz w:val="18"/>
                <w:szCs w:val="18"/>
                <w:lang w:val="es-ES_tradnl"/>
              </w:rPr>
              <w:t>9.1</w:t>
            </w:r>
            <w:r w:rsidR="00E65183" w:rsidRPr="00C83BDF">
              <w:rPr>
                <w:rFonts w:cs="Arial"/>
                <w:sz w:val="18"/>
                <w:szCs w:val="18"/>
                <w:lang w:val="es-ES_tradnl"/>
              </w:rPr>
              <w:t>80</w:t>
            </w:r>
          </w:p>
        </w:tc>
        <w:tc>
          <w:tcPr>
            <w:tcW w:w="817" w:type="dxa"/>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4</w:t>
            </w:r>
            <w:r w:rsidR="002178F3" w:rsidRPr="00C83BDF">
              <w:rPr>
                <w:rFonts w:cs="Arial"/>
                <w:sz w:val="18"/>
                <w:szCs w:val="18"/>
                <w:lang w:val="es-ES_tradnl"/>
              </w:rPr>
              <w:t>,</w:t>
            </w:r>
            <w:r w:rsidRPr="00C83BDF">
              <w:rPr>
                <w:rFonts w:cs="Arial"/>
                <w:sz w:val="18"/>
                <w:szCs w:val="18"/>
                <w:lang w:val="es-ES_tradnl"/>
              </w:rPr>
              <w:t>91</w:t>
            </w:r>
          </w:p>
        </w:tc>
        <w:tc>
          <w:tcPr>
            <w:tcW w:w="867" w:type="dxa"/>
            <w:vAlign w:val="bottom"/>
          </w:tcPr>
          <w:p w:rsidR="00E65183" w:rsidRPr="00C83BDF" w:rsidRDefault="002178F3" w:rsidP="006A7447">
            <w:pPr>
              <w:tabs>
                <w:tab w:val="right" w:pos="3720"/>
                <w:tab w:val="left" w:pos="4003"/>
              </w:tabs>
              <w:jc w:val="center"/>
              <w:rPr>
                <w:rFonts w:cs="Arial"/>
                <w:sz w:val="18"/>
                <w:szCs w:val="18"/>
                <w:lang w:val="es-ES_tradnl"/>
              </w:rPr>
            </w:pPr>
            <w:r w:rsidRPr="00C83BDF">
              <w:rPr>
                <w:rFonts w:cs="Arial"/>
                <w:sz w:val="18"/>
                <w:szCs w:val="18"/>
                <w:lang w:val="es-ES_tradnl"/>
              </w:rPr>
              <w:t>9.2</w:t>
            </w:r>
            <w:r w:rsidR="00E65183" w:rsidRPr="00C83BDF">
              <w:rPr>
                <w:rFonts w:cs="Arial"/>
                <w:sz w:val="18"/>
                <w:szCs w:val="18"/>
                <w:lang w:val="es-ES_tradnl"/>
              </w:rPr>
              <w:t>34</w:t>
            </w:r>
          </w:p>
        </w:tc>
        <w:tc>
          <w:tcPr>
            <w:tcW w:w="767" w:type="dxa"/>
            <w:tcMar>
              <w:top w:w="28" w:type="dxa"/>
              <w:left w:w="57" w:type="dxa"/>
              <w:bottom w:w="28"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5</w:t>
            </w:r>
            <w:r w:rsidR="002178F3" w:rsidRPr="00C83BDF">
              <w:rPr>
                <w:rFonts w:cs="Arial"/>
                <w:sz w:val="18"/>
                <w:szCs w:val="18"/>
                <w:lang w:val="es-ES_tradnl"/>
              </w:rPr>
              <w:t>,</w:t>
            </w:r>
            <w:r w:rsidRPr="00C83BDF">
              <w:rPr>
                <w:rFonts w:cs="Arial"/>
                <w:sz w:val="18"/>
                <w:szCs w:val="18"/>
                <w:lang w:val="es-ES_tradnl"/>
              </w:rPr>
              <w:t>17</w:t>
            </w:r>
          </w:p>
        </w:tc>
        <w:tc>
          <w:tcPr>
            <w:tcW w:w="793" w:type="dxa"/>
            <w:tcMar>
              <w:left w:w="57" w:type="dxa"/>
              <w:right w:w="57" w:type="dxa"/>
            </w:tcMar>
            <w:vAlign w:val="bottom"/>
          </w:tcPr>
          <w:p w:rsidR="00E65183" w:rsidRPr="00C83BDF" w:rsidRDefault="002178F3" w:rsidP="006A7447">
            <w:pPr>
              <w:tabs>
                <w:tab w:val="right" w:pos="3720"/>
                <w:tab w:val="left" w:pos="4003"/>
              </w:tabs>
              <w:jc w:val="center"/>
              <w:rPr>
                <w:rFonts w:cs="Arial"/>
                <w:sz w:val="18"/>
                <w:szCs w:val="18"/>
                <w:lang w:val="es-ES_tradnl"/>
              </w:rPr>
            </w:pPr>
            <w:r w:rsidRPr="00C83BDF">
              <w:rPr>
                <w:rFonts w:cs="Arial"/>
                <w:sz w:val="18"/>
                <w:szCs w:val="18"/>
                <w:lang w:val="es-ES_tradnl"/>
              </w:rPr>
              <w:t>5.6</w:t>
            </w:r>
            <w:r w:rsidR="00E65183" w:rsidRPr="00C83BDF">
              <w:rPr>
                <w:rFonts w:cs="Arial"/>
                <w:sz w:val="18"/>
                <w:szCs w:val="18"/>
                <w:lang w:val="es-ES_tradnl"/>
              </w:rPr>
              <w:t>98</w:t>
            </w:r>
          </w:p>
        </w:tc>
        <w:tc>
          <w:tcPr>
            <w:tcW w:w="767"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3</w:t>
            </w:r>
            <w:r w:rsidR="002178F3" w:rsidRPr="00C83BDF">
              <w:rPr>
                <w:rFonts w:cs="Arial"/>
                <w:sz w:val="18"/>
                <w:szCs w:val="18"/>
                <w:lang w:val="es-ES_tradnl"/>
              </w:rPr>
              <w:t>,</w:t>
            </w:r>
            <w:r w:rsidRPr="00C83BDF">
              <w:rPr>
                <w:rFonts w:cs="Arial"/>
                <w:sz w:val="18"/>
                <w:szCs w:val="18"/>
                <w:lang w:val="es-ES_tradnl"/>
              </w:rPr>
              <w:t>75</w:t>
            </w:r>
          </w:p>
        </w:tc>
        <w:tc>
          <w:tcPr>
            <w:tcW w:w="792" w:type="dxa"/>
            <w:tcMar>
              <w:left w:w="57" w:type="dxa"/>
              <w:right w:w="57" w:type="dxa"/>
            </w:tcMar>
            <w:vAlign w:val="bottom"/>
          </w:tcPr>
          <w:p w:rsidR="00E65183" w:rsidRPr="00C83BDF" w:rsidRDefault="002178F3" w:rsidP="006A7447">
            <w:pPr>
              <w:tabs>
                <w:tab w:val="right" w:pos="3720"/>
                <w:tab w:val="left" w:pos="4003"/>
              </w:tabs>
              <w:jc w:val="center"/>
              <w:rPr>
                <w:rFonts w:cs="Arial"/>
                <w:sz w:val="18"/>
                <w:szCs w:val="18"/>
                <w:lang w:val="es-ES_tradnl"/>
              </w:rPr>
            </w:pPr>
            <w:r w:rsidRPr="00C83BDF">
              <w:rPr>
                <w:rFonts w:cs="Arial"/>
                <w:sz w:val="18"/>
                <w:szCs w:val="18"/>
                <w:lang w:val="es-ES_tradnl"/>
              </w:rPr>
              <w:t>9.1</w:t>
            </w:r>
            <w:r w:rsidR="00E65183" w:rsidRPr="00C83BDF">
              <w:rPr>
                <w:rFonts w:cs="Arial"/>
                <w:sz w:val="18"/>
                <w:szCs w:val="18"/>
                <w:lang w:val="es-ES_tradnl"/>
              </w:rPr>
              <w:t>24</w:t>
            </w:r>
          </w:p>
        </w:tc>
        <w:tc>
          <w:tcPr>
            <w:tcW w:w="767"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6</w:t>
            </w:r>
            <w:r w:rsidR="002178F3" w:rsidRPr="00C83BDF">
              <w:rPr>
                <w:rFonts w:cs="Arial"/>
                <w:sz w:val="18"/>
                <w:szCs w:val="18"/>
                <w:lang w:val="es-ES_tradnl"/>
              </w:rPr>
              <w:t>,</w:t>
            </w:r>
            <w:r w:rsidRPr="00C83BDF">
              <w:rPr>
                <w:rFonts w:cs="Arial"/>
                <w:sz w:val="18"/>
                <w:szCs w:val="18"/>
                <w:lang w:val="es-ES_tradnl"/>
              </w:rPr>
              <w:t>50</w:t>
            </w:r>
          </w:p>
        </w:tc>
        <w:tc>
          <w:tcPr>
            <w:tcW w:w="792" w:type="dxa"/>
            <w:tcMar>
              <w:left w:w="57" w:type="dxa"/>
              <w:right w:w="57" w:type="dxa"/>
            </w:tcMar>
            <w:vAlign w:val="bottom"/>
          </w:tcPr>
          <w:p w:rsidR="00E65183" w:rsidRPr="00C83BDF" w:rsidRDefault="005609E5" w:rsidP="006A7447">
            <w:pPr>
              <w:tabs>
                <w:tab w:val="right" w:pos="3720"/>
                <w:tab w:val="left" w:pos="4003"/>
              </w:tabs>
              <w:jc w:val="center"/>
              <w:rPr>
                <w:rFonts w:cs="Arial"/>
                <w:sz w:val="18"/>
                <w:szCs w:val="18"/>
                <w:lang w:val="es-ES_tradnl"/>
              </w:rPr>
            </w:pPr>
            <w:r w:rsidRPr="00C83BDF">
              <w:rPr>
                <w:rFonts w:cs="Arial"/>
                <w:sz w:val="18"/>
                <w:szCs w:val="18"/>
                <w:lang w:val="es-ES_tradnl"/>
              </w:rPr>
              <w:t>4.1</w:t>
            </w:r>
            <w:r w:rsidR="00E65183" w:rsidRPr="00C83BDF">
              <w:rPr>
                <w:rFonts w:cs="Arial"/>
                <w:sz w:val="18"/>
                <w:szCs w:val="18"/>
                <w:lang w:val="es-ES_tradnl"/>
              </w:rPr>
              <w:t>04</w:t>
            </w:r>
          </w:p>
        </w:tc>
        <w:tc>
          <w:tcPr>
            <w:tcW w:w="767"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3</w:t>
            </w:r>
            <w:r w:rsidR="002178F3" w:rsidRPr="00C83BDF">
              <w:rPr>
                <w:rFonts w:cs="Arial"/>
                <w:sz w:val="18"/>
                <w:szCs w:val="18"/>
                <w:lang w:val="es-ES_tradnl"/>
              </w:rPr>
              <w:t>,</w:t>
            </w:r>
            <w:r w:rsidRPr="00C83BDF">
              <w:rPr>
                <w:rFonts w:cs="Arial"/>
                <w:sz w:val="18"/>
                <w:szCs w:val="18"/>
                <w:lang w:val="es-ES_tradnl"/>
              </w:rPr>
              <w:t>45</w:t>
            </w:r>
          </w:p>
        </w:tc>
      </w:tr>
      <w:tr w:rsidR="00E65183" w:rsidRPr="00C83BDF">
        <w:tc>
          <w:tcPr>
            <w:tcW w:w="1559" w:type="dxa"/>
          </w:tcPr>
          <w:p w:rsidR="00E65183" w:rsidRPr="00C83BDF" w:rsidRDefault="00E65183" w:rsidP="006A7447">
            <w:pPr>
              <w:pStyle w:val="ListParagraph"/>
              <w:numPr>
                <w:ilvl w:val="0"/>
                <w:numId w:val="11"/>
              </w:numPr>
              <w:tabs>
                <w:tab w:val="right" w:pos="3720"/>
                <w:tab w:val="left" w:pos="4003"/>
              </w:tabs>
              <w:jc w:val="left"/>
              <w:rPr>
                <w:rFonts w:cs="Arial"/>
                <w:sz w:val="18"/>
                <w:szCs w:val="18"/>
                <w:lang w:val="es-ES_tradnl"/>
              </w:rPr>
            </w:pPr>
            <w:r w:rsidRPr="00C83BDF">
              <w:rPr>
                <w:rFonts w:cs="Arial"/>
                <w:sz w:val="18"/>
                <w:szCs w:val="18"/>
                <w:lang w:val="es-ES_tradnl"/>
              </w:rPr>
              <w:t>ru</w:t>
            </w:r>
          </w:p>
        </w:tc>
        <w:tc>
          <w:tcPr>
            <w:tcW w:w="817" w:type="dxa"/>
            <w:vAlign w:val="bottom"/>
          </w:tcPr>
          <w:p w:rsidR="00E65183" w:rsidRPr="00C83BDF" w:rsidRDefault="002178F3" w:rsidP="006A7447">
            <w:pPr>
              <w:tabs>
                <w:tab w:val="right" w:pos="3720"/>
                <w:tab w:val="left" w:pos="4003"/>
              </w:tabs>
              <w:jc w:val="center"/>
              <w:rPr>
                <w:rFonts w:cs="Arial"/>
                <w:sz w:val="18"/>
                <w:szCs w:val="18"/>
                <w:lang w:val="es-ES_tradnl"/>
              </w:rPr>
            </w:pPr>
            <w:r w:rsidRPr="00C83BDF">
              <w:rPr>
                <w:rFonts w:cs="Arial"/>
                <w:sz w:val="18"/>
                <w:szCs w:val="18"/>
                <w:lang w:val="es-ES_tradnl"/>
              </w:rPr>
              <w:t>6.8</w:t>
            </w:r>
            <w:r w:rsidR="00E65183" w:rsidRPr="00C83BDF">
              <w:rPr>
                <w:rFonts w:cs="Arial"/>
                <w:sz w:val="18"/>
                <w:szCs w:val="18"/>
                <w:lang w:val="es-ES_tradnl"/>
              </w:rPr>
              <w:t>24</w:t>
            </w:r>
          </w:p>
        </w:tc>
        <w:tc>
          <w:tcPr>
            <w:tcW w:w="817" w:type="dxa"/>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3</w:t>
            </w:r>
            <w:r w:rsidR="002178F3" w:rsidRPr="00C83BDF">
              <w:rPr>
                <w:rFonts w:cs="Arial"/>
                <w:sz w:val="18"/>
                <w:szCs w:val="18"/>
                <w:lang w:val="es-ES_tradnl"/>
              </w:rPr>
              <w:t>,</w:t>
            </w:r>
            <w:r w:rsidRPr="00C83BDF">
              <w:rPr>
                <w:rFonts w:cs="Arial"/>
                <w:sz w:val="18"/>
                <w:szCs w:val="18"/>
                <w:lang w:val="es-ES_tradnl"/>
              </w:rPr>
              <w:t>65</w:t>
            </w:r>
          </w:p>
        </w:tc>
        <w:tc>
          <w:tcPr>
            <w:tcW w:w="867" w:type="dxa"/>
            <w:vAlign w:val="bottom"/>
          </w:tcPr>
          <w:p w:rsidR="00E65183" w:rsidRPr="00C83BDF" w:rsidRDefault="002178F3" w:rsidP="006A7447">
            <w:pPr>
              <w:tabs>
                <w:tab w:val="right" w:pos="3720"/>
                <w:tab w:val="left" w:pos="4003"/>
              </w:tabs>
              <w:jc w:val="center"/>
              <w:rPr>
                <w:rFonts w:cs="Arial"/>
                <w:sz w:val="18"/>
                <w:szCs w:val="18"/>
                <w:lang w:val="es-ES_tradnl"/>
              </w:rPr>
            </w:pPr>
            <w:r w:rsidRPr="00C83BDF">
              <w:rPr>
                <w:rFonts w:cs="Arial"/>
                <w:sz w:val="18"/>
                <w:szCs w:val="18"/>
                <w:lang w:val="es-ES_tradnl"/>
              </w:rPr>
              <w:t>6.5</w:t>
            </w:r>
            <w:r w:rsidR="00E65183" w:rsidRPr="00C83BDF">
              <w:rPr>
                <w:rFonts w:cs="Arial"/>
                <w:sz w:val="18"/>
                <w:szCs w:val="18"/>
                <w:lang w:val="es-ES_tradnl"/>
              </w:rPr>
              <w:t>96</w:t>
            </w:r>
          </w:p>
        </w:tc>
        <w:tc>
          <w:tcPr>
            <w:tcW w:w="767" w:type="dxa"/>
            <w:tcMar>
              <w:top w:w="28" w:type="dxa"/>
              <w:left w:w="57" w:type="dxa"/>
              <w:bottom w:w="28"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3</w:t>
            </w:r>
            <w:r w:rsidR="002178F3" w:rsidRPr="00C83BDF">
              <w:rPr>
                <w:rFonts w:cs="Arial"/>
                <w:sz w:val="18"/>
                <w:szCs w:val="18"/>
                <w:lang w:val="es-ES_tradnl"/>
              </w:rPr>
              <w:t>,</w:t>
            </w:r>
            <w:r w:rsidRPr="00C83BDF">
              <w:rPr>
                <w:rFonts w:cs="Arial"/>
                <w:sz w:val="18"/>
                <w:szCs w:val="18"/>
                <w:lang w:val="es-ES_tradnl"/>
              </w:rPr>
              <w:t>69</w:t>
            </w:r>
          </w:p>
        </w:tc>
        <w:tc>
          <w:tcPr>
            <w:tcW w:w="793" w:type="dxa"/>
            <w:tcMar>
              <w:left w:w="57" w:type="dxa"/>
              <w:right w:w="57" w:type="dxa"/>
            </w:tcMar>
            <w:vAlign w:val="bottom"/>
          </w:tcPr>
          <w:p w:rsidR="00E65183" w:rsidRPr="00C83BDF" w:rsidRDefault="002178F3" w:rsidP="006A7447">
            <w:pPr>
              <w:tabs>
                <w:tab w:val="right" w:pos="3720"/>
                <w:tab w:val="left" w:pos="4003"/>
              </w:tabs>
              <w:jc w:val="center"/>
              <w:rPr>
                <w:rFonts w:cs="Arial"/>
                <w:sz w:val="18"/>
                <w:szCs w:val="18"/>
                <w:lang w:val="es-ES_tradnl"/>
              </w:rPr>
            </w:pPr>
            <w:r w:rsidRPr="00C83BDF">
              <w:rPr>
                <w:rFonts w:cs="Arial"/>
                <w:sz w:val="18"/>
                <w:szCs w:val="18"/>
                <w:lang w:val="es-ES_tradnl"/>
              </w:rPr>
              <w:t>3.6</w:t>
            </w:r>
            <w:r w:rsidR="00E65183" w:rsidRPr="00C83BDF">
              <w:rPr>
                <w:rFonts w:cs="Arial"/>
                <w:sz w:val="18"/>
                <w:szCs w:val="18"/>
                <w:lang w:val="es-ES_tradnl"/>
              </w:rPr>
              <w:t>30</w:t>
            </w:r>
          </w:p>
        </w:tc>
        <w:tc>
          <w:tcPr>
            <w:tcW w:w="767"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2</w:t>
            </w:r>
            <w:r w:rsidR="002178F3" w:rsidRPr="00C83BDF">
              <w:rPr>
                <w:rFonts w:cs="Arial"/>
                <w:sz w:val="18"/>
                <w:szCs w:val="18"/>
                <w:lang w:val="es-ES_tradnl"/>
              </w:rPr>
              <w:t>,</w:t>
            </w:r>
            <w:r w:rsidRPr="00C83BDF">
              <w:rPr>
                <w:rFonts w:cs="Arial"/>
                <w:sz w:val="18"/>
                <w:szCs w:val="18"/>
                <w:lang w:val="es-ES_tradnl"/>
              </w:rPr>
              <w:t>39</w:t>
            </w:r>
          </w:p>
        </w:tc>
        <w:tc>
          <w:tcPr>
            <w:tcW w:w="792" w:type="dxa"/>
            <w:tcMar>
              <w:left w:w="57" w:type="dxa"/>
              <w:right w:w="57" w:type="dxa"/>
            </w:tcMar>
            <w:vAlign w:val="bottom"/>
          </w:tcPr>
          <w:p w:rsidR="00E65183" w:rsidRPr="00C83BDF" w:rsidRDefault="002178F3" w:rsidP="006A7447">
            <w:pPr>
              <w:tabs>
                <w:tab w:val="right" w:pos="3720"/>
                <w:tab w:val="left" w:pos="4003"/>
              </w:tabs>
              <w:jc w:val="center"/>
              <w:rPr>
                <w:rFonts w:cs="Arial"/>
                <w:sz w:val="18"/>
                <w:szCs w:val="18"/>
                <w:lang w:val="es-ES_tradnl"/>
              </w:rPr>
            </w:pPr>
            <w:r w:rsidRPr="00C83BDF">
              <w:rPr>
                <w:rFonts w:cs="Arial"/>
                <w:sz w:val="18"/>
                <w:szCs w:val="18"/>
                <w:lang w:val="es-ES_tradnl"/>
              </w:rPr>
              <w:t>3.1</w:t>
            </w:r>
            <w:r w:rsidR="00E65183" w:rsidRPr="00C83BDF">
              <w:rPr>
                <w:rFonts w:cs="Arial"/>
                <w:sz w:val="18"/>
                <w:szCs w:val="18"/>
                <w:lang w:val="es-ES_tradnl"/>
              </w:rPr>
              <w:t>68</w:t>
            </w:r>
          </w:p>
        </w:tc>
        <w:tc>
          <w:tcPr>
            <w:tcW w:w="767"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2</w:t>
            </w:r>
            <w:r w:rsidR="002178F3" w:rsidRPr="00C83BDF">
              <w:rPr>
                <w:rFonts w:cs="Arial"/>
                <w:sz w:val="18"/>
                <w:szCs w:val="18"/>
                <w:lang w:val="es-ES_tradnl"/>
              </w:rPr>
              <w:t>,</w:t>
            </w:r>
            <w:r w:rsidRPr="00C83BDF">
              <w:rPr>
                <w:rFonts w:cs="Arial"/>
                <w:sz w:val="18"/>
                <w:szCs w:val="18"/>
                <w:lang w:val="es-ES_tradnl"/>
              </w:rPr>
              <w:t>26</w:t>
            </w:r>
          </w:p>
        </w:tc>
        <w:tc>
          <w:tcPr>
            <w:tcW w:w="792" w:type="dxa"/>
            <w:tcMar>
              <w:left w:w="57" w:type="dxa"/>
              <w:right w:w="57" w:type="dxa"/>
            </w:tcMar>
            <w:vAlign w:val="bottom"/>
          </w:tcPr>
          <w:p w:rsidR="00E65183" w:rsidRPr="00C83BDF" w:rsidRDefault="005609E5" w:rsidP="006A7447">
            <w:pPr>
              <w:tabs>
                <w:tab w:val="right" w:pos="3720"/>
                <w:tab w:val="left" w:pos="4003"/>
              </w:tabs>
              <w:jc w:val="center"/>
              <w:rPr>
                <w:rFonts w:cs="Arial"/>
                <w:sz w:val="18"/>
                <w:szCs w:val="18"/>
                <w:lang w:val="es-ES_tradnl"/>
              </w:rPr>
            </w:pPr>
            <w:r w:rsidRPr="00C83BDF">
              <w:rPr>
                <w:rFonts w:cs="Arial"/>
                <w:sz w:val="18"/>
                <w:szCs w:val="18"/>
                <w:lang w:val="es-ES_tradnl"/>
              </w:rPr>
              <w:t>2.5</w:t>
            </w:r>
            <w:r w:rsidR="00E65183" w:rsidRPr="00C83BDF">
              <w:rPr>
                <w:rFonts w:cs="Arial"/>
                <w:sz w:val="18"/>
                <w:szCs w:val="18"/>
                <w:lang w:val="es-ES_tradnl"/>
              </w:rPr>
              <w:t>09</w:t>
            </w:r>
          </w:p>
        </w:tc>
        <w:tc>
          <w:tcPr>
            <w:tcW w:w="767"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2</w:t>
            </w:r>
            <w:r w:rsidR="002178F3" w:rsidRPr="00C83BDF">
              <w:rPr>
                <w:rFonts w:cs="Arial"/>
                <w:sz w:val="18"/>
                <w:szCs w:val="18"/>
                <w:lang w:val="es-ES_tradnl"/>
              </w:rPr>
              <w:t>,</w:t>
            </w:r>
            <w:r w:rsidRPr="00C83BDF">
              <w:rPr>
                <w:rFonts w:cs="Arial"/>
                <w:sz w:val="18"/>
                <w:szCs w:val="18"/>
                <w:lang w:val="es-ES_tradnl"/>
              </w:rPr>
              <w:t>11</w:t>
            </w:r>
          </w:p>
        </w:tc>
      </w:tr>
      <w:tr w:rsidR="00E65183" w:rsidRPr="00C83BDF">
        <w:tc>
          <w:tcPr>
            <w:tcW w:w="1559" w:type="dxa"/>
          </w:tcPr>
          <w:p w:rsidR="00E65183" w:rsidRPr="00C83BDF" w:rsidRDefault="00E65183" w:rsidP="006A7447">
            <w:pPr>
              <w:pStyle w:val="ListParagraph"/>
              <w:numPr>
                <w:ilvl w:val="0"/>
                <w:numId w:val="11"/>
              </w:numPr>
              <w:tabs>
                <w:tab w:val="right" w:pos="3720"/>
                <w:tab w:val="left" w:pos="4003"/>
              </w:tabs>
              <w:jc w:val="left"/>
              <w:rPr>
                <w:rFonts w:cs="Arial"/>
                <w:sz w:val="18"/>
                <w:szCs w:val="18"/>
                <w:lang w:val="es-ES_tradnl"/>
              </w:rPr>
            </w:pPr>
            <w:r w:rsidRPr="00C83BDF">
              <w:rPr>
                <w:rFonts w:cs="Arial"/>
                <w:sz w:val="18"/>
                <w:szCs w:val="18"/>
                <w:lang w:val="es-ES_tradnl"/>
              </w:rPr>
              <w:t>ja</w:t>
            </w:r>
          </w:p>
        </w:tc>
        <w:tc>
          <w:tcPr>
            <w:tcW w:w="817" w:type="dxa"/>
            <w:vAlign w:val="bottom"/>
          </w:tcPr>
          <w:p w:rsidR="00E65183" w:rsidRPr="00C83BDF" w:rsidRDefault="002178F3" w:rsidP="006A7447">
            <w:pPr>
              <w:tabs>
                <w:tab w:val="right" w:pos="3720"/>
                <w:tab w:val="left" w:pos="4003"/>
              </w:tabs>
              <w:jc w:val="center"/>
              <w:rPr>
                <w:rFonts w:cs="Arial"/>
                <w:sz w:val="18"/>
                <w:szCs w:val="18"/>
                <w:lang w:val="es-ES_tradnl"/>
              </w:rPr>
            </w:pPr>
            <w:r w:rsidRPr="00C83BDF">
              <w:rPr>
                <w:rFonts w:cs="Arial"/>
                <w:sz w:val="18"/>
                <w:szCs w:val="18"/>
                <w:lang w:val="es-ES_tradnl"/>
              </w:rPr>
              <w:t>5.7</w:t>
            </w:r>
            <w:r w:rsidR="00E65183" w:rsidRPr="00C83BDF">
              <w:rPr>
                <w:rFonts w:cs="Arial"/>
                <w:sz w:val="18"/>
                <w:szCs w:val="18"/>
                <w:lang w:val="es-ES_tradnl"/>
              </w:rPr>
              <w:t>29</w:t>
            </w:r>
          </w:p>
        </w:tc>
        <w:tc>
          <w:tcPr>
            <w:tcW w:w="817" w:type="dxa"/>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3</w:t>
            </w:r>
            <w:r w:rsidR="002178F3" w:rsidRPr="00C83BDF">
              <w:rPr>
                <w:rFonts w:cs="Arial"/>
                <w:sz w:val="18"/>
                <w:szCs w:val="18"/>
                <w:lang w:val="es-ES_tradnl"/>
              </w:rPr>
              <w:t>,</w:t>
            </w:r>
            <w:r w:rsidRPr="00C83BDF">
              <w:rPr>
                <w:rFonts w:cs="Arial"/>
                <w:sz w:val="18"/>
                <w:szCs w:val="18"/>
                <w:lang w:val="es-ES_tradnl"/>
              </w:rPr>
              <w:t>06</w:t>
            </w:r>
          </w:p>
        </w:tc>
        <w:tc>
          <w:tcPr>
            <w:tcW w:w="867" w:type="dxa"/>
            <w:vAlign w:val="bottom"/>
          </w:tcPr>
          <w:p w:rsidR="00E65183" w:rsidRPr="00C83BDF" w:rsidRDefault="002178F3" w:rsidP="006A7447">
            <w:pPr>
              <w:tabs>
                <w:tab w:val="right" w:pos="3720"/>
                <w:tab w:val="left" w:pos="4003"/>
              </w:tabs>
              <w:jc w:val="center"/>
              <w:rPr>
                <w:rFonts w:cs="Arial"/>
                <w:sz w:val="18"/>
                <w:szCs w:val="18"/>
                <w:lang w:val="es-ES_tradnl"/>
              </w:rPr>
            </w:pPr>
            <w:r w:rsidRPr="00C83BDF">
              <w:rPr>
                <w:rFonts w:cs="Arial"/>
                <w:sz w:val="18"/>
                <w:szCs w:val="18"/>
                <w:lang w:val="es-ES_tradnl"/>
              </w:rPr>
              <w:t>6.4</w:t>
            </w:r>
            <w:r w:rsidR="00E65183" w:rsidRPr="00C83BDF">
              <w:rPr>
                <w:rFonts w:cs="Arial"/>
                <w:sz w:val="18"/>
                <w:szCs w:val="18"/>
                <w:lang w:val="es-ES_tradnl"/>
              </w:rPr>
              <w:t>44</w:t>
            </w:r>
          </w:p>
        </w:tc>
        <w:tc>
          <w:tcPr>
            <w:tcW w:w="767" w:type="dxa"/>
            <w:tcMar>
              <w:top w:w="28" w:type="dxa"/>
              <w:left w:w="57" w:type="dxa"/>
              <w:bottom w:w="28"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3</w:t>
            </w:r>
            <w:r w:rsidR="002178F3" w:rsidRPr="00C83BDF">
              <w:rPr>
                <w:rFonts w:cs="Arial"/>
                <w:sz w:val="18"/>
                <w:szCs w:val="18"/>
                <w:lang w:val="es-ES_tradnl"/>
              </w:rPr>
              <w:t>,</w:t>
            </w:r>
            <w:r w:rsidRPr="00C83BDF">
              <w:rPr>
                <w:rFonts w:cs="Arial"/>
                <w:sz w:val="18"/>
                <w:szCs w:val="18"/>
                <w:lang w:val="es-ES_tradnl"/>
              </w:rPr>
              <w:t>61</w:t>
            </w:r>
          </w:p>
        </w:tc>
        <w:tc>
          <w:tcPr>
            <w:tcW w:w="793" w:type="dxa"/>
            <w:tcMar>
              <w:left w:w="57" w:type="dxa"/>
              <w:right w:w="57" w:type="dxa"/>
            </w:tcMar>
            <w:vAlign w:val="bottom"/>
          </w:tcPr>
          <w:p w:rsidR="00E65183" w:rsidRPr="00C83BDF" w:rsidRDefault="002178F3" w:rsidP="006A7447">
            <w:pPr>
              <w:tabs>
                <w:tab w:val="right" w:pos="3720"/>
                <w:tab w:val="left" w:pos="4003"/>
              </w:tabs>
              <w:jc w:val="center"/>
              <w:rPr>
                <w:rFonts w:cs="Arial"/>
                <w:sz w:val="18"/>
                <w:szCs w:val="18"/>
                <w:lang w:val="es-ES_tradnl"/>
              </w:rPr>
            </w:pPr>
            <w:r w:rsidRPr="00C83BDF">
              <w:rPr>
                <w:rFonts w:cs="Arial"/>
                <w:sz w:val="18"/>
                <w:szCs w:val="18"/>
                <w:lang w:val="es-ES_tradnl"/>
              </w:rPr>
              <w:t>7.5</w:t>
            </w:r>
            <w:r w:rsidR="00E65183" w:rsidRPr="00C83BDF">
              <w:rPr>
                <w:rFonts w:cs="Arial"/>
                <w:sz w:val="18"/>
                <w:szCs w:val="18"/>
                <w:lang w:val="es-ES_tradnl"/>
              </w:rPr>
              <w:t>62</w:t>
            </w:r>
          </w:p>
        </w:tc>
        <w:tc>
          <w:tcPr>
            <w:tcW w:w="767"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4</w:t>
            </w:r>
            <w:r w:rsidR="002178F3" w:rsidRPr="00C83BDF">
              <w:rPr>
                <w:rFonts w:cs="Arial"/>
                <w:sz w:val="18"/>
                <w:szCs w:val="18"/>
                <w:lang w:val="es-ES_tradnl"/>
              </w:rPr>
              <w:t>,</w:t>
            </w:r>
            <w:r w:rsidRPr="00C83BDF">
              <w:rPr>
                <w:rFonts w:cs="Arial"/>
                <w:sz w:val="18"/>
                <w:szCs w:val="18"/>
                <w:lang w:val="es-ES_tradnl"/>
              </w:rPr>
              <w:t>98</w:t>
            </w:r>
          </w:p>
        </w:tc>
        <w:tc>
          <w:tcPr>
            <w:tcW w:w="792" w:type="dxa"/>
            <w:tcMar>
              <w:left w:w="57" w:type="dxa"/>
              <w:right w:w="57" w:type="dxa"/>
            </w:tcMar>
            <w:vAlign w:val="bottom"/>
          </w:tcPr>
          <w:p w:rsidR="00E65183" w:rsidRPr="00C83BDF" w:rsidRDefault="002178F3" w:rsidP="006A7447">
            <w:pPr>
              <w:tabs>
                <w:tab w:val="right" w:pos="3720"/>
                <w:tab w:val="left" w:pos="4003"/>
              </w:tabs>
              <w:jc w:val="center"/>
              <w:rPr>
                <w:rFonts w:cs="Arial"/>
                <w:sz w:val="18"/>
                <w:szCs w:val="18"/>
                <w:lang w:val="es-ES_tradnl"/>
              </w:rPr>
            </w:pPr>
            <w:r w:rsidRPr="00C83BDF">
              <w:rPr>
                <w:rFonts w:cs="Arial"/>
                <w:sz w:val="18"/>
                <w:szCs w:val="18"/>
                <w:lang w:val="es-ES_tradnl"/>
              </w:rPr>
              <w:t>6.3</w:t>
            </w:r>
            <w:r w:rsidR="00E65183" w:rsidRPr="00C83BDF">
              <w:rPr>
                <w:rFonts w:cs="Arial"/>
                <w:sz w:val="18"/>
                <w:szCs w:val="18"/>
                <w:lang w:val="es-ES_tradnl"/>
              </w:rPr>
              <w:t>87</w:t>
            </w:r>
          </w:p>
        </w:tc>
        <w:tc>
          <w:tcPr>
            <w:tcW w:w="767"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4</w:t>
            </w:r>
            <w:r w:rsidR="002178F3" w:rsidRPr="00C83BDF">
              <w:rPr>
                <w:rFonts w:cs="Arial"/>
                <w:sz w:val="18"/>
                <w:szCs w:val="18"/>
                <w:lang w:val="es-ES_tradnl"/>
              </w:rPr>
              <w:t>,</w:t>
            </w:r>
            <w:r w:rsidRPr="00C83BDF">
              <w:rPr>
                <w:rFonts w:cs="Arial"/>
                <w:sz w:val="18"/>
                <w:szCs w:val="18"/>
                <w:lang w:val="es-ES_tradnl"/>
              </w:rPr>
              <w:t>55</w:t>
            </w:r>
          </w:p>
        </w:tc>
        <w:tc>
          <w:tcPr>
            <w:tcW w:w="792" w:type="dxa"/>
            <w:tcMar>
              <w:left w:w="57" w:type="dxa"/>
              <w:right w:w="57" w:type="dxa"/>
            </w:tcMar>
            <w:vAlign w:val="bottom"/>
          </w:tcPr>
          <w:p w:rsidR="00E65183" w:rsidRPr="00C83BDF" w:rsidRDefault="005609E5" w:rsidP="006A7447">
            <w:pPr>
              <w:tabs>
                <w:tab w:val="right" w:pos="3720"/>
                <w:tab w:val="left" w:pos="4003"/>
              </w:tabs>
              <w:jc w:val="center"/>
              <w:rPr>
                <w:rFonts w:cs="Arial"/>
                <w:sz w:val="18"/>
                <w:szCs w:val="18"/>
                <w:lang w:val="es-ES_tradnl"/>
              </w:rPr>
            </w:pPr>
            <w:r w:rsidRPr="00C83BDF">
              <w:rPr>
                <w:rFonts w:cs="Arial"/>
                <w:sz w:val="18"/>
                <w:szCs w:val="18"/>
                <w:lang w:val="es-ES_tradnl"/>
              </w:rPr>
              <w:t>5.3</w:t>
            </w:r>
            <w:r w:rsidR="00E65183" w:rsidRPr="00C83BDF">
              <w:rPr>
                <w:rFonts w:cs="Arial"/>
                <w:sz w:val="18"/>
                <w:szCs w:val="18"/>
                <w:lang w:val="es-ES_tradnl"/>
              </w:rPr>
              <w:t>49</w:t>
            </w:r>
          </w:p>
        </w:tc>
        <w:tc>
          <w:tcPr>
            <w:tcW w:w="767"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4</w:t>
            </w:r>
            <w:r w:rsidR="002178F3" w:rsidRPr="00C83BDF">
              <w:rPr>
                <w:rFonts w:cs="Arial"/>
                <w:sz w:val="18"/>
                <w:szCs w:val="18"/>
                <w:lang w:val="es-ES_tradnl"/>
              </w:rPr>
              <w:t>,</w:t>
            </w:r>
            <w:r w:rsidRPr="00C83BDF">
              <w:rPr>
                <w:rFonts w:cs="Arial"/>
                <w:sz w:val="18"/>
                <w:szCs w:val="18"/>
                <w:lang w:val="es-ES_tradnl"/>
              </w:rPr>
              <w:t>50</w:t>
            </w:r>
          </w:p>
        </w:tc>
      </w:tr>
      <w:tr w:rsidR="00E65183" w:rsidRPr="00C83BDF">
        <w:tc>
          <w:tcPr>
            <w:tcW w:w="1559" w:type="dxa"/>
          </w:tcPr>
          <w:p w:rsidR="00E65183" w:rsidRPr="00C83BDF" w:rsidRDefault="00E65183" w:rsidP="006A7447">
            <w:pPr>
              <w:pStyle w:val="ListParagraph"/>
              <w:numPr>
                <w:ilvl w:val="0"/>
                <w:numId w:val="11"/>
              </w:numPr>
              <w:tabs>
                <w:tab w:val="right" w:pos="3720"/>
                <w:tab w:val="left" w:pos="4003"/>
              </w:tabs>
              <w:jc w:val="left"/>
              <w:rPr>
                <w:rFonts w:cs="Arial"/>
                <w:sz w:val="18"/>
                <w:szCs w:val="18"/>
                <w:lang w:val="es-ES_tradnl"/>
              </w:rPr>
            </w:pPr>
            <w:r w:rsidRPr="00C83BDF">
              <w:rPr>
                <w:rFonts w:cs="Arial"/>
                <w:sz w:val="18"/>
                <w:szCs w:val="18"/>
                <w:lang w:val="es-ES_tradnl"/>
              </w:rPr>
              <w:t>en-gb</w:t>
            </w:r>
          </w:p>
        </w:tc>
        <w:tc>
          <w:tcPr>
            <w:tcW w:w="817" w:type="dxa"/>
            <w:vAlign w:val="bottom"/>
          </w:tcPr>
          <w:p w:rsidR="00E65183" w:rsidRPr="00C83BDF" w:rsidRDefault="002178F3" w:rsidP="006A7447">
            <w:pPr>
              <w:tabs>
                <w:tab w:val="right" w:pos="3720"/>
                <w:tab w:val="left" w:pos="4003"/>
              </w:tabs>
              <w:jc w:val="center"/>
              <w:rPr>
                <w:rFonts w:cs="Arial"/>
                <w:sz w:val="18"/>
                <w:szCs w:val="18"/>
                <w:lang w:val="es-ES_tradnl"/>
              </w:rPr>
            </w:pPr>
            <w:r w:rsidRPr="00C83BDF">
              <w:rPr>
                <w:rFonts w:cs="Arial"/>
                <w:sz w:val="18"/>
                <w:szCs w:val="18"/>
                <w:lang w:val="es-ES_tradnl"/>
              </w:rPr>
              <w:t>4.5</w:t>
            </w:r>
            <w:r w:rsidR="00E65183" w:rsidRPr="00C83BDF">
              <w:rPr>
                <w:rFonts w:cs="Arial"/>
                <w:sz w:val="18"/>
                <w:szCs w:val="18"/>
                <w:lang w:val="es-ES_tradnl"/>
              </w:rPr>
              <w:t>08</w:t>
            </w:r>
          </w:p>
        </w:tc>
        <w:tc>
          <w:tcPr>
            <w:tcW w:w="817" w:type="dxa"/>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2</w:t>
            </w:r>
            <w:r w:rsidR="002178F3" w:rsidRPr="00C83BDF">
              <w:rPr>
                <w:rFonts w:cs="Arial"/>
                <w:sz w:val="18"/>
                <w:szCs w:val="18"/>
                <w:lang w:val="es-ES_tradnl"/>
              </w:rPr>
              <w:t>,</w:t>
            </w:r>
            <w:r w:rsidRPr="00C83BDF">
              <w:rPr>
                <w:rFonts w:cs="Arial"/>
                <w:sz w:val="18"/>
                <w:szCs w:val="18"/>
                <w:lang w:val="es-ES_tradnl"/>
              </w:rPr>
              <w:t>41</w:t>
            </w:r>
          </w:p>
        </w:tc>
        <w:tc>
          <w:tcPr>
            <w:tcW w:w="867" w:type="dxa"/>
            <w:vAlign w:val="bottom"/>
          </w:tcPr>
          <w:p w:rsidR="00E65183" w:rsidRPr="00C83BDF" w:rsidRDefault="002178F3" w:rsidP="006A7447">
            <w:pPr>
              <w:tabs>
                <w:tab w:val="right" w:pos="3720"/>
                <w:tab w:val="left" w:pos="4003"/>
              </w:tabs>
              <w:jc w:val="center"/>
              <w:rPr>
                <w:rFonts w:cs="Arial"/>
                <w:sz w:val="18"/>
                <w:szCs w:val="18"/>
                <w:lang w:val="es-ES_tradnl"/>
              </w:rPr>
            </w:pPr>
            <w:r w:rsidRPr="00C83BDF">
              <w:rPr>
                <w:rFonts w:cs="Arial"/>
                <w:sz w:val="18"/>
                <w:szCs w:val="18"/>
                <w:lang w:val="es-ES_tradnl"/>
              </w:rPr>
              <w:t>3.0</w:t>
            </w:r>
            <w:r w:rsidR="00E65183" w:rsidRPr="00C83BDF">
              <w:rPr>
                <w:rFonts w:cs="Arial"/>
                <w:sz w:val="18"/>
                <w:szCs w:val="18"/>
                <w:lang w:val="es-ES_tradnl"/>
              </w:rPr>
              <w:t>28</w:t>
            </w:r>
          </w:p>
        </w:tc>
        <w:tc>
          <w:tcPr>
            <w:tcW w:w="767" w:type="dxa"/>
            <w:tcMar>
              <w:top w:w="28" w:type="dxa"/>
              <w:left w:w="57" w:type="dxa"/>
              <w:bottom w:w="28"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p>
        </w:tc>
        <w:tc>
          <w:tcPr>
            <w:tcW w:w="793" w:type="dxa"/>
            <w:tcMar>
              <w:left w:w="57" w:type="dxa"/>
              <w:right w:w="57" w:type="dxa"/>
            </w:tcMar>
            <w:vAlign w:val="bottom"/>
          </w:tcPr>
          <w:p w:rsidR="00E65183" w:rsidRPr="00C83BDF" w:rsidRDefault="002178F3" w:rsidP="006A7447">
            <w:pPr>
              <w:tabs>
                <w:tab w:val="right" w:pos="3720"/>
                <w:tab w:val="left" w:pos="4003"/>
              </w:tabs>
              <w:jc w:val="center"/>
              <w:rPr>
                <w:rFonts w:cs="Arial"/>
                <w:sz w:val="18"/>
                <w:szCs w:val="18"/>
                <w:lang w:val="es-ES_tradnl"/>
              </w:rPr>
            </w:pPr>
            <w:r w:rsidRPr="00C83BDF">
              <w:rPr>
                <w:rFonts w:cs="Arial"/>
                <w:sz w:val="18"/>
                <w:szCs w:val="18"/>
                <w:lang w:val="es-ES_tradnl"/>
              </w:rPr>
              <w:t>2.3</w:t>
            </w:r>
            <w:r w:rsidR="00E65183" w:rsidRPr="00C83BDF">
              <w:rPr>
                <w:rFonts w:cs="Arial"/>
                <w:sz w:val="18"/>
                <w:szCs w:val="18"/>
                <w:lang w:val="es-ES_tradnl"/>
              </w:rPr>
              <w:t>71</w:t>
            </w:r>
          </w:p>
        </w:tc>
        <w:tc>
          <w:tcPr>
            <w:tcW w:w="767"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p>
        </w:tc>
        <w:tc>
          <w:tcPr>
            <w:tcW w:w="792" w:type="dxa"/>
            <w:tcMar>
              <w:left w:w="57" w:type="dxa"/>
              <w:right w:w="57" w:type="dxa"/>
            </w:tcMar>
            <w:vAlign w:val="bottom"/>
          </w:tcPr>
          <w:p w:rsidR="00E65183" w:rsidRPr="00C83BDF" w:rsidRDefault="002178F3" w:rsidP="006A7447">
            <w:pPr>
              <w:tabs>
                <w:tab w:val="right" w:pos="3720"/>
                <w:tab w:val="left" w:pos="4003"/>
              </w:tabs>
              <w:jc w:val="center"/>
              <w:rPr>
                <w:rFonts w:cs="Arial"/>
                <w:sz w:val="18"/>
                <w:szCs w:val="18"/>
                <w:lang w:val="es-ES_tradnl"/>
              </w:rPr>
            </w:pPr>
            <w:r w:rsidRPr="00C83BDF">
              <w:rPr>
                <w:rFonts w:cs="Arial"/>
                <w:sz w:val="18"/>
                <w:szCs w:val="18"/>
                <w:lang w:val="es-ES_tradnl"/>
              </w:rPr>
              <w:t>2.0</w:t>
            </w:r>
            <w:r w:rsidR="00E65183" w:rsidRPr="00C83BDF">
              <w:rPr>
                <w:rFonts w:cs="Arial"/>
                <w:sz w:val="18"/>
                <w:szCs w:val="18"/>
                <w:lang w:val="es-ES_tradnl"/>
              </w:rPr>
              <w:t>69</w:t>
            </w:r>
          </w:p>
        </w:tc>
        <w:tc>
          <w:tcPr>
            <w:tcW w:w="767"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p>
        </w:tc>
        <w:tc>
          <w:tcPr>
            <w:tcW w:w="792" w:type="dxa"/>
            <w:tcMar>
              <w:left w:w="57" w:type="dxa"/>
              <w:right w:w="57" w:type="dxa"/>
            </w:tcMar>
            <w:vAlign w:val="bottom"/>
          </w:tcPr>
          <w:p w:rsidR="00E65183" w:rsidRPr="00C83BDF" w:rsidRDefault="005609E5" w:rsidP="006A7447">
            <w:pPr>
              <w:tabs>
                <w:tab w:val="right" w:pos="3720"/>
                <w:tab w:val="left" w:pos="4003"/>
              </w:tabs>
              <w:jc w:val="center"/>
              <w:rPr>
                <w:rFonts w:cs="Arial"/>
                <w:sz w:val="18"/>
                <w:szCs w:val="18"/>
                <w:lang w:val="es-ES_tradnl"/>
              </w:rPr>
            </w:pPr>
            <w:r w:rsidRPr="00C83BDF">
              <w:rPr>
                <w:rFonts w:cs="Arial"/>
                <w:sz w:val="18"/>
                <w:szCs w:val="18"/>
                <w:lang w:val="es-ES_tradnl"/>
              </w:rPr>
              <w:t>1.8</w:t>
            </w:r>
            <w:r w:rsidR="00E65183" w:rsidRPr="00C83BDF">
              <w:rPr>
                <w:rFonts w:cs="Arial"/>
                <w:sz w:val="18"/>
                <w:szCs w:val="18"/>
                <w:lang w:val="es-ES_tradnl"/>
              </w:rPr>
              <w:t>42</w:t>
            </w:r>
          </w:p>
        </w:tc>
        <w:tc>
          <w:tcPr>
            <w:tcW w:w="767"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p>
        </w:tc>
      </w:tr>
      <w:tr w:rsidR="00E65183" w:rsidRPr="00C83BDF">
        <w:tc>
          <w:tcPr>
            <w:tcW w:w="1559" w:type="dxa"/>
          </w:tcPr>
          <w:p w:rsidR="00E65183" w:rsidRPr="00C83BDF" w:rsidRDefault="00E65183" w:rsidP="006A7447">
            <w:pPr>
              <w:pStyle w:val="ListParagraph"/>
              <w:numPr>
                <w:ilvl w:val="0"/>
                <w:numId w:val="11"/>
              </w:numPr>
              <w:tabs>
                <w:tab w:val="right" w:pos="3720"/>
                <w:tab w:val="left" w:pos="4003"/>
              </w:tabs>
              <w:jc w:val="left"/>
              <w:rPr>
                <w:rFonts w:cs="Arial"/>
                <w:sz w:val="18"/>
                <w:szCs w:val="18"/>
                <w:lang w:val="es-ES_tradnl"/>
              </w:rPr>
            </w:pPr>
            <w:r w:rsidRPr="00C83BDF">
              <w:rPr>
                <w:rFonts w:cs="Arial"/>
                <w:sz w:val="18"/>
                <w:szCs w:val="18"/>
                <w:lang w:val="es-ES_tradnl"/>
              </w:rPr>
              <w:t>pt-br</w:t>
            </w:r>
          </w:p>
        </w:tc>
        <w:tc>
          <w:tcPr>
            <w:tcW w:w="817" w:type="dxa"/>
            <w:vAlign w:val="bottom"/>
          </w:tcPr>
          <w:p w:rsidR="00E65183" w:rsidRPr="00C83BDF" w:rsidRDefault="002178F3" w:rsidP="006A7447">
            <w:pPr>
              <w:tabs>
                <w:tab w:val="right" w:pos="3720"/>
                <w:tab w:val="left" w:pos="4003"/>
              </w:tabs>
              <w:jc w:val="center"/>
              <w:rPr>
                <w:rFonts w:cs="Arial"/>
                <w:sz w:val="18"/>
                <w:szCs w:val="18"/>
                <w:lang w:val="es-ES_tradnl"/>
              </w:rPr>
            </w:pPr>
            <w:r w:rsidRPr="00C83BDF">
              <w:rPr>
                <w:rFonts w:cs="Arial"/>
                <w:sz w:val="18"/>
                <w:szCs w:val="18"/>
                <w:lang w:val="es-ES_tradnl"/>
              </w:rPr>
              <w:t>4.3</w:t>
            </w:r>
            <w:r w:rsidR="00E65183" w:rsidRPr="00C83BDF">
              <w:rPr>
                <w:rFonts w:cs="Arial"/>
                <w:sz w:val="18"/>
                <w:szCs w:val="18"/>
                <w:lang w:val="es-ES_tradnl"/>
              </w:rPr>
              <w:t>86</w:t>
            </w:r>
          </w:p>
        </w:tc>
        <w:tc>
          <w:tcPr>
            <w:tcW w:w="817" w:type="dxa"/>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2</w:t>
            </w:r>
            <w:r w:rsidR="002178F3" w:rsidRPr="00C83BDF">
              <w:rPr>
                <w:rFonts w:cs="Arial"/>
                <w:sz w:val="18"/>
                <w:szCs w:val="18"/>
                <w:lang w:val="es-ES_tradnl"/>
              </w:rPr>
              <w:t>,</w:t>
            </w:r>
            <w:r w:rsidRPr="00C83BDF">
              <w:rPr>
                <w:rFonts w:cs="Arial"/>
                <w:sz w:val="18"/>
                <w:szCs w:val="18"/>
                <w:lang w:val="es-ES_tradnl"/>
              </w:rPr>
              <w:t>34</w:t>
            </w:r>
          </w:p>
        </w:tc>
        <w:tc>
          <w:tcPr>
            <w:tcW w:w="867" w:type="dxa"/>
            <w:vAlign w:val="bottom"/>
          </w:tcPr>
          <w:p w:rsidR="00E65183" w:rsidRPr="00C83BDF" w:rsidRDefault="002178F3" w:rsidP="006A7447">
            <w:pPr>
              <w:tabs>
                <w:tab w:val="right" w:pos="3720"/>
                <w:tab w:val="left" w:pos="4003"/>
              </w:tabs>
              <w:jc w:val="center"/>
              <w:rPr>
                <w:rFonts w:cs="Arial"/>
                <w:sz w:val="18"/>
                <w:szCs w:val="18"/>
                <w:lang w:val="es-ES_tradnl"/>
              </w:rPr>
            </w:pPr>
            <w:r w:rsidRPr="00C83BDF">
              <w:rPr>
                <w:rFonts w:cs="Arial"/>
                <w:sz w:val="18"/>
                <w:szCs w:val="18"/>
                <w:lang w:val="es-ES_tradnl"/>
              </w:rPr>
              <w:t>4.0</w:t>
            </w:r>
            <w:r w:rsidR="00E65183" w:rsidRPr="00C83BDF">
              <w:rPr>
                <w:rFonts w:cs="Arial"/>
                <w:sz w:val="18"/>
                <w:szCs w:val="18"/>
                <w:lang w:val="es-ES_tradnl"/>
              </w:rPr>
              <w:t>14</w:t>
            </w:r>
          </w:p>
        </w:tc>
        <w:tc>
          <w:tcPr>
            <w:tcW w:w="767" w:type="dxa"/>
            <w:tcMar>
              <w:top w:w="28" w:type="dxa"/>
              <w:left w:w="57" w:type="dxa"/>
              <w:bottom w:w="28"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2</w:t>
            </w:r>
            <w:r w:rsidR="002178F3" w:rsidRPr="00C83BDF">
              <w:rPr>
                <w:rFonts w:cs="Arial"/>
                <w:sz w:val="18"/>
                <w:szCs w:val="18"/>
                <w:lang w:val="es-ES_tradnl"/>
              </w:rPr>
              <w:t>,</w:t>
            </w:r>
            <w:r w:rsidRPr="00C83BDF">
              <w:rPr>
                <w:rFonts w:cs="Arial"/>
                <w:sz w:val="18"/>
                <w:szCs w:val="18"/>
                <w:lang w:val="es-ES_tradnl"/>
              </w:rPr>
              <w:t>25</w:t>
            </w:r>
          </w:p>
        </w:tc>
        <w:tc>
          <w:tcPr>
            <w:tcW w:w="793" w:type="dxa"/>
            <w:tcMar>
              <w:left w:w="57" w:type="dxa"/>
              <w:right w:w="57" w:type="dxa"/>
            </w:tcMar>
            <w:vAlign w:val="bottom"/>
          </w:tcPr>
          <w:p w:rsidR="00E65183" w:rsidRPr="00C83BDF" w:rsidRDefault="002178F3" w:rsidP="006A7447">
            <w:pPr>
              <w:tabs>
                <w:tab w:val="right" w:pos="3720"/>
                <w:tab w:val="left" w:pos="4003"/>
              </w:tabs>
              <w:jc w:val="center"/>
              <w:rPr>
                <w:rFonts w:cs="Arial"/>
                <w:sz w:val="18"/>
                <w:szCs w:val="18"/>
                <w:lang w:val="es-ES_tradnl"/>
              </w:rPr>
            </w:pPr>
            <w:r w:rsidRPr="00C83BDF">
              <w:rPr>
                <w:rFonts w:cs="Arial"/>
                <w:sz w:val="18"/>
                <w:szCs w:val="18"/>
                <w:lang w:val="es-ES_tradnl"/>
              </w:rPr>
              <w:t>3.1</w:t>
            </w:r>
            <w:r w:rsidR="00E65183" w:rsidRPr="00C83BDF">
              <w:rPr>
                <w:rFonts w:cs="Arial"/>
                <w:sz w:val="18"/>
                <w:szCs w:val="18"/>
                <w:lang w:val="es-ES_tradnl"/>
              </w:rPr>
              <w:t>48</w:t>
            </w:r>
          </w:p>
        </w:tc>
        <w:tc>
          <w:tcPr>
            <w:tcW w:w="767"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p>
        </w:tc>
        <w:tc>
          <w:tcPr>
            <w:tcW w:w="792" w:type="dxa"/>
            <w:tcMar>
              <w:left w:w="57" w:type="dxa"/>
              <w:right w:w="57" w:type="dxa"/>
            </w:tcMar>
            <w:vAlign w:val="bottom"/>
          </w:tcPr>
          <w:p w:rsidR="00E65183" w:rsidRPr="00C83BDF" w:rsidRDefault="002178F3" w:rsidP="006A7447">
            <w:pPr>
              <w:tabs>
                <w:tab w:val="right" w:pos="3720"/>
                <w:tab w:val="left" w:pos="4003"/>
              </w:tabs>
              <w:jc w:val="center"/>
              <w:rPr>
                <w:rFonts w:cs="Arial"/>
                <w:sz w:val="18"/>
                <w:szCs w:val="18"/>
                <w:lang w:val="es-ES_tradnl"/>
              </w:rPr>
            </w:pPr>
            <w:r w:rsidRPr="00C83BDF">
              <w:rPr>
                <w:rFonts w:cs="Arial"/>
                <w:sz w:val="18"/>
                <w:szCs w:val="18"/>
                <w:lang w:val="es-ES_tradnl"/>
              </w:rPr>
              <w:t>2.0</w:t>
            </w:r>
            <w:r w:rsidR="00E65183" w:rsidRPr="00C83BDF">
              <w:rPr>
                <w:rFonts w:cs="Arial"/>
                <w:sz w:val="18"/>
                <w:szCs w:val="18"/>
                <w:lang w:val="es-ES_tradnl"/>
              </w:rPr>
              <w:t>73</w:t>
            </w:r>
          </w:p>
        </w:tc>
        <w:tc>
          <w:tcPr>
            <w:tcW w:w="767"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p>
        </w:tc>
        <w:tc>
          <w:tcPr>
            <w:tcW w:w="792" w:type="dxa"/>
            <w:tcMar>
              <w:left w:w="57" w:type="dxa"/>
              <w:right w:w="57" w:type="dxa"/>
            </w:tcMar>
            <w:vAlign w:val="bottom"/>
          </w:tcPr>
          <w:p w:rsidR="00E65183" w:rsidRPr="00C83BDF" w:rsidRDefault="005609E5" w:rsidP="006A7447">
            <w:pPr>
              <w:tabs>
                <w:tab w:val="right" w:pos="3720"/>
                <w:tab w:val="left" w:pos="4003"/>
              </w:tabs>
              <w:jc w:val="center"/>
              <w:rPr>
                <w:rFonts w:cs="Arial"/>
                <w:sz w:val="18"/>
                <w:szCs w:val="18"/>
                <w:lang w:val="es-ES_tradnl"/>
              </w:rPr>
            </w:pPr>
            <w:r w:rsidRPr="00C83BDF">
              <w:rPr>
                <w:rFonts w:cs="Arial"/>
                <w:sz w:val="18"/>
                <w:szCs w:val="18"/>
                <w:lang w:val="es-ES_tradnl"/>
              </w:rPr>
              <w:t>1.9</w:t>
            </w:r>
            <w:r w:rsidR="00E65183" w:rsidRPr="00C83BDF">
              <w:rPr>
                <w:rFonts w:cs="Arial"/>
                <w:sz w:val="18"/>
                <w:szCs w:val="18"/>
                <w:lang w:val="es-ES_tradnl"/>
              </w:rPr>
              <w:t>07</w:t>
            </w:r>
          </w:p>
        </w:tc>
        <w:tc>
          <w:tcPr>
            <w:tcW w:w="767"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p>
        </w:tc>
      </w:tr>
      <w:tr w:rsidR="00E65183" w:rsidRPr="00C83BDF">
        <w:tc>
          <w:tcPr>
            <w:tcW w:w="1559" w:type="dxa"/>
          </w:tcPr>
          <w:p w:rsidR="00E65183" w:rsidRPr="00C83BDF" w:rsidRDefault="00E65183" w:rsidP="006A7447">
            <w:pPr>
              <w:pStyle w:val="ListParagraph"/>
              <w:numPr>
                <w:ilvl w:val="0"/>
                <w:numId w:val="11"/>
              </w:numPr>
              <w:tabs>
                <w:tab w:val="right" w:pos="3720"/>
                <w:tab w:val="left" w:pos="4003"/>
              </w:tabs>
              <w:jc w:val="left"/>
              <w:rPr>
                <w:rFonts w:cs="Arial"/>
                <w:sz w:val="18"/>
                <w:szCs w:val="18"/>
                <w:lang w:val="es-ES_tradnl"/>
              </w:rPr>
            </w:pPr>
            <w:r w:rsidRPr="00C83BDF">
              <w:rPr>
                <w:rFonts w:cs="Arial"/>
                <w:sz w:val="18"/>
                <w:szCs w:val="18"/>
                <w:lang w:val="es-ES_tradnl"/>
              </w:rPr>
              <w:t>de-de</w:t>
            </w:r>
          </w:p>
        </w:tc>
        <w:tc>
          <w:tcPr>
            <w:tcW w:w="817" w:type="dxa"/>
            <w:vAlign w:val="bottom"/>
          </w:tcPr>
          <w:p w:rsidR="00E65183" w:rsidRPr="00C83BDF" w:rsidRDefault="002178F3" w:rsidP="006A7447">
            <w:pPr>
              <w:tabs>
                <w:tab w:val="right" w:pos="3720"/>
                <w:tab w:val="left" w:pos="4003"/>
              </w:tabs>
              <w:jc w:val="center"/>
              <w:rPr>
                <w:rFonts w:cs="Arial"/>
                <w:sz w:val="18"/>
                <w:szCs w:val="18"/>
                <w:lang w:val="es-ES_tradnl"/>
              </w:rPr>
            </w:pPr>
            <w:r w:rsidRPr="00C83BDF">
              <w:rPr>
                <w:rFonts w:cs="Arial"/>
                <w:sz w:val="18"/>
                <w:szCs w:val="18"/>
                <w:lang w:val="es-ES_tradnl"/>
              </w:rPr>
              <w:t>3.9</w:t>
            </w:r>
            <w:r w:rsidR="00E65183" w:rsidRPr="00C83BDF">
              <w:rPr>
                <w:rFonts w:cs="Arial"/>
                <w:sz w:val="18"/>
                <w:szCs w:val="18"/>
                <w:lang w:val="es-ES_tradnl"/>
              </w:rPr>
              <w:t>93</w:t>
            </w:r>
          </w:p>
        </w:tc>
        <w:tc>
          <w:tcPr>
            <w:tcW w:w="817" w:type="dxa"/>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2</w:t>
            </w:r>
            <w:r w:rsidR="002178F3" w:rsidRPr="00C83BDF">
              <w:rPr>
                <w:rFonts w:cs="Arial"/>
                <w:sz w:val="18"/>
                <w:szCs w:val="18"/>
                <w:lang w:val="es-ES_tradnl"/>
              </w:rPr>
              <w:t>,</w:t>
            </w:r>
            <w:r w:rsidRPr="00C83BDF">
              <w:rPr>
                <w:rFonts w:cs="Arial"/>
                <w:sz w:val="18"/>
                <w:szCs w:val="18"/>
                <w:lang w:val="es-ES_tradnl"/>
              </w:rPr>
              <w:t>13</w:t>
            </w:r>
          </w:p>
        </w:tc>
        <w:tc>
          <w:tcPr>
            <w:tcW w:w="867" w:type="dxa"/>
            <w:vAlign w:val="bottom"/>
          </w:tcPr>
          <w:p w:rsidR="00E65183" w:rsidRPr="00C83BDF" w:rsidRDefault="002178F3" w:rsidP="006A7447">
            <w:pPr>
              <w:tabs>
                <w:tab w:val="right" w:pos="3720"/>
                <w:tab w:val="left" w:pos="4003"/>
              </w:tabs>
              <w:jc w:val="center"/>
              <w:rPr>
                <w:rFonts w:cs="Arial"/>
                <w:sz w:val="18"/>
                <w:szCs w:val="18"/>
                <w:lang w:val="es-ES_tradnl"/>
              </w:rPr>
            </w:pPr>
            <w:r w:rsidRPr="00C83BDF">
              <w:rPr>
                <w:rFonts w:cs="Arial"/>
                <w:sz w:val="18"/>
                <w:szCs w:val="18"/>
                <w:lang w:val="es-ES_tradnl"/>
              </w:rPr>
              <w:t>3.9</w:t>
            </w:r>
            <w:r w:rsidR="00E65183" w:rsidRPr="00C83BDF">
              <w:rPr>
                <w:rFonts w:cs="Arial"/>
                <w:sz w:val="18"/>
                <w:szCs w:val="18"/>
                <w:lang w:val="es-ES_tradnl"/>
              </w:rPr>
              <w:t>98</w:t>
            </w:r>
          </w:p>
        </w:tc>
        <w:tc>
          <w:tcPr>
            <w:tcW w:w="767" w:type="dxa"/>
            <w:tcMar>
              <w:top w:w="28" w:type="dxa"/>
              <w:left w:w="57" w:type="dxa"/>
              <w:bottom w:w="28"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2</w:t>
            </w:r>
            <w:r w:rsidR="002178F3" w:rsidRPr="00C83BDF">
              <w:rPr>
                <w:rFonts w:cs="Arial"/>
                <w:sz w:val="18"/>
                <w:szCs w:val="18"/>
                <w:lang w:val="es-ES_tradnl"/>
              </w:rPr>
              <w:t>,</w:t>
            </w:r>
            <w:r w:rsidRPr="00C83BDF">
              <w:rPr>
                <w:rFonts w:cs="Arial"/>
                <w:sz w:val="18"/>
                <w:szCs w:val="18"/>
                <w:lang w:val="es-ES_tradnl"/>
              </w:rPr>
              <w:t>24</w:t>
            </w:r>
          </w:p>
        </w:tc>
        <w:tc>
          <w:tcPr>
            <w:tcW w:w="793" w:type="dxa"/>
            <w:tcMar>
              <w:left w:w="57" w:type="dxa"/>
              <w:right w:w="57" w:type="dxa"/>
            </w:tcMar>
            <w:vAlign w:val="bottom"/>
          </w:tcPr>
          <w:p w:rsidR="00E65183" w:rsidRPr="00C83BDF" w:rsidRDefault="002178F3" w:rsidP="006A7447">
            <w:pPr>
              <w:tabs>
                <w:tab w:val="right" w:pos="3720"/>
                <w:tab w:val="left" w:pos="4003"/>
              </w:tabs>
              <w:jc w:val="center"/>
              <w:rPr>
                <w:rFonts w:cs="Arial"/>
                <w:sz w:val="18"/>
                <w:szCs w:val="18"/>
                <w:lang w:val="es-ES_tradnl"/>
              </w:rPr>
            </w:pPr>
            <w:r w:rsidRPr="00C83BDF">
              <w:rPr>
                <w:rFonts w:cs="Arial"/>
                <w:sz w:val="18"/>
                <w:szCs w:val="18"/>
                <w:lang w:val="es-ES_tradnl"/>
              </w:rPr>
              <w:t>4.5</w:t>
            </w:r>
            <w:r w:rsidR="00E65183" w:rsidRPr="00C83BDF">
              <w:rPr>
                <w:rFonts w:cs="Arial"/>
                <w:sz w:val="18"/>
                <w:szCs w:val="18"/>
                <w:lang w:val="es-ES_tradnl"/>
              </w:rPr>
              <w:t>62</w:t>
            </w:r>
          </w:p>
        </w:tc>
        <w:tc>
          <w:tcPr>
            <w:tcW w:w="767"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3</w:t>
            </w:r>
            <w:r w:rsidR="002178F3" w:rsidRPr="00C83BDF">
              <w:rPr>
                <w:rFonts w:cs="Arial"/>
                <w:sz w:val="18"/>
                <w:szCs w:val="18"/>
                <w:lang w:val="es-ES_tradnl"/>
              </w:rPr>
              <w:t>,</w:t>
            </w:r>
            <w:r w:rsidRPr="00C83BDF">
              <w:rPr>
                <w:rFonts w:cs="Arial"/>
                <w:sz w:val="18"/>
                <w:szCs w:val="18"/>
                <w:lang w:val="es-ES_tradnl"/>
              </w:rPr>
              <w:t>00</w:t>
            </w:r>
          </w:p>
        </w:tc>
        <w:tc>
          <w:tcPr>
            <w:tcW w:w="792" w:type="dxa"/>
            <w:tcMar>
              <w:left w:w="57" w:type="dxa"/>
              <w:right w:w="57" w:type="dxa"/>
            </w:tcMar>
            <w:vAlign w:val="bottom"/>
          </w:tcPr>
          <w:p w:rsidR="00E65183" w:rsidRPr="00C83BDF" w:rsidRDefault="002178F3" w:rsidP="006A7447">
            <w:pPr>
              <w:tabs>
                <w:tab w:val="right" w:pos="3720"/>
                <w:tab w:val="left" w:pos="4003"/>
              </w:tabs>
              <w:jc w:val="center"/>
              <w:rPr>
                <w:rFonts w:cs="Arial"/>
                <w:sz w:val="18"/>
                <w:szCs w:val="18"/>
                <w:lang w:val="es-ES_tradnl"/>
              </w:rPr>
            </w:pPr>
            <w:r w:rsidRPr="00C83BDF">
              <w:rPr>
                <w:rFonts w:cs="Arial"/>
                <w:sz w:val="18"/>
                <w:szCs w:val="18"/>
                <w:lang w:val="es-ES_tradnl"/>
              </w:rPr>
              <w:t>5.5</w:t>
            </w:r>
            <w:r w:rsidR="00E65183" w:rsidRPr="00C83BDF">
              <w:rPr>
                <w:rFonts w:cs="Arial"/>
                <w:sz w:val="18"/>
                <w:szCs w:val="18"/>
                <w:lang w:val="es-ES_tradnl"/>
              </w:rPr>
              <w:t>77</w:t>
            </w:r>
          </w:p>
        </w:tc>
        <w:tc>
          <w:tcPr>
            <w:tcW w:w="767"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3</w:t>
            </w:r>
            <w:r w:rsidR="002178F3" w:rsidRPr="00C83BDF">
              <w:rPr>
                <w:rFonts w:cs="Arial"/>
                <w:sz w:val="18"/>
                <w:szCs w:val="18"/>
                <w:lang w:val="es-ES_tradnl"/>
              </w:rPr>
              <w:t>,</w:t>
            </w:r>
            <w:r w:rsidRPr="00C83BDF">
              <w:rPr>
                <w:rFonts w:cs="Arial"/>
                <w:sz w:val="18"/>
                <w:szCs w:val="18"/>
                <w:lang w:val="es-ES_tradnl"/>
              </w:rPr>
              <w:t>97</w:t>
            </w:r>
          </w:p>
        </w:tc>
        <w:tc>
          <w:tcPr>
            <w:tcW w:w="792" w:type="dxa"/>
            <w:tcMar>
              <w:left w:w="57" w:type="dxa"/>
              <w:right w:w="57" w:type="dxa"/>
            </w:tcMar>
            <w:vAlign w:val="bottom"/>
          </w:tcPr>
          <w:p w:rsidR="00E65183" w:rsidRPr="00C83BDF" w:rsidRDefault="005609E5" w:rsidP="006A7447">
            <w:pPr>
              <w:tabs>
                <w:tab w:val="right" w:pos="3720"/>
                <w:tab w:val="left" w:pos="4003"/>
              </w:tabs>
              <w:jc w:val="center"/>
              <w:rPr>
                <w:rFonts w:cs="Arial"/>
                <w:sz w:val="18"/>
                <w:szCs w:val="18"/>
                <w:lang w:val="es-ES_tradnl"/>
              </w:rPr>
            </w:pPr>
            <w:r w:rsidRPr="00C83BDF">
              <w:rPr>
                <w:rFonts w:cs="Arial"/>
                <w:sz w:val="18"/>
                <w:szCs w:val="18"/>
                <w:lang w:val="es-ES_tradnl"/>
              </w:rPr>
              <w:t>7.0</w:t>
            </w:r>
            <w:r w:rsidR="00E65183" w:rsidRPr="00C83BDF">
              <w:rPr>
                <w:rFonts w:cs="Arial"/>
                <w:sz w:val="18"/>
                <w:szCs w:val="18"/>
                <w:lang w:val="es-ES_tradnl"/>
              </w:rPr>
              <w:t>68</w:t>
            </w:r>
          </w:p>
        </w:tc>
        <w:tc>
          <w:tcPr>
            <w:tcW w:w="767"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5</w:t>
            </w:r>
            <w:r w:rsidR="002178F3" w:rsidRPr="00C83BDF">
              <w:rPr>
                <w:rFonts w:cs="Arial"/>
                <w:sz w:val="18"/>
                <w:szCs w:val="18"/>
                <w:lang w:val="es-ES_tradnl"/>
              </w:rPr>
              <w:t>,</w:t>
            </w:r>
            <w:r w:rsidRPr="00C83BDF">
              <w:rPr>
                <w:rFonts w:cs="Arial"/>
                <w:sz w:val="18"/>
                <w:szCs w:val="18"/>
                <w:lang w:val="es-ES_tradnl"/>
              </w:rPr>
              <w:t>94</w:t>
            </w:r>
          </w:p>
        </w:tc>
      </w:tr>
      <w:tr w:rsidR="00E65183" w:rsidRPr="00C83BDF">
        <w:tc>
          <w:tcPr>
            <w:tcW w:w="1559" w:type="dxa"/>
          </w:tcPr>
          <w:p w:rsidR="00E65183" w:rsidRPr="00C83BDF" w:rsidRDefault="00E65183" w:rsidP="006A7447">
            <w:pPr>
              <w:pStyle w:val="ListParagraph"/>
              <w:numPr>
                <w:ilvl w:val="0"/>
                <w:numId w:val="11"/>
              </w:numPr>
              <w:tabs>
                <w:tab w:val="right" w:pos="3720"/>
                <w:tab w:val="left" w:pos="4003"/>
              </w:tabs>
              <w:jc w:val="left"/>
              <w:rPr>
                <w:rFonts w:cs="Arial"/>
                <w:sz w:val="18"/>
                <w:szCs w:val="18"/>
                <w:lang w:val="es-ES_tradnl"/>
              </w:rPr>
            </w:pPr>
            <w:r w:rsidRPr="00C83BDF">
              <w:rPr>
                <w:rFonts w:cs="Arial"/>
                <w:sz w:val="18"/>
                <w:szCs w:val="18"/>
                <w:lang w:val="es-ES_tradnl"/>
              </w:rPr>
              <w:t>zh-cn</w:t>
            </w:r>
          </w:p>
        </w:tc>
        <w:tc>
          <w:tcPr>
            <w:tcW w:w="817" w:type="dxa"/>
          </w:tcPr>
          <w:p w:rsidR="00E65183" w:rsidRPr="00C83BDF" w:rsidRDefault="002178F3" w:rsidP="006A7447">
            <w:pPr>
              <w:tabs>
                <w:tab w:val="right" w:pos="3720"/>
                <w:tab w:val="left" w:pos="4003"/>
              </w:tabs>
              <w:jc w:val="center"/>
              <w:rPr>
                <w:rFonts w:cs="Arial"/>
                <w:sz w:val="18"/>
                <w:szCs w:val="18"/>
                <w:lang w:val="es-ES_tradnl"/>
              </w:rPr>
            </w:pPr>
            <w:r w:rsidRPr="00C83BDF">
              <w:rPr>
                <w:rFonts w:cs="Arial"/>
                <w:sz w:val="18"/>
                <w:szCs w:val="18"/>
                <w:lang w:val="es-ES_tradnl"/>
              </w:rPr>
              <w:t>3.6</w:t>
            </w:r>
            <w:r w:rsidR="00E65183" w:rsidRPr="00C83BDF">
              <w:rPr>
                <w:rFonts w:cs="Arial"/>
                <w:sz w:val="18"/>
                <w:szCs w:val="18"/>
                <w:lang w:val="es-ES_tradnl"/>
              </w:rPr>
              <w:t>41</w:t>
            </w:r>
          </w:p>
        </w:tc>
        <w:tc>
          <w:tcPr>
            <w:tcW w:w="817" w:type="dxa"/>
          </w:tcPr>
          <w:p w:rsidR="00E65183" w:rsidRPr="00C83BDF" w:rsidRDefault="00E65183" w:rsidP="006A7447">
            <w:pPr>
              <w:tabs>
                <w:tab w:val="right" w:pos="3720"/>
                <w:tab w:val="left" w:pos="4003"/>
              </w:tabs>
              <w:jc w:val="center"/>
              <w:rPr>
                <w:rFonts w:cs="Arial"/>
                <w:sz w:val="18"/>
                <w:szCs w:val="18"/>
                <w:lang w:val="es-ES_tradnl"/>
              </w:rPr>
            </w:pPr>
            <w:r w:rsidRPr="00C83BDF">
              <w:rPr>
                <w:rFonts w:cs="Arial"/>
                <w:sz w:val="18"/>
                <w:szCs w:val="18"/>
                <w:lang w:val="es-ES_tradnl"/>
              </w:rPr>
              <w:t>1</w:t>
            </w:r>
            <w:r w:rsidR="002178F3" w:rsidRPr="00C83BDF">
              <w:rPr>
                <w:rFonts w:cs="Arial"/>
                <w:sz w:val="18"/>
                <w:szCs w:val="18"/>
                <w:lang w:val="es-ES_tradnl"/>
              </w:rPr>
              <w:t>,</w:t>
            </w:r>
            <w:r w:rsidRPr="00C83BDF">
              <w:rPr>
                <w:rFonts w:cs="Arial"/>
                <w:sz w:val="18"/>
                <w:szCs w:val="18"/>
                <w:lang w:val="es-ES_tradnl"/>
              </w:rPr>
              <w:t>95</w:t>
            </w:r>
          </w:p>
        </w:tc>
        <w:tc>
          <w:tcPr>
            <w:tcW w:w="867" w:type="dxa"/>
            <w:vAlign w:val="bottom"/>
          </w:tcPr>
          <w:p w:rsidR="00E65183" w:rsidRPr="00C83BDF" w:rsidRDefault="002178F3" w:rsidP="006A7447">
            <w:pPr>
              <w:tabs>
                <w:tab w:val="right" w:pos="3720"/>
                <w:tab w:val="left" w:pos="4003"/>
              </w:tabs>
              <w:jc w:val="center"/>
              <w:rPr>
                <w:rFonts w:cs="Arial"/>
                <w:sz w:val="18"/>
                <w:szCs w:val="18"/>
                <w:lang w:val="es-ES_tradnl"/>
              </w:rPr>
            </w:pPr>
            <w:r w:rsidRPr="00C83BDF">
              <w:rPr>
                <w:rFonts w:cs="Arial"/>
                <w:sz w:val="18"/>
                <w:szCs w:val="18"/>
                <w:lang w:val="es-ES_tradnl"/>
              </w:rPr>
              <w:t>3.4</w:t>
            </w:r>
            <w:r w:rsidR="00E65183" w:rsidRPr="00C83BDF">
              <w:rPr>
                <w:rFonts w:cs="Arial"/>
                <w:sz w:val="18"/>
                <w:szCs w:val="18"/>
                <w:lang w:val="es-ES_tradnl"/>
              </w:rPr>
              <w:t>52</w:t>
            </w:r>
          </w:p>
        </w:tc>
        <w:tc>
          <w:tcPr>
            <w:tcW w:w="767" w:type="dxa"/>
            <w:tcMar>
              <w:top w:w="28" w:type="dxa"/>
              <w:left w:w="57" w:type="dxa"/>
              <w:bottom w:w="28"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p>
        </w:tc>
        <w:tc>
          <w:tcPr>
            <w:tcW w:w="793" w:type="dxa"/>
            <w:tcMar>
              <w:left w:w="57" w:type="dxa"/>
              <w:right w:w="57" w:type="dxa"/>
            </w:tcMar>
            <w:vAlign w:val="bottom"/>
          </w:tcPr>
          <w:p w:rsidR="00E65183" w:rsidRPr="00C83BDF" w:rsidRDefault="002178F3" w:rsidP="006A7447">
            <w:pPr>
              <w:tabs>
                <w:tab w:val="right" w:pos="3720"/>
                <w:tab w:val="left" w:pos="4003"/>
              </w:tabs>
              <w:jc w:val="center"/>
              <w:rPr>
                <w:rFonts w:cs="Arial"/>
                <w:sz w:val="18"/>
                <w:szCs w:val="18"/>
                <w:lang w:val="es-ES_tradnl"/>
              </w:rPr>
            </w:pPr>
            <w:r w:rsidRPr="00C83BDF">
              <w:rPr>
                <w:rFonts w:cs="Arial"/>
                <w:sz w:val="18"/>
                <w:szCs w:val="18"/>
                <w:lang w:val="es-ES_tradnl"/>
              </w:rPr>
              <w:t>3.3</w:t>
            </w:r>
            <w:r w:rsidR="00E65183" w:rsidRPr="00C83BDF">
              <w:rPr>
                <w:rFonts w:cs="Arial"/>
                <w:sz w:val="18"/>
                <w:szCs w:val="18"/>
                <w:lang w:val="es-ES_tradnl"/>
              </w:rPr>
              <w:t>50</w:t>
            </w:r>
          </w:p>
        </w:tc>
        <w:tc>
          <w:tcPr>
            <w:tcW w:w="767"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p>
        </w:tc>
        <w:tc>
          <w:tcPr>
            <w:tcW w:w="792" w:type="dxa"/>
            <w:tcMar>
              <w:left w:w="57" w:type="dxa"/>
              <w:right w:w="57" w:type="dxa"/>
            </w:tcMar>
            <w:vAlign w:val="bottom"/>
          </w:tcPr>
          <w:p w:rsidR="00E65183" w:rsidRPr="00C83BDF" w:rsidRDefault="002178F3" w:rsidP="006A7447">
            <w:pPr>
              <w:tabs>
                <w:tab w:val="right" w:pos="3720"/>
                <w:tab w:val="left" w:pos="4003"/>
              </w:tabs>
              <w:jc w:val="center"/>
              <w:rPr>
                <w:rFonts w:cs="Arial"/>
                <w:sz w:val="18"/>
                <w:szCs w:val="18"/>
                <w:lang w:val="es-ES_tradnl"/>
              </w:rPr>
            </w:pPr>
            <w:r w:rsidRPr="00C83BDF">
              <w:rPr>
                <w:rFonts w:cs="Arial"/>
                <w:sz w:val="18"/>
                <w:szCs w:val="18"/>
                <w:lang w:val="es-ES_tradnl"/>
              </w:rPr>
              <w:t>3.3</w:t>
            </w:r>
            <w:r w:rsidR="00E65183" w:rsidRPr="00C83BDF">
              <w:rPr>
                <w:rFonts w:cs="Arial"/>
                <w:sz w:val="18"/>
                <w:szCs w:val="18"/>
                <w:lang w:val="es-ES_tradnl"/>
              </w:rPr>
              <w:t>24</w:t>
            </w:r>
          </w:p>
        </w:tc>
        <w:tc>
          <w:tcPr>
            <w:tcW w:w="767"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p>
        </w:tc>
        <w:tc>
          <w:tcPr>
            <w:tcW w:w="792" w:type="dxa"/>
            <w:tcMar>
              <w:left w:w="57" w:type="dxa"/>
              <w:right w:w="57" w:type="dxa"/>
            </w:tcMar>
            <w:vAlign w:val="bottom"/>
          </w:tcPr>
          <w:p w:rsidR="00E65183" w:rsidRPr="00C83BDF" w:rsidRDefault="005609E5" w:rsidP="006A7447">
            <w:pPr>
              <w:tabs>
                <w:tab w:val="right" w:pos="3720"/>
                <w:tab w:val="left" w:pos="4003"/>
              </w:tabs>
              <w:jc w:val="center"/>
              <w:rPr>
                <w:rFonts w:cs="Arial"/>
                <w:sz w:val="18"/>
                <w:szCs w:val="18"/>
                <w:lang w:val="es-ES_tradnl"/>
              </w:rPr>
            </w:pPr>
            <w:r w:rsidRPr="00C83BDF">
              <w:rPr>
                <w:rFonts w:cs="Arial"/>
                <w:sz w:val="18"/>
                <w:szCs w:val="18"/>
                <w:lang w:val="es-ES_tradnl"/>
              </w:rPr>
              <w:t>2.7</w:t>
            </w:r>
            <w:r w:rsidR="00E65183" w:rsidRPr="00C83BDF">
              <w:rPr>
                <w:rFonts w:cs="Arial"/>
                <w:sz w:val="18"/>
                <w:szCs w:val="18"/>
                <w:lang w:val="es-ES_tradnl"/>
              </w:rPr>
              <w:t>49</w:t>
            </w:r>
          </w:p>
        </w:tc>
        <w:tc>
          <w:tcPr>
            <w:tcW w:w="767" w:type="dxa"/>
            <w:tcMar>
              <w:left w:w="57" w:type="dxa"/>
              <w:right w:w="57" w:type="dxa"/>
            </w:tcMar>
            <w:vAlign w:val="bottom"/>
          </w:tcPr>
          <w:p w:rsidR="00E65183" w:rsidRPr="00C83BDF" w:rsidRDefault="00E65183" w:rsidP="006A7447">
            <w:pPr>
              <w:tabs>
                <w:tab w:val="right" w:pos="3720"/>
                <w:tab w:val="left" w:pos="4003"/>
              </w:tabs>
              <w:jc w:val="center"/>
              <w:rPr>
                <w:rFonts w:cs="Arial"/>
                <w:sz w:val="18"/>
                <w:szCs w:val="18"/>
                <w:lang w:val="es-ES_tradnl"/>
              </w:rPr>
            </w:pPr>
          </w:p>
        </w:tc>
      </w:tr>
    </w:tbl>
    <w:p w:rsidR="00E65183" w:rsidRPr="00C83BDF" w:rsidRDefault="00E65183" w:rsidP="00E65183">
      <w:pPr>
        <w:tabs>
          <w:tab w:val="left" w:pos="795"/>
        </w:tabs>
        <w:ind w:left="142"/>
        <w:jc w:val="left"/>
        <w:rPr>
          <w:sz w:val="18"/>
          <w:szCs w:val="18"/>
          <w:lang w:val="es-ES_tradnl"/>
        </w:rPr>
      </w:pPr>
    </w:p>
    <w:p w:rsidR="00E65183" w:rsidRPr="00C83BDF" w:rsidRDefault="00E65183" w:rsidP="00E65183">
      <w:pPr>
        <w:ind w:left="142"/>
        <w:jc w:val="left"/>
        <w:rPr>
          <w:sz w:val="16"/>
          <w:lang w:val="es-ES_tradnl"/>
        </w:rPr>
      </w:pPr>
      <w:r w:rsidRPr="00C83BDF">
        <w:rPr>
          <w:sz w:val="16"/>
          <w:lang w:val="es-ES_tradnl"/>
        </w:rPr>
        <w:t>1. en-us</w:t>
      </w:r>
      <w:r w:rsidR="00D45746" w:rsidRPr="00C83BDF">
        <w:rPr>
          <w:sz w:val="16"/>
          <w:lang w:val="es-ES_tradnl"/>
        </w:rPr>
        <w:t xml:space="preserve">:  </w:t>
      </w:r>
      <w:r w:rsidR="009B3170" w:rsidRPr="00C83BDF">
        <w:rPr>
          <w:sz w:val="16"/>
          <w:lang w:val="es-ES_tradnl"/>
        </w:rPr>
        <w:t>inglés (EE. UU.);</w:t>
      </w:r>
      <w:r w:rsidR="005609E5" w:rsidRPr="00C83BDF">
        <w:rPr>
          <w:sz w:val="16"/>
          <w:lang w:val="es-ES_tradnl"/>
        </w:rPr>
        <w:t xml:space="preserve">  </w:t>
      </w:r>
      <w:r w:rsidR="00D94EA2" w:rsidRPr="00C83BDF">
        <w:rPr>
          <w:sz w:val="16"/>
          <w:lang w:val="es-ES_tradnl"/>
        </w:rPr>
        <w:t>2</w:t>
      </w:r>
      <w:r w:rsidRPr="00C83BDF">
        <w:rPr>
          <w:sz w:val="16"/>
          <w:lang w:val="es-ES_tradnl"/>
        </w:rPr>
        <w:t>. es</w:t>
      </w:r>
      <w:r w:rsidR="00D45746" w:rsidRPr="00C83BDF">
        <w:rPr>
          <w:sz w:val="16"/>
          <w:lang w:val="es-ES_tradnl"/>
        </w:rPr>
        <w:t xml:space="preserve">:  </w:t>
      </w:r>
      <w:r w:rsidR="009B3170" w:rsidRPr="00C83BDF">
        <w:rPr>
          <w:sz w:val="16"/>
          <w:lang w:val="es-ES_tradnl"/>
        </w:rPr>
        <w:t>español;</w:t>
      </w:r>
      <w:r w:rsidR="005609E5" w:rsidRPr="00C83BDF">
        <w:rPr>
          <w:sz w:val="16"/>
          <w:lang w:val="es-ES_tradnl"/>
        </w:rPr>
        <w:t xml:space="preserve">  </w:t>
      </w:r>
      <w:r w:rsidR="00D94EA2" w:rsidRPr="00C83BDF">
        <w:rPr>
          <w:sz w:val="16"/>
          <w:lang w:val="es-ES_tradnl"/>
        </w:rPr>
        <w:t>3</w:t>
      </w:r>
      <w:r w:rsidRPr="00C83BDF">
        <w:rPr>
          <w:sz w:val="16"/>
          <w:lang w:val="es-ES_tradnl"/>
        </w:rPr>
        <w:t>. fr</w:t>
      </w:r>
      <w:r w:rsidR="00D45746" w:rsidRPr="00C83BDF">
        <w:rPr>
          <w:sz w:val="16"/>
          <w:lang w:val="es-ES_tradnl"/>
        </w:rPr>
        <w:t xml:space="preserve">:  </w:t>
      </w:r>
      <w:r w:rsidR="009B3170" w:rsidRPr="00C83BDF">
        <w:rPr>
          <w:sz w:val="16"/>
          <w:lang w:val="es-ES_tradnl"/>
        </w:rPr>
        <w:t>francés;</w:t>
      </w:r>
      <w:r w:rsidR="005609E5" w:rsidRPr="00C83BDF">
        <w:rPr>
          <w:sz w:val="16"/>
          <w:lang w:val="es-ES_tradnl"/>
        </w:rPr>
        <w:t xml:space="preserve">  </w:t>
      </w:r>
      <w:r w:rsidR="00D94EA2" w:rsidRPr="00C83BDF">
        <w:rPr>
          <w:sz w:val="16"/>
          <w:lang w:val="es-ES_tradnl"/>
        </w:rPr>
        <w:t>4</w:t>
      </w:r>
      <w:r w:rsidRPr="00C83BDF">
        <w:rPr>
          <w:sz w:val="16"/>
          <w:lang w:val="es-ES_tradnl"/>
        </w:rPr>
        <w:t>. es-es</w:t>
      </w:r>
      <w:r w:rsidR="00D45746" w:rsidRPr="00C83BDF">
        <w:rPr>
          <w:sz w:val="16"/>
          <w:lang w:val="es-ES_tradnl"/>
        </w:rPr>
        <w:t xml:space="preserve">:  </w:t>
      </w:r>
      <w:r w:rsidR="009B3170" w:rsidRPr="00C83BDF">
        <w:rPr>
          <w:sz w:val="16"/>
          <w:lang w:val="es-ES_tradnl"/>
        </w:rPr>
        <w:t>español (España);</w:t>
      </w:r>
      <w:r w:rsidR="005609E5" w:rsidRPr="00C83BDF">
        <w:rPr>
          <w:sz w:val="16"/>
          <w:lang w:val="es-ES_tradnl"/>
        </w:rPr>
        <w:t xml:space="preserve">  </w:t>
      </w:r>
      <w:r w:rsidR="00D94EA2" w:rsidRPr="00C83BDF">
        <w:rPr>
          <w:sz w:val="16"/>
          <w:lang w:val="es-ES_tradnl"/>
        </w:rPr>
        <w:t>5</w:t>
      </w:r>
      <w:r w:rsidRPr="00C83BDF">
        <w:rPr>
          <w:sz w:val="16"/>
          <w:lang w:val="es-ES_tradnl"/>
        </w:rPr>
        <w:t>. ru</w:t>
      </w:r>
      <w:r w:rsidR="00D45746" w:rsidRPr="00C83BDF">
        <w:rPr>
          <w:sz w:val="16"/>
          <w:lang w:val="es-ES_tradnl"/>
        </w:rPr>
        <w:t xml:space="preserve">:  </w:t>
      </w:r>
      <w:r w:rsidR="009B3170" w:rsidRPr="00C83BDF">
        <w:rPr>
          <w:sz w:val="16"/>
          <w:lang w:val="es-ES_tradnl"/>
        </w:rPr>
        <w:t>ruso;</w:t>
      </w:r>
      <w:r w:rsidR="005609E5" w:rsidRPr="00C83BDF">
        <w:rPr>
          <w:sz w:val="16"/>
          <w:lang w:val="es-ES_tradnl"/>
        </w:rPr>
        <w:t xml:space="preserve">  </w:t>
      </w:r>
      <w:r w:rsidR="00D94EA2" w:rsidRPr="00C83BDF">
        <w:rPr>
          <w:sz w:val="16"/>
          <w:lang w:val="es-ES_tradnl"/>
        </w:rPr>
        <w:t>6</w:t>
      </w:r>
      <w:r w:rsidRPr="00C83BDF">
        <w:rPr>
          <w:sz w:val="16"/>
          <w:lang w:val="es-ES_tradnl"/>
        </w:rPr>
        <w:t>. ja</w:t>
      </w:r>
      <w:r w:rsidR="00D45746" w:rsidRPr="00C83BDF">
        <w:rPr>
          <w:sz w:val="16"/>
          <w:lang w:val="es-ES_tradnl"/>
        </w:rPr>
        <w:t xml:space="preserve">:  </w:t>
      </w:r>
      <w:r w:rsidR="009B3170" w:rsidRPr="00C83BDF">
        <w:rPr>
          <w:sz w:val="16"/>
          <w:lang w:val="es-ES_tradnl"/>
        </w:rPr>
        <w:t>japonés;</w:t>
      </w:r>
      <w:r w:rsidR="005609E5" w:rsidRPr="00C83BDF">
        <w:rPr>
          <w:sz w:val="16"/>
          <w:lang w:val="es-ES_tradnl"/>
        </w:rPr>
        <w:t xml:space="preserve">  </w:t>
      </w:r>
      <w:r w:rsidRPr="00C83BDF">
        <w:rPr>
          <w:sz w:val="16"/>
          <w:lang w:val="es-ES_tradnl"/>
        </w:rPr>
        <w:br/>
        <w:t>7. en-gb</w:t>
      </w:r>
      <w:r w:rsidR="00D45746" w:rsidRPr="00C83BDF">
        <w:rPr>
          <w:sz w:val="16"/>
          <w:lang w:val="es-ES_tradnl"/>
        </w:rPr>
        <w:t xml:space="preserve">:  </w:t>
      </w:r>
      <w:r w:rsidR="009B3170" w:rsidRPr="00C83BDF">
        <w:rPr>
          <w:sz w:val="16"/>
          <w:lang w:val="es-ES_tradnl"/>
        </w:rPr>
        <w:t>inglés (Reino Unido);</w:t>
      </w:r>
      <w:r w:rsidR="005609E5" w:rsidRPr="00C83BDF">
        <w:rPr>
          <w:sz w:val="16"/>
          <w:lang w:val="es-ES_tradnl"/>
        </w:rPr>
        <w:t xml:space="preserve">  </w:t>
      </w:r>
      <w:r w:rsidR="00D94EA2" w:rsidRPr="00C83BDF">
        <w:rPr>
          <w:sz w:val="16"/>
          <w:lang w:val="es-ES_tradnl"/>
        </w:rPr>
        <w:t>8</w:t>
      </w:r>
      <w:r w:rsidRPr="00C83BDF">
        <w:rPr>
          <w:sz w:val="16"/>
          <w:lang w:val="es-ES_tradnl"/>
        </w:rPr>
        <w:t>. pt-br</w:t>
      </w:r>
      <w:r w:rsidR="00D45746" w:rsidRPr="00C83BDF">
        <w:rPr>
          <w:sz w:val="16"/>
          <w:lang w:val="es-ES_tradnl"/>
        </w:rPr>
        <w:t xml:space="preserve">:  </w:t>
      </w:r>
      <w:r w:rsidR="009B3170" w:rsidRPr="00C83BDF">
        <w:rPr>
          <w:sz w:val="16"/>
          <w:lang w:val="es-ES_tradnl"/>
        </w:rPr>
        <w:t>portugués (Brasil);</w:t>
      </w:r>
      <w:r w:rsidR="005609E5" w:rsidRPr="00C83BDF">
        <w:rPr>
          <w:sz w:val="16"/>
          <w:lang w:val="es-ES_tradnl"/>
        </w:rPr>
        <w:t xml:space="preserve">  </w:t>
      </w:r>
      <w:r w:rsidR="00D94EA2" w:rsidRPr="00C83BDF">
        <w:rPr>
          <w:sz w:val="16"/>
          <w:lang w:val="es-ES_tradnl"/>
        </w:rPr>
        <w:t>9</w:t>
      </w:r>
      <w:r w:rsidRPr="00C83BDF">
        <w:rPr>
          <w:sz w:val="16"/>
          <w:lang w:val="es-ES_tradnl"/>
        </w:rPr>
        <w:t>. de-de</w:t>
      </w:r>
      <w:r w:rsidR="00D45746" w:rsidRPr="00C83BDF">
        <w:rPr>
          <w:sz w:val="16"/>
          <w:lang w:val="es-ES_tradnl"/>
        </w:rPr>
        <w:t xml:space="preserve">:  </w:t>
      </w:r>
      <w:r w:rsidR="009B3170" w:rsidRPr="00C83BDF">
        <w:rPr>
          <w:sz w:val="16"/>
          <w:lang w:val="es-ES_tradnl"/>
        </w:rPr>
        <w:t>alemán (Alemania);</w:t>
      </w:r>
      <w:r w:rsidR="005609E5" w:rsidRPr="00C83BDF">
        <w:rPr>
          <w:sz w:val="16"/>
          <w:lang w:val="es-ES_tradnl"/>
        </w:rPr>
        <w:t xml:space="preserve">  </w:t>
      </w:r>
      <w:r w:rsidR="00D94EA2" w:rsidRPr="00C83BDF">
        <w:rPr>
          <w:sz w:val="16"/>
          <w:lang w:val="es-ES_tradnl"/>
        </w:rPr>
        <w:t>1</w:t>
      </w:r>
      <w:r w:rsidRPr="00C83BDF">
        <w:rPr>
          <w:sz w:val="16"/>
          <w:lang w:val="es-ES_tradnl"/>
        </w:rPr>
        <w:t>0. zh-cn</w:t>
      </w:r>
      <w:r w:rsidR="00D45746" w:rsidRPr="00C83BDF">
        <w:rPr>
          <w:sz w:val="16"/>
          <w:lang w:val="es-ES_tradnl"/>
        </w:rPr>
        <w:t xml:space="preserve">:  </w:t>
      </w:r>
      <w:r w:rsidR="009B3170" w:rsidRPr="00C83BDF">
        <w:rPr>
          <w:sz w:val="16"/>
          <w:lang w:val="es-ES_tradnl"/>
        </w:rPr>
        <w:t>chino (China continental)</w:t>
      </w:r>
    </w:p>
    <w:p w:rsidR="00E65183" w:rsidRPr="00C83BDF" w:rsidRDefault="00E65183" w:rsidP="00E65183">
      <w:pPr>
        <w:jc w:val="left"/>
        <w:rPr>
          <w:sz w:val="18"/>
          <w:lang w:val="es-ES_tradnl"/>
        </w:rPr>
      </w:pPr>
    </w:p>
    <w:p w:rsidR="00E65183" w:rsidRPr="00C83BDF" w:rsidRDefault="00E65183" w:rsidP="00E65183">
      <w:pPr>
        <w:jc w:val="left"/>
        <w:rPr>
          <w:sz w:val="18"/>
          <w:lang w:val="es-ES_tradnl"/>
        </w:rPr>
      </w:pPr>
    </w:p>
    <w:p w:rsidR="00E65183" w:rsidRPr="00C83BDF" w:rsidRDefault="00E65183" w:rsidP="00E65183">
      <w:pPr>
        <w:jc w:val="left"/>
        <w:rPr>
          <w:sz w:val="18"/>
          <w:szCs w:val="18"/>
          <w:lang w:val="es-ES_tradnl"/>
        </w:rPr>
      </w:pPr>
    </w:p>
    <w:tbl>
      <w:tblPr>
        <w:tblW w:w="9889" w:type="dxa"/>
        <w:tblLayout w:type="fixed"/>
        <w:tblLook w:val="0000" w:firstRow="0" w:lastRow="0" w:firstColumn="0" w:lastColumn="0" w:noHBand="0" w:noVBand="0"/>
      </w:tblPr>
      <w:tblGrid>
        <w:gridCol w:w="1809"/>
        <w:gridCol w:w="8080"/>
      </w:tblGrid>
      <w:tr w:rsidR="00E65183" w:rsidRPr="00C83BDF">
        <w:tc>
          <w:tcPr>
            <w:tcW w:w="1809" w:type="dxa"/>
          </w:tcPr>
          <w:p w:rsidR="00E65183" w:rsidRPr="00C83BDF" w:rsidRDefault="00E65183" w:rsidP="004737CD">
            <w:pPr>
              <w:pStyle w:val="Heading6"/>
              <w:rPr>
                <w:lang w:val="es-ES_tradnl"/>
              </w:rPr>
            </w:pPr>
            <w:bookmarkStart w:id="129" w:name="_Toc336339259"/>
            <w:bookmarkStart w:id="130" w:name="_Toc431824306"/>
            <w:r w:rsidRPr="00C83BDF">
              <w:rPr>
                <w:lang w:val="es-ES_tradnl"/>
              </w:rPr>
              <w:t>2.  </w:t>
            </w:r>
            <w:bookmarkEnd w:id="129"/>
            <w:r w:rsidR="009B3170" w:rsidRPr="00C83BDF">
              <w:rPr>
                <w:lang w:val="es-ES_tradnl"/>
              </w:rPr>
              <w:t>Suministro de información a otras organizaciones</w:t>
            </w:r>
            <w:bookmarkEnd w:id="130"/>
          </w:p>
        </w:tc>
        <w:tc>
          <w:tcPr>
            <w:tcW w:w="8080" w:type="dxa"/>
          </w:tcPr>
          <w:p w:rsidR="00E65183" w:rsidRPr="00C83BDF" w:rsidRDefault="009B3170" w:rsidP="000F5BBB">
            <w:pPr>
              <w:pStyle w:val="Heading8"/>
              <w:rPr>
                <w:szCs w:val="18"/>
                <w:lang w:val="es-ES_tradnl"/>
              </w:rPr>
            </w:pPr>
            <w:bookmarkStart w:id="131" w:name="_Toc336339260"/>
            <w:bookmarkStart w:id="132" w:name="_Toc336613862"/>
            <w:bookmarkStart w:id="133" w:name="_Toc431824307"/>
            <w:r w:rsidRPr="00C83BDF">
              <w:rPr>
                <w:szCs w:val="18"/>
                <w:lang w:val="es-ES_tradnl"/>
              </w:rPr>
              <w:t>Participación en reuniones o actividades con organizaciones pertinentes</w:t>
            </w:r>
            <w:bookmarkEnd w:id="133"/>
          </w:p>
          <w:bookmarkEnd w:id="131"/>
          <w:bookmarkEnd w:id="132"/>
          <w:p w:rsidR="00E65183" w:rsidRPr="00C83BDF" w:rsidRDefault="00E65183" w:rsidP="004737CD">
            <w:pPr>
              <w:ind w:left="318" w:hanging="318"/>
              <w:jc w:val="left"/>
              <w:rPr>
                <w:sz w:val="18"/>
                <w:szCs w:val="18"/>
                <w:lang w:val="es-ES_tradnl"/>
              </w:rPr>
            </w:pPr>
            <w:r w:rsidRPr="00C83BDF">
              <w:rPr>
                <w:sz w:val="18"/>
                <w:szCs w:val="18"/>
                <w:lang w:val="es-ES_tradnl"/>
              </w:rPr>
              <w:t>1.</w:t>
            </w:r>
            <w:r w:rsidRPr="00C83BDF">
              <w:rPr>
                <w:sz w:val="18"/>
                <w:szCs w:val="18"/>
                <w:lang w:val="es-ES_tradnl"/>
              </w:rPr>
              <w:tab/>
            </w:r>
            <w:r w:rsidR="009B3170" w:rsidRPr="00C83BDF">
              <w:rPr>
                <w:sz w:val="18"/>
                <w:szCs w:val="18"/>
                <w:lang w:val="es-ES_tradnl"/>
              </w:rPr>
              <w:t>Organizaciones intergubernamentales:</w:t>
            </w:r>
            <w:r w:rsidRPr="00C83BDF">
              <w:rPr>
                <w:sz w:val="18"/>
                <w:szCs w:val="18"/>
                <w:lang w:val="es-ES_tradnl"/>
              </w:rPr>
              <w:t xml:space="preserve">  </w:t>
            </w:r>
            <w:r w:rsidRPr="00C83BDF">
              <w:rPr>
                <w:sz w:val="18"/>
                <w:szCs w:val="18"/>
                <w:lang w:val="es-ES_tradnl"/>
              </w:rPr>
              <w:br/>
            </w:r>
            <w:r w:rsidR="009B3170" w:rsidRPr="00C83BDF">
              <w:rPr>
                <w:sz w:val="18"/>
                <w:szCs w:val="18"/>
                <w:lang w:val="es-ES_tradnl"/>
              </w:rPr>
              <w:t>ARIPO, FAO, ISTA, OAPI, OCDE, OIF, OMC, OMPI y Unión Europea (OCVV).</w:t>
            </w:r>
          </w:p>
          <w:p w:rsidR="00E65183" w:rsidRPr="00C83BDF" w:rsidRDefault="00E65183" w:rsidP="004737CD">
            <w:pPr>
              <w:jc w:val="left"/>
              <w:rPr>
                <w:sz w:val="18"/>
                <w:szCs w:val="18"/>
                <w:lang w:val="es-ES_tradnl"/>
              </w:rPr>
            </w:pPr>
          </w:p>
          <w:p w:rsidR="00E65183" w:rsidRPr="00C83BDF" w:rsidRDefault="00E65183" w:rsidP="004737CD">
            <w:pPr>
              <w:ind w:left="318" w:hanging="318"/>
              <w:jc w:val="left"/>
              <w:rPr>
                <w:sz w:val="18"/>
                <w:szCs w:val="18"/>
                <w:lang w:val="es-ES_tradnl"/>
              </w:rPr>
            </w:pPr>
            <w:r w:rsidRPr="00C83BDF">
              <w:rPr>
                <w:sz w:val="18"/>
                <w:szCs w:val="18"/>
                <w:lang w:val="es-ES_tradnl"/>
              </w:rPr>
              <w:t>2.</w:t>
            </w:r>
            <w:r w:rsidRPr="00C83BDF">
              <w:rPr>
                <w:sz w:val="18"/>
                <w:szCs w:val="18"/>
                <w:lang w:val="es-ES_tradnl"/>
              </w:rPr>
              <w:tab/>
            </w:r>
            <w:r w:rsidR="009B3170" w:rsidRPr="00C83BDF">
              <w:rPr>
                <w:sz w:val="18"/>
                <w:szCs w:val="18"/>
                <w:lang w:val="es-ES_tradnl"/>
              </w:rPr>
              <w:t>Otras organizaciones:</w:t>
            </w:r>
            <w:r w:rsidRPr="00C83BDF">
              <w:rPr>
                <w:sz w:val="18"/>
                <w:szCs w:val="18"/>
                <w:lang w:val="es-ES_tradnl"/>
              </w:rPr>
              <w:t xml:space="preserve">  </w:t>
            </w:r>
            <w:r w:rsidRPr="00C83BDF">
              <w:rPr>
                <w:sz w:val="18"/>
                <w:szCs w:val="18"/>
                <w:lang w:val="es-ES_tradnl"/>
              </w:rPr>
              <w:br/>
            </w:r>
            <w:r w:rsidR="009B3170" w:rsidRPr="00C83BDF">
              <w:rPr>
                <w:sz w:val="18"/>
                <w:szCs w:val="18"/>
                <w:lang w:val="es-ES_tradnl"/>
              </w:rPr>
              <w:t>AFSTA, APSA, CIOPORA, ISF, OMA y SAA.</w:t>
            </w:r>
          </w:p>
          <w:p w:rsidR="00E65183" w:rsidRPr="00C83BDF" w:rsidRDefault="00E65183" w:rsidP="004737CD">
            <w:pPr>
              <w:ind w:right="459"/>
              <w:jc w:val="left"/>
              <w:rPr>
                <w:sz w:val="18"/>
                <w:szCs w:val="18"/>
                <w:lang w:val="es-ES_tradnl"/>
              </w:rPr>
            </w:pPr>
          </w:p>
        </w:tc>
      </w:tr>
    </w:tbl>
    <w:p w:rsidR="00E65183" w:rsidRPr="00C83BDF" w:rsidRDefault="00E65183" w:rsidP="00E65183">
      <w:pPr>
        <w:rPr>
          <w:lang w:val="es-ES_tradnl"/>
        </w:rPr>
      </w:pPr>
    </w:p>
    <w:p w:rsidR="00E65183" w:rsidRPr="00C83BDF" w:rsidRDefault="00E65183" w:rsidP="00E65183">
      <w:pPr>
        <w:rPr>
          <w:lang w:val="es-ES_tradnl"/>
        </w:rPr>
      </w:pPr>
    </w:p>
    <w:p w:rsidR="00E65183" w:rsidRPr="00C83BDF" w:rsidRDefault="00E65183" w:rsidP="00E65183">
      <w:pPr>
        <w:jc w:val="left"/>
        <w:rPr>
          <w:lang w:val="es-ES_tradnl"/>
        </w:rPr>
      </w:pPr>
    </w:p>
    <w:p w:rsidR="00E65183" w:rsidRPr="00C83BDF" w:rsidRDefault="00E65183" w:rsidP="00E65183">
      <w:pPr>
        <w:rPr>
          <w:lang w:val="es-ES_tradnl"/>
        </w:rPr>
      </w:pPr>
    </w:p>
    <w:p w:rsidR="00E65183" w:rsidRPr="00C83BDF" w:rsidRDefault="00E65183" w:rsidP="00E65183">
      <w:pPr>
        <w:rPr>
          <w:lang w:val="es-ES_tradnl"/>
        </w:rPr>
        <w:sectPr w:rsidR="00E65183" w:rsidRPr="00C83BDF" w:rsidSect="001A1C42">
          <w:headerReference w:type="default" r:id="rId22"/>
          <w:pgSz w:w="11907" w:h="16840" w:code="9"/>
          <w:pgMar w:top="510" w:right="1134" w:bottom="851" w:left="1134" w:header="510" w:footer="680" w:gutter="0"/>
          <w:pgNumType w:start="1"/>
          <w:cols w:space="720"/>
          <w:titlePg/>
        </w:sectPr>
      </w:pPr>
    </w:p>
    <w:p w:rsidR="00E65183" w:rsidRPr="00C83BDF" w:rsidRDefault="00E65183" w:rsidP="00E65183">
      <w:pPr>
        <w:jc w:val="center"/>
        <w:rPr>
          <w:lang w:val="es-ES_tradnl"/>
        </w:rPr>
      </w:pPr>
      <w:r w:rsidRPr="00C83BDF">
        <w:rPr>
          <w:lang w:val="es-ES_tradnl"/>
        </w:rPr>
        <w:t>C/49/2</w:t>
      </w:r>
    </w:p>
    <w:p w:rsidR="00E65183" w:rsidRPr="00C83BDF" w:rsidRDefault="00E65183" w:rsidP="00E65183">
      <w:pPr>
        <w:jc w:val="center"/>
        <w:rPr>
          <w:lang w:val="es-ES_tradnl"/>
        </w:rPr>
      </w:pPr>
    </w:p>
    <w:p w:rsidR="00E65183" w:rsidRPr="00C83BDF" w:rsidRDefault="009B3170" w:rsidP="00E65183">
      <w:pPr>
        <w:jc w:val="center"/>
        <w:rPr>
          <w:lang w:val="es-ES_tradnl"/>
        </w:rPr>
      </w:pPr>
      <w:r w:rsidRPr="00C83BDF">
        <w:rPr>
          <w:lang w:val="es-ES_tradnl"/>
        </w:rPr>
        <w:t>APÉNDICE</w:t>
      </w:r>
    </w:p>
    <w:p w:rsidR="00E65183" w:rsidRPr="00C83BDF" w:rsidRDefault="00E65183" w:rsidP="00E65183">
      <w:pPr>
        <w:jc w:val="center"/>
        <w:rPr>
          <w:lang w:val="es-ES_tradnl"/>
        </w:rPr>
      </w:pPr>
    </w:p>
    <w:p w:rsidR="00E65183" w:rsidRPr="00C83BDF" w:rsidRDefault="009B3170" w:rsidP="00E65183">
      <w:pPr>
        <w:jc w:val="center"/>
        <w:rPr>
          <w:lang w:val="es-ES_tradnl"/>
        </w:rPr>
      </w:pPr>
      <w:r w:rsidRPr="00C83BDF">
        <w:rPr>
          <w:lang w:val="es-ES_tradnl"/>
        </w:rPr>
        <w:t>SIGLAS Y ABREVIATURAS</w:t>
      </w:r>
    </w:p>
    <w:p w:rsidR="00E65183" w:rsidRPr="00C83BDF" w:rsidRDefault="00E65183" w:rsidP="00E65183">
      <w:pPr>
        <w:rPr>
          <w:lang w:val="es-ES_tradnl"/>
        </w:rPr>
      </w:pPr>
    </w:p>
    <w:p w:rsidR="00E65183" w:rsidRPr="00C83BDF" w:rsidRDefault="00E65183" w:rsidP="00E65183">
      <w:pPr>
        <w:rPr>
          <w:lang w:val="es-ES_tradnl"/>
        </w:rPr>
      </w:pPr>
    </w:p>
    <w:p w:rsidR="00E65183" w:rsidRPr="00C83BDF" w:rsidRDefault="009B3170" w:rsidP="00E65183">
      <w:pPr>
        <w:jc w:val="center"/>
        <w:rPr>
          <w:lang w:val="es-ES_tradnl"/>
        </w:rPr>
      </w:pPr>
      <w:r w:rsidRPr="00C83BDF">
        <w:rPr>
          <w:u w:val="single"/>
          <w:lang w:val="es-ES_tradnl"/>
        </w:rPr>
        <w:t>Términos de la UPOV</w:t>
      </w:r>
    </w:p>
    <w:p w:rsidR="00E65183" w:rsidRPr="00C83BDF" w:rsidRDefault="00E65183" w:rsidP="00E65183">
      <w:pPr>
        <w:rPr>
          <w:lang w:val="es-ES_tradnl"/>
        </w:rPr>
      </w:pPr>
    </w:p>
    <w:p w:rsidR="00E65183" w:rsidRPr="00C83BDF" w:rsidRDefault="00E65183" w:rsidP="00E65183">
      <w:pPr>
        <w:rPr>
          <w:lang w:val="es-ES_tradnl"/>
        </w:rPr>
      </w:pPr>
    </w:p>
    <w:tbl>
      <w:tblPr>
        <w:tblW w:w="9889" w:type="dxa"/>
        <w:tblLook w:val="04A0" w:firstRow="1" w:lastRow="0" w:firstColumn="1" w:lastColumn="0" w:noHBand="0" w:noVBand="1"/>
      </w:tblPr>
      <w:tblGrid>
        <w:gridCol w:w="1809"/>
        <w:gridCol w:w="8080"/>
      </w:tblGrid>
      <w:tr w:rsidR="00E65183" w:rsidRPr="00C83BDF">
        <w:tc>
          <w:tcPr>
            <w:tcW w:w="1809" w:type="dxa"/>
          </w:tcPr>
          <w:p w:rsidR="00E65183" w:rsidRPr="00C83BDF" w:rsidRDefault="00E65183" w:rsidP="006A7447">
            <w:pPr>
              <w:jc w:val="left"/>
              <w:rPr>
                <w:lang w:val="es-ES_tradnl"/>
              </w:rPr>
            </w:pPr>
            <w:r w:rsidRPr="00C83BDF">
              <w:rPr>
                <w:lang w:val="es-ES_tradnl"/>
              </w:rPr>
              <w:t>BMT</w:t>
            </w:r>
          </w:p>
        </w:tc>
        <w:tc>
          <w:tcPr>
            <w:tcW w:w="8080" w:type="dxa"/>
          </w:tcPr>
          <w:p w:rsidR="00E65183" w:rsidRPr="00C83BDF" w:rsidRDefault="00D4608B" w:rsidP="006A7447">
            <w:pPr>
              <w:jc w:val="left"/>
              <w:rPr>
                <w:lang w:val="es-ES_tradnl"/>
              </w:rPr>
            </w:pPr>
            <w:r w:rsidRPr="00C83BDF">
              <w:rPr>
                <w:lang w:val="es-ES_tradnl"/>
              </w:rPr>
              <w:t>Grupo de Trabajo sobre Técnicas Bioquímicas y Moleculares, y Perfiles de ADN en particular</w:t>
            </w:r>
          </w:p>
        </w:tc>
      </w:tr>
      <w:tr w:rsidR="00E65183" w:rsidRPr="00C83BDF">
        <w:tc>
          <w:tcPr>
            <w:tcW w:w="1809" w:type="dxa"/>
          </w:tcPr>
          <w:p w:rsidR="00E65183" w:rsidRPr="00C83BDF" w:rsidRDefault="00E65183" w:rsidP="006A7447">
            <w:pPr>
              <w:jc w:val="left"/>
              <w:rPr>
                <w:lang w:val="es-ES_tradnl"/>
              </w:rPr>
            </w:pPr>
            <w:r w:rsidRPr="00C83BDF">
              <w:rPr>
                <w:lang w:val="es-ES_tradnl"/>
              </w:rPr>
              <w:t>CAJ</w:t>
            </w:r>
          </w:p>
        </w:tc>
        <w:tc>
          <w:tcPr>
            <w:tcW w:w="8080" w:type="dxa"/>
          </w:tcPr>
          <w:p w:rsidR="00E65183" w:rsidRPr="00C83BDF" w:rsidRDefault="00D4608B" w:rsidP="006A7447">
            <w:pPr>
              <w:jc w:val="left"/>
              <w:rPr>
                <w:lang w:val="es-ES_tradnl"/>
              </w:rPr>
            </w:pPr>
            <w:r w:rsidRPr="00C83BDF">
              <w:rPr>
                <w:lang w:val="es-ES_tradnl"/>
              </w:rPr>
              <w:t>Comité Administrativo y Jurídico</w:t>
            </w:r>
            <w:r w:rsidR="00E65183" w:rsidRPr="00C83BDF">
              <w:rPr>
                <w:lang w:val="es-ES_tradnl"/>
              </w:rPr>
              <w:t xml:space="preserve"> </w:t>
            </w:r>
          </w:p>
        </w:tc>
      </w:tr>
      <w:tr w:rsidR="00E65183" w:rsidRPr="00C83BDF">
        <w:tc>
          <w:tcPr>
            <w:tcW w:w="1809" w:type="dxa"/>
          </w:tcPr>
          <w:p w:rsidR="00E65183" w:rsidRPr="00C83BDF" w:rsidRDefault="00E65183" w:rsidP="006A7447">
            <w:pPr>
              <w:autoSpaceDE w:val="0"/>
              <w:autoSpaceDN w:val="0"/>
              <w:adjustRightInd w:val="0"/>
              <w:jc w:val="left"/>
              <w:rPr>
                <w:lang w:val="es-ES_tradnl"/>
              </w:rPr>
            </w:pPr>
            <w:r w:rsidRPr="00C83BDF">
              <w:rPr>
                <w:lang w:val="es-ES_tradnl"/>
              </w:rPr>
              <w:t>DL</w:t>
            </w:r>
            <w:r w:rsidR="00AB52E3" w:rsidRPr="00C83BDF">
              <w:rPr>
                <w:lang w:val="es-ES_tradnl"/>
              </w:rPr>
              <w:noBreakHyphen/>
            </w:r>
            <w:r w:rsidRPr="00C83BDF">
              <w:rPr>
                <w:lang w:val="es-ES_tradnl"/>
              </w:rPr>
              <w:t>205</w:t>
            </w:r>
          </w:p>
        </w:tc>
        <w:tc>
          <w:tcPr>
            <w:tcW w:w="8080" w:type="dxa"/>
          </w:tcPr>
          <w:p w:rsidR="00E65183" w:rsidRPr="00C83BDF" w:rsidRDefault="00D4608B" w:rsidP="006A7447">
            <w:pPr>
              <w:autoSpaceDE w:val="0"/>
              <w:autoSpaceDN w:val="0"/>
              <w:adjustRightInd w:val="0"/>
              <w:jc w:val="left"/>
              <w:rPr>
                <w:lang w:val="es-ES_tradnl"/>
              </w:rPr>
            </w:pPr>
            <w:r w:rsidRPr="00C83BDF">
              <w:rPr>
                <w:lang w:val="es-ES_tradnl"/>
              </w:rPr>
              <w:t xml:space="preserve">Curso </w:t>
            </w:r>
            <w:r w:rsidR="00CB38A2" w:rsidRPr="00C83BDF">
              <w:rPr>
                <w:lang w:val="es-ES_tradnl"/>
              </w:rPr>
              <w:t xml:space="preserve">de enseñanza a distancia de la UPOV </w:t>
            </w:r>
            <w:r w:rsidRPr="00C83BDF">
              <w:rPr>
                <w:lang w:val="es-ES_tradnl"/>
              </w:rPr>
              <w:t>“Introducción al sistema de la UPOV de protección de las variedades vegetales en virtud del Convenio de la UPOV”</w:t>
            </w:r>
          </w:p>
        </w:tc>
      </w:tr>
      <w:tr w:rsidR="00E65183" w:rsidRPr="00C83BDF">
        <w:tc>
          <w:tcPr>
            <w:tcW w:w="1809" w:type="dxa"/>
          </w:tcPr>
          <w:p w:rsidR="00E65183" w:rsidRPr="00C83BDF" w:rsidRDefault="00E65183" w:rsidP="006A7447">
            <w:pPr>
              <w:autoSpaceDE w:val="0"/>
              <w:autoSpaceDN w:val="0"/>
              <w:adjustRightInd w:val="0"/>
              <w:jc w:val="left"/>
              <w:rPr>
                <w:lang w:val="es-ES_tradnl"/>
              </w:rPr>
            </w:pPr>
            <w:r w:rsidRPr="00C83BDF">
              <w:rPr>
                <w:lang w:val="es-ES_tradnl"/>
              </w:rPr>
              <w:t>DL</w:t>
            </w:r>
            <w:r w:rsidR="00AB52E3" w:rsidRPr="00C83BDF">
              <w:rPr>
                <w:lang w:val="es-ES_tradnl"/>
              </w:rPr>
              <w:noBreakHyphen/>
            </w:r>
            <w:r w:rsidRPr="00C83BDF">
              <w:rPr>
                <w:lang w:val="es-ES_tradnl"/>
              </w:rPr>
              <w:t>305</w:t>
            </w:r>
          </w:p>
        </w:tc>
        <w:tc>
          <w:tcPr>
            <w:tcW w:w="8080" w:type="dxa"/>
          </w:tcPr>
          <w:p w:rsidR="00E65183" w:rsidRPr="00C83BDF" w:rsidRDefault="00CB38A2" w:rsidP="006A7447">
            <w:pPr>
              <w:autoSpaceDE w:val="0"/>
              <w:autoSpaceDN w:val="0"/>
              <w:adjustRightInd w:val="0"/>
              <w:jc w:val="left"/>
              <w:rPr>
                <w:lang w:val="es-ES_tradnl"/>
              </w:rPr>
            </w:pPr>
            <w:r w:rsidRPr="00C83BDF">
              <w:rPr>
                <w:lang w:val="es-ES_tradnl"/>
              </w:rPr>
              <w:t>Curso de enseñanza a distancia de la UPOV “Examen de solicitudes de derechos de obtentor”</w:t>
            </w:r>
          </w:p>
        </w:tc>
      </w:tr>
      <w:tr w:rsidR="00E65183" w:rsidRPr="00C83BDF">
        <w:tc>
          <w:tcPr>
            <w:tcW w:w="1809" w:type="dxa"/>
          </w:tcPr>
          <w:p w:rsidR="00E65183" w:rsidRPr="00C83BDF" w:rsidRDefault="00CB38A2" w:rsidP="006A7447">
            <w:pPr>
              <w:jc w:val="left"/>
              <w:rPr>
                <w:lang w:val="es-ES_tradnl"/>
              </w:rPr>
            </w:pPr>
            <w:r w:rsidRPr="00C83BDF">
              <w:rPr>
                <w:lang w:val="es-ES_tradnl"/>
              </w:rPr>
              <w:t>DHE</w:t>
            </w:r>
          </w:p>
        </w:tc>
        <w:tc>
          <w:tcPr>
            <w:tcW w:w="8080" w:type="dxa"/>
          </w:tcPr>
          <w:p w:rsidR="00E65183" w:rsidRPr="00C83BDF" w:rsidRDefault="00CB38A2" w:rsidP="006A7447">
            <w:pPr>
              <w:jc w:val="left"/>
              <w:rPr>
                <w:lang w:val="es-ES_tradnl"/>
              </w:rPr>
            </w:pPr>
            <w:r w:rsidRPr="00C83BDF">
              <w:rPr>
                <w:lang w:val="es-ES_tradnl"/>
              </w:rPr>
              <w:t>Distinción, homogeneidad y estabilidad</w:t>
            </w:r>
          </w:p>
        </w:tc>
      </w:tr>
      <w:tr w:rsidR="00E65183" w:rsidRPr="00C83BDF">
        <w:tc>
          <w:tcPr>
            <w:tcW w:w="1809" w:type="dxa"/>
          </w:tcPr>
          <w:p w:rsidR="00E65183" w:rsidRPr="00C83BDF" w:rsidRDefault="00CB38A2" w:rsidP="006A7447">
            <w:pPr>
              <w:jc w:val="left"/>
              <w:rPr>
                <w:lang w:val="es-ES_tradnl"/>
              </w:rPr>
            </w:pPr>
            <w:r w:rsidRPr="00C83BDF">
              <w:rPr>
                <w:lang w:val="es-ES_tradnl"/>
              </w:rPr>
              <w:t>Oficina</w:t>
            </w:r>
          </w:p>
        </w:tc>
        <w:tc>
          <w:tcPr>
            <w:tcW w:w="8080" w:type="dxa"/>
          </w:tcPr>
          <w:p w:rsidR="00E65183" w:rsidRPr="00C83BDF" w:rsidRDefault="00CB38A2" w:rsidP="006A7447">
            <w:pPr>
              <w:jc w:val="left"/>
              <w:rPr>
                <w:lang w:val="es-ES_tradnl"/>
              </w:rPr>
            </w:pPr>
            <w:r w:rsidRPr="00C83BDF">
              <w:rPr>
                <w:lang w:val="es-ES_tradnl"/>
              </w:rPr>
              <w:t>Oficina de la Unión</w:t>
            </w:r>
          </w:p>
        </w:tc>
      </w:tr>
      <w:tr w:rsidR="00E65183" w:rsidRPr="00C83BDF">
        <w:tc>
          <w:tcPr>
            <w:tcW w:w="1809" w:type="dxa"/>
          </w:tcPr>
          <w:p w:rsidR="00E65183" w:rsidRPr="00C83BDF" w:rsidRDefault="00E65183" w:rsidP="006A7447">
            <w:pPr>
              <w:jc w:val="left"/>
              <w:rPr>
                <w:lang w:val="es-ES_tradnl"/>
              </w:rPr>
            </w:pPr>
            <w:r w:rsidRPr="00C83BDF">
              <w:rPr>
                <w:lang w:val="es-ES_tradnl"/>
              </w:rPr>
              <w:t>TC</w:t>
            </w:r>
          </w:p>
        </w:tc>
        <w:tc>
          <w:tcPr>
            <w:tcW w:w="8080" w:type="dxa"/>
          </w:tcPr>
          <w:p w:rsidR="00E65183" w:rsidRPr="00C83BDF" w:rsidRDefault="00CB38A2" w:rsidP="006A7447">
            <w:pPr>
              <w:jc w:val="left"/>
              <w:rPr>
                <w:lang w:val="es-ES_tradnl"/>
              </w:rPr>
            </w:pPr>
            <w:r w:rsidRPr="00C83BDF">
              <w:rPr>
                <w:lang w:val="es-ES_tradnl"/>
              </w:rPr>
              <w:t>Comité Técnico</w:t>
            </w:r>
          </w:p>
        </w:tc>
      </w:tr>
      <w:tr w:rsidR="00E65183" w:rsidRPr="00C83BDF">
        <w:tc>
          <w:tcPr>
            <w:tcW w:w="1809" w:type="dxa"/>
          </w:tcPr>
          <w:p w:rsidR="00E65183" w:rsidRPr="00C83BDF" w:rsidRDefault="00E65183" w:rsidP="006A7447">
            <w:pPr>
              <w:jc w:val="left"/>
              <w:rPr>
                <w:lang w:val="es-ES_tradnl"/>
              </w:rPr>
            </w:pPr>
            <w:r w:rsidRPr="00C83BDF">
              <w:rPr>
                <w:lang w:val="es-ES_tradnl"/>
              </w:rPr>
              <w:t>TC</w:t>
            </w:r>
            <w:r w:rsidRPr="00C83BDF">
              <w:rPr>
                <w:lang w:val="es-ES_tradnl"/>
              </w:rPr>
              <w:noBreakHyphen/>
              <w:t>EDC</w:t>
            </w:r>
          </w:p>
        </w:tc>
        <w:tc>
          <w:tcPr>
            <w:tcW w:w="8080" w:type="dxa"/>
          </w:tcPr>
          <w:p w:rsidR="00E65183" w:rsidRPr="00C83BDF" w:rsidRDefault="00CB38A2" w:rsidP="006A7447">
            <w:pPr>
              <w:jc w:val="left"/>
              <w:rPr>
                <w:lang w:val="es-ES_tradnl"/>
              </w:rPr>
            </w:pPr>
            <w:r w:rsidRPr="00C83BDF">
              <w:rPr>
                <w:lang w:val="es-ES_tradnl"/>
              </w:rPr>
              <w:t>Comité de Redacción Ampliado</w:t>
            </w:r>
          </w:p>
        </w:tc>
      </w:tr>
      <w:tr w:rsidR="00E65183" w:rsidRPr="00C83BDF">
        <w:tc>
          <w:tcPr>
            <w:tcW w:w="1809" w:type="dxa"/>
          </w:tcPr>
          <w:p w:rsidR="00E65183" w:rsidRPr="00C83BDF" w:rsidRDefault="00E65183" w:rsidP="006A7447">
            <w:pPr>
              <w:jc w:val="left"/>
              <w:rPr>
                <w:lang w:val="es-ES_tradnl"/>
              </w:rPr>
            </w:pPr>
            <w:r w:rsidRPr="00C83BDF">
              <w:rPr>
                <w:lang w:val="es-ES_tradnl"/>
              </w:rPr>
              <w:t>TWA</w:t>
            </w:r>
          </w:p>
        </w:tc>
        <w:tc>
          <w:tcPr>
            <w:tcW w:w="8080" w:type="dxa"/>
          </w:tcPr>
          <w:p w:rsidR="00E65183" w:rsidRPr="00C83BDF" w:rsidRDefault="00CB38A2" w:rsidP="006A7447">
            <w:pPr>
              <w:jc w:val="left"/>
              <w:rPr>
                <w:lang w:val="es-ES_tradnl"/>
              </w:rPr>
            </w:pPr>
            <w:r w:rsidRPr="00C83BDF">
              <w:rPr>
                <w:lang w:val="es-ES_tradnl"/>
              </w:rPr>
              <w:t>Grupo de Trabajo Técnico sobre Plantas Agrícolas</w:t>
            </w:r>
          </w:p>
        </w:tc>
      </w:tr>
      <w:tr w:rsidR="00E65183" w:rsidRPr="00C83BDF">
        <w:tc>
          <w:tcPr>
            <w:tcW w:w="1809" w:type="dxa"/>
          </w:tcPr>
          <w:p w:rsidR="00E65183" w:rsidRPr="00C83BDF" w:rsidRDefault="00E65183" w:rsidP="006A7447">
            <w:pPr>
              <w:jc w:val="left"/>
              <w:rPr>
                <w:lang w:val="es-ES_tradnl"/>
              </w:rPr>
            </w:pPr>
            <w:r w:rsidRPr="00C83BDF">
              <w:rPr>
                <w:lang w:val="es-ES_tradnl"/>
              </w:rPr>
              <w:t>TWC</w:t>
            </w:r>
          </w:p>
        </w:tc>
        <w:tc>
          <w:tcPr>
            <w:tcW w:w="8080" w:type="dxa"/>
          </w:tcPr>
          <w:p w:rsidR="00E65183" w:rsidRPr="00C83BDF" w:rsidRDefault="00CB38A2" w:rsidP="006A7447">
            <w:pPr>
              <w:jc w:val="left"/>
              <w:rPr>
                <w:lang w:val="es-ES_tradnl"/>
              </w:rPr>
            </w:pPr>
            <w:r w:rsidRPr="00C83BDF">
              <w:rPr>
                <w:lang w:val="es-ES_tradnl"/>
              </w:rPr>
              <w:t>Grupo de Trabajo Técnico sobre Automatización y Programas Informáticos</w:t>
            </w:r>
          </w:p>
        </w:tc>
      </w:tr>
      <w:tr w:rsidR="00E65183" w:rsidRPr="00C83BDF">
        <w:tc>
          <w:tcPr>
            <w:tcW w:w="1809" w:type="dxa"/>
          </w:tcPr>
          <w:p w:rsidR="00E65183" w:rsidRPr="00C83BDF" w:rsidRDefault="00E65183" w:rsidP="006A7447">
            <w:pPr>
              <w:jc w:val="left"/>
              <w:rPr>
                <w:lang w:val="es-ES_tradnl"/>
              </w:rPr>
            </w:pPr>
            <w:r w:rsidRPr="00C83BDF">
              <w:rPr>
                <w:lang w:val="es-ES_tradnl"/>
              </w:rPr>
              <w:t>TWF</w:t>
            </w:r>
          </w:p>
        </w:tc>
        <w:tc>
          <w:tcPr>
            <w:tcW w:w="8080" w:type="dxa"/>
          </w:tcPr>
          <w:p w:rsidR="00E65183" w:rsidRPr="00C83BDF" w:rsidRDefault="00CB38A2" w:rsidP="006A7447">
            <w:pPr>
              <w:jc w:val="left"/>
              <w:rPr>
                <w:lang w:val="es-ES_tradnl"/>
              </w:rPr>
            </w:pPr>
            <w:r w:rsidRPr="00C83BDF">
              <w:rPr>
                <w:lang w:val="es-ES_tradnl"/>
              </w:rPr>
              <w:t>Grupo de Trabajo Técnico sobre Plantas Frutales</w:t>
            </w:r>
          </w:p>
        </w:tc>
      </w:tr>
      <w:tr w:rsidR="00E65183" w:rsidRPr="00C83BDF">
        <w:tc>
          <w:tcPr>
            <w:tcW w:w="1809" w:type="dxa"/>
          </w:tcPr>
          <w:p w:rsidR="00E65183" w:rsidRPr="00C83BDF" w:rsidRDefault="00E65183" w:rsidP="006A7447">
            <w:pPr>
              <w:jc w:val="left"/>
              <w:rPr>
                <w:lang w:val="es-ES_tradnl"/>
              </w:rPr>
            </w:pPr>
            <w:r w:rsidRPr="00C83BDF">
              <w:rPr>
                <w:lang w:val="es-ES_tradnl"/>
              </w:rPr>
              <w:t>TWO</w:t>
            </w:r>
          </w:p>
        </w:tc>
        <w:tc>
          <w:tcPr>
            <w:tcW w:w="8080" w:type="dxa"/>
          </w:tcPr>
          <w:p w:rsidR="00E65183" w:rsidRPr="00C83BDF" w:rsidRDefault="00CB38A2" w:rsidP="006A7447">
            <w:pPr>
              <w:jc w:val="left"/>
              <w:rPr>
                <w:lang w:val="es-ES_tradnl"/>
              </w:rPr>
            </w:pPr>
            <w:r w:rsidRPr="00C83BDF">
              <w:rPr>
                <w:lang w:val="es-ES_tradnl"/>
              </w:rPr>
              <w:t>Grupo de Trabajo Técnico sobre Plantas Ornamentales y Árboles Forestales</w:t>
            </w:r>
          </w:p>
        </w:tc>
      </w:tr>
      <w:tr w:rsidR="00E65183" w:rsidRPr="00C83BDF">
        <w:tc>
          <w:tcPr>
            <w:tcW w:w="1809" w:type="dxa"/>
          </w:tcPr>
          <w:p w:rsidR="00E65183" w:rsidRPr="00C83BDF" w:rsidRDefault="00E65183" w:rsidP="006A7447">
            <w:pPr>
              <w:jc w:val="left"/>
              <w:rPr>
                <w:lang w:val="es-ES_tradnl"/>
              </w:rPr>
            </w:pPr>
            <w:r w:rsidRPr="00C83BDF">
              <w:rPr>
                <w:lang w:val="es-ES_tradnl"/>
              </w:rPr>
              <w:t>TWP</w:t>
            </w:r>
          </w:p>
        </w:tc>
        <w:tc>
          <w:tcPr>
            <w:tcW w:w="8080" w:type="dxa"/>
          </w:tcPr>
          <w:p w:rsidR="00E65183" w:rsidRPr="00C83BDF" w:rsidRDefault="00CB38A2" w:rsidP="006A7447">
            <w:pPr>
              <w:jc w:val="left"/>
              <w:rPr>
                <w:lang w:val="es-ES_tradnl"/>
              </w:rPr>
            </w:pPr>
            <w:r w:rsidRPr="00C83BDF">
              <w:rPr>
                <w:lang w:val="es-ES_tradnl"/>
              </w:rPr>
              <w:t>Grupo o Grupos de Trabajo Técnico</w:t>
            </w:r>
          </w:p>
        </w:tc>
      </w:tr>
      <w:tr w:rsidR="00E65183" w:rsidRPr="00C83BDF">
        <w:tc>
          <w:tcPr>
            <w:tcW w:w="1809" w:type="dxa"/>
          </w:tcPr>
          <w:p w:rsidR="00E65183" w:rsidRPr="00C83BDF" w:rsidRDefault="00E65183" w:rsidP="006A7447">
            <w:pPr>
              <w:jc w:val="left"/>
              <w:rPr>
                <w:lang w:val="es-ES_tradnl"/>
              </w:rPr>
            </w:pPr>
            <w:r w:rsidRPr="00C83BDF">
              <w:rPr>
                <w:lang w:val="es-ES_tradnl"/>
              </w:rPr>
              <w:t>TWV</w:t>
            </w:r>
          </w:p>
        </w:tc>
        <w:tc>
          <w:tcPr>
            <w:tcW w:w="8080" w:type="dxa"/>
          </w:tcPr>
          <w:p w:rsidR="00E65183" w:rsidRPr="00C83BDF" w:rsidRDefault="00CB38A2" w:rsidP="006A7447">
            <w:pPr>
              <w:jc w:val="left"/>
              <w:rPr>
                <w:lang w:val="es-ES_tradnl"/>
              </w:rPr>
            </w:pPr>
            <w:r w:rsidRPr="00C83BDF">
              <w:rPr>
                <w:lang w:val="es-ES_tradnl"/>
              </w:rPr>
              <w:t>Grupo de Trabajo Técnico sobre Hortalizas</w:t>
            </w:r>
          </w:p>
        </w:tc>
      </w:tr>
    </w:tbl>
    <w:p w:rsidR="00E65183" w:rsidRPr="00C83BDF" w:rsidRDefault="00E65183" w:rsidP="00E65183">
      <w:pPr>
        <w:rPr>
          <w:lang w:val="es-ES_tradnl"/>
        </w:rPr>
      </w:pPr>
    </w:p>
    <w:p w:rsidR="00E65183" w:rsidRPr="00C83BDF" w:rsidRDefault="00E65183" w:rsidP="00E65183">
      <w:pPr>
        <w:ind w:left="1418" w:hanging="1418"/>
        <w:rPr>
          <w:lang w:val="es-ES_tradnl"/>
        </w:rPr>
      </w:pPr>
    </w:p>
    <w:p w:rsidR="00E65183" w:rsidRPr="00C83BDF" w:rsidRDefault="00CB38A2" w:rsidP="00E65183">
      <w:pPr>
        <w:ind w:left="1418" w:hanging="1418"/>
        <w:jc w:val="center"/>
        <w:rPr>
          <w:u w:val="single"/>
          <w:lang w:val="es-ES_tradnl"/>
        </w:rPr>
      </w:pPr>
      <w:r w:rsidRPr="00C83BDF">
        <w:rPr>
          <w:u w:val="single"/>
          <w:lang w:val="es-ES_tradnl"/>
        </w:rPr>
        <w:t>Siglas</w:t>
      </w:r>
    </w:p>
    <w:p w:rsidR="00E65183" w:rsidRPr="00C83BDF" w:rsidRDefault="00E65183" w:rsidP="00E65183">
      <w:pPr>
        <w:rPr>
          <w:lang w:val="es-ES_tradnl"/>
        </w:rPr>
      </w:pPr>
    </w:p>
    <w:p w:rsidR="00E65183" w:rsidRPr="00C83BDF" w:rsidRDefault="00E65183" w:rsidP="00E65183">
      <w:pPr>
        <w:rPr>
          <w:lang w:val="es-ES_tradnl"/>
        </w:rPr>
      </w:pPr>
    </w:p>
    <w:tbl>
      <w:tblPr>
        <w:tblW w:w="9889" w:type="dxa"/>
        <w:tblLook w:val="04A0" w:firstRow="1" w:lastRow="0" w:firstColumn="1" w:lastColumn="0" w:noHBand="0" w:noVBand="1"/>
      </w:tblPr>
      <w:tblGrid>
        <w:gridCol w:w="1809"/>
        <w:gridCol w:w="8080"/>
      </w:tblGrid>
      <w:tr w:rsidR="006226EB" w:rsidRPr="00C83BDF">
        <w:trPr>
          <w:cantSplit/>
        </w:trPr>
        <w:tc>
          <w:tcPr>
            <w:tcW w:w="1809" w:type="dxa"/>
          </w:tcPr>
          <w:p w:rsidR="006226EB" w:rsidRPr="00C83BDF" w:rsidRDefault="006226EB" w:rsidP="006A7447">
            <w:pPr>
              <w:autoSpaceDE w:val="0"/>
              <w:autoSpaceDN w:val="0"/>
              <w:adjustRightInd w:val="0"/>
              <w:jc w:val="left"/>
              <w:rPr>
                <w:lang w:val="es-ES_tradnl"/>
              </w:rPr>
            </w:pPr>
            <w:r w:rsidRPr="00C83BDF">
              <w:rPr>
                <w:lang w:val="es-ES_tradnl"/>
              </w:rPr>
              <w:t>AATF</w:t>
            </w:r>
          </w:p>
        </w:tc>
        <w:tc>
          <w:tcPr>
            <w:tcW w:w="8080" w:type="dxa"/>
          </w:tcPr>
          <w:p w:rsidR="006226EB" w:rsidRPr="00C83BDF" w:rsidRDefault="006226EB" w:rsidP="006A7447">
            <w:pPr>
              <w:autoSpaceDE w:val="0"/>
              <w:autoSpaceDN w:val="0"/>
              <w:adjustRightInd w:val="0"/>
              <w:jc w:val="left"/>
              <w:rPr>
                <w:lang w:val="es-ES_tradnl"/>
              </w:rPr>
            </w:pPr>
            <w:r w:rsidRPr="00C83BDF">
              <w:rPr>
                <w:i/>
                <w:lang w:val="es-ES_tradnl"/>
              </w:rPr>
              <w:t>African Agricultural Technology Foundation</w:t>
            </w:r>
            <w:r w:rsidRPr="00C83BDF">
              <w:rPr>
                <w:lang w:val="es-ES_tradnl"/>
              </w:rPr>
              <w:t xml:space="preserve"> (Fundación de Tecnología Agrícola Africana)</w:t>
            </w:r>
          </w:p>
        </w:tc>
      </w:tr>
      <w:tr w:rsidR="006226EB" w:rsidRPr="00C83BDF">
        <w:trPr>
          <w:cantSplit/>
        </w:trPr>
        <w:tc>
          <w:tcPr>
            <w:tcW w:w="1809" w:type="dxa"/>
          </w:tcPr>
          <w:p w:rsidR="006226EB" w:rsidRPr="00C83BDF" w:rsidRDefault="006226EB" w:rsidP="006A7447">
            <w:pPr>
              <w:jc w:val="left"/>
              <w:rPr>
                <w:szCs w:val="24"/>
                <w:lang w:val="es-ES_tradnl"/>
              </w:rPr>
            </w:pPr>
            <w:r w:rsidRPr="00C83BDF">
              <w:rPr>
                <w:szCs w:val="24"/>
                <w:lang w:val="es-ES_tradnl"/>
              </w:rPr>
              <w:t>ADPIC</w:t>
            </w:r>
          </w:p>
        </w:tc>
        <w:tc>
          <w:tcPr>
            <w:tcW w:w="8080" w:type="dxa"/>
          </w:tcPr>
          <w:p w:rsidR="006226EB" w:rsidRPr="00C83BDF" w:rsidRDefault="006226EB" w:rsidP="006A7447">
            <w:pPr>
              <w:jc w:val="left"/>
              <w:rPr>
                <w:szCs w:val="24"/>
                <w:lang w:val="es-ES_tradnl"/>
              </w:rPr>
            </w:pPr>
            <w:r w:rsidRPr="00C83BDF">
              <w:rPr>
                <w:szCs w:val="24"/>
                <w:lang w:val="es-ES_tradnl"/>
              </w:rPr>
              <w:t>Aspectos de los Derechos de Propiedad Intelectual relacionados con el Comercio</w:t>
            </w:r>
          </w:p>
        </w:tc>
      </w:tr>
      <w:tr w:rsidR="006226EB" w:rsidRPr="00C83BDF">
        <w:trPr>
          <w:cantSplit/>
        </w:trPr>
        <w:tc>
          <w:tcPr>
            <w:tcW w:w="1809" w:type="dxa"/>
          </w:tcPr>
          <w:p w:rsidR="006226EB" w:rsidRPr="00C83BDF" w:rsidRDefault="006226EB" w:rsidP="006A7447">
            <w:pPr>
              <w:jc w:val="left"/>
              <w:rPr>
                <w:lang w:val="es-ES_tradnl"/>
              </w:rPr>
            </w:pPr>
            <w:r w:rsidRPr="00C83BDF">
              <w:rPr>
                <w:lang w:val="es-ES_tradnl"/>
              </w:rPr>
              <w:t>AECID</w:t>
            </w:r>
          </w:p>
        </w:tc>
        <w:tc>
          <w:tcPr>
            <w:tcW w:w="8080" w:type="dxa"/>
          </w:tcPr>
          <w:p w:rsidR="006226EB" w:rsidRPr="00C83BDF" w:rsidRDefault="006226EB" w:rsidP="006A7447">
            <w:pPr>
              <w:jc w:val="left"/>
              <w:rPr>
                <w:lang w:val="es-ES_tradnl"/>
              </w:rPr>
            </w:pPr>
            <w:r w:rsidRPr="00C83BDF">
              <w:rPr>
                <w:lang w:val="es-ES_tradnl"/>
              </w:rPr>
              <w:t>Agencia Española de Cooperación Internacional para el Desarrollo</w:t>
            </w:r>
          </w:p>
        </w:tc>
      </w:tr>
      <w:tr w:rsidR="006226EB" w:rsidRPr="00C83BDF">
        <w:trPr>
          <w:cantSplit/>
        </w:trPr>
        <w:tc>
          <w:tcPr>
            <w:tcW w:w="1809" w:type="dxa"/>
          </w:tcPr>
          <w:p w:rsidR="006226EB" w:rsidRPr="00C83BDF" w:rsidRDefault="006226EB" w:rsidP="006A7447">
            <w:pPr>
              <w:jc w:val="left"/>
              <w:rPr>
                <w:lang w:val="es-ES_tradnl"/>
              </w:rPr>
            </w:pPr>
            <w:r w:rsidRPr="00C83BDF">
              <w:rPr>
                <w:lang w:val="es-ES_tradnl"/>
              </w:rPr>
              <w:t>AFSA</w:t>
            </w:r>
          </w:p>
        </w:tc>
        <w:tc>
          <w:tcPr>
            <w:tcW w:w="8080" w:type="dxa"/>
          </w:tcPr>
          <w:p w:rsidR="006226EB" w:rsidRPr="00C83BDF" w:rsidRDefault="006226EB" w:rsidP="006A7447">
            <w:pPr>
              <w:jc w:val="left"/>
              <w:rPr>
                <w:lang w:val="es-ES_tradnl"/>
              </w:rPr>
            </w:pPr>
            <w:r w:rsidRPr="00C83BDF">
              <w:rPr>
                <w:i/>
                <w:lang w:val="es-ES_tradnl"/>
              </w:rPr>
              <w:t>Alliance for Food Sovereignty in Africa</w:t>
            </w:r>
            <w:r w:rsidRPr="00C83BDF">
              <w:rPr>
                <w:lang w:val="es-ES_tradnl"/>
              </w:rPr>
              <w:t xml:space="preserve"> (Alianza para la Soberanía Alimentaria en África)</w:t>
            </w:r>
          </w:p>
        </w:tc>
      </w:tr>
      <w:tr w:rsidR="006226EB" w:rsidRPr="00C83BDF">
        <w:trPr>
          <w:cantSplit/>
        </w:trPr>
        <w:tc>
          <w:tcPr>
            <w:tcW w:w="1809" w:type="dxa"/>
          </w:tcPr>
          <w:p w:rsidR="006226EB" w:rsidRPr="00C83BDF" w:rsidRDefault="006226EB" w:rsidP="006A7447">
            <w:pPr>
              <w:jc w:val="left"/>
              <w:rPr>
                <w:lang w:val="es-ES_tradnl"/>
              </w:rPr>
            </w:pPr>
            <w:r w:rsidRPr="00C83BDF">
              <w:rPr>
                <w:lang w:val="es-ES_tradnl"/>
              </w:rPr>
              <w:t>AFSTA</w:t>
            </w:r>
          </w:p>
        </w:tc>
        <w:tc>
          <w:tcPr>
            <w:tcW w:w="8080" w:type="dxa"/>
          </w:tcPr>
          <w:p w:rsidR="006226EB" w:rsidRPr="00C83BDF" w:rsidRDefault="006226EB" w:rsidP="006A7447">
            <w:pPr>
              <w:jc w:val="left"/>
              <w:rPr>
                <w:lang w:val="es-ES_tradnl"/>
              </w:rPr>
            </w:pPr>
            <w:r w:rsidRPr="00C83BDF">
              <w:rPr>
                <w:i/>
                <w:lang w:val="es-ES_tradnl"/>
              </w:rPr>
              <w:t>African Seed Trade Association</w:t>
            </w:r>
            <w:r w:rsidRPr="00C83BDF">
              <w:rPr>
                <w:lang w:val="es-ES_tradnl"/>
              </w:rPr>
              <w:t xml:space="preserve"> (Asociación Africana de Comercio de Semillas)</w:t>
            </w:r>
          </w:p>
        </w:tc>
      </w:tr>
      <w:tr w:rsidR="006226EB" w:rsidRPr="00C83BDF">
        <w:trPr>
          <w:cantSplit/>
        </w:trPr>
        <w:tc>
          <w:tcPr>
            <w:tcW w:w="1809" w:type="dxa"/>
          </w:tcPr>
          <w:p w:rsidR="006226EB" w:rsidRPr="00C83BDF" w:rsidRDefault="006226EB" w:rsidP="006A7447">
            <w:pPr>
              <w:autoSpaceDE w:val="0"/>
              <w:autoSpaceDN w:val="0"/>
              <w:adjustRightInd w:val="0"/>
              <w:jc w:val="left"/>
              <w:rPr>
                <w:lang w:val="es-ES_tradnl"/>
              </w:rPr>
            </w:pPr>
            <w:r w:rsidRPr="00C83BDF">
              <w:rPr>
                <w:rFonts w:cs="Arial"/>
                <w:lang w:val="es-ES_tradnl"/>
              </w:rPr>
              <w:t>AGRA</w:t>
            </w:r>
          </w:p>
        </w:tc>
        <w:tc>
          <w:tcPr>
            <w:tcW w:w="8080" w:type="dxa"/>
          </w:tcPr>
          <w:p w:rsidR="006226EB" w:rsidRPr="00C83BDF" w:rsidRDefault="006226EB" w:rsidP="006A7447">
            <w:pPr>
              <w:autoSpaceDE w:val="0"/>
              <w:autoSpaceDN w:val="0"/>
              <w:adjustRightInd w:val="0"/>
              <w:jc w:val="left"/>
              <w:rPr>
                <w:lang w:val="es-ES_tradnl"/>
              </w:rPr>
            </w:pPr>
            <w:r w:rsidRPr="00C83BDF">
              <w:rPr>
                <w:rFonts w:cs="Arial"/>
                <w:i/>
                <w:lang w:val="es-ES_tradnl"/>
              </w:rPr>
              <w:t>Alliance for Green Revolution in Africa</w:t>
            </w:r>
            <w:r w:rsidRPr="00C83BDF">
              <w:rPr>
                <w:rFonts w:cs="Arial"/>
                <w:lang w:val="es-ES_tradnl"/>
              </w:rPr>
              <w:t xml:space="preserve"> (Alianza para la Revolución Verde en África)</w:t>
            </w:r>
          </w:p>
        </w:tc>
      </w:tr>
      <w:tr w:rsidR="006226EB" w:rsidRPr="00C83BDF">
        <w:trPr>
          <w:cantSplit/>
        </w:trPr>
        <w:tc>
          <w:tcPr>
            <w:tcW w:w="1809" w:type="dxa"/>
          </w:tcPr>
          <w:p w:rsidR="006226EB" w:rsidRPr="00C83BDF" w:rsidRDefault="006226EB" w:rsidP="006A7447">
            <w:pPr>
              <w:autoSpaceDE w:val="0"/>
              <w:autoSpaceDN w:val="0"/>
              <w:adjustRightInd w:val="0"/>
              <w:jc w:val="left"/>
              <w:rPr>
                <w:lang w:val="es-ES_tradnl"/>
              </w:rPr>
            </w:pPr>
            <w:r w:rsidRPr="00C83BDF">
              <w:rPr>
                <w:lang w:val="es-ES_tradnl"/>
              </w:rPr>
              <w:t>APBREBES</w:t>
            </w:r>
          </w:p>
        </w:tc>
        <w:tc>
          <w:tcPr>
            <w:tcW w:w="8080" w:type="dxa"/>
          </w:tcPr>
          <w:p w:rsidR="006226EB" w:rsidRPr="00C83BDF" w:rsidRDefault="006226EB" w:rsidP="006A7447">
            <w:pPr>
              <w:autoSpaceDE w:val="0"/>
              <w:autoSpaceDN w:val="0"/>
              <w:adjustRightInd w:val="0"/>
              <w:jc w:val="left"/>
              <w:rPr>
                <w:lang w:val="es-ES_tradnl"/>
              </w:rPr>
            </w:pPr>
            <w:r w:rsidRPr="00C83BDF">
              <w:rPr>
                <w:i/>
                <w:lang w:val="es-ES_tradnl"/>
              </w:rPr>
              <w:t>Association for Plant Breeding for the Benefit of Society</w:t>
            </w:r>
            <w:r w:rsidRPr="00C83BDF">
              <w:rPr>
                <w:lang w:val="es-ES_tradnl"/>
              </w:rPr>
              <w:t xml:space="preserve"> (Asociación para el Fitomejoramiento en Beneficio de la Sociedad)</w:t>
            </w:r>
          </w:p>
        </w:tc>
      </w:tr>
      <w:tr w:rsidR="006226EB" w:rsidRPr="00C83BDF">
        <w:trPr>
          <w:cantSplit/>
        </w:trPr>
        <w:tc>
          <w:tcPr>
            <w:tcW w:w="1809" w:type="dxa"/>
          </w:tcPr>
          <w:p w:rsidR="006226EB" w:rsidRPr="00C83BDF" w:rsidRDefault="006226EB" w:rsidP="006A7447">
            <w:pPr>
              <w:jc w:val="left"/>
              <w:rPr>
                <w:lang w:val="es-ES_tradnl"/>
              </w:rPr>
            </w:pPr>
            <w:r w:rsidRPr="00C83BDF">
              <w:rPr>
                <w:lang w:val="es-ES_tradnl"/>
              </w:rPr>
              <w:t>APSA</w:t>
            </w:r>
          </w:p>
        </w:tc>
        <w:tc>
          <w:tcPr>
            <w:tcW w:w="8080" w:type="dxa"/>
          </w:tcPr>
          <w:p w:rsidR="006226EB" w:rsidRPr="00C83BDF" w:rsidRDefault="006226EB" w:rsidP="006A7447">
            <w:pPr>
              <w:jc w:val="left"/>
              <w:rPr>
                <w:lang w:val="es-ES_tradnl"/>
              </w:rPr>
            </w:pPr>
            <w:r w:rsidRPr="00C83BDF">
              <w:rPr>
                <w:i/>
                <w:lang w:val="es-ES_tradnl"/>
              </w:rPr>
              <w:t>Asia and Pacific Seed Association</w:t>
            </w:r>
            <w:r w:rsidRPr="00C83BDF">
              <w:rPr>
                <w:lang w:val="es-ES_tradnl"/>
              </w:rPr>
              <w:t xml:space="preserve"> (Asociación de Semillas de Asia y el Pacífico)</w:t>
            </w:r>
          </w:p>
        </w:tc>
      </w:tr>
      <w:tr w:rsidR="006226EB" w:rsidRPr="00C83BDF">
        <w:trPr>
          <w:cantSplit/>
        </w:trPr>
        <w:tc>
          <w:tcPr>
            <w:tcW w:w="1809" w:type="dxa"/>
          </w:tcPr>
          <w:p w:rsidR="006226EB" w:rsidRPr="00C83BDF" w:rsidRDefault="006226EB" w:rsidP="006A7447">
            <w:pPr>
              <w:jc w:val="left"/>
              <w:rPr>
                <w:lang w:val="es-ES_tradnl"/>
              </w:rPr>
            </w:pPr>
            <w:r w:rsidRPr="00C83BDF">
              <w:rPr>
                <w:lang w:val="es-ES_tradnl"/>
              </w:rPr>
              <w:t>ARIPO</w:t>
            </w:r>
          </w:p>
        </w:tc>
        <w:tc>
          <w:tcPr>
            <w:tcW w:w="8080" w:type="dxa"/>
          </w:tcPr>
          <w:p w:rsidR="006226EB" w:rsidRPr="00C83BDF" w:rsidRDefault="006226EB" w:rsidP="006A7447">
            <w:pPr>
              <w:jc w:val="left"/>
              <w:rPr>
                <w:lang w:val="es-ES_tradnl"/>
              </w:rPr>
            </w:pPr>
            <w:r w:rsidRPr="00C83BDF">
              <w:rPr>
                <w:i/>
                <w:lang w:val="es-ES_tradnl"/>
              </w:rPr>
              <w:t>African Regional Intellectual Property Organization</w:t>
            </w:r>
            <w:r w:rsidRPr="00C83BDF">
              <w:rPr>
                <w:lang w:val="es-ES_tradnl"/>
              </w:rPr>
              <w:t xml:space="preserve"> (Organización Regional Africana de la Propiedad Intelectual)</w:t>
            </w:r>
          </w:p>
        </w:tc>
      </w:tr>
      <w:tr w:rsidR="006226EB" w:rsidRPr="00C83BDF">
        <w:trPr>
          <w:cantSplit/>
        </w:trPr>
        <w:tc>
          <w:tcPr>
            <w:tcW w:w="1809" w:type="dxa"/>
          </w:tcPr>
          <w:p w:rsidR="006226EB" w:rsidRPr="00C83BDF" w:rsidRDefault="006226EB" w:rsidP="006A7447">
            <w:pPr>
              <w:jc w:val="left"/>
              <w:rPr>
                <w:lang w:val="es-ES_tradnl"/>
              </w:rPr>
            </w:pPr>
            <w:r w:rsidRPr="00C83BDF">
              <w:rPr>
                <w:lang w:val="es-ES_tradnl"/>
              </w:rPr>
              <w:t>ASEAN</w:t>
            </w:r>
          </w:p>
        </w:tc>
        <w:tc>
          <w:tcPr>
            <w:tcW w:w="8080" w:type="dxa"/>
          </w:tcPr>
          <w:p w:rsidR="006226EB" w:rsidRPr="00C83BDF" w:rsidRDefault="006226EB" w:rsidP="006A7447">
            <w:pPr>
              <w:jc w:val="left"/>
              <w:rPr>
                <w:lang w:val="es-ES_tradnl"/>
              </w:rPr>
            </w:pPr>
            <w:r w:rsidRPr="00C83BDF">
              <w:rPr>
                <w:i/>
                <w:lang w:val="es-ES_tradnl"/>
              </w:rPr>
              <w:t>Association of Southeast Asian Nations</w:t>
            </w:r>
            <w:r w:rsidRPr="00C83BDF">
              <w:rPr>
                <w:lang w:val="es-ES_tradnl"/>
              </w:rPr>
              <w:t xml:space="preserve"> (Asociación de Naciones del Sudeste Asiático)</w:t>
            </w:r>
          </w:p>
        </w:tc>
      </w:tr>
      <w:tr w:rsidR="006226EB" w:rsidRPr="00C83BDF">
        <w:trPr>
          <w:cantSplit/>
        </w:trPr>
        <w:tc>
          <w:tcPr>
            <w:tcW w:w="1809" w:type="dxa"/>
          </w:tcPr>
          <w:p w:rsidR="006226EB" w:rsidRPr="00C83BDF" w:rsidRDefault="006226EB" w:rsidP="006A7447">
            <w:pPr>
              <w:jc w:val="left"/>
              <w:rPr>
                <w:rFonts w:cs="Arial"/>
                <w:lang w:val="es-ES_tradnl"/>
              </w:rPr>
            </w:pPr>
            <w:r w:rsidRPr="00C83BDF">
              <w:rPr>
                <w:lang w:val="es-ES_tradnl"/>
              </w:rPr>
              <w:t>ASTA</w:t>
            </w:r>
          </w:p>
        </w:tc>
        <w:tc>
          <w:tcPr>
            <w:tcW w:w="8080" w:type="dxa"/>
          </w:tcPr>
          <w:p w:rsidR="006226EB" w:rsidRPr="00C83BDF" w:rsidRDefault="006226EB" w:rsidP="006A7447">
            <w:pPr>
              <w:jc w:val="left"/>
              <w:rPr>
                <w:rFonts w:cs="Arial"/>
                <w:lang w:val="es-ES_tradnl"/>
              </w:rPr>
            </w:pPr>
            <w:r w:rsidRPr="00C83BDF">
              <w:rPr>
                <w:i/>
                <w:lang w:val="es-ES_tradnl"/>
              </w:rPr>
              <w:t>American Seed Trade Association</w:t>
            </w:r>
            <w:r w:rsidRPr="00C83BDF">
              <w:rPr>
                <w:lang w:val="es-ES_tradnl"/>
              </w:rPr>
              <w:t xml:space="preserve"> (Asociación Estadounidense de Comercio de Semillas)</w:t>
            </w:r>
          </w:p>
        </w:tc>
      </w:tr>
      <w:tr w:rsidR="006226EB" w:rsidRPr="00C83BDF">
        <w:trPr>
          <w:cantSplit/>
        </w:trPr>
        <w:tc>
          <w:tcPr>
            <w:tcW w:w="1809" w:type="dxa"/>
          </w:tcPr>
          <w:p w:rsidR="006226EB" w:rsidRPr="00C83BDF" w:rsidRDefault="006226EB" w:rsidP="006A7447">
            <w:pPr>
              <w:jc w:val="left"/>
              <w:rPr>
                <w:lang w:val="es-ES_tradnl"/>
              </w:rPr>
            </w:pPr>
            <w:r w:rsidRPr="00C83BDF">
              <w:rPr>
                <w:lang w:val="es-ES_tradnl"/>
              </w:rPr>
              <w:t>CCIS</w:t>
            </w:r>
          </w:p>
        </w:tc>
        <w:tc>
          <w:tcPr>
            <w:tcW w:w="8080" w:type="dxa"/>
          </w:tcPr>
          <w:p w:rsidR="006226EB" w:rsidRPr="00C83BDF" w:rsidRDefault="006226EB" w:rsidP="006A7447">
            <w:pPr>
              <w:jc w:val="left"/>
              <w:rPr>
                <w:lang w:val="es-ES_tradnl"/>
              </w:rPr>
            </w:pPr>
            <w:r w:rsidRPr="00C83BDF">
              <w:rPr>
                <w:lang w:val="es-ES_tradnl"/>
              </w:rPr>
              <w:t>Comisión Consultiva Independiente de Supervisión de la OMPI</w:t>
            </w:r>
          </w:p>
        </w:tc>
      </w:tr>
      <w:tr w:rsidR="006226EB" w:rsidRPr="00C83BDF">
        <w:trPr>
          <w:cantSplit/>
        </w:trPr>
        <w:tc>
          <w:tcPr>
            <w:tcW w:w="1809" w:type="dxa"/>
          </w:tcPr>
          <w:p w:rsidR="006226EB" w:rsidRPr="00C83BDF" w:rsidRDefault="006226EB" w:rsidP="006A7447">
            <w:pPr>
              <w:jc w:val="left"/>
              <w:rPr>
                <w:lang w:val="es-ES_tradnl"/>
              </w:rPr>
            </w:pPr>
            <w:r w:rsidRPr="00C83BDF">
              <w:rPr>
                <w:lang w:val="es-ES_tradnl"/>
              </w:rPr>
              <w:t>CDB</w:t>
            </w:r>
          </w:p>
        </w:tc>
        <w:tc>
          <w:tcPr>
            <w:tcW w:w="8080" w:type="dxa"/>
          </w:tcPr>
          <w:p w:rsidR="006226EB" w:rsidRPr="00C83BDF" w:rsidRDefault="006226EB" w:rsidP="006A7447">
            <w:pPr>
              <w:jc w:val="left"/>
              <w:rPr>
                <w:lang w:val="es-ES_tradnl"/>
              </w:rPr>
            </w:pPr>
            <w:r w:rsidRPr="00C83BDF">
              <w:rPr>
                <w:lang w:val="es-ES_tradnl"/>
              </w:rPr>
              <w:t>Convenio sobre la Diversidad Biológica</w:t>
            </w:r>
          </w:p>
        </w:tc>
      </w:tr>
      <w:tr w:rsidR="006226EB" w:rsidRPr="00C83BDF">
        <w:trPr>
          <w:cantSplit/>
        </w:trPr>
        <w:tc>
          <w:tcPr>
            <w:tcW w:w="1809" w:type="dxa"/>
          </w:tcPr>
          <w:p w:rsidR="006226EB" w:rsidRPr="00C83BDF" w:rsidRDefault="006226EB" w:rsidP="006A7447">
            <w:pPr>
              <w:jc w:val="left"/>
              <w:rPr>
                <w:lang w:val="es-ES_tradnl"/>
              </w:rPr>
            </w:pPr>
            <w:r w:rsidRPr="00C83BDF">
              <w:rPr>
                <w:lang w:val="es-ES_tradnl"/>
              </w:rPr>
              <w:t>CIG de la OMPI</w:t>
            </w:r>
          </w:p>
        </w:tc>
        <w:tc>
          <w:tcPr>
            <w:tcW w:w="8080" w:type="dxa"/>
          </w:tcPr>
          <w:p w:rsidR="006226EB" w:rsidRPr="00C83BDF" w:rsidRDefault="006226EB" w:rsidP="006A7447">
            <w:pPr>
              <w:jc w:val="left"/>
              <w:rPr>
                <w:lang w:val="es-ES_tradnl"/>
              </w:rPr>
            </w:pPr>
            <w:r w:rsidRPr="00C83BDF">
              <w:rPr>
                <w:snapToGrid w:val="0"/>
                <w:lang w:val="es-ES_tradnl"/>
              </w:rPr>
              <w:t>Comité Intergubernamental sobre Propiedad Intelectual y Recursos Genéticos, Conocimientos Tradicionales y Folclore de la OMPI</w:t>
            </w:r>
          </w:p>
        </w:tc>
      </w:tr>
      <w:tr w:rsidR="006226EB" w:rsidRPr="00C83BDF">
        <w:trPr>
          <w:cantSplit/>
        </w:trPr>
        <w:tc>
          <w:tcPr>
            <w:tcW w:w="1809" w:type="dxa"/>
          </w:tcPr>
          <w:p w:rsidR="006226EB" w:rsidRPr="00C83BDF" w:rsidRDefault="006226EB" w:rsidP="006A7447">
            <w:pPr>
              <w:jc w:val="left"/>
              <w:rPr>
                <w:rFonts w:cs="Arial"/>
                <w:lang w:val="es-ES_tradnl"/>
              </w:rPr>
            </w:pPr>
            <w:r w:rsidRPr="00C83BDF">
              <w:rPr>
                <w:rFonts w:cs="Arial"/>
                <w:lang w:val="es-ES_tradnl"/>
              </w:rPr>
              <w:t>CIOPORA</w:t>
            </w:r>
          </w:p>
        </w:tc>
        <w:tc>
          <w:tcPr>
            <w:tcW w:w="8080" w:type="dxa"/>
          </w:tcPr>
          <w:p w:rsidR="006226EB" w:rsidRPr="00C83BDF" w:rsidRDefault="006226EB" w:rsidP="006A7447">
            <w:pPr>
              <w:jc w:val="left"/>
              <w:rPr>
                <w:rFonts w:cs="Arial"/>
                <w:lang w:val="es-ES_tradnl"/>
              </w:rPr>
            </w:pPr>
            <w:r w:rsidRPr="00C83BDF">
              <w:rPr>
                <w:rFonts w:cs="Arial"/>
                <w:lang w:val="es-ES_tradnl"/>
              </w:rPr>
              <w:t>Comunidad Internacional de Fitomejoradores de Plantas Ornamentales y Frutales de Reproducción Asexuada</w:t>
            </w:r>
          </w:p>
        </w:tc>
      </w:tr>
      <w:tr w:rsidR="006226EB" w:rsidRPr="00C83BDF">
        <w:trPr>
          <w:cantSplit/>
        </w:trPr>
        <w:tc>
          <w:tcPr>
            <w:tcW w:w="1809" w:type="dxa"/>
          </w:tcPr>
          <w:p w:rsidR="006226EB" w:rsidRPr="00C83BDF" w:rsidRDefault="006226EB" w:rsidP="006A7447">
            <w:pPr>
              <w:autoSpaceDE w:val="0"/>
              <w:autoSpaceDN w:val="0"/>
              <w:adjustRightInd w:val="0"/>
              <w:jc w:val="left"/>
              <w:rPr>
                <w:lang w:val="es-ES_tradnl"/>
              </w:rPr>
            </w:pPr>
            <w:r w:rsidRPr="00C83BDF">
              <w:rPr>
                <w:lang w:val="es-ES_tradnl"/>
              </w:rPr>
              <w:t>CIPE</w:t>
            </w:r>
          </w:p>
        </w:tc>
        <w:tc>
          <w:tcPr>
            <w:tcW w:w="8080" w:type="dxa"/>
          </w:tcPr>
          <w:p w:rsidR="006226EB" w:rsidRPr="00C83BDF" w:rsidRDefault="006226EB" w:rsidP="006A7447">
            <w:pPr>
              <w:autoSpaceDE w:val="0"/>
              <w:autoSpaceDN w:val="0"/>
              <w:adjustRightInd w:val="0"/>
              <w:jc w:val="left"/>
              <w:rPr>
                <w:lang w:val="es-ES_tradnl"/>
              </w:rPr>
            </w:pPr>
            <w:r w:rsidRPr="00C83BDF">
              <w:rPr>
                <w:lang w:val="es-ES_tradnl"/>
              </w:rPr>
              <w:t>Comité Intergubernamental Especial de Composición Abierta para el Protocolo de Nagoya sobre Acceso a los Recursos Genéticos y Participación Justa y Equitativa en los Beneficios que se Deriven de su Utilización</w:t>
            </w:r>
          </w:p>
        </w:tc>
      </w:tr>
      <w:tr w:rsidR="006226EB" w:rsidRPr="00C83BDF">
        <w:trPr>
          <w:cantSplit/>
        </w:trPr>
        <w:tc>
          <w:tcPr>
            <w:tcW w:w="1809" w:type="dxa"/>
          </w:tcPr>
          <w:p w:rsidR="006226EB" w:rsidRPr="00C83BDF" w:rsidRDefault="006226EB" w:rsidP="006A7447">
            <w:pPr>
              <w:jc w:val="left"/>
              <w:rPr>
                <w:snapToGrid w:val="0"/>
                <w:lang w:val="es-ES_tradnl"/>
              </w:rPr>
            </w:pPr>
            <w:r w:rsidRPr="00C83BDF">
              <w:rPr>
                <w:snapToGrid w:val="0"/>
                <w:lang w:val="es-ES_tradnl"/>
              </w:rPr>
              <w:t>CRGAA</w:t>
            </w:r>
          </w:p>
        </w:tc>
        <w:tc>
          <w:tcPr>
            <w:tcW w:w="8080" w:type="dxa"/>
          </w:tcPr>
          <w:p w:rsidR="006226EB" w:rsidRPr="00C83BDF" w:rsidRDefault="006226EB" w:rsidP="006A7447">
            <w:pPr>
              <w:jc w:val="left"/>
              <w:rPr>
                <w:snapToGrid w:val="0"/>
                <w:lang w:val="es-ES_tradnl"/>
              </w:rPr>
            </w:pPr>
            <w:r w:rsidRPr="00C83BDF">
              <w:rPr>
                <w:snapToGrid w:val="0"/>
                <w:lang w:val="es-ES_tradnl"/>
              </w:rPr>
              <w:t>Comisión de Recursos Genéticos para la Alimentación y la Agricultura</w:t>
            </w:r>
          </w:p>
        </w:tc>
      </w:tr>
      <w:tr w:rsidR="006226EB" w:rsidRPr="00C83BDF">
        <w:trPr>
          <w:cantSplit/>
        </w:trPr>
        <w:tc>
          <w:tcPr>
            <w:tcW w:w="1809" w:type="dxa"/>
          </w:tcPr>
          <w:p w:rsidR="006226EB" w:rsidRPr="00C83BDF" w:rsidRDefault="006226EB" w:rsidP="006A7447">
            <w:pPr>
              <w:jc w:val="left"/>
              <w:rPr>
                <w:lang w:val="es-ES_tradnl"/>
              </w:rPr>
            </w:pPr>
            <w:r w:rsidRPr="00C83BDF">
              <w:rPr>
                <w:lang w:val="es-ES_tradnl"/>
              </w:rPr>
              <w:t>EPFL</w:t>
            </w:r>
          </w:p>
        </w:tc>
        <w:tc>
          <w:tcPr>
            <w:tcW w:w="8080" w:type="dxa"/>
          </w:tcPr>
          <w:p w:rsidR="006226EB" w:rsidRPr="00C83BDF" w:rsidRDefault="006226EB" w:rsidP="006A7447">
            <w:pPr>
              <w:jc w:val="left"/>
              <w:rPr>
                <w:lang w:val="es-ES_tradnl"/>
              </w:rPr>
            </w:pPr>
            <w:r w:rsidRPr="00C83BDF">
              <w:rPr>
                <w:lang w:val="es-ES_tradnl"/>
              </w:rPr>
              <w:t>Escuela Politécnica Federal de Lausana</w:t>
            </w:r>
          </w:p>
        </w:tc>
      </w:tr>
      <w:tr w:rsidR="006226EB" w:rsidRPr="00C83BDF">
        <w:trPr>
          <w:cantSplit/>
        </w:trPr>
        <w:tc>
          <w:tcPr>
            <w:tcW w:w="1809" w:type="dxa"/>
          </w:tcPr>
          <w:p w:rsidR="006226EB" w:rsidRPr="00C83BDF" w:rsidRDefault="006226EB" w:rsidP="006A7447">
            <w:pPr>
              <w:jc w:val="left"/>
              <w:rPr>
                <w:lang w:val="es-ES_tradnl"/>
              </w:rPr>
            </w:pPr>
            <w:r w:rsidRPr="00C83BDF">
              <w:rPr>
                <w:lang w:val="es-ES_tradnl"/>
              </w:rPr>
              <w:t>FAO</w:t>
            </w:r>
          </w:p>
        </w:tc>
        <w:tc>
          <w:tcPr>
            <w:tcW w:w="8080" w:type="dxa"/>
          </w:tcPr>
          <w:p w:rsidR="006226EB" w:rsidRPr="00C83BDF" w:rsidRDefault="006226EB" w:rsidP="006A7447">
            <w:pPr>
              <w:jc w:val="left"/>
              <w:rPr>
                <w:lang w:val="es-ES_tradnl"/>
              </w:rPr>
            </w:pPr>
            <w:r w:rsidRPr="00C83BDF">
              <w:rPr>
                <w:lang w:val="es-ES_tradnl"/>
              </w:rPr>
              <w:t>Organización de las Naciones Unidas para la Agricultura y la Alimentación</w:t>
            </w:r>
          </w:p>
        </w:tc>
      </w:tr>
      <w:tr w:rsidR="006226EB" w:rsidRPr="00C83BDF">
        <w:trPr>
          <w:cantSplit/>
        </w:trPr>
        <w:tc>
          <w:tcPr>
            <w:tcW w:w="1809" w:type="dxa"/>
          </w:tcPr>
          <w:p w:rsidR="006226EB" w:rsidRPr="00C83BDF" w:rsidRDefault="006226EB" w:rsidP="006A7447">
            <w:pPr>
              <w:jc w:val="left"/>
              <w:rPr>
                <w:snapToGrid w:val="0"/>
                <w:lang w:val="es-ES_tradnl"/>
              </w:rPr>
            </w:pPr>
            <w:r w:rsidRPr="00C83BDF">
              <w:rPr>
                <w:snapToGrid w:val="0"/>
                <w:lang w:val="es-ES_tradnl"/>
              </w:rPr>
              <w:t>Foro EAPVP</w:t>
            </w:r>
          </w:p>
        </w:tc>
        <w:tc>
          <w:tcPr>
            <w:tcW w:w="8080" w:type="dxa"/>
          </w:tcPr>
          <w:p w:rsidR="006226EB" w:rsidRPr="00C83BDF" w:rsidRDefault="006226EB" w:rsidP="006A7447">
            <w:pPr>
              <w:jc w:val="left"/>
              <w:rPr>
                <w:snapToGrid w:val="0"/>
                <w:lang w:val="es-ES_tradnl"/>
              </w:rPr>
            </w:pPr>
            <w:r w:rsidRPr="00C83BDF">
              <w:rPr>
                <w:snapToGrid w:val="0"/>
                <w:lang w:val="es-ES_tradnl"/>
              </w:rPr>
              <w:t>Foro de Asia Oriental para la Protección de las Obtenciones Vegetales</w:t>
            </w:r>
          </w:p>
        </w:tc>
      </w:tr>
      <w:tr w:rsidR="006226EB" w:rsidRPr="00C83BDF">
        <w:trPr>
          <w:cantSplit/>
        </w:trPr>
        <w:tc>
          <w:tcPr>
            <w:tcW w:w="1809" w:type="dxa"/>
          </w:tcPr>
          <w:p w:rsidR="006226EB" w:rsidRPr="00C83BDF" w:rsidRDefault="006226EB" w:rsidP="006A7447">
            <w:pPr>
              <w:jc w:val="left"/>
              <w:rPr>
                <w:lang w:val="es-ES_tradnl"/>
              </w:rPr>
            </w:pPr>
            <w:r w:rsidRPr="00C83BDF">
              <w:rPr>
                <w:lang w:val="es-ES_tradnl"/>
              </w:rPr>
              <w:t>FWCC</w:t>
            </w:r>
          </w:p>
        </w:tc>
        <w:tc>
          <w:tcPr>
            <w:tcW w:w="8080" w:type="dxa"/>
          </w:tcPr>
          <w:p w:rsidR="006226EB" w:rsidRPr="00C83BDF" w:rsidRDefault="006226EB" w:rsidP="006A7447">
            <w:pPr>
              <w:jc w:val="left"/>
              <w:rPr>
                <w:lang w:val="es-ES_tradnl"/>
              </w:rPr>
            </w:pPr>
            <w:r w:rsidRPr="00C83BDF">
              <w:rPr>
                <w:i/>
                <w:lang w:val="es-ES_tradnl"/>
              </w:rPr>
              <w:t>Friends World Committee for Consultation</w:t>
            </w:r>
            <w:r w:rsidRPr="00C83BDF">
              <w:rPr>
                <w:lang w:val="es-ES_tradnl"/>
              </w:rPr>
              <w:t xml:space="preserve"> (Comité Mundial de Consulta de los Amigos)</w:t>
            </w:r>
          </w:p>
        </w:tc>
      </w:tr>
      <w:tr w:rsidR="006226EB" w:rsidRPr="00C83BDF">
        <w:trPr>
          <w:cantSplit/>
        </w:trPr>
        <w:tc>
          <w:tcPr>
            <w:tcW w:w="1809" w:type="dxa"/>
          </w:tcPr>
          <w:p w:rsidR="006226EB" w:rsidRPr="00C83BDF" w:rsidRDefault="006226EB" w:rsidP="006A7447">
            <w:pPr>
              <w:jc w:val="left"/>
              <w:rPr>
                <w:lang w:val="es-ES_tradnl"/>
              </w:rPr>
            </w:pPr>
            <w:r w:rsidRPr="00C83BDF">
              <w:rPr>
                <w:lang w:val="es-ES_tradnl"/>
              </w:rPr>
              <w:t>IHEID</w:t>
            </w:r>
          </w:p>
        </w:tc>
        <w:tc>
          <w:tcPr>
            <w:tcW w:w="8080" w:type="dxa"/>
          </w:tcPr>
          <w:p w:rsidR="006226EB" w:rsidRPr="00C83BDF" w:rsidRDefault="006226EB" w:rsidP="006A7447">
            <w:pPr>
              <w:jc w:val="left"/>
              <w:rPr>
                <w:lang w:val="es-ES_tradnl"/>
              </w:rPr>
            </w:pPr>
            <w:r w:rsidRPr="00C83BDF">
              <w:rPr>
                <w:lang w:val="es-ES_tradnl"/>
              </w:rPr>
              <w:t xml:space="preserve">Instituto Universitario de Altos Estudios Internacionales y Desarrollo de Suiza </w:t>
            </w:r>
          </w:p>
        </w:tc>
      </w:tr>
      <w:tr w:rsidR="006226EB" w:rsidRPr="00C83BDF">
        <w:trPr>
          <w:cantSplit/>
        </w:trPr>
        <w:tc>
          <w:tcPr>
            <w:tcW w:w="1809" w:type="dxa"/>
          </w:tcPr>
          <w:p w:rsidR="006226EB" w:rsidRPr="00C83BDF" w:rsidRDefault="006226EB" w:rsidP="006A7447">
            <w:pPr>
              <w:jc w:val="left"/>
              <w:rPr>
                <w:lang w:val="es-ES_tradnl"/>
              </w:rPr>
            </w:pPr>
            <w:r w:rsidRPr="00C83BDF">
              <w:rPr>
                <w:lang w:val="es-ES_tradnl"/>
              </w:rPr>
              <w:t>ISF</w:t>
            </w:r>
          </w:p>
        </w:tc>
        <w:tc>
          <w:tcPr>
            <w:tcW w:w="8080" w:type="dxa"/>
          </w:tcPr>
          <w:p w:rsidR="006226EB" w:rsidRPr="00C83BDF" w:rsidRDefault="006226EB" w:rsidP="006A7447">
            <w:pPr>
              <w:jc w:val="left"/>
              <w:rPr>
                <w:lang w:val="es-ES_tradnl"/>
              </w:rPr>
            </w:pPr>
            <w:r w:rsidRPr="00C83BDF">
              <w:rPr>
                <w:i/>
                <w:lang w:val="es-ES_tradnl"/>
              </w:rPr>
              <w:t>International Seed Federation</w:t>
            </w:r>
            <w:r w:rsidRPr="00C83BDF">
              <w:rPr>
                <w:lang w:val="es-ES_tradnl"/>
              </w:rPr>
              <w:t xml:space="preserve"> (Federación Internacional de Semillas)</w:t>
            </w:r>
          </w:p>
        </w:tc>
      </w:tr>
      <w:tr w:rsidR="006226EB" w:rsidRPr="00C83BDF">
        <w:trPr>
          <w:cantSplit/>
        </w:trPr>
        <w:tc>
          <w:tcPr>
            <w:tcW w:w="1809" w:type="dxa"/>
          </w:tcPr>
          <w:p w:rsidR="006226EB" w:rsidRPr="00C83BDF" w:rsidRDefault="006226EB" w:rsidP="006A7447">
            <w:pPr>
              <w:jc w:val="left"/>
              <w:rPr>
                <w:lang w:val="es-ES_tradnl"/>
              </w:rPr>
            </w:pPr>
            <w:r w:rsidRPr="00C83BDF">
              <w:rPr>
                <w:lang w:val="es-ES_tradnl"/>
              </w:rPr>
              <w:t>ISTA</w:t>
            </w:r>
          </w:p>
        </w:tc>
        <w:tc>
          <w:tcPr>
            <w:tcW w:w="8080" w:type="dxa"/>
          </w:tcPr>
          <w:p w:rsidR="006226EB" w:rsidRPr="00C83BDF" w:rsidRDefault="006226EB" w:rsidP="006A7447">
            <w:pPr>
              <w:jc w:val="left"/>
              <w:rPr>
                <w:lang w:val="es-ES_tradnl"/>
              </w:rPr>
            </w:pPr>
            <w:r w:rsidRPr="00C83BDF">
              <w:rPr>
                <w:i/>
                <w:lang w:val="es-ES_tradnl"/>
              </w:rPr>
              <w:t xml:space="preserve">International Seed Testing Association </w:t>
            </w:r>
            <w:r w:rsidRPr="00C83BDF">
              <w:rPr>
                <w:lang w:val="es-ES_tradnl"/>
              </w:rPr>
              <w:t>(Asociación Internacional para el Ensayo de Semillas)</w:t>
            </w:r>
          </w:p>
        </w:tc>
      </w:tr>
      <w:tr w:rsidR="006226EB" w:rsidRPr="00C83BDF">
        <w:trPr>
          <w:cantSplit/>
        </w:trPr>
        <w:tc>
          <w:tcPr>
            <w:tcW w:w="1809" w:type="dxa"/>
          </w:tcPr>
          <w:p w:rsidR="006226EB" w:rsidRPr="00C83BDF" w:rsidRDefault="006226EB" w:rsidP="006A7447">
            <w:pPr>
              <w:jc w:val="left"/>
              <w:rPr>
                <w:snapToGrid w:val="0"/>
                <w:lang w:val="es-ES_tradnl"/>
              </w:rPr>
            </w:pPr>
            <w:r w:rsidRPr="00C83BDF">
              <w:rPr>
                <w:snapToGrid w:val="0"/>
                <w:lang w:val="es-ES_tradnl"/>
              </w:rPr>
              <w:t>ITPGRFA</w:t>
            </w:r>
          </w:p>
        </w:tc>
        <w:tc>
          <w:tcPr>
            <w:tcW w:w="8080" w:type="dxa"/>
          </w:tcPr>
          <w:p w:rsidR="006226EB" w:rsidRPr="00C83BDF" w:rsidRDefault="006226EB" w:rsidP="006A7447">
            <w:pPr>
              <w:jc w:val="left"/>
              <w:rPr>
                <w:snapToGrid w:val="0"/>
                <w:lang w:val="es-ES_tradnl"/>
              </w:rPr>
            </w:pPr>
            <w:r w:rsidRPr="00C83BDF">
              <w:rPr>
                <w:snapToGrid w:val="0"/>
                <w:lang w:val="es-ES_tradnl"/>
              </w:rPr>
              <w:t>Tratado Internacional sobre los Recursos Fitogenéticos para la Alimentación y la Agricultura</w:t>
            </w:r>
          </w:p>
        </w:tc>
      </w:tr>
      <w:tr w:rsidR="006226EB" w:rsidRPr="00C83BDF">
        <w:trPr>
          <w:cantSplit/>
        </w:trPr>
        <w:tc>
          <w:tcPr>
            <w:tcW w:w="1809" w:type="dxa"/>
          </w:tcPr>
          <w:p w:rsidR="006226EB" w:rsidRPr="00C83BDF" w:rsidRDefault="006226EB" w:rsidP="006A7447">
            <w:pPr>
              <w:jc w:val="left"/>
              <w:rPr>
                <w:lang w:val="es-ES_tradnl"/>
              </w:rPr>
            </w:pPr>
            <w:r w:rsidRPr="00C83BDF">
              <w:rPr>
                <w:lang w:val="es-ES_tradnl"/>
              </w:rPr>
              <w:t>JICA</w:t>
            </w:r>
          </w:p>
        </w:tc>
        <w:tc>
          <w:tcPr>
            <w:tcW w:w="8080" w:type="dxa"/>
          </w:tcPr>
          <w:p w:rsidR="006226EB" w:rsidRPr="00C83BDF" w:rsidRDefault="006226EB" w:rsidP="006A7447">
            <w:pPr>
              <w:jc w:val="left"/>
              <w:rPr>
                <w:lang w:val="es-ES_tradnl"/>
              </w:rPr>
            </w:pPr>
            <w:r w:rsidRPr="00C83BDF">
              <w:rPr>
                <w:lang w:val="es-ES_tradnl"/>
              </w:rPr>
              <w:t>Agencia Japonesa de Cooperación Internacional</w:t>
            </w:r>
          </w:p>
        </w:tc>
      </w:tr>
      <w:tr w:rsidR="006226EB" w:rsidRPr="00C83BDF">
        <w:trPr>
          <w:cantSplit/>
        </w:trPr>
        <w:tc>
          <w:tcPr>
            <w:tcW w:w="1809" w:type="dxa"/>
          </w:tcPr>
          <w:p w:rsidR="006226EB" w:rsidRPr="00C83BDF" w:rsidRDefault="006226EB" w:rsidP="006A7447">
            <w:pPr>
              <w:jc w:val="left"/>
              <w:rPr>
                <w:snapToGrid w:val="0"/>
                <w:color w:val="000000"/>
                <w:lang w:val="es-ES_tradnl" w:eastAsia="ja-JP"/>
              </w:rPr>
            </w:pPr>
            <w:r w:rsidRPr="00C83BDF">
              <w:rPr>
                <w:snapToGrid w:val="0"/>
                <w:color w:val="000000"/>
                <w:lang w:val="es-ES_tradnl" w:eastAsia="ja-JP"/>
              </w:rPr>
              <w:t>KOICA</w:t>
            </w:r>
          </w:p>
        </w:tc>
        <w:tc>
          <w:tcPr>
            <w:tcW w:w="8080" w:type="dxa"/>
          </w:tcPr>
          <w:p w:rsidR="006226EB" w:rsidRPr="00C83BDF" w:rsidRDefault="006226EB" w:rsidP="006A7447">
            <w:pPr>
              <w:jc w:val="left"/>
              <w:rPr>
                <w:snapToGrid w:val="0"/>
                <w:color w:val="000000"/>
                <w:lang w:val="es-ES_tradnl" w:eastAsia="ja-JP"/>
              </w:rPr>
            </w:pPr>
            <w:r w:rsidRPr="00C83BDF">
              <w:rPr>
                <w:snapToGrid w:val="0"/>
                <w:color w:val="000000"/>
                <w:lang w:val="es-ES_tradnl" w:eastAsia="ja-JP"/>
              </w:rPr>
              <w:t>Agencia Coreana de Cooperación Internacional</w:t>
            </w:r>
          </w:p>
        </w:tc>
      </w:tr>
      <w:tr w:rsidR="006226EB" w:rsidRPr="00C83BDF">
        <w:trPr>
          <w:cantSplit/>
        </w:trPr>
        <w:tc>
          <w:tcPr>
            <w:tcW w:w="1809" w:type="dxa"/>
          </w:tcPr>
          <w:p w:rsidR="006226EB" w:rsidRPr="00C83BDF" w:rsidRDefault="006226EB" w:rsidP="006A7447">
            <w:pPr>
              <w:jc w:val="left"/>
              <w:rPr>
                <w:rFonts w:cs="Arial"/>
                <w:noProof/>
                <w:color w:val="000000"/>
                <w:lang w:val="es-ES_tradnl" w:eastAsia="ja-JP" w:bidi="km-KH"/>
              </w:rPr>
            </w:pPr>
            <w:r w:rsidRPr="00C83BDF">
              <w:rPr>
                <w:rFonts w:cs="Arial"/>
                <w:color w:val="000000"/>
                <w:lang w:val="es-ES_tradnl" w:eastAsia="ja-JP" w:bidi="km-KH"/>
              </w:rPr>
              <w:t>KSVS</w:t>
            </w:r>
          </w:p>
        </w:tc>
        <w:tc>
          <w:tcPr>
            <w:tcW w:w="8080" w:type="dxa"/>
          </w:tcPr>
          <w:p w:rsidR="006226EB" w:rsidRPr="00C83BDF" w:rsidRDefault="006226EB" w:rsidP="006A7447">
            <w:pPr>
              <w:jc w:val="left"/>
              <w:rPr>
                <w:rFonts w:cs="Arial"/>
                <w:noProof/>
                <w:color w:val="000000"/>
                <w:lang w:val="es-ES_tradnl" w:eastAsia="ja-JP" w:bidi="km-KH"/>
              </w:rPr>
            </w:pPr>
            <w:r w:rsidRPr="00C83BDF">
              <w:rPr>
                <w:rFonts w:cs="Arial"/>
                <w:color w:val="000000"/>
                <w:lang w:val="es-ES_tradnl" w:eastAsia="ja-JP" w:bidi="km-KH"/>
              </w:rPr>
              <w:t>Servicio de Semillas y Variedades de Corea</w:t>
            </w:r>
          </w:p>
        </w:tc>
      </w:tr>
      <w:tr w:rsidR="006226EB" w:rsidRPr="00C83BDF">
        <w:trPr>
          <w:cantSplit/>
        </w:trPr>
        <w:tc>
          <w:tcPr>
            <w:tcW w:w="1809" w:type="dxa"/>
          </w:tcPr>
          <w:p w:rsidR="006226EB" w:rsidRPr="00C83BDF" w:rsidRDefault="006226EB" w:rsidP="006A7447">
            <w:pPr>
              <w:jc w:val="left"/>
              <w:rPr>
                <w:lang w:val="es-ES_tradnl"/>
              </w:rPr>
            </w:pPr>
            <w:r w:rsidRPr="00C83BDF">
              <w:rPr>
                <w:lang w:val="es-ES_tradnl"/>
              </w:rPr>
              <w:t>OAPI</w:t>
            </w:r>
          </w:p>
        </w:tc>
        <w:tc>
          <w:tcPr>
            <w:tcW w:w="8080" w:type="dxa"/>
          </w:tcPr>
          <w:p w:rsidR="006226EB" w:rsidRPr="00C83BDF" w:rsidRDefault="006226EB" w:rsidP="006A7447">
            <w:pPr>
              <w:jc w:val="left"/>
              <w:rPr>
                <w:lang w:val="es-ES_tradnl"/>
              </w:rPr>
            </w:pPr>
            <w:r w:rsidRPr="00C83BDF">
              <w:rPr>
                <w:lang w:val="es-ES_tradnl"/>
              </w:rPr>
              <w:t>Organización Africana de la Propiedad Intelectual</w:t>
            </w:r>
          </w:p>
        </w:tc>
      </w:tr>
      <w:tr w:rsidR="006226EB" w:rsidRPr="00C83BDF">
        <w:trPr>
          <w:cantSplit/>
        </w:trPr>
        <w:tc>
          <w:tcPr>
            <w:tcW w:w="1809" w:type="dxa"/>
          </w:tcPr>
          <w:p w:rsidR="006226EB" w:rsidRPr="00C83BDF" w:rsidRDefault="006226EB" w:rsidP="006A7447">
            <w:pPr>
              <w:jc w:val="left"/>
              <w:rPr>
                <w:lang w:val="es-ES_tradnl"/>
              </w:rPr>
            </w:pPr>
            <w:r w:rsidRPr="00C83BDF">
              <w:rPr>
                <w:lang w:val="es-ES_tradnl"/>
              </w:rPr>
              <w:t>OCDE</w:t>
            </w:r>
          </w:p>
        </w:tc>
        <w:tc>
          <w:tcPr>
            <w:tcW w:w="8080" w:type="dxa"/>
          </w:tcPr>
          <w:p w:rsidR="006226EB" w:rsidRPr="00C83BDF" w:rsidRDefault="006226EB" w:rsidP="006A7447">
            <w:pPr>
              <w:jc w:val="left"/>
              <w:rPr>
                <w:lang w:val="es-ES_tradnl"/>
              </w:rPr>
            </w:pPr>
            <w:r w:rsidRPr="00C83BDF">
              <w:rPr>
                <w:lang w:val="es-ES_tradnl"/>
              </w:rPr>
              <w:t>Organización para la Cooperación y el Desarrollo Económicos</w:t>
            </w:r>
          </w:p>
        </w:tc>
      </w:tr>
      <w:tr w:rsidR="006226EB" w:rsidRPr="00C83BDF">
        <w:trPr>
          <w:cantSplit/>
        </w:trPr>
        <w:tc>
          <w:tcPr>
            <w:tcW w:w="1809" w:type="dxa"/>
          </w:tcPr>
          <w:p w:rsidR="006226EB" w:rsidRPr="00C83BDF" w:rsidRDefault="006226EB" w:rsidP="006A7447">
            <w:pPr>
              <w:jc w:val="left"/>
              <w:rPr>
                <w:lang w:val="es-ES_tradnl"/>
              </w:rPr>
            </w:pPr>
            <w:r w:rsidRPr="00C83BDF">
              <w:rPr>
                <w:lang w:val="es-ES_tradnl"/>
              </w:rPr>
              <w:t>OCVV</w:t>
            </w:r>
          </w:p>
        </w:tc>
        <w:tc>
          <w:tcPr>
            <w:tcW w:w="8080" w:type="dxa"/>
          </w:tcPr>
          <w:p w:rsidR="006226EB" w:rsidRPr="00C83BDF" w:rsidRDefault="006226EB" w:rsidP="006A7447">
            <w:pPr>
              <w:jc w:val="left"/>
              <w:rPr>
                <w:lang w:val="es-ES_tradnl"/>
              </w:rPr>
            </w:pPr>
            <w:r w:rsidRPr="00C83BDF">
              <w:rPr>
                <w:lang w:val="es-ES_tradnl"/>
              </w:rPr>
              <w:t>Oficina Comunitaria de Variedades Vegetales de la Unión Europea</w:t>
            </w:r>
          </w:p>
        </w:tc>
      </w:tr>
      <w:tr w:rsidR="006226EB" w:rsidRPr="00C83BDF">
        <w:trPr>
          <w:cantSplit/>
        </w:trPr>
        <w:tc>
          <w:tcPr>
            <w:tcW w:w="1809" w:type="dxa"/>
          </w:tcPr>
          <w:p w:rsidR="006226EB" w:rsidRPr="00C83BDF" w:rsidRDefault="006226EB" w:rsidP="006A7447">
            <w:pPr>
              <w:autoSpaceDE w:val="0"/>
              <w:autoSpaceDN w:val="0"/>
              <w:adjustRightInd w:val="0"/>
              <w:jc w:val="left"/>
              <w:rPr>
                <w:szCs w:val="24"/>
                <w:lang w:val="es-ES_tradnl"/>
              </w:rPr>
            </w:pPr>
            <w:r w:rsidRPr="00C83BDF">
              <w:rPr>
                <w:szCs w:val="24"/>
                <w:lang w:val="es-ES_tradnl"/>
              </w:rPr>
              <w:t>OEVV</w:t>
            </w:r>
          </w:p>
        </w:tc>
        <w:tc>
          <w:tcPr>
            <w:tcW w:w="8080" w:type="dxa"/>
          </w:tcPr>
          <w:p w:rsidR="006226EB" w:rsidRPr="00C83BDF" w:rsidRDefault="006226EB" w:rsidP="006A7447">
            <w:pPr>
              <w:autoSpaceDE w:val="0"/>
              <w:autoSpaceDN w:val="0"/>
              <w:adjustRightInd w:val="0"/>
              <w:jc w:val="left"/>
              <w:rPr>
                <w:szCs w:val="24"/>
                <w:lang w:val="es-ES_tradnl"/>
              </w:rPr>
            </w:pPr>
            <w:r w:rsidRPr="00C83BDF">
              <w:rPr>
                <w:szCs w:val="24"/>
                <w:lang w:val="es-ES_tradnl"/>
              </w:rPr>
              <w:t>Oficina Española de Variedades Vegetales</w:t>
            </w:r>
          </w:p>
        </w:tc>
      </w:tr>
      <w:tr w:rsidR="006226EB" w:rsidRPr="00C83BDF">
        <w:trPr>
          <w:cantSplit/>
        </w:trPr>
        <w:tc>
          <w:tcPr>
            <w:tcW w:w="1809" w:type="dxa"/>
          </w:tcPr>
          <w:p w:rsidR="006226EB" w:rsidRPr="00C83BDF" w:rsidRDefault="006226EB" w:rsidP="006A7447">
            <w:pPr>
              <w:jc w:val="left"/>
              <w:rPr>
                <w:lang w:val="es-ES_tradnl"/>
              </w:rPr>
            </w:pPr>
            <w:r w:rsidRPr="00C83BDF">
              <w:rPr>
                <w:lang w:val="es-ES_tradnl"/>
              </w:rPr>
              <w:t>OIF</w:t>
            </w:r>
          </w:p>
        </w:tc>
        <w:tc>
          <w:tcPr>
            <w:tcW w:w="8080" w:type="dxa"/>
          </w:tcPr>
          <w:p w:rsidR="006226EB" w:rsidRPr="00C83BDF" w:rsidRDefault="006226EB" w:rsidP="006A7447">
            <w:pPr>
              <w:jc w:val="left"/>
              <w:rPr>
                <w:lang w:val="es-ES_tradnl"/>
              </w:rPr>
            </w:pPr>
            <w:r w:rsidRPr="00C83BDF">
              <w:rPr>
                <w:i/>
                <w:lang w:val="es-ES_tradnl"/>
              </w:rPr>
              <w:t>Organisation internationale de la francophonie</w:t>
            </w:r>
            <w:r w:rsidRPr="00C83BDF">
              <w:rPr>
                <w:lang w:val="es-ES_tradnl"/>
              </w:rPr>
              <w:t xml:space="preserve"> (Organización Internacional de la Francofonía)</w:t>
            </w:r>
          </w:p>
        </w:tc>
      </w:tr>
      <w:tr w:rsidR="006226EB" w:rsidRPr="00C83BDF">
        <w:trPr>
          <w:cantSplit/>
        </w:trPr>
        <w:tc>
          <w:tcPr>
            <w:tcW w:w="1809" w:type="dxa"/>
          </w:tcPr>
          <w:p w:rsidR="006226EB" w:rsidRPr="00C83BDF" w:rsidRDefault="006226EB" w:rsidP="006A7447">
            <w:pPr>
              <w:jc w:val="left"/>
              <w:rPr>
                <w:spacing w:val="-2"/>
                <w:lang w:val="es-ES_tradnl"/>
              </w:rPr>
            </w:pPr>
            <w:r w:rsidRPr="00C83BDF">
              <w:rPr>
                <w:spacing w:val="-2"/>
                <w:lang w:val="es-ES_tradnl"/>
              </w:rPr>
              <w:t>OMA</w:t>
            </w:r>
          </w:p>
        </w:tc>
        <w:tc>
          <w:tcPr>
            <w:tcW w:w="8080" w:type="dxa"/>
          </w:tcPr>
          <w:p w:rsidR="006226EB" w:rsidRPr="00C83BDF" w:rsidRDefault="006226EB" w:rsidP="006A7447">
            <w:pPr>
              <w:jc w:val="left"/>
              <w:rPr>
                <w:spacing w:val="-2"/>
                <w:lang w:val="es-ES_tradnl"/>
              </w:rPr>
            </w:pPr>
            <w:r w:rsidRPr="00C83BDF">
              <w:rPr>
                <w:spacing w:val="-2"/>
                <w:lang w:val="es-ES_tradnl"/>
              </w:rPr>
              <w:t>Organización Mundial de Agricultores</w:t>
            </w:r>
          </w:p>
        </w:tc>
      </w:tr>
      <w:tr w:rsidR="006226EB" w:rsidRPr="00C83BDF">
        <w:trPr>
          <w:cantSplit/>
        </w:trPr>
        <w:tc>
          <w:tcPr>
            <w:tcW w:w="1809" w:type="dxa"/>
          </w:tcPr>
          <w:p w:rsidR="006226EB" w:rsidRPr="00C83BDF" w:rsidRDefault="006226EB" w:rsidP="006A7447">
            <w:pPr>
              <w:jc w:val="left"/>
              <w:rPr>
                <w:lang w:val="es-ES_tradnl"/>
              </w:rPr>
            </w:pPr>
            <w:r w:rsidRPr="00C83BDF">
              <w:rPr>
                <w:lang w:val="es-ES_tradnl"/>
              </w:rPr>
              <w:t>OMC</w:t>
            </w:r>
          </w:p>
        </w:tc>
        <w:tc>
          <w:tcPr>
            <w:tcW w:w="8080" w:type="dxa"/>
          </w:tcPr>
          <w:p w:rsidR="006226EB" w:rsidRPr="00C83BDF" w:rsidRDefault="006226EB" w:rsidP="006A7447">
            <w:pPr>
              <w:jc w:val="left"/>
              <w:rPr>
                <w:lang w:val="es-ES_tradnl"/>
              </w:rPr>
            </w:pPr>
            <w:r w:rsidRPr="00C83BDF">
              <w:rPr>
                <w:lang w:val="es-ES_tradnl"/>
              </w:rPr>
              <w:t>Organización Mundial del Comercio</w:t>
            </w:r>
          </w:p>
        </w:tc>
      </w:tr>
      <w:tr w:rsidR="006226EB" w:rsidRPr="00C83BDF">
        <w:trPr>
          <w:cantSplit/>
        </w:trPr>
        <w:tc>
          <w:tcPr>
            <w:tcW w:w="1809" w:type="dxa"/>
          </w:tcPr>
          <w:p w:rsidR="006226EB" w:rsidRPr="00C83BDF" w:rsidRDefault="006226EB" w:rsidP="006A7447">
            <w:pPr>
              <w:jc w:val="left"/>
              <w:rPr>
                <w:snapToGrid w:val="0"/>
                <w:lang w:val="es-ES_tradnl"/>
              </w:rPr>
            </w:pPr>
            <w:r w:rsidRPr="00C83BDF">
              <w:rPr>
                <w:snapToGrid w:val="0"/>
                <w:lang w:val="es-ES_tradnl"/>
              </w:rPr>
              <w:t>OMPI</w:t>
            </w:r>
          </w:p>
        </w:tc>
        <w:tc>
          <w:tcPr>
            <w:tcW w:w="8080" w:type="dxa"/>
          </w:tcPr>
          <w:p w:rsidR="006226EB" w:rsidRPr="00C83BDF" w:rsidRDefault="006226EB" w:rsidP="006A7447">
            <w:pPr>
              <w:jc w:val="left"/>
              <w:rPr>
                <w:snapToGrid w:val="0"/>
                <w:lang w:val="es-ES_tradnl"/>
              </w:rPr>
            </w:pPr>
            <w:r w:rsidRPr="00C83BDF">
              <w:rPr>
                <w:snapToGrid w:val="0"/>
                <w:lang w:val="es-ES_tradnl"/>
              </w:rPr>
              <w:t>Organización Mundial de la Propiedad Intelectual</w:t>
            </w:r>
          </w:p>
        </w:tc>
      </w:tr>
      <w:tr w:rsidR="006226EB" w:rsidRPr="00C83BDF">
        <w:trPr>
          <w:cantSplit/>
        </w:trPr>
        <w:tc>
          <w:tcPr>
            <w:tcW w:w="1809" w:type="dxa"/>
          </w:tcPr>
          <w:p w:rsidR="006226EB" w:rsidRPr="00C83BDF" w:rsidRDefault="006226EB" w:rsidP="006A7447">
            <w:pPr>
              <w:autoSpaceDE w:val="0"/>
              <w:autoSpaceDN w:val="0"/>
              <w:adjustRightInd w:val="0"/>
              <w:jc w:val="left"/>
              <w:rPr>
                <w:lang w:val="es-ES_tradnl"/>
              </w:rPr>
            </w:pPr>
            <w:r w:rsidRPr="00C83BDF">
              <w:rPr>
                <w:lang w:val="es-ES_tradnl"/>
              </w:rPr>
              <w:t>PCT</w:t>
            </w:r>
          </w:p>
        </w:tc>
        <w:tc>
          <w:tcPr>
            <w:tcW w:w="8080" w:type="dxa"/>
          </w:tcPr>
          <w:p w:rsidR="006226EB" w:rsidRPr="00C83BDF" w:rsidRDefault="006226EB" w:rsidP="006A7447">
            <w:pPr>
              <w:autoSpaceDE w:val="0"/>
              <w:autoSpaceDN w:val="0"/>
              <w:adjustRightInd w:val="0"/>
              <w:jc w:val="left"/>
              <w:rPr>
                <w:lang w:val="es-ES_tradnl"/>
              </w:rPr>
            </w:pPr>
            <w:r w:rsidRPr="00C83BDF">
              <w:rPr>
                <w:lang w:val="es-ES_tradnl"/>
              </w:rPr>
              <w:t>Tratado de Cooperación en materia de Patentes de la OMPI</w:t>
            </w:r>
          </w:p>
        </w:tc>
      </w:tr>
      <w:tr w:rsidR="006226EB" w:rsidRPr="00C83BDF">
        <w:trPr>
          <w:cantSplit/>
        </w:trPr>
        <w:tc>
          <w:tcPr>
            <w:tcW w:w="1809" w:type="dxa"/>
          </w:tcPr>
          <w:p w:rsidR="006226EB" w:rsidRPr="00C83BDF" w:rsidRDefault="006226EB" w:rsidP="006A7447">
            <w:pPr>
              <w:jc w:val="left"/>
              <w:rPr>
                <w:lang w:val="es-ES_tradnl"/>
              </w:rPr>
            </w:pPr>
            <w:r w:rsidRPr="00C83BDF">
              <w:rPr>
                <w:lang w:val="es-ES_tradnl"/>
              </w:rPr>
              <w:t>QUNO</w:t>
            </w:r>
          </w:p>
        </w:tc>
        <w:tc>
          <w:tcPr>
            <w:tcW w:w="8080" w:type="dxa"/>
          </w:tcPr>
          <w:p w:rsidR="006226EB" w:rsidRPr="00C83BDF" w:rsidRDefault="006226EB" w:rsidP="006A7447">
            <w:pPr>
              <w:jc w:val="left"/>
              <w:rPr>
                <w:lang w:val="es-ES_tradnl"/>
              </w:rPr>
            </w:pPr>
            <w:r w:rsidRPr="00C83BDF">
              <w:rPr>
                <w:i/>
                <w:lang w:val="es-ES_tradnl"/>
              </w:rPr>
              <w:t>Quaker UN Office</w:t>
            </w:r>
            <w:r w:rsidRPr="00C83BDF">
              <w:rPr>
                <w:lang w:val="es-ES_tradnl"/>
              </w:rPr>
              <w:t xml:space="preserve"> (Oficina Cuáquera ante las Naciones Unidas)</w:t>
            </w:r>
          </w:p>
        </w:tc>
      </w:tr>
      <w:tr w:rsidR="006226EB" w:rsidRPr="00C83BDF">
        <w:trPr>
          <w:cantSplit/>
        </w:trPr>
        <w:tc>
          <w:tcPr>
            <w:tcW w:w="1809" w:type="dxa"/>
          </w:tcPr>
          <w:p w:rsidR="006226EB" w:rsidRPr="00C83BDF" w:rsidRDefault="006226EB" w:rsidP="006A7447">
            <w:pPr>
              <w:jc w:val="left"/>
              <w:rPr>
                <w:lang w:val="es-ES_tradnl"/>
              </w:rPr>
            </w:pPr>
            <w:r w:rsidRPr="00C83BDF">
              <w:rPr>
                <w:lang w:val="es-ES_tradnl"/>
              </w:rPr>
              <w:t>QUT</w:t>
            </w:r>
          </w:p>
        </w:tc>
        <w:tc>
          <w:tcPr>
            <w:tcW w:w="8080" w:type="dxa"/>
          </w:tcPr>
          <w:p w:rsidR="006226EB" w:rsidRPr="00C83BDF" w:rsidRDefault="006226EB" w:rsidP="006A7447">
            <w:pPr>
              <w:jc w:val="left"/>
              <w:rPr>
                <w:lang w:val="es-ES_tradnl"/>
              </w:rPr>
            </w:pPr>
            <w:r w:rsidRPr="00C83BDF">
              <w:rPr>
                <w:i/>
                <w:lang w:val="es-ES_tradnl"/>
              </w:rPr>
              <w:t>Queensland University of Technology</w:t>
            </w:r>
            <w:r w:rsidRPr="00C83BDF">
              <w:rPr>
                <w:lang w:val="es-ES_tradnl"/>
              </w:rPr>
              <w:t xml:space="preserve"> (Universidad de Tecnología de Queensland)</w:t>
            </w:r>
          </w:p>
        </w:tc>
      </w:tr>
      <w:tr w:rsidR="006226EB" w:rsidRPr="00C83BDF">
        <w:trPr>
          <w:cantSplit/>
        </w:trPr>
        <w:tc>
          <w:tcPr>
            <w:tcW w:w="1809" w:type="dxa"/>
          </w:tcPr>
          <w:p w:rsidR="006226EB" w:rsidRPr="00C83BDF" w:rsidRDefault="006226EB" w:rsidP="006A7447">
            <w:pPr>
              <w:jc w:val="left"/>
              <w:rPr>
                <w:lang w:val="es-ES_tradnl"/>
              </w:rPr>
            </w:pPr>
            <w:r w:rsidRPr="00C83BDF">
              <w:rPr>
                <w:lang w:val="es-ES_tradnl"/>
              </w:rPr>
              <w:t>SAA</w:t>
            </w:r>
          </w:p>
        </w:tc>
        <w:tc>
          <w:tcPr>
            <w:tcW w:w="8080" w:type="dxa"/>
          </w:tcPr>
          <w:p w:rsidR="006226EB" w:rsidRPr="00C83BDF" w:rsidRDefault="006226EB" w:rsidP="006A7447">
            <w:pPr>
              <w:jc w:val="left"/>
              <w:rPr>
                <w:lang w:val="es-ES_tradnl"/>
              </w:rPr>
            </w:pPr>
            <w:r w:rsidRPr="00C83BDF">
              <w:rPr>
                <w:i/>
                <w:lang w:val="es-ES_tradnl"/>
              </w:rPr>
              <w:t>Seed Association of the Americas</w:t>
            </w:r>
            <w:r w:rsidRPr="00C83BDF">
              <w:rPr>
                <w:lang w:val="es-ES_tradnl"/>
              </w:rPr>
              <w:t xml:space="preserve"> (Asociación de Semillas de las Américas)</w:t>
            </w:r>
          </w:p>
        </w:tc>
      </w:tr>
      <w:tr w:rsidR="006226EB" w:rsidRPr="00C83BDF">
        <w:trPr>
          <w:cantSplit/>
        </w:trPr>
        <w:tc>
          <w:tcPr>
            <w:tcW w:w="1809" w:type="dxa"/>
          </w:tcPr>
          <w:p w:rsidR="006226EB" w:rsidRPr="00C83BDF" w:rsidRDefault="006226EB" w:rsidP="006A7447">
            <w:pPr>
              <w:jc w:val="left"/>
              <w:rPr>
                <w:lang w:val="es-ES_tradnl"/>
              </w:rPr>
            </w:pPr>
            <w:r w:rsidRPr="00C83BDF">
              <w:rPr>
                <w:lang w:val="es-ES_tradnl"/>
              </w:rPr>
              <w:t>SCP de la OMPI</w:t>
            </w:r>
          </w:p>
        </w:tc>
        <w:tc>
          <w:tcPr>
            <w:tcW w:w="8080" w:type="dxa"/>
          </w:tcPr>
          <w:p w:rsidR="006226EB" w:rsidRPr="00C83BDF" w:rsidRDefault="006226EB" w:rsidP="006A7447">
            <w:pPr>
              <w:jc w:val="left"/>
              <w:rPr>
                <w:lang w:val="es-ES_tradnl"/>
              </w:rPr>
            </w:pPr>
            <w:r w:rsidRPr="00C83BDF">
              <w:rPr>
                <w:lang w:val="es-ES_tradnl"/>
              </w:rPr>
              <w:t>Comité Permanente sobre el Derecho de Patentes de la OMPI</w:t>
            </w:r>
          </w:p>
        </w:tc>
      </w:tr>
      <w:tr w:rsidR="006226EB" w:rsidRPr="00C83BDF">
        <w:trPr>
          <w:cantSplit/>
        </w:trPr>
        <w:tc>
          <w:tcPr>
            <w:tcW w:w="1809" w:type="dxa"/>
          </w:tcPr>
          <w:p w:rsidR="006226EB" w:rsidRPr="00C83BDF" w:rsidRDefault="006226EB" w:rsidP="006A7447">
            <w:pPr>
              <w:autoSpaceDE w:val="0"/>
              <w:autoSpaceDN w:val="0"/>
              <w:adjustRightInd w:val="0"/>
              <w:jc w:val="left"/>
              <w:rPr>
                <w:lang w:val="es-ES_tradnl"/>
              </w:rPr>
            </w:pPr>
            <w:r w:rsidRPr="00C83BDF">
              <w:rPr>
                <w:lang w:val="es-ES_tradnl"/>
              </w:rPr>
              <w:t>UBIS</w:t>
            </w:r>
          </w:p>
        </w:tc>
        <w:tc>
          <w:tcPr>
            <w:tcW w:w="8080" w:type="dxa"/>
          </w:tcPr>
          <w:p w:rsidR="006226EB" w:rsidRPr="00C83BDF" w:rsidRDefault="006226EB" w:rsidP="006A7447">
            <w:pPr>
              <w:autoSpaceDE w:val="0"/>
              <w:autoSpaceDN w:val="0"/>
              <w:adjustRightInd w:val="0"/>
              <w:jc w:val="left"/>
              <w:rPr>
                <w:lang w:val="es-ES_tradnl"/>
              </w:rPr>
            </w:pPr>
            <w:r w:rsidRPr="00C83BDF">
              <w:rPr>
                <w:lang w:val="es-ES_tradnl"/>
              </w:rPr>
              <w:t>Universidad de Estudios Empresariales e Internacionales</w:t>
            </w:r>
          </w:p>
        </w:tc>
      </w:tr>
      <w:tr w:rsidR="006226EB" w:rsidRPr="00C83BDF">
        <w:trPr>
          <w:cantSplit/>
        </w:trPr>
        <w:tc>
          <w:tcPr>
            <w:tcW w:w="1809" w:type="dxa"/>
          </w:tcPr>
          <w:p w:rsidR="006226EB" w:rsidRPr="00C83BDF" w:rsidRDefault="006226EB" w:rsidP="006A7447">
            <w:pPr>
              <w:jc w:val="left"/>
              <w:rPr>
                <w:lang w:val="es-ES_tradnl"/>
              </w:rPr>
            </w:pPr>
            <w:r w:rsidRPr="00C83BDF">
              <w:rPr>
                <w:lang w:val="es-ES_tradnl"/>
              </w:rPr>
              <w:t>UNIGE</w:t>
            </w:r>
          </w:p>
        </w:tc>
        <w:tc>
          <w:tcPr>
            <w:tcW w:w="8080" w:type="dxa"/>
          </w:tcPr>
          <w:p w:rsidR="006226EB" w:rsidRPr="00C83BDF" w:rsidRDefault="006226EB" w:rsidP="006A7447">
            <w:pPr>
              <w:jc w:val="left"/>
              <w:rPr>
                <w:lang w:val="es-ES_tradnl"/>
              </w:rPr>
            </w:pPr>
            <w:r w:rsidRPr="00C83BDF">
              <w:rPr>
                <w:lang w:val="es-ES_tradnl"/>
              </w:rPr>
              <w:t>Universidad de Ginebra</w:t>
            </w:r>
          </w:p>
        </w:tc>
      </w:tr>
      <w:tr w:rsidR="006226EB" w:rsidRPr="00C83BDF">
        <w:trPr>
          <w:cantSplit/>
        </w:trPr>
        <w:tc>
          <w:tcPr>
            <w:tcW w:w="1809" w:type="dxa"/>
          </w:tcPr>
          <w:p w:rsidR="006226EB" w:rsidRPr="00C83BDF" w:rsidRDefault="006226EB" w:rsidP="006A7447">
            <w:pPr>
              <w:jc w:val="left"/>
              <w:rPr>
                <w:lang w:val="es-ES_tradnl"/>
              </w:rPr>
            </w:pPr>
            <w:r w:rsidRPr="00C83BDF">
              <w:rPr>
                <w:lang w:val="es-ES_tradnl"/>
              </w:rPr>
              <w:t>USPTO</w:t>
            </w:r>
          </w:p>
        </w:tc>
        <w:tc>
          <w:tcPr>
            <w:tcW w:w="8080" w:type="dxa"/>
          </w:tcPr>
          <w:p w:rsidR="006226EB" w:rsidRPr="00C83BDF" w:rsidRDefault="006226EB" w:rsidP="006A7447">
            <w:pPr>
              <w:jc w:val="left"/>
              <w:rPr>
                <w:lang w:val="es-ES_tradnl"/>
              </w:rPr>
            </w:pPr>
            <w:r w:rsidRPr="00C83BDF">
              <w:rPr>
                <w:i/>
                <w:lang w:val="es-ES_tradnl"/>
              </w:rPr>
              <w:t>United States Patent and Trademark Office</w:t>
            </w:r>
            <w:r w:rsidRPr="00C83BDF">
              <w:rPr>
                <w:lang w:val="es-ES_tradnl"/>
              </w:rPr>
              <w:t xml:space="preserve"> (Oficina de Patentes y Marcas de los Estados Unidos de América)</w:t>
            </w:r>
          </w:p>
        </w:tc>
      </w:tr>
    </w:tbl>
    <w:p w:rsidR="00E65183" w:rsidRPr="00C83BDF" w:rsidRDefault="00E65183" w:rsidP="00E65183">
      <w:pPr>
        <w:ind w:left="1418" w:hanging="1418"/>
        <w:jc w:val="right"/>
        <w:rPr>
          <w:lang w:val="es-ES_tradnl"/>
        </w:rPr>
      </w:pPr>
    </w:p>
    <w:p w:rsidR="00E65183" w:rsidRPr="00C83BDF" w:rsidRDefault="00E65183" w:rsidP="00E65183">
      <w:pPr>
        <w:ind w:left="1418" w:hanging="1418"/>
        <w:jc w:val="right"/>
        <w:rPr>
          <w:lang w:val="es-ES_tradnl"/>
        </w:rPr>
      </w:pPr>
    </w:p>
    <w:p w:rsidR="00E65183" w:rsidRPr="00C83BDF" w:rsidRDefault="00E65183" w:rsidP="00E65183">
      <w:pPr>
        <w:ind w:left="1418" w:hanging="1418"/>
        <w:jc w:val="right"/>
        <w:rPr>
          <w:lang w:val="es-ES_tradnl"/>
        </w:rPr>
      </w:pPr>
    </w:p>
    <w:p w:rsidR="00E65183" w:rsidRPr="00C83BDF" w:rsidRDefault="00BF330D" w:rsidP="00E65183">
      <w:pPr>
        <w:ind w:left="1418" w:hanging="1418"/>
        <w:jc w:val="right"/>
        <w:rPr>
          <w:lang w:val="es-ES_tradnl"/>
        </w:rPr>
      </w:pPr>
      <w:r w:rsidRPr="00C83BDF">
        <w:rPr>
          <w:lang w:val="es-ES_tradnl"/>
        </w:rPr>
        <w:t xml:space="preserve">[Fin del </w:t>
      </w:r>
      <w:r w:rsidR="00E000F5" w:rsidRPr="00C83BDF">
        <w:rPr>
          <w:lang w:val="es-ES_tradnl"/>
        </w:rPr>
        <w:t xml:space="preserve">Apéndice </w:t>
      </w:r>
      <w:r w:rsidRPr="00C83BDF">
        <w:rPr>
          <w:lang w:val="es-ES_tradnl"/>
        </w:rPr>
        <w:t>y del documento]</w:t>
      </w:r>
    </w:p>
    <w:p w:rsidR="00E65183" w:rsidRPr="00C83BDF" w:rsidRDefault="00E65183" w:rsidP="00E65183">
      <w:pPr>
        <w:jc w:val="left"/>
        <w:rPr>
          <w:lang w:val="es-ES_tradnl"/>
        </w:rPr>
      </w:pPr>
    </w:p>
    <w:p w:rsidR="006B17D2" w:rsidRPr="00C83BDF" w:rsidRDefault="006B17D2" w:rsidP="00E65183">
      <w:pPr>
        <w:rPr>
          <w:lang w:val="es-ES_tradnl"/>
        </w:rPr>
      </w:pPr>
    </w:p>
    <w:sectPr w:rsidR="006B17D2" w:rsidRPr="00C83BDF" w:rsidSect="00040A14">
      <w:headerReference w:type="default" r:id="rId23"/>
      <w:footerReference w:type="first" r:id="rId2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57D" w:rsidRDefault="0026557D" w:rsidP="00F45372">
      <w:r>
        <w:separator/>
      </w:r>
    </w:p>
    <w:p w:rsidR="0026557D" w:rsidRDefault="0026557D" w:rsidP="00F45372"/>
    <w:p w:rsidR="0026557D" w:rsidRDefault="0026557D" w:rsidP="00F45372"/>
  </w:endnote>
  <w:endnote w:type="continuationSeparator" w:id="0">
    <w:p w:rsidR="0026557D" w:rsidRDefault="0026557D" w:rsidP="00F45372">
      <w:r>
        <w:separator/>
      </w:r>
    </w:p>
    <w:p w:rsidR="0026557D" w:rsidRPr="00B108A6" w:rsidRDefault="0026557D">
      <w:pPr>
        <w:pStyle w:val="Footer"/>
        <w:spacing w:after="60"/>
        <w:rPr>
          <w:sz w:val="18"/>
          <w:lang w:val="fr-FR"/>
        </w:rPr>
      </w:pPr>
      <w:r w:rsidRPr="00B108A6">
        <w:rPr>
          <w:sz w:val="18"/>
          <w:lang w:val="fr-FR"/>
        </w:rPr>
        <w:t>[Suite de la note de la page précédente]</w:t>
      </w:r>
    </w:p>
    <w:p w:rsidR="0026557D" w:rsidRPr="00B108A6" w:rsidRDefault="0026557D" w:rsidP="00F45372">
      <w:pPr>
        <w:rPr>
          <w:lang w:val="fr-FR"/>
        </w:rPr>
      </w:pPr>
    </w:p>
    <w:p w:rsidR="0026557D" w:rsidRPr="00B108A6" w:rsidRDefault="0026557D" w:rsidP="00F45372">
      <w:pPr>
        <w:rPr>
          <w:lang w:val="fr-FR"/>
        </w:rPr>
      </w:pPr>
    </w:p>
  </w:endnote>
  <w:endnote w:type="continuationNotice" w:id="1">
    <w:p w:rsidR="0026557D" w:rsidRPr="00B108A6" w:rsidRDefault="0026557D" w:rsidP="00F45372">
      <w:pPr>
        <w:rPr>
          <w:lang w:val="fr-FR"/>
        </w:rPr>
      </w:pPr>
      <w:r w:rsidRPr="00B108A6">
        <w:rPr>
          <w:lang w:val="fr-FR"/>
        </w:rPr>
        <w:t>[Suite de la note page suivante]</w:t>
      </w:r>
    </w:p>
    <w:p w:rsidR="0026557D" w:rsidRPr="00B108A6" w:rsidRDefault="0026557D" w:rsidP="00F45372">
      <w:pPr>
        <w:rPr>
          <w:lang w:val="fr-FR"/>
        </w:rPr>
      </w:pPr>
    </w:p>
    <w:p w:rsidR="0026557D" w:rsidRPr="00B108A6" w:rsidRDefault="0026557D" w:rsidP="00F45372">
      <w:pPr>
        <w:rPr>
          <w:lang w:val="fr-FR"/>
        </w:rPr>
      </w:pPr>
    </w:p>
  </w:endnote>
  <w:endnote w:id="2">
    <w:p w:rsidR="0026557D" w:rsidRPr="00996AD7" w:rsidRDefault="0026557D" w:rsidP="006C70B9">
      <w:pPr>
        <w:tabs>
          <w:tab w:val="left" w:pos="284"/>
        </w:tabs>
        <w:spacing w:before="60"/>
        <w:rPr>
          <w:sz w:val="16"/>
          <w:lang w:val="es-ES_tradnl"/>
        </w:rPr>
      </w:pPr>
      <w:r w:rsidRPr="00996AD7">
        <w:rPr>
          <w:rStyle w:val="EndnoteReference"/>
          <w:sz w:val="16"/>
          <w:lang w:val="es-ES_tradnl"/>
        </w:rPr>
        <w:endnoteRef/>
      </w:r>
      <w:r w:rsidRPr="00996AD7">
        <w:rPr>
          <w:sz w:val="16"/>
          <w:lang w:val="es-ES_tradnl"/>
        </w:rPr>
        <w:tab/>
      </w:r>
      <w:r w:rsidRPr="00996AD7">
        <w:rPr>
          <w:bCs/>
          <w:sz w:val="16"/>
          <w:lang w:val="es-ES_tradnl"/>
        </w:rPr>
        <w:t>Definiciones sobre estadísticas del sitio web utilizadas en este informe:</w:t>
      </w:r>
      <w:r w:rsidRPr="00996AD7">
        <w:rPr>
          <w:sz w:val="16"/>
          <w:lang w:val="es-ES_tradnl"/>
        </w:rPr>
        <w:t xml:space="preserve"> </w:t>
      </w:r>
    </w:p>
    <w:p w:rsidR="0026557D" w:rsidRPr="00996AD7" w:rsidRDefault="0026557D" w:rsidP="00393E05">
      <w:pPr>
        <w:spacing w:before="60"/>
        <w:ind w:left="284"/>
        <w:rPr>
          <w:sz w:val="16"/>
          <w:lang w:val="es-ES_tradnl"/>
        </w:rPr>
      </w:pPr>
      <w:r w:rsidRPr="00996AD7">
        <w:rPr>
          <w:bCs/>
          <w:sz w:val="16"/>
          <w:lang w:val="es-ES_tradnl"/>
        </w:rPr>
        <w:t>- “Usuarios” son los individuos que se han conectado al menos una vez en el intervalo de fechas señalado.</w:t>
      </w:r>
      <w:r w:rsidRPr="00996AD7">
        <w:rPr>
          <w:sz w:val="16"/>
          <w:lang w:val="es-ES_tradnl"/>
        </w:rPr>
        <w:t xml:space="preserve"> </w:t>
      </w:r>
    </w:p>
    <w:p w:rsidR="0026557D" w:rsidRPr="00996AD7" w:rsidRDefault="0026557D" w:rsidP="00B202D2">
      <w:pPr>
        <w:spacing w:before="60"/>
        <w:ind w:left="284"/>
        <w:rPr>
          <w:sz w:val="16"/>
          <w:lang w:val="es-ES_tradnl"/>
        </w:rPr>
      </w:pPr>
      <w:r w:rsidRPr="00996AD7">
        <w:rPr>
          <w:sz w:val="16"/>
          <w:lang w:val="es-ES_tradnl"/>
        </w:rPr>
        <w:t xml:space="preserve">- Una “sesión” es el tiempo durante el cual un usuario ha estado activamente conectado a su sitio web.  El término “sesiones” se refiere al número total de sesiones en un intervalo de fechas determinado. </w:t>
      </w:r>
    </w:p>
    <w:p w:rsidR="0026557D" w:rsidRPr="00996AD7" w:rsidRDefault="0026557D" w:rsidP="00F1717B">
      <w:pPr>
        <w:spacing w:before="60"/>
        <w:ind w:left="284"/>
        <w:rPr>
          <w:sz w:val="16"/>
          <w:lang w:val="es-ES_tradnl"/>
        </w:rPr>
      </w:pPr>
      <w:r w:rsidRPr="00996AD7">
        <w:rPr>
          <w:sz w:val="16"/>
          <w:lang w:val="es-ES_tradnl"/>
        </w:rPr>
        <w:t xml:space="preserve">- Las “páginas vistas únicas” son el número de visitas durante las cuales la página especificada se visualizó al menos en una ocasión. </w:t>
      </w:r>
    </w:p>
    <w:p w:rsidR="0026557D" w:rsidRPr="00996AD7" w:rsidRDefault="0026557D" w:rsidP="00033D19">
      <w:pPr>
        <w:spacing w:before="60"/>
        <w:ind w:left="284"/>
        <w:jc w:val="left"/>
        <w:rPr>
          <w:sz w:val="16"/>
          <w:lang w:val="es-ES_tradnl"/>
        </w:rPr>
      </w:pPr>
      <w:r w:rsidRPr="00996AD7">
        <w:rPr>
          <w:bCs/>
          <w:sz w:val="16"/>
          <w:lang w:val="es-ES_tradnl"/>
        </w:rPr>
        <w:t>- Las “páginas vistas” son el número total de veces que se visualizó una página.</w:t>
      </w:r>
      <w:r w:rsidRPr="00996AD7">
        <w:rPr>
          <w:sz w:val="16"/>
          <w:lang w:val="es-ES_tradnl"/>
        </w:rPr>
        <w:t xml:space="preserve">  Se contabilizan las visitas repetidas que realiza un mismo usuario a una única página durante la misma sesión. </w:t>
      </w:r>
    </w:p>
    <w:p w:rsidR="0026557D" w:rsidRPr="00996AD7" w:rsidRDefault="0026557D" w:rsidP="00E65183">
      <w:pPr>
        <w:ind w:left="360" w:hanging="360"/>
        <w:rPr>
          <w:lang w:val="es-ES_tradnl"/>
        </w:rPr>
      </w:pPr>
    </w:p>
    <w:p w:rsidR="0026557D" w:rsidRPr="00996AD7" w:rsidRDefault="0026557D" w:rsidP="00E65183">
      <w:pPr>
        <w:ind w:left="360" w:hanging="360"/>
        <w:rPr>
          <w:lang w:val="es-ES_tradnl"/>
        </w:rPr>
      </w:pPr>
    </w:p>
    <w:p w:rsidR="0026557D" w:rsidRPr="00996AD7" w:rsidRDefault="0026557D" w:rsidP="00E65183">
      <w:pPr>
        <w:ind w:left="360" w:hanging="360"/>
        <w:rPr>
          <w:lang w:val="es-ES_tradnl"/>
        </w:rPr>
      </w:pPr>
    </w:p>
    <w:p w:rsidR="0026557D" w:rsidRPr="003E633D" w:rsidRDefault="0026557D" w:rsidP="00E65183">
      <w:pPr>
        <w:ind w:left="360" w:hanging="360"/>
        <w:jc w:val="right"/>
        <w:rPr>
          <w:lang w:val="es-ES_tradnl"/>
        </w:rPr>
      </w:pPr>
      <w:r w:rsidRPr="003E633D">
        <w:rPr>
          <w:lang w:val="es-ES_tradnl"/>
        </w:rPr>
        <w:t>[Sigue el Apéndice]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7D" w:rsidRDefault="002655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7D" w:rsidRDefault="002655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7D" w:rsidRDefault="0026557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7D" w:rsidRPr="001D1EDE" w:rsidRDefault="0026557D" w:rsidP="004737C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7D" w:rsidRPr="00C74C0E" w:rsidRDefault="0026557D" w:rsidP="004737C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7D" w:rsidRPr="00DA58FA" w:rsidRDefault="0026557D" w:rsidP="00DA5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57D" w:rsidRDefault="0026557D" w:rsidP="006A59FA">
      <w:pPr>
        <w:spacing w:before="120"/>
      </w:pPr>
      <w:r>
        <w:separator/>
      </w:r>
    </w:p>
  </w:footnote>
  <w:footnote w:type="continuationSeparator" w:id="0">
    <w:p w:rsidR="0026557D" w:rsidRDefault="0026557D" w:rsidP="00F45372">
      <w:r>
        <w:separator/>
      </w:r>
    </w:p>
  </w:footnote>
  <w:footnote w:type="continuationNotice" w:id="1">
    <w:p w:rsidR="0026557D" w:rsidRPr="00721353" w:rsidRDefault="0026557D" w:rsidP="00721353">
      <w:pPr>
        <w:pStyle w:val="Footer"/>
      </w:pPr>
    </w:p>
  </w:footnote>
  <w:footnote w:id="2">
    <w:p w:rsidR="0026557D" w:rsidRPr="005B69D8" w:rsidRDefault="0026557D" w:rsidP="00EE7B09">
      <w:pPr>
        <w:pStyle w:val="FootnoteText"/>
        <w:rPr>
          <w:lang w:val="es-ES"/>
        </w:rPr>
      </w:pPr>
      <w:r w:rsidRPr="00931DAE">
        <w:rPr>
          <w:rStyle w:val="FootnoteReference"/>
        </w:rPr>
        <w:footnoteRef/>
      </w:r>
      <w:r w:rsidRPr="005B69D8">
        <w:rPr>
          <w:lang w:val="es-ES"/>
        </w:rPr>
        <w:tab/>
      </w:r>
      <w:r w:rsidRPr="00931DAE">
        <w:rPr>
          <w:lang w:val="es-ES_tradnl"/>
        </w:rPr>
        <w:t>Publicación que combina las deliberaciones del “Seminario sobre la protección de las variedades vegetales y la transferencia de tecnología: beneficios de la colaboración público-privada”, el “Simposio sobre el fitomejoramiento para el futuro” y el “Simposio sobre las ventajas de la protección de las obtenciones vegetales para los agricultores y los productores”.</w:t>
      </w:r>
    </w:p>
  </w:footnote>
  <w:footnote w:id="3">
    <w:p w:rsidR="0026557D" w:rsidRPr="005B69D8" w:rsidRDefault="0026557D" w:rsidP="00130C24">
      <w:pPr>
        <w:pStyle w:val="FootnoteText"/>
        <w:rPr>
          <w:lang w:val="es-ES"/>
        </w:rPr>
      </w:pPr>
      <w:r w:rsidRPr="005B69D8">
        <w:rPr>
          <w:rStyle w:val="FootnoteReference"/>
          <w:lang w:val="es-ES"/>
        </w:rPr>
        <w:t>*</w:t>
      </w:r>
      <w:r w:rsidRPr="005B69D8">
        <w:rPr>
          <w:lang w:val="es-ES"/>
        </w:rPr>
        <w:tab/>
      </w:r>
      <w:r w:rsidRPr="00931DAE">
        <w:rPr>
          <w:lang w:val="es-ES_tradnl"/>
        </w:rPr>
        <w:t>El término “misiones” se refiere a actividades realizadas fuera de la sede de la UPOV.</w:t>
      </w:r>
    </w:p>
  </w:footnote>
  <w:footnote w:id="4">
    <w:p w:rsidR="0026557D" w:rsidRPr="005B69D8" w:rsidRDefault="0026557D" w:rsidP="00E50B3C">
      <w:pPr>
        <w:pStyle w:val="FootnoteText"/>
        <w:rPr>
          <w:lang w:val="es-ES"/>
        </w:rPr>
      </w:pPr>
      <w:r w:rsidRPr="005B69D8">
        <w:rPr>
          <w:rStyle w:val="FootnoteReference"/>
          <w:rFonts w:cs="Arial"/>
          <w:szCs w:val="16"/>
          <w:lang w:val="es-ES"/>
        </w:rPr>
        <w:t>1</w:t>
      </w:r>
      <w:r w:rsidRPr="005B69D8">
        <w:rPr>
          <w:lang w:val="es-ES"/>
        </w:rPr>
        <w:tab/>
      </w:r>
      <w:r w:rsidRPr="00931DAE">
        <w:rPr>
          <w:lang w:val="es-ES_tradnl"/>
        </w:rPr>
        <w:t>Continuación de la adhesión de Checoslovaquia (instrumento depositado el 4 de noviembre de 1991;</w:t>
      </w:r>
      <w:r w:rsidRPr="005B69D8">
        <w:rPr>
          <w:lang w:val="es-ES"/>
        </w:rPr>
        <w:t xml:space="preserve">  </w:t>
      </w:r>
      <w:r w:rsidRPr="00931DAE">
        <w:rPr>
          <w:lang w:val="es-ES_tradnl"/>
        </w:rPr>
        <w:t>entrada en vigor el 4 de diciembre de 1991).</w:t>
      </w:r>
    </w:p>
  </w:footnote>
  <w:footnote w:id="5">
    <w:p w:rsidR="0026557D" w:rsidRPr="005B69D8" w:rsidRDefault="0026557D" w:rsidP="0096195E">
      <w:pPr>
        <w:pStyle w:val="FootnoteText"/>
        <w:rPr>
          <w:lang w:val="es-ES"/>
        </w:rPr>
      </w:pPr>
      <w:r w:rsidRPr="00931DAE">
        <w:rPr>
          <w:rStyle w:val="FootnoteReference"/>
          <w:rFonts w:cs="Arial"/>
          <w:szCs w:val="16"/>
          <w:u w:val="single"/>
        </w:rPr>
        <w:footnoteRef/>
      </w:r>
      <w:r w:rsidRPr="005B69D8">
        <w:rPr>
          <w:lang w:val="es-ES"/>
        </w:rPr>
        <w:tab/>
      </w:r>
      <w:r w:rsidRPr="00931DAE">
        <w:rPr>
          <w:lang w:val="es-ES_tradnl"/>
        </w:rPr>
        <w:t>Continuación de la adhesión de Checoslovaquia (instrumento depositado el 4 de noviembre de 1991;</w:t>
      </w:r>
      <w:r w:rsidRPr="005B69D8">
        <w:rPr>
          <w:lang w:val="es-ES"/>
        </w:rPr>
        <w:t xml:space="preserve">  </w:t>
      </w:r>
      <w:r w:rsidRPr="00931DAE">
        <w:rPr>
          <w:lang w:val="es-ES_tradnl"/>
        </w:rPr>
        <w:t>entrada en vigor el 4 de diciembre de 1991).</w:t>
      </w:r>
    </w:p>
  </w:footnote>
  <w:footnote w:id="6">
    <w:p w:rsidR="0026557D" w:rsidRPr="005B69D8" w:rsidRDefault="0026557D" w:rsidP="0038532F">
      <w:pPr>
        <w:pStyle w:val="FootnoteText"/>
        <w:rPr>
          <w:lang w:val="es-ES"/>
        </w:rPr>
      </w:pPr>
      <w:r w:rsidRPr="005B69D8">
        <w:rPr>
          <w:rStyle w:val="FootnoteReference"/>
          <w:lang w:val="es-ES"/>
        </w:rPr>
        <w:t>*</w:t>
      </w:r>
      <w:r w:rsidRPr="005B69D8">
        <w:rPr>
          <w:lang w:val="es-ES"/>
        </w:rPr>
        <w:tab/>
      </w:r>
      <w:r w:rsidRPr="00931DAE">
        <w:rPr>
          <w:lang w:val="es-ES_tradnl"/>
        </w:rPr>
        <w:t>El término “misiones” se refiere a actividades realizadas fuera de la sede de la UPOV.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7D" w:rsidRDefault="002655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7D" w:rsidRPr="00C5280D" w:rsidRDefault="0026557D" w:rsidP="00EB048E">
    <w:pPr>
      <w:pStyle w:val="Header"/>
      <w:rPr>
        <w:rStyle w:val="PageNumber"/>
        <w:lang w:val="en-US"/>
      </w:rPr>
    </w:pPr>
    <w:r>
      <w:rPr>
        <w:rStyle w:val="PageNumber"/>
        <w:lang w:val="en-US"/>
      </w:rPr>
      <w:t>C/49/2</w:t>
    </w:r>
  </w:p>
  <w:p w:rsidR="0026557D" w:rsidRPr="004D44A4" w:rsidRDefault="0026557D" w:rsidP="00EB048E">
    <w:pPr>
      <w:pStyle w:val="Header"/>
      <w:rPr>
        <w:lang w:val="es-ES_tradnl"/>
      </w:rPr>
    </w:pPr>
    <w:r w:rsidRPr="004D44A4">
      <w:rPr>
        <w:lang w:val="es-ES_tradnl"/>
      </w:rPr>
      <w:t>página </w:t>
    </w:r>
    <w:r w:rsidRPr="004D44A4">
      <w:rPr>
        <w:rStyle w:val="PageNumber"/>
        <w:lang w:val="es-ES_tradnl"/>
      </w:rPr>
      <w:fldChar w:fldCharType="begin"/>
    </w:r>
    <w:r w:rsidRPr="004D44A4">
      <w:rPr>
        <w:rStyle w:val="PageNumber"/>
        <w:lang w:val="es-ES_tradnl"/>
      </w:rPr>
      <w:instrText xml:space="preserve"> PAGE </w:instrText>
    </w:r>
    <w:r w:rsidRPr="004D44A4">
      <w:rPr>
        <w:rStyle w:val="PageNumber"/>
        <w:lang w:val="es-ES_tradnl"/>
      </w:rPr>
      <w:fldChar w:fldCharType="separate"/>
    </w:r>
    <w:r w:rsidR="00485049">
      <w:rPr>
        <w:rStyle w:val="PageNumber"/>
        <w:noProof/>
        <w:lang w:val="es-ES_tradnl"/>
      </w:rPr>
      <w:t>21</w:t>
    </w:r>
    <w:r w:rsidRPr="004D44A4">
      <w:rPr>
        <w:rStyle w:val="PageNumber"/>
        <w:lang w:val="es-ES_tradnl"/>
      </w:rPr>
      <w:fldChar w:fldCharType="end"/>
    </w:r>
  </w:p>
  <w:p w:rsidR="0026557D" w:rsidRPr="00C5280D" w:rsidRDefault="0026557D" w:rsidP="004737C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7D" w:rsidRDefault="0026557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7D" w:rsidRPr="00C5280D" w:rsidRDefault="0026557D" w:rsidP="00EB048E">
    <w:pPr>
      <w:pStyle w:val="Header"/>
      <w:rPr>
        <w:rStyle w:val="PageNumber"/>
        <w:lang w:val="en-US"/>
      </w:rPr>
    </w:pPr>
    <w:r>
      <w:rPr>
        <w:rStyle w:val="PageNumber"/>
        <w:lang w:val="en-US"/>
      </w:rPr>
      <w:t>C/49/2</w:t>
    </w:r>
  </w:p>
  <w:p w:rsidR="0026557D" w:rsidRPr="004D44A4" w:rsidRDefault="0026557D" w:rsidP="00EB048E">
    <w:pPr>
      <w:pStyle w:val="Header"/>
      <w:rPr>
        <w:lang w:val="es-ES_tradnl"/>
      </w:rPr>
    </w:pPr>
    <w:r w:rsidRPr="004D44A4">
      <w:rPr>
        <w:lang w:val="es-ES_tradnl"/>
      </w:rPr>
      <w:t>Anexo I, página </w:t>
    </w:r>
    <w:r w:rsidRPr="004D44A4">
      <w:rPr>
        <w:rStyle w:val="PageNumber"/>
        <w:lang w:val="es-ES_tradnl"/>
      </w:rPr>
      <w:fldChar w:fldCharType="begin"/>
    </w:r>
    <w:r w:rsidRPr="004D44A4">
      <w:rPr>
        <w:rStyle w:val="PageNumber"/>
        <w:lang w:val="es-ES_tradnl"/>
      </w:rPr>
      <w:instrText xml:space="preserve"> PAGE </w:instrText>
    </w:r>
    <w:r w:rsidRPr="004D44A4">
      <w:rPr>
        <w:rStyle w:val="PageNumber"/>
        <w:lang w:val="es-ES_tradnl"/>
      </w:rPr>
      <w:fldChar w:fldCharType="separate"/>
    </w:r>
    <w:r w:rsidR="00485049">
      <w:rPr>
        <w:rStyle w:val="PageNumber"/>
        <w:noProof/>
        <w:lang w:val="es-ES_tradnl"/>
      </w:rPr>
      <w:t>2</w:t>
    </w:r>
    <w:r w:rsidRPr="004D44A4">
      <w:rPr>
        <w:rStyle w:val="PageNumber"/>
        <w:lang w:val="es-ES_tradnl"/>
      </w:rPr>
      <w:fldChar w:fldCharType="end"/>
    </w:r>
  </w:p>
  <w:p w:rsidR="0026557D" w:rsidRPr="00C5280D" w:rsidRDefault="0026557D" w:rsidP="004737C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7D" w:rsidRDefault="0026557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7D" w:rsidRPr="00C5280D" w:rsidRDefault="0026557D" w:rsidP="00EB048E">
    <w:pPr>
      <w:pStyle w:val="Header"/>
      <w:rPr>
        <w:rStyle w:val="PageNumber"/>
        <w:lang w:val="en-US"/>
      </w:rPr>
    </w:pPr>
    <w:r>
      <w:rPr>
        <w:rStyle w:val="PageNumber"/>
        <w:lang w:val="en-US"/>
      </w:rPr>
      <w:t>C/49/2</w:t>
    </w:r>
  </w:p>
  <w:p w:rsidR="0026557D" w:rsidRPr="004D44A4" w:rsidRDefault="0026557D" w:rsidP="00EB048E">
    <w:pPr>
      <w:pStyle w:val="Header"/>
      <w:rPr>
        <w:lang w:val="es-ES_tradnl"/>
      </w:rPr>
    </w:pPr>
    <w:r w:rsidRPr="004D44A4">
      <w:rPr>
        <w:lang w:val="es-ES_tradnl"/>
      </w:rPr>
      <w:t>Anexo II, página </w:t>
    </w:r>
    <w:r w:rsidRPr="004D44A4">
      <w:rPr>
        <w:rStyle w:val="PageNumber"/>
        <w:lang w:val="es-ES_tradnl"/>
      </w:rPr>
      <w:fldChar w:fldCharType="begin"/>
    </w:r>
    <w:r w:rsidRPr="004D44A4">
      <w:rPr>
        <w:rStyle w:val="PageNumber"/>
        <w:lang w:val="es-ES_tradnl"/>
      </w:rPr>
      <w:instrText xml:space="preserve"> PAGE </w:instrText>
    </w:r>
    <w:r w:rsidRPr="004D44A4">
      <w:rPr>
        <w:rStyle w:val="PageNumber"/>
        <w:lang w:val="es-ES_tradnl"/>
      </w:rPr>
      <w:fldChar w:fldCharType="separate"/>
    </w:r>
    <w:r w:rsidR="00485049">
      <w:rPr>
        <w:rStyle w:val="PageNumber"/>
        <w:noProof/>
        <w:lang w:val="es-ES_tradnl"/>
      </w:rPr>
      <w:t>4</w:t>
    </w:r>
    <w:r w:rsidRPr="004D44A4">
      <w:rPr>
        <w:rStyle w:val="PageNumber"/>
        <w:lang w:val="es-ES_tradnl"/>
      </w:rPr>
      <w:fldChar w:fldCharType="end"/>
    </w:r>
  </w:p>
  <w:p w:rsidR="0026557D" w:rsidRPr="00C5280D" w:rsidRDefault="0026557D" w:rsidP="004737C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7D" w:rsidRPr="00C5280D" w:rsidRDefault="0026557D" w:rsidP="00EB048E">
    <w:pPr>
      <w:pStyle w:val="Header"/>
      <w:rPr>
        <w:rStyle w:val="PageNumber"/>
        <w:lang w:val="en-US"/>
      </w:rPr>
    </w:pPr>
    <w:r>
      <w:rPr>
        <w:rStyle w:val="PageNumber"/>
        <w:lang w:val="en-US"/>
      </w:rPr>
      <w:t>C/49/2</w:t>
    </w:r>
  </w:p>
  <w:p w:rsidR="0026557D" w:rsidRPr="004D44A4" w:rsidRDefault="0026557D" w:rsidP="00EB048E">
    <w:pPr>
      <w:pStyle w:val="Header"/>
      <w:rPr>
        <w:lang w:val="es-ES_tradnl"/>
      </w:rPr>
    </w:pPr>
    <w:r w:rsidRPr="004D44A4">
      <w:rPr>
        <w:lang w:val="es-ES_tradnl"/>
      </w:rPr>
      <w:t>Anexo III, página </w:t>
    </w:r>
    <w:r w:rsidRPr="004D44A4">
      <w:rPr>
        <w:rStyle w:val="PageNumber"/>
        <w:lang w:val="es-ES_tradnl"/>
      </w:rPr>
      <w:fldChar w:fldCharType="begin"/>
    </w:r>
    <w:r w:rsidRPr="004D44A4">
      <w:rPr>
        <w:rStyle w:val="PageNumber"/>
        <w:lang w:val="es-ES_tradnl"/>
      </w:rPr>
      <w:instrText xml:space="preserve"> PAGE </w:instrText>
    </w:r>
    <w:r w:rsidRPr="004D44A4">
      <w:rPr>
        <w:rStyle w:val="PageNumber"/>
        <w:lang w:val="es-ES_tradnl"/>
      </w:rPr>
      <w:fldChar w:fldCharType="separate"/>
    </w:r>
    <w:r w:rsidR="00485049">
      <w:rPr>
        <w:rStyle w:val="PageNumber"/>
        <w:noProof/>
        <w:lang w:val="es-ES_tradnl"/>
      </w:rPr>
      <w:t>3</w:t>
    </w:r>
    <w:r w:rsidRPr="004D44A4">
      <w:rPr>
        <w:rStyle w:val="PageNumber"/>
        <w:lang w:val="es-ES_tradnl"/>
      </w:rPr>
      <w:fldChar w:fldCharType="end"/>
    </w:r>
  </w:p>
  <w:p w:rsidR="0026557D" w:rsidRPr="00C5280D" w:rsidRDefault="0026557D" w:rsidP="004737C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7D" w:rsidRPr="008D3729" w:rsidRDefault="0026557D" w:rsidP="00EB048E">
    <w:pPr>
      <w:pStyle w:val="Header"/>
      <w:rPr>
        <w:rStyle w:val="PageNumber"/>
        <w:lang w:val="es-ES_tradnl"/>
      </w:rPr>
    </w:pPr>
    <w:r>
      <w:rPr>
        <w:rStyle w:val="PageNumber"/>
        <w:lang w:val="es-ES_tradnl"/>
      </w:rPr>
      <w:t>C/49/2</w:t>
    </w:r>
  </w:p>
  <w:p w:rsidR="0026557D" w:rsidRDefault="0026557D" w:rsidP="00EB048E">
    <w:pPr>
      <w:pStyle w:val="Header"/>
      <w:rPr>
        <w:rStyle w:val="PageNumber"/>
        <w:lang w:val="es-ES_tradnl"/>
      </w:rPr>
    </w:pPr>
    <w:r>
      <w:rPr>
        <w:lang w:val="es-ES_tradnl"/>
      </w:rPr>
      <w:t xml:space="preserve">Apéndice, </w:t>
    </w:r>
    <w:r w:rsidRPr="008D3729">
      <w:rPr>
        <w:lang w:val="es-ES_tradnl"/>
      </w:rPr>
      <w:t>página</w:t>
    </w:r>
    <w:r>
      <w:rPr>
        <w:lang w:val="es-ES_tradnl"/>
      </w:rPr>
      <w:t>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485049">
      <w:rPr>
        <w:rStyle w:val="PageNumber"/>
        <w:noProof/>
        <w:lang w:val="es-ES_tradnl"/>
      </w:rPr>
      <w:t>2</w:t>
    </w:r>
    <w:r w:rsidRPr="008D3729">
      <w:rPr>
        <w:rStyle w:val="PageNumber"/>
        <w:lang w:val="es-ES_tradnl"/>
      </w:rPr>
      <w:fldChar w:fldCharType="end"/>
    </w:r>
  </w:p>
  <w:p w:rsidR="0026557D" w:rsidRPr="008D3729" w:rsidRDefault="0026557D" w:rsidP="00EB048E">
    <w:pPr>
      <w:pStyle w:val="Heade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3CC74DE"/>
    <w:lvl w:ilvl="0">
      <w:start w:val="1"/>
      <w:numFmt w:val="decimal"/>
      <w:lvlText w:val="%1."/>
      <w:lvlJc w:val="left"/>
      <w:pPr>
        <w:tabs>
          <w:tab w:val="num" w:pos="643"/>
        </w:tabs>
        <w:ind w:left="643" w:hanging="360"/>
      </w:pPr>
    </w:lvl>
  </w:abstractNum>
  <w:abstractNum w:abstractNumId="1">
    <w:nsid w:val="FFFFFF80"/>
    <w:multiLevelType w:val="singleLevel"/>
    <w:tmpl w:val="E4BA674A"/>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5D8E79CC"/>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78CC898C"/>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6F1AACE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14402EC8"/>
    <w:lvl w:ilvl="0">
      <w:start w:val="1"/>
      <w:numFmt w:val="decimal"/>
      <w:lvlText w:val="%1."/>
      <w:lvlJc w:val="left"/>
      <w:pPr>
        <w:tabs>
          <w:tab w:val="num" w:pos="360"/>
        </w:tabs>
        <w:ind w:left="360" w:hanging="360"/>
      </w:pPr>
    </w:lvl>
  </w:abstractNum>
  <w:abstractNum w:abstractNumId="6">
    <w:nsid w:val="FFFFFF89"/>
    <w:multiLevelType w:val="singleLevel"/>
    <w:tmpl w:val="F69ECC98"/>
    <w:lvl w:ilvl="0">
      <w:start w:val="1"/>
      <w:numFmt w:val="bullet"/>
      <w:lvlText w:val=""/>
      <w:lvlJc w:val="left"/>
      <w:pPr>
        <w:tabs>
          <w:tab w:val="num" w:pos="360"/>
        </w:tabs>
        <w:ind w:left="360" w:hanging="360"/>
      </w:pPr>
      <w:rPr>
        <w:rFonts w:ascii="Symbol" w:hAnsi="Symbol" w:hint="default"/>
      </w:rPr>
    </w:lvl>
  </w:abstractNum>
  <w:abstractNum w:abstractNumId="7">
    <w:nsid w:val="0A1C73F2"/>
    <w:multiLevelType w:val="hybridMultilevel"/>
    <w:tmpl w:val="9A900868"/>
    <w:lvl w:ilvl="0" w:tplc="041859DE">
      <w:start w:val="1"/>
      <w:numFmt w:val="bullet"/>
      <w:lvlText w:val="-"/>
      <w:lvlJc w:val="left"/>
      <w:pPr>
        <w:ind w:left="717" w:hanging="360"/>
      </w:pPr>
      <w:rPr>
        <w:rFonts w:ascii="Arial" w:hAnsi="Arial" w:hint="default"/>
        <w:sz w:val="20"/>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8">
    <w:nsid w:val="121F559B"/>
    <w:multiLevelType w:val="multilevel"/>
    <w:tmpl w:val="98F2F30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54065C9"/>
    <w:multiLevelType w:val="hybridMultilevel"/>
    <w:tmpl w:val="9544F63E"/>
    <w:lvl w:ilvl="0" w:tplc="041859DE">
      <w:start w:val="1"/>
      <w:numFmt w:val="bullet"/>
      <w:lvlText w:val="-"/>
      <w:lvlJc w:val="left"/>
      <w:pPr>
        <w:ind w:left="1494" w:hanging="360"/>
      </w:pPr>
      <w:rPr>
        <w:rFonts w:ascii="Arial" w:hAnsi="Arial" w:hint="default"/>
        <w:sz w:val="2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
    <w:nsid w:val="29BC5BC4"/>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EA769E0"/>
    <w:multiLevelType w:val="hybridMultilevel"/>
    <w:tmpl w:val="F8B86792"/>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4E0DB2"/>
    <w:multiLevelType w:val="hybridMultilevel"/>
    <w:tmpl w:val="132CCEE2"/>
    <w:lvl w:ilvl="0" w:tplc="DEE461BC">
      <w:start w:val="1"/>
      <w:numFmt w:val="bullet"/>
      <w:lvlText w:val=""/>
      <w:lvlJc w:val="left"/>
      <w:pPr>
        <w:ind w:left="720" w:hanging="360"/>
      </w:pPr>
      <w:rPr>
        <w:rFonts w:ascii="Symbol" w:hAnsi="Symbol" w:hint="default"/>
        <w:sz w:val="20"/>
      </w:rPr>
    </w:lvl>
    <w:lvl w:ilvl="1" w:tplc="45D44AA6">
      <w:numFmt w:val="bullet"/>
      <w:lvlText w:val="•"/>
      <w:lvlJc w:val="left"/>
      <w:pPr>
        <w:ind w:left="1650" w:hanging="57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615E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FA71C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E196B52"/>
    <w:multiLevelType w:val="multilevel"/>
    <w:tmpl w:val="8DF0B5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649673B"/>
    <w:multiLevelType w:val="hybridMultilevel"/>
    <w:tmpl w:val="1EBA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9503D0"/>
    <w:multiLevelType w:val="hybridMultilevel"/>
    <w:tmpl w:val="6100B46A"/>
    <w:lvl w:ilvl="0" w:tplc="4A62E5DA">
      <w:start w:val="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8">
    <w:nsid w:val="62884317"/>
    <w:multiLevelType w:val="hybridMultilevel"/>
    <w:tmpl w:val="3558DCAE"/>
    <w:lvl w:ilvl="0" w:tplc="5DDAFB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6E23870"/>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B7703EE"/>
    <w:multiLevelType w:val="hybridMultilevel"/>
    <w:tmpl w:val="C884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8"/>
  </w:num>
  <w:num w:numId="4">
    <w:abstractNumId w:val="13"/>
  </w:num>
  <w:num w:numId="5">
    <w:abstractNumId w:val="14"/>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9"/>
  </w:num>
  <w:num w:numId="14">
    <w:abstractNumId w:val="16"/>
  </w:num>
  <w:num w:numId="15">
    <w:abstractNumId w:val="18"/>
  </w:num>
  <w:num w:numId="16">
    <w:abstractNumId w:val="10"/>
  </w:num>
  <w:num w:numId="17">
    <w:abstractNumId w:val="7"/>
  </w:num>
  <w:num w:numId="18">
    <w:abstractNumId w:val="20"/>
  </w:num>
  <w:num w:numId="19">
    <w:abstractNumId w:val="12"/>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22"/>
  </w:docVars>
  <w:rsids>
    <w:rsidRoot w:val="00B06A56"/>
    <w:rsid w:val="0000571E"/>
    <w:rsid w:val="00010CF3"/>
    <w:rsid w:val="00011E27"/>
    <w:rsid w:val="000120FF"/>
    <w:rsid w:val="0001231F"/>
    <w:rsid w:val="000148BC"/>
    <w:rsid w:val="00017B95"/>
    <w:rsid w:val="00024625"/>
    <w:rsid w:val="00024AB8"/>
    <w:rsid w:val="00030854"/>
    <w:rsid w:val="00031FC8"/>
    <w:rsid w:val="00033D19"/>
    <w:rsid w:val="00036028"/>
    <w:rsid w:val="00040272"/>
    <w:rsid w:val="00040A14"/>
    <w:rsid w:val="00044642"/>
    <w:rsid w:val="000446B9"/>
    <w:rsid w:val="00044A15"/>
    <w:rsid w:val="00045821"/>
    <w:rsid w:val="00047BD5"/>
    <w:rsid w:val="00047E21"/>
    <w:rsid w:val="00076853"/>
    <w:rsid w:val="00077117"/>
    <w:rsid w:val="00082242"/>
    <w:rsid w:val="00085505"/>
    <w:rsid w:val="000965A1"/>
    <w:rsid w:val="000965E4"/>
    <w:rsid w:val="000A0E96"/>
    <w:rsid w:val="000A2024"/>
    <w:rsid w:val="000A351A"/>
    <w:rsid w:val="000A36E2"/>
    <w:rsid w:val="000A395D"/>
    <w:rsid w:val="000B28A7"/>
    <w:rsid w:val="000C1BA1"/>
    <w:rsid w:val="000C244A"/>
    <w:rsid w:val="000C35AD"/>
    <w:rsid w:val="000C557C"/>
    <w:rsid w:val="000C607E"/>
    <w:rsid w:val="000C7021"/>
    <w:rsid w:val="000D6BBC"/>
    <w:rsid w:val="000D7780"/>
    <w:rsid w:val="000E1B72"/>
    <w:rsid w:val="000F5BBB"/>
    <w:rsid w:val="00100F07"/>
    <w:rsid w:val="00105929"/>
    <w:rsid w:val="0011199B"/>
    <w:rsid w:val="001131D5"/>
    <w:rsid w:val="00114126"/>
    <w:rsid w:val="00115975"/>
    <w:rsid w:val="00122EFF"/>
    <w:rsid w:val="0012318C"/>
    <w:rsid w:val="00130C24"/>
    <w:rsid w:val="00134A87"/>
    <w:rsid w:val="00141DB8"/>
    <w:rsid w:val="00142198"/>
    <w:rsid w:val="0014369B"/>
    <w:rsid w:val="00146ED6"/>
    <w:rsid w:val="001476DC"/>
    <w:rsid w:val="00147FDA"/>
    <w:rsid w:val="00156328"/>
    <w:rsid w:val="00161FEC"/>
    <w:rsid w:val="0016610D"/>
    <w:rsid w:val="00171679"/>
    <w:rsid w:val="00171C68"/>
    <w:rsid w:val="0017474A"/>
    <w:rsid w:val="001758C6"/>
    <w:rsid w:val="001767FC"/>
    <w:rsid w:val="00180AE7"/>
    <w:rsid w:val="0018433C"/>
    <w:rsid w:val="00185C52"/>
    <w:rsid w:val="00187E51"/>
    <w:rsid w:val="001912D0"/>
    <w:rsid w:val="0019698C"/>
    <w:rsid w:val="001A0333"/>
    <w:rsid w:val="001A09F7"/>
    <w:rsid w:val="001A1C42"/>
    <w:rsid w:val="001A3A66"/>
    <w:rsid w:val="001B5FB2"/>
    <w:rsid w:val="001C5971"/>
    <w:rsid w:val="001D4B97"/>
    <w:rsid w:val="001D6D99"/>
    <w:rsid w:val="001D7439"/>
    <w:rsid w:val="001E3C3D"/>
    <w:rsid w:val="001E4282"/>
    <w:rsid w:val="001E78E5"/>
    <w:rsid w:val="001F293C"/>
    <w:rsid w:val="001F3F56"/>
    <w:rsid w:val="001F72B0"/>
    <w:rsid w:val="001F7DBD"/>
    <w:rsid w:val="00201F3E"/>
    <w:rsid w:val="002025C8"/>
    <w:rsid w:val="0021332C"/>
    <w:rsid w:val="0021359E"/>
    <w:rsid w:val="00213982"/>
    <w:rsid w:val="002178F3"/>
    <w:rsid w:val="00220E3C"/>
    <w:rsid w:val="0022118A"/>
    <w:rsid w:val="00226DF4"/>
    <w:rsid w:val="00232D19"/>
    <w:rsid w:val="00233AB9"/>
    <w:rsid w:val="00235267"/>
    <w:rsid w:val="002355FB"/>
    <w:rsid w:val="00236C28"/>
    <w:rsid w:val="0024058A"/>
    <w:rsid w:val="00241E75"/>
    <w:rsid w:val="0024416D"/>
    <w:rsid w:val="00244823"/>
    <w:rsid w:val="00255001"/>
    <w:rsid w:val="00261704"/>
    <w:rsid w:val="00261AB3"/>
    <w:rsid w:val="00264A36"/>
    <w:rsid w:val="002650F7"/>
    <w:rsid w:val="0026557D"/>
    <w:rsid w:val="00266E18"/>
    <w:rsid w:val="00272465"/>
    <w:rsid w:val="00274B21"/>
    <w:rsid w:val="00277070"/>
    <w:rsid w:val="0027764B"/>
    <w:rsid w:val="002800A0"/>
    <w:rsid w:val="002801B3"/>
    <w:rsid w:val="00281060"/>
    <w:rsid w:val="00292DC3"/>
    <w:rsid w:val="002940E8"/>
    <w:rsid w:val="0029767D"/>
    <w:rsid w:val="002A0D85"/>
    <w:rsid w:val="002A4760"/>
    <w:rsid w:val="002A6E50"/>
    <w:rsid w:val="002C13A8"/>
    <w:rsid w:val="002C256A"/>
    <w:rsid w:val="002C2AF7"/>
    <w:rsid w:val="002C7058"/>
    <w:rsid w:val="002E5B9D"/>
    <w:rsid w:val="002E6E80"/>
    <w:rsid w:val="002E74C0"/>
    <w:rsid w:val="002F0249"/>
    <w:rsid w:val="002F190A"/>
    <w:rsid w:val="00303DA0"/>
    <w:rsid w:val="003054C5"/>
    <w:rsid w:val="00305A7F"/>
    <w:rsid w:val="003073BF"/>
    <w:rsid w:val="00313783"/>
    <w:rsid w:val="003152FE"/>
    <w:rsid w:val="00320AE8"/>
    <w:rsid w:val="00323096"/>
    <w:rsid w:val="003268AA"/>
    <w:rsid w:val="00327436"/>
    <w:rsid w:val="003323A8"/>
    <w:rsid w:val="003346AC"/>
    <w:rsid w:val="00342A9C"/>
    <w:rsid w:val="00344BD6"/>
    <w:rsid w:val="00347FC4"/>
    <w:rsid w:val="00351A52"/>
    <w:rsid w:val="003539A1"/>
    <w:rsid w:val="0035528D"/>
    <w:rsid w:val="0035616F"/>
    <w:rsid w:val="00361821"/>
    <w:rsid w:val="0037019B"/>
    <w:rsid w:val="00370631"/>
    <w:rsid w:val="00373109"/>
    <w:rsid w:val="00377554"/>
    <w:rsid w:val="00382771"/>
    <w:rsid w:val="0038532F"/>
    <w:rsid w:val="00391B43"/>
    <w:rsid w:val="00393E05"/>
    <w:rsid w:val="003A057A"/>
    <w:rsid w:val="003A57C8"/>
    <w:rsid w:val="003B2891"/>
    <w:rsid w:val="003C366D"/>
    <w:rsid w:val="003C41EB"/>
    <w:rsid w:val="003C4CE7"/>
    <w:rsid w:val="003C51F7"/>
    <w:rsid w:val="003C74BE"/>
    <w:rsid w:val="003D11D9"/>
    <w:rsid w:val="003D227C"/>
    <w:rsid w:val="003D2B4D"/>
    <w:rsid w:val="003D44F4"/>
    <w:rsid w:val="003D4C2D"/>
    <w:rsid w:val="003D4F38"/>
    <w:rsid w:val="003D60C2"/>
    <w:rsid w:val="003D7E71"/>
    <w:rsid w:val="003E633D"/>
    <w:rsid w:val="003E7998"/>
    <w:rsid w:val="003F0D12"/>
    <w:rsid w:val="003F4BAB"/>
    <w:rsid w:val="003F72B9"/>
    <w:rsid w:val="00407569"/>
    <w:rsid w:val="00412B9D"/>
    <w:rsid w:val="00414C82"/>
    <w:rsid w:val="004215EB"/>
    <w:rsid w:val="00425E15"/>
    <w:rsid w:val="00425E44"/>
    <w:rsid w:val="00431121"/>
    <w:rsid w:val="00431608"/>
    <w:rsid w:val="00431EE7"/>
    <w:rsid w:val="00433376"/>
    <w:rsid w:val="0043498D"/>
    <w:rsid w:val="00441006"/>
    <w:rsid w:val="00444A88"/>
    <w:rsid w:val="00447D62"/>
    <w:rsid w:val="00450139"/>
    <w:rsid w:val="0045016F"/>
    <w:rsid w:val="00451571"/>
    <w:rsid w:val="0046416B"/>
    <w:rsid w:val="004737CD"/>
    <w:rsid w:val="00473DA7"/>
    <w:rsid w:val="00473E50"/>
    <w:rsid w:val="00474DA4"/>
    <w:rsid w:val="00482037"/>
    <w:rsid w:val="00485049"/>
    <w:rsid w:val="00492302"/>
    <w:rsid w:val="00496612"/>
    <w:rsid w:val="004A43EB"/>
    <w:rsid w:val="004B2DEA"/>
    <w:rsid w:val="004B6043"/>
    <w:rsid w:val="004B7043"/>
    <w:rsid w:val="004C61C7"/>
    <w:rsid w:val="004D047D"/>
    <w:rsid w:val="004D0AF4"/>
    <w:rsid w:val="004D15B4"/>
    <w:rsid w:val="004D1A8C"/>
    <w:rsid w:val="004D44A4"/>
    <w:rsid w:val="004D6F1C"/>
    <w:rsid w:val="004E11A9"/>
    <w:rsid w:val="004E240F"/>
    <w:rsid w:val="004E40DF"/>
    <w:rsid w:val="004E68FF"/>
    <w:rsid w:val="004F305A"/>
    <w:rsid w:val="004F70BB"/>
    <w:rsid w:val="0050522A"/>
    <w:rsid w:val="00505AC0"/>
    <w:rsid w:val="00507FDF"/>
    <w:rsid w:val="00511257"/>
    <w:rsid w:val="005113EB"/>
    <w:rsid w:val="00512164"/>
    <w:rsid w:val="0051535D"/>
    <w:rsid w:val="005153DB"/>
    <w:rsid w:val="005201E4"/>
    <w:rsid w:val="00520297"/>
    <w:rsid w:val="005338F9"/>
    <w:rsid w:val="00536DA3"/>
    <w:rsid w:val="0054281C"/>
    <w:rsid w:val="005436C8"/>
    <w:rsid w:val="005461DF"/>
    <w:rsid w:val="0055268D"/>
    <w:rsid w:val="005559BA"/>
    <w:rsid w:val="005608D7"/>
    <w:rsid w:val="005609E5"/>
    <w:rsid w:val="00576BE4"/>
    <w:rsid w:val="00576BF0"/>
    <w:rsid w:val="00584574"/>
    <w:rsid w:val="005969DA"/>
    <w:rsid w:val="005A0EA1"/>
    <w:rsid w:val="005A38E3"/>
    <w:rsid w:val="005A400A"/>
    <w:rsid w:val="005B69D8"/>
    <w:rsid w:val="005C11C9"/>
    <w:rsid w:val="005D0EC6"/>
    <w:rsid w:val="005E009A"/>
    <w:rsid w:val="005E0B38"/>
    <w:rsid w:val="005E721D"/>
    <w:rsid w:val="005F4562"/>
    <w:rsid w:val="005F467B"/>
    <w:rsid w:val="005F5738"/>
    <w:rsid w:val="00602EAE"/>
    <w:rsid w:val="00612379"/>
    <w:rsid w:val="00612BD6"/>
    <w:rsid w:val="006153EB"/>
    <w:rsid w:val="0061555F"/>
    <w:rsid w:val="006173DB"/>
    <w:rsid w:val="00620F10"/>
    <w:rsid w:val="00621497"/>
    <w:rsid w:val="006226EB"/>
    <w:rsid w:val="00625127"/>
    <w:rsid w:val="00641200"/>
    <w:rsid w:val="00644ACE"/>
    <w:rsid w:val="00653E16"/>
    <w:rsid w:val="00655A33"/>
    <w:rsid w:val="0066354C"/>
    <w:rsid w:val="0066557D"/>
    <w:rsid w:val="00671D1C"/>
    <w:rsid w:val="0067210A"/>
    <w:rsid w:val="00674C9F"/>
    <w:rsid w:val="00675369"/>
    <w:rsid w:val="00675EB1"/>
    <w:rsid w:val="00677B58"/>
    <w:rsid w:val="006805D6"/>
    <w:rsid w:val="006819F1"/>
    <w:rsid w:val="00682848"/>
    <w:rsid w:val="00687EB4"/>
    <w:rsid w:val="006938B7"/>
    <w:rsid w:val="006A0768"/>
    <w:rsid w:val="006A0CFC"/>
    <w:rsid w:val="006A14BF"/>
    <w:rsid w:val="006A1734"/>
    <w:rsid w:val="006A3643"/>
    <w:rsid w:val="006A59FA"/>
    <w:rsid w:val="006A7447"/>
    <w:rsid w:val="006B17D2"/>
    <w:rsid w:val="006B235F"/>
    <w:rsid w:val="006B45E8"/>
    <w:rsid w:val="006B4789"/>
    <w:rsid w:val="006B5E1F"/>
    <w:rsid w:val="006B767F"/>
    <w:rsid w:val="006C103B"/>
    <w:rsid w:val="006C224E"/>
    <w:rsid w:val="006C237C"/>
    <w:rsid w:val="006C70B9"/>
    <w:rsid w:val="006D2ED8"/>
    <w:rsid w:val="006D4483"/>
    <w:rsid w:val="006D780A"/>
    <w:rsid w:val="006E5138"/>
    <w:rsid w:val="006F1FE2"/>
    <w:rsid w:val="006F6B52"/>
    <w:rsid w:val="00702D1C"/>
    <w:rsid w:val="0070542A"/>
    <w:rsid w:val="00711688"/>
    <w:rsid w:val="007138D0"/>
    <w:rsid w:val="007139C9"/>
    <w:rsid w:val="007148F6"/>
    <w:rsid w:val="00720921"/>
    <w:rsid w:val="00721353"/>
    <w:rsid w:val="00723601"/>
    <w:rsid w:val="0072381B"/>
    <w:rsid w:val="00732239"/>
    <w:rsid w:val="00732DEC"/>
    <w:rsid w:val="007339BA"/>
    <w:rsid w:val="0073424F"/>
    <w:rsid w:val="007356E4"/>
    <w:rsid w:val="00735BD5"/>
    <w:rsid w:val="00743085"/>
    <w:rsid w:val="00745D66"/>
    <w:rsid w:val="00746948"/>
    <w:rsid w:val="00754498"/>
    <w:rsid w:val="007556F6"/>
    <w:rsid w:val="00760EEF"/>
    <w:rsid w:val="00777EE5"/>
    <w:rsid w:val="00781042"/>
    <w:rsid w:val="00781093"/>
    <w:rsid w:val="00784836"/>
    <w:rsid w:val="0079023E"/>
    <w:rsid w:val="00793286"/>
    <w:rsid w:val="00796CE1"/>
    <w:rsid w:val="007A0614"/>
    <w:rsid w:val="007A2854"/>
    <w:rsid w:val="007C6DAA"/>
    <w:rsid w:val="007D0B9D"/>
    <w:rsid w:val="007D19B0"/>
    <w:rsid w:val="007D1D1A"/>
    <w:rsid w:val="007D4C13"/>
    <w:rsid w:val="007E683B"/>
    <w:rsid w:val="007F0A3B"/>
    <w:rsid w:val="007F3C6E"/>
    <w:rsid w:val="007F498F"/>
    <w:rsid w:val="007F6C8C"/>
    <w:rsid w:val="00803823"/>
    <w:rsid w:val="0080679D"/>
    <w:rsid w:val="008107E4"/>
    <w:rsid w:val="008108B0"/>
    <w:rsid w:val="00811B20"/>
    <w:rsid w:val="008125CE"/>
    <w:rsid w:val="0081354B"/>
    <w:rsid w:val="0082296E"/>
    <w:rsid w:val="00824099"/>
    <w:rsid w:val="00827285"/>
    <w:rsid w:val="008374B2"/>
    <w:rsid w:val="008419E5"/>
    <w:rsid w:val="00842604"/>
    <w:rsid w:val="00843A31"/>
    <w:rsid w:val="008479BC"/>
    <w:rsid w:val="00850848"/>
    <w:rsid w:val="0085104A"/>
    <w:rsid w:val="008524DE"/>
    <w:rsid w:val="00853553"/>
    <w:rsid w:val="00861288"/>
    <w:rsid w:val="00864573"/>
    <w:rsid w:val="008662F1"/>
    <w:rsid w:val="00867822"/>
    <w:rsid w:val="00867AC1"/>
    <w:rsid w:val="008735E7"/>
    <w:rsid w:val="00873C02"/>
    <w:rsid w:val="00880FEB"/>
    <w:rsid w:val="00884005"/>
    <w:rsid w:val="00886BCB"/>
    <w:rsid w:val="00892104"/>
    <w:rsid w:val="00895AD8"/>
    <w:rsid w:val="008A3E56"/>
    <w:rsid w:val="008A743F"/>
    <w:rsid w:val="008B27A3"/>
    <w:rsid w:val="008B426B"/>
    <w:rsid w:val="008C0970"/>
    <w:rsid w:val="008C14AB"/>
    <w:rsid w:val="008C4A21"/>
    <w:rsid w:val="008C635E"/>
    <w:rsid w:val="008D0741"/>
    <w:rsid w:val="008D2CF7"/>
    <w:rsid w:val="008D30F4"/>
    <w:rsid w:val="008D3729"/>
    <w:rsid w:val="008E1113"/>
    <w:rsid w:val="008E4EE2"/>
    <w:rsid w:val="008E6816"/>
    <w:rsid w:val="008F1A3C"/>
    <w:rsid w:val="008F44C4"/>
    <w:rsid w:val="008F5D07"/>
    <w:rsid w:val="008F7341"/>
    <w:rsid w:val="00900C26"/>
    <w:rsid w:val="0090197F"/>
    <w:rsid w:val="00906DDC"/>
    <w:rsid w:val="009145F4"/>
    <w:rsid w:val="00915AEE"/>
    <w:rsid w:val="00922B0B"/>
    <w:rsid w:val="00930368"/>
    <w:rsid w:val="00931DAE"/>
    <w:rsid w:val="00934E09"/>
    <w:rsid w:val="00936253"/>
    <w:rsid w:val="009369E3"/>
    <w:rsid w:val="00940F4D"/>
    <w:rsid w:val="00942544"/>
    <w:rsid w:val="00952DD4"/>
    <w:rsid w:val="0096195E"/>
    <w:rsid w:val="00962918"/>
    <w:rsid w:val="009705A9"/>
    <w:rsid w:val="00970FED"/>
    <w:rsid w:val="00971B06"/>
    <w:rsid w:val="0097495E"/>
    <w:rsid w:val="009761F6"/>
    <w:rsid w:val="00982D40"/>
    <w:rsid w:val="00984BC0"/>
    <w:rsid w:val="00987F1F"/>
    <w:rsid w:val="00990DA0"/>
    <w:rsid w:val="0099231D"/>
    <w:rsid w:val="00994A5D"/>
    <w:rsid w:val="00996AD7"/>
    <w:rsid w:val="00997029"/>
    <w:rsid w:val="009A0B1E"/>
    <w:rsid w:val="009A1B26"/>
    <w:rsid w:val="009A3516"/>
    <w:rsid w:val="009A3B61"/>
    <w:rsid w:val="009A4232"/>
    <w:rsid w:val="009A6FD5"/>
    <w:rsid w:val="009B16C3"/>
    <w:rsid w:val="009B2ADD"/>
    <w:rsid w:val="009B3170"/>
    <w:rsid w:val="009B5D9D"/>
    <w:rsid w:val="009B6AD7"/>
    <w:rsid w:val="009B6B14"/>
    <w:rsid w:val="009C12F0"/>
    <w:rsid w:val="009D27B2"/>
    <w:rsid w:val="009D690D"/>
    <w:rsid w:val="009E1D3A"/>
    <w:rsid w:val="009E31A5"/>
    <w:rsid w:val="009E65B6"/>
    <w:rsid w:val="00A00E2C"/>
    <w:rsid w:val="00A02C79"/>
    <w:rsid w:val="00A10D66"/>
    <w:rsid w:val="00A27844"/>
    <w:rsid w:val="00A32CB3"/>
    <w:rsid w:val="00A345A8"/>
    <w:rsid w:val="00A42AC3"/>
    <w:rsid w:val="00A430CF"/>
    <w:rsid w:val="00A4528F"/>
    <w:rsid w:val="00A472C9"/>
    <w:rsid w:val="00A47CDB"/>
    <w:rsid w:val="00A502EE"/>
    <w:rsid w:val="00A5108E"/>
    <w:rsid w:val="00A54309"/>
    <w:rsid w:val="00A54C84"/>
    <w:rsid w:val="00A75198"/>
    <w:rsid w:val="00A81503"/>
    <w:rsid w:val="00A84BB3"/>
    <w:rsid w:val="00A9006C"/>
    <w:rsid w:val="00A90D71"/>
    <w:rsid w:val="00A91B29"/>
    <w:rsid w:val="00A929D4"/>
    <w:rsid w:val="00A93CDE"/>
    <w:rsid w:val="00AA648D"/>
    <w:rsid w:val="00AA7D84"/>
    <w:rsid w:val="00AB20E5"/>
    <w:rsid w:val="00AB27F6"/>
    <w:rsid w:val="00AB2B93"/>
    <w:rsid w:val="00AB2D2E"/>
    <w:rsid w:val="00AB52E3"/>
    <w:rsid w:val="00AB5FAF"/>
    <w:rsid w:val="00AB75EB"/>
    <w:rsid w:val="00AB7E5B"/>
    <w:rsid w:val="00AC79F8"/>
    <w:rsid w:val="00AC7AF0"/>
    <w:rsid w:val="00AD0B9E"/>
    <w:rsid w:val="00AD1003"/>
    <w:rsid w:val="00AD102C"/>
    <w:rsid w:val="00AD29FD"/>
    <w:rsid w:val="00AD4EA4"/>
    <w:rsid w:val="00AD6753"/>
    <w:rsid w:val="00AE0EF1"/>
    <w:rsid w:val="00AE1E6B"/>
    <w:rsid w:val="00AE71B9"/>
    <w:rsid w:val="00AF4F0B"/>
    <w:rsid w:val="00AF77CF"/>
    <w:rsid w:val="00B01191"/>
    <w:rsid w:val="00B04531"/>
    <w:rsid w:val="00B04ED7"/>
    <w:rsid w:val="00B0563B"/>
    <w:rsid w:val="00B06A56"/>
    <w:rsid w:val="00B07301"/>
    <w:rsid w:val="00B100E4"/>
    <w:rsid w:val="00B108A6"/>
    <w:rsid w:val="00B1306F"/>
    <w:rsid w:val="00B202D2"/>
    <w:rsid w:val="00B204CD"/>
    <w:rsid w:val="00B224DE"/>
    <w:rsid w:val="00B24597"/>
    <w:rsid w:val="00B455CA"/>
    <w:rsid w:val="00B51DAD"/>
    <w:rsid w:val="00B62FB4"/>
    <w:rsid w:val="00B709D5"/>
    <w:rsid w:val="00B71F41"/>
    <w:rsid w:val="00B72907"/>
    <w:rsid w:val="00B76BD5"/>
    <w:rsid w:val="00B803BA"/>
    <w:rsid w:val="00B84BBD"/>
    <w:rsid w:val="00BA1699"/>
    <w:rsid w:val="00BA43FB"/>
    <w:rsid w:val="00BB0106"/>
    <w:rsid w:val="00BB0D03"/>
    <w:rsid w:val="00BB17A0"/>
    <w:rsid w:val="00BC127D"/>
    <w:rsid w:val="00BC19D1"/>
    <w:rsid w:val="00BC1FE6"/>
    <w:rsid w:val="00BC2AA6"/>
    <w:rsid w:val="00BC3FB4"/>
    <w:rsid w:val="00BD0021"/>
    <w:rsid w:val="00BD355F"/>
    <w:rsid w:val="00BD3926"/>
    <w:rsid w:val="00BD6AE8"/>
    <w:rsid w:val="00BF330D"/>
    <w:rsid w:val="00C054FB"/>
    <w:rsid w:val="00C061B6"/>
    <w:rsid w:val="00C1362D"/>
    <w:rsid w:val="00C13808"/>
    <w:rsid w:val="00C1528E"/>
    <w:rsid w:val="00C16BBE"/>
    <w:rsid w:val="00C21740"/>
    <w:rsid w:val="00C2446C"/>
    <w:rsid w:val="00C26EAA"/>
    <w:rsid w:val="00C36AE5"/>
    <w:rsid w:val="00C41F17"/>
    <w:rsid w:val="00C433D7"/>
    <w:rsid w:val="00C5791C"/>
    <w:rsid w:val="00C622D6"/>
    <w:rsid w:val="00C64C74"/>
    <w:rsid w:val="00C66290"/>
    <w:rsid w:val="00C72007"/>
    <w:rsid w:val="00C72B7A"/>
    <w:rsid w:val="00C77F12"/>
    <w:rsid w:val="00C81483"/>
    <w:rsid w:val="00C83BDF"/>
    <w:rsid w:val="00C9233A"/>
    <w:rsid w:val="00C92624"/>
    <w:rsid w:val="00C94ED1"/>
    <w:rsid w:val="00C9516B"/>
    <w:rsid w:val="00C95336"/>
    <w:rsid w:val="00C973F2"/>
    <w:rsid w:val="00C97FBB"/>
    <w:rsid w:val="00CA7158"/>
    <w:rsid w:val="00CA774A"/>
    <w:rsid w:val="00CB27D0"/>
    <w:rsid w:val="00CB38A2"/>
    <w:rsid w:val="00CC11B0"/>
    <w:rsid w:val="00CC5868"/>
    <w:rsid w:val="00CD1B3B"/>
    <w:rsid w:val="00CD4BCF"/>
    <w:rsid w:val="00CD5F25"/>
    <w:rsid w:val="00CD72D2"/>
    <w:rsid w:val="00CD753B"/>
    <w:rsid w:val="00CE5C6A"/>
    <w:rsid w:val="00CF3A3B"/>
    <w:rsid w:val="00CF7E36"/>
    <w:rsid w:val="00D011B1"/>
    <w:rsid w:val="00D04B7F"/>
    <w:rsid w:val="00D23223"/>
    <w:rsid w:val="00D251B6"/>
    <w:rsid w:val="00D256A9"/>
    <w:rsid w:val="00D261C5"/>
    <w:rsid w:val="00D27B08"/>
    <w:rsid w:val="00D34C5E"/>
    <w:rsid w:val="00D3708D"/>
    <w:rsid w:val="00D379B0"/>
    <w:rsid w:val="00D37FFD"/>
    <w:rsid w:val="00D40426"/>
    <w:rsid w:val="00D45746"/>
    <w:rsid w:val="00D4608B"/>
    <w:rsid w:val="00D5410A"/>
    <w:rsid w:val="00D57C96"/>
    <w:rsid w:val="00D641E1"/>
    <w:rsid w:val="00D7088E"/>
    <w:rsid w:val="00D72695"/>
    <w:rsid w:val="00D8793B"/>
    <w:rsid w:val="00D87954"/>
    <w:rsid w:val="00D91203"/>
    <w:rsid w:val="00D94455"/>
    <w:rsid w:val="00D94EA2"/>
    <w:rsid w:val="00D95174"/>
    <w:rsid w:val="00D95D47"/>
    <w:rsid w:val="00D97721"/>
    <w:rsid w:val="00DA1ACF"/>
    <w:rsid w:val="00DA4685"/>
    <w:rsid w:val="00DA58FA"/>
    <w:rsid w:val="00DA6B94"/>
    <w:rsid w:val="00DA6F36"/>
    <w:rsid w:val="00DB33D0"/>
    <w:rsid w:val="00DB5180"/>
    <w:rsid w:val="00DB596E"/>
    <w:rsid w:val="00DC00EA"/>
    <w:rsid w:val="00DC3D17"/>
    <w:rsid w:val="00DC457C"/>
    <w:rsid w:val="00DC67F2"/>
    <w:rsid w:val="00DD0D60"/>
    <w:rsid w:val="00DD5A40"/>
    <w:rsid w:val="00DE40A5"/>
    <w:rsid w:val="00DE6ADC"/>
    <w:rsid w:val="00DF58CA"/>
    <w:rsid w:val="00DF7AFB"/>
    <w:rsid w:val="00E000F5"/>
    <w:rsid w:val="00E00900"/>
    <w:rsid w:val="00E037D6"/>
    <w:rsid w:val="00E11F4C"/>
    <w:rsid w:val="00E121A4"/>
    <w:rsid w:val="00E14071"/>
    <w:rsid w:val="00E147F8"/>
    <w:rsid w:val="00E15BDE"/>
    <w:rsid w:val="00E24F72"/>
    <w:rsid w:val="00E30407"/>
    <w:rsid w:val="00E50B3C"/>
    <w:rsid w:val="00E53949"/>
    <w:rsid w:val="00E56A3D"/>
    <w:rsid w:val="00E57EA4"/>
    <w:rsid w:val="00E65183"/>
    <w:rsid w:val="00E72D49"/>
    <w:rsid w:val="00E73FCF"/>
    <w:rsid w:val="00E7593C"/>
    <w:rsid w:val="00E7678A"/>
    <w:rsid w:val="00E80F31"/>
    <w:rsid w:val="00E833F9"/>
    <w:rsid w:val="00E853D8"/>
    <w:rsid w:val="00E85CF9"/>
    <w:rsid w:val="00E90B28"/>
    <w:rsid w:val="00E935F1"/>
    <w:rsid w:val="00E937BA"/>
    <w:rsid w:val="00E94A81"/>
    <w:rsid w:val="00EA1FFB"/>
    <w:rsid w:val="00EA5245"/>
    <w:rsid w:val="00EA694B"/>
    <w:rsid w:val="00EB048E"/>
    <w:rsid w:val="00EC16D9"/>
    <w:rsid w:val="00EC1AC0"/>
    <w:rsid w:val="00EC6385"/>
    <w:rsid w:val="00EC6B51"/>
    <w:rsid w:val="00EC7ED5"/>
    <w:rsid w:val="00ED4437"/>
    <w:rsid w:val="00ED49B5"/>
    <w:rsid w:val="00EE34DF"/>
    <w:rsid w:val="00EE7B09"/>
    <w:rsid w:val="00EF0940"/>
    <w:rsid w:val="00EF2F89"/>
    <w:rsid w:val="00EF4BE4"/>
    <w:rsid w:val="00F00A88"/>
    <w:rsid w:val="00F033D7"/>
    <w:rsid w:val="00F0703E"/>
    <w:rsid w:val="00F1237A"/>
    <w:rsid w:val="00F17037"/>
    <w:rsid w:val="00F1717B"/>
    <w:rsid w:val="00F17AE5"/>
    <w:rsid w:val="00F221DB"/>
    <w:rsid w:val="00F22CBD"/>
    <w:rsid w:val="00F2587C"/>
    <w:rsid w:val="00F33650"/>
    <w:rsid w:val="00F34627"/>
    <w:rsid w:val="00F349BC"/>
    <w:rsid w:val="00F4189B"/>
    <w:rsid w:val="00F45372"/>
    <w:rsid w:val="00F46FD1"/>
    <w:rsid w:val="00F517F3"/>
    <w:rsid w:val="00F54B44"/>
    <w:rsid w:val="00F560F7"/>
    <w:rsid w:val="00F572FD"/>
    <w:rsid w:val="00F6334D"/>
    <w:rsid w:val="00F63EBA"/>
    <w:rsid w:val="00F64FBE"/>
    <w:rsid w:val="00F70C48"/>
    <w:rsid w:val="00F73179"/>
    <w:rsid w:val="00F757BE"/>
    <w:rsid w:val="00F81CA2"/>
    <w:rsid w:val="00F830A9"/>
    <w:rsid w:val="00F84CD1"/>
    <w:rsid w:val="00F8693F"/>
    <w:rsid w:val="00F91253"/>
    <w:rsid w:val="00FA49AB"/>
    <w:rsid w:val="00FB014F"/>
    <w:rsid w:val="00FC3A0C"/>
    <w:rsid w:val="00FC562F"/>
    <w:rsid w:val="00FC60D8"/>
    <w:rsid w:val="00FC6489"/>
    <w:rsid w:val="00FC6714"/>
    <w:rsid w:val="00FD4FA2"/>
    <w:rsid w:val="00FE0C62"/>
    <w:rsid w:val="00FE2218"/>
    <w:rsid w:val="00FE39C7"/>
    <w:rsid w:val="00FF4666"/>
    <w:rsid w:val="00FF74C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BDF"/>
    <w:pPr>
      <w:jc w:val="both"/>
    </w:pPr>
    <w:rPr>
      <w:rFonts w:ascii="Arial" w:hAnsi="Arial"/>
      <w:lang w:val="en-US" w:eastAsia="en-US"/>
    </w:rPr>
  </w:style>
  <w:style w:type="paragraph" w:styleId="Heading1">
    <w:name w:val="heading 1"/>
    <w:next w:val="Normal"/>
    <w:autoRedefine/>
    <w:qFormat/>
    <w:rsid w:val="00F73179"/>
    <w:pPr>
      <w:keepNext/>
      <w:jc w:val="both"/>
      <w:outlineLvl w:val="0"/>
    </w:pPr>
    <w:rPr>
      <w:rFonts w:ascii="Arial" w:hAnsi="Arial"/>
      <w:caps/>
      <w:lang w:val="en-US" w:eastAsia="en-US"/>
    </w:rPr>
  </w:style>
  <w:style w:type="paragraph" w:styleId="Heading2">
    <w:name w:val="heading 2"/>
    <w:next w:val="Normal"/>
    <w:autoRedefine/>
    <w:qFormat/>
    <w:rsid w:val="00F73179"/>
    <w:pPr>
      <w:keepNext/>
      <w:jc w:val="both"/>
      <w:outlineLvl w:val="1"/>
    </w:pPr>
    <w:rPr>
      <w:rFonts w:ascii="Arial" w:hAnsi="Arial"/>
      <w:u w:val="single"/>
      <w:lang w:val="en-US" w:eastAsia="en-US"/>
    </w:rPr>
  </w:style>
  <w:style w:type="paragraph" w:styleId="Heading3">
    <w:name w:val="heading 3"/>
    <w:next w:val="Normal"/>
    <w:autoRedefine/>
    <w:qFormat/>
    <w:rsid w:val="00C83BDF"/>
    <w:pPr>
      <w:keepNext/>
      <w:jc w:val="both"/>
      <w:outlineLvl w:val="2"/>
    </w:pPr>
    <w:rPr>
      <w:rFonts w:ascii="Arial" w:hAnsi="Arial"/>
      <w:b/>
      <w:caps/>
      <w:sz w:val="18"/>
      <w:lang w:eastAsia="en-US"/>
    </w:rPr>
  </w:style>
  <w:style w:type="paragraph" w:styleId="Heading4">
    <w:name w:val="heading 4"/>
    <w:next w:val="Normal"/>
    <w:autoRedefine/>
    <w:qFormat/>
    <w:rsid w:val="00F73179"/>
    <w:pPr>
      <w:keepNext/>
      <w:ind w:left="567"/>
      <w:jc w:val="both"/>
      <w:outlineLvl w:val="3"/>
    </w:pPr>
    <w:rPr>
      <w:rFonts w:ascii="Arial" w:hAnsi="Arial"/>
      <w:i/>
      <w:lang w:val="fr-FR" w:eastAsia="en-US"/>
    </w:rPr>
  </w:style>
  <w:style w:type="paragraph" w:styleId="Heading5">
    <w:name w:val="heading 5"/>
    <w:next w:val="Normal"/>
    <w:autoRedefine/>
    <w:qFormat/>
    <w:rsid w:val="00EC6385"/>
    <w:pPr>
      <w:keepNext/>
      <w:jc w:val="both"/>
      <w:outlineLvl w:val="4"/>
    </w:pPr>
    <w:rPr>
      <w:rFonts w:ascii="Arial" w:hAnsi="Arial"/>
      <w:b/>
      <w:sz w:val="18"/>
      <w:szCs w:val="18"/>
      <w:lang w:eastAsia="en-US"/>
    </w:rPr>
  </w:style>
  <w:style w:type="paragraph" w:styleId="Heading6">
    <w:name w:val="heading 6"/>
    <w:basedOn w:val="Normal"/>
    <w:next w:val="Normal"/>
    <w:link w:val="Heading6Char"/>
    <w:qFormat/>
    <w:rsid w:val="00E65183"/>
    <w:pPr>
      <w:jc w:val="left"/>
      <w:outlineLvl w:val="5"/>
    </w:pPr>
    <w:rPr>
      <w:bCs/>
      <w:i/>
      <w:sz w:val="18"/>
      <w:szCs w:val="22"/>
    </w:rPr>
  </w:style>
  <w:style w:type="paragraph" w:styleId="Heading7">
    <w:name w:val="heading 7"/>
    <w:basedOn w:val="Normal"/>
    <w:next w:val="Normal"/>
    <w:link w:val="Heading7Char"/>
    <w:autoRedefine/>
    <w:qFormat/>
    <w:rsid w:val="00E65183"/>
    <w:pPr>
      <w:spacing w:after="240"/>
      <w:outlineLvl w:val="6"/>
    </w:pPr>
    <w:rPr>
      <w:b/>
      <w:sz w:val="18"/>
      <w:szCs w:val="24"/>
    </w:rPr>
  </w:style>
  <w:style w:type="paragraph" w:styleId="Heading8">
    <w:name w:val="heading 8"/>
    <w:basedOn w:val="Normal"/>
    <w:next w:val="Normal"/>
    <w:link w:val="Heading8Char"/>
    <w:qFormat/>
    <w:rsid w:val="00E65183"/>
    <w:pPr>
      <w:spacing w:after="240"/>
      <w:jc w:val="left"/>
      <w:outlineLvl w:val="7"/>
    </w:pPr>
    <w:rPr>
      <w:i/>
      <w:iCs/>
      <w:sz w:val="18"/>
      <w:szCs w:val="24"/>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73179"/>
    <w:pPr>
      <w:tabs>
        <w:tab w:val="center" w:pos="4536"/>
        <w:tab w:val="right" w:pos="9072"/>
      </w:tabs>
      <w:jc w:val="center"/>
    </w:pPr>
    <w:rPr>
      <w:rFonts w:ascii="Arial" w:hAnsi="Arial"/>
      <w:lang w:val="fr-FR" w:eastAsia="en-US"/>
    </w:rPr>
  </w:style>
  <w:style w:type="paragraph" w:styleId="Footer">
    <w:name w:val="footer"/>
    <w:aliases w:val="doc_path_name"/>
    <w:autoRedefine/>
    <w:rsid w:val="00F73179"/>
    <w:pPr>
      <w:jc w:val="both"/>
    </w:pPr>
    <w:rPr>
      <w:rFonts w:ascii="Arial" w:hAnsi="Arial"/>
      <w:sz w:val="14"/>
      <w:lang w:val="en-US" w:eastAsia="en-US"/>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link w:val="DecisionParagraphsChar"/>
    <w:rsid w:val="00F73179"/>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
    <w:link w:val="FootnoteTextChar"/>
    <w:autoRedefine/>
    <w:rsid w:val="00F73179"/>
    <w:pPr>
      <w:spacing w:before="60"/>
      <w:ind w:left="567" w:hanging="567"/>
      <w:jc w:val="both"/>
    </w:pPr>
    <w:rPr>
      <w:rFonts w:ascii="Arial" w:hAnsi="Arial"/>
      <w:sz w:val="16"/>
      <w:lang w:val="en-US" w:eastAsia="en-US"/>
    </w:rPr>
  </w:style>
  <w:style w:type="character" w:styleId="FootnoteReference">
    <w:name w:val="footnote reference"/>
    <w:basedOn w:val="DefaultParagraphFont"/>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link w:val="BodyTextChar"/>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lang w:val="en-US" w:eastAsia="en-US"/>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uiPriority w:val="39"/>
    <w:rsid w:val="005F5738"/>
    <w:pPr>
      <w:tabs>
        <w:tab w:val="right" w:leader="dot" w:pos="9639"/>
      </w:tabs>
      <w:spacing w:before="120"/>
      <w:ind w:left="426" w:right="851"/>
      <w:contextualSpacing/>
    </w:pPr>
    <w:rPr>
      <w:rFonts w:ascii="Arial" w:hAnsi="Arial"/>
      <w:noProof/>
      <w:lang w:val="en-US" w:eastAsia="en-US"/>
    </w:rPr>
  </w:style>
  <w:style w:type="paragraph" w:styleId="TOC3">
    <w:name w:val="toc 3"/>
    <w:next w:val="Normal"/>
    <w:autoRedefine/>
    <w:uiPriority w:val="39"/>
    <w:rsid w:val="00C83BDF"/>
    <w:pPr>
      <w:tabs>
        <w:tab w:val="right" w:leader="dot" w:pos="9639"/>
      </w:tabs>
      <w:spacing w:before="120" w:after="80"/>
      <w:ind w:right="284"/>
    </w:pPr>
    <w:rPr>
      <w:rFonts w:ascii="Arial" w:eastAsiaTheme="minorEastAsia" w:hAnsi="Arial"/>
      <w:b/>
      <w:sz w:val="18"/>
      <w:lang w:val="fr-FR" w:eastAsia="en-US"/>
    </w:rPr>
  </w:style>
  <w:style w:type="character" w:styleId="Hyperlink">
    <w:name w:val="Hyperlink"/>
    <w:basedOn w:val="DefaultParagraphFont"/>
    <w:uiPriority w:val="99"/>
    <w:rsid w:val="00F73179"/>
    <w:rPr>
      <w:rFonts w:ascii="Arial" w:hAnsi="Arial"/>
      <w:color w:val="0000FF"/>
      <w:u w:val="single"/>
    </w:rPr>
  </w:style>
  <w:style w:type="paragraph" w:styleId="TOC4">
    <w:name w:val="toc 4"/>
    <w:next w:val="Normal"/>
    <w:autoRedefine/>
    <w:uiPriority w:val="39"/>
    <w:rsid w:val="00C83BDF"/>
    <w:pPr>
      <w:tabs>
        <w:tab w:val="right" w:leader="dot" w:pos="9639"/>
      </w:tabs>
      <w:spacing w:before="40" w:after="80"/>
      <w:ind w:left="142" w:right="284"/>
    </w:pPr>
    <w:rPr>
      <w:rFonts w:ascii="Arial" w:eastAsiaTheme="minorEastAsia" w:hAnsi="Arial"/>
      <w:b/>
      <w:noProof/>
      <w:sz w:val="18"/>
      <w:lang w:val="fr-FR" w:eastAsia="en-US"/>
    </w:rPr>
  </w:style>
  <w:style w:type="paragraph" w:styleId="TOC1">
    <w:name w:val="toc 1"/>
    <w:next w:val="Normal"/>
    <w:autoRedefine/>
    <w:uiPriority w:val="39"/>
    <w:rsid w:val="005F5738"/>
    <w:pPr>
      <w:tabs>
        <w:tab w:val="right" w:leader="dot" w:pos="9639"/>
      </w:tabs>
      <w:spacing w:before="120" w:after="120"/>
      <w:ind w:left="426" w:right="284" w:hanging="426"/>
    </w:pPr>
    <w:rPr>
      <w:rFonts w:ascii="Arial" w:hAnsi="Arial"/>
      <w:caps/>
      <w:noProof/>
      <w:lang w:val="en-US" w:eastAsia="en-US"/>
    </w:rPr>
  </w:style>
  <w:style w:type="paragraph" w:styleId="TOC5">
    <w:name w:val="toc 5"/>
    <w:next w:val="Normal"/>
    <w:autoRedefine/>
    <w:uiPriority w:val="39"/>
    <w:rsid w:val="00C83BDF"/>
    <w:pPr>
      <w:keepNext/>
      <w:tabs>
        <w:tab w:val="right" w:leader="dot" w:pos="9639"/>
      </w:tabs>
      <w:spacing w:before="40" w:after="40"/>
      <w:ind w:left="284" w:right="284"/>
      <w:jc w:val="both"/>
    </w:pPr>
    <w:rPr>
      <w:rFonts w:ascii="Arial" w:eastAsiaTheme="minorEastAsia" w:hAnsi="Arial"/>
      <w:noProof/>
      <w:sz w:val="18"/>
      <w:szCs w:val="18"/>
      <w:lang w:val="fr-FR" w:eastAsia="en-US"/>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6Char">
    <w:name w:val="Heading 6 Char"/>
    <w:basedOn w:val="DefaultParagraphFont"/>
    <w:link w:val="Heading6"/>
    <w:rsid w:val="00E65183"/>
    <w:rPr>
      <w:rFonts w:ascii="Arial" w:eastAsia="Times New Roman" w:hAnsi="Arial"/>
      <w:bCs/>
      <w:i/>
      <w:sz w:val="18"/>
      <w:szCs w:val="22"/>
    </w:rPr>
  </w:style>
  <w:style w:type="character" w:customStyle="1" w:styleId="Heading7Char">
    <w:name w:val="Heading 7 Char"/>
    <w:basedOn w:val="DefaultParagraphFont"/>
    <w:link w:val="Heading7"/>
    <w:rsid w:val="00E65183"/>
    <w:rPr>
      <w:rFonts w:ascii="Arial" w:eastAsia="Times New Roman" w:hAnsi="Arial"/>
      <w:b/>
      <w:sz w:val="18"/>
      <w:szCs w:val="24"/>
    </w:rPr>
  </w:style>
  <w:style w:type="character" w:customStyle="1" w:styleId="Heading8Char">
    <w:name w:val="Heading 8 Char"/>
    <w:basedOn w:val="DefaultParagraphFont"/>
    <w:link w:val="Heading8"/>
    <w:rsid w:val="00E65183"/>
    <w:rPr>
      <w:rFonts w:ascii="Arial" w:eastAsia="Times New Roman" w:hAnsi="Arial"/>
      <w:i/>
      <w:iCs/>
      <w:sz w:val="18"/>
      <w:szCs w:val="24"/>
    </w:rPr>
  </w:style>
  <w:style w:type="paragraph" w:styleId="ListParagraph">
    <w:name w:val="List Paragraph"/>
    <w:basedOn w:val="Normal"/>
    <w:uiPriority w:val="34"/>
    <w:qFormat/>
    <w:rsid w:val="00E65183"/>
    <w:pPr>
      <w:ind w:left="720"/>
      <w:contextualSpacing/>
    </w:pPr>
  </w:style>
  <w:style w:type="character" w:customStyle="1" w:styleId="BodyTextChar">
    <w:name w:val="Body Text Char"/>
    <w:basedOn w:val="DefaultParagraphFont"/>
    <w:link w:val="BodyText"/>
    <w:locked/>
    <w:rsid w:val="00E65183"/>
    <w:rPr>
      <w:rFonts w:ascii="Arial" w:hAnsi="Arial"/>
    </w:rPr>
  </w:style>
  <w:style w:type="paragraph" w:styleId="CommentText">
    <w:name w:val="annotation text"/>
    <w:basedOn w:val="Normal"/>
    <w:link w:val="CommentTextChar"/>
    <w:rsid w:val="00E65183"/>
    <w:pPr>
      <w:jc w:val="left"/>
    </w:pPr>
    <w:rPr>
      <w:rFonts w:ascii="Times New Roman" w:hAnsi="Times New Roman"/>
      <w:sz w:val="22"/>
    </w:rPr>
  </w:style>
  <w:style w:type="character" w:customStyle="1" w:styleId="CommentTextChar">
    <w:name w:val="Comment Text Char"/>
    <w:basedOn w:val="DefaultParagraphFont"/>
    <w:link w:val="CommentText"/>
    <w:rsid w:val="00E65183"/>
    <w:rPr>
      <w:rFonts w:eastAsia="Times New Roman"/>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E65183"/>
    <w:rPr>
      <w:rFonts w:ascii="Arial" w:hAnsi="Arial"/>
      <w:sz w:val="16"/>
      <w:lang w:val="en-US" w:eastAsia="en-US" w:bidi="ar-SA"/>
    </w:rPr>
  </w:style>
  <w:style w:type="paragraph" w:styleId="TOC6">
    <w:name w:val="toc 6"/>
    <w:basedOn w:val="Normal"/>
    <w:next w:val="Normal"/>
    <w:autoRedefine/>
    <w:uiPriority w:val="39"/>
    <w:rsid w:val="00C83BDF"/>
    <w:pPr>
      <w:keepNext/>
      <w:tabs>
        <w:tab w:val="right" w:leader="dot" w:pos="9629"/>
      </w:tabs>
      <w:spacing w:after="40"/>
      <w:ind w:left="567" w:right="284"/>
    </w:pPr>
    <w:rPr>
      <w:rFonts w:eastAsiaTheme="minorEastAsia"/>
      <w:noProof/>
      <w:sz w:val="18"/>
      <w:szCs w:val="18"/>
    </w:rPr>
  </w:style>
  <w:style w:type="paragraph" w:styleId="TOC7">
    <w:name w:val="toc 7"/>
    <w:basedOn w:val="Normal"/>
    <w:next w:val="Normal"/>
    <w:autoRedefine/>
    <w:uiPriority w:val="39"/>
    <w:rsid w:val="00C83BDF"/>
    <w:pPr>
      <w:keepNext/>
      <w:tabs>
        <w:tab w:val="right" w:leader="dot" w:pos="9629"/>
      </w:tabs>
      <w:spacing w:before="40" w:after="40"/>
      <w:ind w:left="851"/>
    </w:pPr>
    <w:rPr>
      <w:rFonts w:eastAsiaTheme="minorEastAsia"/>
      <w:i/>
      <w:noProof/>
      <w:sz w:val="18"/>
      <w:szCs w:val="18"/>
    </w:rPr>
  </w:style>
  <w:style w:type="paragraph" w:styleId="TOC8">
    <w:name w:val="toc 8"/>
    <w:basedOn w:val="Normal"/>
    <w:next w:val="Normal"/>
    <w:autoRedefine/>
    <w:uiPriority w:val="39"/>
    <w:rsid w:val="00C83BDF"/>
    <w:pPr>
      <w:tabs>
        <w:tab w:val="right" w:leader="dot" w:pos="9629"/>
      </w:tabs>
      <w:spacing w:after="40"/>
      <w:ind w:left="1134" w:right="284"/>
      <w:jc w:val="left"/>
    </w:pPr>
    <w:rPr>
      <w:rFonts w:eastAsiaTheme="minorEastAsia"/>
      <w:i/>
      <w:noProof/>
      <w:sz w:val="18"/>
      <w:szCs w:val="18"/>
    </w:rPr>
  </w:style>
  <w:style w:type="paragraph" w:styleId="TOC9">
    <w:name w:val="toc 9"/>
    <w:basedOn w:val="Normal"/>
    <w:next w:val="Normal"/>
    <w:autoRedefine/>
    <w:uiPriority w:val="39"/>
    <w:rsid w:val="00C83BDF"/>
    <w:pPr>
      <w:tabs>
        <w:tab w:val="right" w:leader="dot" w:pos="9629"/>
      </w:tabs>
      <w:spacing w:after="40"/>
      <w:ind w:left="1701" w:right="284"/>
      <w:jc w:val="left"/>
    </w:pPr>
    <w:rPr>
      <w:rFonts w:eastAsiaTheme="minorEastAsia"/>
      <w:noProof/>
      <w:sz w:val="18"/>
      <w:szCs w:val="18"/>
    </w:rPr>
  </w:style>
  <w:style w:type="table" w:styleId="TableGrid">
    <w:name w:val="Table Grid"/>
    <w:basedOn w:val="TableNormal"/>
    <w:rsid w:val="00E65183"/>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E65183"/>
    <w:rPr>
      <w:rFonts w:ascii="Arial" w:hAnsi="Arial"/>
      <w:i/>
    </w:rPr>
  </w:style>
  <w:style w:type="paragraph" w:customStyle="1" w:styleId="Draft">
    <w:name w:val="Draft"/>
    <w:basedOn w:val="Normal"/>
    <w:next w:val="preparedby"/>
    <w:rsid w:val="00E65183"/>
    <w:pPr>
      <w:spacing w:before="720" w:after="480"/>
      <w:jc w:val="center"/>
    </w:pPr>
    <w:rPr>
      <w:rFonts w:ascii="Times New Roman" w:hAnsi="Times New Roman"/>
      <w:caps/>
      <w:sz w:val="28"/>
    </w:rPr>
  </w:style>
  <w:style w:type="paragraph" w:customStyle="1" w:styleId="Committee">
    <w:name w:val="Committee"/>
    <w:basedOn w:val="Title"/>
    <w:rsid w:val="00E65183"/>
    <w:rPr>
      <w:caps w:val="0"/>
    </w:rPr>
  </w:style>
  <w:style w:type="paragraph" w:styleId="BodyTextIndent">
    <w:name w:val="Body Text Indent"/>
    <w:basedOn w:val="Normal"/>
    <w:link w:val="BodyTextIndentChar"/>
    <w:rsid w:val="00E65183"/>
    <w:rPr>
      <w:rFonts w:ascii="Times New Roman" w:hAnsi="Times New Roman"/>
      <w:sz w:val="24"/>
      <w:u w:val="single"/>
    </w:rPr>
  </w:style>
  <w:style w:type="character" w:customStyle="1" w:styleId="BodyTextIndentChar">
    <w:name w:val="Body Text Indent Char"/>
    <w:basedOn w:val="DefaultParagraphFont"/>
    <w:link w:val="BodyTextIndent"/>
    <w:rsid w:val="00E65183"/>
    <w:rPr>
      <w:rFonts w:eastAsia="Times New Roman"/>
      <w:sz w:val="24"/>
      <w:u w:val="single"/>
    </w:rPr>
  </w:style>
  <w:style w:type="character" w:styleId="FollowedHyperlink">
    <w:name w:val="FollowedHyperlink"/>
    <w:basedOn w:val="DefaultParagraphFont"/>
    <w:rsid w:val="00E65183"/>
    <w:rPr>
      <w:color w:val="800080"/>
      <w:u w:val="single"/>
    </w:rPr>
  </w:style>
  <w:style w:type="table" w:customStyle="1" w:styleId="TableGrid1">
    <w:name w:val="Table Grid1"/>
    <w:basedOn w:val="TableNormal"/>
    <w:next w:val="TableGrid"/>
    <w:rsid w:val="00E65183"/>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5183"/>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uiPriority w:val="99"/>
    <w:unhideWhenUsed/>
    <w:rsid w:val="00E65183"/>
    <w:pPr>
      <w:spacing w:before="100" w:beforeAutospacing="1" w:after="100" w:afterAutospacing="1"/>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BDF"/>
    <w:pPr>
      <w:jc w:val="both"/>
    </w:pPr>
    <w:rPr>
      <w:rFonts w:ascii="Arial" w:hAnsi="Arial"/>
      <w:lang w:val="en-US" w:eastAsia="en-US"/>
    </w:rPr>
  </w:style>
  <w:style w:type="paragraph" w:styleId="Heading1">
    <w:name w:val="heading 1"/>
    <w:next w:val="Normal"/>
    <w:autoRedefine/>
    <w:qFormat/>
    <w:rsid w:val="00F73179"/>
    <w:pPr>
      <w:keepNext/>
      <w:jc w:val="both"/>
      <w:outlineLvl w:val="0"/>
    </w:pPr>
    <w:rPr>
      <w:rFonts w:ascii="Arial" w:hAnsi="Arial"/>
      <w:caps/>
      <w:lang w:val="en-US" w:eastAsia="en-US"/>
    </w:rPr>
  </w:style>
  <w:style w:type="paragraph" w:styleId="Heading2">
    <w:name w:val="heading 2"/>
    <w:next w:val="Normal"/>
    <w:autoRedefine/>
    <w:qFormat/>
    <w:rsid w:val="00F73179"/>
    <w:pPr>
      <w:keepNext/>
      <w:jc w:val="both"/>
      <w:outlineLvl w:val="1"/>
    </w:pPr>
    <w:rPr>
      <w:rFonts w:ascii="Arial" w:hAnsi="Arial"/>
      <w:u w:val="single"/>
      <w:lang w:val="en-US" w:eastAsia="en-US"/>
    </w:rPr>
  </w:style>
  <w:style w:type="paragraph" w:styleId="Heading3">
    <w:name w:val="heading 3"/>
    <w:next w:val="Normal"/>
    <w:autoRedefine/>
    <w:qFormat/>
    <w:rsid w:val="00C83BDF"/>
    <w:pPr>
      <w:keepNext/>
      <w:jc w:val="both"/>
      <w:outlineLvl w:val="2"/>
    </w:pPr>
    <w:rPr>
      <w:rFonts w:ascii="Arial" w:hAnsi="Arial"/>
      <w:b/>
      <w:caps/>
      <w:sz w:val="18"/>
      <w:lang w:eastAsia="en-US"/>
    </w:rPr>
  </w:style>
  <w:style w:type="paragraph" w:styleId="Heading4">
    <w:name w:val="heading 4"/>
    <w:next w:val="Normal"/>
    <w:autoRedefine/>
    <w:qFormat/>
    <w:rsid w:val="00F73179"/>
    <w:pPr>
      <w:keepNext/>
      <w:ind w:left="567"/>
      <w:jc w:val="both"/>
      <w:outlineLvl w:val="3"/>
    </w:pPr>
    <w:rPr>
      <w:rFonts w:ascii="Arial" w:hAnsi="Arial"/>
      <w:i/>
      <w:lang w:val="fr-FR" w:eastAsia="en-US"/>
    </w:rPr>
  </w:style>
  <w:style w:type="paragraph" w:styleId="Heading5">
    <w:name w:val="heading 5"/>
    <w:next w:val="Normal"/>
    <w:autoRedefine/>
    <w:qFormat/>
    <w:rsid w:val="00EC6385"/>
    <w:pPr>
      <w:keepNext/>
      <w:jc w:val="both"/>
      <w:outlineLvl w:val="4"/>
    </w:pPr>
    <w:rPr>
      <w:rFonts w:ascii="Arial" w:hAnsi="Arial"/>
      <w:b/>
      <w:sz w:val="18"/>
      <w:szCs w:val="18"/>
      <w:lang w:eastAsia="en-US"/>
    </w:rPr>
  </w:style>
  <w:style w:type="paragraph" w:styleId="Heading6">
    <w:name w:val="heading 6"/>
    <w:basedOn w:val="Normal"/>
    <w:next w:val="Normal"/>
    <w:link w:val="Heading6Char"/>
    <w:qFormat/>
    <w:rsid w:val="00E65183"/>
    <w:pPr>
      <w:jc w:val="left"/>
      <w:outlineLvl w:val="5"/>
    </w:pPr>
    <w:rPr>
      <w:bCs/>
      <w:i/>
      <w:sz w:val="18"/>
      <w:szCs w:val="22"/>
    </w:rPr>
  </w:style>
  <w:style w:type="paragraph" w:styleId="Heading7">
    <w:name w:val="heading 7"/>
    <w:basedOn w:val="Normal"/>
    <w:next w:val="Normal"/>
    <w:link w:val="Heading7Char"/>
    <w:autoRedefine/>
    <w:qFormat/>
    <w:rsid w:val="00E65183"/>
    <w:pPr>
      <w:spacing w:after="240"/>
      <w:outlineLvl w:val="6"/>
    </w:pPr>
    <w:rPr>
      <w:b/>
      <w:sz w:val="18"/>
      <w:szCs w:val="24"/>
    </w:rPr>
  </w:style>
  <w:style w:type="paragraph" w:styleId="Heading8">
    <w:name w:val="heading 8"/>
    <w:basedOn w:val="Normal"/>
    <w:next w:val="Normal"/>
    <w:link w:val="Heading8Char"/>
    <w:qFormat/>
    <w:rsid w:val="00E65183"/>
    <w:pPr>
      <w:spacing w:after="240"/>
      <w:jc w:val="left"/>
      <w:outlineLvl w:val="7"/>
    </w:pPr>
    <w:rPr>
      <w:i/>
      <w:iCs/>
      <w:sz w:val="18"/>
      <w:szCs w:val="24"/>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73179"/>
    <w:pPr>
      <w:tabs>
        <w:tab w:val="center" w:pos="4536"/>
        <w:tab w:val="right" w:pos="9072"/>
      </w:tabs>
      <w:jc w:val="center"/>
    </w:pPr>
    <w:rPr>
      <w:rFonts w:ascii="Arial" w:hAnsi="Arial"/>
      <w:lang w:val="fr-FR" w:eastAsia="en-US"/>
    </w:rPr>
  </w:style>
  <w:style w:type="paragraph" w:styleId="Footer">
    <w:name w:val="footer"/>
    <w:aliases w:val="doc_path_name"/>
    <w:autoRedefine/>
    <w:rsid w:val="00F73179"/>
    <w:pPr>
      <w:jc w:val="both"/>
    </w:pPr>
    <w:rPr>
      <w:rFonts w:ascii="Arial" w:hAnsi="Arial"/>
      <w:sz w:val="14"/>
      <w:lang w:val="en-US" w:eastAsia="en-US"/>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link w:val="DecisionParagraphsChar"/>
    <w:rsid w:val="00F73179"/>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
    <w:link w:val="FootnoteTextChar"/>
    <w:autoRedefine/>
    <w:rsid w:val="00F73179"/>
    <w:pPr>
      <w:spacing w:before="60"/>
      <w:ind w:left="567" w:hanging="567"/>
      <w:jc w:val="both"/>
    </w:pPr>
    <w:rPr>
      <w:rFonts w:ascii="Arial" w:hAnsi="Arial"/>
      <w:sz w:val="16"/>
      <w:lang w:val="en-US" w:eastAsia="en-US"/>
    </w:rPr>
  </w:style>
  <w:style w:type="character" w:styleId="FootnoteReference">
    <w:name w:val="footnote reference"/>
    <w:basedOn w:val="DefaultParagraphFont"/>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link w:val="BodyTextChar"/>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lang w:val="en-US" w:eastAsia="en-US"/>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uiPriority w:val="39"/>
    <w:rsid w:val="005F5738"/>
    <w:pPr>
      <w:tabs>
        <w:tab w:val="right" w:leader="dot" w:pos="9639"/>
      </w:tabs>
      <w:spacing w:before="120"/>
      <w:ind w:left="426" w:right="851"/>
      <w:contextualSpacing/>
    </w:pPr>
    <w:rPr>
      <w:rFonts w:ascii="Arial" w:hAnsi="Arial"/>
      <w:noProof/>
      <w:lang w:val="en-US" w:eastAsia="en-US"/>
    </w:rPr>
  </w:style>
  <w:style w:type="paragraph" w:styleId="TOC3">
    <w:name w:val="toc 3"/>
    <w:next w:val="Normal"/>
    <w:autoRedefine/>
    <w:uiPriority w:val="39"/>
    <w:rsid w:val="00C83BDF"/>
    <w:pPr>
      <w:tabs>
        <w:tab w:val="right" w:leader="dot" w:pos="9639"/>
      </w:tabs>
      <w:spacing w:before="120" w:after="80"/>
      <w:ind w:right="284"/>
    </w:pPr>
    <w:rPr>
      <w:rFonts w:ascii="Arial" w:eastAsiaTheme="minorEastAsia" w:hAnsi="Arial"/>
      <w:b/>
      <w:sz w:val="18"/>
      <w:lang w:val="fr-FR" w:eastAsia="en-US"/>
    </w:rPr>
  </w:style>
  <w:style w:type="character" w:styleId="Hyperlink">
    <w:name w:val="Hyperlink"/>
    <w:basedOn w:val="DefaultParagraphFont"/>
    <w:uiPriority w:val="99"/>
    <w:rsid w:val="00F73179"/>
    <w:rPr>
      <w:rFonts w:ascii="Arial" w:hAnsi="Arial"/>
      <w:color w:val="0000FF"/>
      <w:u w:val="single"/>
    </w:rPr>
  </w:style>
  <w:style w:type="paragraph" w:styleId="TOC4">
    <w:name w:val="toc 4"/>
    <w:next w:val="Normal"/>
    <w:autoRedefine/>
    <w:uiPriority w:val="39"/>
    <w:rsid w:val="00C83BDF"/>
    <w:pPr>
      <w:tabs>
        <w:tab w:val="right" w:leader="dot" w:pos="9639"/>
      </w:tabs>
      <w:spacing w:before="40" w:after="80"/>
      <w:ind w:left="142" w:right="284"/>
    </w:pPr>
    <w:rPr>
      <w:rFonts w:ascii="Arial" w:eastAsiaTheme="minorEastAsia" w:hAnsi="Arial"/>
      <w:b/>
      <w:noProof/>
      <w:sz w:val="18"/>
      <w:lang w:val="fr-FR" w:eastAsia="en-US"/>
    </w:rPr>
  </w:style>
  <w:style w:type="paragraph" w:styleId="TOC1">
    <w:name w:val="toc 1"/>
    <w:next w:val="Normal"/>
    <w:autoRedefine/>
    <w:uiPriority w:val="39"/>
    <w:rsid w:val="005F5738"/>
    <w:pPr>
      <w:tabs>
        <w:tab w:val="right" w:leader="dot" w:pos="9639"/>
      </w:tabs>
      <w:spacing w:before="120" w:after="120"/>
      <w:ind w:left="426" w:right="284" w:hanging="426"/>
    </w:pPr>
    <w:rPr>
      <w:rFonts w:ascii="Arial" w:hAnsi="Arial"/>
      <w:caps/>
      <w:noProof/>
      <w:lang w:val="en-US" w:eastAsia="en-US"/>
    </w:rPr>
  </w:style>
  <w:style w:type="paragraph" w:styleId="TOC5">
    <w:name w:val="toc 5"/>
    <w:next w:val="Normal"/>
    <w:autoRedefine/>
    <w:uiPriority w:val="39"/>
    <w:rsid w:val="00C83BDF"/>
    <w:pPr>
      <w:keepNext/>
      <w:tabs>
        <w:tab w:val="right" w:leader="dot" w:pos="9639"/>
      </w:tabs>
      <w:spacing w:before="40" w:after="40"/>
      <w:ind w:left="284" w:right="284"/>
      <w:jc w:val="both"/>
    </w:pPr>
    <w:rPr>
      <w:rFonts w:ascii="Arial" w:eastAsiaTheme="minorEastAsia" w:hAnsi="Arial"/>
      <w:noProof/>
      <w:sz w:val="18"/>
      <w:szCs w:val="18"/>
      <w:lang w:val="fr-FR" w:eastAsia="en-US"/>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6Char">
    <w:name w:val="Heading 6 Char"/>
    <w:basedOn w:val="DefaultParagraphFont"/>
    <w:link w:val="Heading6"/>
    <w:rsid w:val="00E65183"/>
    <w:rPr>
      <w:rFonts w:ascii="Arial" w:eastAsia="Times New Roman" w:hAnsi="Arial"/>
      <w:bCs/>
      <w:i/>
      <w:sz w:val="18"/>
      <w:szCs w:val="22"/>
    </w:rPr>
  </w:style>
  <w:style w:type="character" w:customStyle="1" w:styleId="Heading7Char">
    <w:name w:val="Heading 7 Char"/>
    <w:basedOn w:val="DefaultParagraphFont"/>
    <w:link w:val="Heading7"/>
    <w:rsid w:val="00E65183"/>
    <w:rPr>
      <w:rFonts w:ascii="Arial" w:eastAsia="Times New Roman" w:hAnsi="Arial"/>
      <w:b/>
      <w:sz w:val="18"/>
      <w:szCs w:val="24"/>
    </w:rPr>
  </w:style>
  <w:style w:type="character" w:customStyle="1" w:styleId="Heading8Char">
    <w:name w:val="Heading 8 Char"/>
    <w:basedOn w:val="DefaultParagraphFont"/>
    <w:link w:val="Heading8"/>
    <w:rsid w:val="00E65183"/>
    <w:rPr>
      <w:rFonts w:ascii="Arial" w:eastAsia="Times New Roman" w:hAnsi="Arial"/>
      <w:i/>
      <w:iCs/>
      <w:sz w:val="18"/>
      <w:szCs w:val="24"/>
    </w:rPr>
  </w:style>
  <w:style w:type="paragraph" w:styleId="ListParagraph">
    <w:name w:val="List Paragraph"/>
    <w:basedOn w:val="Normal"/>
    <w:uiPriority w:val="34"/>
    <w:qFormat/>
    <w:rsid w:val="00E65183"/>
    <w:pPr>
      <w:ind w:left="720"/>
      <w:contextualSpacing/>
    </w:pPr>
  </w:style>
  <w:style w:type="character" w:customStyle="1" w:styleId="BodyTextChar">
    <w:name w:val="Body Text Char"/>
    <w:basedOn w:val="DefaultParagraphFont"/>
    <w:link w:val="BodyText"/>
    <w:locked/>
    <w:rsid w:val="00E65183"/>
    <w:rPr>
      <w:rFonts w:ascii="Arial" w:hAnsi="Arial"/>
    </w:rPr>
  </w:style>
  <w:style w:type="paragraph" w:styleId="CommentText">
    <w:name w:val="annotation text"/>
    <w:basedOn w:val="Normal"/>
    <w:link w:val="CommentTextChar"/>
    <w:rsid w:val="00E65183"/>
    <w:pPr>
      <w:jc w:val="left"/>
    </w:pPr>
    <w:rPr>
      <w:rFonts w:ascii="Times New Roman" w:hAnsi="Times New Roman"/>
      <w:sz w:val="22"/>
    </w:rPr>
  </w:style>
  <w:style w:type="character" w:customStyle="1" w:styleId="CommentTextChar">
    <w:name w:val="Comment Text Char"/>
    <w:basedOn w:val="DefaultParagraphFont"/>
    <w:link w:val="CommentText"/>
    <w:rsid w:val="00E65183"/>
    <w:rPr>
      <w:rFonts w:eastAsia="Times New Roman"/>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E65183"/>
    <w:rPr>
      <w:rFonts w:ascii="Arial" w:hAnsi="Arial"/>
      <w:sz w:val="16"/>
      <w:lang w:val="en-US" w:eastAsia="en-US" w:bidi="ar-SA"/>
    </w:rPr>
  </w:style>
  <w:style w:type="paragraph" w:styleId="TOC6">
    <w:name w:val="toc 6"/>
    <w:basedOn w:val="Normal"/>
    <w:next w:val="Normal"/>
    <w:autoRedefine/>
    <w:uiPriority w:val="39"/>
    <w:rsid w:val="00C83BDF"/>
    <w:pPr>
      <w:keepNext/>
      <w:tabs>
        <w:tab w:val="right" w:leader="dot" w:pos="9629"/>
      </w:tabs>
      <w:spacing w:after="40"/>
      <w:ind w:left="567" w:right="284"/>
    </w:pPr>
    <w:rPr>
      <w:rFonts w:eastAsiaTheme="minorEastAsia"/>
      <w:noProof/>
      <w:sz w:val="18"/>
      <w:szCs w:val="18"/>
    </w:rPr>
  </w:style>
  <w:style w:type="paragraph" w:styleId="TOC7">
    <w:name w:val="toc 7"/>
    <w:basedOn w:val="Normal"/>
    <w:next w:val="Normal"/>
    <w:autoRedefine/>
    <w:uiPriority w:val="39"/>
    <w:rsid w:val="00C83BDF"/>
    <w:pPr>
      <w:keepNext/>
      <w:tabs>
        <w:tab w:val="right" w:leader="dot" w:pos="9629"/>
      </w:tabs>
      <w:spacing w:before="40" w:after="40"/>
      <w:ind w:left="851"/>
    </w:pPr>
    <w:rPr>
      <w:rFonts w:eastAsiaTheme="minorEastAsia"/>
      <w:i/>
      <w:noProof/>
      <w:sz w:val="18"/>
      <w:szCs w:val="18"/>
    </w:rPr>
  </w:style>
  <w:style w:type="paragraph" w:styleId="TOC8">
    <w:name w:val="toc 8"/>
    <w:basedOn w:val="Normal"/>
    <w:next w:val="Normal"/>
    <w:autoRedefine/>
    <w:uiPriority w:val="39"/>
    <w:rsid w:val="00C83BDF"/>
    <w:pPr>
      <w:tabs>
        <w:tab w:val="right" w:leader="dot" w:pos="9629"/>
      </w:tabs>
      <w:spacing w:after="40"/>
      <w:ind w:left="1134" w:right="284"/>
      <w:jc w:val="left"/>
    </w:pPr>
    <w:rPr>
      <w:rFonts w:eastAsiaTheme="minorEastAsia"/>
      <w:i/>
      <w:noProof/>
      <w:sz w:val="18"/>
      <w:szCs w:val="18"/>
    </w:rPr>
  </w:style>
  <w:style w:type="paragraph" w:styleId="TOC9">
    <w:name w:val="toc 9"/>
    <w:basedOn w:val="Normal"/>
    <w:next w:val="Normal"/>
    <w:autoRedefine/>
    <w:uiPriority w:val="39"/>
    <w:rsid w:val="00C83BDF"/>
    <w:pPr>
      <w:tabs>
        <w:tab w:val="right" w:leader="dot" w:pos="9629"/>
      </w:tabs>
      <w:spacing w:after="40"/>
      <w:ind w:left="1701" w:right="284"/>
      <w:jc w:val="left"/>
    </w:pPr>
    <w:rPr>
      <w:rFonts w:eastAsiaTheme="minorEastAsia"/>
      <w:noProof/>
      <w:sz w:val="18"/>
      <w:szCs w:val="18"/>
    </w:rPr>
  </w:style>
  <w:style w:type="table" w:styleId="TableGrid">
    <w:name w:val="Table Grid"/>
    <w:basedOn w:val="TableNormal"/>
    <w:rsid w:val="00E65183"/>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E65183"/>
    <w:rPr>
      <w:rFonts w:ascii="Arial" w:hAnsi="Arial"/>
      <w:i/>
    </w:rPr>
  </w:style>
  <w:style w:type="paragraph" w:customStyle="1" w:styleId="Draft">
    <w:name w:val="Draft"/>
    <w:basedOn w:val="Normal"/>
    <w:next w:val="preparedby"/>
    <w:rsid w:val="00E65183"/>
    <w:pPr>
      <w:spacing w:before="720" w:after="480"/>
      <w:jc w:val="center"/>
    </w:pPr>
    <w:rPr>
      <w:rFonts w:ascii="Times New Roman" w:hAnsi="Times New Roman"/>
      <w:caps/>
      <w:sz w:val="28"/>
    </w:rPr>
  </w:style>
  <w:style w:type="paragraph" w:customStyle="1" w:styleId="Committee">
    <w:name w:val="Committee"/>
    <w:basedOn w:val="Title"/>
    <w:rsid w:val="00E65183"/>
    <w:rPr>
      <w:caps w:val="0"/>
    </w:rPr>
  </w:style>
  <w:style w:type="paragraph" w:styleId="BodyTextIndent">
    <w:name w:val="Body Text Indent"/>
    <w:basedOn w:val="Normal"/>
    <w:link w:val="BodyTextIndentChar"/>
    <w:rsid w:val="00E65183"/>
    <w:rPr>
      <w:rFonts w:ascii="Times New Roman" w:hAnsi="Times New Roman"/>
      <w:sz w:val="24"/>
      <w:u w:val="single"/>
    </w:rPr>
  </w:style>
  <w:style w:type="character" w:customStyle="1" w:styleId="BodyTextIndentChar">
    <w:name w:val="Body Text Indent Char"/>
    <w:basedOn w:val="DefaultParagraphFont"/>
    <w:link w:val="BodyTextIndent"/>
    <w:rsid w:val="00E65183"/>
    <w:rPr>
      <w:rFonts w:eastAsia="Times New Roman"/>
      <w:sz w:val="24"/>
      <w:u w:val="single"/>
    </w:rPr>
  </w:style>
  <w:style w:type="character" w:styleId="FollowedHyperlink">
    <w:name w:val="FollowedHyperlink"/>
    <w:basedOn w:val="DefaultParagraphFont"/>
    <w:rsid w:val="00E65183"/>
    <w:rPr>
      <w:color w:val="800080"/>
      <w:u w:val="single"/>
    </w:rPr>
  </w:style>
  <w:style w:type="table" w:customStyle="1" w:styleId="TableGrid1">
    <w:name w:val="Table Grid1"/>
    <w:basedOn w:val="TableNormal"/>
    <w:next w:val="TableGrid"/>
    <w:rsid w:val="00E65183"/>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5183"/>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uiPriority w:val="99"/>
    <w:unhideWhenUsed/>
    <w:rsid w:val="00E65183"/>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upov.int/about/es/faq.html" TargetMode="Externa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58</Pages>
  <Words>28876</Words>
  <Characters>149291</Characters>
  <Application>Microsoft Office Word</Application>
  <DocSecurity>0</DocSecurity>
  <Lines>7857</Lines>
  <Paragraphs>3636</Paragraphs>
  <ScaleCrop>false</ScaleCrop>
  <HeadingPairs>
    <vt:vector size="2" baseType="variant">
      <vt:variant>
        <vt:lpstr>Title</vt:lpstr>
      </vt:variant>
      <vt:variant>
        <vt:i4>1</vt:i4>
      </vt:variant>
    </vt:vector>
  </HeadingPairs>
  <TitlesOfParts>
    <vt:vector size="1" baseType="lpstr">
      <vt:lpstr>C/49/2</vt:lpstr>
    </vt:vector>
  </TitlesOfParts>
  <Company>UPOV</Company>
  <LinksUpToDate>false</LinksUpToDate>
  <CharactersWithSpaces>174531</CharactersWithSpaces>
  <SharedDoc>false</SharedDoc>
  <HLinks>
    <vt:vector size="84" baseType="variant">
      <vt:variant>
        <vt:i4>458816</vt:i4>
      </vt:variant>
      <vt:variant>
        <vt:i4>341</vt:i4>
      </vt:variant>
      <vt:variant>
        <vt:i4>0</vt:i4>
      </vt:variant>
      <vt:variant>
        <vt:i4>5</vt:i4>
      </vt:variant>
      <vt:variant>
        <vt:lpwstr>http://www.upov.int/about/es/faq.html</vt:lpwstr>
      </vt:variant>
      <vt:variant>
        <vt:lpwstr/>
      </vt:variant>
      <vt:variant>
        <vt:i4>1048636</vt:i4>
      </vt:variant>
      <vt:variant>
        <vt:i4>74</vt:i4>
      </vt:variant>
      <vt:variant>
        <vt:i4>0</vt:i4>
      </vt:variant>
      <vt:variant>
        <vt:i4>5</vt:i4>
      </vt:variant>
      <vt:variant>
        <vt:lpwstr/>
      </vt:variant>
      <vt:variant>
        <vt:lpwstr>_Toc430884081</vt:lpwstr>
      </vt:variant>
      <vt:variant>
        <vt:i4>1048636</vt:i4>
      </vt:variant>
      <vt:variant>
        <vt:i4>68</vt:i4>
      </vt:variant>
      <vt:variant>
        <vt:i4>0</vt:i4>
      </vt:variant>
      <vt:variant>
        <vt:i4>5</vt:i4>
      </vt:variant>
      <vt:variant>
        <vt:lpwstr/>
      </vt:variant>
      <vt:variant>
        <vt:lpwstr>_Toc430884080</vt:lpwstr>
      </vt:variant>
      <vt:variant>
        <vt:i4>2031676</vt:i4>
      </vt:variant>
      <vt:variant>
        <vt:i4>62</vt:i4>
      </vt:variant>
      <vt:variant>
        <vt:i4>0</vt:i4>
      </vt:variant>
      <vt:variant>
        <vt:i4>5</vt:i4>
      </vt:variant>
      <vt:variant>
        <vt:lpwstr/>
      </vt:variant>
      <vt:variant>
        <vt:lpwstr>_Toc430884079</vt:lpwstr>
      </vt:variant>
      <vt:variant>
        <vt:i4>2031676</vt:i4>
      </vt:variant>
      <vt:variant>
        <vt:i4>56</vt:i4>
      </vt:variant>
      <vt:variant>
        <vt:i4>0</vt:i4>
      </vt:variant>
      <vt:variant>
        <vt:i4>5</vt:i4>
      </vt:variant>
      <vt:variant>
        <vt:lpwstr/>
      </vt:variant>
      <vt:variant>
        <vt:lpwstr>_Toc430884078</vt:lpwstr>
      </vt:variant>
      <vt:variant>
        <vt:i4>2031676</vt:i4>
      </vt:variant>
      <vt:variant>
        <vt:i4>50</vt:i4>
      </vt:variant>
      <vt:variant>
        <vt:i4>0</vt:i4>
      </vt:variant>
      <vt:variant>
        <vt:i4>5</vt:i4>
      </vt:variant>
      <vt:variant>
        <vt:lpwstr/>
      </vt:variant>
      <vt:variant>
        <vt:lpwstr>_Toc430884077</vt:lpwstr>
      </vt:variant>
      <vt:variant>
        <vt:i4>2031676</vt:i4>
      </vt:variant>
      <vt:variant>
        <vt:i4>44</vt:i4>
      </vt:variant>
      <vt:variant>
        <vt:i4>0</vt:i4>
      </vt:variant>
      <vt:variant>
        <vt:i4>5</vt:i4>
      </vt:variant>
      <vt:variant>
        <vt:lpwstr/>
      </vt:variant>
      <vt:variant>
        <vt:lpwstr>_Toc430884076</vt:lpwstr>
      </vt:variant>
      <vt:variant>
        <vt:i4>2031676</vt:i4>
      </vt:variant>
      <vt:variant>
        <vt:i4>38</vt:i4>
      </vt:variant>
      <vt:variant>
        <vt:i4>0</vt:i4>
      </vt:variant>
      <vt:variant>
        <vt:i4>5</vt:i4>
      </vt:variant>
      <vt:variant>
        <vt:lpwstr/>
      </vt:variant>
      <vt:variant>
        <vt:lpwstr>_Toc430884075</vt:lpwstr>
      </vt:variant>
      <vt:variant>
        <vt:i4>2031676</vt:i4>
      </vt:variant>
      <vt:variant>
        <vt:i4>32</vt:i4>
      </vt:variant>
      <vt:variant>
        <vt:i4>0</vt:i4>
      </vt:variant>
      <vt:variant>
        <vt:i4>5</vt:i4>
      </vt:variant>
      <vt:variant>
        <vt:lpwstr/>
      </vt:variant>
      <vt:variant>
        <vt:lpwstr>_Toc430884074</vt:lpwstr>
      </vt:variant>
      <vt:variant>
        <vt:i4>2031676</vt:i4>
      </vt:variant>
      <vt:variant>
        <vt:i4>26</vt:i4>
      </vt:variant>
      <vt:variant>
        <vt:i4>0</vt:i4>
      </vt:variant>
      <vt:variant>
        <vt:i4>5</vt:i4>
      </vt:variant>
      <vt:variant>
        <vt:lpwstr/>
      </vt:variant>
      <vt:variant>
        <vt:lpwstr>_Toc430884073</vt:lpwstr>
      </vt:variant>
      <vt:variant>
        <vt:i4>2031676</vt:i4>
      </vt:variant>
      <vt:variant>
        <vt:i4>20</vt:i4>
      </vt:variant>
      <vt:variant>
        <vt:i4>0</vt:i4>
      </vt:variant>
      <vt:variant>
        <vt:i4>5</vt:i4>
      </vt:variant>
      <vt:variant>
        <vt:lpwstr/>
      </vt:variant>
      <vt:variant>
        <vt:lpwstr>_Toc430884072</vt:lpwstr>
      </vt:variant>
      <vt:variant>
        <vt:i4>2031676</vt:i4>
      </vt:variant>
      <vt:variant>
        <vt:i4>14</vt:i4>
      </vt:variant>
      <vt:variant>
        <vt:i4>0</vt:i4>
      </vt:variant>
      <vt:variant>
        <vt:i4>5</vt:i4>
      </vt:variant>
      <vt:variant>
        <vt:lpwstr/>
      </vt:variant>
      <vt:variant>
        <vt:lpwstr>_Toc430884071</vt:lpwstr>
      </vt:variant>
      <vt:variant>
        <vt:i4>2031676</vt:i4>
      </vt:variant>
      <vt:variant>
        <vt:i4>8</vt:i4>
      </vt:variant>
      <vt:variant>
        <vt:i4>0</vt:i4>
      </vt:variant>
      <vt:variant>
        <vt:i4>5</vt:i4>
      </vt:variant>
      <vt:variant>
        <vt:lpwstr/>
      </vt:variant>
      <vt:variant>
        <vt:lpwstr>_Toc430884070</vt:lpwstr>
      </vt:variant>
      <vt:variant>
        <vt:i4>1966140</vt:i4>
      </vt:variant>
      <vt:variant>
        <vt:i4>2</vt:i4>
      </vt:variant>
      <vt:variant>
        <vt:i4>0</vt:i4>
      </vt:variant>
      <vt:variant>
        <vt:i4>5</vt:i4>
      </vt:variant>
      <vt:variant>
        <vt:lpwstr/>
      </vt:variant>
      <vt:variant>
        <vt:lpwstr>_Toc430884069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C/49/2</dc:title>
  <dc:creator>CEVALLOS DUQUE Nilo</dc:creator>
  <cp:lastModifiedBy>SANCHEZ-VIZCAINO GOMEZ Rosa Maria</cp:lastModifiedBy>
  <cp:revision>22</cp:revision>
  <cp:lastPrinted>2015-10-05T14:01:00Z</cp:lastPrinted>
  <dcterms:created xsi:type="dcterms:W3CDTF">2015-09-25T10:08:00Z</dcterms:created>
  <dcterms:modified xsi:type="dcterms:W3CDTF">2015-10-05T14:01:00Z</dcterms:modified>
</cp:coreProperties>
</file>