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7055D" w:rsidTr="00C13808">
        <w:trPr>
          <w:trHeight w:val="1760"/>
        </w:trPr>
        <w:tc>
          <w:tcPr>
            <w:tcW w:w="4243" w:type="dxa"/>
          </w:tcPr>
          <w:p w:rsidR="000D7780" w:rsidRPr="00A30220" w:rsidRDefault="000D7780" w:rsidP="00F45372">
            <w:pPr>
              <w:rPr>
                <w:lang w:val="es-ES"/>
              </w:rPr>
            </w:pPr>
          </w:p>
        </w:tc>
        <w:tc>
          <w:tcPr>
            <w:tcW w:w="1646" w:type="dxa"/>
            <w:vAlign w:val="center"/>
          </w:tcPr>
          <w:p w:rsidR="000D7780" w:rsidRPr="00A30220" w:rsidRDefault="00745D66" w:rsidP="00F45372">
            <w:pPr>
              <w:pStyle w:val="LogoUPOV"/>
              <w:rPr>
                <w:lang w:val="es-ES"/>
              </w:rPr>
            </w:pPr>
            <w:r w:rsidRPr="00A30220">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A30220" w:rsidRDefault="00A47CDB" w:rsidP="00F45372">
            <w:pPr>
              <w:pStyle w:val="Lettrine"/>
              <w:rPr>
                <w:lang w:val="es-ES"/>
              </w:rPr>
            </w:pPr>
            <w:r w:rsidRPr="00A30220">
              <w:rPr>
                <w:lang w:val="es-ES"/>
              </w:rPr>
              <w:t>S</w:t>
            </w:r>
          </w:p>
          <w:p w:rsidR="000D7780" w:rsidRPr="00A30220" w:rsidRDefault="00F73179" w:rsidP="003E7998">
            <w:pPr>
              <w:pStyle w:val="Docoriginal"/>
              <w:ind w:left="880"/>
              <w:rPr>
                <w:lang w:val="es-ES"/>
              </w:rPr>
            </w:pPr>
            <w:r w:rsidRPr="00A30220">
              <w:rPr>
                <w:lang w:val="es-ES"/>
              </w:rPr>
              <w:t>C/4</w:t>
            </w:r>
            <w:r w:rsidR="003E7998" w:rsidRPr="00A30220">
              <w:rPr>
                <w:lang w:val="es-ES"/>
              </w:rPr>
              <w:t>8</w:t>
            </w:r>
            <w:r w:rsidR="00E80F31" w:rsidRPr="00A30220">
              <w:rPr>
                <w:lang w:val="es-ES"/>
              </w:rPr>
              <w:t>/</w:t>
            </w:r>
            <w:bookmarkStart w:id="0" w:name="Code"/>
            <w:bookmarkEnd w:id="0"/>
            <w:r w:rsidR="00812486" w:rsidRPr="00A30220">
              <w:rPr>
                <w:lang w:val="es-ES"/>
              </w:rPr>
              <w:t>4</w:t>
            </w:r>
          </w:p>
          <w:p w:rsidR="000D7780" w:rsidRPr="00A30220" w:rsidRDefault="0061555F" w:rsidP="003E7998">
            <w:pPr>
              <w:pStyle w:val="Docoriginal"/>
              <w:ind w:left="880"/>
              <w:rPr>
                <w:b w:val="0"/>
                <w:spacing w:val="0"/>
                <w:lang w:val="es-ES"/>
              </w:rPr>
            </w:pPr>
            <w:r w:rsidRPr="00A30220">
              <w:rPr>
                <w:rStyle w:val="StyleDoclangBold"/>
                <w:b/>
                <w:bCs/>
                <w:spacing w:val="0"/>
                <w:lang w:val="es-ES"/>
              </w:rPr>
              <w:t>ORIGINAL</w:t>
            </w:r>
            <w:r w:rsidR="000D7780" w:rsidRPr="00A30220">
              <w:rPr>
                <w:rStyle w:val="StyleDoclangBold"/>
                <w:b/>
                <w:bCs/>
                <w:spacing w:val="0"/>
                <w:lang w:val="es-ES"/>
              </w:rPr>
              <w:t>:</w:t>
            </w:r>
            <w:r w:rsidRPr="00A30220">
              <w:rPr>
                <w:rStyle w:val="StyleDocoriginalNotBold1"/>
                <w:spacing w:val="0"/>
                <w:lang w:val="es-ES"/>
              </w:rPr>
              <w:t xml:space="preserve"> </w:t>
            </w:r>
            <w:r w:rsidR="000D7780" w:rsidRPr="00A30220">
              <w:rPr>
                <w:rStyle w:val="StyleDocoriginalNotBold1"/>
                <w:spacing w:val="0"/>
                <w:lang w:val="es-ES"/>
              </w:rPr>
              <w:t xml:space="preserve"> </w:t>
            </w:r>
            <w:bookmarkStart w:id="1" w:name="Original"/>
            <w:bookmarkEnd w:id="1"/>
            <w:r w:rsidR="00A47CDB" w:rsidRPr="00A30220">
              <w:rPr>
                <w:b w:val="0"/>
                <w:spacing w:val="0"/>
                <w:lang w:val="es-ES"/>
              </w:rPr>
              <w:t>Inglés</w:t>
            </w:r>
          </w:p>
          <w:p w:rsidR="000D7780" w:rsidRPr="00A30220" w:rsidRDefault="00A47CDB" w:rsidP="00812486">
            <w:pPr>
              <w:pStyle w:val="Docoriginal"/>
              <w:ind w:left="880"/>
              <w:rPr>
                <w:lang w:val="es-ES"/>
              </w:rPr>
            </w:pPr>
            <w:r w:rsidRPr="00A30220">
              <w:rPr>
                <w:spacing w:val="0"/>
                <w:lang w:val="es-ES"/>
              </w:rPr>
              <w:t>FECHA</w:t>
            </w:r>
            <w:r w:rsidR="000D7780" w:rsidRPr="00A30220">
              <w:rPr>
                <w:spacing w:val="0"/>
                <w:lang w:val="es-ES"/>
              </w:rPr>
              <w:t>:</w:t>
            </w:r>
            <w:r w:rsidR="0061555F" w:rsidRPr="00A30220">
              <w:rPr>
                <w:b w:val="0"/>
                <w:spacing w:val="0"/>
                <w:lang w:val="es-ES"/>
              </w:rPr>
              <w:t xml:space="preserve"> </w:t>
            </w:r>
            <w:r w:rsidR="00FE7BF0">
              <w:rPr>
                <w:b w:val="0"/>
                <w:spacing w:val="0"/>
                <w:lang w:val="es-ES"/>
              </w:rPr>
              <w:t xml:space="preserve"> 28</w:t>
            </w:r>
            <w:r w:rsidR="00812486" w:rsidRPr="00A30220">
              <w:rPr>
                <w:b w:val="0"/>
                <w:spacing w:val="0"/>
                <w:lang w:val="es-ES"/>
              </w:rPr>
              <w:t xml:space="preserve"> de julio de 2014</w:t>
            </w:r>
            <w:bookmarkStart w:id="2" w:name="Date"/>
            <w:bookmarkEnd w:id="2"/>
          </w:p>
        </w:tc>
      </w:tr>
      <w:tr w:rsidR="000D7780" w:rsidRPr="00C7055D" w:rsidTr="00C13808">
        <w:tc>
          <w:tcPr>
            <w:tcW w:w="10131" w:type="dxa"/>
            <w:gridSpan w:val="3"/>
          </w:tcPr>
          <w:p w:rsidR="000D7780" w:rsidRPr="00A30220" w:rsidRDefault="00A47CDB" w:rsidP="00F45372">
            <w:pPr>
              <w:pStyle w:val="upove"/>
              <w:rPr>
                <w:sz w:val="28"/>
                <w:lang w:val="es-ES"/>
              </w:rPr>
            </w:pPr>
            <w:r w:rsidRPr="00A30220">
              <w:rPr>
                <w:spacing w:val="2"/>
                <w:lang w:val="es-ES"/>
              </w:rPr>
              <w:t>UNIÓN INTERNACIONAL PARA LA PROTECCIÓN DE LAS OBTENCIONES VEGETALES</w:t>
            </w:r>
          </w:p>
        </w:tc>
      </w:tr>
      <w:tr w:rsidR="000D7780" w:rsidRPr="00A30220" w:rsidTr="00C13808">
        <w:tc>
          <w:tcPr>
            <w:tcW w:w="10131" w:type="dxa"/>
            <w:gridSpan w:val="3"/>
          </w:tcPr>
          <w:p w:rsidR="000D7780" w:rsidRPr="00A30220" w:rsidRDefault="00A47CDB" w:rsidP="00F45372">
            <w:pPr>
              <w:pStyle w:val="Country"/>
              <w:rPr>
                <w:lang w:val="es-ES"/>
              </w:rPr>
            </w:pPr>
            <w:r w:rsidRPr="00A30220">
              <w:rPr>
                <w:lang w:val="es-ES"/>
              </w:rPr>
              <w:t>Ginebra</w:t>
            </w:r>
          </w:p>
        </w:tc>
      </w:tr>
    </w:tbl>
    <w:p w:rsidR="000D7780" w:rsidRPr="00A30220" w:rsidRDefault="00E80F31" w:rsidP="00F45372">
      <w:pPr>
        <w:pStyle w:val="Sessiontc"/>
        <w:rPr>
          <w:lang w:val="es-ES"/>
        </w:rPr>
      </w:pPr>
      <w:r w:rsidRPr="00A30220">
        <w:rPr>
          <w:lang w:val="es-ES"/>
        </w:rPr>
        <w:t>CONSEJO</w:t>
      </w:r>
    </w:p>
    <w:p w:rsidR="00361821" w:rsidRPr="00A30220" w:rsidRDefault="00A47CDB" w:rsidP="00F45372">
      <w:pPr>
        <w:pStyle w:val="Sessiontcplacedate"/>
        <w:rPr>
          <w:lang w:val="es-ES"/>
        </w:rPr>
      </w:pPr>
      <w:r w:rsidRPr="00A30220">
        <w:rPr>
          <w:lang w:val="es-ES"/>
        </w:rPr>
        <w:t xml:space="preserve">Cuadragésima </w:t>
      </w:r>
      <w:r w:rsidR="003E7998" w:rsidRPr="00A30220">
        <w:rPr>
          <w:lang w:val="es-ES"/>
        </w:rPr>
        <w:t xml:space="preserve">octava </w:t>
      </w:r>
      <w:r w:rsidR="00142198" w:rsidRPr="00A30220">
        <w:rPr>
          <w:lang w:val="es-ES"/>
        </w:rPr>
        <w:t>sesión ordinaria</w:t>
      </w:r>
      <w:r w:rsidRPr="00A30220">
        <w:rPr>
          <w:lang w:val="es-ES"/>
        </w:rPr>
        <w:br/>
        <w:t xml:space="preserve">Ginebra, </w:t>
      </w:r>
      <w:r w:rsidR="003E7998" w:rsidRPr="00A30220">
        <w:rPr>
          <w:lang w:val="es-ES"/>
        </w:rPr>
        <w:t>16</w:t>
      </w:r>
      <w:r w:rsidR="00E80F31" w:rsidRPr="00A30220">
        <w:rPr>
          <w:lang w:val="es-ES"/>
        </w:rPr>
        <w:t xml:space="preserve"> de </w:t>
      </w:r>
      <w:r w:rsidR="00F73179" w:rsidRPr="00A30220">
        <w:rPr>
          <w:lang w:val="es-ES"/>
        </w:rPr>
        <w:t xml:space="preserve">octubre </w:t>
      </w:r>
      <w:r w:rsidR="00E80F31" w:rsidRPr="00A30220">
        <w:rPr>
          <w:lang w:val="es-ES"/>
        </w:rPr>
        <w:t xml:space="preserve">de </w:t>
      </w:r>
      <w:r w:rsidRPr="00A30220">
        <w:rPr>
          <w:lang w:val="es-ES"/>
        </w:rPr>
        <w:t>201</w:t>
      </w:r>
      <w:r w:rsidR="003E7998" w:rsidRPr="00A30220">
        <w:rPr>
          <w:lang w:val="es-ES"/>
        </w:rPr>
        <w:t>4</w:t>
      </w:r>
    </w:p>
    <w:p w:rsidR="000D7780" w:rsidRPr="009768C1" w:rsidRDefault="00A14D8B" w:rsidP="00F45372">
      <w:pPr>
        <w:pStyle w:val="Titleofdoc0"/>
        <w:rPr>
          <w:lang w:val="es-ES"/>
        </w:rPr>
      </w:pPr>
      <w:bookmarkStart w:id="3" w:name="TitleOfDoc"/>
      <w:bookmarkEnd w:id="3"/>
      <w:r w:rsidRPr="009768C1">
        <w:rPr>
          <w:lang w:val="es-ES"/>
        </w:rPr>
        <w:t xml:space="preserve">Informe de gestión financiera </w:t>
      </w:r>
      <w:r w:rsidR="005A2612">
        <w:rPr>
          <w:lang w:val="es-ES"/>
        </w:rPr>
        <w:t>DEL BIENIO</w:t>
      </w:r>
      <w:r w:rsidRPr="009768C1">
        <w:rPr>
          <w:lang w:val="es-ES"/>
        </w:rPr>
        <w:t> 2012-2013</w:t>
      </w:r>
    </w:p>
    <w:p w:rsidR="000D7780" w:rsidRPr="00A30220" w:rsidRDefault="002026F7" w:rsidP="00F45372">
      <w:pPr>
        <w:pStyle w:val="preparedby1"/>
        <w:rPr>
          <w:lang w:val="es-ES"/>
        </w:rPr>
      </w:pPr>
      <w:bookmarkStart w:id="4" w:name="Prepared"/>
      <w:bookmarkEnd w:id="4"/>
      <w:r>
        <w:rPr>
          <w:lang w:val="es-ES"/>
        </w:rPr>
        <w:t xml:space="preserve">Documento </w:t>
      </w:r>
      <w:r w:rsidR="00A47CDB" w:rsidRPr="00A30220">
        <w:rPr>
          <w:lang w:val="es-ES"/>
        </w:rPr>
        <w:t>preparado por la Oficina de la Unión</w:t>
      </w:r>
      <w:r w:rsidR="0000571E" w:rsidRPr="00A30220">
        <w:rPr>
          <w:lang w:val="es-ES"/>
        </w:rPr>
        <w:br/>
      </w:r>
      <w:r w:rsidR="0000571E" w:rsidRPr="00A30220">
        <w:rPr>
          <w:lang w:val="es-ES"/>
        </w:rPr>
        <w:br/>
      </w:r>
      <w:r w:rsidR="001C5971" w:rsidRPr="00A30220">
        <w:rPr>
          <w:color w:val="A6A6A6"/>
          <w:lang w:val="es-ES"/>
        </w:rPr>
        <w:t>Descargo de responsabilidad</w:t>
      </w:r>
      <w:proofErr w:type="gramStart"/>
      <w:r w:rsidR="001C5971" w:rsidRPr="00A30220">
        <w:rPr>
          <w:color w:val="A6A6A6"/>
          <w:lang w:val="es-ES"/>
        </w:rPr>
        <w:t>:  el</w:t>
      </w:r>
      <w:proofErr w:type="gramEnd"/>
      <w:r w:rsidR="001C5971" w:rsidRPr="00A30220">
        <w:rPr>
          <w:color w:val="A6A6A6"/>
          <w:lang w:val="es-ES"/>
        </w:rPr>
        <w:t xml:space="preserve"> presente documento no constituye</w:t>
      </w:r>
      <w:r w:rsidR="001C5971" w:rsidRPr="00A30220">
        <w:rPr>
          <w:color w:val="A6A6A6"/>
          <w:lang w:val="es-ES"/>
        </w:rPr>
        <w:br/>
        <w:t>un documento de política u orientación de la UPOV</w:t>
      </w:r>
    </w:p>
    <w:p w:rsidR="00812486" w:rsidRPr="009768C1" w:rsidRDefault="00E41B1D" w:rsidP="00812486">
      <w:pPr>
        <w:rPr>
          <w:snapToGrid w:val="0"/>
          <w:lang w:val="es-ES"/>
        </w:rPr>
      </w:pPr>
      <w:r w:rsidRPr="009768C1">
        <w:rPr>
          <w:caps/>
          <w:snapToGrid w:val="0"/>
          <w:lang w:val="es-ES"/>
        </w:rPr>
        <w:fldChar w:fldCharType="begin"/>
      </w:r>
      <w:r w:rsidR="00812486" w:rsidRPr="009768C1">
        <w:rPr>
          <w:caps/>
          <w:snapToGrid w:val="0"/>
          <w:lang w:val="es-ES"/>
        </w:rPr>
        <w:instrText xml:space="preserve"> AUTONUM  </w:instrText>
      </w:r>
      <w:r w:rsidRPr="009768C1">
        <w:rPr>
          <w:caps/>
          <w:snapToGrid w:val="0"/>
          <w:lang w:val="es-ES"/>
        </w:rPr>
        <w:fldChar w:fldCharType="end"/>
      </w:r>
      <w:r w:rsidR="00812486" w:rsidRPr="009768C1">
        <w:rPr>
          <w:caps/>
          <w:snapToGrid w:val="0"/>
          <w:lang w:val="es-ES"/>
        </w:rPr>
        <w:tab/>
      </w:r>
      <w:r w:rsidR="00A43BF2" w:rsidRPr="009768C1">
        <w:rPr>
          <w:snapToGrid w:val="0"/>
          <w:lang w:val="es-ES"/>
        </w:rPr>
        <w:t>En el anexo del presente documento figura el informe de gestión financiera (FMR) de la Unión Internacional para la Protección de las Obtenciones Vegetales (UPOV) correspondiente al ejercicio económico 2012-2013, de conformidad con los artículos 6.6 y 6.7 del Reglamento financiero y reglamentación financiera de la UPOV (FRR) (véase el documento UPOV/INF/4/3 “Reglamento financiero y reglamentación financiera de la UPOV”), que se presentará al Consejo para su aprobación</w:t>
      </w:r>
      <w:r w:rsidR="00812486" w:rsidRPr="009768C1">
        <w:rPr>
          <w:snapToGrid w:val="0"/>
          <w:lang w:val="es-ES"/>
        </w:rPr>
        <w:t xml:space="preserve">.  </w:t>
      </w:r>
    </w:p>
    <w:p w:rsidR="00812486" w:rsidRPr="009768C1" w:rsidRDefault="00812486" w:rsidP="00812486">
      <w:pPr>
        <w:rPr>
          <w:snapToGrid w:val="0"/>
          <w:lang w:val="es-ES"/>
        </w:rPr>
      </w:pPr>
    </w:p>
    <w:p w:rsidR="00812486" w:rsidRPr="009768C1" w:rsidRDefault="00E41B1D" w:rsidP="00812486">
      <w:pPr>
        <w:rPr>
          <w:snapToGrid w:val="0"/>
          <w:lang w:val="es-ES"/>
        </w:rPr>
      </w:pPr>
      <w:r w:rsidRPr="009768C1">
        <w:rPr>
          <w:snapToGrid w:val="0"/>
          <w:lang w:val="es-ES"/>
        </w:rPr>
        <w:fldChar w:fldCharType="begin"/>
      </w:r>
      <w:r w:rsidR="00812486" w:rsidRPr="009768C1">
        <w:rPr>
          <w:snapToGrid w:val="0"/>
          <w:lang w:val="es-ES"/>
        </w:rPr>
        <w:instrText xml:space="preserve"> AUTONUM  </w:instrText>
      </w:r>
      <w:r w:rsidRPr="009768C1">
        <w:rPr>
          <w:snapToGrid w:val="0"/>
          <w:lang w:val="es-ES"/>
        </w:rPr>
        <w:fldChar w:fldCharType="end"/>
      </w:r>
      <w:r w:rsidR="00812486" w:rsidRPr="009768C1">
        <w:rPr>
          <w:snapToGrid w:val="0"/>
          <w:lang w:val="es-ES"/>
        </w:rPr>
        <w:tab/>
      </w:r>
      <w:r w:rsidR="00A43BF2" w:rsidRPr="009768C1">
        <w:rPr>
          <w:snapToGrid w:val="0"/>
          <w:lang w:val="es-ES"/>
        </w:rPr>
        <w:t>El FMR no está sujeto a una auditoría externa</w:t>
      </w:r>
      <w:r w:rsidR="00812486" w:rsidRPr="009768C1">
        <w:rPr>
          <w:snapToGrid w:val="0"/>
          <w:lang w:val="es-ES"/>
        </w:rPr>
        <w:t xml:space="preserve">. </w:t>
      </w:r>
    </w:p>
    <w:p w:rsidR="00812486" w:rsidRPr="009768C1" w:rsidRDefault="00812486" w:rsidP="00812486">
      <w:pPr>
        <w:rPr>
          <w:snapToGrid w:val="0"/>
          <w:lang w:val="es-ES"/>
        </w:rPr>
      </w:pPr>
    </w:p>
    <w:p w:rsidR="00812486" w:rsidRPr="009768C1" w:rsidRDefault="00E41B1D" w:rsidP="00812486">
      <w:pPr>
        <w:rPr>
          <w:snapToGrid w:val="0"/>
          <w:lang w:val="es-ES"/>
        </w:rPr>
      </w:pPr>
      <w:r w:rsidRPr="009768C1">
        <w:rPr>
          <w:snapToGrid w:val="0"/>
          <w:lang w:val="es-ES"/>
        </w:rPr>
        <w:fldChar w:fldCharType="begin"/>
      </w:r>
      <w:r w:rsidR="00812486" w:rsidRPr="009768C1">
        <w:rPr>
          <w:snapToGrid w:val="0"/>
          <w:lang w:val="es-ES"/>
        </w:rPr>
        <w:instrText xml:space="preserve"> AUTONUM  </w:instrText>
      </w:r>
      <w:r w:rsidRPr="009768C1">
        <w:rPr>
          <w:snapToGrid w:val="0"/>
          <w:lang w:val="es-ES"/>
        </w:rPr>
        <w:fldChar w:fldCharType="end"/>
      </w:r>
      <w:r w:rsidR="00812486" w:rsidRPr="009768C1">
        <w:rPr>
          <w:snapToGrid w:val="0"/>
          <w:lang w:val="es-ES"/>
        </w:rPr>
        <w:tab/>
      </w:r>
      <w:r w:rsidR="00A43BF2" w:rsidRPr="009768C1">
        <w:rPr>
          <w:snapToGrid w:val="0"/>
          <w:lang w:val="es-ES"/>
        </w:rPr>
        <w:t>Los artículos 6.6 y 6.7 del FRR indican lo siguiente</w:t>
      </w:r>
      <w:r w:rsidR="00812486" w:rsidRPr="009768C1">
        <w:rPr>
          <w:snapToGrid w:val="0"/>
          <w:lang w:val="es-ES"/>
        </w:rPr>
        <w:t xml:space="preserve">: </w:t>
      </w:r>
    </w:p>
    <w:p w:rsidR="00812486" w:rsidRPr="009768C1" w:rsidRDefault="00812486" w:rsidP="00812486">
      <w:pPr>
        <w:rPr>
          <w:snapToGrid w:val="0"/>
          <w:lang w:val="es-ES"/>
        </w:rPr>
      </w:pPr>
    </w:p>
    <w:p w:rsidR="00812486" w:rsidRPr="009768C1" w:rsidRDefault="00812486" w:rsidP="00812486">
      <w:pPr>
        <w:ind w:left="567"/>
        <w:rPr>
          <w:b/>
          <w:sz w:val="18"/>
          <w:lang w:val="es-ES"/>
        </w:rPr>
      </w:pPr>
      <w:r w:rsidRPr="009768C1">
        <w:rPr>
          <w:sz w:val="18"/>
          <w:lang w:val="es-ES"/>
        </w:rPr>
        <w:t>“</w:t>
      </w:r>
      <w:r w:rsidR="00A43BF2" w:rsidRPr="009768C1">
        <w:rPr>
          <w:b/>
          <w:sz w:val="18"/>
          <w:lang w:val="es-ES_tradnl"/>
        </w:rPr>
        <w:t>Artículo </w:t>
      </w:r>
      <w:r w:rsidR="00A43BF2" w:rsidRPr="009768C1">
        <w:rPr>
          <w:b/>
          <w:sz w:val="18"/>
          <w:lang w:val="es-ES"/>
        </w:rPr>
        <w:t xml:space="preserve"> </w:t>
      </w:r>
      <w:r w:rsidRPr="009768C1">
        <w:rPr>
          <w:b/>
          <w:sz w:val="18"/>
          <w:lang w:val="es-ES"/>
        </w:rPr>
        <w:t>6.6</w:t>
      </w:r>
    </w:p>
    <w:p w:rsidR="00812486" w:rsidRPr="009768C1" w:rsidRDefault="00812486" w:rsidP="00812486">
      <w:pPr>
        <w:ind w:left="567"/>
        <w:rPr>
          <w:snapToGrid w:val="0"/>
          <w:sz w:val="18"/>
          <w:lang w:val="es-ES"/>
        </w:rPr>
      </w:pPr>
    </w:p>
    <w:p w:rsidR="00812486" w:rsidRPr="009768C1" w:rsidRDefault="00812486" w:rsidP="00812486">
      <w:pPr>
        <w:ind w:left="567"/>
        <w:rPr>
          <w:snapToGrid w:val="0"/>
          <w:lang w:val="es-ES"/>
        </w:rPr>
      </w:pPr>
      <w:r w:rsidRPr="009768C1">
        <w:rPr>
          <w:snapToGrid w:val="0"/>
          <w:lang w:val="es-ES"/>
        </w:rPr>
        <w:t>“[…]</w:t>
      </w:r>
    </w:p>
    <w:p w:rsidR="00812486" w:rsidRPr="009768C1" w:rsidRDefault="00812486" w:rsidP="00D9770A">
      <w:pPr>
        <w:ind w:left="1134"/>
        <w:rPr>
          <w:b/>
          <w:sz w:val="18"/>
          <w:szCs w:val="18"/>
          <w:lang w:val="es-ES"/>
        </w:rPr>
      </w:pPr>
      <w:bookmarkStart w:id="5" w:name="_Toc394503114"/>
      <w:r w:rsidRPr="009768C1">
        <w:rPr>
          <w:b/>
          <w:sz w:val="18"/>
          <w:szCs w:val="18"/>
          <w:lang w:val="es-ES"/>
        </w:rPr>
        <w:t>“</w:t>
      </w:r>
      <w:r w:rsidR="00A14D8B" w:rsidRPr="009768C1">
        <w:rPr>
          <w:b/>
          <w:sz w:val="18"/>
          <w:szCs w:val="18"/>
          <w:lang w:val="es-ES"/>
        </w:rPr>
        <w:t>Regla 106.12</w:t>
      </w:r>
      <w:bookmarkEnd w:id="5"/>
    </w:p>
    <w:p w:rsidR="00812486" w:rsidRPr="009768C1" w:rsidRDefault="00812486" w:rsidP="00812486">
      <w:pPr>
        <w:pStyle w:val="Inf4Normal"/>
        <w:ind w:left="1134" w:right="567"/>
        <w:rPr>
          <w:sz w:val="18"/>
          <w:lang w:val="es-ES"/>
        </w:rPr>
      </w:pPr>
      <w:r w:rsidRPr="009768C1">
        <w:rPr>
          <w:sz w:val="18"/>
          <w:lang w:val="es-ES"/>
        </w:rPr>
        <w:t>“[…]</w:t>
      </w:r>
    </w:p>
    <w:p w:rsidR="00812486" w:rsidRPr="009768C1" w:rsidRDefault="00812486" w:rsidP="00812486">
      <w:pPr>
        <w:pStyle w:val="Inf4Normal"/>
        <w:ind w:left="1134" w:right="567"/>
        <w:rPr>
          <w:sz w:val="18"/>
          <w:lang w:val="es-ES"/>
        </w:rPr>
      </w:pPr>
      <w:r w:rsidRPr="009768C1">
        <w:rPr>
          <w:sz w:val="18"/>
          <w:lang w:val="es-ES"/>
        </w:rPr>
        <w:t>“(b)</w:t>
      </w:r>
      <w:r w:rsidRPr="009768C1">
        <w:rPr>
          <w:sz w:val="18"/>
          <w:lang w:val="es-ES"/>
        </w:rPr>
        <w:tab/>
      </w:r>
      <w:r w:rsidR="00A14D8B" w:rsidRPr="009768C1">
        <w:rPr>
          <w:sz w:val="18"/>
          <w:lang w:val="es-ES"/>
        </w:rPr>
        <w:t>En el plazo de los ocho meses posteriores al cierre del ejercicio económico, el Secretario General someterá al Consejo un informe en el que se expondrá la gestión financiera conforme al artículo 6.3.</w:t>
      </w:r>
    </w:p>
    <w:p w:rsidR="00812486" w:rsidRPr="009768C1" w:rsidRDefault="00812486" w:rsidP="00812486">
      <w:pPr>
        <w:rPr>
          <w:snapToGrid w:val="0"/>
          <w:lang w:val="es-ES"/>
        </w:rPr>
      </w:pPr>
    </w:p>
    <w:p w:rsidR="00812486" w:rsidRPr="009768C1" w:rsidRDefault="00812486" w:rsidP="00812486">
      <w:pPr>
        <w:ind w:left="567"/>
        <w:rPr>
          <w:sz w:val="16"/>
          <w:lang w:val="es-ES_tradnl"/>
        </w:rPr>
      </w:pPr>
      <w:bookmarkStart w:id="6" w:name="_Toc173661770"/>
      <w:bookmarkStart w:id="7" w:name="_Toc173748751"/>
      <w:bookmarkStart w:id="8" w:name="_Toc355190048"/>
      <w:r w:rsidRPr="009768C1">
        <w:rPr>
          <w:sz w:val="18"/>
          <w:lang w:val="es-ES_tradnl"/>
        </w:rPr>
        <w:t>“</w:t>
      </w:r>
      <w:r w:rsidR="0088551E" w:rsidRPr="009768C1">
        <w:rPr>
          <w:b/>
          <w:sz w:val="18"/>
          <w:lang w:val="es-ES_tradnl"/>
        </w:rPr>
        <w:t>Artículo</w:t>
      </w:r>
      <w:r w:rsidRPr="009768C1">
        <w:rPr>
          <w:b/>
          <w:sz w:val="18"/>
          <w:lang w:val="es-ES_tradnl"/>
        </w:rPr>
        <w:t xml:space="preserve"> 6</w:t>
      </w:r>
      <w:bookmarkEnd w:id="6"/>
      <w:bookmarkEnd w:id="7"/>
      <w:bookmarkEnd w:id="8"/>
      <w:r w:rsidRPr="009768C1">
        <w:rPr>
          <w:b/>
          <w:sz w:val="18"/>
          <w:lang w:val="es-ES_tradnl"/>
        </w:rPr>
        <w:t>.7</w:t>
      </w:r>
    </w:p>
    <w:p w:rsidR="00812486" w:rsidRPr="009768C1" w:rsidRDefault="00812486" w:rsidP="00812486">
      <w:pPr>
        <w:pStyle w:val="Inf4Normal"/>
        <w:ind w:left="567" w:right="567"/>
        <w:rPr>
          <w:sz w:val="18"/>
          <w:szCs w:val="18"/>
          <w:lang w:val="es-ES"/>
        </w:rPr>
      </w:pPr>
      <w:r w:rsidRPr="009768C1">
        <w:rPr>
          <w:sz w:val="18"/>
          <w:szCs w:val="18"/>
          <w:lang w:val="es-ES"/>
        </w:rPr>
        <w:t>“</w:t>
      </w:r>
      <w:r w:rsidR="00A43BF2" w:rsidRPr="009768C1">
        <w:rPr>
          <w:sz w:val="18"/>
          <w:lang w:val="es-ES"/>
        </w:rPr>
        <w:t>Una vez realizados la auditoria anual y el examen por el Consejo, los estados financieros anuales y el informe del Auditor Externo serán transmitidos a los miembros de la UPOV interesados.  Cada dos años, tras la finalización del bienio, el informe de gestión financiera también será transmitido a todos los miembros de la UPOV interesados</w:t>
      </w:r>
      <w:r w:rsidRPr="009768C1">
        <w:rPr>
          <w:sz w:val="18"/>
          <w:szCs w:val="18"/>
          <w:lang w:val="es-ES"/>
        </w:rPr>
        <w:t>.”</w:t>
      </w:r>
    </w:p>
    <w:p w:rsidR="00812486" w:rsidRPr="009768C1" w:rsidRDefault="00812486" w:rsidP="00812486">
      <w:pPr>
        <w:pStyle w:val="Inf4Normal"/>
        <w:ind w:left="1418" w:right="1179"/>
        <w:rPr>
          <w:sz w:val="18"/>
          <w:szCs w:val="18"/>
          <w:lang w:val="es-ES"/>
        </w:rPr>
      </w:pPr>
    </w:p>
    <w:p w:rsidR="00812486" w:rsidRPr="009768C1" w:rsidRDefault="00E41B1D" w:rsidP="00812486">
      <w:pPr>
        <w:tabs>
          <w:tab w:val="left" w:pos="5387"/>
          <w:tab w:val="left" w:pos="5954"/>
        </w:tabs>
        <w:ind w:left="4820"/>
        <w:rPr>
          <w:i/>
          <w:lang w:val="es-ES"/>
        </w:rPr>
      </w:pPr>
      <w:r w:rsidRPr="009768C1">
        <w:rPr>
          <w:i/>
          <w:lang w:val="es-ES"/>
        </w:rPr>
        <w:fldChar w:fldCharType="begin"/>
      </w:r>
      <w:r w:rsidR="00812486" w:rsidRPr="009768C1">
        <w:rPr>
          <w:i/>
          <w:lang w:val="es-ES"/>
        </w:rPr>
        <w:instrText xml:space="preserve"> AUTONUM  </w:instrText>
      </w:r>
      <w:r w:rsidRPr="009768C1">
        <w:rPr>
          <w:i/>
          <w:lang w:val="es-ES"/>
        </w:rPr>
        <w:fldChar w:fldCharType="end"/>
      </w:r>
      <w:r w:rsidR="00812486" w:rsidRPr="009768C1">
        <w:rPr>
          <w:i/>
          <w:lang w:val="es-ES"/>
        </w:rPr>
        <w:tab/>
      </w:r>
      <w:r w:rsidR="00A43BF2" w:rsidRPr="009768C1">
        <w:rPr>
          <w:i/>
          <w:lang w:val="es-ES"/>
        </w:rPr>
        <w:t>Se invita al Consejo a aprobar el informe de gestión financiera correspondiente al ejercicio económico de 2012-2013</w:t>
      </w:r>
      <w:r w:rsidR="00812486" w:rsidRPr="009768C1">
        <w:rPr>
          <w:i/>
          <w:lang w:val="es-ES"/>
        </w:rPr>
        <w:t>.</w:t>
      </w:r>
    </w:p>
    <w:p w:rsidR="00812486" w:rsidRPr="009768C1" w:rsidRDefault="00812486" w:rsidP="00812486">
      <w:pPr>
        <w:tabs>
          <w:tab w:val="left" w:pos="5387"/>
          <w:tab w:val="left" w:pos="5954"/>
        </w:tabs>
        <w:ind w:left="4820" w:hanging="4820"/>
        <w:rPr>
          <w:i/>
          <w:lang w:val="es-ES"/>
        </w:rPr>
      </w:pPr>
    </w:p>
    <w:p w:rsidR="00812486" w:rsidRPr="009768C1" w:rsidRDefault="00812486" w:rsidP="00812486">
      <w:pPr>
        <w:rPr>
          <w:lang w:val="es-ES"/>
        </w:rPr>
      </w:pPr>
    </w:p>
    <w:p w:rsidR="00812486" w:rsidRPr="009768C1" w:rsidRDefault="00812486" w:rsidP="00812486">
      <w:pPr>
        <w:rPr>
          <w:lang w:val="es-ES"/>
        </w:rPr>
      </w:pPr>
    </w:p>
    <w:p w:rsidR="00812486" w:rsidRPr="009768C1" w:rsidRDefault="00812486" w:rsidP="00812486">
      <w:pPr>
        <w:jc w:val="right"/>
        <w:rPr>
          <w:lang w:val="es-ES"/>
        </w:rPr>
      </w:pPr>
      <w:r w:rsidRPr="009768C1">
        <w:rPr>
          <w:lang w:val="es-ES"/>
        </w:rPr>
        <w:t>[</w:t>
      </w:r>
      <w:r w:rsidR="006F451C" w:rsidRPr="009768C1">
        <w:rPr>
          <w:lang w:val="es-ES"/>
        </w:rPr>
        <w:t>Sigue el Anexo</w:t>
      </w:r>
      <w:r w:rsidRPr="009768C1">
        <w:rPr>
          <w:lang w:val="es-ES"/>
        </w:rPr>
        <w:t>]</w:t>
      </w:r>
    </w:p>
    <w:p w:rsidR="00812486" w:rsidRPr="009768C1" w:rsidRDefault="00812486" w:rsidP="00812486">
      <w:pPr>
        <w:jc w:val="center"/>
        <w:rPr>
          <w:lang w:val="es-ES"/>
        </w:rPr>
      </w:pPr>
    </w:p>
    <w:p w:rsidR="00812486" w:rsidRPr="009768C1" w:rsidRDefault="00812486" w:rsidP="00812486">
      <w:pPr>
        <w:jc w:val="right"/>
        <w:rPr>
          <w:lang w:val="es-ES"/>
        </w:rPr>
        <w:sectPr w:rsidR="00812486" w:rsidRPr="009768C1" w:rsidSect="00A14D8B">
          <w:headerReference w:type="default" r:id="rId11"/>
          <w:footerReference w:type="first" r:id="rId12"/>
          <w:pgSz w:w="11907" w:h="16840" w:code="9"/>
          <w:pgMar w:top="510" w:right="1134" w:bottom="1134" w:left="1134" w:header="510" w:footer="680" w:gutter="0"/>
          <w:cols w:space="720"/>
          <w:titlePg/>
        </w:sectPr>
      </w:pPr>
    </w:p>
    <w:p w:rsidR="00812486" w:rsidRPr="009768C1" w:rsidRDefault="00812486" w:rsidP="00812486">
      <w:pPr>
        <w:rPr>
          <w:lang w:val="es-ES"/>
        </w:rPr>
      </w:pPr>
    </w:p>
    <w:p w:rsidR="00812486" w:rsidRPr="009768C1" w:rsidRDefault="00A14D8B" w:rsidP="00812486">
      <w:pPr>
        <w:jc w:val="center"/>
        <w:rPr>
          <w:b/>
          <w:lang w:val="es-ES"/>
        </w:rPr>
      </w:pPr>
      <w:r w:rsidRPr="009768C1">
        <w:rPr>
          <w:b/>
          <w:lang w:val="es-ES"/>
        </w:rPr>
        <w:t>UNIÓN INTERNACIONAL PARA LA PROTECCIÓN DE LAS OBTENCIONES VEGETALES</w:t>
      </w:r>
    </w:p>
    <w:p w:rsidR="00812486" w:rsidRPr="009768C1" w:rsidRDefault="00812486" w:rsidP="00812486">
      <w:pPr>
        <w:jc w:val="center"/>
        <w:rPr>
          <w:lang w:val="es-ES"/>
        </w:rPr>
      </w:pPr>
    </w:p>
    <w:p w:rsidR="00812486" w:rsidRPr="009768C1" w:rsidRDefault="00A14D8B" w:rsidP="00812486">
      <w:pPr>
        <w:jc w:val="center"/>
        <w:rPr>
          <w:lang w:val="es-ES"/>
        </w:rPr>
      </w:pPr>
      <w:r w:rsidRPr="009768C1">
        <w:rPr>
          <w:lang w:val="es-ES"/>
        </w:rPr>
        <w:t>Informe de gestión financiera correspondiente al ejercicio económico 2012-13</w:t>
      </w:r>
    </w:p>
    <w:p w:rsidR="00812486" w:rsidRPr="009768C1" w:rsidRDefault="00812486" w:rsidP="00812486">
      <w:pPr>
        <w:tabs>
          <w:tab w:val="right" w:pos="9639"/>
        </w:tabs>
        <w:rPr>
          <w:b/>
          <w:lang w:val="es-ES"/>
        </w:rPr>
      </w:pPr>
    </w:p>
    <w:p w:rsidR="00812486" w:rsidRPr="009768C1" w:rsidRDefault="00812486" w:rsidP="00812486">
      <w:pPr>
        <w:tabs>
          <w:tab w:val="right" w:pos="9639"/>
        </w:tabs>
        <w:rPr>
          <w:b/>
          <w:lang w:val="es-ES"/>
        </w:rPr>
      </w:pPr>
    </w:p>
    <w:p w:rsidR="00812486" w:rsidRPr="009768C1" w:rsidRDefault="00A14D8B" w:rsidP="00812486">
      <w:pPr>
        <w:tabs>
          <w:tab w:val="right" w:pos="9639"/>
        </w:tabs>
        <w:rPr>
          <w:b/>
          <w:caps/>
          <w:lang w:val="es-ES"/>
        </w:rPr>
      </w:pPr>
      <w:r w:rsidRPr="009768C1">
        <w:rPr>
          <w:b/>
          <w:lang w:val="es-ES"/>
        </w:rPr>
        <w:t>ÍNDICE</w:t>
      </w:r>
      <w:r w:rsidR="00812486" w:rsidRPr="009768C1">
        <w:rPr>
          <w:b/>
          <w:lang w:val="es-ES"/>
        </w:rPr>
        <w:tab/>
      </w:r>
      <w:r w:rsidRPr="009768C1">
        <w:rPr>
          <w:b/>
          <w:caps/>
          <w:lang w:val="es-ES"/>
        </w:rPr>
        <w:t>pÁGINA</w:t>
      </w:r>
    </w:p>
    <w:p w:rsidR="009768C1" w:rsidRPr="009768C1" w:rsidRDefault="009768C1" w:rsidP="00812486">
      <w:pPr>
        <w:tabs>
          <w:tab w:val="right" w:pos="9639"/>
        </w:tabs>
        <w:rPr>
          <w:lang w:val="es-ES"/>
        </w:rPr>
      </w:pPr>
    </w:p>
    <w:p w:rsidR="00C7055D" w:rsidRPr="00C7055D" w:rsidRDefault="00C7055D">
      <w:pPr>
        <w:pStyle w:val="TOC1"/>
        <w:rPr>
          <w:rFonts w:asciiTheme="minorHAnsi" w:eastAsiaTheme="minorEastAsia" w:hAnsiTheme="minorHAnsi" w:cstheme="minorBidi"/>
          <w:b w:val="0"/>
          <w:caps w:val="0"/>
          <w:sz w:val="22"/>
          <w:szCs w:val="22"/>
          <w:lang w:val="es-ES_tradnl"/>
        </w:rPr>
      </w:pPr>
      <w:r>
        <w:rPr>
          <w:lang w:val="es-ES"/>
        </w:rPr>
        <w:fldChar w:fldCharType="begin"/>
      </w:r>
      <w:r>
        <w:rPr>
          <w:lang w:val="es-ES"/>
        </w:rPr>
        <w:instrText xml:space="preserve"> TOC \o "1-5" \u </w:instrText>
      </w:r>
      <w:r>
        <w:rPr>
          <w:lang w:val="es-ES"/>
        </w:rPr>
        <w:fldChar w:fldCharType="separate"/>
      </w:r>
      <w:r w:rsidRPr="00C7055D">
        <w:rPr>
          <w:lang w:val="es-ES_tradnl"/>
        </w:rPr>
        <w:t>RESUMEN Y ANÁLISIS DE LOS RESULTADOS</w:t>
      </w:r>
      <w:r w:rsidRPr="00C7055D">
        <w:rPr>
          <w:lang w:val="es-ES_tradnl"/>
        </w:rPr>
        <w:tab/>
      </w:r>
      <w:r>
        <w:fldChar w:fldCharType="begin"/>
      </w:r>
      <w:r w:rsidRPr="00C7055D">
        <w:rPr>
          <w:lang w:val="es-ES_tradnl"/>
        </w:rPr>
        <w:instrText xml:space="preserve"> PAGEREF _Toc397086706 \h </w:instrText>
      </w:r>
      <w:r>
        <w:fldChar w:fldCharType="separate"/>
      </w:r>
      <w:r w:rsidR="006901BC">
        <w:rPr>
          <w:lang w:val="es-ES_tradnl"/>
        </w:rPr>
        <w:t>2</w:t>
      </w:r>
      <w:r>
        <w:fldChar w:fldCharType="end"/>
      </w:r>
    </w:p>
    <w:p w:rsidR="00C7055D" w:rsidRPr="00C7055D" w:rsidRDefault="00C7055D">
      <w:pPr>
        <w:pStyle w:val="TOC3"/>
        <w:rPr>
          <w:rFonts w:asciiTheme="minorHAnsi" w:eastAsiaTheme="minorEastAsia" w:hAnsiTheme="minorHAnsi" w:cstheme="minorBidi"/>
          <w:sz w:val="22"/>
          <w:szCs w:val="22"/>
          <w:lang w:val="es-ES_tradnl"/>
        </w:rPr>
      </w:pPr>
      <w:r w:rsidRPr="00C7055D">
        <w:rPr>
          <w:lang w:val="es-ES_tradnl"/>
        </w:rPr>
        <w:t>Cuadro 1.  Ingresos, gastos y fondos de reserva y de operaciones (FRO) correspondiente al ejercicio económico 2012/13</w:t>
      </w:r>
      <w:r w:rsidRPr="00C7055D">
        <w:rPr>
          <w:lang w:val="es-ES_tradnl"/>
        </w:rPr>
        <w:tab/>
      </w:r>
      <w:r>
        <w:fldChar w:fldCharType="begin"/>
      </w:r>
      <w:r w:rsidRPr="00C7055D">
        <w:rPr>
          <w:lang w:val="es-ES_tradnl"/>
        </w:rPr>
        <w:instrText xml:space="preserve"> PAGEREF _Toc397086707 \h </w:instrText>
      </w:r>
      <w:r>
        <w:fldChar w:fldCharType="separate"/>
      </w:r>
      <w:r w:rsidR="006901BC">
        <w:rPr>
          <w:lang w:val="es-ES_tradnl"/>
        </w:rPr>
        <w:t>2</w:t>
      </w:r>
      <w:r>
        <w:fldChar w:fldCharType="end"/>
      </w:r>
    </w:p>
    <w:p w:rsidR="00C7055D" w:rsidRPr="00C7055D" w:rsidRDefault="00C7055D">
      <w:pPr>
        <w:pStyle w:val="TOC3"/>
        <w:rPr>
          <w:rFonts w:asciiTheme="minorHAnsi" w:eastAsiaTheme="minorEastAsia" w:hAnsiTheme="minorHAnsi" w:cstheme="minorBidi"/>
          <w:sz w:val="22"/>
          <w:szCs w:val="22"/>
          <w:lang w:val="es-ES_tradnl"/>
        </w:rPr>
      </w:pPr>
      <w:r w:rsidRPr="00C7055D">
        <w:rPr>
          <w:lang w:val="es-ES_tradnl"/>
        </w:rPr>
        <w:t>Cuadro 2.  Ingresos presupuestados y reales por fuente correspondientes al ejercicio económico 2012/2013</w:t>
      </w:r>
      <w:r w:rsidRPr="00C7055D">
        <w:rPr>
          <w:lang w:val="es-ES_tradnl"/>
        </w:rPr>
        <w:tab/>
      </w:r>
      <w:r>
        <w:fldChar w:fldCharType="begin"/>
      </w:r>
      <w:r w:rsidRPr="00C7055D">
        <w:rPr>
          <w:lang w:val="es-ES_tradnl"/>
        </w:rPr>
        <w:instrText xml:space="preserve"> PAGEREF _Toc397086708 \h </w:instrText>
      </w:r>
      <w:r>
        <w:fldChar w:fldCharType="separate"/>
      </w:r>
      <w:r w:rsidR="006901BC">
        <w:rPr>
          <w:lang w:val="es-ES_tradnl"/>
        </w:rPr>
        <w:t>3</w:t>
      </w:r>
      <w:r>
        <w:fldChar w:fldCharType="end"/>
      </w:r>
    </w:p>
    <w:p w:rsidR="00C7055D" w:rsidRPr="00C7055D" w:rsidRDefault="00C7055D">
      <w:pPr>
        <w:pStyle w:val="TOC3"/>
        <w:rPr>
          <w:rFonts w:asciiTheme="minorHAnsi" w:eastAsiaTheme="minorEastAsia" w:hAnsiTheme="minorHAnsi" w:cstheme="minorBidi"/>
          <w:sz w:val="22"/>
          <w:szCs w:val="22"/>
          <w:lang w:val="es-ES_tradnl"/>
        </w:rPr>
      </w:pPr>
      <w:r w:rsidRPr="00C7055D">
        <w:rPr>
          <w:lang w:val="es-ES_tradnl"/>
        </w:rPr>
        <w:t>Cuadro 3.  Presupuesto aprobado y gastos por concepto de costo correspondientes  al ejercicio económico 2012/2013</w:t>
      </w:r>
      <w:r w:rsidRPr="00C7055D">
        <w:rPr>
          <w:lang w:val="es-ES_tradnl"/>
        </w:rPr>
        <w:tab/>
      </w:r>
      <w:r>
        <w:fldChar w:fldCharType="begin"/>
      </w:r>
      <w:r w:rsidRPr="00C7055D">
        <w:rPr>
          <w:lang w:val="es-ES_tradnl"/>
        </w:rPr>
        <w:instrText xml:space="preserve"> PAGEREF _Toc397086709 \h </w:instrText>
      </w:r>
      <w:r>
        <w:fldChar w:fldCharType="separate"/>
      </w:r>
      <w:r w:rsidR="006901BC">
        <w:rPr>
          <w:lang w:val="es-ES_tradnl"/>
        </w:rPr>
        <w:t>4</w:t>
      </w:r>
      <w:r>
        <w:fldChar w:fldCharType="end"/>
      </w:r>
    </w:p>
    <w:p w:rsidR="00C7055D" w:rsidRPr="00C7055D" w:rsidRDefault="00C7055D">
      <w:pPr>
        <w:pStyle w:val="TOC3"/>
        <w:rPr>
          <w:rFonts w:asciiTheme="minorHAnsi" w:eastAsiaTheme="minorEastAsia" w:hAnsiTheme="minorHAnsi" w:cstheme="minorBidi"/>
          <w:sz w:val="22"/>
          <w:szCs w:val="22"/>
          <w:lang w:val="es-ES_tradnl"/>
        </w:rPr>
      </w:pPr>
      <w:r w:rsidRPr="00C7055D">
        <w:rPr>
          <w:lang w:val="es-ES_tradnl"/>
        </w:rPr>
        <w:t>Cuadro 4.  Presupuesto aprobado y gastos por subprograma correspondientes al ejercicio económico 2012/2013</w:t>
      </w:r>
      <w:r w:rsidRPr="00C7055D">
        <w:rPr>
          <w:lang w:val="es-ES_tradnl"/>
        </w:rPr>
        <w:tab/>
      </w:r>
      <w:r>
        <w:fldChar w:fldCharType="begin"/>
      </w:r>
      <w:r w:rsidRPr="00C7055D">
        <w:rPr>
          <w:lang w:val="es-ES_tradnl"/>
        </w:rPr>
        <w:instrText xml:space="preserve"> PAGEREF _Toc397086710 \h </w:instrText>
      </w:r>
      <w:r>
        <w:fldChar w:fldCharType="separate"/>
      </w:r>
      <w:r w:rsidR="006901BC">
        <w:rPr>
          <w:lang w:val="es-ES_tradnl"/>
        </w:rPr>
        <w:t>4</w:t>
      </w:r>
      <w:r>
        <w:fldChar w:fldCharType="end"/>
      </w:r>
    </w:p>
    <w:p w:rsidR="00C7055D" w:rsidRPr="00C7055D" w:rsidRDefault="00C7055D">
      <w:pPr>
        <w:pStyle w:val="TOC3"/>
        <w:rPr>
          <w:rFonts w:asciiTheme="minorHAnsi" w:eastAsiaTheme="minorEastAsia" w:hAnsiTheme="minorHAnsi" w:cstheme="minorBidi"/>
          <w:sz w:val="22"/>
          <w:szCs w:val="22"/>
          <w:lang w:val="es-ES_tradnl"/>
        </w:rPr>
      </w:pPr>
      <w:r w:rsidRPr="00C7055D">
        <w:rPr>
          <w:lang w:val="es-ES_tradnl"/>
        </w:rPr>
        <w:t>Cuadro 5.  Desglose del gasto por subprograma correspondiente al ejercicio económico 2012/13</w:t>
      </w:r>
      <w:r w:rsidRPr="00C7055D">
        <w:rPr>
          <w:lang w:val="es-ES_tradnl"/>
        </w:rPr>
        <w:tab/>
      </w:r>
      <w:r>
        <w:fldChar w:fldCharType="begin"/>
      </w:r>
      <w:r w:rsidRPr="00C7055D">
        <w:rPr>
          <w:lang w:val="es-ES_tradnl"/>
        </w:rPr>
        <w:instrText xml:space="preserve"> PAGEREF _Toc397086711 \h </w:instrText>
      </w:r>
      <w:r>
        <w:fldChar w:fldCharType="separate"/>
      </w:r>
      <w:r w:rsidR="006901BC">
        <w:rPr>
          <w:lang w:val="es-ES_tradnl"/>
        </w:rPr>
        <w:t>6</w:t>
      </w:r>
      <w:r>
        <w:fldChar w:fldCharType="end"/>
      </w:r>
    </w:p>
    <w:p w:rsidR="00C7055D" w:rsidRPr="00C7055D" w:rsidRDefault="00C7055D">
      <w:pPr>
        <w:pStyle w:val="TOC3"/>
        <w:rPr>
          <w:rFonts w:asciiTheme="minorHAnsi" w:eastAsiaTheme="minorEastAsia" w:hAnsiTheme="minorHAnsi" w:cstheme="minorBidi"/>
          <w:sz w:val="22"/>
          <w:szCs w:val="22"/>
          <w:lang w:val="es-ES_tradnl"/>
        </w:rPr>
      </w:pPr>
      <w:r w:rsidRPr="00C7055D">
        <w:rPr>
          <w:lang w:val="es-ES_tradnl"/>
        </w:rPr>
        <w:t>Cuadro 6.  Puestos presupuestados y efectivos para el ejercicio económico 2012/13</w:t>
      </w:r>
      <w:r w:rsidRPr="00C7055D">
        <w:rPr>
          <w:lang w:val="es-ES_tradnl"/>
        </w:rPr>
        <w:tab/>
      </w:r>
      <w:r>
        <w:fldChar w:fldCharType="begin"/>
      </w:r>
      <w:r w:rsidRPr="00C7055D">
        <w:rPr>
          <w:lang w:val="es-ES_tradnl"/>
        </w:rPr>
        <w:instrText xml:space="preserve"> PAGEREF _Toc397086712 \h </w:instrText>
      </w:r>
      <w:r>
        <w:fldChar w:fldCharType="separate"/>
      </w:r>
      <w:r w:rsidR="006901BC">
        <w:rPr>
          <w:lang w:val="es-ES_tradnl"/>
        </w:rPr>
        <w:t>6</w:t>
      </w:r>
      <w:r>
        <w:fldChar w:fldCharType="end"/>
      </w:r>
    </w:p>
    <w:p w:rsidR="00C7055D" w:rsidRPr="00C7055D" w:rsidRDefault="00C7055D">
      <w:pPr>
        <w:pStyle w:val="TOC3"/>
        <w:rPr>
          <w:rFonts w:asciiTheme="minorHAnsi" w:eastAsiaTheme="minorEastAsia" w:hAnsiTheme="minorHAnsi" w:cstheme="minorBidi"/>
          <w:sz w:val="22"/>
          <w:szCs w:val="22"/>
          <w:lang w:val="es-ES_tradnl"/>
        </w:rPr>
      </w:pPr>
      <w:r w:rsidRPr="00C7055D">
        <w:rPr>
          <w:lang w:val="es-ES_tradnl"/>
        </w:rPr>
        <w:t>Cuadro 7.  Evolución de los ingresos y los gastos reales durante el período 2008-2013</w:t>
      </w:r>
      <w:r w:rsidRPr="00C7055D">
        <w:rPr>
          <w:lang w:val="es-ES_tradnl"/>
        </w:rPr>
        <w:tab/>
      </w:r>
      <w:r>
        <w:fldChar w:fldCharType="begin"/>
      </w:r>
      <w:r w:rsidRPr="00C7055D">
        <w:rPr>
          <w:lang w:val="es-ES_tradnl"/>
        </w:rPr>
        <w:instrText xml:space="preserve"> PAGEREF _Toc397086713 \h </w:instrText>
      </w:r>
      <w:r>
        <w:fldChar w:fldCharType="separate"/>
      </w:r>
      <w:r w:rsidR="006901BC">
        <w:rPr>
          <w:lang w:val="es-ES_tradnl"/>
        </w:rPr>
        <w:t>7</w:t>
      </w:r>
      <w:r>
        <w:fldChar w:fldCharType="end"/>
      </w:r>
    </w:p>
    <w:p w:rsidR="00C7055D" w:rsidRPr="00C7055D" w:rsidRDefault="00C7055D">
      <w:pPr>
        <w:pStyle w:val="TOC1"/>
        <w:rPr>
          <w:rFonts w:asciiTheme="minorHAnsi" w:eastAsiaTheme="minorEastAsia" w:hAnsiTheme="minorHAnsi" w:cstheme="minorBidi"/>
          <w:b w:val="0"/>
          <w:caps w:val="0"/>
          <w:sz w:val="22"/>
          <w:szCs w:val="22"/>
          <w:lang w:val="es-ES_tradnl"/>
        </w:rPr>
      </w:pPr>
      <w:r w:rsidRPr="00C7055D">
        <w:rPr>
          <w:lang w:val="es-ES_tradnl"/>
        </w:rPr>
        <w:t>INVERSIONES</w:t>
      </w:r>
      <w:r w:rsidRPr="00C7055D">
        <w:rPr>
          <w:lang w:val="es-ES_tradnl"/>
        </w:rPr>
        <w:tab/>
      </w:r>
      <w:r>
        <w:fldChar w:fldCharType="begin"/>
      </w:r>
      <w:r w:rsidRPr="00C7055D">
        <w:rPr>
          <w:lang w:val="es-ES_tradnl"/>
        </w:rPr>
        <w:instrText xml:space="preserve"> PAGEREF _Toc397086714 \h </w:instrText>
      </w:r>
      <w:r>
        <w:fldChar w:fldCharType="separate"/>
      </w:r>
      <w:r w:rsidR="006901BC">
        <w:rPr>
          <w:lang w:val="es-ES_tradnl"/>
        </w:rPr>
        <w:t>8</w:t>
      </w:r>
      <w:r>
        <w:fldChar w:fldCharType="end"/>
      </w:r>
    </w:p>
    <w:p w:rsidR="00C7055D" w:rsidRPr="00C7055D" w:rsidRDefault="00C7055D">
      <w:pPr>
        <w:pStyle w:val="TOC1"/>
        <w:rPr>
          <w:rFonts w:asciiTheme="minorHAnsi" w:eastAsiaTheme="minorEastAsia" w:hAnsiTheme="minorHAnsi" w:cstheme="minorBidi"/>
          <w:b w:val="0"/>
          <w:caps w:val="0"/>
          <w:sz w:val="22"/>
          <w:szCs w:val="22"/>
          <w:lang w:val="es-ES_tradnl"/>
        </w:rPr>
      </w:pPr>
      <w:r w:rsidRPr="00C7055D">
        <w:rPr>
          <w:lang w:val="es-ES_tradnl"/>
        </w:rPr>
        <w:t>ESTADOS FINANCIEROS</w:t>
      </w:r>
      <w:r w:rsidRPr="00C7055D">
        <w:rPr>
          <w:lang w:val="es-ES_tradnl"/>
        </w:rPr>
        <w:tab/>
      </w:r>
      <w:r>
        <w:fldChar w:fldCharType="begin"/>
      </w:r>
      <w:r w:rsidRPr="00C7055D">
        <w:rPr>
          <w:lang w:val="es-ES_tradnl"/>
        </w:rPr>
        <w:instrText xml:space="preserve"> PAGEREF _Toc397086715 \h </w:instrText>
      </w:r>
      <w:r>
        <w:fldChar w:fldCharType="separate"/>
      </w:r>
      <w:r w:rsidR="006901BC">
        <w:rPr>
          <w:lang w:val="es-ES_tradnl"/>
        </w:rPr>
        <w:t>9</w:t>
      </w:r>
      <w:r>
        <w:fldChar w:fldCharType="end"/>
      </w:r>
    </w:p>
    <w:p w:rsidR="00C7055D" w:rsidRPr="00C7055D" w:rsidRDefault="00C7055D">
      <w:pPr>
        <w:pStyle w:val="TOC2"/>
        <w:rPr>
          <w:rFonts w:asciiTheme="minorHAnsi" w:eastAsiaTheme="minorEastAsia" w:hAnsiTheme="minorHAnsi" w:cstheme="minorBidi"/>
          <w:sz w:val="22"/>
          <w:szCs w:val="22"/>
          <w:lang w:val="es-ES_tradnl"/>
        </w:rPr>
      </w:pPr>
      <w:r w:rsidRPr="00C7055D">
        <w:rPr>
          <w:lang w:val="es-ES_tradnl"/>
        </w:rPr>
        <w:t>Estado de la situación financiera</w:t>
      </w:r>
      <w:r w:rsidRPr="00C7055D">
        <w:rPr>
          <w:lang w:val="es-ES_tradnl"/>
        </w:rPr>
        <w:tab/>
      </w:r>
      <w:r>
        <w:fldChar w:fldCharType="begin"/>
      </w:r>
      <w:r w:rsidRPr="00C7055D">
        <w:rPr>
          <w:lang w:val="es-ES_tradnl"/>
        </w:rPr>
        <w:instrText xml:space="preserve"> PAGEREF _Toc397086716 \h </w:instrText>
      </w:r>
      <w:r>
        <w:fldChar w:fldCharType="separate"/>
      </w:r>
      <w:r w:rsidR="006901BC">
        <w:rPr>
          <w:lang w:val="es-ES_tradnl"/>
        </w:rPr>
        <w:t>12</w:t>
      </w:r>
      <w:r>
        <w:fldChar w:fldCharType="end"/>
      </w:r>
    </w:p>
    <w:p w:rsidR="00C7055D" w:rsidRPr="00C7055D" w:rsidRDefault="00C7055D">
      <w:pPr>
        <w:pStyle w:val="TOC2"/>
        <w:rPr>
          <w:rFonts w:asciiTheme="minorHAnsi" w:eastAsiaTheme="minorEastAsia" w:hAnsiTheme="minorHAnsi" w:cstheme="minorBidi"/>
          <w:sz w:val="22"/>
          <w:szCs w:val="22"/>
          <w:lang w:val="es-ES_tradnl"/>
        </w:rPr>
      </w:pPr>
      <w:r w:rsidRPr="00C7055D">
        <w:rPr>
          <w:lang w:val="es-ES_tradnl"/>
        </w:rPr>
        <w:t>Estado de rendimiento financiero</w:t>
      </w:r>
      <w:r w:rsidRPr="00C7055D">
        <w:rPr>
          <w:lang w:val="es-ES_tradnl"/>
        </w:rPr>
        <w:tab/>
      </w:r>
      <w:r>
        <w:fldChar w:fldCharType="begin"/>
      </w:r>
      <w:r w:rsidRPr="00C7055D">
        <w:rPr>
          <w:lang w:val="es-ES_tradnl"/>
        </w:rPr>
        <w:instrText xml:space="preserve"> PAGEREF _Toc397086717 \h </w:instrText>
      </w:r>
      <w:r>
        <w:fldChar w:fldCharType="separate"/>
      </w:r>
      <w:r w:rsidR="006901BC">
        <w:rPr>
          <w:lang w:val="es-ES_tradnl"/>
        </w:rPr>
        <w:t>13</w:t>
      </w:r>
      <w:r>
        <w:fldChar w:fldCharType="end"/>
      </w:r>
    </w:p>
    <w:p w:rsidR="00C7055D" w:rsidRPr="00C7055D" w:rsidRDefault="00C7055D">
      <w:pPr>
        <w:pStyle w:val="TOC2"/>
        <w:rPr>
          <w:rFonts w:asciiTheme="minorHAnsi" w:eastAsiaTheme="minorEastAsia" w:hAnsiTheme="minorHAnsi" w:cstheme="minorBidi"/>
          <w:sz w:val="22"/>
          <w:szCs w:val="22"/>
          <w:lang w:val="es-ES_tradnl"/>
        </w:rPr>
      </w:pPr>
      <w:r w:rsidRPr="00C7055D">
        <w:rPr>
          <w:lang w:val="es-ES_tradnl"/>
        </w:rPr>
        <w:t>Estado de cambios en los activos netos</w:t>
      </w:r>
      <w:r w:rsidRPr="00C7055D">
        <w:rPr>
          <w:lang w:val="es-ES_tradnl"/>
        </w:rPr>
        <w:tab/>
      </w:r>
      <w:r>
        <w:fldChar w:fldCharType="begin"/>
      </w:r>
      <w:r w:rsidRPr="00C7055D">
        <w:rPr>
          <w:lang w:val="es-ES_tradnl"/>
        </w:rPr>
        <w:instrText xml:space="preserve"> PAGEREF _Toc397086718 \h </w:instrText>
      </w:r>
      <w:r>
        <w:fldChar w:fldCharType="separate"/>
      </w:r>
      <w:r w:rsidR="006901BC">
        <w:rPr>
          <w:lang w:val="es-ES_tradnl"/>
        </w:rPr>
        <w:t>14</w:t>
      </w:r>
      <w:r>
        <w:fldChar w:fldCharType="end"/>
      </w:r>
    </w:p>
    <w:p w:rsidR="00C7055D" w:rsidRPr="00C7055D" w:rsidRDefault="00C7055D">
      <w:pPr>
        <w:pStyle w:val="TOC2"/>
        <w:rPr>
          <w:rFonts w:asciiTheme="minorHAnsi" w:eastAsiaTheme="minorEastAsia" w:hAnsiTheme="minorHAnsi" w:cstheme="minorBidi"/>
          <w:sz w:val="22"/>
          <w:szCs w:val="22"/>
          <w:lang w:val="es-ES_tradnl"/>
        </w:rPr>
      </w:pPr>
      <w:r w:rsidRPr="00C7055D">
        <w:rPr>
          <w:lang w:val="es-ES_tradnl"/>
        </w:rPr>
        <w:t>Estado de flujos de efectivo</w:t>
      </w:r>
      <w:r w:rsidRPr="00C7055D">
        <w:rPr>
          <w:lang w:val="es-ES_tradnl"/>
        </w:rPr>
        <w:tab/>
      </w:r>
      <w:r>
        <w:fldChar w:fldCharType="begin"/>
      </w:r>
      <w:r w:rsidRPr="00C7055D">
        <w:rPr>
          <w:lang w:val="es-ES_tradnl"/>
        </w:rPr>
        <w:instrText xml:space="preserve"> PAGEREF _Toc397086719 \h </w:instrText>
      </w:r>
      <w:r>
        <w:fldChar w:fldCharType="separate"/>
      </w:r>
      <w:r w:rsidR="006901BC">
        <w:rPr>
          <w:lang w:val="es-ES_tradnl"/>
        </w:rPr>
        <w:t>15</w:t>
      </w:r>
      <w:r>
        <w:fldChar w:fldCharType="end"/>
      </w:r>
    </w:p>
    <w:p w:rsidR="00C7055D" w:rsidRPr="00C7055D" w:rsidRDefault="00C7055D">
      <w:pPr>
        <w:pStyle w:val="TOC2"/>
        <w:rPr>
          <w:rFonts w:asciiTheme="minorHAnsi" w:eastAsiaTheme="minorEastAsia" w:hAnsiTheme="minorHAnsi" w:cstheme="minorBidi"/>
          <w:sz w:val="22"/>
          <w:szCs w:val="22"/>
          <w:lang w:val="es-ES_tradnl"/>
        </w:rPr>
      </w:pPr>
      <w:r w:rsidRPr="00C7055D">
        <w:rPr>
          <w:lang w:val="es-ES_tradnl"/>
        </w:rPr>
        <w:t>Estado comparativo de importes presupuestados y reales</w:t>
      </w:r>
      <w:r w:rsidRPr="00C7055D">
        <w:rPr>
          <w:lang w:val="es-ES_tradnl"/>
        </w:rPr>
        <w:tab/>
      </w:r>
      <w:r>
        <w:fldChar w:fldCharType="begin"/>
      </w:r>
      <w:r w:rsidRPr="00C7055D">
        <w:rPr>
          <w:lang w:val="es-ES_tradnl"/>
        </w:rPr>
        <w:instrText xml:space="preserve"> PAGEREF _Toc397086720 \h </w:instrText>
      </w:r>
      <w:r>
        <w:fldChar w:fldCharType="separate"/>
      </w:r>
      <w:r w:rsidR="006901BC">
        <w:rPr>
          <w:lang w:val="es-ES_tradnl"/>
        </w:rPr>
        <w:t>16</w:t>
      </w:r>
      <w:r>
        <w:fldChar w:fldCharType="end"/>
      </w:r>
    </w:p>
    <w:p w:rsidR="00C7055D" w:rsidRPr="00C7055D" w:rsidRDefault="00C7055D">
      <w:pPr>
        <w:pStyle w:val="TOC2"/>
        <w:rPr>
          <w:rFonts w:asciiTheme="minorHAnsi" w:eastAsiaTheme="minorEastAsia" w:hAnsiTheme="minorHAnsi" w:cstheme="minorBidi"/>
          <w:sz w:val="22"/>
          <w:szCs w:val="22"/>
          <w:lang w:val="es-ES_tradnl"/>
        </w:rPr>
      </w:pPr>
      <w:r w:rsidRPr="00C7055D">
        <w:rPr>
          <w:lang w:val="es-ES_tradnl"/>
        </w:rPr>
        <w:t>Análisis del estado de la situación financiera</w:t>
      </w:r>
      <w:r w:rsidRPr="00C7055D">
        <w:rPr>
          <w:lang w:val="es-ES_tradnl"/>
        </w:rPr>
        <w:tab/>
      </w:r>
      <w:r>
        <w:fldChar w:fldCharType="begin"/>
      </w:r>
      <w:r w:rsidRPr="00C7055D">
        <w:rPr>
          <w:lang w:val="es-ES_tradnl"/>
        </w:rPr>
        <w:instrText xml:space="preserve"> PAGEREF _Toc397086721 \h </w:instrText>
      </w:r>
      <w:r>
        <w:fldChar w:fldCharType="separate"/>
      </w:r>
      <w:r w:rsidR="006901BC">
        <w:rPr>
          <w:lang w:val="es-ES_tradnl"/>
        </w:rPr>
        <w:t>17</w:t>
      </w:r>
      <w:r>
        <w:fldChar w:fldCharType="end"/>
      </w:r>
    </w:p>
    <w:p w:rsidR="00C7055D" w:rsidRPr="00C7055D" w:rsidRDefault="00C7055D">
      <w:pPr>
        <w:pStyle w:val="TOC2"/>
        <w:rPr>
          <w:rFonts w:asciiTheme="minorHAnsi" w:eastAsiaTheme="minorEastAsia" w:hAnsiTheme="minorHAnsi" w:cstheme="minorBidi"/>
          <w:sz w:val="22"/>
          <w:szCs w:val="22"/>
          <w:lang w:val="es-ES_tradnl"/>
        </w:rPr>
      </w:pPr>
      <w:r w:rsidRPr="00C7055D">
        <w:rPr>
          <w:lang w:val="es-ES_tradnl"/>
        </w:rPr>
        <w:t>Análisis del estado de rendimiento financiero</w:t>
      </w:r>
      <w:r w:rsidRPr="00C7055D">
        <w:rPr>
          <w:lang w:val="es-ES_tradnl"/>
        </w:rPr>
        <w:tab/>
      </w:r>
      <w:r>
        <w:fldChar w:fldCharType="begin"/>
      </w:r>
      <w:r w:rsidRPr="00C7055D">
        <w:rPr>
          <w:lang w:val="es-ES_tradnl"/>
        </w:rPr>
        <w:instrText xml:space="preserve"> PAGEREF _Toc397086722 \h </w:instrText>
      </w:r>
      <w:r>
        <w:fldChar w:fldCharType="separate"/>
      </w:r>
      <w:r w:rsidR="006901BC">
        <w:rPr>
          <w:lang w:val="es-ES_tradnl"/>
        </w:rPr>
        <w:t>21</w:t>
      </w:r>
      <w:r>
        <w:fldChar w:fldCharType="end"/>
      </w:r>
    </w:p>
    <w:p w:rsidR="00C7055D" w:rsidRPr="00C7055D" w:rsidRDefault="00C7055D">
      <w:pPr>
        <w:pStyle w:val="TOC1"/>
        <w:rPr>
          <w:rFonts w:asciiTheme="minorHAnsi" w:eastAsiaTheme="minorEastAsia" w:hAnsiTheme="minorHAnsi" w:cstheme="minorBidi"/>
          <w:b w:val="0"/>
          <w:caps w:val="0"/>
          <w:sz w:val="22"/>
          <w:szCs w:val="22"/>
          <w:lang w:val="es-ES_tradnl"/>
        </w:rPr>
      </w:pPr>
      <w:r w:rsidRPr="00C7055D">
        <w:rPr>
          <w:lang w:val="es-ES_tradnl"/>
        </w:rPr>
        <w:t>FONDO DE OPERACIONES Y CONTRIBUCIONES</w:t>
      </w:r>
      <w:r w:rsidRPr="00C7055D">
        <w:rPr>
          <w:lang w:val="es-ES_tradnl"/>
        </w:rPr>
        <w:tab/>
      </w:r>
      <w:r>
        <w:fldChar w:fldCharType="begin"/>
      </w:r>
      <w:r w:rsidRPr="00C7055D">
        <w:rPr>
          <w:lang w:val="es-ES_tradnl"/>
        </w:rPr>
        <w:instrText xml:space="preserve"> PAGEREF _Toc397086723 \h </w:instrText>
      </w:r>
      <w:r>
        <w:fldChar w:fldCharType="separate"/>
      </w:r>
      <w:r w:rsidR="006901BC">
        <w:rPr>
          <w:lang w:val="es-ES_tradnl"/>
        </w:rPr>
        <w:t>23</w:t>
      </w:r>
      <w:r>
        <w:fldChar w:fldCharType="end"/>
      </w:r>
    </w:p>
    <w:p w:rsidR="00C7055D" w:rsidRPr="00C7055D" w:rsidRDefault="00C7055D" w:rsidP="00C7055D">
      <w:pPr>
        <w:pStyle w:val="TOC5"/>
        <w:rPr>
          <w:rFonts w:asciiTheme="minorHAnsi" w:eastAsiaTheme="minorEastAsia" w:hAnsiTheme="minorHAnsi" w:cstheme="minorBidi"/>
        </w:rPr>
      </w:pPr>
      <w:r w:rsidRPr="00C7055D">
        <w:t>Fondo de operaciones al 31 de diciembre de 2013</w:t>
      </w:r>
      <w:r w:rsidRPr="00C7055D">
        <w:tab/>
      </w:r>
      <w:r w:rsidRPr="00C7055D">
        <w:fldChar w:fldCharType="begin"/>
      </w:r>
      <w:r w:rsidRPr="00C7055D">
        <w:instrText xml:space="preserve"> PAGEREF _Toc397086724 \h </w:instrText>
      </w:r>
      <w:r w:rsidRPr="00C7055D">
        <w:fldChar w:fldCharType="separate"/>
      </w:r>
      <w:r w:rsidR="006901BC">
        <w:t>23</w:t>
      </w:r>
      <w:r w:rsidRPr="00C7055D">
        <w:fldChar w:fldCharType="end"/>
      </w:r>
    </w:p>
    <w:p w:rsidR="00C7055D" w:rsidRPr="00C7055D" w:rsidRDefault="00C7055D" w:rsidP="00C7055D">
      <w:pPr>
        <w:pStyle w:val="TOC5"/>
        <w:rPr>
          <w:rFonts w:asciiTheme="minorHAnsi" w:eastAsiaTheme="minorEastAsia" w:hAnsiTheme="minorHAnsi" w:cstheme="minorBidi"/>
          <w:sz w:val="22"/>
          <w:szCs w:val="22"/>
        </w:rPr>
      </w:pPr>
      <w:r w:rsidRPr="00C7055D">
        <w:t>Contribuciones de los miembros de la Unión</w:t>
      </w:r>
      <w:r w:rsidRPr="00C7055D">
        <w:tab/>
      </w:r>
      <w:r>
        <w:fldChar w:fldCharType="begin"/>
      </w:r>
      <w:r w:rsidRPr="00C7055D">
        <w:instrText xml:space="preserve"> PAGEREF _Toc397086725 \h </w:instrText>
      </w:r>
      <w:r>
        <w:fldChar w:fldCharType="separate"/>
      </w:r>
      <w:r w:rsidR="006901BC">
        <w:t>24</w:t>
      </w:r>
      <w:r>
        <w:fldChar w:fldCharType="end"/>
      </w:r>
    </w:p>
    <w:p w:rsidR="00C7055D" w:rsidRPr="00C7055D" w:rsidRDefault="00C7055D" w:rsidP="00C7055D">
      <w:pPr>
        <w:pStyle w:val="TOC5"/>
        <w:rPr>
          <w:rFonts w:asciiTheme="minorHAnsi" w:eastAsiaTheme="minorEastAsia" w:hAnsiTheme="minorHAnsi" w:cstheme="minorBidi"/>
          <w:sz w:val="22"/>
          <w:szCs w:val="22"/>
        </w:rPr>
      </w:pPr>
      <w:r w:rsidRPr="00C7055D">
        <w:t>Contribuciones recibidas por anticipado</w:t>
      </w:r>
      <w:r w:rsidRPr="00C7055D">
        <w:tab/>
      </w:r>
      <w:r>
        <w:fldChar w:fldCharType="begin"/>
      </w:r>
      <w:r w:rsidRPr="00C7055D">
        <w:instrText xml:space="preserve"> PAGEREF _Toc397086726 \h </w:instrText>
      </w:r>
      <w:r>
        <w:fldChar w:fldCharType="separate"/>
      </w:r>
      <w:r w:rsidR="006901BC">
        <w:t>26</w:t>
      </w:r>
      <w:r>
        <w:fldChar w:fldCharType="end"/>
      </w:r>
    </w:p>
    <w:p w:rsidR="00C7055D" w:rsidRPr="00C7055D" w:rsidRDefault="00C7055D" w:rsidP="00C7055D">
      <w:pPr>
        <w:pStyle w:val="TOC5"/>
        <w:rPr>
          <w:rFonts w:asciiTheme="minorHAnsi" w:eastAsiaTheme="minorEastAsia" w:hAnsiTheme="minorHAnsi" w:cstheme="minorBidi"/>
          <w:sz w:val="22"/>
          <w:szCs w:val="22"/>
        </w:rPr>
      </w:pPr>
      <w:r w:rsidRPr="00C7055D">
        <w:t>Importes de las contribuciones adeudadas y de la participación en el fondo de operaciones pendiente de pago al 31 de diciembre de 2013</w:t>
      </w:r>
      <w:r w:rsidRPr="00C7055D">
        <w:tab/>
      </w:r>
      <w:r>
        <w:fldChar w:fldCharType="begin"/>
      </w:r>
      <w:r w:rsidRPr="00C7055D">
        <w:instrText xml:space="preserve"> PAGEREF _Toc397086727 \h </w:instrText>
      </w:r>
      <w:r>
        <w:fldChar w:fldCharType="separate"/>
      </w:r>
      <w:r w:rsidR="006901BC">
        <w:t>27</w:t>
      </w:r>
      <w:r>
        <w:fldChar w:fldCharType="end"/>
      </w:r>
    </w:p>
    <w:p w:rsidR="00C7055D" w:rsidRDefault="00C7055D">
      <w:pPr>
        <w:pStyle w:val="TOC1"/>
        <w:rPr>
          <w:rFonts w:asciiTheme="minorHAnsi" w:eastAsiaTheme="minorEastAsia" w:hAnsiTheme="minorHAnsi" w:cstheme="minorBidi"/>
          <w:b w:val="0"/>
          <w:caps w:val="0"/>
          <w:sz w:val="22"/>
          <w:szCs w:val="22"/>
        </w:rPr>
      </w:pPr>
      <w:r>
        <w:t>Fondos extrapresupuestarios (fondos fiduciarios)</w:t>
      </w:r>
      <w:r>
        <w:tab/>
      </w:r>
      <w:r>
        <w:fldChar w:fldCharType="begin"/>
      </w:r>
      <w:r>
        <w:instrText xml:space="preserve"> PAGEREF _Toc397086728 \h </w:instrText>
      </w:r>
      <w:r>
        <w:fldChar w:fldCharType="separate"/>
      </w:r>
      <w:r w:rsidR="006901BC">
        <w:t>29</w:t>
      </w:r>
      <w:r>
        <w:fldChar w:fldCharType="end"/>
      </w:r>
    </w:p>
    <w:p w:rsidR="00812486" w:rsidRPr="00C7055D" w:rsidRDefault="00C7055D" w:rsidP="00C7055D">
      <w:pPr>
        <w:pStyle w:val="TOC1"/>
        <w:rPr>
          <w:lang w:val="es-ES"/>
        </w:rPr>
      </w:pPr>
      <w:r>
        <w:rPr>
          <w:lang w:val="es-ES"/>
        </w:rPr>
        <w:fldChar w:fldCharType="end"/>
      </w:r>
      <w:bookmarkStart w:id="9" w:name="_GoBack"/>
      <w:bookmarkEnd w:id="9"/>
    </w:p>
    <w:p w:rsidR="00812486" w:rsidRDefault="00812486" w:rsidP="00812486">
      <w:pPr>
        <w:rPr>
          <w:lang w:val="es-ES"/>
        </w:rPr>
      </w:pPr>
    </w:p>
    <w:p w:rsidR="0008624C" w:rsidRPr="009768C1" w:rsidRDefault="0008624C" w:rsidP="00812486">
      <w:pPr>
        <w:rPr>
          <w:lang w:val="es-ES"/>
        </w:rPr>
        <w:sectPr w:rsidR="0008624C" w:rsidRPr="009768C1" w:rsidSect="0008624C">
          <w:headerReference w:type="default" r:id="rId13"/>
          <w:headerReference w:type="first" r:id="rId14"/>
          <w:footerReference w:type="first" r:id="rId15"/>
          <w:pgSz w:w="11907" w:h="16840" w:code="9"/>
          <w:pgMar w:top="510" w:right="1134" w:bottom="964" w:left="1134" w:header="510" w:footer="680" w:gutter="0"/>
          <w:pgNumType w:start="1"/>
          <w:cols w:space="720"/>
          <w:titlePg/>
        </w:sectPr>
      </w:pPr>
    </w:p>
    <w:p w:rsidR="00812486" w:rsidRPr="0008624C" w:rsidRDefault="0088551E" w:rsidP="0008624C">
      <w:pPr>
        <w:pStyle w:val="Heading1"/>
      </w:pPr>
      <w:bookmarkStart w:id="10" w:name="_Toc397086207"/>
      <w:bookmarkStart w:id="11" w:name="_Toc397086706"/>
      <w:r w:rsidRPr="0008624C">
        <w:lastRenderedPageBreak/>
        <w:t>RESUMEN Y ANÁLISIS DE LOS RESULTADOS</w:t>
      </w:r>
      <w:bookmarkEnd w:id="10"/>
      <w:bookmarkEnd w:id="11"/>
    </w:p>
    <w:p w:rsidR="00812486" w:rsidRPr="009768C1" w:rsidRDefault="00812486" w:rsidP="00812486">
      <w:pPr>
        <w:rPr>
          <w:lang w:val="es-ES"/>
        </w:rPr>
      </w:pPr>
    </w:p>
    <w:p w:rsidR="00812486" w:rsidRPr="009768C1" w:rsidRDefault="00A43BF2" w:rsidP="00812486">
      <w:pPr>
        <w:spacing w:after="200" w:line="276" w:lineRule="auto"/>
        <w:rPr>
          <w:rFonts w:eastAsiaTheme="minorHAnsi" w:cs="Arial"/>
          <w:lang w:val="es-ES"/>
        </w:rPr>
      </w:pPr>
      <w:r w:rsidRPr="009768C1">
        <w:rPr>
          <w:lang w:val="es-ES"/>
        </w:rPr>
        <w:t>En el cuadro </w:t>
      </w:r>
      <w:r w:rsidR="00812486" w:rsidRPr="009768C1">
        <w:rPr>
          <w:rFonts w:eastAsiaTheme="minorHAnsi" w:cs="Arial"/>
          <w:lang w:val="es-ES"/>
        </w:rPr>
        <w:t>1</w:t>
      </w:r>
      <w:r w:rsidR="00812486" w:rsidRPr="009768C1">
        <w:rPr>
          <w:rFonts w:eastAsiaTheme="minorHAnsi" w:cs="Arial"/>
          <w:vertAlign w:val="superscript"/>
          <w:lang w:val="es-ES"/>
        </w:rPr>
        <w:footnoteReference w:id="2"/>
      </w:r>
      <w:r w:rsidR="00812486" w:rsidRPr="009768C1">
        <w:rPr>
          <w:rFonts w:asciiTheme="minorHAnsi" w:eastAsiaTheme="minorHAnsi" w:hAnsiTheme="minorHAnsi" w:cstheme="minorBidi"/>
          <w:sz w:val="22"/>
          <w:szCs w:val="22"/>
          <w:lang w:val="es-ES"/>
        </w:rPr>
        <w:t xml:space="preserve"> </w:t>
      </w:r>
      <w:r w:rsidRPr="009768C1">
        <w:rPr>
          <w:lang w:val="es-ES"/>
        </w:rPr>
        <w:t xml:space="preserve">se presenta el resultado presupuestario general para la UPOV </w:t>
      </w:r>
      <w:r w:rsidR="0088551E" w:rsidRPr="009768C1">
        <w:rPr>
          <w:lang w:val="es-ES"/>
        </w:rPr>
        <w:t>correspondiente al ejercicio económico</w:t>
      </w:r>
      <w:r w:rsidRPr="009768C1">
        <w:rPr>
          <w:lang w:val="es-ES"/>
        </w:rPr>
        <w:t xml:space="preserve"> 2012/13, además de los fondos de reserva y de operaciones (FRO) al </w:t>
      </w:r>
      <w:r w:rsidR="0088551E" w:rsidRPr="009768C1">
        <w:rPr>
          <w:lang w:val="es-ES"/>
        </w:rPr>
        <w:t>cierre del ejercicio</w:t>
      </w:r>
      <w:r w:rsidRPr="009768C1">
        <w:rPr>
          <w:lang w:val="es-ES"/>
        </w:rPr>
        <w:t xml:space="preserve"> 2013</w:t>
      </w:r>
      <w:r w:rsidR="001D6C32" w:rsidRPr="009768C1">
        <w:rPr>
          <w:lang w:val="es-ES"/>
        </w:rPr>
        <w:t>.</w:t>
      </w:r>
      <w:r w:rsidR="009545A7">
        <w:rPr>
          <w:lang w:val="es-ES"/>
        </w:rPr>
        <w:t xml:space="preserve">  </w:t>
      </w:r>
      <w:r w:rsidRPr="009768C1">
        <w:rPr>
          <w:lang w:val="es-ES"/>
        </w:rPr>
        <w:t>El total de los ingresos presupuestarios fue de 6,8 millones de francos suizos y el gasto presupuestario total, de 6,3 millones de francos suizos, lo que arroja un resultado presupuestario de 0,5 millones de francos suizos para el bienio 2012-13.</w:t>
      </w:r>
      <w:r w:rsidR="009545A7">
        <w:rPr>
          <w:lang w:val="es-ES"/>
        </w:rPr>
        <w:t xml:space="preserve">  </w:t>
      </w:r>
      <w:r w:rsidRPr="009768C1">
        <w:rPr>
          <w:lang w:val="es-ES"/>
        </w:rPr>
        <w:t>Esta cifra es comparable al resultado presupuestario neto de cero aprobado para el periodo 2012/13 (véase el documento C/45/4 Rev.2 “Programa y presupuesto para el bienio 2012</w:t>
      </w:r>
      <w:r w:rsidR="0088551E" w:rsidRPr="009768C1">
        <w:rPr>
          <w:lang w:val="es-ES"/>
        </w:rPr>
        <w:t>/</w:t>
      </w:r>
      <w:r w:rsidRPr="009768C1">
        <w:rPr>
          <w:lang w:val="es-ES"/>
        </w:rPr>
        <w:t>2013”)</w:t>
      </w:r>
      <w:r w:rsidR="00812486" w:rsidRPr="009768C1">
        <w:rPr>
          <w:rFonts w:eastAsiaTheme="minorHAnsi" w:cs="Arial"/>
          <w:lang w:val="es-ES"/>
        </w:rPr>
        <w:t>.</w:t>
      </w:r>
    </w:p>
    <w:p w:rsidR="00812486" w:rsidRPr="009768C1" w:rsidRDefault="00A43BF2" w:rsidP="00812486">
      <w:pPr>
        <w:spacing w:after="200" w:line="276" w:lineRule="auto"/>
        <w:rPr>
          <w:rFonts w:eastAsiaTheme="minorHAnsi" w:cs="Arial"/>
          <w:lang w:val="es-ES"/>
        </w:rPr>
      </w:pPr>
      <w:r w:rsidRPr="009768C1">
        <w:rPr>
          <w:lang w:val="es-ES"/>
        </w:rPr>
        <w:t>El total de los FRO con arreglo a las IPSAS fue de 1,7 millones de francos suizos, que comprenden 1,2 millones de francos suizos para el fondo de reserva y 0,5 millones de francos suizos para el fondo de operaciones</w:t>
      </w:r>
      <w:r w:rsidR="00812486" w:rsidRPr="009768C1">
        <w:rPr>
          <w:rFonts w:eastAsiaTheme="minorHAnsi" w:cs="Arial"/>
          <w:lang w:val="es-ES"/>
        </w:rPr>
        <w:t xml:space="preserve">.  </w:t>
      </w:r>
    </w:p>
    <w:p w:rsidR="00A43BF2" w:rsidRPr="009768C1" w:rsidRDefault="00A43BF2" w:rsidP="00035B8B">
      <w:pPr>
        <w:pStyle w:val="Heading3"/>
      </w:pPr>
      <w:bookmarkStart w:id="12" w:name="_Toc397086208"/>
      <w:bookmarkStart w:id="13" w:name="_Toc397086707"/>
      <w:r w:rsidRPr="009768C1">
        <w:t>Cuadro 1</w:t>
      </w:r>
      <w:r w:rsidR="001D6C32" w:rsidRPr="009768C1">
        <w:t xml:space="preserve">.  </w:t>
      </w:r>
      <w:r w:rsidRPr="009768C1">
        <w:t xml:space="preserve">Ingresos, gastos y fondos de reserva y </w:t>
      </w:r>
      <w:r w:rsidR="0088551E" w:rsidRPr="009768C1">
        <w:t xml:space="preserve">de </w:t>
      </w:r>
      <w:r w:rsidRPr="009768C1">
        <w:t xml:space="preserve">operaciones (FRO) </w:t>
      </w:r>
      <w:r w:rsidR="00136389" w:rsidRPr="009768C1">
        <w:t>correspondiente al ejercicio</w:t>
      </w:r>
      <w:r w:rsidR="008A1698" w:rsidRPr="009768C1">
        <w:t> </w:t>
      </w:r>
      <w:r w:rsidR="00136389" w:rsidRPr="009768C1">
        <w:t>económico </w:t>
      </w:r>
      <w:r w:rsidRPr="009768C1">
        <w:t>2012/13</w:t>
      </w:r>
      <w:bookmarkEnd w:id="12"/>
      <w:bookmarkEnd w:id="13"/>
    </w:p>
    <w:p w:rsidR="00812486" w:rsidRPr="009768C1" w:rsidRDefault="00A43BF2" w:rsidP="00A43BF2">
      <w:pPr>
        <w:spacing w:after="200" w:line="276" w:lineRule="auto"/>
        <w:jc w:val="center"/>
        <w:rPr>
          <w:rFonts w:eastAsiaTheme="minorHAnsi" w:cs="Arial"/>
          <w:i/>
          <w:lang w:val="es-ES"/>
        </w:rPr>
      </w:pPr>
      <w:r w:rsidRPr="009768C1">
        <w:rPr>
          <w:rFonts w:eastAsiaTheme="minorHAnsi"/>
          <w:i/>
          <w:lang w:val="es-ES"/>
        </w:rPr>
        <w:t>(</w:t>
      </w:r>
      <w:proofErr w:type="gramStart"/>
      <w:r w:rsidRPr="009768C1">
        <w:rPr>
          <w:rFonts w:eastAsiaTheme="minorHAnsi"/>
          <w:i/>
          <w:lang w:val="es-ES"/>
        </w:rPr>
        <w:t>en</w:t>
      </w:r>
      <w:proofErr w:type="gramEnd"/>
      <w:r w:rsidRPr="009768C1">
        <w:rPr>
          <w:rFonts w:eastAsiaTheme="minorHAnsi"/>
          <w:i/>
          <w:lang w:val="es-ES"/>
        </w:rPr>
        <w:t xml:space="preserve"> miles de francos suizos)</w:t>
      </w:r>
    </w:p>
    <w:p w:rsidR="00812486" w:rsidRPr="009768C1" w:rsidRDefault="00525078" w:rsidP="00525078">
      <w:pPr>
        <w:spacing w:after="200" w:line="276" w:lineRule="auto"/>
        <w:ind w:left="426"/>
        <w:rPr>
          <w:rFonts w:asciiTheme="minorHAnsi" w:eastAsiaTheme="minorHAnsi" w:hAnsiTheme="minorHAnsi" w:cstheme="minorBidi"/>
          <w:i/>
          <w:sz w:val="22"/>
          <w:szCs w:val="22"/>
          <w:lang w:val="es-ES"/>
        </w:rPr>
      </w:pPr>
      <w:r w:rsidRPr="00525078">
        <w:rPr>
          <w:rFonts w:eastAsiaTheme="minorHAnsi"/>
          <w:noProof/>
        </w:rPr>
        <w:drawing>
          <wp:inline distT="0" distB="0" distL="0" distR="0" wp14:anchorId="50333988" wp14:editId="5832FD35">
            <wp:extent cx="5791200" cy="22002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91200" cy="2200275"/>
                    </a:xfrm>
                    <a:prstGeom prst="rect">
                      <a:avLst/>
                    </a:prstGeom>
                    <a:noFill/>
                    <a:ln>
                      <a:noFill/>
                    </a:ln>
                  </pic:spPr>
                </pic:pic>
              </a:graphicData>
            </a:graphic>
          </wp:inline>
        </w:drawing>
      </w:r>
    </w:p>
    <w:p w:rsidR="00812486" w:rsidRPr="009768C1" w:rsidRDefault="00525078" w:rsidP="00525078">
      <w:pPr>
        <w:spacing w:after="200" w:line="276" w:lineRule="auto"/>
        <w:ind w:left="426"/>
        <w:rPr>
          <w:rFonts w:asciiTheme="minorHAnsi" w:eastAsiaTheme="minorHAnsi" w:hAnsiTheme="minorHAnsi" w:cstheme="minorBidi"/>
          <w:i/>
          <w:sz w:val="22"/>
          <w:szCs w:val="22"/>
          <w:lang w:val="es-ES"/>
        </w:rPr>
      </w:pPr>
      <w:r w:rsidRPr="00525078">
        <w:rPr>
          <w:rFonts w:eastAsiaTheme="minorHAnsi"/>
          <w:noProof/>
        </w:rPr>
        <w:drawing>
          <wp:inline distT="0" distB="0" distL="0" distR="0" wp14:anchorId="3728BC30" wp14:editId="30C8406D">
            <wp:extent cx="5791200" cy="2781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1200" cy="2781300"/>
                    </a:xfrm>
                    <a:prstGeom prst="rect">
                      <a:avLst/>
                    </a:prstGeom>
                    <a:noFill/>
                    <a:ln>
                      <a:noFill/>
                    </a:ln>
                  </pic:spPr>
                </pic:pic>
              </a:graphicData>
            </a:graphic>
          </wp:inline>
        </w:drawing>
      </w:r>
    </w:p>
    <w:p w:rsidR="00812486" w:rsidRPr="009768C1" w:rsidRDefault="00812486" w:rsidP="00812486">
      <w:pPr>
        <w:spacing w:after="200" w:line="276" w:lineRule="auto"/>
        <w:jc w:val="center"/>
        <w:rPr>
          <w:rFonts w:asciiTheme="minorHAnsi" w:eastAsiaTheme="minorHAnsi" w:hAnsiTheme="minorHAnsi" w:cstheme="minorBidi"/>
          <w:i/>
          <w:sz w:val="22"/>
          <w:szCs w:val="22"/>
          <w:lang w:val="es-ES"/>
        </w:rPr>
      </w:pPr>
    </w:p>
    <w:p w:rsidR="00A43BF2" w:rsidRPr="009768C1" w:rsidRDefault="001800EB" w:rsidP="00A43BF2">
      <w:pPr>
        <w:spacing w:after="200" w:line="276" w:lineRule="auto"/>
        <w:rPr>
          <w:lang w:val="es-ES"/>
        </w:rPr>
      </w:pPr>
      <w:r w:rsidRPr="009768C1">
        <w:rPr>
          <w:lang w:val="es-ES"/>
        </w:rPr>
        <w:lastRenderedPageBreak/>
        <w:t>Durante el bienio 2012/13, l</w:t>
      </w:r>
      <w:r w:rsidR="00A43BF2" w:rsidRPr="009768C1">
        <w:rPr>
          <w:lang w:val="es-ES"/>
        </w:rPr>
        <w:t>os ingresos presupuestarios efectivos fueron de</w:t>
      </w:r>
      <w:r w:rsidRPr="009768C1">
        <w:rPr>
          <w:lang w:val="es-ES"/>
        </w:rPr>
        <w:t xml:space="preserve"> 6,8 millones de francos suizos </w:t>
      </w:r>
      <w:r w:rsidR="00A43BF2" w:rsidRPr="009768C1">
        <w:rPr>
          <w:lang w:val="es-ES"/>
        </w:rPr>
        <w:t xml:space="preserve">en consonancia con el objetivo presupuestado (cuadro 2).  Los ingresos procedentes de las contribuciones, que representan la mayor fuente única de ingresos (98% del total), fueron 11 mil francos suizos inferiores a los presupuestados.  El presupuesto aprobado para el </w:t>
      </w:r>
      <w:r w:rsidRPr="009768C1">
        <w:rPr>
          <w:lang w:val="es-ES"/>
        </w:rPr>
        <w:t>ejercicio económico</w:t>
      </w:r>
      <w:r w:rsidR="00A43BF2" w:rsidRPr="009768C1">
        <w:rPr>
          <w:lang w:val="es-ES"/>
        </w:rPr>
        <w:t xml:space="preserve"> 2012/13 partió del supuesto de que cada año se incorpora un nuevo miembro a la Unión.  Sin embargo, durante el bienio 2012/13 solo se incorporó un nuevo miembro a la Unión.  Los ingresos procedentes de publicaciones fueron 6 mil francos suizos inferiores a los presupuestados.  El déficit se explica por el reemplazo de la Base de datos UPOV-ROM sobre variedades vegetales, que tenía suscriptores, por la base de datos PLUTO, que es gratuita para todos los usuarios.  Los ingresos procedentes de intereses fueron 41 mil francos suizos inferiores a la cifra presupuestada debido a que los tipos de interés de los fondos depositados en el Banco Nacional Suizo (BNS) fueron inferiores a lo</w:t>
      </w:r>
      <w:r w:rsidR="003813C0" w:rsidRPr="009768C1">
        <w:rPr>
          <w:lang w:val="es-ES"/>
        </w:rPr>
        <w:t>s</w:t>
      </w:r>
      <w:r w:rsidR="00A43BF2" w:rsidRPr="009768C1">
        <w:rPr>
          <w:lang w:val="es-ES"/>
        </w:rPr>
        <w:t xml:space="preserve"> previsto</w:t>
      </w:r>
      <w:r w:rsidR="003813C0" w:rsidRPr="009768C1">
        <w:rPr>
          <w:lang w:val="es-ES"/>
        </w:rPr>
        <w:t>s</w:t>
      </w:r>
      <w:r w:rsidR="00A43BF2" w:rsidRPr="009768C1">
        <w:rPr>
          <w:lang w:val="es-ES"/>
        </w:rPr>
        <w:t xml:space="preserve">.  Otros ingresos fueron 51 mil francos suizos superiores a los presupuestados.  Entre dichos ingresos figuran los reembolsos procedentes de los fondos fiduciarios, los ingresos procedentes de las tasas abonadas por los participantes en el programa de enseñanza a distancia de la UPOV y los reajustes contables respecto de los años anteriores. </w:t>
      </w:r>
    </w:p>
    <w:p w:rsidR="00A43BF2" w:rsidRPr="009768C1" w:rsidRDefault="00A43BF2" w:rsidP="00035B8B">
      <w:pPr>
        <w:pStyle w:val="Heading3"/>
      </w:pPr>
      <w:bookmarkStart w:id="14" w:name="_Toc397086209"/>
      <w:bookmarkStart w:id="15" w:name="_Toc397086708"/>
      <w:r w:rsidRPr="009768C1">
        <w:t>Cuadro 2</w:t>
      </w:r>
      <w:r w:rsidR="001D6C32" w:rsidRPr="009768C1">
        <w:t xml:space="preserve">.  </w:t>
      </w:r>
      <w:r w:rsidRPr="009768C1">
        <w:t xml:space="preserve">Ingresos presupuestados y reales por fuente correspondientes al </w:t>
      </w:r>
      <w:r w:rsidR="00673DBF" w:rsidRPr="009768C1">
        <w:t>ejercicio</w:t>
      </w:r>
      <w:r w:rsidR="008A1698" w:rsidRPr="009768C1">
        <w:t> </w:t>
      </w:r>
      <w:r w:rsidR="00673DBF" w:rsidRPr="009768C1">
        <w:t>económico</w:t>
      </w:r>
      <w:r w:rsidR="008A1698" w:rsidRPr="009768C1">
        <w:t> </w:t>
      </w:r>
      <w:r w:rsidRPr="009768C1">
        <w:t>2012/2013</w:t>
      </w:r>
      <w:bookmarkEnd w:id="14"/>
      <w:bookmarkEnd w:id="15"/>
    </w:p>
    <w:p w:rsidR="00812486" w:rsidRPr="009768C1" w:rsidRDefault="00A43BF2" w:rsidP="00A43BF2">
      <w:pPr>
        <w:spacing w:after="200" w:line="276" w:lineRule="auto"/>
        <w:jc w:val="center"/>
        <w:rPr>
          <w:rFonts w:eastAsiaTheme="minorHAnsi" w:cs="Arial"/>
          <w:i/>
          <w:lang w:val="es-ES"/>
        </w:rPr>
      </w:pPr>
      <w:r w:rsidRPr="009768C1">
        <w:rPr>
          <w:rFonts w:eastAsiaTheme="minorHAnsi"/>
          <w:i/>
          <w:lang w:val="es-ES"/>
        </w:rPr>
        <w:t>(</w:t>
      </w:r>
      <w:proofErr w:type="gramStart"/>
      <w:r w:rsidRPr="009768C1">
        <w:rPr>
          <w:rFonts w:eastAsiaTheme="minorHAnsi"/>
          <w:i/>
          <w:lang w:val="es-ES"/>
        </w:rPr>
        <w:t>en</w:t>
      </w:r>
      <w:proofErr w:type="gramEnd"/>
      <w:r w:rsidRPr="009768C1">
        <w:rPr>
          <w:rFonts w:eastAsiaTheme="minorHAnsi"/>
          <w:i/>
          <w:lang w:val="es-ES"/>
        </w:rPr>
        <w:t xml:space="preserve"> miles de francos suizos)</w:t>
      </w:r>
    </w:p>
    <w:p w:rsidR="00812486" w:rsidRPr="009768C1" w:rsidRDefault="00525078" w:rsidP="00525078">
      <w:pPr>
        <w:spacing w:after="200" w:line="276" w:lineRule="auto"/>
        <w:ind w:left="851"/>
        <w:rPr>
          <w:rFonts w:asciiTheme="minorHAnsi" w:eastAsiaTheme="minorHAnsi" w:hAnsiTheme="minorHAnsi" w:cstheme="minorBidi"/>
          <w:b/>
          <w:sz w:val="22"/>
          <w:szCs w:val="22"/>
          <w:lang w:val="es-ES"/>
        </w:rPr>
      </w:pPr>
      <w:r w:rsidRPr="00525078">
        <w:rPr>
          <w:rFonts w:eastAsiaTheme="minorHAnsi"/>
          <w:noProof/>
        </w:rPr>
        <w:drawing>
          <wp:inline distT="0" distB="0" distL="0" distR="0" wp14:anchorId="0D5C57EA" wp14:editId="2AA555F8">
            <wp:extent cx="4800600" cy="18954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00600" cy="1895475"/>
                    </a:xfrm>
                    <a:prstGeom prst="rect">
                      <a:avLst/>
                    </a:prstGeom>
                    <a:noFill/>
                    <a:ln>
                      <a:noFill/>
                    </a:ln>
                  </pic:spPr>
                </pic:pic>
              </a:graphicData>
            </a:graphic>
          </wp:inline>
        </w:drawing>
      </w:r>
    </w:p>
    <w:p w:rsidR="00812486" w:rsidRPr="009768C1" w:rsidRDefault="00525078" w:rsidP="00525078">
      <w:pPr>
        <w:spacing w:after="200" w:line="276" w:lineRule="auto"/>
        <w:ind w:left="851"/>
        <w:rPr>
          <w:rFonts w:asciiTheme="minorHAnsi" w:eastAsiaTheme="minorHAnsi" w:hAnsiTheme="minorHAnsi" w:cstheme="minorBidi"/>
          <w:b/>
          <w:sz w:val="22"/>
          <w:szCs w:val="22"/>
          <w:lang w:val="es-ES"/>
        </w:rPr>
      </w:pPr>
      <w:r w:rsidRPr="00525078">
        <w:rPr>
          <w:rFonts w:eastAsiaTheme="minorHAnsi"/>
          <w:noProof/>
        </w:rPr>
        <w:drawing>
          <wp:inline distT="0" distB="0" distL="0" distR="0" wp14:anchorId="23DFDA25" wp14:editId="5DC0891E">
            <wp:extent cx="4657725" cy="27336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7725" cy="2733675"/>
                    </a:xfrm>
                    <a:prstGeom prst="rect">
                      <a:avLst/>
                    </a:prstGeom>
                    <a:noFill/>
                    <a:ln>
                      <a:noFill/>
                    </a:ln>
                  </pic:spPr>
                </pic:pic>
              </a:graphicData>
            </a:graphic>
          </wp:inline>
        </w:drawing>
      </w:r>
    </w:p>
    <w:p w:rsidR="00812486" w:rsidRPr="009768C1" w:rsidRDefault="00812486" w:rsidP="00812486">
      <w:pPr>
        <w:spacing w:after="200" w:line="276" w:lineRule="auto"/>
        <w:rPr>
          <w:rFonts w:asciiTheme="minorHAnsi" w:eastAsiaTheme="minorHAnsi" w:hAnsiTheme="minorHAnsi" w:cstheme="minorBidi"/>
          <w:sz w:val="22"/>
          <w:szCs w:val="22"/>
          <w:lang w:val="es-ES"/>
        </w:rPr>
      </w:pPr>
    </w:p>
    <w:p w:rsidR="00812486" w:rsidRPr="009768C1" w:rsidRDefault="00A43BF2" w:rsidP="00812486">
      <w:pPr>
        <w:spacing w:after="200" w:line="276" w:lineRule="auto"/>
        <w:rPr>
          <w:lang w:val="es-ES"/>
        </w:rPr>
      </w:pPr>
      <w:r w:rsidRPr="009768C1">
        <w:rPr>
          <w:lang w:val="es-ES"/>
        </w:rPr>
        <w:t>Se presenta una comparación entre los gastos presupuestarios efectivos y el presupuesto aprobado para 2012/13</w:t>
      </w:r>
      <w:r w:rsidR="00673DBF" w:rsidRPr="009768C1">
        <w:rPr>
          <w:lang w:val="es-ES"/>
        </w:rPr>
        <w:t>,</w:t>
      </w:r>
      <w:r w:rsidRPr="009768C1">
        <w:rPr>
          <w:lang w:val="es-ES"/>
        </w:rPr>
        <w:t xml:space="preserve"> por </w:t>
      </w:r>
      <w:r w:rsidR="00673DBF" w:rsidRPr="009768C1">
        <w:rPr>
          <w:lang w:val="es-ES"/>
        </w:rPr>
        <w:t>concepto</w:t>
      </w:r>
      <w:r w:rsidRPr="009768C1">
        <w:rPr>
          <w:lang w:val="es-ES"/>
        </w:rPr>
        <w:t xml:space="preserve"> de costos en el cuadro 3 y por subprograma en el cuadro 4</w:t>
      </w:r>
      <w:r w:rsidR="00812486" w:rsidRPr="009768C1">
        <w:rPr>
          <w:lang w:val="es-ES"/>
        </w:rPr>
        <w:t>.</w:t>
      </w:r>
      <w:r w:rsidR="009545A7">
        <w:rPr>
          <w:lang w:val="es-ES"/>
        </w:rPr>
        <w:t xml:space="preserve">  </w:t>
      </w:r>
    </w:p>
    <w:p w:rsidR="00812486" w:rsidRPr="009768C1" w:rsidRDefault="00812486" w:rsidP="00812486">
      <w:pPr>
        <w:rPr>
          <w:rFonts w:asciiTheme="minorHAnsi" w:eastAsiaTheme="minorHAnsi" w:hAnsiTheme="minorHAnsi" w:cstheme="minorBidi"/>
          <w:sz w:val="22"/>
          <w:szCs w:val="22"/>
          <w:lang w:val="es-ES"/>
        </w:rPr>
      </w:pPr>
      <w:r w:rsidRPr="009768C1">
        <w:rPr>
          <w:rFonts w:asciiTheme="minorHAnsi" w:eastAsiaTheme="minorHAnsi" w:hAnsiTheme="minorHAnsi" w:cstheme="minorBidi"/>
          <w:sz w:val="22"/>
          <w:szCs w:val="22"/>
          <w:lang w:val="es-ES"/>
        </w:rPr>
        <w:br w:type="page"/>
      </w:r>
    </w:p>
    <w:p w:rsidR="00A43BF2" w:rsidRPr="009768C1" w:rsidRDefault="00A43BF2" w:rsidP="00035B8B">
      <w:pPr>
        <w:pStyle w:val="Heading3"/>
      </w:pPr>
      <w:bookmarkStart w:id="16" w:name="_Toc397086210"/>
      <w:bookmarkStart w:id="17" w:name="_Toc397086709"/>
      <w:r w:rsidRPr="009768C1">
        <w:lastRenderedPageBreak/>
        <w:t>Cuadro 3</w:t>
      </w:r>
      <w:r w:rsidR="001D6C32" w:rsidRPr="009768C1">
        <w:t xml:space="preserve">.  </w:t>
      </w:r>
      <w:r w:rsidRPr="009768C1">
        <w:t xml:space="preserve">Presupuesto aprobado y gastos por concepto de </w:t>
      </w:r>
      <w:r w:rsidR="002B1270" w:rsidRPr="009768C1">
        <w:t>costo</w:t>
      </w:r>
      <w:r w:rsidRPr="009768C1">
        <w:t xml:space="preserve"> correspondientes </w:t>
      </w:r>
      <w:r w:rsidR="00673DBF" w:rsidRPr="009768C1">
        <w:br/>
      </w:r>
      <w:r w:rsidRPr="009768C1">
        <w:t xml:space="preserve">al </w:t>
      </w:r>
      <w:r w:rsidR="00673DBF" w:rsidRPr="009768C1">
        <w:t>ejercicio económico</w:t>
      </w:r>
      <w:r w:rsidRPr="009768C1">
        <w:t xml:space="preserve"> 2012/2013</w:t>
      </w:r>
      <w:bookmarkEnd w:id="16"/>
      <w:bookmarkEnd w:id="17"/>
    </w:p>
    <w:p w:rsidR="00812486" w:rsidRPr="009768C1" w:rsidRDefault="00A43BF2" w:rsidP="00A43BF2">
      <w:pPr>
        <w:spacing w:after="200" w:line="276" w:lineRule="auto"/>
        <w:jc w:val="center"/>
        <w:rPr>
          <w:rFonts w:eastAsiaTheme="minorHAnsi" w:cs="Arial"/>
          <w:i/>
          <w:lang w:val="es-ES"/>
        </w:rPr>
      </w:pPr>
      <w:r w:rsidRPr="009768C1">
        <w:rPr>
          <w:rFonts w:eastAsiaTheme="minorHAnsi"/>
          <w:i/>
          <w:lang w:val="es-ES"/>
        </w:rPr>
        <w:t>(</w:t>
      </w:r>
      <w:proofErr w:type="gramStart"/>
      <w:r w:rsidRPr="009768C1">
        <w:rPr>
          <w:rFonts w:eastAsiaTheme="minorHAnsi"/>
          <w:i/>
          <w:lang w:val="es-ES"/>
        </w:rPr>
        <w:t>en</w:t>
      </w:r>
      <w:proofErr w:type="gramEnd"/>
      <w:r w:rsidRPr="009768C1">
        <w:rPr>
          <w:rFonts w:eastAsiaTheme="minorHAnsi"/>
          <w:i/>
          <w:lang w:val="es-ES"/>
        </w:rPr>
        <w:t xml:space="preserve"> miles de francos suizos</w:t>
      </w:r>
      <w:r w:rsidR="00812486" w:rsidRPr="009768C1">
        <w:rPr>
          <w:rFonts w:eastAsiaTheme="minorHAnsi" w:cs="Arial"/>
          <w:i/>
          <w:lang w:val="es-ES"/>
        </w:rPr>
        <w:t>)</w:t>
      </w:r>
    </w:p>
    <w:p w:rsidR="00812486" w:rsidRPr="009768C1" w:rsidRDefault="00525078" w:rsidP="00525078">
      <w:pPr>
        <w:spacing w:after="200" w:line="276" w:lineRule="auto"/>
        <w:rPr>
          <w:rFonts w:asciiTheme="minorHAnsi" w:eastAsiaTheme="minorHAnsi" w:hAnsiTheme="minorHAnsi" w:cstheme="minorBidi"/>
          <w:sz w:val="22"/>
          <w:szCs w:val="22"/>
          <w:lang w:val="es-ES"/>
        </w:rPr>
      </w:pPr>
      <w:r w:rsidRPr="00525078">
        <w:rPr>
          <w:rFonts w:eastAsiaTheme="minorHAnsi"/>
          <w:noProof/>
        </w:rPr>
        <w:drawing>
          <wp:inline distT="0" distB="0" distL="0" distR="0" wp14:anchorId="3E592F45" wp14:editId="7E774F11">
            <wp:extent cx="6120765" cy="488712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4887122"/>
                    </a:xfrm>
                    <a:prstGeom prst="rect">
                      <a:avLst/>
                    </a:prstGeom>
                    <a:noFill/>
                    <a:ln>
                      <a:noFill/>
                    </a:ln>
                  </pic:spPr>
                </pic:pic>
              </a:graphicData>
            </a:graphic>
          </wp:inline>
        </w:drawing>
      </w:r>
    </w:p>
    <w:p w:rsidR="00812486" w:rsidRPr="009768C1" w:rsidRDefault="00812486" w:rsidP="00035B8B">
      <w:pPr>
        <w:pStyle w:val="Heading3"/>
      </w:pPr>
    </w:p>
    <w:p w:rsidR="00A43BF2" w:rsidRPr="009768C1" w:rsidRDefault="00A43BF2" w:rsidP="00035B8B">
      <w:pPr>
        <w:pStyle w:val="Heading3"/>
      </w:pPr>
      <w:bookmarkStart w:id="18" w:name="_Toc397086211"/>
      <w:bookmarkStart w:id="19" w:name="_Toc397086710"/>
      <w:r w:rsidRPr="009768C1">
        <w:t>Cuadro 4</w:t>
      </w:r>
      <w:r w:rsidR="001D6C32" w:rsidRPr="009768C1">
        <w:t xml:space="preserve">.  </w:t>
      </w:r>
      <w:r w:rsidRPr="009768C1">
        <w:t xml:space="preserve">Presupuesto aprobado y gastos por subprograma correspondientes al </w:t>
      </w:r>
      <w:r w:rsidR="002B1270" w:rsidRPr="009768C1">
        <w:t>ejercicio económico </w:t>
      </w:r>
      <w:r w:rsidRPr="009768C1">
        <w:t>2012/2013</w:t>
      </w:r>
      <w:bookmarkEnd w:id="18"/>
      <w:bookmarkEnd w:id="19"/>
    </w:p>
    <w:p w:rsidR="00812486" w:rsidRPr="009768C1" w:rsidRDefault="00A43BF2" w:rsidP="00A43BF2">
      <w:pPr>
        <w:spacing w:after="200" w:line="276" w:lineRule="auto"/>
        <w:jc w:val="center"/>
        <w:rPr>
          <w:rFonts w:eastAsiaTheme="minorHAnsi" w:cs="Arial"/>
          <w:i/>
          <w:lang w:val="es-ES"/>
        </w:rPr>
      </w:pPr>
      <w:r w:rsidRPr="009768C1">
        <w:rPr>
          <w:rFonts w:eastAsiaTheme="minorHAnsi"/>
          <w:i/>
          <w:lang w:val="es-ES"/>
        </w:rPr>
        <w:t>(</w:t>
      </w:r>
      <w:proofErr w:type="gramStart"/>
      <w:r w:rsidRPr="009768C1">
        <w:rPr>
          <w:rFonts w:eastAsiaTheme="minorHAnsi"/>
          <w:i/>
          <w:lang w:val="es-ES"/>
        </w:rPr>
        <w:t>en</w:t>
      </w:r>
      <w:proofErr w:type="gramEnd"/>
      <w:r w:rsidRPr="009768C1">
        <w:rPr>
          <w:rFonts w:eastAsiaTheme="minorHAnsi"/>
          <w:i/>
          <w:lang w:val="es-ES"/>
        </w:rPr>
        <w:t xml:space="preserve"> miles de francos suizos</w:t>
      </w:r>
      <w:r w:rsidR="00812486" w:rsidRPr="009768C1">
        <w:rPr>
          <w:rFonts w:eastAsiaTheme="minorHAnsi" w:cs="Arial"/>
          <w:i/>
          <w:lang w:val="es-ES"/>
        </w:rPr>
        <w:t>)</w:t>
      </w:r>
    </w:p>
    <w:p w:rsidR="00812486" w:rsidRPr="009768C1" w:rsidRDefault="00525078" w:rsidP="00812486">
      <w:pPr>
        <w:rPr>
          <w:rFonts w:asciiTheme="minorHAnsi" w:eastAsiaTheme="minorHAnsi" w:hAnsiTheme="minorHAnsi" w:cstheme="minorBidi"/>
          <w:b/>
          <w:sz w:val="22"/>
          <w:szCs w:val="22"/>
          <w:lang w:val="es-ES"/>
        </w:rPr>
      </w:pPr>
      <w:r w:rsidRPr="00525078">
        <w:rPr>
          <w:rFonts w:eastAsiaTheme="minorHAnsi"/>
          <w:noProof/>
        </w:rPr>
        <w:drawing>
          <wp:inline distT="0" distB="0" distL="0" distR="0" wp14:anchorId="422139AF" wp14:editId="0FAEC7D1">
            <wp:extent cx="6120765" cy="235272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765" cy="2352726"/>
                    </a:xfrm>
                    <a:prstGeom prst="rect">
                      <a:avLst/>
                    </a:prstGeom>
                    <a:noFill/>
                    <a:ln>
                      <a:noFill/>
                    </a:ln>
                  </pic:spPr>
                </pic:pic>
              </a:graphicData>
            </a:graphic>
          </wp:inline>
        </w:drawing>
      </w:r>
    </w:p>
    <w:p w:rsidR="00812486" w:rsidRPr="009768C1" w:rsidRDefault="00812486" w:rsidP="00812486">
      <w:pPr>
        <w:rPr>
          <w:rFonts w:asciiTheme="minorHAnsi" w:eastAsiaTheme="minorHAnsi" w:hAnsiTheme="minorHAnsi" w:cstheme="minorBidi"/>
          <w:b/>
          <w:sz w:val="22"/>
          <w:szCs w:val="22"/>
          <w:lang w:val="es-ES"/>
        </w:rPr>
      </w:pPr>
      <w:r w:rsidRPr="009768C1">
        <w:rPr>
          <w:rFonts w:asciiTheme="minorHAnsi" w:eastAsiaTheme="minorHAnsi" w:hAnsiTheme="minorHAnsi" w:cstheme="minorBidi"/>
          <w:b/>
          <w:sz w:val="22"/>
          <w:szCs w:val="22"/>
          <w:lang w:val="es-ES"/>
        </w:rPr>
        <w:br w:type="page"/>
      </w:r>
    </w:p>
    <w:p w:rsidR="00A43BF2" w:rsidRPr="009768C1" w:rsidRDefault="00A43BF2" w:rsidP="00A43BF2">
      <w:pPr>
        <w:spacing w:after="200" w:line="276" w:lineRule="auto"/>
        <w:rPr>
          <w:u w:val="single"/>
          <w:lang w:val="es-ES"/>
        </w:rPr>
      </w:pPr>
      <w:r w:rsidRPr="009768C1">
        <w:rPr>
          <w:u w:val="single"/>
          <w:lang w:val="es-ES"/>
        </w:rPr>
        <w:lastRenderedPageBreak/>
        <w:t>Recursos de personal</w:t>
      </w:r>
    </w:p>
    <w:p w:rsidR="00A43BF2" w:rsidRPr="009768C1" w:rsidRDefault="002B1270" w:rsidP="00A43BF2">
      <w:pPr>
        <w:spacing w:after="200" w:line="276" w:lineRule="auto"/>
        <w:rPr>
          <w:lang w:val="es-ES"/>
        </w:rPr>
      </w:pPr>
      <w:r w:rsidRPr="009768C1">
        <w:rPr>
          <w:lang w:val="es-ES"/>
        </w:rPr>
        <w:t>En el ejercicio económico 2012/13, l</w:t>
      </w:r>
      <w:r w:rsidR="00A43BF2" w:rsidRPr="009768C1">
        <w:rPr>
          <w:lang w:val="es-ES"/>
        </w:rPr>
        <w:t xml:space="preserve">os recursos de personal fueron de 4,1 millones de francos suizos, </w:t>
      </w:r>
      <w:r w:rsidRPr="009768C1">
        <w:rPr>
          <w:lang w:val="es-ES"/>
        </w:rPr>
        <w:t xml:space="preserve">una cifra </w:t>
      </w:r>
      <w:r w:rsidR="00A43BF2" w:rsidRPr="009768C1">
        <w:rPr>
          <w:lang w:val="es-ES"/>
        </w:rPr>
        <w:t>0,5 millo</w:t>
      </w:r>
      <w:r w:rsidRPr="009768C1">
        <w:rPr>
          <w:lang w:val="es-ES"/>
        </w:rPr>
        <w:t>nes de francos suizos inferior</w:t>
      </w:r>
      <w:r w:rsidR="00A43BF2" w:rsidRPr="009768C1">
        <w:rPr>
          <w:lang w:val="es-ES"/>
        </w:rPr>
        <w:t xml:space="preserve"> </w:t>
      </w:r>
      <w:r w:rsidRPr="009768C1">
        <w:rPr>
          <w:lang w:val="es-ES"/>
        </w:rPr>
        <w:t>a la prevista en el</w:t>
      </w:r>
      <w:r w:rsidR="00A43BF2" w:rsidRPr="009768C1">
        <w:rPr>
          <w:lang w:val="es-ES"/>
        </w:rPr>
        <w:t xml:space="preserve"> presupuesto aprobado de 2012/13.  Esta reducción se </w:t>
      </w:r>
      <w:r w:rsidRPr="009768C1">
        <w:rPr>
          <w:lang w:val="es-ES_tradnl"/>
        </w:rPr>
        <w:t xml:space="preserve">debe a que en este período </w:t>
      </w:r>
      <w:r w:rsidRPr="009768C1">
        <w:rPr>
          <w:lang w:val="es-ES"/>
        </w:rPr>
        <w:t xml:space="preserve">estuvo vacante </w:t>
      </w:r>
      <w:r w:rsidR="00A43BF2" w:rsidRPr="009768C1">
        <w:rPr>
          <w:lang w:val="es-ES"/>
        </w:rPr>
        <w:t xml:space="preserve">uno de los puestos de la categoría profesional y </w:t>
      </w:r>
      <w:r w:rsidRPr="009768C1">
        <w:rPr>
          <w:lang w:val="es-ES"/>
        </w:rPr>
        <w:t>a</w:t>
      </w:r>
      <w:r w:rsidR="00A43BF2" w:rsidRPr="009768C1">
        <w:rPr>
          <w:lang w:val="es-ES"/>
        </w:rPr>
        <w:t xml:space="preserve"> modificaciones de categoría originadas por cambios en el personal</w:t>
      </w:r>
      <w:r w:rsidRPr="009768C1">
        <w:rPr>
          <w:lang w:val="es-ES"/>
        </w:rPr>
        <w:t>.</w:t>
      </w:r>
      <w:r w:rsidR="00A43BF2" w:rsidRPr="009768C1">
        <w:rPr>
          <w:lang w:val="es-ES"/>
        </w:rPr>
        <w:t xml:space="preserve">  Esta reducción de 1,0 mill</w:t>
      </w:r>
      <w:r w:rsidRPr="009768C1">
        <w:rPr>
          <w:lang w:val="es-ES"/>
        </w:rPr>
        <w:t>ón</w:t>
      </w:r>
      <w:r w:rsidR="00A43BF2" w:rsidRPr="009768C1">
        <w:rPr>
          <w:lang w:val="es-ES"/>
        </w:rPr>
        <w:t xml:space="preserve"> de francos suizos en</w:t>
      </w:r>
      <w:r w:rsidR="008A2181" w:rsidRPr="009768C1">
        <w:rPr>
          <w:lang w:val="es-ES"/>
        </w:rPr>
        <w:t xml:space="preserve"> el rubro</w:t>
      </w:r>
      <w:r w:rsidR="00A43BF2" w:rsidRPr="009768C1">
        <w:rPr>
          <w:lang w:val="es-ES"/>
        </w:rPr>
        <w:t xml:space="preserve"> </w:t>
      </w:r>
      <w:r w:rsidR="008A2181" w:rsidRPr="009768C1">
        <w:rPr>
          <w:lang w:val="es-ES"/>
        </w:rPr>
        <w:t>“</w:t>
      </w:r>
      <w:r w:rsidR="00A43BF2" w:rsidRPr="009768C1">
        <w:rPr>
          <w:lang w:val="es-ES"/>
        </w:rPr>
        <w:t>Puestos</w:t>
      </w:r>
      <w:r w:rsidR="008A2181" w:rsidRPr="009768C1">
        <w:rPr>
          <w:rFonts w:eastAsiaTheme="minorHAnsi" w:cs="Arial"/>
          <w:lang w:val="es-ES"/>
        </w:rPr>
        <w:t>”</w:t>
      </w:r>
      <w:r w:rsidR="00A43BF2" w:rsidRPr="009768C1">
        <w:rPr>
          <w:lang w:val="es-ES"/>
        </w:rPr>
        <w:t xml:space="preserve"> se vio compensada por un aumento de 0,5 millones de francos suizos en </w:t>
      </w:r>
      <w:r w:rsidR="008A2181" w:rsidRPr="009768C1">
        <w:rPr>
          <w:lang w:val="es-ES"/>
        </w:rPr>
        <w:t>el rubro “</w:t>
      </w:r>
      <w:r w:rsidR="00A43BF2" w:rsidRPr="009768C1">
        <w:rPr>
          <w:lang w:val="es-ES"/>
        </w:rPr>
        <w:t>Personal temporero</w:t>
      </w:r>
      <w:r w:rsidR="008A2181" w:rsidRPr="009768C1">
        <w:rPr>
          <w:rFonts w:eastAsiaTheme="minorHAnsi" w:cs="Arial"/>
          <w:lang w:val="es-ES"/>
        </w:rPr>
        <w:t>”</w:t>
      </w:r>
      <w:r w:rsidR="00A43BF2" w:rsidRPr="009768C1">
        <w:rPr>
          <w:lang w:val="es-ES"/>
        </w:rPr>
        <w:t xml:space="preserve">.  Dos miembros del personal, que anteriormente trabajaban sobre la base de una jornada laboral del 80% se reincorporaron a un régimen del 100% durante el </w:t>
      </w:r>
      <w:r w:rsidRPr="009768C1">
        <w:rPr>
          <w:lang w:val="es-ES"/>
        </w:rPr>
        <w:t>ejercicio económico</w:t>
      </w:r>
      <w:r w:rsidR="00A43BF2" w:rsidRPr="009768C1">
        <w:rPr>
          <w:lang w:val="es-ES"/>
        </w:rPr>
        <w:t xml:space="preserve"> 2012/13. </w:t>
      </w:r>
    </w:p>
    <w:p w:rsidR="00A43BF2" w:rsidRPr="009768C1" w:rsidRDefault="00A43BF2" w:rsidP="00A43BF2">
      <w:pPr>
        <w:spacing w:after="200" w:line="276" w:lineRule="auto"/>
        <w:rPr>
          <w:u w:val="single"/>
          <w:lang w:val="es-ES"/>
        </w:rPr>
      </w:pPr>
      <w:r w:rsidRPr="009768C1">
        <w:rPr>
          <w:u w:val="single"/>
          <w:lang w:val="es-ES"/>
        </w:rPr>
        <w:t>Recursos no relativos al personal</w:t>
      </w:r>
    </w:p>
    <w:p w:rsidR="00A43BF2" w:rsidRPr="009768C1" w:rsidRDefault="00A43BF2" w:rsidP="00A43BF2">
      <w:pPr>
        <w:spacing w:after="200" w:line="276" w:lineRule="auto"/>
        <w:rPr>
          <w:rFonts w:eastAsiaTheme="minorHAnsi" w:cs="Arial"/>
          <w:lang w:val="es-ES"/>
        </w:rPr>
      </w:pPr>
      <w:r w:rsidRPr="009768C1">
        <w:rPr>
          <w:lang w:val="es-ES"/>
        </w:rPr>
        <w:t xml:space="preserve">El gasto </w:t>
      </w:r>
      <w:r w:rsidR="008A2181" w:rsidRPr="009768C1">
        <w:rPr>
          <w:lang w:val="es-ES"/>
        </w:rPr>
        <w:t xml:space="preserve">en recursos </w:t>
      </w:r>
      <w:r w:rsidRPr="009768C1">
        <w:rPr>
          <w:lang w:val="es-ES"/>
        </w:rPr>
        <w:t>no relativo</w:t>
      </w:r>
      <w:r w:rsidR="008A2181" w:rsidRPr="009768C1">
        <w:rPr>
          <w:lang w:val="es-ES"/>
        </w:rPr>
        <w:t>s</w:t>
      </w:r>
      <w:r w:rsidRPr="009768C1">
        <w:rPr>
          <w:lang w:val="es-ES"/>
        </w:rPr>
        <w:t xml:space="preserve"> al personal fue de 2,2 millones de francos suizos, en consonancia con el objetivo presupuestado (99%</w:t>
      </w:r>
      <w:r w:rsidR="008A2181" w:rsidRPr="009768C1">
        <w:rPr>
          <w:lang w:val="es-ES"/>
        </w:rPr>
        <w:t> </w:t>
      </w:r>
      <w:r w:rsidRPr="009768C1">
        <w:rPr>
          <w:lang w:val="es-ES"/>
        </w:rPr>
        <w:t xml:space="preserve">del presupuesto).  A continuación se facilitan explicaciones por rubro de costos. </w:t>
      </w:r>
    </w:p>
    <w:p w:rsidR="00A43BF2" w:rsidRPr="009768C1" w:rsidRDefault="00A43BF2" w:rsidP="00A43BF2">
      <w:pPr>
        <w:spacing w:after="200" w:line="276" w:lineRule="auto"/>
        <w:rPr>
          <w:rFonts w:eastAsiaTheme="minorHAnsi" w:cs="Arial"/>
          <w:i/>
          <w:lang w:val="es-ES"/>
        </w:rPr>
      </w:pPr>
      <w:r w:rsidRPr="009768C1">
        <w:rPr>
          <w:rFonts w:eastAsiaTheme="minorHAnsi"/>
          <w:i/>
          <w:lang w:val="es-ES"/>
        </w:rPr>
        <w:t>Viajes</w:t>
      </w:r>
    </w:p>
    <w:p w:rsidR="00A43BF2" w:rsidRPr="009768C1" w:rsidRDefault="00A43BF2" w:rsidP="00A43BF2">
      <w:pPr>
        <w:spacing w:after="200" w:line="276" w:lineRule="auto"/>
        <w:rPr>
          <w:rFonts w:eastAsiaTheme="minorHAnsi" w:cs="Arial"/>
          <w:lang w:val="es-ES"/>
        </w:rPr>
      </w:pPr>
      <w:r w:rsidRPr="009768C1">
        <w:rPr>
          <w:lang w:val="es-ES"/>
        </w:rPr>
        <w:t xml:space="preserve">En líneas generales, durante el </w:t>
      </w:r>
      <w:r w:rsidR="008A2181" w:rsidRPr="009768C1">
        <w:rPr>
          <w:lang w:val="es-ES"/>
        </w:rPr>
        <w:t>ejercicio económico</w:t>
      </w:r>
      <w:r w:rsidRPr="009768C1">
        <w:rPr>
          <w:lang w:val="es-ES"/>
        </w:rPr>
        <w:t xml:space="preserve"> 2012/13, los gastos de viaje fueron acordes a los presupuestados (95% del presupuesto).</w:t>
      </w:r>
    </w:p>
    <w:p w:rsidR="00A43BF2" w:rsidRPr="009768C1" w:rsidRDefault="00A43BF2" w:rsidP="00A43BF2">
      <w:pPr>
        <w:spacing w:after="200" w:line="276" w:lineRule="auto"/>
        <w:rPr>
          <w:rFonts w:eastAsiaTheme="minorHAnsi" w:cs="Arial"/>
          <w:i/>
          <w:lang w:val="es-ES"/>
        </w:rPr>
      </w:pPr>
      <w:r w:rsidRPr="009768C1">
        <w:rPr>
          <w:rFonts w:eastAsiaTheme="minorHAnsi"/>
          <w:i/>
          <w:lang w:val="es-ES"/>
        </w:rPr>
        <w:t>Servicios contractuales</w:t>
      </w:r>
    </w:p>
    <w:p w:rsidR="00A43BF2" w:rsidRPr="009768C1" w:rsidRDefault="00A43BF2" w:rsidP="00A43BF2">
      <w:pPr>
        <w:spacing w:after="200" w:line="276" w:lineRule="auto"/>
        <w:rPr>
          <w:rFonts w:eastAsiaTheme="minorHAnsi" w:cs="Arial"/>
          <w:lang w:val="es-ES"/>
        </w:rPr>
      </w:pPr>
      <w:r w:rsidRPr="009768C1">
        <w:rPr>
          <w:lang w:val="es-ES"/>
        </w:rPr>
        <w:t>Los servicios contractuales totales fueron acordes a los costos presupuestados (102%</w:t>
      </w:r>
      <w:r w:rsidR="008A2181" w:rsidRPr="009768C1">
        <w:rPr>
          <w:lang w:val="es-ES"/>
        </w:rPr>
        <w:t> </w:t>
      </w:r>
      <w:r w:rsidRPr="009768C1">
        <w:rPr>
          <w:lang w:val="es-ES"/>
        </w:rPr>
        <w:t>del presupuesto)</w:t>
      </w:r>
      <w:r w:rsidR="001D6C32" w:rsidRPr="009768C1">
        <w:rPr>
          <w:lang w:val="es-ES"/>
        </w:rPr>
        <w:t>.</w:t>
      </w:r>
      <w:r w:rsidR="009545A7">
        <w:rPr>
          <w:lang w:val="es-ES"/>
        </w:rPr>
        <w:t xml:space="preserve">  </w:t>
      </w:r>
      <w:r w:rsidRPr="009768C1">
        <w:rPr>
          <w:lang w:val="es-ES"/>
        </w:rPr>
        <w:t>Los costos de conferencias fueron considerablemente inferiores a los presupuestados, de 175 mil francos suizos frente a 250 mil francos suizos (70% del presupuesto).  Los costos de los servicios contractuales restantes fueron considerablemente superiores a los presupuestados, de 262 mil francos suizos frente a 180 mil francos suizos (146% del presupuesto).  La mayor parte de los costos presupuestados inicialmente en el rubro “Expertos” se incluyeron en el rubro “Otros servicios contractuales” como consecuencia de las modificaciones habidas en los rubros de costos.  El gasto en “Otros servicios contractuales” incluye el incurrido en expertos en tecnología</w:t>
      </w:r>
      <w:r w:rsidR="00B1021A" w:rsidRPr="009768C1">
        <w:rPr>
          <w:lang w:val="es-ES"/>
        </w:rPr>
        <w:t>s</w:t>
      </w:r>
      <w:r w:rsidRPr="009768C1">
        <w:rPr>
          <w:lang w:val="es-ES"/>
        </w:rPr>
        <w:t xml:space="preserve"> </w:t>
      </w:r>
      <w:r w:rsidR="00B1021A" w:rsidRPr="009768C1">
        <w:rPr>
          <w:lang w:val="es-ES"/>
        </w:rPr>
        <w:t>de la información, correspondientes al desarrollo de la versión electrónica del</w:t>
      </w:r>
      <w:r w:rsidRPr="009768C1">
        <w:rPr>
          <w:lang w:val="es-ES"/>
        </w:rPr>
        <w:t xml:space="preserve"> formulario de solicitud y </w:t>
      </w:r>
      <w:r w:rsidR="00B1021A" w:rsidRPr="009768C1">
        <w:rPr>
          <w:lang w:val="es-ES"/>
        </w:rPr>
        <w:t xml:space="preserve">de </w:t>
      </w:r>
      <w:r w:rsidRPr="009768C1">
        <w:rPr>
          <w:lang w:val="es-ES"/>
        </w:rPr>
        <w:t xml:space="preserve">una plantilla electrónica de directrices de examen, expertos que colaboraron con el personal de la UPOV en su labor de desarrollo del curso avanzado de enseñanza a distancia “Examen de las solicitudes de derechos de obtentor” (DL-305) y la gestión del curso DL-205“ Introducción al sistema de la UPOV de protección de las obtenciones vegetales en virtud del Convenio de la UPOV”.  </w:t>
      </w:r>
    </w:p>
    <w:p w:rsidR="00A43BF2" w:rsidRPr="009768C1" w:rsidRDefault="00A43BF2" w:rsidP="00A43BF2">
      <w:pPr>
        <w:spacing w:after="200" w:line="276" w:lineRule="auto"/>
        <w:rPr>
          <w:rFonts w:eastAsiaTheme="minorHAnsi" w:cs="Arial"/>
          <w:i/>
          <w:lang w:val="es-ES"/>
        </w:rPr>
      </w:pPr>
      <w:r w:rsidRPr="009768C1">
        <w:rPr>
          <w:rFonts w:eastAsiaTheme="minorHAnsi"/>
          <w:i/>
          <w:lang w:val="es-ES"/>
        </w:rPr>
        <w:t>Gastos de funcionamiento</w:t>
      </w:r>
    </w:p>
    <w:p w:rsidR="00A43BF2" w:rsidRPr="009768C1" w:rsidRDefault="00A43BF2" w:rsidP="00A43BF2">
      <w:pPr>
        <w:spacing w:after="200" w:line="276" w:lineRule="auto"/>
        <w:rPr>
          <w:rFonts w:eastAsiaTheme="minorHAnsi" w:cs="Arial"/>
          <w:lang w:val="es-ES"/>
        </w:rPr>
      </w:pPr>
      <w:r w:rsidRPr="009768C1">
        <w:rPr>
          <w:lang w:val="es-ES"/>
        </w:rPr>
        <w:t xml:space="preserve">Durante el </w:t>
      </w:r>
      <w:r w:rsidR="00B1021A" w:rsidRPr="009768C1">
        <w:rPr>
          <w:lang w:val="es-ES"/>
        </w:rPr>
        <w:t>ejercicio económico</w:t>
      </w:r>
      <w:r w:rsidRPr="009768C1">
        <w:rPr>
          <w:lang w:val="es-ES"/>
        </w:rPr>
        <w:t xml:space="preserve"> 2012/13, los gastos de funcionamiento fueron acordes a los presupuestados (101% del presupuesto).</w:t>
      </w:r>
    </w:p>
    <w:p w:rsidR="00812486" w:rsidRPr="009768C1" w:rsidRDefault="00812486" w:rsidP="00812486">
      <w:pPr>
        <w:spacing w:after="200" w:line="276" w:lineRule="auto"/>
        <w:rPr>
          <w:rFonts w:eastAsiaTheme="minorHAnsi" w:cs="Arial"/>
          <w:i/>
          <w:lang w:val="es-ES"/>
        </w:rPr>
      </w:pPr>
      <w:r w:rsidRPr="009768C1">
        <w:rPr>
          <w:rFonts w:eastAsiaTheme="minorHAnsi" w:cs="Arial"/>
          <w:i/>
          <w:lang w:val="es-ES"/>
        </w:rPr>
        <w:t>Equip</w:t>
      </w:r>
      <w:r w:rsidR="00B1021A" w:rsidRPr="009768C1">
        <w:rPr>
          <w:rFonts w:eastAsiaTheme="minorHAnsi" w:cs="Arial"/>
          <w:i/>
          <w:lang w:val="es-ES"/>
        </w:rPr>
        <w:t>o y suministros</w:t>
      </w:r>
    </w:p>
    <w:p w:rsidR="00A43BF2" w:rsidRPr="009768C1" w:rsidRDefault="00A43BF2" w:rsidP="00A43BF2">
      <w:pPr>
        <w:spacing w:after="200" w:line="276" w:lineRule="auto"/>
        <w:rPr>
          <w:rFonts w:eastAsiaTheme="minorHAnsi" w:cs="Arial"/>
          <w:lang w:val="es-ES"/>
        </w:rPr>
      </w:pPr>
      <w:r w:rsidRPr="009768C1">
        <w:rPr>
          <w:lang w:val="es-ES"/>
        </w:rPr>
        <w:t xml:space="preserve">El gasto en equipo y suministros para el </w:t>
      </w:r>
      <w:r w:rsidR="00B1021A" w:rsidRPr="009768C1">
        <w:rPr>
          <w:lang w:val="es-ES"/>
        </w:rPr>
        <w:t>ejercicio económico</w:t>
      </w:r>
      <w:r w:rsidRPr="009768C1">
        <w:rPr>
          <w:lang w:val="es-ES"/>
        </w:rPr>
        <w:t xml:space="preserve"> 2012/13 fue, en líneas generales, acorde al presupuestado (90%).</w:t>
      </w:r>
    </w:p>
    <w:p w:rsidR="00812486" w:rsidRPr="009768C1" w:rsidRDefault="00812486" w:rsidP="00812486">
      <w:pPr>
        <w:rPr>
          <w:rFonts w:asciiTheme="minorHAnsi" w:eastAsiaTheme="minorHAnsi" w:hAnsiTheme="minorHAnsi" w:cstheme="minorBidi"/>
          <w:sz w:val="22"/>
          <w:szCs w:val="22"/>
          <w:lang w:val="es-ES"/>
        </w:rPr>
      </w:pPr>
      <w:r w:rsidRPr="009768C1">
        <w:rPr>
          <w:rFonts w:asciiTheme="minorHAnsi" w:eastAsiaTheme="minorHAnsi" w:hAnsiTheme="minorHAnsi" w:cstheme="minorBidi"/>
          <w:sz w:val="22"/>
          <w:szCs w:val="22"/>
          <w:lang w:val="es-ES"/>
        </w:rPr>
        <w:br w:type="page"/>
      </w:r>
    </w:p>
    <w:p w:rsidR="00A43BF2" w:rsidRPr="009768C1" w:rsidRDefault="00A43BF2" w:rsidP="00A43BF2">
      <w:pPr>
        <w:spacing w:after="200" w:line="276" w:lineRule="auto"/>
        <w:rPr>
          <w:rFonts w:eastAsiaTheme="minorHAnsi" w:cs="Arial"/>
          <w:lang w:val="es-ES"/>
        </w:rPr>
      </w:pPr>
      <w:r w:rsidRPr="009768C1">
        <w:rPr>
          <w:lang w:val="es-ES"/>
        </w:rPr>
        <w:lastRenderedPageBreak/>
        <w:t>E</w:t>
      </w:r>
      <w:r w:rsidR="00B1021A" w:rsidRPr="009768C1">
        <w:rPr>
          <w:lang w:val="es-ES"/>
        </w:rPr>
        <w:t>n el cuadro 5 se</w:t>
      </w:r>
      <w:r w:rsidRPr="009768C1">
        <w:rPr>
          <w:lang w:val="es-ES"/>
        </w:rPr>
        <w:t xml:space="preserve"> </w:t>
      </w:r>
      <w:r w:rsidR="00B1021A" w:rsidRPr="009768C1">
        <w:rPr>
          <w:lang w:val="es-ES"/>
        </w:rPr>
        <w:t xml:space="preserve">presenta el </w:t>
      </w:r>
      <w:r w:rsidRPr="009768C1">
        <w:rPr>
          <w:lang w:val="es-ES"/>
        </w:rPr>
        <w:t xml:space="preserve">desglose del gasto </w:t>
      </w:r>
      <w:r w:rsidR="00B1021A" w:rsidRPr="009768C1">
        <w:rPr>
          <w:lang w:val="es-ES"/>
        </w:rPr>
        <w:t>por subprograma y por rubro de costos correspondiente a</w:t>
      </w:r>
      <w:r w:rsidRPr="009768C1">
        <w:rPr>
          <w:lang w:val="es-ES"/>
        </w:rPr>
        <w:t xml:space="preserve">l </w:t>
      </w:r>
      <w:r w:rsidR="00B1021A" w:rsidRPr="009768C1">
        <w:rPr>
          <w:lang w:val="es-ES"/>
        </w:rPr>
        <w:t>ejercicio económico</w:t>
      </w:r>
      <w:r w:rsidRPr="009768C1">
        <w:rPr>
          <w:lang w:val="es-ES"/>
        </w:rPr>
        <w:t xml:space="preserve"> 2012/13.  </w:t>
      </w:r>
    </w:p>
    <w:p w:rsidR="00A43BF2" w:rsidRPr="009768C1" w:rsidRDefault="00A43BF2" w:rsidP="00035B8B">
      <w:pPr>
        <w:pStyle w:val="Heading3"/>
      </w:pPr>
      <w:bookmarkStart w:id="20" w:name="_Toc397086212"/>
      <w:bookmarkStart w:id="21" w:name="_Toc397086711"/>
      <w:r w:rsidRPr="009768C1">
        <w:t>Cuadro 5</w:t>
      </w:r>
      <w:r w:rsidR="001D6C32" w:rsidRPr="009768C1">
        <w:t xml:space="preserve">.  </w:t>
      </w:r>
      <w:r w:rsidRPr="009768C1">
        <w:t xml:space="preserve">Desglose del gasto por subprograma </w:t>
      </w:r>
      <w:r w:rsidR="00B1021A" w:rsidRPr="009768C1">
        <w:t>correspondiente a</w:t>
      </w:r>
      <w:r w:rsidRPr="009768C1">
        <w:t xml:space="preserve">l </w:t>
      </w:r>
      <w:r w:rsidR="00B1021A" w:rsidRPr="009768C1">
        <w:t xml:space="preserve">ejercicio económico </w:t>
      </w:r>
      <w:r w:rsidRPr="009768C1">
        <w:t>2012/13</w:t>
      </w:r>
      <w:bookmarkEnd w:id="20"/>
      <w:bookmarkEnd w:id="21"/>
    </w:p>
    <w:p w:rsidR="00812486" w:rsidRPr="009768C1" w:rsidRDefault="00A43BF2" w:rsidP="00A43BF2">
      <w:pPr>
        <w:spacing w:after="200" w:line="276" w:lineRule="auto"/>
        <w:jc w:val="center"/>
        <w:rPr>
          <w:rFonts w:eastAsiaTheme="minorHAnsi" w:cs="Arial"/>
          <w:i/>
          <w:lang w:val="es-ES"/>
        </w:rPr>
      </w:pPr>
      <w:r w:rsidRPr="009768C1">
        <w:rPr>
          <w:rFonts w:eastAsiaTheme="minorHAnsi"/>
          <w:i/>
          <w:lang w:val="es-ES"/>
        </w:rPr>
        <w:t>(</w:t>
      </w:r>
      <w:proofErr w:type="gramStart"/>
      <w:r w:rsidRPr="009768C1">
        <w:rPr>
          <w:rFonts w:eastAsiaTheme="minorHAnsi"/>
          <w:i/>
          <w:lang w:val="es-ES"/>
        </w:rPr>
        <w:t>en</w:t>
      </w:r>
      <w:proofErr w:type="gramEnd"/>
      <w:r w:rsidRPr="009768C1">
        <w:rPr>
          <w:rFonts w:eastAsiaTheme="minorHAnsi"/>
          <w:i/>
          <w:lang w:val="es-ES"/>
        </w:rPr>
        <w:t xml:space="preserve"> miles de francos suizos)</w:t>
      </w:r>
    </w:p>
    <w:p w:rsidR="00812486" w:rsidRPr="009768C1" w:rsidRDefault="00525078" w:rsidP="00812486">
      <w:pPr>
        <w:spacing w:after="200" w:line="276" w:lineRule="auto"/>
        <w:rPr>
          <w:rFonts w:eastAsiaTheme="minorHAnsi" w:cs="Arial"/>
          <w:lang w:val="es-ES"/>
        </w:rPr>
      </w:pPr>
      <w:r w:rsidRPr="00525078">
        <w:rPr>
          <w:rFonts w:eastAsiaTheme="minorHAnsi"/>
          <w:noProof/>
        </w:rPr>
        <w:drawing>
          <wp:inline distT="0" distB="0" distL="0" distR="0" wp14:anchorId="3F345D37" wp14:editId="56E8DAF9">
            <wp:extent cx="6120765" cy="447353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4473534"/>
                    </a:xfrm>
                    <a:prstGeom prst="rect">
                      <a:avLst/>
                    </a:prstGeom>
                    <a:noFill/>
                    <a:ln>
                      <a:noFill/>
                    </a:ln>
                  </pic:spPr>
                </pic:pic>
              </a:graphicData>
            </a:graphic>
          </wp:inline>
        </w:drawing>
      </w:r>
    </w:p>
    <w:p w:rsidR="00812486" w:rsidRPr="009768C1" w:rsidRDefault="00812486" w:rsidP="00812486">
      <w:pPr>
        <w:spacing w:after="200" w:line="276" w:lineRule="auto"/>
        <w:rPr>
          <w:rFonts w:eastAsiaTheme="minorHAnsi" w:cs="Arial"/>
          <w:lang w:val="es-ES"/>
        </w:rPr>
      </w:pPr>
    </w:p>
    <w:p w:rsidR="00B058F2" w:rsidRPr="009768C1" w:rsidRDefault="00E41B1D" w:rsidP="00B058F2">
      <w:pPr>
        <w:spacing w:after="200" w:line="276" w:lineRule="auto"/>
        <w:rPr>
          <w:rFonts w:eastAsiaTheme="minorHAnsi" w:cs="Arial"/>
          <w:lang w:val="es-ES"/>
        </w:rPr>
      </w:pPr>
      <w:r w:rsidRPr="009768C1">
        <w:rPr>
          <w:rFonts w:eastAsiaTheme="minorHAnsi" w:cs="Arial"/>
        </w:rPr>
        <w:fldChar w:fldCharType="begin"/>
      </w:r>
      <w:r w:rsidR="00B058F2" w:rsidRPr="009768C1">
        <w:rPr>
          <w:rFonts w:eastAsiaTheme="minorHAnsi" w:cs="Arial"/>
          <w:lang w:val="es-ES"/>
        </w:rPr>
        <w:instrText xml:space="preserve"> AUTONUM  </w:instrText>
      </w:r>
      <w:r w:rsidRPr="009768C1">
        <w:rPr>
          <w:rFonts w:eastAsiaTheme="minorHAnsi" w:cs="Arial"/>
        </w:rPr>
        <w:fldChar w:fldCharType="end"/>
      </w:r>
      <w:r w:rsidR="00B058F2" w:rsidRPr="009768C1">
        <w:rPr>
          <w:lang w:val="es-ES"/>
        </w:rPr>
        <w:tab/>
        <w:t xml:space="preserve">Tal como se indica en el cuadro 6, no hubo cambios en el número total de puestos y su desglose por categorías durante el </w:t>
      </w:r>
      <w:r w:rsidR="00B1021A" w:rsidRPr="009768C1">
        <w:rPr>
          <w:lang w:val="es-ES"/>
        </w:rPr>
        <w:t>ejercicio económico</w:t>
      </w:r>
      <w:r w:rsidR="00B058F2" w:rsidRPr="009768C1">
        <w:rPr>
          <w:lang w:val="es-ES"/>
        </w:rPr>
        <w:t xml:space="preserve"> 2012/13. </w:t>
      </w:r>
    </w:p>
    <w:p w:rsidR="00812486" w:rsidRPr="009768C1" w:rsidRDefault="00B058F2" w:rsidP="00035B8B">
      <w:pPr>
        <w:pStyle w:val="Heading3"/>
      </w:pPr>
      <w:bookmarkStart w:id="22" w:name="_Toc397086213"/>
      <w:bookmarkStart w:id="23" w:name="_Toc397086712"/>
      <w:r w:rsidRPr="009768C1">
        <w:t>Cuadro 6</w:t>
      </w:r>
      <w:r w:rsidR="001D6C32" w:rsidRPr="009768C1">
        <w:t xml:space="preserve">.  </w:t>
      </w:r>
      <w:r w:rsidRPr="009768C1">
        <w:t xml:space="preserve">Puestos presupuestados y efectivos para el </w:t>
      </w:r>
      <w:r w:rsidR="00B1021A" w:rsidRPr="009768C1">
        <w:t>ejercicio económico </w:t>
      </w:r>
      <w:r w:rsidRPr="009768C1">
        <w:t>2012/13</w:t>
      </w:r>
      <w:bookmarkEnd w:id="22"/>
      <w:bookmarkEnd w:id="23"/>
    </w:p>
    <w:p w:rsidR="00812486" w:rsidRPr="009768C1" w:rsidRDefault="00812486" w:rsidP="00812486">
      <w:pPr>
        <w:rPr>
          <w:rFonts w:eastAsiaTheme="minorHAnsi"/>
          <w:lang w:val="es-ES"/>
        </w:rPr>
      </w:pPr>
    </w:p>
    <w:p w:rsidR="00812486" w:rsidRPr="009768C1" w:rsidRDefault="00525078" w:rsidP="00525078">
      <w:pPr>
        <w:spacing w:after="200" w:line="276" w:lineRule="auto"/>
        <w:rPr>
          <w:rFonts w:eastAsiaTheme="minorHAnsi" w:cs="Arial"/>
          <w:lang w:val="es-ES"/>
        </w:rPr>
      </w:pPr>
      <w:r w:rsidRPr="00525078">
        <w:rPr>
          <w:rFonts w:eastAsiaTheme="minorHAnsi"/>
          <w:noProof/>
        </w:rPr>
        <w:drawing>
          <wp:inline distT="0" distB="0" distL="0" distR="0" wp14:anchorId="3E25740C" wp14:editId="3DE1D849">
            <wp:extent cx="4057650" cy="15716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57650" cy="1571625"/>
                    </a:xfrm>
                    <a:prstGeom prst="rect">
                      <a:avLst/>
                    </a:prstGeom>
                    <a:noFill/>
                    <a:ln>
                      <a:noFill/>
                    </a:ln>
                  </pic:spPr>
                </pic:pic>
              </a:graphicData>
            </a:graphic>
          </wp:inline>
        </w:drawing>
      </w:r>
    </w:p>
    <w:p w:rsidR="00B058F2" w:rsidRPr="009768C1" w:rsidRDefault="00B058F2" w:rsidP="00B058F2">
      <w:pPr>
        <w:spacing w:after="200" w:line="276" w:lineRule="auto"/>
        <w:rPr>
          <w:rFonts w:eastAsiaTheme="minorHAnsi" w:cs="Arial"/>
          <w:lang w:val="es-ES"/>
        </w:rPr>
      </w:pPr>
      <w:r w:rsidRPr="009768C1">
        <w:rPr>
          <w:lang w:val="es-ES"/>
        </w:rPr>
        <w:t xml:space="preserve">En el programa y el presupuesto para el bienio 2012-2013 se previeron tres puestos en la categoría de director y tres puestos en la categoría profesional.  Sin embargo, debido a cambios imprevistos </w:t>
      </w:r>
      <w:r w:rsidR="00B1021A" w:rsidRPr="009768C1">
        <w:rPr>
          <w:lang w:val="es-ES"/>
        </w:rPr>
        <w:t xml:space="preserve">en el </w:t>
      </w:r>
      <w:r w:rsidRPr="009768C1">
        <w:rPr>
          <w:lang w:val="es-ES"/>
        </w:rPr>
        <w:t xml:space="preserve"> personal, el número real de puestos fue de dos en la categoría de director y cuatro en la categoría profesional.</w:t>
      </w:r>
    </w:p>
    <w:p w:rsidR="00B058F2" w:rsidRPr="009768C1" w:rsidRDefault="00B058F2" w:rsidP="00B058F2">
      <w:pPr>
        <w:keepNext/>
        <w:spacing w:after="200" w:line="276" w:lineRule="auto"/>
        <w:rPr>
          <w:rFonts w:eastAsiaTheme="minorHAnsi" w:cs="Arial"/>
          <w:lang w:val="es-ES"/>
        </w:rPr>
      </w:pPr>
      <w:r w:rsidRPr="009768C1">
        <w:rPr>
          <w:lang w:val="es-ES"/>
        </w:rPr>
        <w:lastRenderedPageBreak/>
        <w:t xml:space="preserve">Por último, en el cuadro 7 se presenta la evolución global de los ingresos y los gastos reales sobre una base presupuestaria durante el período 2008 a 2013. </w:t>
      </w:r>
    </w:p>
    <w:p w:rsidR="00B058F2" w:rsidRPr="009768C1" w:rsidRDefault="00B058F2" w:rsidP="00035B8B">
      <w:pPr>
        <w:pStyle w:val="Heading3"/>
      </w:pPr>
      <w:bookmarkStart w:id="24" w:name="_Toc397086214"/>
      <w:bookmarkStart w:id="25" w:name="_Toc397086713"/>
      <w:r w:rsidRPr="009768C1">
        <w:t>Cuadro 7</w:t>
      </w:r>
      <w:r w:rsidR="001D6C32" w:rsidRPr="009768C1">
        <w:t xml:space="preserve">.  </w:t>
      </w:r>
      <w:r w:rsidRPr="009768C1">
        <w:t>Evolución de los ingresos y los gastos reales durante el período 2008-2013</w:t>
      </w:r>
      <w:bookmarkEnd w:id="24"/>
      <w:bookmarkEnd w:id="25"/>
    </w:p>
    <w:p w:rsidR="00812486" w:rsidRPr="009768C1" w:rsidRDefault="00B058F2" w:rsidP="00B058F2">
      <w:pPr>
        <w:spacing w:after="200" w:line="276" w:lineRule="auto"/>
        <w:jc w:val="center"/>
        <w:rPr>
          <w:rFonts w:eastAsiaTheme="minorHAnsi" w:cs="Arial"/>
          <w:i/>
          <w:lang w:val="es-ES"/>
        </w:rPr>
      </w:pPr>
      <w:r w:rsidRPr="009768C1">
        <w:rPr>
          <w:rFonts w:eastAsiaTheme="minorHAnsi"/>
          <w:i/>
          <w:lang w:val="es-ES"/>
        </w:rPr>
        <w:t>(</w:t>
      </w:r>
      <w:proofErr w:type="gramStart"/>
      <w:r w:rsidRPr="009768C1">
        <w:rPr>
          <w:rFonts w:eastAsiaTheme="minorHAnsi"/>
          <w:i/>
          <w:lang w:val="es-ES"/>
        </w:rPr>
        <w:t>en</w:t>
      </w:r>
      <w:proofErr w:type="gramEnd"/>
      <w:r w:rsidRPr="009768C1">
        <w:rPr>
          <w:rFonts w:eastAsiaTheme="minorHAnsi"/>
          <w:i/>
          <w:lang w:val="es-ES"/>
        </w:rPr>
        <w:t xml:space="preserve"> miles de francos suizos</w:t>
      </w:r>
      <w:r w:rsidR="00812486" w:rsidRPr="009768C1">
        <w:rPr>
          <w:rFonts w:eastAsiaTheme="minorHAnsi" w:cs="Arial"/>
          <w:i/>
          <w:lang w:val="es-ES"/>
        </w:rPr>
        <w:t>)</w:t>
      </w:r>
    </w:p>
    <w:p w:rsidR="00812486" w:rsidRPr="009768C1" w:rsidRDefault="00525078" w:rsidP="00525078">
      <w:pPr>
        <w:spacing w:after="200" w:line="276" w:lineRule="auto"/>
        <w:ind w:left="567"/>
        <w:rPr>
          <w:rFonts w:asciiTheme="minorHAnsi" w:eastAsiaTheme="minorHAnsi" w:hAnsiTheme="minorHAnsi" w:cstheme="minorBidi"/>
          <w:b/>
          <w:sz w:val="22"/>
          <w:szCs w:val="22"/>
          <w:lang w:val="es-ES"/>
        </w:rPr>
      </w:pPr>
      <w:r w:rsidRPr="00525078">
        <w:rPr>
          <w:rFonts w:eastAsiaTheme="minorHAnsi"/>
          <w:noProof/>
        </w:rPr>
        <w:drawing>
          <wp:inline distT="0" distB="0" distL="0" distR="0" wp14:anchorId="1C333FE3" wp14:editId="7526B95C">
            <wp:extent cx="5057775" cy="1400175"/>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57775" cy="1400175"/>
                    </a:xfrm>
                    <a:prstGeom prst="rect">
                      <a:avLst/>
                    </a:prstGeom>
                    <a:noFill/>
                    <a:ln>
                      <a:noFill/>
                    </a:ln>
                  </pic:spPr>
                </pic:pic>
              </a:graphicData>
            </a:graphic>
          </wp:inline>
        </w:drawing>
      </w:r>
    </w:p>
    <w:p w:rsidR="00812486" w:rsidRPr="009768C1" w:rsidRDefault="00525078" w:rsidP="00525078">
      <w:pPr>
        <w:spacing w:after="200" w:line="276" w:lineRule="auto"/>
        <w:ind w:left="567"/>
        <w:rPr>
          <w:rFonts w:asciiTheme="minorHAnsi" w:eastAsiaTheme="minorHAnsi" w:hAnsiTheme="minorHAnsi" w:cstheme="minorBidi"/>
          <w:b/>
          <w:sz w:val="22"/>
          <w:szCs w:val="22"/>
          <w:lang w:val="es-ES"/>
        </w:rPr>
      </w:pPr>
      <w:r w:rsidRPr="00525078">
        <w:rPr>
          <w:rFonts w:eastAsiaTheme="minorHAnsi"/>
          <w:noProof/>
        </w:rPr>
        <w:drawing>
          <wp:inline distT="0" distB="0" distL="0" distR="0" wp14:anchorId="69A1ECB7" wp14:editId="040310B6">
            <wp:extent cx="4772025" cy="27908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72025" cy="2790825"/>
                    </a:xfrm>
                    <a:prstGeom prst="rect">
                      <a:avLst/>
                    </a:prstGeom>
                    <a:noFill/>
                    <a:ln>
                      <a:noFill/>
                    </a:ln>
                  </pic:spPr>
                </pic:pic>
              </a:graphicData>
            </a:graphic>
          </wp:inline>
        </w:drawing>
      </w:r>
    </w:p>
    <w:p w:rsidR="00812486" w:rsidRPr="009768C1" w:rsidRDefault="00812486" w:rsidP="00812486">
      <w:pPr>
        <w:spacing w:after="200" w:line="276" w:lineRule="auto"/>
        <w:rPr>
          <w:lang w:val="es-ES"/>
        </w:rPr>
      </w:pPr>
    </w:p>
    <w:p w:rsidR="00812486" w:rsidRPr="009768C1" w:rsidRDefault="00812486" w:rsidP="00812486">
      <w:pPr>
        <w:rPr>
          <w:lang w:val="es-ES"/>
        </w:rPr>
      </w:pPr>
    </w:p>
    <w:p w:rsidR="00812486" w:rsidRPr="009768C1" w:rsidRDefault="00812486" w:rsidP="00812486">
      <w:pPr>
        <w:rPr>
          <w:lang w:val="es-ES"/>
        </w:rPr>
      </w:pPr>
    </w:p>
    <w:p w:rsidR="00812486" w:rsidRPr="009768C1" w:rsidRDefault="00812486" w:rsidP="00812486">
      <w:pPr>
        <w:rPr>
          <w:lang w:val="es-ES"/>
        </w:rPr>
      </w:pPr>
      <w:r w:rsidRPr="009768C1">
        <w:rPr>
          <w:lang w:val="es-ES"/>
        </w:rPr>
        <w:br w:type="page"/>
      </w:r>
    </w:p>
    <w:p w:rsidR="00B058F2" w:rsidRPr="009768C1" w:rsidRDefault="00B058F2" w:rsidP="0008624C">
      <w:pPr>
        <w:pStyle w:val="Heading1"/>
      </w:pPr>
      <w:bookmarkStart w:id="26" w:name="_Toc397086215"/>
      <w:bookmarkStart w:id="27" w:name="_Toc397086714"/>
      <w:r w:rsidRPr="009768C1">
        <w:lastRenderedPageBreak/>
        <w:t>INVERSIONES</w:t>
      </w:r>
      <w:bookmarkEnd w:id="26"/>
      <w:bookmarkEnd w:id="27"/>
    </w:p>
    <w:p w:rsidR="00B058F2" w:rsidRPr="009768C1" w:rsidRDefault="00B058F2" w:rsidP="00B058F2">
      <w:pPr>
        <w:rPr>
          <w:lang w:val="es-ES"/>
        </w:rPr>
      </w:pPr>
    </w:p>
    <w:p w:rsidR="00B058F2" w:rsidRPr="009768C1" w:rsidRDefault="00B058F2" w:rsidP="00B058F2">
      <w:pPr>
        <w:spacing w:after="200" w:line="276" w:lineRule="auto"/>
        <w:rPr>
          <w:lang w:val="es-ES"/>
        </w:rPr>
      </w:pPr>
      <w:r w:rsidRPr="009768C1">
        <w:rPr>
          <w:lang w:val="es-ES"/>
        </w:rPr>
        <w:t>De conformidad con el artículo 4.10 del Reglamento Financiero y Reglamentación Financiera de la UPOV, el Secretario General podrá realizar inversiones a corto plazo con las sumas que no se precisen para atender las necesidades inmediatas, de acuerdo con la política de la UPOV en materia de inversiones aprobada por el Consejo, e informará periódicamente al Comité Consultivo acerca de las inversiones que haya efectuado.</w:t>
      </w:r>
    </w:p>
    <w:p w:rsidR="00B058F2" w:rsidRPr="009768C1" w:rsidRDefault="00B058F2" w:rsidP="00B058F2">
      <w:pPr>
        <w:spacing w:after="200" w:line="276" w:lineRule="auto"/>
        <w:rPr>
          <w:lang w:val="es-ES"/>
        </w:rPr>
      </w:pPr>
      <w:r w:rsidRPr="009768C1">
        <w:rPr>
          <w:lang w:val="es-ES"/>
        </w:rPr>
        <w:t xml:space="preserve">Además, de conformidad con el artículo 4.11, el Secretario General podrá invertir a largo plazo las sumas existentes en el haber de la UPOV, de acuerdo con la política de la UPOV en materia de inversiones aprobada por el Consejo, e informará periódicamente al Comité Consultivo de dichas inversiones.  La UPOV se rige por la misma política de inversiones </w:t>
      </w:r>
      <w:r w:rsidR="001D518E" w:rsidRPr="009768C1">
        <w:rPr>
          <w:lang w:val="es-ES"/>
        </w:rPr>
        <w:t>que</w:t>
      </w:r>
      <w:r w:rsidRPr="009768C1">
        <w:rPr>
          <w:lang w:val="es-ES"/>
        </w:rPr>
        <w:t xml:space="preserve"> la OMPI y, </w:t>
      </w:r>
      <w:r w:rsidR="001D518E" w:rsidRPr="009768C1">
        <w:rPr>
          <w:lang w:val="es-ES"/>
        </w:rPr>
        <w:t xml:space="preserve">en </w:t>
      </w:r>
      <w:r w:rsidRPr="009768C1">
        <w:rPr>
          <w:lang w:val="es-ES"/>
        </w:rPr>
        <w:t>consecuencia, las inversiones se realizan como sigue:</w:t>
      </w:r>
    </w:p>
    <w:p w:rsidR="00B058F2" w:rsidRPr="009768C1" w:rsidRDefault="001D518E" w:rsidP="00B058F2">
      <w:pPr>
        <w:ind w:left="567" w:hanging="567"/>
        <w:rPr>
          <w:lang w:val="es-ES"/>
        </w:rPr>
      </w:pPr>
      <w:r w:rsidRPr="009768C1">
        <w:rPr>
          <w:lang w:val="es-ES"/>
        </w:rPr>
        <w:t>a)</w:t>
      </w:r>
      <w:r w:rsidRPr="009768C1">
        <w:rPr>
          <w:lang w:val="es-ES"/>
        </w:rPr>
        <w:tab/>
      </w:r>
      <w:r w:rsidR="00B058F2" w:rsidRPr="009768C1">
        <w:rPr>
          <w:lang w:val="es-ES"/>
        </w:rPr>
        <w:t>Todas las inversiones de la OMPI en francos suizos serán efectuadas en el Banco Nacional Suizo (BNS) siempre y cuando el tipo de interés ofrecido por dicha entidad sea superior al que ofrezcan los bancos comerciales poseedores de la calificación crediticia exigida.</w:t>
      </w:r>
    </w:p>
    <w:p w:rsidR="00B058F2" w:rsidRPr="009768C1" w:rsidRDefault="00B058F2" w:rsidP="00B058F2">
      <w:pPr>
        <w:rPr>
          <w:lang w:val="es-ES"/>
        </w:rPr>
      </w:pPr>
    </w:p>
    <w:p w:rsidR="00B058F2" w:rsidRPr="009768C1" w:rsidRDefault="00B058F2" w:rsidP="00B058F2">
      <w:pPr>
        <w:ind w:left="567" w:hanging="567"/>
        <w:rPr>
          <w:lang w:val="es-ES"/>
        </w:rPr>
      </w:pPr>
      <w:r w:rsidRPr="009768C1">
        <w:rPr>
          <w:lang w:val="es-ES"/>
        </w:rPr>
        <w:t>b)</w:t>
      </w:r>
      <w:r w:rsidRPr="009768C1">
        <w:rPr>
          <w:lang w:val="es-ES"/>
        </w:rPr>
        <w:tab/>
        <w:t xml:space="preserve">Las inversiones distintas de las efectuadas en el BNS se limitarán a fondos del mercado monetario y a depósitos a plazo en bancos poseedores de una calificación crediticia de nivel AA-/Aa3 (Standard and </w:t>
      </w:r>
      <w:proofErr w:type="spellStart"/>
      <w:r w:rsidRPr="009768C1">
        <w:rPr>
          <w:lang w:val="es-ES"/>
        </w:rPr>
        <w:t>Poor's</w:t>
      </w:r>
      <w:proofErr w:type="spellEnd"/>
      <w:r w:rsidRPr="009768C1">
        <w:rPr>
          <w:lang w:val="es-ES"/>
        </w:rPr>
        <w:t xml:space="preserve"> / </w:t>
      </w:r>
      <w:proofErr w:type="spellStart"/>
      <w:r w:rsidRPr="009768C1">
        <w:rPr>
          <w:lang w:val="es-ES"/>
        </w:rPr>
        <w:t>Moody's</w:t>
      </w:r>
      <w:proofErr w:type="spellEnd"/>
      <w:r w:rsidRPr="009768C1">
        <w:rPr>
          <w:lang w:val="es-ES"/>
        </w:rPr>
        <w:t>) o superior y a bonos de empresas o gubernamentales de elevada calidad que tengan una calificación crediticia de nivel AA-/Aa3 o superior.</w:t>
      </w:r>
    </w:p>
    <w:p w:rsidR="00B058F2" w:rsidRPr="009768C1" w:rsidRDefault="00B058F2" w:rsidP="00B058F2">
      <w:pPr>
        <w:rPr>
          <w:lang w:val="es-ES"/>
        </w:rPr>
      </w:pPr>
    </w:p>
    <w:p w:rsidR="00B058F2" w:rsidRPr="009768C1" w:rsidRDefault="00B058F2" w:rsidP="00B058F2">
      <w:pPr>
        <w:ind w:left="567" w:hanging="567"/>
        <w:rPr>
          <w:lang w:val="es-ES"/>
        </w:rPr>
      </w:pPr>
      <w:r w:rsidRPr="009768C1">
        <w:rPr>
          <w:lang w:val="es-ES"/>
        </w:rPr>
        <w:t>c)</w:t>
      </w:r>
      <w:r w:rsidRPr="009768C1">
        <w:rPr>
          <w:lang w:val="es-ES"/>
        </w:rPr>
        <w:tab/>
        <w:t>Los importes mantenidos en nombre de fondos fiduciarios (cuentas especiales) se invertirán en efectos del mercado monetario y depósitos a plazo en bancos que tengan la calificación crediticia exigida.</w:t>
      </w:r>
    </w:p>
    <w:p w:rsidR="00B058F2" w:rsidRPr="009768C1" w:rsidRDefault="00B058F2" w:rsidP="00B058F2">
      <w:pPr>
        <w:rPr>
          <w:lang w:val="es-ES"/>
        </w:rPr>
      </w:pPr>
    </w:p>
    <w:p w:rsidR="00812486" w:rsidRPr="009768C1" w:rsidRDefault="00B058F2" w:rsidP="00B058F2">
      <w:pPr>
        <w:rPr>
          <w:lang w:val="es-ES"/>
        </w:rPr>
      </w:pPr>
      <w:r w:rsidRPr="009768C1">
        <w:rPr>
          <w:lang w:val="es-ES"/>
        </w:rPr>
        <w:t xml:space="preserve">En el cuadro siguiente se detallan las inversiones realizadas durante el bienio.  Nótese que con arreglo a la Política de inversiones, la Organización se ve actualmente impedida de efectuar depósitos en dos de sus bancos tradicionales, como son UBS y </w:t>
      </w:r>
      <w:proofErr w:type="spellStart"/>
      <w:r w:rsidRPr="009768C1">
        <w:rPr>
          <w:lang w:val="es-ES"/>
        </w:rPr>
        <w:t>Crédit</w:t>
      </w:r>
      <w:proofErr w:type="spellEnd"/>
      <w:r w:rsidRPr="009768C1">
        <w:rPr>
          <w:lang w:val="es-ES"/>
        </w:rPr>
        <w:t xml:space="preserve"> </w:t>
      </w:r>
      <w:proofErr w:type="spellStart"/>
      <w:r w:rsidRPr="009768C1">
        <w:rPr>
          <w:lang w:val="es-ES"/>
        </w:rPr>
        <w:t>Suisse</w:t>
      </w:r>
      <w:proofErr w:type="spellEnd"/>
      <w:r w:rsidRPr="009768C1">
        <w:rPr>
          <w:lang w:val="es-ES"/>
        </w:rPr>
        <w:t>, por cuanto sus respectivas calificaciones crediticias a largo plazo no alcanzan el nivel mínimo estipulado en la Política</w:t>
      </w:r>
      <w:r w:rsidR="00BB030F" w:rsidRPr="009768C1">
        <w:rPr>
          <w:lang w:val="es-ES"/>
        </w:rPr>
        <w:t>.</w:t>
      </w:r>
    </w:p>
    <w:p w:rsidR="00812486" w:rsidRPr="009768C1" w:rsidRDefault="00812486" w:rsidP="00812486">
      <w:pPr>
        <w:rPr>
          <w:lang w:val="es-ES"/>
        </w:rPr>
      </w:pPr>
    </w:p>
    <w:p w:rsidR="00812486" w:rsidRDefault="009F00DB" w:rsidP="00812486">
      <w:pPr>
        <w:rPr>
          <w:lang w:val="es-ES"/>
        </w:rPr>
      </w:pPr>
      <w:r w:rsidRPr="009F00DB">
        <w:rPr>
          <w:noProof/>
        </w:rPr>
        <w:lastRenderedPageBreak/>
        <w:drawing>
          <wp:inline distT="0" distB="0" distL="0" distR="0" wp14:anchorId="04A4BCA2" wp14:editId="3EE55444">
            <wp:extent cx="5686425" cy="53435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86425" cy="5343525"/>
                    </a:xfrm>
                    <a:prstGeom prst="rect">
                      <a:avLst/>
                    </a:prstGeom>
                    <a:noFill/>
                    <a:ln>
                      <a:noFill/>
                    </a:ln>
                  </pic:spPr>
                </pic:pic>
              </a:graphicData>
            </a:graphic>
          </wp:inline>
        </w:drawing>
      </w:r>
    </w:p>
    <w:p w:rsidR="009F00DB" w:rsidRDefault="009F00DB" w:rsidP="00812486">
      <w:pPr>
        <w:rPr>
          <w:lang w:val="es-ES"/>
        </w:rPr>
      </w:pPr>
    </w:p>
    <w:p w:rsidR="009F00DB" w:rsidRPr="009768C1" w:rsidRDefault="009F00DB" w:rsidP="00812486">
      <w:pPr>
        <w:rPr>
          <w:lang w:val="es-ES"/>
        </w:rPr>
      </w:pPr>
    </w:p>
    <w:p w:rsidR="00812486" w:rsidRPr="009768C1" w:rsidRDefault="00812486" w:rsidP="00812486">
      <w:pPr>
        <w:rPr>
          <w:lang w:val="es-ES"/>
        </w:rPr>
      </w:pPr>
    </w:p>
    <w:p w:rsidR="00B058F2" w:rsidRPr="009768C1" w:rsidRDefault="00B058F2" w:rsidP="0008624C">
      <w:pPr>
        <w:pStyle w:val="Heading1"/>
      </w:pPr>
      <w:bookmarkStart w:id="28" w:name="_Toc397086216"/>
      <w:bookmarkStart w:id="29" w:name="_Toc397086715"/>
      <w:r w:rsidRPr="009768C1">
        <w:t>ESTADOS FINANCIEROS</w:t>
      </w:r>
      <w:bookmarkEnd w:id="28"/>
      <w:bookmarkEnd w:id="29"/>
    </w:p>
    <w:p w:rsidR="00B058F2" w:rsidRPr="009768C1" w:rsidRDefault="00B058F2" w:rsidP="00B058F2">
      <w:pPr>
        <w:spacing w:after="200" w:line="276" w:lineRule="auto"/>
        <w:jc w:val="center"/>
        <w:rPr>
          <w:b/>
          <w:u w:val="single"/>
          <w:lang w:val="es-ES"/>
        </w:rPr>
      </w:pPr>
    </w:p>
    <w:p w:rsidR="00B058F2" w:rsidRPr="009768C1" w:rsidRDefault="00B058F2" w:rsidP="00B058F2">
      <w:pPr>
        <w:spacing w:after="200" w:line="276" w:lineRule="auto"/>
        <w:rPr>
          <w:lang w:val="es-ES"/>
        </w:rPr>
      </w:pPr>
      <w:r w:rsidRPr="009768C1">
        <w:rPr>
          <w:lang w:val="es-ES"/>
        </w:rPr>
        <w:t xml:space="preserve">Se han elaborado los estados financieros de la UPOV con arreglo a las Normas Internacionales de Contabilidad del Sector Público (IPSAS) para cada </w:t>
      </w:r>
      <w:r w:rsidR="00BB030F" w:rsidRPr="009768C1">
        <w:rPr>
          <w:lang w:val="es-ES"/>
        </w:rPr>
        <w:t>año</w:t>
      </w:r>
      <w:r w:rsidRPr="009768C1">
        <w:rPr>
          <w:lang w:val="es-ES"/>
        </w:rPr>
        <w:t xml:space="preserve"> del bienio 2012/13</w:t>
      </w:r>
      <w:r w:rsidR="001D6C32" w:rsidRPr="009768C1">
        <w:rPr>
          <w:lang w:val="es-ES"/>
        </w:rPr>
        <w:t xml:space="preserve">.  </w:t>
      </w:r>
      <w:r w:rsidRPr="009768C1">
        <w:rPr>
          <w:lang w:val="es-ES"/>
        </w:rPr>
        <w:t>Hasta el bienio 2010/11, los estados financieros se elaboraban de conformidad con las Normas de Contabilidad del Sistema de las Naciones Unidas (UNSAS) y eran auditados bienalmente.</w:t>
      </w:r>
    </w:p>
    <w:p w:rsidR="00812486" w:rsidRPr="009768C1" w:rsidRDefault="00B058F2" w:rsidP="00B058F2">
      <w:pPr>
        <w:spacing w:after="200" w:line="276" w:lineRule="auto"/>
        <w:rPr>
          <w:b/>
          <w:lang w:val="es-ES"/>
        </w:rPr>
      </w:pPr>
      <w:r w:rsidRPr="009768C1">
        <w:rPr>
          <w:b/>
          <w:lang w:val="es-ES"/>
        </w:rPr>
        <w:t>La transición a las IPSAS</w:t>
      </w:r>
    </w:p>
    <w:p w:rsidR="00812486" w:rsidRPr="009768C1" w:rsidRDefault="00A14D8B" w:rsidP="00812486">
      <w:pPr>
        <w:spacing w:after="200" w:line="276" w:lineRule="auto"/>
        <w:rPr>
          <w:szCs w:val="22"/>
          <w:lang w:val="es-ES"/>
        </w:rPr>
      </w:pPr>
      <w:r w:rsidRPr="009768C1">
        <w:rPr>
          <w:szCs w:val="22"/>
          <w:lang w:val="es-ES"/>
        </w:rPr>
        <w:t xml:space="preserve">En su cuadragésima quinta sesión ordinaria, celebrada en Ginebra el 20 de octubre de 2011, el Consejo acordó la adopción de las IPSAS a partir del ejercicio financiero que comienza en 2012 (véase el párrafo 9.b) del documento C/45/18 “Informe”).  </w:t>
      </w:r>
      <w:r w:rsidR="00B058F2" w:rsidRPr="009768C1">
        <w:rPr>
          <w:lang w:val="es-ES"/>
        </w:rPr>
        <w:t>En virtud de ese acuerdo se sustituyeron las normas de contabilidad que se utilizaban hasta entonces por las IPSAS, que están reconocidas internacionalmente</w:t>
      </w:r>
      <w:r w:rsidR="001D6C32" w:rsidRPr="009768C1">
        <w:rPr>
          <w:lang w:val="es-ES"/>
        </w:rPr>
        <w:t xml:space="preserve">.  </w:t>
      </w:r>
      <w:r w:rsidR="00B058F2" w:rsidRPr="009768C1">
        <w:rPr>
          <w:lang w:val="es-ES"/>
        </w:rPr>
        <w:t>Las normas IPSAS han sido elaboradas por la Junta de Normas Internacionales de Contabilidad del Sector Público (IPSASB), que forma parte de la Federación Internacional de Expertos Contables (IFAC).</w:t>
      </w:r>
    </w:p>
    <w:p w:rsidR="00812486" w:rsidRPr="009768C1" w:rsidRDefault="00B058F2" w:rsidP="00812486">
      <w:pPr>
        <w:spacing w:after="200" w:line="276" w:lineRule="auto"/>
        <w:rPr>
          <w:b/>
          <w:szCs w:val="22"/>
          <w:lang w:val="es-ES"/>
        </w:rPr>
      </w:pPr>
      <w:r w:rsidRPr="009768C1">
        <w:rPr>
          <w:b/>
          <w:lang w:val="es-ES"/>
        </w:rPr>
        <w:t>Las ventajas que reportan las IPSAS</w:t>
      </w:r>
    </w:p>
    <w:p w:rsidR="00B058F2" w:rsidRPr="009768C1" w:rsidRDefault="00B058F2" w:rsidP="00B058F2">
      <w:pPr>
        <w:pStyle w:val="Default"/>
        <w:jc w:val="both"/>
        <w:rPr>
          <w:color w:val="auto"/>
          <w:sz w:val="20"/>
          <w:szCs w:val="20"/>
          <w:lang w:val="es-ES"/>
        </w:rPr>
      </w:pPr>
      <w:r w:rsidRPr="009768C1">
        <w:rPr>
          <w:color w:val="auto"/>
          <w:sz w:val="20"/>
          <w:lang w:val="es-ES"/>
        </w:rPr>
        <w:t xml:space="preserve">La adopción de las IPSAS significa la aplicación de unas normas de contabilidad que representan las mejores prácticas de gestión y </w:t>
      </w:r>
      <w:r w:rsidR="003C31D3" w:rsidRPr="009768C1">
        <w:rPr>
          <w:color w:val="auto"/>
          <w:sz w:val="20"/>
          <w:lang w:val="es-ES"/>
        </w:rPr>
        <w:t>están</w:t>
      </w:r>
      <w:r w:rsidR="00BB030F" w:rsidRPr="009768C1">
        <w:rPr>
          <w:color w:val="auto"/>
          <w:sz w:val="20"/>
          <w:lang w:val="es-ES"/>
        </w:rPr>
        <w:t xml:space="preserve"> al día de los últimos avances </w:t>
      </w:r>
      <w:r w:rsidRPr="009768C1">
        <w:rPr>
          <w:color w:val="auto"/>
          <w:sz w:val="20"/>
          <w:lang w:val="es-ES"/>
        </w:rPr>
        <w:t>en materia financiera</w:t>
      </w:r>
      <w:r w:rsidR="001D6C32" w:rsidRPr="009768C1">
        <w:rPr>
          <w:color w:val="auto"/>
          <w:sz w:val="20"/>
          <w:lang w:val="es-ES"/>
        </w:rPr>
        <w:t xml:space="preserve">.  </w:t>
      </w:r>
      <w:r w:rsidRPr="009768C1">
        <w:rPr>
          <w:color w:val="auto"/>
          <w:sz w:val="20"/>
          <w:lang w:val="es-ES"/>
        </w:rPr>
        <w:t xml:space="preserve">Propiciará </w:t>
      </w:r>
      <w:r w:rsidRPr="009768C1">
        <w:rPr>
          <w:color w:val="auto"/>
          <w:sz w:val="20"/>
          <w:lang w:val="es-ES"/>
        </w:rPr>
        <w:lastRenderedPageBreak/>
        <w:t xml:space="preserve">asimismo una mayor comparabilidad de los estados financieros con otras organizaciones internacionales y Gobiernos nacionales. </w:t>
      </w:r>
    </w:p>
    <w:p w:rsidR="00B058F2" w:rsidRPr="009768C1" w:rsidRDefault="00B058F2" w:rsidP="00B058F2">
      <w:pPr>
        <w:pStyle w:val="Default"/>
        <w:jc w:val="both"/>
        <w:rPr>
          <w:color w:val="auto"/>
          <w:sz w:val="20"/>
          <w:szCs w:val="20"/>
          <w:lang w:val="es-ES"/>
        </w:rPr>
      </w:pPr>
    </w:p>
    <w:p w:rsidR="00B058F2" w:rsidRPr="009768C1" w:rsidRDefault="00B058F2" w:rsidP="00B058F2">
      <w:pPr>
        <w:pStyle w:val="Default"/>
        <w:jc w:val="both"/>
        <w:rPr>
          <w:color w:val="auto"/>
          <w:sz w:val="20"/>
          <w:szCs w:val="20"/>
          <w:lang w:val="es-ES"/>
        </w:rPr>
      </w:pPr>
      <w:r w:rsidRPr="009768C1">
        <w:rPr>
          <w:color w:val="auto"/>
          <w:sz w:val="20"/>
          <w:lang w:val="es-ES"/>
        </w:rPr>
        <w:t xml:space="preserve">Los estados financieros elaborados de conformidad con las IPSAS facilitan una mejor comprensión de los activos, pasivos, ingresos y gastos de la UPOV. </w:t>
      </w:r>
      <w:r w:rsidR="00BB030F" w:rsidRPr="009768C1">
        <w:rPr>
          <w:color w:val="auto"/>
          <w:sz w:val="20"/>
          <w:lang w:val="es-ES"/>
        </w:rPr>
        <w:t xml:space="preserve"> </w:t>
      </w:r>
      <w:r w:rsidRPr="009768C1">
        <w:rPr>
          <w:color w:val="auto"/>
          <w:sz w:val="20"/>
          <w:lang w:val="es-ES"/>
        </w:rPr>
        <w:t>La mayor transparencia en lo que respecta a los activos y pasivos permite ejercer un mayor control interno y una mejor gestión de los recursos</w:t>
      </w:r>
      <w:r w:rsidR="001D6C32" w:rsidRPr="009768C1">
        <w:rPr>
          <w:color w:val="auto"/>
          <w:sz w:val="20"/>
          <w:lang w:val="es-ES"/>
        </w:rPr>
        <w:t xml:space="preserve">.  </w:t>
      </w:r>
      <w:r w:rsidRPr="009768C1">
        <w:rPr>
          <w:color w:val="auto"/>
          <w:sz w:val="20"/>
          <w:lang w:val="es-ES"/>
        </w:rPr>
        <w:t>Una información completa en torno a los ingresos y los gastos proporciona un soporte más adecuado para la toma de decisiones y la planificación estratégica.</w:t>
      </w:r>
    </w:p>
    <w:p w:rsidR="00B058F2" w:rsidRPr="009768C1" w:rsidRDefault="00B058F2" w:rsidP="00B058F2">
      <w:pPr>
        <w:pStyle w:val="Default"/>
        <w:jc w:val="both"/>
        <w:rPr>
          <w:color w:val="auto"/>
          <w:sz w:val="20"/>
          <w:szCs w:val="20"/>
          <w:lang w:val="es-ES"/>
        </w:rPr>
      </w:pPr>
    </w:p>
    <w:p w:rsidR="00B058F2" w:rsidRPr="009768C1" w:rsidRDefault="00B058F2" w:rsidP="00B058F2">
      <w:pPr>
        <w:spacing w:after="200" w:line="276" w:lineRule="auto"/>
        <w:rPr>
          <w:lang w:val="es-ES"/>
        </w:rPr>
      </w:pPr>
      <w:r w:rsidRPr="009768C1">
        <w:rPr>
          <w:lang w:val="es-ES"/>
        </w:rPr>
        <w:t>El resultado es la elaboración de estados financieros de mejor calidad, transparencia y fiabilidad que brindan a todas las partes interesadas una información más detallada y pertinente</w:t>
      </w:r>
      <w:r w:rsidR="001D6C32" w:rsidRPr="009768C1">
        <w:rPr>
          <w:lang w:val="es-ES"/>
        </w:rPr>
        <w:t xml:space="preserve">.  </w:t>
      </w:r>
      <w:r w:rsidRPr="009768C1">
        <w:rPr>
          <w:lang w:val="es-ES"/>
        </w:rPr>
        <w:t>Los Estados miembros disponen ahora de un conjunto de estados financieros que reflejan el pleno costo de la gestión de las actividades de la UPOV, incluidos los elementos no aprehendidos por los presupuestos convencionales-</w:t>
      </w:r>
    </w:p>
    <w:p w:rsidR="00B058F2" w:rsidRPr="009768C1" w:rsidRDefault="00B058F2" w:rsidP="00B058F2">
      <w:pPr>
        <w:spacing w:after="200" w:line="276" w:lineRule="auto"/>
        <w:rPr>
          <w:b/>
          <w:lang w:val="es-ES"/>
        </w:rPr>
      </w:pPr>
      <w:r w:rsidRPr="009768C1">
        <w:rPr>
          <w:b/>
          <w:lang w:val="es-ES"/>
        </w:rPr>
        <w:t>La incidencia contable de las IPSAS</w:t>
      </w:r>
    </w:p>
    <w:p w:rsidR="00812486" w:rsidRPr="009768C1" w:rsidRDefault="00B058F2" w:rsidP="00B058F2">
      <w:pPr>
        <w:autoSpaceDE w:val="0"/>
        <w:autoSpaceDN w:val="0"/>
        <w:adjustRightInd w:val="0"/>
        <w:rPr>
          <w:szCs w:val="22"/>
          <w:lang w:val="es-ES"/>
        </w:rPr>
      </w:pPr>
      <w:r w:rsidRPr="009768C1">
        <w:rPr>
          <w:lang w:val="es-ES"/>
        </w:rPr>
        <w:t>La aplicación de las IPSAS conlleva la introducción de la base contable integral de acumulación (o devengo), lo que representa un cambio considerable respecto al criterio de devengo modificado que se aplicaba con las UNSAS</w:t>
      </w:r>
      <w:r w:rsidR="001D6C32" w:rsidRPr="009768C1">
        <w:rPr>
          <w:lang w:val="es-ES"/>
        </w:rPr>
        <w:t xml:space="preserve">.  </w:t>
      </w:r>
      <w:r w:rsidRPr="009768C1">
        <w:rPr>
          <w:lang w:val="es-ES"/>
        </w:rPr>
        <w:t xml:space="preserve">La contabilidad de devengo implica el reconocimiento de las transacciones y de los hechos en el momento en que tienen lugar, lo que significa que se </w:t>
      </w:r>
      <w:r w:rsidR="00F751EF" w:rsidRPr="009768C1">
        <w:rPr>
          <w:lang w:val="es-ES"/>
        </w:rPr>
        <w:t>asientan en los registros contables</w:t>
      </w:r>
      <w:r w:rsidRPr="009768C1">
        <w:rPr>
          <w:lang w:val="es-ES"/>
        </w:rPr>
        <w:t xml:space="preserve"> y se reflejan en los estados financieros de los ejercicios a los que corresponden y no solo cuando se percibe o se paga dinero en efectivo o su equivalente</w:t>
      </w:r>
      <w:proofErr w:type="gramStart"/>
      <w:r w:rsidRPr="009768C1">
        <w:rPr>
          <w:lang w:val="es-ES"/>
        </w:rPr>
        <w:t>.</w:t>
      </w:r>
      <w:r w:rsidR="00812486" w:rsidRPr="009768C1">
        <w:rPr>
          <w:lang w:val="es-ES"/>
        </w:rPr>
        <w:t>.</w:t>
      </w:r>
      <w:proofErr w:type="gramEnd"/>
    </w:p>
    <w:p w:rsidR="00812486" w:rsidRPr="009768C1" w:rsidRDefault="00812486" w:rsidP="00812486">
      <w:pPr>
        <w:autoSpaceDE w:val="0"/>
        <w:autoSpaceDN w:val="0"/>
        <w:adjustRightInd w:val="0"/>
        <w:rPr>
          <w:szCs w:val="22"/>
          <w:lang w:val="es-ES"/>
        </w:rPr>
      </w:pPr>
    </w:p>
    <w:p w:rsidR="00812486" w:rsidRPr="009768C1" w:rsidRDefault="00A14D8B" w:rsidP="00812486">
      <w:pPr>
        <w:autoSpaceDE w:val="0"/>
        <w:autoSpaceDN w:val="0"/>
        <w:adjustRightInd w:val="0"/>
        <w:rPr>
          <w:szCs w:val="22"/>
          <w:lang w:val="es-ES"/>
        </w:rPr>
      </w:pPr>
      <w:r w:rsidRPr="009768C1">
        <w:rPr>
          <w:lang w:val="es-ES"/>
        </w:rPr>
        <w:t>Conforme a las IPSAS, los ingresos procedentes de las contribuciones y de los fondos extrapresupuestarios (fondos fiduciarios) se contabilizan en el momento en que se cumple el derecho de la UPOV a percibir la contribución</w:t>
      </w:r>
      <w:r w:rsidR="00812486" w:rsidRPr="009768C1">
        <w:rPr>
          <w:lang w:val="es-ES"/>
        </w:rPr>
        <w:t>.</w:t>
      </w:r>
      <w:r w:rsidRPr="009768C1">
        <w:rPr>
          <w:lang w:val="es-ES"/>
        </w:rPr>
        <w:t xml:space="preserve"> </w:t>
      </w:r>
      <w:r w:rsidR="00812486" w:rsidRPr="009768C1">
        <w:rPr>
          <w:lang w:val="es-ES"/>
        </w:rPr>
        <w:t xml:space="preserve"> </w:t>
      </w:r>
      <w:r w:rsidR="00B058F2" w:rsidRPr="009768C1">
        <w:rPr>
          <w:lang w:val="es-ES"/>
        </w:rPr>
        <w:t>Las contribuciones que se adeudan a la UPOV se indican en un saldo por cobrar, pero los importes aún pendientes de anteriores ejercicios se deducen del saldo total</w:t>
      </w:r>
      <w:r w:rsidR="001D6C32" w:rsidRPr="009768C1">
        <w:rPr>
          <w:lang w:val="es-ES"/>
        </w:rPr>
        <w:t xml:space="preserve">.  </w:t>
      </w:r>
      <w:r w:rsidR="00B058F2" w:rsidRPr="009768C1">
        <w:rPr>
          <w:lang w:val="es-ES"/>
        </w:rPr>
        <w:t>Los acuerdos de contribución voluntaria se examinan para determinar si es necesario que la UPOV cumpla unas condiciones relativas a resultados específicos, en cuyo caso los ingresos se reconocen únicamente cuando se satisfacen las condiciones</w:t>
      </w:r>
      <w:r w:rsidR="00812486" w:rsidRPr="009768C1">
        <w:rPr>
          <w:lang w:val="es-ES"/>
        </w:rPr>
        <w:t xml:space="preserve">. </w:t>
      </w:r>
    </w:p>
    <w:p w:rsidR="00812486" w:rsidRPr="009768C1" w:rsidRDefault="00812486" w:rsidP="00812486">
      <w:pPr>
        <w:rPr>
          <w:szCs w:val="22"/>
          <w:lang w:val="es-ES"/>
        </w:rPr>
      </w:pPr>
    </w:p>
    <w:p w:rsidR="00812486" w:rsidRPr="009768C1" w:rsidRDefault="00A14D8B" w:rsidP="00812486">
      <w:pPr>
        <w:rPr>
          <w:lang w:val="es-ES"/>
        </w:rPr>
      </w:pPr>
      <w:r w:rsidRPr="009768C1">
        <w:rPr>
          <w:lang w:val="es-ES"/>
        </w:rPr>
        <w:t>El valor de las prestaciones futuras a los empleados (por ejemplo las vacaciones anuales acumuladas, las primas de repatriación o el seguro médico tras la separación del servicio) que han devengado en favor de los miembros del personal de la UPOV pero que estos no han percibido aún se registra ahora para aprehender el pleno coste del empleo de personal.  En los anteriores estados financieros, estos tipos de prestaciones solo se registraban como gasto en el momento de ser pagadas</w:t>
      </w:r>
      <w:r w:rsidR="00812486" w:rsidRPr="009768C1">
        <w:rPr>
          <w:szCs w:val="22"/>
          <w:lang w:val="es-ES"/>
        </w:rPr>
        <w:t>.</w:t>
      </w:r>
    </w:p>
    <w:p w:rsidR="00812486" w:rsidRPr="009768C1" w:rsidRDefault="00812486" w:rsidP="00812486">
      <w:pPr>
        <w:rPr>
          <w:szCs w:val="22"/>
          <w:lang w:val="es-ES"/>
        </w:rPr>
      </w:pPr>
    </w:p>
    <w:p w:rsidR="00812486" w:rsidRPr="009768C1" w:rsidRDefault="00A14D8B" w:rsidP="00812486">
      <w:pPr>
        <w:spacing w:after="200" w:line="276" w:lineRule="auto"/>
        <w:rPr>
          <w:szCs w:val="22"/>
          <w:lang w:val="es-ES"/>
        </w:rPr>
      </w:pPr>
      <w:r w:rsidRPr="009768C1">
        <w:rPr>
          <w:szCs w:val="22"/>
          <w:lang w:val="es-ES"/>
        </w:rPr>
        <w:t>En la actualidad, la aplicación de las IPSAS no afecta a la elaboración del programa y presupuesto, que se presenta aún según el criterio de devengo modificado.  Dado que este criterio es distinto de la base contable integral de devengo que se aplica a los estados financieros, las IPSAS exigen que se efectúe una conciliación entre el presupuesto y los estados financieros principales</w:t>
      </w:r>
      <w:r w:rsidR="00812486" w:rsidRPr="009768C1">
        <w:rPr>
          <w:szCs w:val="22"/>
          <w:lang w:val="es-ES"/>
        </w:rPr>
        <w:t>.</w:t>
      </w:r>
    </w:p>
    <w:p w:rsidR="00B058F2" w:rsidRPr="009768C1" w:rsidRDefault="00812486" w:rsidP="00B058F2">
      <w:pPr>
        <w:spacing w:after="200" w:line="276" w:lineRule="auto"/>
        <w:rPr>
          <w:b/>
          <w:szCs w:val="22"/>
          <w:lang w:val="es-ES"/>
        </w:rPr>
      </w:pPr>
      <w:r w:rsidRPr="009768C1">
        <w:rPr>
          <w:szCs w:val="22"/>
          <w:lang w:val="es-ES"/>
        </w:rPr>
        <w:br w:type="page"/>
      </w:r>
      <w:r w:rsidR="00B058F2" w:rsidRPr="009768C1">
        <w:rPr>
          <w:b/>
          <w:lang w:val="es-ES"/>
        </w:rPr>
        <w:lastRenderedPageBreak/>
        <w:t>Presentación de la información financiera con arreglo a las IPSAS</w:t>
      </w:r>
    </w:p>
    <w:p w:rsidR="00B058F2" w:rsidRPr="009768C1" w:rsidRDefault="00B058F2" w:rsidP="00B058F2">
      <w:pPr>
        <w:autoSpaceDE w:val="0"/>
        <w:autoSpaceDN w:val="0"/>
        <w:adjustRightInd w:val="0"/>
        <w:rPr>
          <w:rFonts w:cs="Arial"/>
          <w:lang w:val="es-ES"/>
        </w:rPr>
      </w:pPr>
      <w:r w:rsidRPr="009768C1">
        <w:rPr>
          <w:lang w:val="es-ES"/>
        </w:rPr>
        <w:t>Dado que las IPSAS exigen la presentación de estados financieros anuales, la UPOV elabora actualmente un juego de estados financieros separados para cada año de civil del bienio</w:t>
      </w:r>
      <w:r w:rsidR="001D6C32" w:rsidRPr="009768C1">
        <w:rPr>
          <w:lang w:val="es-ES"/>
        </w:rPr>
        <w:t xml:space="preserve">.  </w:t>
      </w:r>
      <w:r w:rsidRPr="009768C1">
        <w:rPr>
          <w:lang w:val="es-ES"/>
        </w:rPr>
        <w:t>Dichos estados financieros se presentan separadamente del Informe de gestión financiera</w:t>
      </w:r>
      <w:r w:rsidR="001D6C32" w:rsidRPr="009768C1">
        <w:rPr>
          <w:lang w:val="es-ES"/>
        </w:rPr>
        <w:t xml:space="preserve">;  </w:t>
      </w:r>
      <w:r w:rsidRPr="009768C1">
        <w:rPr>
          <w:lang w:val="es-ES"/>
        </w:rPr>
        <w:t>para acceder a la información financiera completa de la Organización preparada con arreglo a las IPSAS, es preciso consultar los estados financieros anuales de la UPOV</w:t>
      </w:r>
      <w:r w:rsidR="001D6C32" w:rsidRPr="009768C1">
        <w:rPr>
          <w:lang w:val="es-ES"/>
        </w:rPr>
        <w:t xml:space="preserve">.  </w:t>
      </w:r>
      <w:r w:rsidRPr="009768C1">
        <w:rPr>
          <w:lang w:val="es-ES"/>
        </w:rPr>
        <w:t xml:space="preserve">De conformidad con las IPSAS, los estados financieros incluyen los siguientes elementos: </w:t>
      </w:r>
    </w:p>
    <w:p w:rsidR="00B058F2" w:rsidRPr="009768C1" w:rsidRDefault="00B058F2" w:rsidP="00B058F2">
      <w:pPr>
        <w:autoSpaceDE w:val="0"/>
        <w:autoSpaceDN w:val="0"/>
        <w:adjustRightInd w:val="0"/>
        <w:rPr>
          <w:rFonts w:cs="Arial"/>
          <w:lang w:val="es-ES"/>
        </w:rPr>
      </w:pPr>
    </w:p>
    <w:p w:rsidR="00B058F2" w:rsidRPr="009768C1" w:rsidRDefault="00B058F2" w:rsidP="00B058F2">
      <w:pPr>
        <w:numPr>
          <w:ilvl w:val="0"/>
          <w:numId w:val="22"/>
        </w:numPr>
        <w:autoSpaceDE w:val="0"/>
        <w:autoSpaceDN w:val="0"/>
        <w:adjustRightInd w:val="0"/>
        <w:rPr>
          <w:rFonts w:cs="Arial"/>
          <w:lang w:val="es-ES"/>
        </w:rPr>
      </w:pPr>
      <w:r w:rsidRPr="009768C1">
        <w:rPr>
          <w:lang w:val="es-ES"/>
        </w:rPr>
        <w:t xml:space="preserve">Estado financiero I - Estado de la situación financiera </w:t>
      </w:r>
    </w:p>
    <w:p w:rsidR="00B058F2" w:rsidRPr="009768C1" w:rsidRDefault="00B058F2" w:rsidP="00B058F2">
      <w:pPr>
        <w:numPr>
          <w:ilvl w:val="0"/>
          <w:numId w:val="22"/>
        </w:numPr>
        <w:autoSpaceDE w:val="0"/>
        <w:autoSpaceDN w:val="0"/>
        <w:adjustRightInd w:val="0"/>
        <w:rPr>
          <w:rFonts w:cs="Arial"/>
          <w:lang w:val="es-ES"/>
        </w:rPr>
      </w:pPr>
      <w:r w:rsidRPr="009768C1">
        <w:rPr>
          <w:lang w:val="es-ES"/>
        </w:rPr>
        <w:t xml:space="preserve">Estado financiero II - Estado de rendimiento financiero </w:t>
      </w:r>
    </w:p>
    <w:p w:rsidR="00B058F2" w:rsidRPr="009768C1" w:rsidRDefault="00B058F2" w:rsidP="00B058F2">
      <w:pPr>
        <w:numPr>
          <w:ilvl w:val="0"/>
          <w:numId w:val="22"/>
        </w:numPr>
        <w:autoSpaceDE w:val="0"/>
        <w:autoSpaceDN w:val="0"/>
        <w:adjustRightInd w:val="0"/>
        <w:rPr>
          <w:rFonts w:cs="Arial"/>
          <w:lang w:val="es-ES"/>
        </w:rPr>
      </w:pPr>
      <w:r w:rsidRPr="009768C1">
        <w:rPr>
          <w:lang w:val="es-ES"/>
        </w:rPr>
        <w:t xml:space="preserve">Estado financiero III - Estado de cambios en los activos netos </w:t>
      </w:r>
    </w:p>
    <w:p w:rsidR="00B058F2" w:rsidRPr="009768C1" w:rsidRDefault="00B058F2" w:rsidP="00B058F2">
      <w:pPr>
        <w:numPr>
          <w:ilvl w:val="0"/>
          <w:numId w:val="22"/>
        </w:numPr>
        <w:autoSpaceDE w:val="0"/>
        <w:autoSpaceDN w:val="0"/>
        <w:adjustRightInd w:val="0"/>
        <w:rPr>
          <w:rFonts w:cs="Arial"/>
          <w:lang w:val="es-ES"/>
        </w:rPr>
      </w:pPr>
      <w:r w:rsidRPr="009768C1">
        <w:rPr>
          <w:lang w:val="es-ES"/>
        </w:rPr>
        <w:t xml:space="preserve">Estado financiero IV - Estado de flujos de efectivo </w:t>
      </w:r>
    </w:p>
    <w:p w:rsidR="00B058F2" w:rsidRPr="009768C1" w:rsidRDefault="00B058F2" w:rsidP="00B058F2">
      <w:pPr>
        <w:numPr>
          <w:ilvl w:val="0"/>
          <w:numId w:val="22"/>
        </w:numPr>
        <w:autoSpaceDE w:val="0"/>
        <w:autoSpaceDN w:val="0"/>
        <w:adjustRightInd w:val="0"/>
        <w:rPr>
          <w:rFonts w:cs="Arial"/>
          <w:lang w:val="es-ES"/>
        </w:rPr>
      </w:pPr>
      <w:r w:rsidRPr="009768C1">
        <w:rPr>
          <w:lang w:val="es-ES"/>
        </w:rPr>
        <w:t xml:space="preserve">Estado financiero V - Estado comparativo de importes presupuestados y reales </w:t>
      </w:r>
    </w:p>
    <w:p w:rsidR="00B058F2" w:rsidRPr="009768C1" w:rsidRDefault="00B058F2" w:rsidP="00B058F2">
      <w:pPr>
        <w:numPr>
          <w:ilvl w:val="0"/>
          <w:numId w:val="22"/>
        </w:numPr>
        <w:autoSpaceDE w:val="0"/>
        <w:autoSpaceDN w:val="0"/>
        <w:adjustRightInd w:val="0"/>
        <w:rPr>
          <w:rFonts w:cs="Arial"/>
        </w:rPr>
      </w:pPr>
      <w:proofErr w:type="spellStart"/>
      <w:r w:rsidRPr="009768C1">
        <w:t>Notas</w:t>
      </w:r>
      <w:proofErr w:type="spellEnd"/>
      <w:r w:rsidRPr="009768C1">
        <w:t xml:space="preserve"> </w:t>
      </w:r>
      <w:proofErr w:type="spellStart"/>
      <w:r w:rsidRPr="009768C1">
        <w:t>sobre</w:t>
      </w:r>
      <w:proofErr w:type="spellEnd"/>
      <w:r w:rsidRPr="009768C1">
        <w:t xml:space="preserve"> los </w:t>
      </w:r>
      <w:proofErr w:type="spellStart"/>
      <w:r w:rsidRPr="009768C1">
        <w:t>estados</w:t>
      </w:r>
      <w:proofErr w:type="spellEnd"/>
      <w:r w:rsidRPr="009768C1">
        <w:t xml:space="preserve"> </w:t>
      </w:r>
      <w:proofErr w:type="spellStart"/>
      <w:r w:rsidRPr="009768C1">
        <w:t>financieros</w:t>
      </w:r>
      <w:proofErr w:type="spellEnd"/>
      <w:r w:rsidRPr="009768C1">
        <w:t xml:space="preserve"> </w:t>
      </w:r>
    </w:p>
    <w:p w:rsidR="00B058F2" w:rsidRPr="009768C1" w:rsidRDefault="00B058F2" w:rsidP="00B058F2">
      <w:pPr>
        <w:autoSpaceDE w:val="0"/>
        <w:autoSpaceDN w:val="0"/>
        <w:adjustRightInd w:val="0"/>
        <w:rPr>
          <w:rFonts w:cs="Arial"/>
        </w:rPr>
      </w:pPr>
    </w:p>
    <w:p w:rsidR="00B058F2" w:rsidRPr="009768C1" w:rsidRDefault="00B058F2" w:rsidP="00B058F2">
      <w:pPr>
        <w:autoSpaceDE w:val="0"/>
        <w:autoSpaceDN w:val="0"/>
        <w:adjustRightInd w:val="0"/>
        <w:rPr>
          <w:rFonts w:cs="Arial"/>
          <w:lang w:val="es-ES"/>
        </w:rPr>
      </w:pPr>
      <w:r w:rsidRPr="009768C1">
        <w:rPr>
          <w:lang w:val="es-ES"/>
        </w:rPr>
        <w:t>En el informe de gestión financiera, se presentan los estados financieros I-V correspondientes al bienio 2012/13</w:t>
      </w:r>
      <w:r w:rsidR="001D6C32" w:rsidRPr="009768C1">
        <w:rPr>
          <w:lang w:val="es-ES"/>
        </w:rPr>
        <w:t xml:space="preserve">.  </w:t>
      </w:r>
      <w:r w:rsidRPr="009768C1">
        <w:rPr>
          <w:lang w:val="es-ES"/>
        </w:rPr>
        <w:t xml:space="preserve">Se proporciona la información financiera necesaria para la correcta comprensión de las diferencias entre el resultado de la UPOV desde el punto de vista presupuestario y el resultado de la Organización según los estados financieros elaborados con arreglo a las IPSAS. </w:t>
      </w:r>
      <w:r w:rsidR="00393D15" w:rsidRPr="009768C1">
        <w:rPr>
          <w:lang w:val="es-ES"/>
        </w:rPr>
        <w:t xml:space="preserve"> </w:t>
      </w:r>
      <w:r w:rsidRPr="009768C1">
        <w:rPr>
          <w:lang w:val="es-ES"/>
        </w:rPr>
        <w:t xml:space="preserve">Otros extractos de los estados financieros anuales facilitan asimismo ulteriores detalles en torno a los activos y pasivos de la Organización. </w:t>
      </w:r>
    </w:p>
    <w:p w:rsidR="00B058F2" w:rsidRPr="009768C1" w:rsidRDefault="00B058F2" w:rsidP="00B058F2">
      <w:pPr>
        <w:autoSpaceDE w:val="0"/>
        <w:autoSpaceDN w:val="0"/>
        <w:adjustRightInd w:val="0"/>
        <w:rPr>
          <w:rFonts w:cs="Arial"/>
          <w:lang w:val="es-ES"/>
        </w:rPr>
      </w:pPr>
    </w:p>
    <w:p w:rsidR="00812486" w:rsidRPr="009768C1" w:rsidRDefault="00B058F2" w:rsidP="00B058F2">
      <w:pPr>
        <w:spacing w:after="200" w:line="276" w:lineRule="auto"/>
        <w:rPr>
          <w:rFonts w:cs="Arial"/>
          <w:lang w:val="es-ES" w:eastAsia="en-GB"/>
        </w:rPr>
      </w:pPr>
      <w:r w:rsidRPr="009768C1">
        <w:rPr>
          <w:lang w:val="es-ES"/>
        </w:rPr>
        <w:t xml:space="preserve">Cabe señalar que, siendo el </w:t>
      </w:r>
      <w:r w:rsidR="00393D15" w:rsidRPr="009768C1">
        <w:rPr>
          <w:lang w:val="es-ES"/>
        </w:rPr>
        <w:t>ejercicio económico</w:t>
      </w:r>
      <w:r w:rsidRPr="009768C1">
        <w:rPr>
          <w:lang w:val="es-ES"/>
        </w:rPr>
        <w:t xml:space="preserve"> 2012/13 el primer</w:t>
      </w:r>
      <w:r w:rsidR="00393D15" w:rsidRPr="009768C1">
        <w:rPr>
          <w:lang w:val="es-ES"/>
        </w:rPr>
        <w:t xml:space="preserve"> bienio</w:t>
      </w:r>
      <w:r w:rsidRPr="009768C1">
        <w:rPr>
          <w:lang w:val="es-ES"/>
        </w:rPr>
        <w:t xml:space="preserve"> con respecto al cual se dispone de información financiera preparada sobre una base contable integral de devengo de conformidad con las IPSAS, no ha sido posible incluir la información comparable correspondiente al bienio 2010/11 en el estado de rendimiento financiero ni en el estado de los flujos de efectivo</w:t>
      </w:r>
      <w:r w:rsidR="001D6C32" w:rsidRPr="009768C1">
        <w:rPr>
          <w:lang w:val="es-ES"/>
        </w:rPr>
        <w:t xml:space="preserve">.  </w:t>
      </w:r>
      <w:r w:rsidRPr="009768C1">
        <w:rPr>
          <w:lang w:val="es-ES"/>
        </w:rPr>
        <w:t xml:space="preserve">En el estado de la situación financiera con las correspondientes notas se presentan los balances de situación a 31 de diciembre de 2013, a 31 de diciembre de 2012 y a 1 de enero de 2012. </w:t>
      </w:r>
      <w:r w:rsidR="00393D15" w:rsidRPr="009768C1">
        <w:rPr>
          <w:lang w:val="es-ES"/>
        </w:rPr>
        <w:t xml:space="preserve"> </w:t>
      </w:r>
      <w:r w:rsidRPr="009768C1">
        <w:rPr>
          <w:lang w:val="es-ES"/>
        </w:rPr>
        <w:t>Los balances de situación a 1 de enero de 2012 son los balances a 31 de diciembre de 2011 remodelados para reflejar los efectos iniciales de la aplicación de las IPSAS sobre el balance</w:t>
      </w:r>
      <w:r w:rsidR="00812486" w:rsidRPr="009768C1">
        <w:rPr>
          <w:rFonts w:cs="Arial"/>
          <w:lang w:val="es-ES" w:eastAsia="en-GB"/>
        </w:rPr>
        <w:t>.</w:t>
      </w:r>
    </w:p>
    <w:p w:rsidR="00812486" w:rsidRPr="009768C1" w:rsidRDefault="00812486" w:rsidP="00812486">
      <w:pPr>
        <w:spacing w:after="200" w:line="276" w:lineRule="auto"/>
        <w:jc w:val="center"/>
        <w:rPr>
          <w:rFonts w:cs="Arial"/>
          <w:b/>
          <w:lang w:val="es-ES" w:eastAsia="en-GB"/>
        </w:rPr>
      </w:pPr>
      <w:r w:rsidRPr="009768C1">
        <w:rPr>
          <w:rFonts w:cs="Arial"/>
          <w:lang w:val="es-ES" w:eastAsia="en-GB"/>
        </w:rPr>
        <w:br w:type="page"/>
      </w:r>
      <w:r w:rsidR="00545C22" w:rsidRPr="009768C1">
        <w:rPr>
          <w:rFonts w:cs="Arial"/>
          <w:b/>
          <w:lang w:val="es-ES" w:eastAsia="en-GB"/>
        </w:rPr>
        <w:lastRenderedPageBreak/>
        <w:t>ESTADO FINANCIERO</w:t>
      </w:r>
      <w:r w:rsidRPr="009768C1">
        <w:rPr>
          <w:rFonts w:cs="Arial"/>
          <w:b/>
          <w:lang w:val="es-ES" w:eastAsia="en-GB"/>
        </w:rPr>
        <w:t xml:space="preserve"> I</w:t>
      </w:r>
    </w:p>
    <w:p w:rsidR="00812486" w:rsidRPr="009768C1" w:rsidRDefault="00C7055D" w:rsidP="00C7055D">
      <w:pPr>
        <w:pStyle w:val="Heading2"/>
      </w:pPr>
      <w:bookmarkStart w:id="30" w:name="_Toc397086217"/>
      <w:bookmarkStart w:id="31" w:name="_Toc397086716"/>
      <w:r w:rsidRPr="009768C1">
        <w:t>Estado de la situación financiera</w:t>
      </w:r>
      <w:bookmarkEnd w:id="30"/>
      <w:bookmarkEnd w:id="31"/>
    </w:p>
    <w:p w:rsidR="00812486" w:rsidRPr="009768C1" w:rsidRDefault="00812486" w:rsidP="00A14D8B">
      <w:pPr>
        <w:pStyle w:val="Heading4"/>
        <w:rPr>
          <w:color w:val="auto"/>
          <w:lang w:val="es-ES"/>
        </w:rPr>
      </w:pPr>
    </w:p>
    <w:p w:rsidR="00812486" w:rsidRPr="009768C1" w:rsidRDefault="00A14D8B" w:rsidP="00812486">
      <w:pPr>
        <w:jc w:val="center"/>
        <w:rPr>
          <w:rFonts w:cs="Arial"/>
          <w:b/>
          <w:lang w:val="es-ES" w:eastAsia="en-GB"/>
        </w:rPr>
      </w:pPr>
      <w:proofErr w:type="gramStart"/>
      <w:r w:rsidRPr="009768C1">
        <w:rPr>
          <w:rFonts w:cs="Arial"/>
          <w:b/>
          <w:lang w:val="es-ES" w:eastAsia="en-GB"/>
        </w:rPr>
        <w:t>al</w:t>
      </w:r>
      <w:proofErr w:type="gramEnd"/>
      <w:r w:rsidRPr="009768C1">
        <w:rPr>
          <w:rFonts w:cs="Arial"/>
          <w:b/>
          <w:lang w:val="es-ES" w:eastAsia="en-GB"/>
        </w:rPr>
        <w:t> 31 de diciembre de 2013</w:t>
      </w:r>
    </w:p>
    <w:p w:rsidR="00812486" w:rsidRPr="009768C1" w:rsidRDefault="00812486" w:rsidP="00812486">
      <w:pPr>
        <w:jc w:val="center"/>
        <w:rPr>
          <w:b/>
          <w:lang w:val="es-ES"/>
        </w:rPr>
      </w:pPr>
      <w:r w:rsidRPr="009768C1">
        <w:rPr>
          <w:b/>
          <w:lang w:val="es-ES"/>
        </w:rPr>
        <w:t>(</w:t>
      </w:r>
      <w:proofErr w:type="gramStart"/>
      <w:r w:rsidR="00A14D8B" w:rsidRPr="009768C1">
        <w:rPr>
          <w:b/>
          <w:lang w:val="es-ES"/>
        </w:rPr>
        <w:t>e</w:t>
      </w:r>
      <w:r w:rsidRPr="009768C1">
        <w:rPr>
          <w:b/>
          <w:lang w:val="es-ES"/>
        </w:rPr>
        <w:t>n</w:t>
      </w:r>
      <w:proofErr w:type="gramEnd"/>
      <w:r w:rsidRPr="009768C1">
        <w:rPr>
          <w:b/>
          <w:lang w:val="es-ES"/>
        </w:rPr>
        <w:t xml:space="preserve"> </w:t>
      </w:r>
      <w:r w:rsidR="00A14D8B" w:rsidRPr="009768C1">
        <w:rPr>
          <w:b/>
          <w:lang w:val="es-ES"/>
        </w:rPr>
        <w:t>francos suizos)</w:t>
      </w:r>
      <w:r w:rsidRPr="009768C1">
        <w:rPr>
          <w:b/>
          <w:lang w:val="es-ES"/>
        </w:rPr>
        <w:t xml:space="preserve"> </w:t>
      </w:r>
    </w:p>
    <w:p w:rsidR="00812486" w:rsidRPr="009768C1" w:rsidRDefault="00812486" w:rsidP="00812486">
      <w:pPr>
        <w:spacing w:line="276" w:lineRule="auto"/>
        <w:jc w:val="center"/>
        <w:rPr>
          <w:b/>
          <w:lang w:val="es-ES"/>
        </w:rPr>
      </w:pPr>
    </w:p>
    <w:p w:rsidR="00812486" w:rsidRPr="009768C1" w:rsidRDefault="005B515D" w:rsidP="00812486">
      <w:pPr>
        <w:spacing w:line="276" w:lineRule="auto"/>
        <w:jc w:val="center"/>
        <w:rPr>
          <w:b/>
          <w:lang w:val="es-ES"/>
        </w:rPr>
      </w:pPr>
      <w:r w:rsidRPr="005B515D">
        <w:rPr>
          <w:noProof/>
        </w:rPr>
        <w:drawing>
          <wp:inline distT="0" distB="0" distL="0" distR="0" wp14:anchorId="172CDBB8" wp14:editId="2EF5EDAC">
            <wp:extent cx="6120765" cy="4523746"/>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6120765" cy="4523746"/>
                    </a:xfrm>
                    <a:prstGeom prst="rect">
                      <a:avLst/>
                    </a:prstGeom>
                    <a:noFill/>
                    <a:ln w="9525">
                      <a:noFill/>
                      <a:miter lim="800000"/>
                      <a:headEnd/>
                      <a:tailEnd/>
                    </a:ln>
                  </pic:spPr>
                </pic:pic>
              </a:graphicData>
            </a:graphic>
          </wp:inline>
        </w:drawing>
      </w:r>
    </w:p>
    <w:p w:rsidR="00812486" w:rsidRPr="009768C1" w:rsidRDefault="00812486" w:rsidP="00812486">
      <w:pPr>
        <w:spacing w:line="276" w:lineRule="auto"/>
        <w:jc w:val="center"/>
        <w:rPr>
          <w:b/>
          <w:lang w:val="es-ES"/>
        </w:rPr>
      </w:pPr>
    </w:p>
    <w:p w:rsidR="00812486" w:rsidRPr="009768C1" w:rsidRDefault="00812486" w:rsidP="00812486">
      <w:pPr>
        <w:spacing w:after="200" w:line="276" w:lineRule="auto"/>
        <w:jc w:val="center"/>
        <w:rPr>
          <w:rFonts w:cs="Arial"/>
          <w:b/>
          <w:lang w:val="es-ES" w:eastAsia="en-GB"/>
        </w:rPr>
      </w:pPr>
      <w:r w:rsidRPr="009768C1">
        <w:rPr>
          <w:lang w:val="es-ES"/>
        </w:rPr>
        <w:br w:type="page"/>
      </w:r>
      <w:r w:rsidR="00A14D8B" w:rsidRPr="009768C1">
        <w:rPr>
          <w:b/>
          <w:lang w:val="es-ES"/>
        </w:rPr>
        <w:lastRenderedPageBreak/>
        <w:t>ESTADO FINANCIERO</w:t>
      </w:r>
      <w:r w:rsidRPr="009768C1">
        <w:rPr>
          <w:rFonts w:cs="Arial"/>
          <w:b/>
          <w:lang w:val="es-ES" w:eastAsia="en-GB"/>
        </w:rPr>
        <w:t xml:space="preserve"> II</w:t>
      </w:r>
    </w:p>
    <w:p w:rsidR="00812486" w:rsidRPr="009768C1" w:rsidRDefault="00C7055D" w:rsidP="00C7055D">
      <w:pPr>
        <w:pStyle w:val="Heading2"/>
      </w:pPr>
      <w:bookmarkStart w:id="32" w:name="_Toc397086218"/>
      <w:bookmarkStart w:id="33" w:name="_Toc397086717"/>
      <w:r w:rsidRPr="009768C1">
        <w:t>Estado de rendimiento financiero</w:t>
      </w:r>
      <w:bookmarkEnd w:id="32"/>
      <w:bookmarkEnd w:id="33"/>
    </w:p>
    <w:p w:rsidR="00812486" w:rsidRPr="009768C1" w:rsidRDefault="00812486" w:rsidP="00A14D8B">
      <w:pPr>
        <w:pStyle w:val="Heading4"/>
        <w:rPr>
          <w:color w:val="auto"/>
          <w:lang w:val="es-ES" w:eastAsia="en-GB"/>
        </w:rPr>
      </w:pPr>
    </w:p>
    <w:p w:rsidR="00B058F2" w:rsidRPr="009768C1" w:rsidRDefault="00B058F2" w:rsidP="00812486">
      <w:pPr>
        <w:jc w:val="center"/>
        <w:rPr>
          <w:b/>
          <w:lang w:val="es-ES"/>
        </w:rPr>
      </w:pPr>
      <w:proofErr w:type="gramStart"/>
      <w:r w:rsidRPr="009768C1">
        <w:rPr>
          <w:b/>
          <w:lang w:val="es-ES"/>
        </w:rPr>
        <w:t>del</w:t>
      </w:r>
      <w:proofErr w:type="gramEnd"/>
      <w:r w:rsidRPr="009768C1">
        <w:rPr>
          <w:b/>
          <w:lang w:val="es-ES"/>
        </w:rPr>
        <w:t xml:space="preserve"> </w:t>
      </w:r>
      <w:r w:rsidR="00545C22" w:rsidRPr="009768C1">
        <w:rPr>
          <w:b/>
          <w:lang w:val="es-ES"/>
        </w:rPr>
        <w:t>ejercicio bienal</w:t>
      </w:r>
      <w:r w:rsidRPr="009768C1">
        <w:rPr>
          <w:b/>
          <w:lang w:val="es-ES"/>
        </w:rPr>
        <w:t xml:space="preserve"> concluido el 31 de diciembre de 2013 </w:t>
      </w:r>
    </w:p>
    <w:p w:rsidR="00812486" w:rsidRPr="009768C1" w:rsidRDefault="00A14D8B" w:rsidP="00812486">
      <w:pPr>
        <w:jc w:val="center"/>
        <w:rPr>
          <w:b/>
          <w:lang w:val="es-ES"/>
        </w:rPr>
      </w:pPr>
      <w:r w:rsidRPr="009768C1">
        <w:rPr>
          <w:b/>
          <w:lang w:val="es-ES"/>
        </w:rPr>
        <w:t>(</w:t>
      </w:r>
      <w:proofErr w:type="gramStart"/>
      <w:r w:rsidRPr="009768C1">
        <w:rPr>
          <w:b/>
          <w:lang w:val="es-ES"/>
        </w:rPr>
        <w:t>e</w:t>
      </w:r>
      <w:r w:rsidR="00812486" w:rsidRPr="009768C1">
        <w:rPr>
          <w:b/>
          <w:lang w:val="es-ES"/>
        </w:rPr>
        <w:t>n</w:t>
      </w:r>
      <w:proofErr w:type="gramEnd"/>
      <w:r w:rsidR="00812486" w:rsidRPr="009768C1">
        <w:rPr>
          <w:b/>
          <w:lang w:val="es-ES"/>
        </w:rPr>
        <w:t xml:space="preserve"> </w:t>
      </w:r>
      <w:r w:rsidRPr="009768C1">
        <w:rPr>
          <w:b/>
          <w:lang w:val="es-ES"/>
        </w:rPr>
        <w:t>francos suizos</w:t>
      </w:r>
      <w:r w:rsidR="00812486" w:rsidRPr="009768C1">
        <w:rPr>
          <w:b/>
          <w:lang w:val="es-ES"/>
        </w:rPr>
        <w:t xml:space="preserve">) </w:t>
      </w:r>
    </w:p>
    <w:p w:rsidR="00812486" w:rsidRPr="009768C1" w:rsidRDefault="00812486" w:rsidP="00812486">
      <w:pPr>
        <w:jc w:val="center"/>
        <w:rPr>
          <w:b/>
          <w:lang w:val="es-ES"/>
        </w:rPr>
      </w:pPr>
    </w:p>
    <w:p w:rsidR="00812486" w:rsidRPr="009768C1" w:rsidRDefault="005B515D" w:rsidP="00812486">
      <w:pPr>
        <w:spacing w:line="276" w:lineRule="auto"/>
        <w:jc w:val="center"/>
        <w:rPr>
          <w:b/>
          <w:lang w:val="es-ES"/>
        </w:rPr>
      </w:pPr>
      <w:r w:rsidRPr="005B515D">
        <w:rPr>
          <w:noProof/>
        </w:rPr>
        <w:drawing>
          <wp:inline distT="0" distB="0" distL="0" distR="0" wp14:anchorId="4B470721" wp14:editId="7EE95E9E">
            <wp:extent cx="6088380" cy="3573780"/>
            <wp:effectExtent l="19050" t="0" r="762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088380" cy="3573780"/>
                    </a:xfrm>
                    <a:prstGeom prst="rect">
                      <a:avLst/>
                    </a:prstGeom>
                    <a:noFill/>
                    <a:ln w="9525">
                      <a:noFill/>
                      <a:miter lim="800000"/>
                      <a:headEnd/>
                      <a:tailEnd/>
                    </a:ln>
                  </pic:spPr>
                </pic:pic>
              </a:graphicData>
            </a:graphic>
          </wp:inline>
        </w:drawing>
      </w:r>
    </w:p>
    <w:p w:rsidR="00812486" w:rsidRPr="009768C1" w:rsidRDefault="00812486" w:rsidP="00812486">
      <w:pPr>
        <w:spacing w:line="276" w:lineRule="auto"/>
        <w:jc w:val="center"/>
        <w:rPr>
          <w:b/>
          <w:lang w:val="es-ES"/>
        </w:rPr>
      </w:pPr>
    </w:p>
    <w:p w:rsidR="00812486" w:rsidRPr="009768C1" w:rsidRDefault="00812486" w:rsidP="00812486">
      <w:pPr>
        <w:spacing w:after="200"/>
        <w:jc w:val="center"/>
        <w:rPr>
          <w:rFonts w:cs="Arial"/>
          <w:b/>
          <w:lang w:val="es-ES" w:eastAsia="en-GB"/>
        </w:rPr>
      </w:pPr>
      <w:r w:rsidRPr="009768C1">
        <w:rPr>
          <w:lang w:val="es-ES"/>
        </w:rPr>
        <w:br w:type="page"/>
      </w:r>
      <w:r w:rsidR="00A14D8B" w:rsidRPr="009768C1">
        <w:rPr>
          <w:b/>
          <w:lang w:val="es-ES"/>
        </w:rPr>
        <w:lastRenderedPageBreak/>
        <w:t>ESTADO FINANCIERO I</w:t>
      </w:r>
      <w:r w:rsidRPr="009768C1">
        <w:rPr>
          <w:rFonts w:cs="Arial"/>
          <w:b/>
          <w:lang w:val="es-ES" w:eastAsia="en-GB"/>
        </w:rPr>
        <w:t>II</w:t>
      </w:r>
    </w:p>
    <w:p w:rsidR="00812486" w:rsidRPr="009768C1" w:rsidRDefault="00C7055D" w:rsidP="00C7055D">
      <w:pPr>
        <w:pStyle w:val="Heading2"/>
      </w:pPr>
      <w:bookmarkStart w:id="34" w:name="_Toc397086219"/>
      <w:bookmarkStart w:id="35" w:name="_Toc397086718"/>
      <w:r w:rsidRPr="009768C1">
        <w:t>Estado de cambios en los activos netos</w:t>
      </w:r>
      <w:bookmarkEnd w:id="34"/>
      <w:bookmarkEnd w:id="35"/>
    </w:p>
    <w:p w:rsidR="00812486" w:rsidRPr="009768C1" w:rsidRDefault="00812486" w:rsidP="00A14D8B">
      <w:pPr>
        <w:pStyle w:val="Heading4"/>
        <w:rPr>
          <w:color w:val="auto"/>
          <w:lang w:val="es-ES" w:eastAsia="en-GB"/>
        </w:rPr>
      </w:pPr>
    </w:p>
    <w:p w:rsidR="00812486" w:rsidRPr="009768C1" w:rsidRDefault="00B058F2" w:rsidP="00812486">
      <w:pPr>
        <w:jc w:val="center"/>
        <w:rPr>
          <w:rFonts w:cs="Arial"/>
          <w:b/>
          <w:lang w:val="es-ES" w:eastAsia="en-GB"/>
        </w:rPr>
      </w:pPr>
      <w:proofErr w:type="gramStart"/>
      <w:r w:rsidRPr="009768C1">
        <w:rPr>
          <w:b/>
          <w:lang w:val="es-ES"/>
        </w:rPr>
        <w:t>del</w:t>
      </w:r>
      <w:proofErr w:type="gramEnd"/>
      <w:r w:rsidRPr="009768C1">
        <w:rPr>
          <w:b/>
          <w:lang w:val="es-ES"/>
        </w:rPr>
        <w:t xml:space="preserve"> bienio concluido el 31 de diciembre de 2013</w:t>
      </w:r>
    </w:p>
    <w:p w:rsidR="00812486" w:rsidRPr="009768C1" w:rsidRDefault="00A14D8B" w:rsidP="00812486">
      <w:pPr>
        <w:jc w:val="center"/>
        <w:rPr>
          <w:b/>
          <w:lang w:val="es-ES"/>
        </w:rPr>
      </w:pPr>
      <w:r w:rsidRPr="009768C1">
        <w:rPr>
          <w:b/>
          <w:lang w:val="es-ES"/>
        </w:rPr>
        <w:t>(</w:t>
      </w:r>
      <w:proofErr w:type="gramStart"/>
      <w:r w:rsidRPr="009768C1">
        <w:rPr>
          <w:b/>
          <w:lang w:val="es-ES"/>
        </w:rPr>
        <w:t>e</w:t>
      </w:r>
      <w:r w:rsidR="00812486" w:rsidRPr="009768C1">
        <w:rPr>
          <w:b/>
          <w:lang w:val="es-ES"/>
        </w:rPr>
        <w:t>n</w:t>
      </w:r>
      <w:proofErr w:type="gramEnd"/>
      <w:r w:rsidRPr="009768C1">
        <w:rPr>
          <w:b/>
          <w:lang w:val="es-ES"/>
        </w:rPr>
        <w:t xml:space="preserve"> francos suizos)</w:t>
      </w:r>
    </w:p>
    <w:p w:rsidR="00812486" w:rsidRPr="009768C1" w:rsidRDefault="00812486" w:rsidP="00812486">
      <w:pPr>
        <w:jc w:val="center"/>
        <w:rPr>
          <w:b/>
          <w:lang w:val="es-ES"/>
        </w:rPr>
      </w:pPr>
    </w:p>
    <w:p w:rsidR="00812486" w:rsidRPr="009768C1" w:rsidRDefault="005B515D" w:rsidP="00812486">
      <w:pPr>
        <w:spacing w:line="276" w:lineRule="auto"/>
        <w:jc w:val="center"/>
        <w:rPr>
          <w:b/>
          <w:lang w:val="es-ES"/>
        </w:rPr>
      </w:pPr>
      <w:r w:rsidRPr="005B515D">
        <w:rPr>
          <w:noProof/>
        </w:rPr>
        <w:drawing>
          <wp:inline distT="0" distB="0" distL="0" distR="0" wp14:anchorId="40D2B6E8" wp14:editId="6EBFBF6A">
            <wp:extent cx="6120765" cy="3454927"/>
            <wp:effectExtent l="1905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120765" cy="3454927"/>
                    </a:xfrm>
                    <a:prstGeom prst="rect">
                      <a:avLst/>
                    </a:prstGeom>
                    <a:noFill/>
                    <a:ln w="9525">
                      <a:noFill/>
                      <a:miter lim="800000"/>
                      <a:headEnd/>
                      <a:tailEnd/>
                    </a:ln>
                  </pic:spPr>
                </pic:pic>
              </a:graphicData>
            </a:graphic>
          </wp:inline>
        </w:drawing>
      </w:r>
    </w:p>
    <w:p w:rsidR="00812486" w:rsidRPr="009768C1" w:rsidRDefault="00812486" w:rsidP="00812486">
      <w:pPr>
        <w:spacing w:line="276" w:lineRule="auto"/>
        <w:jc w:val="center"/>
        <w:rPr>
          <w:b/>
          <w:lang w:val="es-ES"/>
        </w:rPr>
      </w:pPr>
    </w:p>
    <w:p w:rsidR="00812486" w:rsidRPr="009768C1" w:rsidRDefault="00812486" w:rsidP="00812486">
      <w:pPr>
        <w:spacing w:line="276" w:lineRule="auto"/>
        <w:jc w:val="center"/>
        <w:rPr>
          <w:lang w:val="es-ES"/>
        </w:rPr>
      </w:pPr>
    </w:p>
    <w:p w:rsidR="00812486" w:rsidRPr="009768C1" w:rsidRDefault="00812486" w:rsidP="00812486">
      <w:pPr>
        <w:spacing w:after="200" w:line="276" w:lineRule="auto"/>
        <w:jc w:val="center"/>
        <w:rPr>
          <w:rFonts w:cs="Arial"/>
          <w:b/>
          <w:lang w:val="es-ES" w:eastAsia="en-GB"/>
        </w:rPr>
      </w:pPr>
      <w:r w:rsidRPr="009768C1">
        <w:rPr>
          <w:lang w:val="es-ES"/>
        </w:rPr>
        <w:br w:type="page"/>
      </w:r>
      <w:r w:rsidR="00A14D8B" w:rsidRPr="009768C1">
        <w:rPr>
          <w:b/>
          <w:lang w:val="es-ES"/>
        </w:rPr>
        <w:lastRenderedPageBreak/>
        <w:t>ESTADO FINANCIERO IV</w:t>
      </w:r>
    </w:p>
    <w:p w:rsidR="00812486" w:rsidRPr="009768C1" w:rsidRDefault="00C7055D" w:rsidP="00C7055D">
      <w:pPr>
        <w:pStyle w:val="Heading2"/>
      </w:pPr>
      <w:bookmarkStart w:id="36" w:name="_Toc397086220"/>
      <w:bookmarkStart w:id="37" w:name="_Toc397086719"/>
      <w:r w:rsidRPr="009768C1">
        <w:t>Estado de flujos de efectivo</w:t>
      </w:r>
      <w:bookmarkEnd w:id="36"/>
      <w:bookmarkEnd w:id="37"/>
    </w:p>
    <w:p w:rsidR="00812486" w:rsidRPr="009768C1" w:rsidRDefault="00812486" w:rsidP="00A14D8B">
      <w:pPr>
        <w:pStyle w:val="Heading4"/>
        <w:rPr>
          <w:color w:val="auto"/>
          <w:lang w:val="es-ES" w:eastAsia="en-GB"/>
        </w:rPr>
      </w:pPr>
    </w:p>
    <w:p w:rsidR="00812486" w:rsidRPr="009768C1" w:rsidRDefault="00B058F2" w:rsidP="00812486">
      <w:pPr>
        <w:spacing w:line="276" w:lineRule="auto"/>
        <w:jc w:val="center"/>
        <w:rPr>
          <w:rFonts w:cs="Arial"/>
          <w:b/>
          <w:lang w:val="es-ES" w:eastAsia="en-GB"/>
        </w:rPr>
      </w:pPr>
      <w:proofErr w:type="gramStart"/>
      <w:r w:rsidRPr="009768C1">
        <w:rPr>
          <w:b/>
          <w:lang w:val="es-ES"/>
        </w:rPr>
        <w:t>del</w:t>
      </w:r>
      <w:proofErr w:type="gramEnd"/>
      <w:r w:rsidRPr="009768C1">
        <w:rPr>
          <w:b/>
          <w:lang w:val="es-ES"/>
        </w:rPr>
        <w:t xml:space="preserve"> </w:t>
      </w:r>
      <w:r w:rsidR="00545C22" w:rsidRPr="009768C1">
        <w:rPr>
          <w:b/>
          <w:lang w:val="es-ES"/>
        </w:rPr>
        <w:t>ejercicio bienal</w:t>
      </w:r>
      <w:r w:rsidRPr="009768C1">
        <w:rPr>
          <w:b/>
          <w:lang w:val="es-ES"/>
        </w:rPr>
        <w:t xml:space="preserve"> concluido el 31 de diciembre de 2013</w:t>
      </w:r>
    </w:p>
    <w:p w:rsidR="00812486" w:rsidRPr="009768C1" w:rsidRDefault="00812486" w:rsidP="00812486">
      <w:pPr>
        <w:spacing w:line="276" w:lineRule="auto"/>
        <w:jc w:val="center"/>
        <w:rPr>
          <w:b/>
          <w:lang w:val="es-ES"/>
        </w:rPr>
      </w:pPr>
      <w:r w:rsidRPr="009768C1">
        <w:rPr>
          <w:b/>
          <w:lang w:val="es-ES"/>
        </w:rPr>
        <w:t>(</w:t>
      </w:r>
      <w:proofErr w:type="gramStart"/>
      <w:r w:rsidR="00A14D8B" w:rsidRPr="009768C1">
        <w:rPr>
          <w:b/>
          <w:lang w:val="es-ES"/>
        </w:rPr>
        <w:t>en</w:t>
      </w:r>
      <w:proofErr w:type="gramEnd"/>
      <w:r w:rsidR="00A14D8B" w:rsidRPr="009768C1">
        <w:rPr>
          <w:b/>
          <w:lang w:val="es-ES"/>
        </w:rPr>
        <w:t xml:space="preserve"> francos suizos</w:t>
      </w:r>
      <w:r w:rsidRPr="009768C1">
        <w:rPr>
          <w:b/>
          <w:lang w:val="es-ES"/>
        </w:rPr>
        <w:t>)</w:t>
      </w:r>
    </w:p>
    <w:p w:rsidR="00812486" w:rsidRPr="009768C1" w:rsidRDefault="00812486" w:rsidP="00812486">
      <w:pPr>
        <w:spacing w:line="276" w:lineRule="auto"/>
        <w:jc w:val="center"/>
        <w:rPr>
          <w:b/>
          <w:lang w:val="es-ES"/>
        </w:rPr>
      </w:pPr>
    </w:p>
    <w:p w:rsidR="00812486" w:rsidRPr="009768C1" w:rsidRDefault="004A5333" w:rsidP="00812486">
      <w:pPr>
        <w:spacing w:line="276" w:lineRule="auto"/>
        <w:jc w:val="center"/>
        <w:rPr>
          <w:b/>
          <w:lang w:val="es-ES"/>
        </w:rPr>
      </w:pPr>
      <w:r>
        <w:rPr>
          <w:b/>
          <w:noProof/>
        </w:rPr>
        <w:drawing>
          <wp:inline distT="0" distB="0" distL="0" distR="0" wp14:anchorId="61142CD2" wp14:editId="5E085ACA">
            <wp:extent cx="6124575" cy="3895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4575" cy="3895725"/>
                    </a:xfrm>
                    <a:prstGeom prst="rect">
                      <a:avLst/>
                    </a:prstGeom>
                    <a:noFill/>
                    <a:ln>
                      <a:noFill/>
                    </a:ln>
                  </pic:spPr>
                </pic:pic>
              </a:graphicData>
            </a:graphic>
          </wp:inline>
        </w:drawing>
      </w:r>
    </w:p>
    <w:p w:rsidR="00812486" w:rsidRPr="009768C1" w:rsidRDefault="00812486" w:rsidP="00812486">
      <w:pPr>
        <w:spacing w:line="276" w:lineRule="auto"/>
        <w:jc w:val="center"/>
        <w:rPr>
          <w:lang w:val="es-ES"/>
        </w:rPr>
      </w:pPr>
    </w:p>
    <w:p w:rsidR="00812486" w:rsidRPr="009768C1" w:rsidRDefault="00812486" w:rsidP="00812486">
      <w:pPr>
        <w:spacing w:line="276" w:lineRule="auto"/>
        <w:jc w:val="center"/>
        <w:rPr>
          <w:lang w:val="es-ES"/>
        </w:rPr>
      </w:pPr>
    </w:p>
    <w:p w:rsidR="00812486" w:rsidRPr="009768C1" w:rsidRDefault="00812486" w:rsidP="00812486">
      <w:pPr>
        <w:spacing w:after="200" w:line="276" w:lineRule="auto"/>
        <w:jc w:val="center"/>
        <w:rPr>
          <w:rFonts w:cs="Arial"/>
          <w:b/>
          <w:lang w:val="es-ES" w:eastAsia="en-GB"/>
        </w:rPr>
      </w:pPr>
      <w:r w:rsidRPr="009768C1">
        <w:rPr>
          <w:lang w:val="es-ES"/>
        </w:rPr>
        <w:br w:type="page"/>
      </w:r>
      <w:r w:rsidR="00A14D8B" w:rsidRPr="009768C1">
        <w:rPr>
          <w:b/>
          <w:lang w:val="es-ES"/>
        </w:rPr>
        <w:lastRenderedPageBreak/>
        <w:t>ESTADO FINANCIERO</w:t>
      </w:r>
      <w:r w:rsidR="00A14D8B" w:rsidRPr="009768C1">
        <w:rPr>
          <w:rFonts w:cs="Arial"/>
          <w:b/>
          <w:lang w:val="es-ES" w:eastAsia="en-GB"/>
        </w:rPr>
        <w:t xml:space="preserve"> </w:t>
      </w:r>
      <w:r w:rsidRPr="009768C1">
        <w:rPr>
          <w:rFonts w:cs="Arial"/>
          <w:b/>
          <w:lang w:val="es-ES" w:eastAsia="en-GB"/>
        </w:rPr>
        <w:t>V</w:t>
      </w:r>
    </w:p>
    <w:p w:rsidR="00812486" w:rsidRPr="009768C1" w:rsidRDefault="00C7055D" w:rsidP="00C7055D">
      <w:pPr>
        <w:pStyle w:val="Heading2"/>
      </w:pPr>
      <w:bookmarkStart w:id="38" w:name="_Toc397086221"/>
      <w:bookmarkStart w:id="39" w:name="_Toc397086720"/>
      <w:r w:rsidRPr="009768C1">
        <w:t>Estado comparativo de importes presupuestados y reales</w:t>
      </w:r>
      <w:bookmarkEnd w:id="38"/>
      <w:bookmarkEnd w:id="39"/>
    </w:p>
    <w:p w:rsidR="00812486" w:rsidRPr="009768C1" w:rsidRDefault="00812486" w:rsidP="00A14D8B">
      <w:pPr>
        <w:pStyle w:val="Heading4"/>
        <w:rPr>
          <w:color w:val="auto"/>
          <w:lang w:val="es-ES" w:eastAsia="en-GB"/>
        </w:rPr>
      </w:pPr>
    </w:p>
    <w:p w:rsidR="00812486" w:rsidRPr="009768C1" w:rsidRDefault="00B058F2" w:rsidP="00812486">
      <w:pPr>
        <w:jc w:val="center"/>
        <w:rPr>
          <w:rFonts w:cs="Arial"/>
          <w:b/>
          <w:lang w:val="es-ES" w:eastAsia="en-GB"/>
        </w:rPr>
      </w:pPr>
      <w:proofErr w:type="gramStart"/>
      <w:r w:rsidRPr="009768C1">
        <w:rPr>
          <w:rFonts w:cs="Arial"/>
          <w:b/>
          <w:lang w:val="es-ES" w:eastAsia="en-GB"/>
        </w:rPr>
        <w:t>del</w:t>
      </w:r>
      <w:proofErr w:type="gramEnd"/>
      <w:r w:rsidRPr="009768C1">
        <w:rPr>
          <w:rFonts w:cs="Arial"/>
          <w:b/>
          <w:lang w:val="es-ES" w:eastAsia="en-GB"/>
        </w:rPr>
        <w:t xml:space="preserve"> </w:t>
      </w:r>
      <w:r w:rsidR="00545C22" w:rsidRPr="009768C1">
        <w:rPr>
          <w:rFonts w:cs="Arial"/>
          <w:b/>
          <w:lang w:val="es-ES" w:eastAsia="en-GB"/>
        </w:rPr>
        <w:t>ejercicio bienal</w:t>
      </w:r>
      <w:r w:rsidRPr="009768C1">
        <w:rPr>
          <w:rFonts w:cs="Arial"/>
          <w:b/>
          <w:lang w:val="es-ES" w:eastAsia="en-GB"/>
        </w:rPr>
        <w:t xml:space="preserve"> concluido el 31 de diciembre de 2013</w:t>
      </w:r>
    </w:p>
    <w:p w:rsidR="00812486" w:rsidRPr="009768C1" w:rsidRDefault="00812486" w:rsidP="00812486">
      <w:pPr>
        <w:spacing w:line="276" w:lineRule="auto"/>
        <w:jc w:val="center"/>
        <w:rPr>
          <w:b/>
          <w:lang w:val="es-ES"/>
        </w:rPr>
      </w:pPr>
      <w:r w:rsidRPr="009768C1">
        <w:rPr>
          <w:b/>
          <w:lang w:val="es-ES"/>
        </w:rPr>
        <w:t>(</w:t>
      </w:r>
      <w:proofErr w:type="gramStart"/>
      <w:r w:rsidR="00A14D8B" w:rsidRPr="009768C1">
        <w:rPr>
          <w:b/>
          <w:lang w:val="es-ES"/>
        </w:rPr>
        <w:t>en</w:t>
      </w:r>
      <w:proofErr w:type="gramEnd"/>
      <w:r w:rsidR="00A14D8B" w:rsidRPr="009768C1">
        <w:rPr>
          <w:b/>
          <w:lang w:val="es-ES"/>
        </w:rPr>
        <w:t xml:space="preserve"> miles de francos suizos</w:t>
      </w:r>
      <w:r w:rsidRPr="009768C1">
        <w:rPr>
          <w:b/>
          <w:lang w:val="es-ES"/>
        </w:rPr>
        <w:t>)</w:t>
      </w:r>
    </w:p>
    <w:p w:rsidR="00812486" w:rsidRPr="009768C1" w:rsidRDefault="00812486" w:rsidP="00812486">
      <w:pPr>
        <w:spacing w:line="276" w:lineRule="auto"/>
        <w:jc w:val="center"/>
        <w:rPr>
          <w:lang w:val="es-ES"/>
        </w:rPr>
      </w:pPr>
    </w:p>
    <w:p w:rsidR="00812486" w:rsidRPr="009768C1" w:rsidRDefault="00406C5C" w:rsidP="00812486">
      <w:pPr>
        <w:spacing w:line="276" w:lineRule="auto"/>
        <w:jc w:val="center"/>
        <w:rPr>
          <w:lang w:val="es-ES"/>
        </w:rPr>
      </w:pPr>
      <w:r w:rsidRPr="00406C5C">
        <w:rPr>
          <w:noProof/>
        </w:rPr>
        <w:drawing>
          <wp:inline distT="0" distB="0" distL="0" distR="0" wp14:anchorId="1CD6C493" wp14:editId="763FFF82">
            <wp:extent cx="5632450" cy="5022850"/>
            <wp:effectExtent l="19050" t="0" r="635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5632450" cy="5022850"/>
                    </a:xfrm>
                    <a:prstGeom prst="rect">
                      <a:avLst/>
                    </a:prstGeom>
                    <a:noFill/>
                    <a:ln w="9525">
                      <a:noFill/>
                      <a:miter lim="800000"/>
                      <a:headEnd/>
                      <a:tailEnd/>
                    </a:ln>
                  </pic:spPr>
                </pic:pic>
              </a:graphicData>
            </a:graphic>
          </wp:inline>
        </w:drawing>
      </w:r>
    </w:p>
    <w:p w:rsidR="00812486" w:rsidRPr="009768C1" w:rsidRDefault="00812486" w:rsidP="00812486">
      <w:pPr>
        <w:rPr>
          <w:lang w:val="es-ES"/>
        </w:rPr>
      </w:pPr>
    </w:p>
    <w:p w:rsidR="00812486" w:rsidRPr="009768C1" w:rsidRDefault="00545C22" w:rsidP="00545C22">
      <w:pPr>
        <w:ind w:left="360"/>
        <w:rPr>
          <w:sz w:val="18"/>
          <w:szCs w:val="18"/>
          <w:lang w:val="es-ES"/>
        </w:rPr>
      </w:pPr>
      <w:r w:rsidRPr="009768C1">
        <w:rPr>
          <w:sz w:val="18"/>
          <w:szCs w:val="18"/>
          <w:lang w:val="es-ES"/>
        </w:rPr>
        <w:t>1)</w:t>
      </w:r>
      <w:r w:rsidRPr="009768C1">
        <w:rPr>
          <w:sz w:val="18"/>
          <w:szCs w:val="18"/>
          <w:lang w:val="es-ES"/>
        </w:rPr>
        <w:tab/>
      </w:r>
      <w:r w:rsidR="0004779E" w:rsidRPr="009768C1">
        <w:rPr>
          <w:sz w:val="18"/>
          <w:szCs w:val="18"/>
          <w:lang w:val="es-ES"/>
        </w:rPr>
        <w:t>corresponde al</w:t>
      </w:r>
      <w:r w:rsidRPr="009768C1">
        <w:rPr>
          <w:sz w:val="18"/>
          <w:szCs w:val="18"/>
          <w:lang w:val="es-ES"/>
        </w:rPr>
        <w:t xml:space="preserve"> presupuesto aprobado para el </w:t>
      </w:r>
      <w:r w:rsidR="0004779E" w:rsidRPr="009768C1">
        <w:rPr>
          <w:sz w:val="18"/>
          <w:szCs w:val="18"/>
          <w:lang w:val="es-ES"/>
        </w:rPr>
        <w:t>bienio</w:t>
      </w:r>
      <w:r w:rsidR="00812486" w:rsidRPr="009768C1">
        <w:rPr>
          <w:sz w:val="18"/>
          <w:szCs w:val="18"/>
          <w:lang w:val="es-ES"/>
        </w:rPr>
        <w:t xml:space="preserve"> 2012</w:t>
      </w:r>
      <w:r w:rsidRPr="009768C1">
        <w:rPr>
          <w:sz w:val="18"/>
          <w:szCs w:val="18"/>
          <w:lang w:val="es-ES"/>
        </w:rPr>
        <w:t>/</w:t>
      </w:r>
      <w:r w:rsidR="00812486" w:rsidRPr="009768C1">
        <w:rPr>
          <w:sz w:val="18"/>
          <w:szCs w:val="18"/>
          <w:lang w:val="es-ES"/>
        </w:rPr>
        <w:t>2013;</w:t>
      </w:r>
    </w:p>
    <w:p w:rsidR="00812486" w:rsidRPr="009768C1" w:rsidRDefault="00545C22" w:rsidP="00545C22">
      <w:pPr>
        <w:ind w:left="360"/>
        <w:rPr>
          <w:sz w:val="18"/>
          <w:szCs w:val="18"/>
          <w:lang w:val="es-ES"/>
        </w:rPr>
      </w:pPr>
      <w:r w:rsidRPr="009768C1">
        <w:rPr>
          <w:sz w:val="18"/>
          <w:szCs w:val="18"/>
          <w:lang w:val="es-ES"/>
        </w:rPr>
        <w:t>2)</w:t>
      </w:r>
      <w:r w:rsidRPr="009768C1">
        <w:rPr>
          <w:sz w:val="18"/>
          <w:szCs w:val="18"/>
          <w:lang w:val="es-ES"/>
        </w:rPr>
        <w:tab/>
      </w:r>
      <w:r w:rsidR="00A14D8B" w:rsidRPr="009768C1">
        <w:rPr>
          <w:sz w:val="18"/>
          <w:szCs w:val="18"/>
          <w:lang w:val="es-ES"/>
        </w:rPr>
        <w:t>corresponde a la diferencia entre el presupuesto final (revisado) y los gastos reales en términos comparables (antes de los ajustes con arreglo a las IPSAS).</w:t>
      </w:r>
    </w:p>
    <w:p w:rsidR="00F7227E" w:rsidRDefault="00812486" w:rsidP="00C7055D">
      <w:pPr>
        <w:pStyle w:val="Heading2"/>
      </w:pPr>
      <w:r w:rsidRPr="009768C1">
        <w:br w:type="page"/>
      </w:r>
    </w:p>
    <w:p w:rsidR="00F7227E" w:rsidRDefault="00F7227E" w:rsidP="00C7055D">
      <w:pPr>
        <w:pStyle w:val="Heading2"/>
      </w:pPr>
    </w:p>
    <w:p w:rsidR="00812486" w:rsidRPr="009768C1" w:rsidRDefault="00C7055D" w:rsidP="00C7055D">
      <w:pPr>
        <w:pStyle w:val="Heading2"/>
      </w:pPr>
      <w:bookmarkStart w:id="40" w:name="_Toc397086222"/>
      <w:bookmarkStart w:id="41" w:name="_Toc397086721"/>
      <w:r w:rsidRPr="009768C1">
        <w:t>Análisis del estado de la situación financiera</w:t>
      </w:r>
      <w:bookmarkEnd w:id="40"/>
      <w:bookmarkEnd w:id="41"/>
    </w:p>
    <w:p w:rsidR="00812486" w:rsidRPr="009768C1" w:rsidRDefault="00812486" w:rsidP="00F7227E">
      <w:pPr>
        <w:pStyle w:val="Heading4"/>
        <w:keepNext w:val="0"/>
        <w:ind w:left="0"/>
        <w:rPr>
          <w:i w:val="0"/>
          <w:color w:val="auto"/>
        </w:rPr>
      </w:pPr>
    </w:p>
    <w:p w:rsidR="00812486" w:rsidRPr="009768C1" w:rsidRDefault="00B058F2" w:rsidP="00812486">
      <w:pPr>
        <w:autoSpaceDE w:val="0"/>
        <w:autoSpaceDN w:val="0"/>
        <w:adjustRightInd w:val="0"/>
        <w:rPr>
          <w:rFonts w:cs="Arial"/>
          <w:lang w:val="es-ES" w:eastAsia="en-GB"/>
        </w:rPr>
      </w:pPr>
      <w:r w:rsidRPr="009768C1">
        <w:rPr>
          <w:b/>
          <w:lang w:val="es-ES"/>
        </w:rPr>
        <w:t>Movimiento de activos netos</w:t>
      </w:r>
    </w:p>
    <w:p w:rsidR="00812486" w:rsidRPr="009768C1" w:rsidRDefault="00812486" w:rsidP="00812486">
      <w:pPr>
        <w:rPr>
          <w:rFonts w:cs="Arial"/>
          <w:lang w:val="es-ES" w:eastAsia="en-GB"/>
        </w:rPr>
      </w:pPr>
    </w:p>
    <w:p w:rsidR="00B058F2" w:rsidRPr="009768C1" w:rsidRDefault="00B058F2" w:rsidP="00B058F2">
      <w:pPr>
        <w:rPr>
          <w:rFonts w:cs="Arial"/>
          <w:sz w:val="22"/>
          <w:szCs w:val="22"/>
          <w:lang w:val="es-ES"/>
        </w:rPr>
      </w:pPr>
      <w:r w:rsidRPr="009768C1">
        <w:rPr>
          <w:lang w:val="es-ES"/>
        </w:rPr>
        <w:t>Al 31 de diciembre de 2013 la UPOV posee unos activos netos con arreglo a las IPSAS de 1.744.294 millones de francos suizos  Antes de la adopción de las IPSAS, la UPOV tenía unos activos netos de 1.995.900 francos suizos, al 31 de diciembre de 2011</w:t>
      </w:r>
      <w:r w:rsidRPr="009768C1">
        <w:rPr>
          <w:sz w:val="22"/>
          <w:lang w:val="es-ES"/>
        </w:rPr>
        <w:t xml:space="preserve">. </w:t>
      </w:r>
    </w:p>
    <w:p w:rsidR="00B058F2" w:rsidRPr="009768C1" w:rsidRDefault="00B058F2" w:rsidP="00B058F2">
      <w:pPr>
        <w:rPr>
          <w:rFonts w:cs="Arial"/>
          <w:sz w:val="22"/>
          <w:szCs w:val="22"/>
          <w:lang w:val="es-ES"/>
        </w:rPr>
      </w:pPr>
    </w:p>
    <w:p w:rsidR="00812486" w:rsidRPr="009768C1" w:rsidRDefault="00B058F2" w:rsidP="00B058F2">
      <w:pPr>
        <w:rPr>
          <w:szCs w:val="22"/>
          <w:lang w:val="es-ES"/>
        </w:rPr>
      </w:pPr>
      <w:r w:rsidRPr="009768C1">
        <w:rPr>
          <w:lang w:val="es-ES"/>
        </w:rPr>
        <w:t xml:space="preserve">Como consecuencia de los ajustes </w:t>
      </w:r>
      <w:r w:rsidR="002910EF" w:rsidRPr="009768C1">
        <w:rPr>
          <w:lang w:val="es-ES"/>
        </w:rPr>
        <w:t>efectuados</w:t>
      </w:r>
      <w:r w:rsidR="007D6683" w:rsidRPr="009768C1">
        <w:rPr>
          <w:lang w:val="es-ES"/>
        </w:rPr>
        <w:t xml:space="preserve"> </w:t>
      </w:r>
      <w:r w:rsidR="002910EF" w:rsidRPr="009768C1">
        <w:rPr>
          <w:lang w:val="es-ES"/>
        </w:rPr>
        <w:t>conforme a las IPSAS en el estado inicial de la situación financiera al 1 de enero de 2012, los activos netos totales se redujeron en 759.147 francos suizos</w:t>
      </w:r>
      <w:r w:rsidR="001D6C32" w:rsidRPr="009768C1">
        <w:rPr>
          <w:lang w:val="es-ES"/>
        </w:rPr>
        <w:t xml:space="preserve">.  </w:t>
      </w:r>
      <w:r w:rsidRPr="009768C1">
        <w:rPr>
          <w:lang w:val="es-ES"/>
        </w:rPr>
        <w:t>Los ajustes más importantes fueron los correspondientes al pasivo por prestaciones a los empleados, por un total de 747.429 francos suizos</w:t>
      </w:r>
      <w:r w:rsidR="001D6C32" w:rsidRPr="009768C1">
        <w:rPr>
          <w:szCs w:val="22"/>
          <w:lang w:val="es-ES"/>
        </w:rPr>
        <w:t xml:space="preserve">.  </w:t>
      </w:r>
      <w:r w:rsidR="00A14D8B" w:rsidRPr="009768C1">
        <w:rPr>
          <w:szCs w:val="22"/>
          <w:lang w:val="es-ES"/>
        </w:rPr>
        <w:t xml:space="preserve">Dichos ajustes se debían al reconocimiento de este pasivo en los estados financieros con arreglo a su valoración al 1 de enero de 2012. </w:t>
      </w:r>
      <w:r w:rsidR="00812486" w:rsidRPr="009768C1">
        <w:rPr>
          <w:szCs w:val="22"/>
          <w:lang w:val="es-ES"/>
        </w:rPr>
        <w:t xml:space="preserve"> </w:t>
      </w:r>
      <w:r w:rsidRPr="009768C1">
        <w:rPr>
          <w:lang w:val="es-ES"/>
        </w:rPr>
        <w:t>Asimismo, se ha realizado un ajuste de 11.718 francos suizos relativo a la asignación correspondiente a las contribuciones adeudadas</w:t>
      </w:r>
      <w:r w:rsidR="00812486" w:rsidRPr="009768C1">
        <w:rPr>
          <w:szCs w:val="22"/>
          <w:lang w:val="es-ES"/>
        </w:rPr>
        <w:t>.</w:t>
      </w:r>
    </w:p>
    <w:p w:rsidR="00812486" w:rsidRPr="009768C1" w:rsidRDefault="00812486" w:rsidP="00812486">
      <w:pPr>
        <w:rPr>
          <w:szCs w:val="22"/>
          <w:lang w:val="es-ES"/>
        </w:rPr>
      </w:pPr>
    </w:p>
    <w:p w:rsidR="00812486" w:rsidRPr="009768C1" w:rsidRDefault="00B058F2" w:rsidP="00812486">
      <w:pPr>
        <w:rPr>
          <w:lang w:val="es-ES"/>
        </w:rPr>
      </w:pPr>
      <w:r w:rsidRPr="009768C1">
        <w:rPr>
          <w:lang w:val="es-ES"/>
        </w:rPr>
        <w:t xml:space="preserve">Tras esta reducción de los activos netos </w:t>
      </w:r>
      <w:r w:rsidR="002910EF" w:rsidRPr="009768C1">
        <w:rPr>
          <w:lang w:val="es-ES"/>
        </w:rPr>
        <w:t>en el balance inicial conforme a</w:t>
      </w:r>
      <w:r w:rsidRPr="009768C1">
        <w:rPr>
          <w:lang w:val="es-ES"/>
        </w:rPr>
        <w:t xml:space="preserve"> las IPSAS, un superávit en el estado de rendimiento financiero en 2012 y en 2013, </w:t>
      </w:r>
      <w:r w:rsidR="002910EF" w:rsidRPr="009768C1">
        <w:rPr>
          <w:lang w:val="es-ES"/>
        </w:rPr>
        <w:t>por</w:t>
      </w:r>
      <w:r w:rsidRPr="009768C1">
        <w:rPr>
          <w:lang w:val="es-ES"/>
        </w:rPr>
        <w:t xml:space="preserve"> un total de 504.207 francos suizos</w:t>
      </w:r>
      <w:r w:rsidR="002910EF" w:rsidRPr="009768C1">
        <w:rPr>
          <w:lang w:val="es-ES"/>
        </w:rPr>
        <w:t>,</w:t>
      </w:r>
      <w:r w:rsidRPr="009768C1">
        <w:rPr>
          <w:lang w:val="es-ES"/>
        </w:rPr>
        <w:t xml:space="preserve"> dio lugar a un aumento de los activos netos durante el bienio</w:t>
      </w:r>
      <w:r w:rsidR="00812486" w:rsidRPr="009768C1">
        <w:rPr>
          <w:lang w:val="es-ES"/>
        </w:rPr>
        <w:t>.</w:t>
      </w:r>
    </w:p>
    <w:p w:rsidR="00812486" w:rsidRPr="009768C1" w:rsidRDefault="00812486" w:rsidP="00812486">
      <w:pPr>
        <w:rPr>
          <w:sz w:val="18"/>
          <w:szCs w:val="18"/>
          <w:lang w:val="es-ES"/>
        </w:rPr>
      </w:pPr>
    </w:p>
    <w:p w:rsidR="00B058F2" w:rsidRPr="009768C1" w:rsidRDefault="00B058F2" w:rsidP="00B058F2">
      <w:pPr>
        <w:rPr>
          <w:b/>
          <w:sz w:val="18"/>
          <w:szCs w:val="18"/>
          <w:lang w:val="es-ES"/>
        </w:rPr>
      </w:pPr>
      <w:r w:rsidRPr="009768C1">
        <w:rPr>
          <w:b/>
          <w:sz w:val="18"/>
          <w:lang w:val="es-ES"/>
        </w:rPr>
        <w:t>Resumen del activo y del pasivo</w:t>
      </w:r>
    </w:p>
    <w:p w:rsidR="00B058F2" w:rsidRPr="009768C1" w:rsidRDefault="00B058F2" w:rsidP="00B058F2">
      <w:pPr>
        <w:rPr>
          <w:b/>
          <w:sz w:val="18"/>
          <w:szCs w:val="18"/>
          <w:lang w:val="es-ES"/>
        </w:rPr>
      </w:pPr>
    </w:p>
    <w:p w:rsidR="00B058F2" w:rsidRPr="009768C1" w:rsidRDefault="00B058F2" w:rsidP="00B058F2">
      <w:pPr>
        <w:rPr>
          <w:lang w:val="es-ES"/>
        </w:rPr>
      </w:pPr>
      <w:r w:rsidRPr="009768C1">
        <w:rPr>
          <w:lang w:val="es-ES"/>
        </w:rPr>
        <w:t xml:space="preserve">En el diagrama que se reproduce bajo estas líneas se </w:t>
      </w:r>
      <w:proofErr w:type="gramStart"/>
      <w:r w:rsidRPr="009768C1">
        <w:rPr>
          <w:lang w:val="es-ES"/>
        </w:rPr>
        <w:t>presenta</w:t>
      </w:r>
      <w:proofErr w:type="gramEnd"/>
      <w:r w:rsidRPr="009768C1">
        <w:rPr>
          <w:lang w:val="es-ES"/>
        </w:rPr>
        <w:t xml:space="preserve"> un resumen del estado de la situación financiera de la UPOV a 31 de diciembre de 2013:</w:t>
      </w:r>
    </w:p>
    <w:p w:rsidR="00B058F2" w:rsidRPr="009768C1" w:rsidRDefault="00B058F2" w:rsidP="00B058F2">
      <w:pPr>
        <w:rPr>
          <w:lang w:val="es-ES"/>
        </w:rPr>
      </w:pPr>
    </w:p>
    <w:p w:rsidR="00812486" w:rsidRPr="009768C1" w:rsidRDefault="00B058F2" w:rsidP="00B058F2">
      <w:pPr>
        <w:jc w:val="center"/>
        <w:rPr>
          <w:lang w:val="es-ES"/>
        </w:rPr>
      </w:pPr>
      <w:r w:rsidRPr="009768C1">
        <w:rPr>
          <w:lang w:val="es-ES"/>
        </w:rPr>
        <w:t>Resumen del activo y del pasivo a 31 de diciembre de 2013</w:t>
      </w:r>
    </w:p>
    <w:p w:rsidR="00812486" w:rsidRPr="009768C1" w:rsidRDefault="00812486" w:rsidP="00812486">
      <w:pPr>
        <w:rPr>
          <w:lang w:val="es-ES"/>
        </w:rPr>
      </w:pPr>
    </w:p>
    <w:p w:rsidR="00812486" w:rsidRPr="009768C1" w:rsidRDefault="005B515D" w:rsidP="00812486">
      <w:pPr>
        <w:rPr>
          <w:lang w:val="es-ES"/>
        </w:rPr>
      </w:pPr>
      <w:r w:rsidRPr="005B515D">
        <w:rPr>
          <w:noProof/>
        </w:rPr>
        <w:drawing>
          <wp:inline distT="0" distB="0" distL="0" distR="0" wp14:anchorId="40E9C78C" wp14:editId="63991069">
            <wp:extent cx="6120765" cy="3373376"/>
            <wp:effectExtent l="19050" t="0" r="0" b="0"/>
            <wp:docPr id="1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srcRect/>
                    <a:stretch>
                      <a:fillRect/>
                    </a:stretch>
                  </pic:blipFill>
                  <pic:spPr bwMode="auto">
                    <a:xfrm>
                      <a:off x="0" y="0"/>
                      <a:ext cx="6120765" cy="3373376"/>
                    </a:xfrm>
                    <a:prstGeom prst="rect">
                      <a:avLst/>
                    </a:prstGeom>
                    <a:noFill/>
                    <a:ln w="9525">
                      <a:noFill/>
                      <a:miter lim="800000"/>
                      <a:headEnd/>
                      <a:tailEnd/>
                    </a:ln>
                  </pic:spPr>
                </pic:pic>
              </a:graphicData>
            </a:graphic>
          </wp:inline>
        </w:drawing>
      </w:r>
    </w:p>
    <w:p w:rsidR="00812486" w:rsidRPr="009768C1" w:rsidRDefault="00812486" w:rsidP="00812486">
      <w:pPr>
        <w:spacing w:line="276" w:lineRule="auto"/>
        <w:jc w:val="center"/>
        <w:rPr>
          <w:lang w:val="es-ES"/>
        </w:rPr>
      </w:pPr>
    </w:p>
    <w:p w:rsidR="00B058F2" w:rsidRPr="009768C1" w:rsidRDefault="00B058F2" w:rsidP="00B058F2">
      <w:pPr>
        <w:spacing w:line="276" w:lineRule="auto"/>
        <w:rPr>
          <w:lang w:val="es-ES"/>
        </w:rPr>
      </w:pPr>
      <w:r w:rsidRPr="009768C1">
        <w:rPr>
          <w:lang w:val="es-ES"/>
        </w:rPr>
        <w:t>La UPOV posee saldos de efectivo por valor de 3.728.930 francos suizos que representan el 95,7% de</w:t>
      </w:r>
      <w:r w:rsidR="002910EF" w:rsidRPr="009768C1">
        <w:rPr>
          <w:lang w:val="es-ES"/>
        </w:rPr>
        <w:t xml:space="preserve"> su</w:t>
      </w:r>
      <w:r w:rsidRPr="009768C1">
        <w:rPr>
          <w:lang w:val="es-ES"/>
        </w:rPr>
        <w:t xml:space="preserve"> activo total;  si bien, como se explica en el análisis que figura en la página siguiente, se incluyen en esta cifra diversos importes clasificados como sujetos a restricciones con arreglo a las IPSAS</w:t>
      </w:r>
      <w:r w:rsidR="001D6C32" w:rsidRPr="009768C1">
        <w:rPr>
          <w:lang w:val="es-ES"/>
        </w:rPr>
        <w:t xml:space="preserve">.  </w:t>
      </w:r>
      <w:r w:rsidRPr="009768C1">
        <w:rPr>
          <w:lang w:val="es-ES"/>
        </w:rPr>
        <w:t>El resto de los activos son las cuentas por cobrar que representan un total de 167.373 francos suizos.</w:t>
      </w:r>
    </w:p>
    <w:p w:rsidR="00B058F2" w:rsidRPr="009768C1" w:rsidRDefault="00B058F2" w:rsidP="00B058F2">
      <w:pPr>
        <w:spacing w:line="276" w:lineRule="auto"/>
        <w:rPr>
          <w:lang w:val="es-ES"/>
        </w:rPr>
      </w:pPr>
    </w:p>
    <w:p w:rsidR="00812486" w:rsidRPr="009768C1" w:rsidRDefault="00B058F2" w:rsidP="00B058F2">
      <w:pPr>
        <w:spacing w:line="276" w:lineRule="auto"/>
        <w:rPr>
          <w:lang w:val="es-ES"/>
        </w:rPr>
      </w:pPr>
      <w:r w:rsidRPr="009768C1">
        <w:rPr>
          <w:lang w:val="es-ES"/>
        </w:rPr>
        <w:t>El pasivo más importante de la UPOV son las prestaciones a los empleados, que asciende a 1.207.420 francos suizos, está constituido en su mayor parte por los pasivos relativos al seguro médico tras la separación del servicio, que representan 967.815 francos suizos</w:t>
      </w:r>
      <w:r w:rsidR="001D6C32" w:rsidRPr="009768C1">
        <w:rPr>
          <w:lang w:val="es-ES"/>
        </w:rPr>
        <w:t xml:space="preserve">.  </w:t>
      </w:r>
      <w:r w:rsidRPr="009768C1">
        <w:rPr>
          <w:lang w:val="es-ES"/>
        </w:rPr>
        <w:t xml:space="preserve">Los cobros anticipados, por valor de 402.648 francos suizos, principalmente se refieren a las contribuciones efectuadas por adelantado </w:t>
      </w:r>
      <w:r w:rsidRPr="009768C1">
        <w:rPr>
          <w:lang w:val="es-ES"/>
        </w:rPr>
        <w:lastRenderedPageBreak/>
        <w:t>(236.484 francos suizos)</w:t>
      </w:r>
      <w:r w:rsidR="001D6C32" w:rsidRPr="009768C1">
        <w:rPr>
          <w:lang w:val="es-ES"/>
        </w:rPr>
        <w:t xml:space="preserve">.  </w:t>
      </w:r>
      <w:r w:rsidRPr="009768C1">
        <w:rPr>
          <w:lang w:val="es-ES"/>
        </w:rPr>
        <w:t>Otros pasivos (541.941 francos suizos) son el importe pagadero a la Organización Mundial de la Propiedad Intelectual (OMPI), al 31 de diciembre de 2013</w:t>
      </w:r>
      <w:r w:rsidR="00812486" w:rsidRPr="009768C1">
        <w:rPr>
          <w:lang w:val="es-ES"/>
        </w:rPr>
        <w:t>.</w:t>
      </w:r>
    </w:p>
    <w:p w:rsidR="00C7055D" w:rsidRDefault="00C7055D" w:rsidP="00812486">
      <w:pPr>
        <w:spacing w:line="276" w:lineRule="auto"/>
        <w:rPr>
          <w:b/>
          <w:lang w:val="es-ES"/>
        </w:rPr>
      </w:pPr>
    </w:p>
    <w:p w:rsidR="00812486" w:rsidRPr="009768C1" w:rsidRDefault="00A14D8B" w:rsidP="00812486">
      <w:pPr>
        <w:spacing w:line="276" w:lineRule="auto"/>
        <w:rPr>
          <w:b/>
          <w:lang w:val="es-ES"/>
        </w:rPr>
      </w:pPr>
      <w:r w:rsidRPr="009768C1">
        <w:rPr>
          <w:b/>
          <w:lang w:val="es-ES"/>
        </w:rPr>
        <w:t>Efectivo y equivalentes de efectivo</w:t>
      </w:r>
    </w:p>
    <w:p w:rsidR="00812486" w:rsidRPr="009768C1" w:rsidRDefault="00812486" w:rsidP="00812486">
      <w:pPr>
        <w:spacing w:line="276" w:lineRule="auto"/>
        <w:rPr>
          <w:b/>
          <w:lang w:val="es-ES"/>
        </w:rPr>
      </w:pPr>
    </w:p>
    <w:p w:rsidR="00812486" w:rsidRDefault="005B515D" w:rsidP="00812486">
      <w:pPr>
        <w:spacing w:line="276" w:lineRule="auto"/>
        <w:rPr>
          <w:b/>
          <w:lang w:val="es-ES"/>
        </w:rPr>
      </w:pPr>
      <w:r w:rsidRPr="005B515D">
        <w:rPr>
          <w:noProof/>
        </w:rPr>
        <w:drawing>
          <wp:inline distT="0" distB="0" distL="0" distR="0" wp14:anchorId="02178216" wp14:editId="5AE635B8">
            <wp:extent cx="6120765" cy="1280331"/>
            <wp:effectExtent l="19050" t="0" r="0" b="0"/>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srcRect/>
                    <a:stretch>
                      <a:fillRect/>
                    </a:stretch>
                  </pic:blipFill>
                  <pic:spPr bwMode="auto">
                    <a:xfrm>
                      <a:off x="0" y="0"/>
                      <a:ext cx="6120765" cy="1280331"/>
                    </a:xfrm>
                    <a:prstGeom prst="rect">
                      <a:avLst/>
                    </a:prstGeom>
                    <a:noFill/>
                    <a:ln w="9525">
                      <a:noFill/>
                      <a:miter lim="800000"/>
                      <a:headEnd/>
                      <a:tailEnd/>
                    </a:ln>
                  </pic:spPr>
                </pic:pic>
              </a:graphicData>
            </a:graphic>
          </wp:inline>
        </w:drawing>
      </w:r>
    </w:p>
    <w:p w:rsidR="005B515D" w:rsidRPr="009768C1" w:rsidRDefault="005B515D" w:rsidP="00812486">
      <w:pPr>
        <w:spacing w:line="276" w:lineRule="auto"/>
        <w:rPr>
          <w:b/>
          <w:lang w:val="es-ES"/>
        </w:rPr>
      </w:pPr>
    </w:p>
    <w:p w:rsidR="00B058F2" w:rsidRPr="009768C1" w:rsidRDefault="00B058F2" w:rsidP="00B058F2">
      <w:pPr>
        <w:spacing w:line="276" w:lineRule="auto"/>
        <w:rPr>
          <w:b/>
          <w:lang w:val="es-ES"/>
        </w:rPr>
      </w:pPr>
      <w:r w:rsidRPr="009768C1">
        <w:rPr>
          <w:lang w:val="es-ES"/>
        </w:rPr>
        <w:t>El saldo de efectivo y equivalentes de efectivo ha aumentado un 16,0% durante el bienio, entre el 1 de enero de 2012 y el 31 de diciembre de 2013</w:t>
      </w:r>
      <w:r w:rsidR="001D6C32" w:rsidRPr="009768C1">
        <w:rPr>
          <w:lang w:val="es-ES"/>
        </w:rPr>
        <w:t xml:space="preserve">.  </w:t>
      </w:r>
      <w:r w:rsidRPr="009768C1">
        <w:rPr>
          <w:lang w:val="es-ES"/>
        </w:rPr>
        <w:t>A los efectos de la presentación con arreglo a las IPSAS, los saldos de efectivo se clasifican en dos categorías según que estén o no sujetos a restricciones</w:t>
      </w:r>
      <w:r w:rsidR="001D6C32" w:rsidRPr="009768C1">
        <w:rPr>
          <w:lang w:val="es-ES"/>
        </w:rPr>
        <w:t xml:space="preserve">.  </w:t>
      </w:r>
      <w:r w:rsidRPr="009768C1">
        <w:rPr>
          <w:lang w:val="es-ES"/>
        </w:rPr>
        <w:t>Los saldos de efectivo relativos al fondo de operaciones</w:t>
      </w:r>
      <w:r w:rsidR="00C270B9" w:rsidRPr="009768C1">
        <w:rPr>
          <w:lang w:val="es-ES"/>
        </w:rPr>
        <w:t xml:space="preserve"> o a los fondos extrapresupuestarios</w:t>
      </w:r>
      <w:r w:rsidRPr="009768C1">
        <w:rPr>
          <w:lang w:val="es-ES"/>
        </w:rPr>
        <w:t xml:space="preserve"> (fondos fiduciarios) se consideran sujetos a restricciones.</w:t>
      </w:r>
    </w:p>
    <w:p w:rsidR="00B058F2" w:rsidRPr="009768C1" w:rsidRDefault="00B058F2" w:rsidP="00B058F2">
      <w:pPr>
        <w:spacing w:line="276" w:lineRule="auto"/>
        <w:rPr>
          <w:b/>
          <w:lang w:val="es-ES"/>
        </w:rPr>
      </w:pPr>
    </w:p>
    <w:p w:rsidR="00812486" w:rsidRPr="009768C1" w:rsidRDefault="00B058F2" w:rsidP="00B058F2">
      <w:pPr>
        <w:spacing w:line="276" w:lineRule="auto"/>
        <w:rPr>
          <w:b/>
          <w:lang w:val="es-ES"/>
        </w:rPr>
      </w:pPr>
      <w:proofErr w:type="spellStart"/>
      <w:r w:rsidRPr="009768C1">
        <w:rPr>
          <w:b/>
        </w:rPr>
        <w:t>Otros</w:t>
      </w:r>
      <w:proofErr w:type="spellEnd"/>
      <w:r w:rsidRPr="009768C1">
        <w:rPr>
          <w:b/>
        </w:rPr>
        <w:t xml:space="preserve"> </w:t>
      </w:r>
      <w:proofErr w:type="spellStart"/>
      <w:r w:rsidRPr="009768C1">
        <w:rPr>
          <w:b/>
        </w:rPr>
        <w:t>activos</w:t>
      </w:r>
      <w:proofErr w:type="spellEnd"/>
    </w:p>
    <w:p w:rsidR="00812486" w:rsidRPr="009768C1" w:rsidRDefault="00812486" w:rsidP="00812486">
      <w:pPr>
        <w:spacing w:line="276" w:lineRule="auto"/>
        <w:rPr>
          <w:b/>
          <w:lang w:val="es-ES"/>
        </w:rPr>
      </w:pPr>
    </w:p>
    <w:p w:rsidR="00812486" w:rsidRDefault="005B515D" w:rsidP="00812486">
      <w:pPr>
        <w:spacing w:line="276" w:lineRule="auto"/>
        <w:rPr>
          <w:b/>
          <w:lang w:val="es-ES"/>
        </w:rPr>
      </w:pPr>
      <w:r w:rsidRPr="005B515D">
        <w:rPr>
          <w:noProof/>
        </w:rPr>
        <w:drawing>
          <wp:inline distT="0" distB="0" distL="0" distR="0" wp14:anchorId="4CA7C8BC" wp14:editId="5BCCAC90">
            <wp:extent cx="6120765" cy="1961208"/>
            <wp:effectExtent l="19050" t="0" r="0" b="0"/>
            <wp:docPr id="1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srcRect/>
                    <a:stretch>
                      <a:fillRect/>
                    </a:stretch>
                  </pic:blipFill>
                  <pic:spPr bwMode="auto">
                    <a:xfrm>
                      <a:off x="0" y="0"/>
                      <a:ext cx="6120765" cy="1961208"/>
                    </a:xfrm>
                    <a:prstGeom prst="rect">
                      <a:avLst/>
                    </a:prstGeom>
                    <a:noFill/>
                    <a:ln w="9525">
                      <a:noFill/>
                      <a:miter lim="800000"/>
                      <a:headEnd/>
                      <a:tailEnd/>
                    </a:ln>
                  </pic:spPr>
                </pic:pic>
              </a:graphicData>
            </a:graphic>
          </wp:inline>
        </w:drawing>
      </w:r>
    </w:p>
    <w:p w:rsidR="005B515D" w:rsidRPr="009768C1" w:rsidRDefault="005B515D" w:rsidP="00812486">
      <w:pPr>
        <w:spacing w:line="276" w:lineRule="auto"/>
        <w:rPr>
          <w:b/>
          <w:lang w:val="es-ES"/>
        </w:rPr>
      </w:pPr>
    </w:p>
    <w:p w:rsidR="00B058F2" w:rsidRPr="009768C1" w:rsidRDefault="00B058F2" w:rsidP="00B058F2">
      <w:pPr>
        <w:spacing w:line="276" w:lineRule="auto"/>
        <w:rPr>
          <w:b/>
          <w:lang w:val="es-ES"/>
        </w:rPr>
      </w:pPr>
      <w:r w:rsidRPr="009768C1">
        <w:rPr>
          <w:lang w:val="es-ES"/>
        </w:rPr>
        <w:t>El total de las cuentas por cobrar representó 167.373 francos suizos al 31 de diciembre de 2013, frente a 297.631 al 1 de enero de 2012.  Esta disminución refleja el cobro durante el bienio de una cantidad considerable de las contribuciones que estaban pendientes de pago, que se ha visto compensado en parte por un aumento de las cuentas por cobrar de los fondos extrapresupuestarios (fondos fiduciarios), aunque estos se abonaron luego, en enero de 2014.</w:t>
      </w:r>
    </w:p>
    <w:p w:rsidR="00B058F2" w:rsidRPr="009768C1" w:rsidRDefault="00B058F2" w:rsidP="00B058F2">
      <w:pPr>
        <w:spacing w:line="276" w:lineRule="auto"/>
        <w:rPr>
          <w:b/>
          <w:lang w:val="es-ES"/>
        </w:rPr>
      </w:pPr>
    </w:p>
    <w:p w:rsidR="00812486" w:rsidRPr="009768C1" w:rsidRDefault="00B058F2" w:rsidP="00B058F2">
      <w:pPr>
        <w:spacing w:line="276" w:lineRule="auto"/>
        <w:rPr>
          <w:b/>
          <w:lang w:val="es-ES"/>
        </w:rPr>
      </w:pPr>
      <w:r w:rsidRPr="009768C1">
        <w:rPr>
          <w:b/>
          <w:lang w:val="es-ES"/>
        </w:rPr>
        <w:t>Cuentas por pagar y cobros anticipados</w:t>
      </w:r>
    </w:p>
    <w:p w:rsidR="00812486" w:rsidRPr="009768C1" w:rsidRDefault="00812486" w:rsidP="00812486">
      <w:pPr>
        <w:spacing w:line="276" w:lineRule="auto"/>
        <w:rPr>
          <w:b/>
          <w:lang w:val="es-ES"/>
        </w:rPr>
      </w:pPr>
    </w:p>
    <w:p w:rsidR="00812486" w:rsidRDefault="005B515D" w:rsidP="00812486">
      <w:pPr>
        <w:spacing w:line="276" w:lineRule="auto"/>
        <w:rPr>
          <w:b/>
          <w:lang w:val="es-ES"/>
        </w:rPr>
      </w:pPr>
      <w:r w:rsidRPr="005B515D">
        <w:rPr>
          <w:noProof/>
        </w:rPr>
        <w:drawing>
          <wp:inline distT="0" distB="0" distL="0" distR="0" wp14:anchorId="5604E91A" wp14:editId="156F6DA7">
            <wp:extent cx="6120765" cy="1807388"/>
            <wp:effectExtent l="19050" t="0" r="0" b="0"/>
            <wp:docPr id="2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srcRect/>
                    <a:stretch>
                      <a:fillRect/>
                    </a:stretch>
                  </pic:blipFill>
                  <pic:spPr bwMode="auto">
                    <a:xfrm>
                      <a:off x="0" y="0"/>
                      <a:ext cx="6120765" cy="1807388"/>
                    </a:xfrm>
                    <a:prstGeom prst="rect">
                      <a:avLst/>
                    </a:prstGeom>
                    <a:noFill/>
                    <a:ln w="9525">
                      <a:noFill/>
                      <a:miter lim="800000"/>
                      <a:headEnd/>
                      <a:tailEnd/>
                    </a:ln>
                  </pic:spPr>
                </pic:pic>
              </a:graphicData>
            </a:graphic>
          </wp:inline>
        </w:drawing>
      </w:r>
    </w:p>
    <w:p w:rsidR="005B515D" w:rsidRPr="009768C1" w:rsidRDefault="005B515D" w:rsidP="00812486">
      <w:pPr>
        <w:spacing w:line="276" w:lineRule="auto"/>
        <w:rPr>
          <w:b/>
          <w:lang w:val="es-ES"/>
        </w:rPr>
      </w:pPr>
    </w:p>
    <w:p w:rsidR="00812486" w:rsidRPr="009768C1" w:rsidRDefault="00A14D8B" w:rsidP="00812486">
      <w:pPr>
        <w:pStyle w:val="Style3"/>
        <w:spacing w:after="0"/>
        <w:rPr>
          <w:lang w:val="es-ES"/>
        </w:rPr>
      </w:pPr>
      <w:r w:rsidRPr="009768C1">
        <w:rPr>
          <w:sz w:val="20"/>
          <w:lang w:val="es-ES"/>
        </w:rPr>
        <w:lastRenderedPageBreak/>
        <w:t>Las contribuciones percibidas por anticipado se registran como pasivo por cobros anticipados y se contabilizan como ingresos en el ejercicio al que corresponden</w:t>
      </w:r>
      <w:r w:rsidR="00812486" w:rsidRPr="009768C1">
        <w:rPr>
          <w:sz w:val="20"/>
          <w:lang w:val="es-ES"/>
        </w:rPr>
        <w:t>.</w:t>
      </w:r>
      <w:r w:rsidRPr="009768C1">
        <w:rPr>
          <w:sz w:val="20"/>
          <w:lang w:val="es-ES"/>
        </w:rPr>
        <w:t xml:space="preserve"> </w:t>
      </w:r>
      <w:r w:rsidR="00812486" w:rsidRPr="009768C1">
        <w:rPr>
          <w:sz w:val="20"/>
          <w:lang w:val="es-ES"/>
        </w:rPr>
        <w:t xml:space="preserve"> </w:t>
      </w:r>
      <w:r w:rsidR="00B058F2" w:rsidRPr="009768C1">
        <w:rPr>
          <w:lang w:val="es-ES"/>
        </w:rPr>
        <w:t>Los fondos extrapresupuestarios aportados por donantes a fondos fiduciarios que estén sujetos a condiciones que prevean el suministro de productos o la prestación de servicios por parte de la UPOV a los gobiernos destinatarios u otras partes interesadas se procesan como ingresos diferidos, y únicamente se reconocen tales ingresos tras la prestación efectiva de los servicios para los que se consignan los fondos extrapresupuestarios (fondos fiduciarios</w:t>
      </w:r>
      <w:r w:rsidR="005B54E4" w:rsidRPr="009768C1">
        <w:rPr>
          <w:lang w:val="es-ES"/>
        </w:rPr>
        <w:t>)</w:t>
      </w:r>
      <w:r w:rsidR="00812486" w:rsidRPr="009768C1">
        <w:rPr>
          <w:lang w:val="es-ES"/>
        </w:rPr>
        <w:t>.</w:t>
      </w:r>
    </w:p>
    <w:p w:rsidR="00812486" w:rsidRPr="009768C1" w:rsidRDefault="00812486" w:rsidP="00812486">
      <w:pPr>
        <w:spacing w:line="276" w:lineRule="auto"/>
        <w:rPr>
          <w:b/>
          <w:lang w:val="es-ES"/>
        </w:rPr>
      </w:pPr>
    </w:p>
    <w:p w:rsidR="00812486" w:rsidRPr="009768C1" w:rsidRDefault="00B058F2" w:rsidP="00812486">
      <w:pPr>
        <w:spacing w:line="276" w:lineRule="auto"/>
        <w:rPr>
          <w:b/>
          <w:lang w:val="es-ES"/>
        </w:rPr>
      </w:pPr>
      <w:proofErr w:type="spellStart"/>
      <w:r w:rsidRPr="009768C1">
        <w:rPr>
          <w:b/>
        </w:rPr>
        <w:t>Prestaciones</w:t>
      </w:r>
      <w:proofErr w:type="spellEnd"/>
      <w:r w:rsidRPr="009768C1">
        <w:rPr>
          <w:b/>
        </w:rPr>
        <w:t xml:space="preserve"> a los </w:t>
      </w:r>
      <w:proofErr w:type="spellStart"/>
      <w:r w:rsidRPr="009768C1">
        <w:rPr>
          <w:b/>
        </w:rPr>
        <w:t>empleados</w:t>
      </w:r>
      <w:proofErr w:type="spellEnd"/>
    </w:p>
    <w:p w:rsidR="00812486" w:rsidRPr="009768C1" w:rsidRDefault="00812486" w:rsidP="00812486">
      <w:pPr>
        <w:spacing w:line="276" w:lineRule="auto"/>
        <w:rPr>
          <w:b/>
          <w:lang w:val="es-ES"/>
        </w:rPr>
      </w:pPr>
    </w:p>
    <w:p w:rsidR="005B515D" w:rsidRDefault="005B515D" w:rsidP="00812486">
      <w:pPr>
        <w:spacing w:line="276" w:lineRule="auto"/>
        <w:rPr>
          <w:b/>
          <w:lang w:val="es-ES"/>
        </w:rPr>
      </w:pPr>
      <w:r w:rsidRPr="005B515D">
        <w:rPr>
          <w:noProof/>
        </w:rPr>
        <w:drawing>
          <wp:inline distT="0" distB="0" distL="0" distR="0" wp14:anchorId="6ECE6606" wp14:editId="7F2CE385">
            <wp:extent cx="5943600" cy="1653540"/>
            <wp:effectExtent l="19050" t="0" r="0" b="0"/>
            <wp:docPr id="2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srcRect/>
                    <a:stretch>
                      <a:fillRect/>
                    </a:stretch>
                  </pic:blipFill>
                  <pic:spPr bwMode="auto">
                    <a:xfrm>
                      <a:off x="0" y="0"/>
                      <a:ext cx="5943600" cy="1653540"/>
                    </a:xfrm>
                    <a:prstGeom prst="rect">
                      <a:avLst/>
                    </a:prstGeom>
                    <a:noFill/>
                    <a:ln w="9525">
                      <a:noFill/>
                      <a:miter lim="800000"/>
                      <a:headEnd/>
                      <a:tailEnd/>
                    </a:ln>
                  </pic:spPr>
                </pic:pic>
              </a:graphicData>
            </a:graphic>
          </wp:inline>
        </w:drawing>
      </w:r>
    </w:p>
    <w:p w:rsidR="005B515D" w:rsidRPr="009768C1" w:rsidRDefault="005B515D" w:rsidP="00812486">
      <w:pPr>
        <w:spacing w:line="276" w:lineRule="auto"/>
        <w:rPr>
          <w:b/>
          <w:lang w:val="es-ES"/>
        </w:rPr>
      </w:pPr>
    </w:p>
    <w:p w:rsidR="00B058F2" w:rsidRPr="009768C1" w:rsidRDefault="00B058F2" w:rsidP="00B058F2">
      <w:pPr>
        <w:spacing w:line="276" w:lineRule="auto"/>
        <w:rPr>
          <w:lang w:val="es-ES"/>
        </w:rPr>
      </w:pPr>
      <w:r w:rsidRPr="009768C1">
        <w:rPr>
          <w:lang w:val="es-ES"/>
        </w:rPr>
        <w:t>Como ilustra el cuadro que reproducimos sobre estas líneas, la obligación más importante por concepto de beneficios a los empleados de la UPOV es la relativa al seguro médico después de la separación del servicio, que representa el 80,2% del pasivo total en este apartado a 31 de diciembre de 2013</w:t>
      </w:r>
      <w:r w:rsidR="001D6C32" w:rsidRPr="009768C1">
        <w:rPr>
          <w:lang w:val="es-ES"/>
        </w:rPr>
        <w:t xml:space="preserve">.  </w:t>
      </w:r>
      <w:r w:rsidRPr="009768C1">
        <w:rPr>
          <w:lang w:val="es-ES"/>
        </w:rPr>
        <w:t>La obligación del seguro médico después de la separación del servicio se ha incrementado en 83.239 francos suizos durante el transcurso del bienio 2012/13;  en el cuadro siguiente se de</w:t>
      </w:r>
      <w:r w:rsidR="00FC0C26" w:rsidRPr="009768C1">
        <w:rPr>
          <w:lang w:val="es-ES"/>
        </w:rPr>
        <w:t>talla este movimiento:</w:t>
      </w:r>
    </w:p>
    <w:p w:rsidR="00812486" w:rsidRPr="009768C1" w:rsidRDefault="00812486" w:rsidP="00812486">
      <w:pPr>
        <w:spacing w:line="276" w:lineRule="auto"/>
        <w:rPr>
          <w:b/>
          <w:lang w:val="es-ES"/>
        </w:rPr>
      </w:pPr>
    </w:p>
    <w:p w:rsidR="005B515D" w:rsidRDefault="005B515D" w:rsidP="00812486">
      <w:pPr>
        <w:spacing w:line="276" w:lineRule="auto"/>
        <w:jc w:val="center"/>
        <w:rPr>
          <w:noProof/>
          <w:highlight w:val="yellow"/>
          <w:lang w:val="es-ES" w:eastAsia="es-ES"/>
        </w:rPr>
      </w:pPr>
    </w:p>
    <w:p w:rsidR="00812486" w:rsidRPr="009768C1" w:rsidRDefault="005B515D" w:rsidP="00812486">
      <w:pPr>
        <w:spacing w:line="276" w:lineRule="auto"/>
        <w:jc w:val="center"/>
        <w:rPr>
          <w:b/>
          <w:lang w:val="es-ES"/>
        </w:rPr>
      </w:pPr>
      <w:r w:rsidRPr="005B515D">
        <w:rPr>
          <w:noProof/>
        </w:rPr>
        <w:drawing>
          <wp:inline distT="0" distB="0" distL="0" distR="0" wp14:anchorId="7821625E" wp14:editId="33C7B67F">
            <wp:extent cx="6120765" cy="1322511"/>
            <wp:effectExtent l="19050" t="0" r="0" b="0"/>
            <wp:docPr id="2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srcRect/>
                    <a:stretch>
                      <a:fillRect/>
                    </a:stretch>
                  </pic:blipFill>
                  <pic:spPr bwMode="auto">
                    <a:xfrm>
                      <a:off x="0" y="0"/>
                      <a:ext cx="6120765" cy="1322511"/>
                    </a:xfrm>
                    <a:prstGeom prst="rect">
                      <a:avLst/>
                    </a:prstGeom>
                    <a:noFill/>
                    <a:ln w="9525">
                      <a:noFill/>
                      <a:miter lim="800000"/>
                      <a:headEnd/>
                      <a:tailEnd/>
                    </a:ln>
                  </pic:spPr>
                </pic:pic>
              </a:graphicData>
            </a:graphic>
          </wp:inline>
        </w:drawing>
      </w:r>
    </w:p>
    <w:p w:rsidR="00F52401" w:rsidRDefault="00F52401" w:rsidP="00B363DD">
      <w:pPr>
        <w:spacing w:line="276" w:lineRule="auto"/>
        <w:rPr>
          <w:lang w:val="es-ES"/>
        </w:rPr>
      </w:pPr>
    </w:p>
    <w:p w:rsidR="00B363DD" w:rsidRPr="009768C1" w:rsidRDefault="00B363DD" w:rsidP="00B363DD">
      <w:pPr>
        <w:spacing w:line="276" w:lineRule="auto"/>
        <w:rPr>
          <w:b/>
          <w:lang w:val="es-ES"/>
        </w:rPr>
      </w:pPr>
      <w:r w:rsidRPr="009768C1">
        <w:rPr>
          <w:lang w:val="es-ES"/>
        </w:rPr>
        <w:t xml:space="preserve">La obligación es calculada por un actuario independiente y </w:t>
      </w:r>
      <w:proofErr w:type="gramStart"/>
      <w:r w:rsidRPr="009768C1">
        <w:rPr>
          <w:lang w:val="es-ES"/>
        </w:rPr>
        <w:t>refleja</w:t>
      </w:r>
      <w:proofErr w:type="gramEnd"/>
      <w:r w:rsidRPr="009768C1">
        <w:rPr>
          <w:lang w:val="es-ES"/>
        </w:rPr>
        <w:t xml:space="preserve"> el costo total futuro representado por la parte correspondiente a la UPOV de las primas de seguro médico de los actuales jubilados de la UPOV y del número proyectado de miembros activos del personal que se jubilarán en el futuro</w:t>
      </w:r>
      <w:r w:rsidR="001D6C32" w:rsidRPr="009768C1">
        <w:rPr>
          <w:lang w:val="es-ES"/>
        </w:rPr>
        <w:t xml:space="preserve">.  </w:t>
      </w:r>
      <w:r w:rsidRPr="009768C1">
        <w:rPr>
          <w:lang w:val="es-ES"/>
        </w:rPr>
        <w:t>El costo de los servicios del período corriente que aparece en el cuadro anterior es la incidencia neta durante el período que resulta del aumento de edad del personal actual y de sus personas dependientes, del número de personas que se jubilan y de las nuevas contrataciones y separaciones del servicio que no sean por vía de jubilación</w:t>
      </w:r>
      <w:r w:rsidR="001D6C32" w:rsidRPr="009768C1">
        <w:rPr>
          <w:lang w:val="es-ES"/>
        </w:rPr>
        <w:t xml:space="preserve">.  </w:t>
      </w:r>
      <w:r w:rsidRPr="009768C1">
        <w:rPr>
          <w:lang w:val="es-ES"/>
        </w:rPr>
        <w:t>El costo de los intereses es el efecto resultante del hecho de que cada miembro activo del personal se encuentra un año más cerca de alcanzar la edad en que podrá optar a la jubilación con seguro médico.</w:t>
      </w:r>
    </w:p>
    <w:p w:rsidR="00B363DD" w:rsidRPr="009768C1" w:rsidRDefault="00B363DD" w:rsidP="00B363DD">
      <w:pPr>
        <w:spacing w:line="276" w:lineRule="auto"/>
        <w:rPr>
          <w:b/>
          <w:lang w:val="es-ES"/>
        </w:rPr>
      </w:pPr>
    </w:p>
    <w:p w:rsidR="00B363DD" w:rsidRPr="009768C1" w:rsidRDefault="00B363DD" w:rsidP="00B363DD">
      <w:pPr>
        <w:spacing w:line="276" w:lineRule="auto"/>
        <w:rPr>
          <w:b/>
          <w:lang w:val="es-ES"/>
        </w:rPr>
      </w:pPr>
      <w:r w:rsidRPr="009768C1">
        <w:rPr>
          <w:b/>
          <w:lang w:val="es-ES"/>
        </w:rPr>
        <w:t>Situación financiera por segmentos</w:t>
      </w:r>
    </w:p>
    <w:p w:rsidR="00B363DD" w:rsidRPr="009768C1" w:rsidRDefault="00B363DD" w:rsidP="00B363DD">
      <w:pPr>
        <w:spacing w:line="276" w:lineRule="auto"/>
        <w:rPr>
          <w:b/>
          <w:lang w:val="es-ES"/>
        </w:rPr>
      </w:pPr>
    </w:p>
    <w:p w:rsidR="00812486" w:rsidRPr="009768C1" w:rsidRDefault="00B363DD" w:rsidP="00B363DD">
      <w:pPr>
        <w:spacing w:line="276" w:lineRule="auto"/>
        <w:rPr>
          <w:lang w:val="es-ES"/>
        </w:rPr>
      </w:pPr>
      <w:r w:rsidRPr="009768C1">
        <w:rPr>
          <w:lang w:val="es-ES"/>
        </w:rPr>
        <w:t>Las IPSAS exigen que la UPOV divulgue los elementos de su activo y de su pasivo para cada uno de los segmentos que constituyen la Organización</w:t>
      </w:r>
      <w:r w:rsidR="001D6C32" w:rsidRPr="009768C1">
        <w:rPr>
          <w:lang w:val="es-ES"/>
        </w:rPr>
        <w:t xml:space="preserve">.  </w:t>
      </w:r>
      <w:r w:rsidRPr="009768C1">
        <w:rPr>
          <w:lang w:val="es-ES"/>
        </w:rPr>
        <w:t>La información financiera por segmentos se basa en las principales actividades y fuentes de financiación de la UPOV, por lo que la Organización presenta la información financiera de dos segmentos por separado</w:t>
      </w:r>
      <w:proofErr w:type="gramStart"/>
      <w:r w:rsidR="001D6C32" w:rsidRPr="009768C1">
        <w:rPr>
          <w:lang w:val="es-ES"/>
        </w:rPr>
        <w:t xml:space="preserve">:  </w:t>
      </w:r>
      <w:r w:rsidRPr="009768C1">
        <w:rPr>
          <w:lang w:val="es-ES"/>
        </w:rPr>
        <w:t>el</w:t>
      </w:r>
      <w:proofErr w:type="gramEnd"/>
      <w:r w:rsidRPr="009768C1">
        <w:rPr>
          <w:lang w:val="es-ES"/>
        </w:rPr>
        <w:t xml:space="preserve"> programa y presupuesto ordinario y los fondos fiduciarios (fondos extrapresupuestarios)</w:t>
      </w:r>
      <w:r w:rsidR="001D6C32" w:rsidRPr="009768C1">
        <w:rPr>
          <w:lang w:val="es-ES"/>
        </w:rPr>
        <w:t xml:space="preserve">.  </w:t>
      </w:r>
      <w:r w:rsidRPr="009768C1">
        <w:rPr>
          <w:lang w:val="es-ES"/>
        </w:rPr>
        <w:t xml:space="preserve">Los fondos fiduciarios representan los importes administrados por la UPOV en nombre de donantes individuales para llevar a cabo programas que sean compatibles con las </w:t>
      </w:r>
      <w:r w:rsidRPr="009768C1">
        <w:rPr>
          <w:lang w:val="es-ES"/>
        </w:rPr>
        <w:lastRenderedPageBreak/>
        <w:t>normas, los objetivos y las actividades de la UPOV</w:t>
      </w:r>
      <w:r w:rsidR="001D6C32" w:rsidRPr="009768C1">
        <w:rPr>
          <w:lang w:val="es-ES"/>
        </w:rPr>
        <w:t xml:space="preserve">.  </w:t>
      </w:r>
      <w:r w:rsidRPr="009768C1">
        <w:rPr>
          <w:lang w:val="es-ES"/>
        </w:rPr>
        <w:t>El programa y presupuesto ordinario y los fondos fiduciarios se contabilizan por separado dentro del sistema de contabilidad financiera</w:t>
      </w:r>
      <w:r w:rsidR="00812486" w:rsidRPr="009768C1">
        <w:rPr>
          <w:lang w:val="es-ES"/>
        </w:rPr>
        <w:t>.</w:t>
      </w:r>
    </w:p>
    <w:p w:rsidR="00812486" w:rsidRPr="009768C1" w:rsidRDefault="00812486" w:rsidP="00812486">
      <w:pPr>
        <w:spacing w:line="276" w:lineRule="auto"/>
        <w:rPr>
          <w:b/>
          <w:lang w:val="es-ES"/>
        </w:rPr>
      </w:pPr>
    </w:p>
    <w:p w:rsidR="00812486" w:rsidRPr="009768C1" w:rsidRDefault="00442921" w:rsidP="00812486">
      <w:pPr>
        <w:spacing w:line="276" w:lineRule="auto"/>
        <w:rPr>
          <w:lang w:val="es-ES"/>
        </w:rPr>
      </w:pPr>
      <w:r w:rsidRPr="00442921">
        <w:rPr>
          <w:noProof/>
        </w:rPr>
        <w:drawing>
          <wp:inline distT="0" distB="0" distL="0" distR="0" wp14:anchorId="0FB0F3D7" wp14:editId="12874072">
            <wp:extent cx="6120765" cy="5326946"/>
            <wp:effectExtent l="19050" t="0" r="0" b="0"/>
            <wp:docPr id="4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srcRect/>
                    <a:stretch>
                      <a:fillRect/>
                    </a:stretch>
                  </pic:blipFill>
                  <pic:spPr bwMode="auto">
                    <a:xfrm>
                      <a:off x="0" y="0"/>
                      <a:ext cx="6120765" cy="5326946"/>
                    </a:xfrm>
                    <a:prstGeom prst="rect">
                      <a:avLst/>
                    </a:prstGeom>
                    <a:noFill/>
                    <a:ln w="9525">
                      <a:noFill/>
                      <a:miter lim="800000"/>
                      <a:headEnd/>
                      <a:tailEnd/>
                    </a:ln>
                  </pic:spPr>
                </pic:pic>
              </a:graphicData>
            </a:graphic>
          </wp:inline>
        </w:drawing>
      </w:r>
    </w:p>
    <w:p w:rsidR="00812486" w:rsidRDefault="00812486" w:rsidP="00812486">
      <w:pPr>
        <w:spacing w:line="276" w:lineRule="auto"/>
        <w:rPr>
          <w:lang w:val="es-ES"/>
        </w:rPr>
      </w:pPr>
    </w:p>
    <w:p w:rsidR="00F52401" w:rsidRPr="009768C1" w:rsidRDefault="00F52401" w:rsidP="00812486">
      <w:pPr>
        <w:spacing w:line="276" w:lineRule="auto"/>
        <w:rPr>
          <w:lang w:val="es-ES"/>
        </w:rPr>
      </w:pPr>
    </w:p>
    <w:p w:rsidR="00C7055D" w:rsidRDefault="00C7055D">
      <w:pPr>
        <w:jc w:val="left"/>
        <w:rPr>
          <w:b/>
          <w:lang w:val="es-ES" w:eastAsia="en-GB"/>
        </w:rPr>
      </w:pPr>
      <w:bookmarkStart w:id="42" w:name="_Toc397086223"/>
      <w:r>
        <w:br w:type="page"/>
      </w:r>
    </w:p>
    <w:p w:rsidR="00812486" w:rsidRPr="009768C1" w:rsidRDefault="00C7055D" w:rsidP="00C7055D">
      <w:pPr>
        <w:pStyle w:val="Heading2"/>
      </w:pPr>
      <w:bookmarkStart w:id="43" w:name="_Toc397086722"/>
      <w:r w:rsidRPr="009768C1">
        <w:lastRenderedPageBreak/>
        <w:t>Análisis del estado de rendimiento financiero</w:t>
      </w:r>
      <w:bookmarkEnd w:id="42"/>
      <w:bookmarkEnd w:id="43"/>
    </w:p>
    <w:p w:rsidR="00812486" w:rsidRPr="009768C1" w:rsidRDefault="00812486" w:rsidP="00A14D8B">
      <w:pPr>
        <w:pStyle w:val="Heading4"/>
        <w:rPr>
          <w:color w:val="auto"/>
        </w:rPr>
      </w:pPr>
    </w:p>
    <w:p w:rsidR="00812486" w:rsidRPr="009768C1" w:rsidRDefault="00B363DD" w:rsidP="00812486">
      <w:pPr>
        <w:keepNext/>
        <w:spacing w:line="276" w:lineRule="auto"/>
        <w:rPr>
          <w:b/>
        </w:rPr>
      </w:pPr>
      <w:proofErr w:type="spellStart"/>
      <w:r w:rsidRPr="009768C1">
        <w:rPr>
          <w:b/>
        </w:rPr>
        <w:t>Ingresos</w:t>
      </w:r>
      <w:proofErr w:type="spellEnd"/>
    </w:p>
    <w:p w:rsidR="00812486" w:rsidRPr="009768C1" w:rsidRDefault="00812486" w:rsidP="00812486">
      <w:pPr>
        <w:keepNext/>
        <w:spacing w:line="276" w:lineRule="auto"/>
        <w:rPr>
          <w:b/>
          <w:lang w:val="es-ES"/>
        </w:rPr>
      </w:pPr>
    </w:p>
    <w:p w:rsidR="00812486" w:rsidRPr="009768C1" w:rsidRDefault="00442921" w:rsidP="00812486">
      <w:pPr>
        <w:spacing w:line="276" w:lineRule="auto"/>
        <w:jc w:val="center"/>
        <w:rPr>
          <w:b/>
          <w:lang w:val="es-ES"/>
        </w:rPr>
      </w:pPr>
      <w:r w:rsidRPr="00442921">
        <w:rPr>
          <w:noProof/>
        </w:rPr>
        <w:drawing>
          <wp:inline distT="0" distB="0" distL="0" distR="0" wp14:anchorId="2E8B123E" wp14:editId="2847B256">
            <wp:extent cx="6120765" cy="2240571"/>
            <wp:effectExtent l="19050" t="0" r="0" b="0"/>
            <wp:docPr id="4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srcRect/>
                    <a:stretch>
                      <a:fillRect/>
                    </a:stretch>
                  </pic:blipFill>
                  <pic:spPr bwMode="auto">
                    <a:xfrm>
                      <a:off x="0" y="0"/>
                      <a:ext cx="6120765" cy="2240571"/>
                    </a:xfrm>
                    <a:prstGeom prst="rect">
                      <a:avLst/>
                    </a:prstGeom>
                    <a:noFill/>
                    <a:ln w="9525">
                      <a:noFill/>
                      <a:miter lim="800000"/>
                      <a:headEnd/>
                      <a:tailEnd/>
                    </a:ln>
                  </pic:spPr>
                </pic:pic>
              </a:graphicData>
            </a:graphic>
          </wp:inline>
        </w:drawing>
      </w:r>
    </w:p>
    <w:p w:rsidR="00F52401" w:rsidRDefault="00F52401" w:rsidP="00812486">
      <w:pPr>
        <w:spacing w:line="276" w:lineRule="auto"/>
        <w:rPr>
          <w:lang w:val="es-ES"/>
        </w:rPr>
      </w:pPr>
    </w:p>
    <w:p w:rsidR="00812486" w:rsidRPr="009768C1" w:rsidRDefault="00B363DD" w:rsidP="00812486">
      <w:pPr>
        <w:spacing w:line="276" w:lineRule="auto"/>
        <w:rPr>
          <w:b/>
          <w:lang w:val="es-ES"/>
        </w:rPr>
      </w:pPr>
      <w:r w:rsidRPr="009768C1">
        <w:rPr>
          <w:lang w:val="es-ES"/>
        </w:rPr>
        <w:t>Las contribuciones contempladas en el programa y presupuesto ordinario representan importes pagaderos al inicio de cada año del bienio</w:t>
      </w:r>
      <w:r w:rsidR="001D6C32" w:rsidRPr="009768C1">
        <w:rPr>
          <w:rFonts w:cs="Arial"/>
          <w:szCs w:val="22"/>
          <w:lang w:val="es-ES"/>
        </w:rPr>
        <w:t xml:space="preserve">.  </w:t>
      </w:r>
      <w:r w:rsidR="00A14D8B" w:rsidRPr="009768C1">
        <w:rPr>
          <w:rFonts w:cs="Arial"/>
          <w:szCs w:val="22"/>
          <w:lang w:val="es-ES"/>
        </w:rPr>
        <w:t>Los fondos extrapresupuestarios procedentes de fondos fiduciarios representan ingresos percibidos en relación con las aportaciones efectuadas por donantes a proyectos concretos no incluidos en el programa y presupuesto ordinario.  Los ingresos derivados de los fondos extrapresupuestarios (fondos fiduciarios) se aplazan hasta su devengo mediante la prestación de los servicios concretos estipulados en el plan de trabajo acordado con el donante</w:t>
      </w:r>
      <w:r w:rsidR="00812486" w:rsidRPr="009768C1">
        <w:rPr>
          <w:rFonts w:cs="Arial"/>
          <w:szCs w:val="22"/>
          <w:lang w:val="es-ES"/>
        </w:rPr>
        <w:t>.</w:t>
      </w:r>
    </w:p>
    <w:p w:rsidR="00812486" w:rsidRPr="009768C1" w:rsidRDefault="00812486" w:rsidP="00812486">
      <w:pPr>
        <w:spacing w:line="276" w:lineRule="auto"/>
        <w:rPr>
          <w:b/>
          <w:lang w:val="es-ES"/>
        </w:rPr>
      </w:pPr>
    </w:p>
    <w:p w:rsidR="00812486" w:rsidRPr="009768C1" w:rsidRDefault="00B363DD" w:rsidP="00812486">
      <w:pPr>
        <w:spacing w:line="276" w:lineRule="auto"/>
        <w:rPr>
          <w:b/>
          <w:lang w:val="es-ES"/>
        </w:rPr>
      </w:pPr>
      <w:r w:rsidRPr="009768C1">
        <w:rPr>
          <w:b/>
          <w:lang w:val="es-ES"/>
        </w:rPr>
        <w:t>Gasto</w:t>
      </w:r>
      <w:r w:rsidR="00812486" w:rsidRPr="009768C1">
        <w:rPr>
          <w:b/>
          <w:lang w:val="es-ES"/>
        </w:rPr>
        <w:t>s</w:t>
      </w:r>
    </w:p>
    <w:p w:rsidR="00812486" w:rsidRPr="009768C1" w:rsidRDefault="00812486" w:rsidP="00812486">
      <w:pPr>
        <w:spacing w:line="276" w:lineRule="auto"/>
        <w:rPr>
          <w:b/>
          <w:lang w:val="es-ES"/>
        </w:rPr>
      </w:pPr>
    </w:p>
    <w:p w:rsidR="00812486" w:rsidRPr="009768C1" w:rsidRDefault="00442921" w:rsidP="00812486">
      <w:pPr>
        <w:spacing w:line="276" w:lineRule="auto"/>
        <w:jc w:val="center"/>
        <w:rPr>
          <w:lang w:val="es-ES"/>
        </w:rPr>
      </w:pPr>
      <w:r w:rsidRPr="00442921">
        <w:rPr>
          <w:noProof/>
        </w:rPr>
        <w:drawing>
          <wp:inline distT="0" distB="0" distL="0" distR="0" wp14:anchorId="6191509A" wp14:editId="1ECE091A">
            <wp:extent cx="5036820" cy="2506980"/>
            <wp:effectExtent l="19050" t="0" r="0" b="0"/>
            <wp:docPr id="4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srcRect/>
                    <a:stretch>
                      <a:fillRect/>
                    </a:stretch>
                  </pic:blipFill>
                  <pic:spPr bwMode="auto">
                    <a:xfrm>
                      <a:off x="0" y="0"/>
                      <a:ext cx="5036820" cy="2506980"/>
                    </a:xfrm>
                    <a:prstGeom prst="rect">
                      <a:avLst/>
                    </a:prstGeom>
                    <a:noFill/>
                    <a:ln w="9525">
                      <a:noFill/>
                      <a:miter lim="800000"/>
                      <a:headEnd/>
                      <a:tailEnd/>
                    </a:ln>
                  </pic:spPr>
                </pic:pic>
              </a:graphicData>
            </a:graphic>
          </wp:inline>
        </w:drawing>
      </w:r>
    </w:p>
    <w:p w:rsidR="0007572A" w:rsidRPr="009768C1" w:rsidRDefault="0007572A" w:rsidP="00812486">
      <w:pPr>
        <w:pStyle w:val="Styletexte"/>
        <w:spacing w:after="0"/>
        <w:rPr>
          <w:rFonts w:cs="Arial"/>
          <w:sz w:val="20"/>
          <w:lang w:val="es-ES"/>
        </w:rPr>
      </w:pPr>
    </w:p>
    <w:p w:rsidR="00812486" w:rsidRPr="009768C1" w:rsidRDefault="00B363DD" w:rsidP="00812486">
      <w:pPr>
        <w:pStyle w:val="Styletexte"/>
        <w:spacing w:after="0"/>
        <w:rPr>
          <w:sz w:val="20"/>
          <w:lang w:val="es-ES"/>
        </w:rPr>
      </w:pPr>
      <w:r w:rsidRPr="009768C1">
        <w:rPr>
          <w:rFonts w:cs="Arial"/>
          <w:sz w:val="20"/>
          <w:lang w:val="es-ES"/>
        </w:rPr>
        <w:t xml:space="preserve">En </w:t>
      </w:r>
      <w:r w:rsidRPr="009768C1">
        <w:rPr>
          <w:sz w:val="20"/>
          <w:lang w:val="es-ES"/>
        </w:rPr>
        <w:t xml:space="preserve">los gastos de personal se incluyen las prestaciones a corto plazo a los empleados tales como el sueldo de base, el reajuste por lugar de destino, las prestaciones por personas a cargo, la aportación al fondo de pensiones, las aportaciones al seguro médico y a otros seguros, las vacaciones en el país de origen y otras prestaciones para el personal permanente y el personal temporero. </w:t>
      </w:r>
      <w:r w:rsidR="0007572A" w:rsidRPr="009768C1">
        <w:rPr>
          <w:sz w:val="20"/>
          <w:lang w:val="es-ES"/>
        </w:rPr>
        <w:t xml:space="preserve"> </w:t>
      </w:r>
      <w:r w:rsidRPr="009768C1">
        <w:rPr>
          <w:sz w:val="20"/>
          <w:lang w:val="es-ES"/>
        </w:rPr>
        <w:t>Como consecuencia de la aplicación de las IPSAS, los gastos de personal incluyen también los importes correspondientes a los movimientos registrados en las provisiones para el pasivo por prestaciones a los empleados</w:t>
      </w:r>
    </w:p>
    <w:p w:rsidR="00812486" w:rsidRPr="009768C1" w:rsidRDefault="00812486" w:rsidP="00812486">
      <w:pPr>
        <w:pStyle w:val="Styletexte"/>
        <w:spacing w:after="0"/>
        <w:rPr>
          <w:sz w:val="20"/>
          <w:lang w:val="es-ES"/>
        </w:rPr>
      </w:pPr>
    </w:p>
    <w:p w:rsidR="00812486" w:rsidRDefault="00A14D8B" w:rsidP="00812486">
      <w:pPr>
        <w:spacing w:line="276" w:lineRule="auto"/>
        <w:rPr>
          <w:lang w:val="es-ES"/>
        </w:rPr>
      </w:pPr>
      <w:r w:rsidRPr="009768C1">
        <w:rPr>
          <w:lang w:val="es-ES"/>
        </w:rPr>
        <w:t xml:space="preserve">En los gastos de viajes se incluyen los costos del pasaje aéreo, las dietas, los pequeños gastos de salida y llegada y otros gastos de viaje del personal relativos a misiones oficiales, así como los gastos de viaje y dietas para participantes, conferenciantes y becarios en relación con actividades de formación.  En los servicios contractuales se incluyen los honorarios de los traductores e intérpretes y los correspondientes a </w:t>
      </w:r>
      <w:r w:rsidRPr="009768C1">
        <w:rPr>
          <w:lang w:val="es-ES"/>
        </w:rPr>
        <w:lastRenderedPageBreak/>
        <w:t>otros acuerdos de servicios externos.  En los gastos de funcionamiento se incluyen gastos tales como el alquiler, el mantenimiento y los cargos bancarios</w:t>
      </w:r>
      <w:r w:rsidR="00812486" w:rsidRPr="009768C1">
        <w:rPr>
          <w:lang w:val="es-ES"/>
        </w:rPr>
        <w:t>.</w:t>
      </w:r>
    </w:p>
    <w:p w:rsidR="00F7227E" w:rsidRPr="009768C1" w:rsidRDefault="00F7227E" w:rsidP="00812486">
      <w:pPr>
        <w:spacing w:line="276" w:lineRule="auto"/>
        <w:rPr>
          <w:lang w:val="es-ES"/>
        </w:rPr>
      </w:pPr>
    </w:p>
    <w:p w:rsidR="00812486" w:rsidRPr="009768C1" w:rsidRDefault="00812486" w:rsidP="00812486">
      <w:pPr>
        <w:spacing w:after="200" w:line="276" w:lineRule="auto"/>
        <w:rPr>
          <w:u w:val="single"/>
          <w:lang w:val="es-ES"/>
        </w:rPr>
      </w:pPr>
      <w:r w:rsidRPr="009768C1">
        <w:rPr>
          <w:u w:val="single"/>
          <w:lang w:val="es-ES"/>
        </w:rPr>
        <w:br w:type="page"/>
      </w:r>
    </w:p>
    <w:p w:rsidR="00812486" w:rsidRPr="009768C1" w:rsidRDefault="0007572A" w:rsidP="0008624C">
      <w:pPr>
        <w:pStyle w:val="Heading1"/>
      </w:pPr>
      <w:bookmarkStart w:id="44" w:name="_Toc397086224"/>
      <w:bookmarkStart w:id="45" w:name="_Toc397086723"/>
      <w:r w:rsidRPr="009768C1">
        <w:lastRenderedPageBreak/>
        <w:t>FONDO DE OPERACIONES Y CONTRIBUCIONES</w:t>
      </w:r>
      <w:bookmarkEnd w:id="44"/>
      <w:bookmarkEnd w:id="45"/>
    </w:p>
    <w:p w:rsidR="00812486" w:rsidRPr="009768C1" w:rsidRDefault="00812486" w:rsidP="00812486">
      <w:pPr>
        <w:rPr>
          <w:lang w:val="es-ES"/>
        </w:rPr>
      </w:pPr>
    </w:p>
    <w:p w:rsidR="00B363DD" w:rsidRPr="00C95420" w:rsidRDefault="00B363DD" w:rsidP="00C95420">
      <w:pPr>
        <w:pStyle w:val="Heading5"/>
      </w:pPr>
      <w:bookmarkStart w:id="46" w:name="_Toc397086225"/>
      <w:bookmarkStart w:id="47" w:name="_Toc397086724"/>
      <w:r w:rsidRPr="00C95420">
        <w:t>Fondo de operaciones al 31 de diciembre de 2013</w:t>
      </w:r>
      <w:bookmarkEnd w:id="46"/>
      <w:bookmarkEnd w:id="47"/>
    </w:p>
    <w:p w:rsidR="00B363DD" w:rsidRPr="009768C1" w:rsidRDefault="00B363DD" w:rsidP="00C7055D">
      <w:pPr>
        <w:pStyle w:val="Heading2"/>
        <w:rPr>
          <w:snapToGrid w:val="0"/>
        </w:rPr>
      </w:pPr>
    </w:p>
    <w:p w:rsidR="00812486" w:rsidRPr="009768C1" w:rsidRDefault="00B363DD" w:rsidP="00B363DD">
      <w:pPr>
        <w:rPr>
          <w:snapToGrid w:val="0"/>
          <w:lang w:val="es-ES"/>
        </w:rPr>
      </w:pPr>
      <w:r w:rsidRPr="009768C1">
        <w:rPr>
          <w:snapToGrid w:val="0"/>
          <w:lang w:val="es-ES"/>
        </w:rPr>
        <w:t xml:space="preserve">En virtud del artículo 4.2 de su Reglamento Financiero, la UPOV dispone de un fondo de operaciones (véase el documento UPOV/INF/4/3). </w:t>
      </w:r>
      <w:r w:rsidR="0007572A" w:rsidRPr="009768C1">
        <w:rPr>
          <w:snapToGrid w:val="0"/>
          <w:lang w:val="es-ES"/>
        </w:rPr>
        <w:t xml:space="preserve"> </w:t>
      </w:r>
      <w:r w:rsidRPr="009768C1">
        <w:rPr>
          <w:snapToGrid w:val="0"/>
          <w:lang w:val="es-ES"/>
        </w:rPr>
        <w:t>Según el estado de la situación f</w:t>
      </w:r>
      <w:r w:rsidR="00C95420">
        <w:rPr>
          <w:snapToGrid w:val="0"/>
          <w:lang w:val="es-ES"/>
        </w:rPr>
        <w:t>inanciera al 31 de diciembre de </w:t>
      </w:r>
      <w:r w:rsidRPr="009768C1">
        <w:rPr>
          <w:snapToGrid w:val="0"/>
          <w:lang w:val="es-ES"/>
        </w:rPr>
        <w:t>2013, el  fondo de operaciones asciende a 540.011 francos suizos</w:t>
      </w:r>
      <w:r w:rsidR="00812486" w:rsidRPr="009768C1">
        <w:rPr>
          <w:snapToGrid w:val="0"/>
          <w:lang w:val="es-ES"/>
        </w:rPr>
        <w:t xml:space="preserve">.  </w:t>
      </w:r>
      <w:r w:rsidR="00A14D8B" w:rsidRPr="009768C1">
        <w:rPr>
          <w:snapToGrid w:val="0"/>
          <w:lang w:val="es-ES"/>
        </w:rPr>
        <w:t xml:space="preserve">La participación de los miembros de la Unión, calculada de conformidad con las decisiones adoptadas por el Consejo durante sus sesiones de noviembre de 1972 (documento UPOV/C/VI/12, párrafo 57), octubre de 1992 (documento C/26/15, párrafo 14) y abril de 2006 (documento </w:t>
      </w:r>
      <w:proofErr w:type="gramStart"/>
      <w:r w:rsidR="00A14D8B" w:rsidRPr="009768C1">
        <w:rPr>
          <w:snapToGrid w:val="0"/>
          <w:lang w:val="es-ES"/>
        </w:rPr>
        <w:t>C(</w:t>
      </w:r>
      <w:proofErr w:type="spellStart"/>
      <w:proofErr w:type="gramEnd"/>
      <w:r w:rsidR="00A14D8B" w:rsidRPr="009768C1">
        <w:rPr>
          <w:snapToGrid w:val="0"/>
          <w:lang w:val="es-ES"/>
        </w:rPr>
        <w:t>Extr</w:t>
      </w:r>
      <w:proofErr w:type="spellEnd"/>
      <w:r w:rsidR="00A14D8B" w:rsidRPr="009768C1">
        <w:rPr>
          <w:snapToGrid w:val="0"/>
          <w:lang w:val="es-ES"/>
        </w:rPr>
        <w:t xml:space="preserve">.)/23/4, </w:t>
      </w:r>
      <w:proofErr w:type="gramStart"/>
      <w:r w:rsidR="00A14D8B" w:rsidRPr="009768C1">
        <w:rPr>
          <w:snapToGrid w:val="0"/>
          <w:lang w:val="es-ES"/>
        </w:rPr>
        <w:t>párrafo</w:t>
      </w:r>
      <w:proofErr w:type="gramEnd"/>
      <w:r w:rsidR="00A14D8B" w:rsidRPr="009768C1">
        <w:rPr>
          <w:snapToGrid w:val="0"/>
          <w:lang w:val="es-ES"/>
        </w:rPr>
        <w:t> 10 y documento UPOV/INF/13, Anexo), es la siguiente:</w:t>
      </w:r>
    </w:p>
    <w:p w:rsidR="00812486" w:rsidRPr="009768C1" w:rsidRDefault="00812486" w:rsidP="00812486">
      <w:pPr>
        <w:ind w:firstLine="567"/>
        <w:rPr>
          <w:lang w:val="es-ES"/>
        </w:rPr>
      </w:pPr>
    </w:p>
    <w:tbl>
      <w:tblPr>
        <w:tblW w:w="0" w:type="auto"/>
        <w:tblInd w:w="675"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3119"/>
        <w:gridCol w:w="986"/>
        <w:gridCol w:w="360"/>
        <w:gridCol w:w="3045"/>
        <w:gridCol w:w="1041"/>
        <w:gridCol w:w="381"/>
      </w:tblGrid>
      <w:tr w:rsidR="009768C1" w:rsidRPr="009768C1" w:rsidTr="003F0654">
        <w:trPr>
          <w:tblHeader/>
        </w:trPr>
        <w:tc>
          <w:tcPr>
            <w:tcW w:w="3119" w:type="dxa"/>
            <w:tcBorders>
              <w:top w:val="single" w:sz="8" w:space="0" w:color="auto"/>
              <w:left w:val="single" w:sz="8" w:space="0" w:color="auto"/>
              <w:bottom w:val="single" w:sz="8" w:space="0" w:color="auto"/>
              <w:right w:val="nil"/>
            </w:tcBorders>
            <w:shd w:val="clear" w:color="auto" w:fill="CCFF99"/>
            <w:vAlign w:val="center"/>
          </w:tcPr>
          <w:p w:rsidR="00812486" w:rsidRPr="009768C1" w:rsidRDefault="00A30220" w:rsidP="00A30220">
            <w:pPr>
              <w:spacing w:before="120" w:after="120"/>
              <w:rPr>
                <w:rFonts w:cs="Arial"/>
                <w:lang w:val="es-ES"/>
              </w:rPr>
            </w:pPr>
            <w:r w:rsidRPr="009768C1">
              <w:rPr>
                <w:rFonts w:cs="Arial"/>
                <w:lang w:val="es-ES"/>
              </w:rPr>
              <w:t>Miembros de la Unión</w:t>
            </w:r>
          </w:p>
        </w:tc>
        <w:tc>
          <w:tcPr>
            <w:tcW w:w="1346" w:type="dxa"/>
            <w:gridSpan w:val="2"/>
            <w:tcBorders>
              <w:top w:val="single" w:sz="8" w:space="0" w:color="auto"/>
              <w:left w:val="nil"/>
              <w:bottom w:val="single" w:sz="8" w:space="0" w:color="auto"/>
              <w:right w:val="single" w:sz="8" w:space="0" w:color="auto"/>
            </w:tcBorders>
            <w:shd w:val="clear" w:color="auto" w:fill="CCFF99"/>
            <w:vAlign w:val="center"/>
          </w:tcPr>
          <w:p w:rsidR="00812486" w:rsidRPr="009768C1" w:rsidRDefault="00A30220" w:rsidP="00A30220">
            <w:pPr>
              <w:spacing w:before="120" w:after="120"/>
              <w:jc w:val="center"/>
              <w:rPr>
                <w:rFonts w:cs="Arial"/>
                <w:lang w:val="es-ES"/>
              </w:rPr>
            </w:pPr>
            <w:r w:rsidRPr="009768C1">
              <w:rPr>
                <w:rFonts w:cs="Arial"/>
                <w:lang w:val="es-ES"/>
              </w:rPr>
              <w:t>Francos suizos</w:t>
            </w:r>
          </w:p>
        </w:tc>
        <w:tc>
          <w:tcPr>
            <w:tcW w:w="3045" w:type="dxa"/>
            <w:tcBorders>
              <w:top w:val="single" w:sz="8" w:space="0" w:color="auto"/>
              <w:left w:val="single" w:sz="8" w:space="0" w:color="auto"/>
              <w:bottom w:val="single" w:sz="8" w:space="0" w:color="auto"/>
              <w:right w:val="nil"/>
            </w:tcBorders>
            <w:shd w:val="clear" w:color="auto" w:fill="CCFF99"/>
            <w:vAlign w:val="center"/>
          </w:tcPr>
          <w:p w:rsidR="00812486" w:rsidRPr="009768C1" w:rsidRDefault="00A30220" w:rsidP="00A14D8B">
            <w:pPr>
              <w:spacing w:before="120" w:after="120"/>
              <w:rPr>
                <w:rFonts w:cs="Arial"/>
                <w:lang w:val="es-ES"/>
              </w:rPr>
            </w:pPr>
            <w:r w:rsidRPr="009768C1">
              <w:rPr>
                <w:rFonts w:cs="Arial"/>
                <w:lang w:val="es-ES"/>
              </w:rPr>
              <w:t>Miembros de la Unión</w:t>
            </w:r>
          </w:p>
        </w:tc>
        <w:tc>
          <w:tcPr>
            <w:tcW w:w="1422" w:type="dxa"/>
            <w:gridSpan w:val="2"/>
            <w:tcBorders>
              <w:top w:val="single" w:sz="8" w:space="0" w:color="auto"/>
              <w:left w:val="nil"/>
              <w:bottom w:val="single" w:sz="8" w:space="0" w:color="auto"/>
              <w:right w:val="single" w:sz="8" w:space="0" w:color="auto"/>
            </w:tcBorders>
            <w:shd w:val="clear" w:color="auto" w:fill="CCFF99"/>
            <w:vAlign w:val="center"/>
          </w:tcPr>
          <w:p w:rsidR="00812486" w:rsidRPr="009768C1" w:rsidRDefault="00A30220" w:rsidP="00A14D8B">
            <w:pPr>
              <w:spacing w:before="120" w:after="120"/>
              <w:jc w:val="center"/>
              <w:rPr>
                <w:rFonts w:cs="Arial"/>
                <w:lang w:val="es-ES"/>
              </w:rPr>
            </w:pPr>
            <w:r w:rsidRPr="009768C1">
              <w:rPr>
                <w:rFonts w:cs="Arial"/>
                <w:lang w:val="es-ES"/>
              </w:rPr>
              <w:t>Francos suizos</w:t>
            </w:r>
          </w:p>
        </w:tc>
      </w:tr>
      <w:tr w:rsidR="009768C1" w:rsidRPr="009768C1" w:rsidTr="003F0654">
        <w:trPr>
          <w:tblHeader/>
        </w:trPr>
        <w:tc>
          <w:tcPr>
            <w:tcW w:w="3119" w:type="dxa"/>
            <w:tcBorders>
              <w:top w:val="single" w:sz="8" w:space="0" w:color="auto"/>
              <w:bottom w:val="nil"/>
              <w:right w:val="nil"/>
            </w:tcBorders>
            <w:vAlign w:val="center"/>
          </w:tcPr>
          <w:p w:rsidR="00812486" w:rsidRPr="009768C1" w:rsidRDefault="00812486" w:rsidP="00A14D8B">
            <w:pPr>
              <w:rPr>
                <w:rFonts w:cs="Arial"/>
                <w:sz w:val="10"/>
                <w:szCs w:val="10"/>
                <w:lang w:val="es-ES"/>
              </w:rPr>
            </w:pPr>
          </w:p>
        </w:tc>
        <w:tc>
          <w:tcPr>
            <w:tcW w:w="986" w:type="dxa"/>
            <w:tcBorders>
              <w:top w:val="single" w:sz="8" w:space="0" w:color="auto"/>
              <w:left w:val="nil"/>
              <w:bottom w:val="nil"/>
              <w:right w:val="nil"/>
            </w:tcBorders>
          </w:tcPr>
          <w:p w:rsidR="00812486" w:rsidRPr="009768C1" w:rsidRDefault="00812486" w:rsidP="00A14D8B">
            <w:pPr>
              <w:jc w:val="right"/>
              <w:rPr>
                <w:rFonts w:cs="Arial"/>
                <w:sz w:val="10"/>
                <w:szCs w:val="10"/>
                <w:lang w:val="es-ES"/>
              </w:rPr>
            </w:pPr>
          </w:p>
        </w:tc>
        <w:tc>
          <w:tcPr>
            <w:tcW w:w="360" w:type="dxa"/>
            <w:tcBorders>
              <w:top w:val="single" w:sz="8" w:space="0" w:color="auto"/>
              <w:left w:val="nil"/>
              <w:bottom w:val="nil"/>
              <w:right w:val="single" w:sz="8" w:space="0" w:color="auto"/>
            </w:tcBorders>
          </w:tcPr>
          <w:p w:rsidR="00812486" w:rsidRPr="009768C1" w:rsidRDefault="00812486" w:rsidP="00A14D8B">
            <w:pPr>
              <w:rPr>
                <w:rFonts w:cs="Arial"/>
                <w:sz w:val="10"/>
                <w:szCs w:val="10"/>
                <w:lang w:val="es-ES"/>
              </w:rPr>
            </w:pPr>
          </w:p>
        </w:tc>
        <w:tc>
          <w:tcPr>
            <w:tcW w:w="3045" w:type="dxa"/>
            <w:tcBorders>
              <w:top w:val="single" w:sz="8" w:space="0" w:color="auto"/>
              <w:left w:val="single" w:sz="8" w:space="0" w:color="auto"/>
              <w:bottom w:val="nil"/>
              <w:right w:val="nil"/>
            </w:tcBorders>
          </w:tcPr>
          <w:p w:rsidR="00812486" w:rsidRPr="009768C1" w:rsidRDefault="00812486" w:rsidP="00A14D8B">
            <w:pPr>
              <w:rPr>
                <w:rFonts w:cs="Arial"/>
                <w:sz w:val="10"/>
                <w:szCs w:val="10"/>
                <w:lang w:val="es-ES"/>
              </w:rPr>
            </w:pPr>
          </w:p>
        </w:tc>
        <w:tc>
          <w:tcPr>
            <w:tcW w:w="1041" w:type="dxa"/>
            <w:tcBorders>
              <w:top w:val="single" w:sz="8" w:space="0" w:color="auto"/>
              <w:left w:val="nil"/>
              <w:bottom w:val="nil"/>
              <w:right w:val="nil"/>
            </w:tcBorders>
          </w:tcPr>
          <w:p w:rsidR="00812486" w:rsidRPr="009768C1" w:rsidRDefault="00812486" w:rsidP="00A14D8B">
            <w:pPr>
              <w:jc w:val="right"/>
              <w:rPr>
                <w:rFonts w:cs="Arial"/>
                <w:sz w:val="10"/>
                <w:szCs w:val="10"/>
                <w:lang w:val="es-ES"/>
              </w:rPr>
            </w:pPr>
          </w:p>
        </w:tc>
        <w:tc>
          <w:tcPr>
            <w:tcW w:w="381" w:type="dxa"/>
            <w:tcBorders>
              <w:top w:val="single" w:sz="8" w:space="0" w:color="auto"/>
              <w:left w:val="nil"/>
              <w:bottom w:val="nil"/>
              <w:right w:val="single" w:sz="8" w:space="0" w:color="auto"/>
            </w:tcBorders>
          </w:tcPr>
          <w:p w:rsidR="00812486" w:rsidRPr="009768C1" w:rsidRDefault="00812486" w:rsidP="00A14D8B">
            <w:pPr>
              <w:jc w:val="left"/>
              <w:rPr>
                <w:rFonts w:cs="Arial"/>
                <w:sz w:val="10"/>
                <w:szCs w:val="10"/>
                <w:lang w:val="es-ES"/>
              </w:rPr>
            </w:pPr>
          </w:p>
        </w:tc>
      </w:tr>
      <w:tr w:rsidR="00C95420" w:rsidRPr="009768C1" w:rsidTr="003F0654">
        <w:tc>
          <w:tcPr>
            <w:tcW w:w="3119" w:type="dxa"/>
            <w:tcBorders>
              <w:top w:val="nil"/>
              <w:bottom w:val="nil"/>
              <w:right w:val="nil"/>
            </w:tcBorders>
            <w:vAlign w:val="center"/>
          </w:tcPr>
          <w:p w:rsidR="00C95420" w:rsidRPr="009768C1" w:rsidRDefault="00C95420" w:rsidP="00C95420">
            <w:pPr>
              <w:rPr>
                <w:rFonts w:cs="Arial"/>
                <w:lang w:val="es-ES"/>
              </w:rPr>
            </w:pPr>
            <w:r w:rsidRPr="009768C1">
              <w:rPr>
                <w:rFonts w:cs="Arial"/>
                <w:lang w:val="es-ES"/>
              </w:rPr>
              <w:t>Albania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Letonia</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81" w:type="dxa"/>
            <w:tcBorders>
              <w:top w:val="nil"/>
              <w:left w:val="nil"/>
              <w:bottom w:val="nil"/>
              <w:right w:val="single" w:sz="8" w:space="0" w:color="auto"/>
            </w:tcBorders>
          </w:tcPr>
          <w:p w:rsidR="00C95420" w:rsidRPr="009768C1" w:rsidRDefault="00C95420" w:rsidP="00A14D8B">
            <w:pPr>
              <w:jc w:val="left"/>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Alemania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41.667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Lituania</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Argentina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4.167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Marruecos</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Australia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8.333</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México</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6.250</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Austria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12.500</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Nicaragua</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Azerbaiyán</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Noruega</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8.333</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proofErr w:type="spellStart"/>
            <w:r w:rsidRPr="009768C1">
              <w:rPr>
                <w:rFonts w:cs="Arial"/>
                <w:lang w:val="es-ES"/>
              </w:rPr>
              <w:t>Belarús</w:t>
            </w:r>
            <w:proofErr w:type="spellEnd"/>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Nueva Zelandia</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8.333</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Bélgica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8.333</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Omán</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8.333</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jc w:val="left"/>
              <w:rPr>
                <w:rFonts w:cs="Arial"/>
                <w:lang w:val="es-ES"/>
              </w:rPr>
            </w:pPr>
            <w:r w:rsidRPr="009768C1">
              <w:rPr>
                <w:rFonts w:cs="Arial"/>
                <w:lang w:val="es-ES"/>
              </w:rPr>
              <w:t>Bolivia (Estado Plurinacional de)</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Países Bajos</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24.999</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Brasil</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2.083</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Panamá</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Pr>
                <w:rFonts w:cs="Arial"/>
                <w:lang w:val="es-ES"/>
              </w:rPr>
              <w:t>Bulgaria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Paraguay</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Canadá</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8.333</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Perú</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Chile</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Polonia</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4.167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China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4.167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Portugal</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4.167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Colombia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Reino Unido</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41.667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Costa Rica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República Checa</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4.167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Croacia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República de Corea</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12.500</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Dinamarca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8.333</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 xml:space="preserve">República de </w:t>
            </w:r>
            <w:proofErr w:type="spellStart"/>
            <w:r w:rsidRPr="009768C1">
              <w:rPr>
                <w:rFonts w:cs="Arial"/>
                <w:lang w:val="es-ES"/>
              </w:rPr>
              <w:t>Moldova</w:t>
            </w:r>
            <w:proofErr w:type="spellEnd"/>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Ecuador</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República Dominicana</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Eslovaquia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4.167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Rumania</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Eslovenia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Singapur</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España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12.500</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Sudáfrica</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8.333</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Estados Unidos de América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41.667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Suecia</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8.333</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Estonia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Pr>
                <w:rFonts w:cs="Arial"/>
                <w:lang w:val="es-ES"/>
              </w:rPr>
              <w:t>Suiza</w:t>
            </w:r>
          </w:p>
        </w:tc>
        <w:tc>
          <w:tcPr>
            <w:tcW w:w="1041" w:type="dxa"/>
            <w:tcBorders>
              <w:top w:val="nil"/>
              <w:left w:val="nil"/>
              <w:bottom w:val="nil"/>
              <w:right w:val="nil"/>
            </w:tcBorders>
          </w:tcPr>
          <w:p w:rsidR="00C95420" w:rsidRPr="009768C1" w:rsidRDefault="00C95420" w:rsidP="00C95420">
            <w:pPr>
              <w:jc w:val="right"/>
              <w:rPr>
                <w:rFonts w:cs="Arial"/>
                <w:lang w:val="es-ES"/>
              </w:rPr>
            </w:pPr>
            <w:r>
              <w:rPr>
                <w:rFonts w:cs="Arial"/>
                <w:lang w:val="es-ES"/>
              </w:rPr>
              <w:t>8.333</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jc w:val="left"/>
              <w:rPr>
                <w:rFonts w:cs="Arial"/>
                <w:lang w:val="es-ES"/>
              </w:rPr>
            </w:pPr>
            <w:r w:rsidRPr="009768C1">
              <w:rPr>
                <w:rFonts w:cs="Arial"/>
                <w:lang w:val="es-ES"/>
              </w:rPr>
              <w:t>ex República Yugoslava de Macedonia</w:t>
            </w:r>
          </w:p>
        </w:tc>
        <w:tc>
          <w:tcPr>
            <w:tcW w:w="986" w:type="dxa"/>
            <w:tcBorders>
              <w:top w:val="nil"/>
              <w:left w:val="nil"/>
              <w:bottom w:val="nil"/>
              <w:right w:val="nil"/>
            </w:tcBorders>
          </w:tcPr>
          <w:p w:rsidR="003F0654" w:rsidRDefault="003F0654" w:rsidP="00C95420">
            <w:pPr>
              <w:jc w:val="right"/>
              <w:rPr>
                <w:rFonts w:cs="Arial"/>
                <w:lang w:val="es-ES"/>
              </w:rPr>
            </w:pPr>
          </w:p>
          <w:p w:rsidR="00C95420" w:rsidRPr="009768C1" w:rsidRDefault="00C95420" w:rsidP="00C95420">
            <w:pPr>
              <w:jc w:val="right"/>
              <w:rPr>
                <w:rFonts w:cs="Arial"/>
                <w:lang w:val="es-ES"/>
              </w:rPr>
            </w:pPr>
            <w:r w:rsidRPr="009768C1">
              <w:rPr>
                <w:rFonts w:cs="Arial"/>
                <w:lang w:val="es-ES"/>
              </w:rPr>
              <w:t>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 xml:space="preserve">Trinidad y </w:t>
            </w:r>
            <w:proofErr w:type="spellStart"/>
            <w:r w:rsidRPr="009768C1">
              <w:rPr>
                <w:rFonts w:cs="Arial"/>
                <w:lang w:val="es-ES"/>
              </w:rPr>
              <w:t>Tabago</w:t>
            </w:r>
            <w:proofErr w:type="spellEnd"/>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Federación de Rusia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4.167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Túnez</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Finlandia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8.333</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Turquía</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4.167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Francia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41.667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Ucrania</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4.167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shd w:val="clear" w:color="auto" w:fill="auto"/>
          </w:tcPr>
          <w:p w:rsidR="00C95420" w:rsidRPr="009768C1" w:rsidRDefault="00C95420" w:rsidP="00C95420">
            <w:pPr>
              <w:rPr>
                <w:rFonts w:cs="Arial"/>
                <w:lang w:val="es-ES"/>
              </w:rPr>
            </w:pPr>
            <w:r w:rsidRPr="009768C1">
              <w:rPr>
                <w:rFonts w:cs="Arial"/>
                <w:lang w:val="es-ES"/>
              </w:rPr>
              <w:t>Georgia</w:t>
            </w:r>
          </w:p>
        </w:tc>
        <w:tc>
          <w:tcPr>
            <w:tcW w:w="986" w:type="dxa"/>
            <w:tcBorders>
              <w:top w:val="nil"/>
              <w:left w:val="nil"/>
              <w:bottom w:val="nil"/>
              <w:right w:val="nil"/>
            </w:tcBorders>
            <w:shd w:val="clear" w:color="auto" w:fill="auto"/>
          </w:tcPr>
          <w:p w:rsidR="00C95420" w:rsidRPr="009768C1" w:rsidRDefault="00C95420" w:rsidP="00C95420">
            <w:pPr>
              <w:jc w:val="right"/>
              <w:rPr>
                <w:rFonts w:cs="Arial"/>
                <w:lang w:val="es-ES"/>
              </w:rPr>
            </w:pPr>
            <w:r w:rsidRPr="009768C1">
              <w:rPr>
                <w:rFonts w:cs="Arial"/>
                <w:lang w:val="es-ES"/>
              </w:rPr>
              <w:t>1.667</w:t>
            </w:r>
          </w:p>
        </w:tc>
        <w:tc>
          <w:tcPr>
            <w:tcW w:w="360" w:type="dxa"/>
            <w:tcBorders>
              <w:top w:val="nil"/>
              <w:left w:val="nil"/>
              <w:bottom w:val="nil"/>
              <w:right w:val="single" w:sz="8" w:space="0" w:color="auto"/>
            </w:tcBorders>
            <w:shd w:val="clear" w:color="auto" w:fill="auto"/>
          </w:tcPr>
          <w:p w:rsidR="00C95420" w:rsidRPr="009768C1" w:rsidRDefault="00C95420" w:rsidP="00A14D8B">
            <w:pPr>
              <w:rPr>
                <w:rFonts w:cs="Arial"/>
                <w:lang w:val="es-ES"/>
              </w:rPr>
            </w:pPr>
          </w:p>
        </w:tc>
        <w:tc>
          <w:tcPr>
            <w:tcW w:w="3045" w:type="dxa"/>
            <w:tcBorders>
              <w:top w:val="nil"/>
              <w:left w:val="single" w:sz="8" w:space="0" w:color="auto"/>
              <w:bottom w:val="nil"/>
              <w:right w:val="nil"/>
            </w:tcBorders>
            <w:shd w:val="clear" w:color="auto" w:fill="auto"/>
          </w:tcPr>
          <w:p w:rsidR="00C95420" w:rsidRPr="009768C1" w:rsidRDefault="00C95420" w:rsidP="00C95420">
            <w:pPr>
              <w:rPr>
                <w:rFonts w:cs="Arial"/>
                <w:lang w:val="es-ES"/>
              </w:rPr>
            </w:pPr>
            <w:r w:rsidRPr="009768C1">
              <w:rPr>
                <w:rFonts w:cs="Arial"/>
                <w:lang w:val="es-ES"/>
              </w:rPr>
              <w:t>Unión Europea</w:t>
            </w:r>
          </w:p>
        </w:tc>
        <w:tc>
          <w:tcPr>
            <w:tcW w:w="1041" w:type="dxa"/>
            <w:tcBorders>
              <w:top w:val="nil"/>
              <w:left w:val="nil"/>
              <w:bottom w:val="nil"/>
              <w:right w:val="nil"/>
            </w:tcBorders>
            <w:shd w:val="clear" w:color="auto" w:fill="auto"/>
          </w:tcPr>
          <w:p w:rsidR="00C95420" w:rsidRPr="009768C1" w:rsidRDefault="00C95420" w:rsidP="00C95420">
            <w:pPr>
              <w:jc w:val="right"/>
              <w:rPr>
                <w:rFonts w:cs="Arial"/>
                <w:lang w:val="es-ES"/>
              </w:rPr>
            </w:pPr>
            <w:r w:rsidRPr="009768C1">
              <w:rPr>
                <w:rFonts w:cs="Arial"/>
                <w:lang w:val="es-ES"/>
              </w:rPr>
              <w:t>41.667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left w:val="single" w:sz="8" w:space="0" w:color="auto"/>
              <w:bottom w:val="nil"/>
              <w:right w:val="nil"/>
            </w:tcBorders>
            <w:shd w:val="clear" w:color="auto" w:fill="auto"/>
          </w:tcPr>
          <w:p w:rsidR="00C95420" w:rsidRPr="009768C1" w:rsidRDefault="00C95420" w:rsidP="00C95420">
            <w:pPr>
              <w:rPr>
                <w:rFonts w:cs="Arial"/>
                <w:lang w:val="es-ES"/>
              </w:rPr>
            </w:pPr>
            <w:r w:rsidRPr="009768C1">
              <w:rPr>
                <w:rFonts w:cs="Arial"/>
                <w:lang w:val="es-ES"/>
              </w:rPr>
              <w:t>Hungría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4.167</w:t>
            </w:r>
          </w:p>
        </w:tc>
        <w:tc>
          <w:tcPr>
            <w:tcW w:w="360" w:type="dxa"/>
            <w:tcBorders>
              <w:top w:val="nil"/>
              <w:left w:val="nil"/>
              <w:bottom w:val="nil"/>
              <w:right w:val="single" w:sz="4" w:space="0" w:color="auto"/>
            </w:tcBorders>
            <w:shd w:val="clear" w:color="auto" w:fill="auto"/>
          </w:tcPr>
          <w:p w:rsidR="00C95420" w:rsidRPr="009768C1" w:rsidRDefault="00C95420" w:rsidP="00A14D8B">
            <w:pPr>
              <w:rPr>
                <w:rFonts w:cs="Arial"/>
                <w:lang w:val="es-ES"/>
              </w:rPr>
            </w:pPr>
          </w:p>
        </w:tc>
        <w:tc>
          <w:tcPr>
            <w:tcW w:w="3045" w:type="dxa"/>
            <w:tcBorders>
              <w:top w:val="nil"/>
              <w:left w:val="single" w:sz="4" w:space="0" w:color="auto"/>
              <w:bottom w:val="nil"/>
              <w:right w:val="nil"/>
            </w:tcBorders>
          </w:tcPr>
          <w:p w:rsidR="00C95420" w:rsidRPr="009768C1" w:rsidRDefault="00C95420" w:rsidP="00C95420">
            <w:pPr>
              <w:rPr>
                <w:rFonts w:cs="Arial"/>
                <w:lang w:val="es-ES"/>
              </w:rPr>
            </w:pPr>
            <w:r w:rsidRPr="009768C1">
              <w:rPr>
                <w:rFonts w:cs="Arial"/>
                <w:lang w:val="es-ES"/>
              </w:rPr>
              <w:t>Uruguay</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Irlanda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8.333</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nil"/>
              <w:right w:val="nil"/>
            </w:tcBorders>
          </w:tcPr>
          <w:p w:rsidR="00C95420" w:rsidRPr="009768C1" w:rsidRDefault="00C95420" w:rsidP="00C95420">
            <w:pPr>
              <w:rPr>
                <w:rFonts w:cs="Arial"/>
                <w:lang w:val="es-ES"/>
              </w:rPr>
            </w:pPr>
            <w:r w:rsidRPr="009768C1">
              <w:rPr>
                <w:rFonts w:cs="Arial"/>
                <w:lang w:val="es-ES"/>
              </w:rPr>
              <w:t>Uzbekistán</w:t>
            </w:r>
          </w:p>
        </w:tc>
        <w:tc>
          <w:tcPr>
            <w:tcW w:w="1041"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81" w:type="dxa"/>
            <w:tcBorders>
              <w:top w:val="nil"/>
              <w:left w:val="nil"/>
              <w:bottom w:val="nil"/>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Islandia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tcBorders>
              <w:top w:val="nil"/>
              <w:left w:val="single" w:sz="8" w:space="0" w:color="auto"/>
              <w:bottom w:val="single" w:sz="8" w:space="0" w:color="auto"/>
              <w:right w:val="nil"/>
            </w:tcBorders>
          </w:tcPr>
          <w:p w:rsidR="00C95420" w:rsidRPr="009768C1" w:rsidRDefault="00C95420" w:rsidP="00C95420">
            <w:pPr>
              <w:rPr>
                <w:rFonts w:cs="Arial"/>
                <w:lang w:val="es-ES"/>
              </w:rPr>
            </w:pPr>
            <w:proofErr w:type="spellStart"/>
            <w:r w:rsidRPr="009768C1">
              <w:rPr>
                <w:rFonts w:cs="Arial"/>
                <w:lang w:val="es-ES"/>
              </w:rPr>
              <w:t>Viet</w:t>
            </w:r>
            <w:proofErr w:type="spellEnd"/>
            <w:r w:rsidRPr="009768C1">
              <w:rPr>
                <w:rFonts w:cs="Arial"/>
                <w:lang w:val="es-ES"/>
              </w:rPr>
              <w:t xml:space="preserve"> </w:t>
            </w:r>
            <w:proofErr w:type="spellStart"/>
            <w:r w:rsidRPr="009768C1">
              <w:rPr>
                <w:rFonts w:cs="Arial"/>
                <w:lang w:val="es-ES"/>
              </w:rPr>
              <w:t>Nam</w:t>
            </w:r>
            <w:proofErr w:type="spellEnd"/>
          </w:p>
        </w:tc>
        <w:tc>
          <w:tcPr>
            <w:tcW w:w="1041" w:type="dxa"/>
            <w:tcBorders>
              <w:top w:val="nil"/>
              <w:left w:val="nil"/>
              <w:bottom w:val="single" w:sz="8" w:space="0" w:color="auto"/>
              <w:right w:val="nil"/>
            </w:tcBorders>
          </w:tcPr>
          <w:p w:rsidR="00C95420" w:rsidRPr="009768C1" w:rsidRDefault="00C95420" w:rsidP="00C95420">
            <w:pPr>
              <w:jc w:val="right"/>
              <w:rPr>
                <w:rFonts w:cs="Arial"/>
                <w:lang w:val="es-ES"/>
              </w:rPr>
            </w:pPr>
            <w:r w:rsidRPr="009768C1">
              <w:rPr>
                <w:rFonts w:cs="Arial"/>
                <w:lang w:val="es-ES"/>
              </w:rPr>
              <w:t>1.667</w:t>
            </w:r>
          </w:p>
        </w:tc>
        <w:tc>
          <w:tcPr>
            <w:tcW w:w="381" w:type="dxa"/>
            <w:tcBorders>
              <w:top w:val="nil"/>
              <w:left w:val="nil"/>
              <w:bottom w:val="single" w:sz="8" w:space="0" w:color="auto"/>
              <w:right w:val="single" w:sz="8" w:space="0" w:color="auto"/>
            </w:tcBorders>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Israel</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4.167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vMerge w:val="restart"/>
            <w:tcBorders>
              <w:top w:val="single" w:sz="8" w:space="0" w:color="auto"/>
              <w:left w:val="single" w:sz="8" w:space="0" w:color="auto"/>
              <w:bottom w:val="single" w:sz="8" w:space="0" w:color="auto"/>
              <w:right w:val="nil"/>
            </w:tcBorders>
            <w:shd w:val="clear" w:color="auto" w:fill="CCFF99"/>
            <w:vAlign w:val="center"/>
          </w:tcPr>
          <w:p w:rsidR="00C95420" w:rsidRPr="009768C1" w:rsidRDefault="00C95420" w:rsidP="00A14D8B">
            <w:pPr>
              <w:rPr>
                <w:rFonts w:cs="Arial"/>
                <w:lang w:val="es-ES"/>
              </w:rPr>
            </w:pPr>
            <w:r w:rsidRPr="009768C1">
              <w:rPr>
                <w:rFonts w:cs="Arial"/>
                <w:lang w:val="es-ES"/>
              </w:rPr>
              <w:t>Total:</w:t>
            </w:r>
          </w:p>
        </w:tc>
        <w:tc>
          <w:tcPr>
            <w:tcW w:w="1041" w:type="dxa"/>
            <w:vMerge w:val="restart"/>
            <w:tcBorders>
              <w:top w:val="single" w:sz="8" w:space="0" w:color="auto"/>
              <w:left w:val="nil"/>
              <w:bottom w:val="single" w:sz="8" w:space="0" w:color="auto"/>
              <w:right w:val="nil"/>
            </w:tcBorders>
            <w:shd w:val="clear" w:color="auto" w:fill="CCFF99"/>
            <w:vAlign w:val="center"/>
          </w:tcPr>
          <w:p w:rsidR="00C95420" w:rsidRPr="009768C1" w:rsidRDefault="00C95420" w:rsidP="00A30220">
            <w:pPr>
              <w:jc w:val="right"/>
              <w:rPr>
                <w:rFonts w:cs="Arial"/>
                <w:lang w:val="es-ES"/>
              </w:rPr>
            </w:pPr>
            <w:r w:rsidRPr="009768C1">
              <w:rPr>
                <w:rFonts w:cs="Arial"/>
                <w:lang w:val="es-ES"/>
              </w:rPr>
              <w:t>540.011</w:t>
            </w:r>
          </w:p>
        </w:tc>
        <w:tc>
          <w:tcPr>
            <w:tcW w:w="381" w:type="dxa"/>
            <w:vMerge w:val="restart"/>
            <w:tcBorders>
              <w:top w:val="single" w:sz="8" w:space="0" w:color="auto"/>
              <w:left w:val="nil"/>
              <w:bottom w:val="single" w:sz="8" w:space="0" w:color="auto"/>
              <w:right w:val="single" w:sz="8" w:space="0" w:color="auto"/>
            </w:tcBorders>
            <w:shd w:val="clear" w:color="auto" w:fill="CCFF99"/>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Italia</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16.666</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vMerge/>
            <w:tcBorders>
              <w:top w:val="nil"/>
              <w:left w:val="single" w:sz="8" w:space="0" w:color="auto"/>
              <w:bottom w:val="single" w:sz="8" w:space="0" w:color="auto"/>
              <w:right w:val="nil"/>
            </w:tcBorders>
            <w:shd w:val="clear" w:color="auto" w:fill="CCFF99"/>
            <w:vAlign w:val="center"/>
          </w:tcPr>
          <w:p w:rsidR="00C95420" w:rsidRPr="009768C1" w:rsidRDefault="00C95420" w:rsidP="00A14D8B">
            <w:pPr>
              <w:rPr>
                <w:rFonts w:cs="Arial"/>
                <w:lang w:val="es-ES"/>
              </w:rPr>
            </w:pPr>
          </w:p>
        </w:tc>
        <w:tc>
          <w:tcPr>
            <w:tcW w:w="1041" w:type="dxa"/>
            <w:vMerge/>
            <w:tcBorders>
              <w:top w:val="nil"/>
              <w:left w:val="nil"/>
              <w:bottom w:val="single" w:sz="8" w:space="0" w:color="auto"/>
              <w:right w:val="nil"/>
            </w:tcBorders>
            <w:shd w:val="clear" w:color="auto" w:fill="CCFF99"/>
            <w:vAlign w:val="center"/>
          </w:tcPr>
          <w:p w:rsidR="00C95420" w:rsidRPr="009768C1" w:rsidRDefault="00C95420" w:rsidP="00A14D8B">
            <w:pPr>
              <w:jc w:val="right"/>
              <w:rPr>
                <w:rFonts w:cs="Arial"/>
                <w:lang w:val="es-ES"/>
              </w:rPr>
            </w:pPr>
          </w:p>
        </w:tc>
        <w:tc>
          <w:tcPr>
            <w:tcW w:w="381" w:type="dxa"/>
            <w:vMerge/>
            <w:tcBorders>
              <w:top w:val="nil"/>
              <w:left w:val="nil"/>
              <w:bottom w:val="single" w:sz="8" w:space="0" w:color="auto"/>
              <w:right w:val="single" w:sz="8" w:space="0" w:color="auto"/>
            </w:tcBorders>
            <w:shd w:val="clear" w:color="auto" w:fill="CCFF99"/>
          </w:tcPr>
          <w:p w:rsidR="00C95420" w:rsidRPr="009768C1" w:rsidRDefault="00C95420" w:rsidP="00A14D8B">
            <w:pPr>
              <w:rPr>
                <w:rFonts w:cs="Arial"/>
                <w:lang w:val="es-ES"/>
              </w:rPr>
            </w:pPr>
          </w:p>
        </w:tc>
      </w:tr>
      <w:tr w:rsidR="00C95420" w:rsidRPr="009768C1" w:rsidTr="003F0654">
        <w:tc>
          <w:tcPr>
            <w:tcW w:w="3119" w:type="dxa"/>
            <w:tcBorders>
              <w:top w:val="nil"/>
              <w:bottom w:val="nil"/>
              <w:right w:val="nil"/>
            </w:tcBorders>
          </w:tcPr>
          <w:p w:rsidR="00C95420" w:rsidRPr="009768C1" w:rsidRDefault="00C95420" w:rsidP="00C95420">
            <w:pPr>
              <w:rPr>
                <w:rFonts w:cs="Arial"/>
                <w:lang w:val="es-ES"/>
              </w:rPr>
            </w:pPr>
            <w:r w:rsidRPr="009768C1">
              <w:rPr>
                <w:rFonts w:cs="Arial"/>
                <w:lang w:val="es-ES"/>
              </w:rPr>
              <w:t>Japón</w:t>
            </w:r>
          </w:p>
        </w:tc>
        <w:tc>
          <w:tcPr>
            <w:tcW w:w="986" w:type="dxa"/>
            <w:tcBorders>
              <w:top w:val="nil"/>
              <w:left w:val="nil"/>
              <w:bottom w:val="nil"/>
              <w:right w:val="nil"/>
            </w:tcBorders>
          </w:tcPr>
          <w:p w:rsidR="00C95420" w:rsidRPr="009768C1" w:rsidRDefault="00C95420" w:rsidP="00C95420">
            <w:pPr>
              <w:jc w:val="right"/>
              <w:rPr>
                <w:rFonts w:cs="Arial"/>
                <w:lang w:val="es-ES"/>
              </w:rPr>
            </w:pPr>
            <w:r w:rsidRPr="009768C1">
              <w:rPr>
                <w:rFonts w:cs="Arial"/>
                <w:lang w:val="es-ES"/>
              </w:rPr>
              <w:t>41.667</w:t>
            </w:r>
          </w:p>
        </w:tc>
        <w:tc>
          <w:tcPr>
            <w:tcW w:w="360" w:type="dxa"/>
            <w:tcBorders>
              <w:top w:val="nil"/>
              <w:left w:val="nil"/>
              <w:bottom w:val="nil"/>
              <w:right w:val="single" w:sz="8" w:space="0" w:color="auto"/>
            </w:tcBorders>
          </w:tcPr>
          <w:p w:rsidR="00C95420" w:rsidRPr="009768C1" w:rsidRDefault="00C95420" w:rsidP="00A14D8B">
            <w:pPr>
              <w:rPr>
                <w:rFonts w:cs="Arial"/>
                <w:lang w:val="es-ES"/>
              </w:rPr>
            </w:pPr>
          </w:p>
        </w:tc>
        <w:tc>
          <w:tcPr>
            <w:tcW w:w="3045" w:type="dxa"/>
            <w:vMerge/>
            <w:tcBorders>
              <w:top w:val="nil"/>
              <w:left w:val="single" w:sz="8" w:space="0" w:color="auto"/>
              <w:bottom w:val="single" w:sz="8" w:space="0" w:color="auto"/>
              <w:right w:val="nil"/>
            </w:tcBorders>
            <w:shd w:val="clear" w:color="auto" w:fill="CCFF99"/>
          </w:tcPr>
          <w:p w:rsidR="00C95420" w:rsidRPr="009768C1" w:rsidRDefault="00C95420" w:rsidP="00A14D8B">
            <w:pPr>
              <w:rPr>
                <w:rFonts w:cs="Arial"/>
                <w:lang w:val="es-ES"/>
              </w:rPr>
            </w:pPr>
          </w:p>
        </w:tc>
        <w:tc>
          <w:tcPr>
            <w:tcW w:w="1041" w:type="dxa"/>
            <w:vMerge/>
            <w:tcBorders>
              <w:top w:val="nil"/>
              <w:left w:val="nil"/>
              <w:bottom w:val="single" w:sz="8" w:space="0" w:color="auto"/>
              <w:right w:val="nil"/>
            </w:tcBorders>
            <w:shd w:val="clear" w:color="auto" w:fill="CCFF99"/>
          </w:tcPr>
          <w:p w:rsidR="00C95420" w:rsidRPr="009768C1" w:rsidRDefault="00C95420" w:rsidP="00A14D8B">
            <w:pPr>
              <w:jc w:val="right"/>
              <w:rPr>
                <w:rFonts w:cs="Arial"/>
                <w:lang w:val="es-ES"/>
              </w:rPr>
            </w:pPr>
          </w:p>
        </w:tc>
        <w:tc>
          <w:tcPr>
            <w:tcW w:w="381" w:type="dxa"/>
            <w:vMerge/>
            <w:tcBorders>
              <w:top w:val="nil"/>
              <w:left w:val="nil"/>
              <w:bottom w:val="single" w:sz="8" w:space="0" w:color="auto"/>
              <w:right w:val="single" w:sz="8" w:space="0" w:color="auto"/>
            </w:tcBorders>
            <w:shd w:val="clear" w:color="auto" w:fill="CCFF99"/>
          </w:tcPr>
          <w:p w:rsidR="00C95420" w:rsidRPr="009768C1" w:rsidRDefault="00C95420" w:rsidP="00A14D8B">
            <w:pPr>
              <w:rPr>
                <w:rFonts w:cs="Arial"/>
                <w:lang w:val="es-ES"/>
              </w:rPr>
            </w:pPr>
          </w:p>
        </w:tc>
      </w:tr>
      <w:tr w:rsidR="00C95420" w:rsidRPr="009768C1" w:rsidTr="003F0654">
        <w:tc>
          <w:tcPr>
            <w:tcW w:w="3119" w:type="dxa"/>
            <w:tcBorders>
              <w:top w:val="nil"/>
              <w:bottom w:val="single" w:sz="8" w:space="0" w:color="auto"/>
              <w:right w:val="nil"/>
            </w:tcBorders>
          </w:tcPr>
          <w:p w:rsidR="00C95420" w:rsidRDefault="00C95420" w:rsidP="00C95420">
            <w:pPr>
              <w:rPr>
                <w:rFonts w:cs="Arial"/>
                <w:lang w:val="es-ES"/>
              </w:rPr>
            </w:pPr>
            <w:r w:rsidRPr="009768C1">
              <w:rPr>
                <w:rFonts w:cs="Arial"/>
                <w:lang w:val="es-ES"/>
              </w:rPr>
              <w:t>Jordania</w:t>
            </w:r>
          </w:p>
          <w:p w:rsidR="00C95420" w:rsidRDefault="00C95420" w:rsidP="00C95420">
            <w:pPr>
              <w:rPr>
                <w:rFonts w:cs="Arial"/>
                <w:lang w:val="es-ES"/>
              </w:rPr>
            </w:pPr>
            <w:proofErr w:type="spellStart"/>
            <w:r w:rsidRPr="009768C1">
              <w:rPr>
                <w:rFonts w:cs="Arial"/>
                <w:lang w:val="es-ES"/>
              </w:rPr>
              <w:t>Kenya</w:t>
            </w:r>
            <w:proofErr w:type="spellEnd"/>
          </w:p>
          <w:p w:rsidR="00C95420" w:rsidRPr="009768C1" w:rsidRDefault="00C95420" w:rsidP="00C95420">
            <w:pPr>
              <w:rPr>
                <w:rFonts w:cs="Arial"/>
                <w:lang w:val="es-ES"/>
              </w:rPr>
            </w:pPr>
            <w:r w:rsidRPr="009768C1">
              <w:rPr>
                <w:rFonts w:cs="Arial"/>
                <w:lang w:val="es-ES"/>
              </w:rPr>
              <w:t>Kirguistán</w:t>
            </w:r>
          </w:p>
        </w:tc>
        <w:tc>
          <w:tcPr>
            <w:tcW w:w="986" w:type="dxa"/>
            <w:tcBorders>
              <w:top w:val="nil"/>
              <w:left w:val="nil"/>
              <w:bottom w:val="single" w:sz="8" w:space="0" w:color="auto"/>
              <w:right w:val="nil"/>
            </w:tcBorders>
          </w:tcPr>
          <w:p w:rsidR="00C95420" w:rsidRDefault="00C95420" w:rsidP="00C95420">
            <w:pPr>
              <w:jc w:val="right"/>
              <w:rPr>
                <w:rFonts w:cs="Arial"/>
                <w:lang w:val="es-ES"/>
              </w:rPr>
            </w:pPr>
            <w:r w:rsidRPr="009768C1">
              <w:rPr>
                <w:rFonts w:cs="Arial"/>
                <w:lang w:val="es-ES"/>
              </w:rPr>
              <w:t>1.667</w:t>
            </w:r>
          </w:p>
          <w:p w:rsidR="00C95420" w:rsidRDefault="00C95420" w:rsidP="00C95420">
            <w:pPr>
              <w:jc w:val="right"/>
              <w:rPr>
                <w:rFonts w:cs="Arial"/>
                <w:lang w:val="es-ES"/>
              </w:rPr>
            </w:pPr>
            <w:r w:rsidRPr="009768C1">
              <w:rPr>
                <w:rFonts w:cs="Arial"/>
                <w:lang w:val="es-ES"/>
              </w:rPr>
              <w:t>1.667</w:t>
            </w:r>
          </w:p>
          <w:p w:rsidR="00C95420" w:rsidRPr="009768C1" w:rsidRDefault="00C95420" w:rsidP="00C95420">
            <w:pPr>
              <w:jc w:val="right"/>
              <w:rPr>
                <w:rFonts w:cs="Arial"/>
                <w:lang w:val="es-ES"/>
              </w:rPr>
            </w:pPr>
            <w:r w:rsidRPr="009768C1">
              <w:rPr>
                <w:rFonts w:cs="Arial"/>
                <w:lang w:val="es-ES"/>
              </w:rPr>
              <w:t>1.667</w:t>
            </w:r>
          </w:p>
        </w:tc>
        <w:tc>
          <w:tcPr>
            <w:tcW w:w="360" w:type="dxa"/>
            <w:tcBorders>
              <w:top w:val="nil"/>
              <w:left w:val="nil"/>
              <w:bottom w:val="single" w:sz="8" w:space="0" w:color="auto"/>
              <w:right w:val="single" w:sz="8" w:space="0" w:color="auto"/>
            </w:tcBorders>
          </w:tcPr>
          <w:p w:rsidR="00C95420" w:rsidRPr="009768C1" w:rsidRDefault="00C95420" w:rsidP="00A14D8B">
            <w:pPr>
              <w:rPr>
                <w:rFonts w:cs="Arial"/>
                <w:lang w:val="es-ES"/>
              </w:rPr>
            </w:pPr>
          </w:p>
        </w:tc>
        <w:tc>
          <w:tcPr>
            <w:tcW w:w="3045" w:type="dxa"/>
            <w:vMerge/>
            <w:tcBorders>
              <w:top w:val="nil"/>
              <w:left w:val="single" w:sz="8" w:space="0" w:color="auto"/>
              <w:bottom w:val="single" w:sz="8" w:space="0" w:color="auto"/>
              <w:right w:val="nil"/>
            </w:tcBorders>
            <w:shd w:val="clear" w:color="auto" w:fill="CCFF99"/>
          </w:tcPr>
          <w:p w:rsidR="00C95420" w:rsidRPr="009768C1" w:rsidRDefault="00C95420" w:rsidP="00A14D8B">
            <w:pPr>
              <w:rPr>
                <w:rFonts w:cs="Arial"/>
                <w:lang w:val="es-ES"/>
              </w:rPr>
            </w:pPr>
          </w:p>
        </w:tc>
        <w:tc>
          <w:tcPr>
            <w:tcW w:w="1041" w:type="dxa"/>
            <w:vMerge/>
            <w:tcBorders>
              <w:top w:val="nil"/>
              <w:left w:val="nil"/>
              <w:bottom w:val="single" w:sz="8" w:space="0" w:color="auto"/>
              <w:right w:val="nil"/>
            </w:tcBorders>
            <w:shd w:val="clear" w:color="auto" w:fill="CCFF99"/>
          </w:tcPr>
          <w:p w:rsidR="00C95420" w:rsidRPr="009768C1" w:rsidRDefault="00C95420" w:rsidP="00A14D8B">
            <w:pPr>
              <w:jc w:val="right"/>
              <w:rPr>
                <w:rFonts w:cs="Arial"/>
                <w:lang w:val="es-ES"/>
              </w:rPr>
            </w:pPr>
          </w:p>
        </w:tc>
        <w:tc>
          <w:tcPr>
            <w:tcW w:w="381" w:type="dxa"/>
            <w:vMerge/>
            <w:tcBorders>
              <w:top w:val="nil"/>
              <w:left w:val="nil"/>
              <w:bottom w:val="single" w:sz="8" w:space="0" w:color="auto"/>
              <w:right w:val="single" w:sz="8" w:space="0" w:color="auto"/>
            </w:tcBorders>
            <w:shd w:val="clear" w:color="auto" w:fill="CCFF99"/>
          </w:tcPr>
          <w:p w:rsidR="00C95420" w:rsidRPr="009768C1" w:rsidRDefault="00C95420" w:rsidP="00A14D8B">
            <w:pPr>
              <w:rPr>
                <w:rFonts w:cs="Arial"/>
                <w:lang w:val="es-ES"/>
              </w:rPr>
            </w:pPr>
          </w:p>
        </w:tc>
      </w:tr>
    </w:tbl>
    <w:p w:rsidR="00812486" w:rsidRPr="009768C1" w:rsidRDefault="00812486" w:rsidP="00812486">
      <w:pPr>
        <w:tabs>
          <w:tab w:val="left" w:pos="567"/>
        </w:tabs>
        <w:rPr>
          <w:lang w:val="es-ES"/>
        </w:rPr>
      </w:pPr>
    </w:p>
    <w:p w:rsidR="00812486" w:rsidRPr="009768C1" w:rsidRDefault="00812486" w:rsidP="00812486">
      <w:pPr>
        <w:tabs>
          <w:tab w:val="left" w:pos="567"/>
        </w:tabs>
        <w:rPr>
          <w:lang w:val="es-ES"/>
        </w:rPr>
      </w:pPr>
    </w:p>
    <w:p w:rsidR="00812486" w:rsidRPr="009768C1" w:rsidRDefault="00812486" w:rsidP="00812486">
      <w:pPr>
        <w:rPr>
          <w:lang w:val="es-ES"/>
        </w:rPr>
      </w:pPr>
    </w:p>
    <w:p w:rsidR="0095107F" w:rsidRDefault="0095107F">
      <w:pPr>
        <w:jc w:val="left"/>
        <w:rPr>
          <w:lang w:val="es-ES"/>
        </w:rPr>
      </w:pPr>
      <w:r>
        <w:rPr>
          <w:lang w:val="es-ES"/>
        </w:rPr>
        <w:br w:type="page"/>
      </w:r>
    </w:p>
    <w:p w:rsidR="00812486" w:rsidRDefault="00812486" w:rsidP="00812486">
      <w:pPr>
        <w:jc w:val="center"/>
        <w:rPr>
          <w:sz w:val="18"/>
          <w:lang w:val="es-ES"/>
        </w:rPr>
      </w:pPr>
    </w:p>
    <w:p w:rsidR="0095107F" w:rsidRPr="009768C1" w:rsidRDefault="0095107F" w:rsidP="00812486">
      <w:pPr>
        <w:jc w:val="center"/>
        <w:rPr>
          <w:sz w:val="18"/>
          <w:lang w:val="es-ES"/>
        </w:rPr>
      </w:pPr>
    </w:p>
    <w:p w:rsidR="00812486" w:rsidRPr="009768C1" w:rsidRDefault="00B363DD" w:rsidP="00812486">
      <w:pPr>
        <w:keepNext/>
        <w:jc w:val="center"/>
        <w:rPr>
          <w:lang w:val="es-ES"/>
        </w:rPr>
      </w:pPr>
      <w:bookmarkStart w:id="48" w:name="_Toc397086226"/>
      <w:bookmarkStart w:id="49" w:name="_Toc397086725"/>
      <w:r w:rsidRPr="009768C1">
        <w:rPr>
          <w:rStyle w:val="Heading5Char"/>
        </w:rPr>
        <w:t>Contribuciones de los miembros de la Unión</w:t>
      </w:r>
      <w:bookmarkEnd w:id="48"/>
      <w:bookmarkEnd w:id="49"/>
      <w:r w:rsidRPr="009768C1">
        <w:rPr>
          <w:rStyle w:val="Heading5Char"/>
        </w:rPr>
        <w:br/>
      </w:r>
      <w:r w:rsidRPr="009768C1">
        <w:rPr>
          <w:lang w:val="es-ES"/>
        </w:rPr>
        <w:t>(en francos suizos)</w:t>
      </w:r>
    </w:p>
    <w:p w:rsidR="00812486" w:rsidRPr="009768C1" w:rsidRDefault="00812486" w:rsidP="00812486">
      <w:pPr>
        <w:keepNext/>
        <w:jc w:val="center"/>
        <w:rPr>
          <w:lang w:val="es-ES"/>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3132"/>
        <w:gridCol w:w="1385"/>
        <w:gridCol w:w="1450"/>
        <w:gridCol w:w="1430"/>
      </w:tblGrid>
      <w:tr w:rsidR="009768C1" w:rsidRPr="009768C1" w:rsidTr="003F0654">
        <w:trPr>
          <w:cantSplit/>
          <w:trHeight w:val="445"/>
          <w:tblHeader/>
          <w:jc w:val="center"/>
        </w:trPr>
        <w:tc>
          <w:tcPr>
            <w:tcW w:w="3132" w:type="dxa"/>
            <w:tcBorders>
              <w:top w:val="single" w:sz="8" w:space="0" w:color="auto"/>
              <w:bottom w:val="nil"/>
              <w:right w:val="single" w:sz="8" w:space="0" w:color="auto"/>
            </w:tcBorders>
            <w:shd w:val="clear" w:color="auto" w:fill="CCFF99"/>
          </w:tcPr>
          <w:p w:rsidR="00812486" w:rsidRPr="009768C1" w:rsidRDefault="00812486" w:rsidP="00A14D8B">
            <w:pPr>
              <w:rPr>
                <w:rFonts w:cs="Arial"/>
                <w:lang w:val="es-ES"/>
              </w:rPr>
            </w:pPr>
          </w:p>
          <w:p w:rsidR="00812486" w:rsidRPr="009768C1" w:rsidRDefault="00A30220" w:rsidP="00A14D8B">
            <w:pPr>
              <w:jc w:val="center"/>
              <w:rPr>
                <w:rFonts w:cs="Arial"/>
                <w:lang w:val="es-ES"/>
              </w:rPr>
            </w:pPr>
            <w:r w:rsidRPr="009768C1">
              <w:rPr>
                <w:rFonts w:cs="Arial"/>
                <w:lang w:val="es-ES"/>
              </w:rPr>
              <w:t>Miembros de la Unión</w:t>
            </w:r>
          </w:p>
        </w:tc>
        <w:tc>
          <w:tcPr>
            <w:tcW w:w="1385" w:type="dxa"/>
            <w:tcBorders>
              <w:top w:val="single" w:sz="8" w:space="0" w:color="auto"/>
              <w:left w:val="single" w:sz="8" w:space="0" w:color="auto"/>
              <w:bottom w:val="nil"/>
              <w:right w:val="single" w:sz="8" w:space="0" w:color="auto"/>
            </w:tcBorders>
            <w:shd w:val="clear" w:color="auto" w:fill="CCFF99"/>
          </w:tcPr>
          <w:p w:rsidR="00812486" w:rsidRPr="009768C1" w:rsidRDefault="00812486" w:rsidP="00A14D8B">
            <w:pPr>
              <w:jc w:val="center"/>
              <w:rPr>
                <w:rFonts w:cs="Arial"/>
                <w:lang w:val="es-ES"/>
              </w:rPr>
            </w:pPr>
          </w:p>
          <w:p w:rsidR="00812486" w:rsidRPr="009768C1" w:rsidRDefault="009545A7" w:rsidP="00A14D8B">
            <w:pPr>
              <w:jc w:val="center"/>
              <w:rPr>
                <w:rFonts w:cs="Arial"/>
                <w:lang w:val="es-ES"/>
              </w:rPr>
            </w:pPr>
            <w:r>
              <w:rPr>
                <w:rFonts w:cs="Arial"/>
                <w:lang w:val="es-ES"/>
              </w:rPr>
              <w:t>Unidades de contribución</w:t>
            </w:r>
          </w:p>
        </w:tc>
        <w:tc>
          <w:tcPr>
            <w:tcW w:w="2880" w:type="dxa"/>
            <w:gridSpan w:val="2"/>
            <w:tcBorders>
              <w:top w:val="single" w:sz="8" w:space="0" w:color="auto"/>
              <w:left w:val="single" w:sz="8" w:space="0" w:color="auto"/>
              <w:bottom w:val="single" w:sz="8" w:space="0" w:color="auto"/>
              <w:right w:val="single" w:sz="8" w:space="0" w:color="auto"/>
            </w:tcBorders>
            <w:shd w:val="clear" w:color="auto" w:fill="CCFF99"/>
          </w:tcPr>
          <w:p w:rsidR="00812486" w:rsidRPr="009768C1" w:rsidRDefault="00812486" w:rsidP="00A14D8B">
            <w:pPr>
              <w:jc w:val="center"/>
              <w:rPr>
                <w:rFonts w:cs="Arial"/>
                <w:lang w:val="es-ES"/>
              </w:rPr>
            </w:pPr>
          </w:p>
          <w:p w:rsidR="00812486" w:rsidRPr="009768C1" w:rsidRDefault="00A30220" w:rsidP="00A14D8B">
            <w:pPr>
              <w:jc w:val="center"/>
              <w:rPr>
                <w:rFonts w:cs="Arial"/>
                <w:lang w:val="es-ES"/>
              </w:rPr>
            </w:pPr>
            <w:r w:rsidRPr="009768C1">
              <w:rPr>
                <w:rFonts w:cs="Arial"/>
                <w:lang w:val="es-ES"/>
              </w:rPr>
              <w:t>Importes pagaderos en:</w:t>
            </w:r>
          </w:p>
        </w:tc>
      </w:tr>
      <w:tr w:rsidR="009768C1" w:rsidRPr="009768C1" w:rsidTr="00CF49C1">
        <w:trPr>
          <w:tblHeader/>
          <w:jc w:val="center"/>
        </w:trPr>
        <w:tc>
          <w:tcPr>
            <w:tcW w:w="3132" w:type="dxa"/>
            <w:tcBorders>
              <w:top w:val="nil"/>
              <w:bottom w:val="single" w:sz="8" w:space="0" w:color="auto"/>
              <w:right w:val="single" w:sz="8" w:space="0" w:color="auto"/>
            </w:tcBorders>
            <w:shd w:val="clear" w:color="auto" w:fill="CCFF99"/>
          </w:tcPr>
          <w:p w:rsidR="00812486" w:rsidRPr="009768C1" w:rsidRDefault="00812486" w:rsidP="00A14D8B">
            <w:pPr>
              <w:spacing w:before="40" w:after="40"/>
              <w:rPr>
                <w:rFonts w:cs="Arial"/>
                <w:lang w:val="es-ES"/>
              </w:rPr>
            </w:pPr>
          </w:p>
        </w:tc>
        <w:tc>
          <w:tcPr>
            <w:tcW w:w="1385" w:type="dxa"/>
            <w:tcBorders>
              <w:top w:val="nil"/>
              <w:left w:val="single" w:sz="8" w:space="0" w:color="auto"/>
              <w:bottom w:val="single" w:sz="8" w:space="0" w:color="auto"/>
              <w:right w:val="single" w:sz="8" w:space="0" w:color="auto"/>
            </w:tcBorders>
            <w:shd w:val="clear" w:color="auto" w:fill="CCFF99"/>
          </w:tcPr>
          <w:p w:rsidR="00812486" w:rsidRPr="009768C1" w:rsidRDefault="00812486" w:rsidP="00A14D8B">
            <w:pPr>
              <w:spacing w:before="40" w:after="40"/>
              <w:jc w:val="center"/>
              <w:rPr>
                <w:rFonts w:cs="Arial"/>
                <w:lang w:val="es-ES"/>
              </w:rPr>
            </w:pPr>
          </w:p>
        </w:tc>
        <w:tc>
          <w:tcPr>
            <w:tcW w:w="1450" w:type="dxa"/>
            <w:tcBorders>
              <w:top w:val="single" w:sz="8" w:space="0" w:color="auto"/>
              <w:left w:val="single" w:sz="8" w:space="0" w:color="auto"/>
              <w:bottom w:val="single" w:sz="8" w:space="0" w:color="auto"/>
              <w:right w:val="single" w:sz="8" w:space="0" w:color="auto"/>
            </w:tcBorders>
            <w:shd w:val="clear" w:color="auto" w:fill="CCFF99"/>
          </w:tcPr>
          <w:p w:rsidR="00812486" w:rsidRPr="009768C1" w:rsidRDefault="00A30220" w:rsidP="00A14D8B">
            <w:pPr>
              <w:spacing w:before="40" w:after="40"/>
              <w:jc w:val="right"/>
              <w:rPr>
                <w:rFonts w:cs="Arial"/>
                <w:lang w:val="es-ES"/>
              </w:rPr>
            </w:pPr>
            <w:r w:rsidRPr="009768C1">
              <w:rPr>
                <w:rFonts w:cs="Arial"/>
                <w:lang w:val="es-ES"/>
              </w:rPr>
              <w:t>Enero de</w:t>
            </w:r>
            <w:r w:rsidR="00812486" w:rsidRPr="009768C1">
              <w:rPr>
                <w:rFonts w:cs="Arial"/>
                <w:lang w:val="es-ES"/>
              </w:rPr>
              <w:t xml:space="preserve"> 2012</w:t>
            </w:r>
          </w:p>
        </w:tc>
        <w:tc>
          <w:tcPr>
            <w:tcW w:w="1430" w:type="dxa"/>
            <w:tcBorders>
              <w:top w:val="single" w:sz="8" w:space="0" w:color="auto"/>
              <w:left w:val="single" w:sz="8" w:space="0" w:color="auto"/>
              <w:bottom w:val="single" w:sz="8" w:space="0" w:color="auto"/>
              <w:right w:val="single" w:sz="8" w:space="0" w:color="auto"/>
            </w:tcBorders>
            <w:shd w:val="clear" w:color="auto" w:fill="CCFF99"/>
          </w:tcPr>
          <w:p w:rsidR="00812486" w:rsidRPr="009768C1" w:rsidRDefault="00A30220" w:rsidP="00A14D8B">
            <w:pPr>
              <w:spacing w:before="40" w:after="40"/>
              <w:jc w:val="right"/>
              <w:rPr>
                <w:rFonts w:cs="Arial"/>
                <w:lang w:val="es-ES"/>
              </w:rPr>
            </w:pPr>
            <w:r w:rsidRPr="009768C1">
              <w:rPr>
                <w:rFonts w:cs="Arial"/>
                <w:lang w:val="es-ES"/>
              </w:rPr>
              <w:t>Enero de</w:t>
            </w:r>
            <w:r w:rsidR="00812486" w:rsidRPr="009768C1">
              <w:rPr>
                <w:rFonts w:cs="Arial"/>
                <w:lang w:val="es-ES"/>
              </w:rPr>
              <w:t xml:space="preserve"> 2013</w:t>
            </w:r>
          </w:p>
        </w:tc>
      </w:tr>
      <w:tr w:rsidR="0095107F" w:rsidRPr="009768C1" w:rsidTr="00CF49C1">
        <w:trPr>
          <w:trHeight w:val="80"/>
          <w:jc w:val="center"/>
        </w:trPr>
        <w:tc>
          <w:tcPr>
            <w:tcW w:w="3132" w:type="dxa"/>
            <w:tcBorders>
              <w:top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Albania</w:t>
            </w:r>
          </w:p>
        </w:tc>
        <w:tc>
          <w:tcPr>
            <w:tcW w:w="1385" w:type="dxa"/>
            <w:tcBorders>
              <w:top w:val="single" w:sz="8"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single" w:sz="8"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single" w:sz="8"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Alemania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268.205</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268.205</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Argentina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Australia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1</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53.641</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53.641</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Austria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0,75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40.231</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40.231</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Azerbaiyán</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proofErr w:type="spellStart"/>
            <w:r w:rsidRPr="009768C1">
              <w:rPr>
                <w:rFonts w:cs="Arial"/>
                <w:lang w:val="es-ES"/>
              </w:rPr>
              <w:t>Belarús</w:t>
            </w:r>
            <w:proofErr w:type="spellEnd"/>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Bélgica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1,5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80.462</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80.462</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Bolivia (Estado Plurinacional de)</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Brasil</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13.410</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13.410</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Bulgaria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Canadá</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1</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53.641</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53.641</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Chile</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China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Colombia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Costa Rica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Croacia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Dinamarca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Ecuador</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Eslovaquia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0,5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26.820</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26.820</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Eslovenia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España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107.282</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107.282</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Estados Unidos de América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268.205</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268.205</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Estonia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ex República Yugoslava de Macedonia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Federación de Rusia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0,5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26.820</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26.820</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Finlandia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1</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53.641</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53.641</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Francia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268.205</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268.205</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Georgia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Hungría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Irlanda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1</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53.641</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53.641</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Islandia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Israel</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Italia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107.282</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107.282</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Japón</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268.205</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268.205</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Jordania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proofErr w:type="spellStart"/>
            <w:r w:rsidRPr="009768C1">
              <w:rPr>
                <w:rFonts w:cs="Arial"/>
                <w:lang w:val="es-ES"/>
              </w:rPr>
              <w:t>Kenya</w:t>
            </w:r>
            <w:proofErr w:type="spellEnd"/>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Kirguistán</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Letonia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Lituania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lastRenderedPageBreak/>
              <w:t>Marruecos</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México</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0,75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40.231</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40.231</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Nicaragua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Noruega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1</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53.641</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53.641</w:t>
            </w:r>
          </w:p>
        </w:tc>
      </w:tr>
      <w:tr w:rsidR="0095107F" w:rsidRPr="009768C1" w:rsidTr="00CF49C1">
        <w:trPr>
          <w:trHeight w:val="212"/>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Nueva Zelandia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1</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53.641</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53.641</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Omán</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1</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53.641</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53.641</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Países Bajos</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3</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160.923</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160.923</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Panamá</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F49C1">
            <w:pPr>
              <w:rPr>
                <w:rFonts w:cs="Arial"/>
                <w:lang w:val="es-ES"/>
              </w:rPr>
            </w:pPr>
            <w:r w:rsidRPr="009768C1">
              <w:rPr>
                <w:rFonts w:cs="Arial"/>
                <w:lang w:val="es-ES"/>
              </w:rPr>
              <w:t>Paraguay</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F49C1">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F49C1">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F49C1">
            <w:pPr>
              <w:jc w:val="right"/>
              <w:rPr>
                <w:rFonts w:cs="Arial"/>
                <w:lang w:val="es-ES"/>
              </w:rPr>
            </w:pPr>
            <w:r w:rsidRPr="009768C1">
              <w:rPr>
                <w:rFonts w:cs="Arial"/>
                <w:lang w:val="es-ES"/>
              </w:rPr>
              <w:t>10.728</w:t>
            </w:r>
          </w:p>
        </w:tc>
      </w:tr>
      <w:tr w:rsidR="00CF49C1"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CF49C1" w:rsidRPr="009768C1" w:rsidRDefault="00CF49C1" w:rsidP="00C95420">
            <w:pPr>
              <w:rPr>
                <w:rFonts w:cs="Arial"/>
                <w:lang w:val="es-ES"/>
              </w:rPr>
            </w:pPr>
            <w:r w:rsidRPr="009768C1">
              <w:rPr>
                <w:rFonts w:cs="Arial"/>
                <w:lang w:val="es-ES"/>
              </w:rPr>
              <w:t>Perú</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CF49C1" w:rsidRPr="009768C1" w:rsidRDefault="00CF49C1"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CF49C1" w:rsidRPr="009768C1" w:rsidRDefault="00CF49C1"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CF49C1" w:rsidRPr="009768C1" w:rsidRDefault="00CF49C1"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Polonia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Portugal</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Reino Unido</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107.282</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107.282</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República Checa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República de Corea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1,5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80.462</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80.462</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 xml:space="preserve">República de </w:t>
            </w:r>
            <w:proofErr w:type="spellStart"/>
            <w:r w:rsidRPr="009768C1">
              <w:rPr>
                <w:rFonts w:cs="Arial"/>
                <w:lang w:val="es-ES"/>
              </w:rPr>
              <w:t>Moldova</w:t>
            </w:r>
            <w:proofErr w:type="spellEnd"/>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República Dominicana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Rumania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Singapur</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Sudáfrica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1</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53.641</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53.641</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Suecia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1,5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80.462</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80.462</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Suiza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1,5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80.462</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80.462</w:t>
            </w:r>
          </w:p>
        </w:tc>
      </w:tr>
      <w:tr w:rsidR="0095107F" w:rsidRPr="009768C1" w:rsidTr="00CF49C1">
        <w:trPr>
          <w:trHeight w:val="210"/>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 xml:space="preserve">Trinidad y </w:t>
            </w:r>
            <w:proofErr w:type="spellStart"/>
            <w:r w:rsidRPr="009768C1">
              <w:rPr>
                <w:rFonts w:cs="Arial"/>
                <w:lang w:val="es-ES"/>
              </w:rPr>
              <w:t>Tabago</w:t>
            </w:r>
            <w:proofErr w:type="spellEnd"/>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Túnez</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Turquía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0,5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26.820</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26.820</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Ucrania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Unión Europea</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center"/>
              <w:rPr>
                <w:rFonts w:cs="Arial"/>
                <w:lang w:val="es-ES"/>
              </w:rPr>
            </w:pPr>
            <w:r w:rsidRPr="009768C1">
              <w:rPr>
                <w:rFonts w:cs="Arial"/>
                <w:lang w:val="es-ES"/>
              </w:rPr>
              <w:t>5</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268.205</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jc w:val="right"/>
              <w:rPr>
                <w:rFonts w:cs="Arial"/>
                <w:lang w:val="es-ES"/>
              </w:rPr>
            </w:pPr>
            <w:r w:rsidRPr="009768C1">
              <w:rPr>
                <w:rFonts w:cs="Arial"/>
                <w:lang w:val="es-ES"/>
              </w:rPr>
              <w:t>268.205</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Uruguay</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r w:rsidRPr="009768C1">
              <w:rPr>
                <w:rFonts w:cs="Arial"/>
                <w:lang w:val="es-ES"/>
              </w:rPr>
              <w:t>Uzbekistán</w:t>
            </w:r>
          </w:p>
        </w:tc>
        <w:tc>
          <w:tcPr>
            <w:tcW w:w="1385"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0,2</w:t>
            </w:r>
          </w:p>
        </w:tc>
        <w:tc>
          <w:tcPr>
            <w:tcW w:w="145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c>
          <w:tcPr>
            <w:tcW w:w="14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r>
      <w:tr w:rsidR="0095107F" w:rsidRPr="009768C1" w:rsidTr="00CF49C1">
        <w:trPr>
          <w:jc w:val="center"/>
        </w:trPr>
        <w:tc>
          <w:tcPr>
            <w:tcW w:w="3132" w:type="dxa"/>
            <w:tcBorders>
              <w:top w:val="dotted" w:sz="4" w:space="0" w:color="auto"/>
              <w:bottom w:val="single" w:sz="8" w:space="0" w:color="auto"/>
              <w:right w:val="single" w:sz="8" w:space="0" w:color="auto"/>
            </w:tcBorders>
            <w:tcMar>
              <w:top w:w="28" w:type="dxa"/>
              <w:left w:w="85" w:type="dxa"/>
              <w:bottom w:w="28" w:type="dxa"/>
              <w:right w:w="85" w:type="dxa"/>
            </w:tcMar>
          </w:tcPr>
          <w:p w:rsidR="0095107F" w:rsidRPr="009768C1" w:rsidRDefault="0095107F" w:rsidP="00C95420">
            <w:pPr>
              <w:rPr>
                <w:rFonts w:cs="Arial"/>
                <w:lang w:val="es-ES"/>
              </w:rPr>
            </w:pPr>
            <w:proofErr w:type="spellStart"/>
            <w:r w:rsidRPr="009768C1">
              <w:rPr>
                <w:rFonts w:cs="Arial"/>
                <w:lang w:val="es-ES"/>
              </w:rPr>
              <w:t>Viet</w:t>
            </w:r>
            <w:proofErr w:type="spellEnd"/>
            <w:r w:rsidRPr="009768C1">
              <w:rPr>
                <w:rFonts w:cs="Arial"/>
                <w:lang w:val="es-ES"/>
              </w:rPr>
              <w:t xml:space="preserve"> </w:t>
            </w:r>
            <w:proofErr w:type="spellStart"/>
            <w:r w:rsidRPr="009768C1">
              <w:rPr>
                <w:rFonts w:cs="Arial"/>
                <w:lang w:val="es-ES"/>
              </w:rPr>
              <w:t>Nam</w:t>
            </w:r>
            <w:proofErr w:type="spellEnd"/>
          </w:p>
        </w:tc>
        <w:tc>
          <w:tcPr>
            <w:tcW w:w="1385" w:type="dxa"/>
            <w:tcBorders>
              <w:top w:val="dotted" w:sz="4" w:space="0" w:color="auto"/>
              <w:left w:val="single" w:sz="8" w:space="0" w:color="auto"/>
              <w:bottom w:val="single" w:sz="8"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center"/>
              <w:rPr>
                <w:rFonts w:cs="Arial"/>
                <w:lang w:val="es-ES"/>
              </w:rPr>
            </w:pPr>
            <w:r w:rsidRPr="009768C1">
              <w:rPr>
                <w:rFonts w:cs="Arial"/>
                <w:lang w:val="es-ES"/>
              </w:rPr>
              <w:t>0,2</w:t>
            </w:r>
          </w:p>
        </w:tc>
        <w:tc>
          <w:tcPr>
            <w:tcW w:w="1450" w:type="dxa"/>
            <w:tcBorders>
              <w:top w:val="dotted" w:sz="4" w:space="0" w:color="auto"/>
              <w:left w:val="single" w:sz="8" w:space="0" w:color="auto"/>
              <w:bottom w:val="single" w:sz="8"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c>
          <w:tcPr>
            <w:tcW w:w="1430" w:type="dxa"/>
            <w:tcBorders>
              <w:top w:val="dotted" w:sz="4" w:space="0" w:color="auto"/>
              <w:left w:val="single" w:sz="8" w:space="0" w:color="auto"/>
              <w:bottom w:val="single" w:sz="8" w:space="0" w:color="auto"/>
              <w:right w:val="single" w:sz="8" w:space="0" w:color="auto"/>
            </w:tcBorders>
            <w:tcMar>
              <w:top w:w="28" w:type="dxa"/>
              <w:left w:w="85" w:type="dxa"/>
              <w:bottom w:w="28" w:type="dxa"/>
              <w:right w:w="85" w:type="dxa"/>
            </w:tcMar>
          </w:tcPr>
          <w:p w:rsidR="0095107F" w:rsidRPr="009768C1" w:rsidRDefault="0095107F" w:rsidP="00C95420">
            <w:pPr>
              <w:spacing w:line="220" w:lineRule="exact"/>
              <w:jc w:val="right"/>
              <w:rPr>
                <w:rFonts w:cs="Arial"/>
                <w:lang w:val="es-ES"/>
              </w:rPr>
            </w:pPr>
            <w:r w:rsidRPr="009768C1">
              <w:rPr>
                <w:rFonts w:cs="Arial"/>
                <w:lang w:val="es-ES"/>
              </w:rPr>
              <w:t>10.728</w:t>
            </w:r>
          </w:p>
        </w:tc>
      </w:tr>
      <w:tr w:rsidR="009768C1" w:rsidRPr="009768C1" w:rsidTr="00CF49C1">
        <w:trPr>
          <w:tblHeader/>
          <w:jc w:val="center"/>
        </w:trPr>
        <w:tc>
          <w:tcPr>
            <w:tcW w:w="3132" w:type="dxa"/>
            <w:tcBorders>
              <w:top w:val="single" w:sz="8" w:space="0" w:color="auto"/>
              <w:bottom w:val="single" w:sz="8" w:space="0" w:color="auto"/>
              <w:right w:val="single" w:sz="8" w:space="0" w:color="auto"/>
            </w:tcBorders>
            <w:shd w:val="clear" w:color="auto" w:fill="CCFF99"/>
          </w:tcPr>
          <w:p w:rsidR="00812486" w:rsidRPr="009768C1" w:rsidRDefault="00812486" w:rsidP="00A14D8B">
            <w:pPr>
              <w:spacing w:before="120" w:after="120"/>
              <w:rPr>
                <w:rFonts w:cs="Arial"/>
                <w:lang w:val="es-ES"/>
              </w:rPr>
            </w:pPr>
            <w:r w:rsidRPr="009768C1">
              <w:rPr>
                <w:rFonts w:cs="Arial"/>
                <w:lang w:val="es-ES"/>
              </w:rPr>
              <w:t>Total</w:t>
            </w:r>
          </w:p>
        </w:tc>
        <w:tc>
          <w:tcPr>
            <w:tcW w:w="1385" w:type="dxa"/>
            <w:tcBorders>
              <w:top w:val="single" w:sz="8" w:space="0" w:color="auto"/>
              <w:left w:val="single" w:sz="8" w:space="0" w:color="auto"/>
              <w:bottom w:val="single" w:sz="8" w:space="0" w:color="auto"/>
              <w:right w:val="single" w:sz="8" w:space="0" w:color="auto"/>
            </w:tcBorders>
            <w:shd w:val="clear" w:color="auto" w:fill="CCFF99"/>
          </w:tcPr>
          <w:p w:rsidR="00812486" w:rsidRPr="009768C1" w:rsidRDefault="00812486" w:rsidP="00A14D8B">
            <w:pPr>
              <w:spacing w:before="120" w:after="120"/>
              <w:jc w:val="center"/>
              <w:rPr>
                <w:rFonts w:cs="Arial"/>
                <w:lang w:val="es-ES"/>
              </w:rPr>
            </w:pPr>
          </w:p>
        </w:tc>
        <w:tc>
          <w:tcPr>
            <w:tcW w:w="1450" w:type="dxa"/>
            <w:tcBorders>
              <w:top w:val="single" w:sz="8" w:space="0" w:color="auto"/>
              <w:left w:val="single" w:sz="8" w:space="0" w:color="auto"/>
              <w:bottom w:val="single" w:sz="8" w:space="0" w:color="auto"/>
              <w:right w:val="single" w:sz="8" w:space="0" w:color="auto"/>
            </w:tcBorders>
            <w:shd w:val="clear" w:color="auto" w:fill="CCFF99"/>
          </w:tcPr>
          <w:p w:rsidR="00812486" w:rsidRPr="009768C1" w:rsidRDefault="00812486" w:rsidP="00A30220">
            <w:pPr>
              <w:spacing w:before="120" w:after="120"/>
              <w:jc w:val="right"/>
              <w:rPr>
                <w:rFonts w:cs="Arial"/>
              </w:rPr>
            </w:pPr>
            <w:r w:rsidRPr="009768C1">
              <w:rPr>
                <w:rFonts w:cs="Arial"/>
              </w:rPr>
              <w:t>3</w:t>
            </w:r>
            <w:r w:rsidR="00A30220" w:rsidRPr="009768C1">
              <w:rPr>
                <w:rFonts w:cs="Arial"/>
              </w:rPr>
              <w:t>.</w:t>
            </w:r>
            <w:r w:rsidRPr="009768C1">
              <w:rPr>
                <w:rFonts w:cs="Arial"/>
              </w:rPr>
              <w:t>323</w:t>
            </w:r>
            <w:r w:rsidR="00A30220" w:rsidRPr="009768C1">
              <w:rPr>
                <w:rFonts w:cs="Arial"/>
              </w:rPr>
              <w:t>.</w:t>
            </w:r>
            <w:r w:rsidRPr="009768C1">
              <w:rPr>
                <w:rFonts w:cs="Arial"/>
              </w:rPr>
              <w:t>050</w:t>
            </w:r>
          </w:p>
        </w:tc>
        <w:tc>
          <w:tcPr>
            <w:tcW w:w="1430" w:type="dxa"/>
            <w:tcBorders>
              <w:top w:val="single" w:sz="8" w:space="0" w:color="auto"/>
              <w:left w:val="single" w:sz="8" w:space="0" w:color="auto"/>
              <w:bottom w:val="single" w:sz="8" w:space="0" w:color="auto"/>
              <w:right w:val="single" w:sz="8" w:space="0" w:color="auto"/>
            </w:tcBorders>
            <w:shd w:val="clear" w:color="auto" w:fill="CCFF99"/>
          </w:tcPr>
          <w:p w:rsidR="00812486" w:rsidRPr="009768C1" w:rsidRDefault="00812486" w:rsidP="00A30220">
            <w:pPr>
              <w:spacing w:before="120" w:after="120"/>
              <w:jc w:val="right"/>
              <w:rPr>
                <w:rFonts w:cs="Arial"/>
              </w:rPr>
            </w:pPr>
            <w:r w:rsidRPr="009768C1">
              <w:rPr>
                <w:rFonts w:cs="Arial"/>
              </w:rPr>
              <w:t>3</w:t>
            </w:r>
            <w:r w:rsidR="00A30220" w:rsidRPr="009768C1">
              <w:rPr>
                <w:rFonts w:cs="Arial"/>
              </w:rPr>
              <w:t>.</w:t>
            </w:r>
            <w:r w:rsidRPr="009768C1">
              <w:rPr>
                <w:rFonts w:cs="Arial"/>
              </w:rPr>
              <w:t>323</w:t>
            </w:r>
            <w:r w:rsidR="00A30220" w:rsidRPr="009768C1">
              <w:rPr>
                <w:rFonts w:cs="Arial"/>
              </w:rPr>
              <w:t>.</w:t>
            </w:r>
            <w:r w:rsidRPr="009768C1">
              <w:rPr>
                <w:rFonts w:cs="Arial"/>
              </w:rPr>
              <w:t>050</w:t>
            </w:r>
          </w:p>
        </w:tc>
      </w:tr>
    </w:tbl>
    <w:p w:rsidR="00812486" w:rsidRPr="009768C1" w:rsidRDefault="00812486" w:rsidP="00812486"/>
    <w:p w:rsidR="00812486" w:rsidRPr="009768C1" w:rsidRDefault="00812486" w:rsidP="00812486"/>
    <w:p w:rsidR="00812486" w:rsidRPr="009768C1" w:rsidRDefault="00812486" w:rsidP="00C95420">
      <w:pPr>
        <w:pStyle w:val="Heading5"/>
      </w:pPr>
      <w:r w:rsidRPr="009768C1">
        <w:br w:type="page"/>
      </w:r>
      <w:bookmarkStart w:id="50" w:name="_Toc397086227"/>
      <w:bookmarkStart w:id="51" w:name="_Toc397086726"/>
      <w:r w:rsidR="00B363DD" w:rsidRPr="009768C1">
        <w:lastRenderedPageBreak/>
        <w:t>Contribuciones recibidas por anticipado</w:t>
      </w:r>
      <w:bookmarkEnd w:id="50"/>
      <w:bookmarkEnd w:id="51"/>
    </w:p>
    <w:p w:rsidR="00812486" w:rsidRPr="009768C1" w:rsidRDefault="00812486" w:rsidP="00812486">
      <w:pPr>
        <w:jc w:val="center"/>
      </w:pPr>
    </w:p>
    <w:p w:rsidR="00812486" w:rsidRPr="009768C1" w:rsidRDefault="00812486" w:rsidP="00812486"/>
    <w:tbl>
      <w:tblPr>
        <w:tblW w:w="0" w:type="auto"/>
        <w:jc w:val="center"/>
        <w:tblInd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3691"/>
      </w:tblGrid>
      <w:tr w:rsidR="009768C1" w:rsidRPr="00C7055D" w:rsidTr="00A14D8B">
        <w:trPr>
          <w:trHeight w:val="598"/>
          <w:jc w:val="center"/>
        </w:trPr>
        <w:tc>
          <w:tcPr>
            <w:tcW w:w="6543" w:type="dxa"/>
            <w:gridSpan w:val="2"/>
            <w:tcBorders>
              <w:top w:val="single" w:sz="8" w:space="0" w:color="auto"/>
              <w:left w:val="single" w:sz="8" w:space="0" w:color="auto"/>
              <w:bottom w:val="single" w:sz="8" w:space="0" w:color="auto"/>
              <w:right w:val="single" w:sz="8" w:space="0" w:color="auto"/>
            </w:tcBorders>
            <w:shd w:val="clear" w:color="auto" w:fill="CCFF99"/>
          </w:tcPr>
          <w:p w:rsidR="00812486" w:rsidRPr="009A2053" w:rsidRDefault="00812486" w:rsidP="00A14D8B">
            <w:pPr>
              <w:jc w:val="center"/>
              <w:rPr>
                <w:lang w:val="es-ES_tradnl"/>
              </w:rPr>
            </w:pPr>
          </w:p>
          <w:p w:rsidR="00812486" w:rsidRPr="009545A7" w:rsidRDefault="00812486" w:rsidP="009545A7">
            <w:pPr>
              <w:jc w:val="center"/>
              <w:rPr>
                <w:lang w:val="es-ES"/>
              </w:rPr>
            </w:pPr>
            <w:r w:rsidRPr="009545A7">
              <w:rPr>
                <w:lang w:val="es-ES"/>
              </w:rPr>
              <w:t>Contribu</w:t>
            </w:r>
            <w:r w:rsidR="009545A7" w:rsidRPr="009545A7">
              <w:rPr>
                <w:lang w:val="es-ES"/>
              </w:rPr>
              <w:t>ciones para</w:t>
            </w:r>
            <w:r w:rsidRPr="009545A7">
              <w:rPr>
                <w:lang w:val="es-ES"/>
              </w:rPr>
              <w:t xml:space="preserve"> 2014, </w:t>
            </w:r>
            <w:r w:rsidR="009545A7" w:rsidRPr="009545A7">
              <w:rPr>
                <w:lang w:val="es-ES"/>
              </w:rPr>
              <w:t>ya percibidas al</w:t>
            </w:r>
            <w:r w:rsidRPr="009545A7">
              <w:rPr>
                <w:lang w:val="es-ES"/>
              </w:rPr>
              <w:t xml:space="preserve"> 31</w:t>
            </w:r>
            <w:r w:rsidR="009545A7">
              <w:rPr>
                <w:lang w:val="es-ES"/>
              </w:rPr>
              <w:t xml:space="preserve"> de diciembre de </w:t>
            </w:r>
            <w:r w:rsidRPr="009545A7">
              <w:rPr>
                <w:lang w:val="es-ES"/>
              </w:rPr>
              <w:t>2013</w:t>
            </w:r>
          </w:p>
        </w:tc>
      </w:tr>
      <w:tr w:rsidR="009768C1" w:rsidRPr="009768C1" w:rsidTr="00A14D8B">
        <w:trPr>
          <w:trHeight w:val="584"/>
          <w:jc w:val="center"/>
        </w:trPr>
        <w:tc>
          <w:tcPr>
            <w:tcW w:w="2852" w:type="dxa"/>
            <w:tcBorders>
              <w:top w:val="single" w:sz="8" w:space="0" w:color="auto"/>
              <w:left w:val="single" w:sz="8" w:space="0" w:color="auto"/>
              <w:bottom w:val="single" w:sz="8" w:space="0" w:color="auto"/>
              <w:right w:val="single" w:sz="8" w:space="0" w:color="auto"/>
            </w:tcBorders>
            <w:shd w:val="clear" w:color="auto" w:fill="CCFF99"/>
          </w:tcPr>
          <w:p w:rsidR="00812486" w:rsidRPr="009545A7" w:rsidRDefault="00812486" w:rsidP="00A14D8B">
            <w:pPr>
              <w:jc w:val="center"/>
              <w:rPr>
                <w:lang w:val="es-ES"/>
              </w:rPr>
            </w:pPr>
          </w:p>
          <w:p w:rsidR="00812486" w:rsidRPr="009768C1" w:rsidRDefault="00A30220" w:rsidP="00A14D8B">
            <w:pPr>
              <w:jc w:val="center"/>
              <w:rPr>
                <w:lang w:val="es-ES"/>
              </w:rPr>
            </w:pPr>
            <w:r w:rsidRPr="009768C1">
              <w:rPr>
                <w:lang w:val="es-ES"/>
              </w:rPr>
              <w:t>Miembros de la Unión</w:t>
            </w:r>
          </w:p>
        </w:tc>
        <w:tc>
          <w:tcPr>
            <w:tcW w:w="3691" w:type="dxa"/>
            <w:tcBorders>
              <w:top w:val="single" w:sz="8" w:space="0" w:color="auto"/>
              <w:left w:val="single" w:sz="8" w:space="0" w:color="auto"/>
              <w:bottom w:val="single" w:sz="8" w:space="0" w:color="auto"/>
              <w:right w:val="single" w:sz="8" w:space="0" w:color="auto"/>
            </w:tcBorders>
            <w:shd w:val="clear" w:color="auto" w:fill="CCFF99"/>
          </w:tcPr>
          <w:p w:rsidR="00812486" w:rsidRPr="009768C1" w:rsidRDefault="00812486" w:rsidP="00A14D8B">
            <w:pPr>
              <w:ind w:right="430"/>
              <w:jc w:val="right"/>
              <w:rPr>
                <w:lang w:val="es-ES"/>
              </w:rPr>
            </w:pPr>
          </w:p>
          <w:p w:rsidR="00812486" w:rsidRPr="009768C1" w:rsidRDefault="00A30220" w:rsidP="00A14D8B">
            <w:pPr>
              <w:ind w:right="430"/>
              <w:jc w:val="right"/>
              <w:rPr>
                <w:lang w:val="es-ES"/>
              </w:rPr>
            </w:pPr>
            <w:r w:rsidRPr="009768C1">
              <w:rPr>
                <w:lang w:val="es-ES"/>
              </w:rPr>
              <w:t>Francos suizos</w:t>
            </w:r>
          </w:p>
        </w:tc>
      </w:tr>
      <w:tr w:rsidR="00F7227E" w:rsidRPr="009768C1" w:rsidTr="00A14D8B">
        <w:trPr>
          <w:trHeight w:val="293"/>
          <w:jc w:val="center"/>
        </w:trPr>
        <w:tc>
          <w:tcPr>
            <w:tcW w:w="2852" w:type="dxa"/>
            <w:tcBorders>
              <w:top w:val="single" w:sz="8" w:space="0" w:color="auto"/>
              <w:left w:val="single" w:sz="8" w:space="0" w:color="auto"/>
              <w:bottom w:val="nil"/>
              <w:right w:val="single" w:sz="8" w:space="0" w:color="auto"/>
            </w:tcBorders>
            <w:shd w:val="clear" w:color="auto" w:fill="auto"/>
          </w:tcPr>
          <w:p w:rsidR="00F7227E" w:rsidRPr="009768C1" w:rsidRDefault="00F7227E" w:rsidP="00AA1DE0">
            <w:pPr>
              <w:rPr>
                <w:lang w:val="es-ES"/>
              </w:rPr>
            </w:pPr>
            <w:r w:rsidRPr="009768C1">
              <w:rPr>
                <w:lang w:val="es-ES"/>
              </w:rPr>
              <w:t>Australia</w:t>
            </w:r>
          </w:p>
        </w:tc>
        <w:tc>
          <w:tcPr>
            <w:tcW w:w="3691" w:type="dxa"/>
            <w:tcBorders>
              <w:top w:val="single" w:sz="8" w:space="0" w:color="auto"/>
              <w:left w:val="single" w:sz="8" w:space="0" w:color="auto"/>
              <w:bottom w:val="nil"/>
              <w:right w:val="single" w:sz="8" w:space="0" w:color="auto"/>
            </w:tcBorders>
            <w:shd w:val="clear" w:color="auto" w:fill="auto"/>
          </w:tcPr>
          <w:p w:rsidR="00F7227E" w:rsidRPr="009768C1" w:rsidRDefault="00F7227E" w:rsidP="00A14D8B">
            <w:pPr>
              <w:ind w:right="430"/>
              <w:jc w:val="right"/>
              <w:rPr>
                <w:lang w:val="es-ES"/>
              </w:rPr>
            </w:pPr>
            <w:r w:rsidRPr="009768C1">
              <w:rPr>
                <w:lang w:val="es-ES"/>
              </w:rPr>
              <w:t>53.641</w:t>
            </w:r>
          </w:p>
        </w:tc>
      </w:tr>
      <w:tr w:rsidR="00F7227E" w:rsidRPr="009768C1" w:rsidTr="00A14D8B">
        <w:trPr>
          <w:trHeight w:val="293"/>
          <w:jc w:val="center"/>
        </w:trPr>
        <w:tc>
          <w:tcPr>
            <w:tcW w:w="2852" w:type="dxa"/>
            <w:tcBorders>
              <w:top w:val="nil"/>
              <w:left w:val="single" w:sz="8" w:space="0" w:color="auto"/>
              <w:bottom w:val="nil"/>
              <w:right w:val="single" w:sz="8" w:space="0" w:color="auto"/>
            </w:tcBorders>
            <w:shd w:val="clear" w:color="auto" w:fill="auto"/>
          </w:tcPr>
          <w:p w:rsidR="00F7227E" w:rsidRPr="009768C1" w:rsidRDefault="00F7227E" w:rsidP="00AA1DE0">
            <w:pPr>
              <w:rPr>
                <w:lang w:val="es-ES"/>
              </w:rPr>
            </w:pPr>
            <w:r w:rsidRPr="009768C1">
              <w:rPr>
                <w:lang w:val="es-ES"/>
              </w:rPr>
              <w:t>Bulgaria</w:t>
            </w:r>
          </w:p>
        </w:tc>
        <w:tc>
          <w:tcPr>
            <w:tcW w:w="3691" w:type="dxa"/>
            <w:tcBorders>
              <w:top w:val="nil"/>
              <w:left w:val="single" w:sz="8" w:space="0" w:color="auto"/>
              <w:bottom w:val="nil"/>
              <w:right w:val="single" w:sz="8" w:space="0" w:color="auto"/>
            </w:tcBorders>
            <w:shd w:val="clear" w:color="auto" w:fill="auto"/>
          </w:tcPr>
          <w:p w:rsidR="00F7227E" w:rsidRPr="009768C1" w:rsidRDefault="00F7227E" w:rsidP="00A14D8B">
            <w:pPr>
              <w:ind w:right="430" w:firstLine="177"/>
              <w:jc w:val="right"/>
              <w:rPr>
                <w:lang w:val="es-ES"/>
              </w:rPr>
            </w:pPr>
            <w:r w:rsidRPr="009768C1">
              <w:rPr>
                <w:lang w:val="es-ES"/>
              </w:rPr>
              <w:t>10.728</w:t>
            </w:r>
          </w:p>
        </w:tc>
      </w:tr>
      <w:tr w:rsidR="00F7227E" w:rsidRPr="009768C1" w:rsidTr="00A14D8B">
        <w:trPr>
          <w:trHeight w:val="293"/>
          <w:jc w:val="center"/>
        </w:trPr>
        <w:tc>
          <w:tcPr>
            <w:tcW w:w="2852" w:type="dxa"/>
            <w:tcBorders>
              <w:top w:val="nil"/>
              <w:left w:val="single" w:sz="8" w:space="0" w:color="auto"/>
              <w:bottom w:val="nil"/>
              <w:right w:val="single" w:sz="8" w:space="0" w:color="auto"/>
            </w:tcBorders>
            <w:shd w:val="clear" w:color="auto" w:fill="auto"/>
          </w:tcPr>
          <w:p w:rsidR="00F7227E" w:rsidRPr="009768C1" w:rsidRDefault="00F7227E" w:rsidP="00AA1DE0">
            <w:pPr>
              <w:rPr>
                <w:lang w:val="es-ES"/>
              </w:rPr>
            </w:pPr>
            <w:r w:rsidRPr="009768C1">
              <w:rPr>
                <w:lang w:val="es-ES"/>
              </w:rPr>
              <w:t>Colombia</w:t>
            </w:r>
          </w:p>
        </w:tc>
        <w:tc>
          <w:tcPr>
            <w:tcW w:w="3691" w:type="dxa"/>
            <w:tcBorders>
              <w:top w:val="nil"/>
              <w:left w:val="single" w:sz="8" w:space="0" w:color="auto"/>
              <w:bottom w:val="nil"/>
              <w:right w:val="single" w:sz="8" w:space="0" w:color="auto"/>
            </w:tcBorders>
            <w:shd w:val="clear" w:color="auto" w:fill="auto"/>
          </w:tcPr>
          <w:p w:rsidR="00F7227E" w:rsidRPr="009768C1" w:rsidRDefault="00F7227E" w:rsidP="00A14D8B">
            <w:pPr>
              <w:ind w:right="430" w:firstLine="177"/>
              <w:jc w:val="right"/>
              <w:rPr>
                <w:lang w:val="es-ES"/>
              </w:rPr>
            </w:pPr>
            <w:r w:rsidRPr="009768C1">
              <w:rPr>
                <w:lang w:val="es-ES"/>
              </w:rPr>
              <w:t>10.728</w:t>
            </w:r>
          </w:p>
        </w:tc>
      </w:tr>
      <w:tr w:rsidR="00F7227E" w:rsidRPr="009768C1" w:rsidTr="00A14D8B">
        <w:trPr>
          <w:trHeight w:val="293"/>
          <w:jc w:val="center"/>
        </w:trPr>
        <w:tc>
          <w:tcPr>
            <w:tcW w:w="2852" w:type="dxa"/>
            <w:tcBorders>
              <w:top w:val="nil"/>
              <w:left w:val="single" w:sz="8" w:space="0" w:color="auto"/>
              <w:bottom w:val="nil"/>
              <w:right w:val="single" w:sz="8" w:space="0" w:color="auto"/>
            </w:tcBorders>
            <w:shd w:val="clear" w:color="auto" w:fill="auto"/>
          </w:tcPr>
          <w:p w:rsidR="00F7227E" w:rsidRPr="009768C1" w:rsidRDefault="00F7227E" w:rsidP="00AA1DE0">
            <w:pPr>
              <w:rPr>
                <w:lang w:val="es-ES"/>
              </w:rPr>
            </w:pPr>
            <w:r w:rsidRPr="009768C1">
              <w:rPr>
                <w:lang w:val="es-ES"/>
              </w:rPr>
              <w:t>Costa Rica</w:t>
            </w:r>
          </w:p>
        </w:tc>
        <w:tc>
          <w:tcPr>
            <w:tcW w:w="3691" w:type="dxa"/>
            <w:tcBorders>
              <w:top w:val="nil"/>
              <w:left w:val="single" w:sz="8" w:space="0" w:color="auto"/>
              <w:bottom w:val="nil"/>
              <w:right w:val="single" w:sz="8" w:space="0" w:color="auto"/>
            </w:tcBorders>
            <w:shd w:val="clear" w:color="auto" w:fill="auto"/>
          </w:tcPr>
          <w:p w:rsidR="00F7227E" w:rsidRPr="009768C1" w:rsidRDefault="00F7227E" w:rsidP="00A14D8B">
            <w:pPr>
              <w:ind w:right="454"/>
              <w:jc w:val="right"/>
              <w:rPr>
                <w:lang w:val="es-ES"/>
              </w:rPr>
            </w:pPr>
            <w:r w:rsidRPr="009768C1">
              <w:rPr>
                <w:lang w:val="es-ES"/>
              </w:rPr>
              <w:t>10.728</w:t>
            </w:r>
          </w:p>
        </w:tc>
      </w:tr>
      <w:tr w:rsidR="00F7227E" w:rsidRPr="009768C1" w:rsidTr="00F7227E">
        <w:trPr>
          <w:trHeight w:val="293"/>
          <w:jc w:val="center"/>
        </w:trPr>
        <w:tc>
          <w:tcPr>
            <w:tcW w:w="2852" w:type="dxa"/>
            <w:tcBorders>
              <w:top w:val="nil"/>
              <w:left w:val="single" w:sz="8" w:space="0" w:color="auto"/>
              <w:bottom w:val="nil"/>
              <w:right w:val="single" w:sz="8" w:space="0" w:color="auto"/>
            </w:tcBorders>
            <w:shd w:val="clear" w:color="auto" w:fill="auto"/>
          </w:tcPr>
          <w:p w:rsidR="00F7227E" w:rsidRPr="009768C1" w:rsidRDefault="00F7227E" w:rsidP="00AA1DE0">
            <w:pPr>
              <w:rPr>
                <w:lang w:val="es-ES"/>
              </w:rPr>
            </w:pPr>
            <w:r w:rsidRPr="009768C1">
              <w:rPr>
                <w:lang w:val="es-ES"/>
              </w:rPr>
              <w:t>Eslovaquia</w:t>
            </w:r>
          </w:p>
        </w:tc>
        <w:tc>
          <w:tcPr>
            <w:tcW w:w="3691" w:type="dxa"/>
            <w:tcBorders>
              <w:top w:val="nil"/>
              <w:left w:val="single" w:sz="8" w:space="0" w:color="auto"/>
              <w:bottom w:val="nil"/>
              <w:right w:val="single" w:sz="8" w:space="0" w:color="auto"/>
            </w:tcBorders>
            <w:shd w:val="clear" w:color="auto" w:fill="auto"/>
          </w:tcPr>
          <w:p w:rsidR="00F7227E" w:rsidRPr="009768C1" w:rsidRDefault="00F7227E" w:rsidP="00A14D8B">
            <w:pPr>
              <w:ind w:right="430" w:firstLine="177"/>
              <w:jc w:val="right"/>
              <w:rPr>
                <w:lang w:val="es-ES"/>
              </w:rPr>
            </w:pPr>
            <w:r w:rsidRPr="009768C1">
              <w:rPr>
                <w:lang w:val="es-ES"/>
              </w:rPr>
              <w:t>26.820</w:t>
            </w:r>
          </w:p>
        </w:tc>
      </w:tr>
      <w:tr w:rsidR="00F7227E" w:rsidRPr="009768C1" w:rsidTr="00F7227E">
        <w:trPr>
          <w:trHeight w:val="288"/>
          <w:jc w:val="center"/>
        </w:trPr>
        <w:tc>
          <w:tcPr>
            <w:tcW w:w="2852" w:type="dxa"/>
            <w:tcBorders>
              <w:top w:val="nil"/>
              <w:left w:val="single" w:sz="4" w:space="0" w:color="auto"/>
              <w:bottom w:val="nil"/>
              <w:right w:val="single" w:sz="4" w:space="0" w:color="auto"/>
            </w:tcBorders>
            <w:shd w:val="clear" w:color="auto" w:fill="auto"/>
          </w:tcPr>
          <w:p w:rsidR="00F7227E" w:rsidRPr="009768C1" w:rsidRDefault="00F7227E" w:rsidP="00AA1DE0">
            <w:pPr>
              <w:rPr>
                <w:lang w:val="es-ES"/>
              </w:rPr>
            </w:pPr>
            <w:r w:rsidRPr="009768C1">
              <w:rPr>
                <w:lang w:val="es-ES"/>
              </w:rPr>
              <w:t>Letonia</w:t>
            </w:r>
          </w:p>
        </w:tc>
        <w:tc>
          <w:tcPr>
            <w:tcW w:w="3691" w:type="dxa"/>
            <w:tcBorders>
              <w:top w:val="nil"/>
              <w:left w:val="single" w:sz="4" w:space="0" w:color="auto"/>
              <w:bottom w:val="nil"/>
              <w:right w:val="single" w:sz="8" w:space="0" w:color="auto"/>
            </w:tcBorders>
            <w:shd w:val="clear" w:color="auto" w:fill="auto"/>
          </w:tcPr>
          <w:p w:rsidR="00F7227E" w:rsidRPr="009768C1" w:rsidRDefault="00F7227E" w:rsidP="00A14D8B">
            <w:pPr>
              <w:ind w:right="430"/>
              <w:jc w:val="right"/>
              <w:rPr>
                <w:lang w:val="es-ES"/>
              </w:rPr>
            </w:pPr>
            <w:r w:rsidRPr="009768C1">
              <w:rPr>
                <w:lang w:val="es-ES"/>
              </w:rPr>
              <w:t>7.023</w:t>
            </w:r>
          </w:p>
        </w:tc>
      </w:tr>
      <w:tr w:rsidR="00F7227E" w:rsidRPr="009768C1" w:rsidTr="00F7227E">
        <w:trPr>
          <w:trHeight w:val="293"/>
          <w:jc w:val="center"/>
        </w:trPr>
        <w:tc>
          <w:tcPr>
            <w:tcW w:w="2852" w:type="dxa"/>
            <w:tcBorders>
              <w:top w:val="nil"/>
              <w:left w:val="single" w:sz="8" w:space="0" w:color="auto"/>
              <w:bottom w:val="nil"/>
              <w:right w:val="single" w:sz="8" w:space="0" w:color="auto"/>
            </w:tcBorders>
            <w:shd w:val="clear" w:color="auto" w:fill="auto"/>
          </w:tcPr>
          <w:p w:rsidR="00F7227E" w:rsidRPr="009768C1" w:rsidRDefault="00F7227E" w:rsidP="00AA1DE0">
            <w:pPr>
              <w:rPr>
                <w:lang w:val="es-ES"/>
              </w:rPr>
            </w:pPr>
            <w:r w:rsidRPr="009768C1">
              <w:rPr>
                <w:lang w:val="es-ES"/>
              </w:rPr>
              <w:t>México</w:t>
            </w:r>
          </w:p>
        </w:tc>
        <w:tc>
          <w:tcPr>
            <w:tcW w:w="3691" w:type="dxa"/>
            <w:tcBorders>
              <w:top w:val="nil"/>
              <w:left w:val="single" w:sz="8" w:space="0" w:color="auto"/>
              <w:bottom w:val="nil"/>
              <w:right w:val="single" w:sz="8" w:space="0" w:color="auto"/>
            </w:tcBorders>
            <w:shd w:val="clear" w:color="auto" w:fill="auto"/>
          </w:tcPr>
          <w:p w:rsidR="00F7227E" w:rsidRPr="009768C1" w:rsidRDefault="00F7227E" w:rsidP="00A14D8B">
            <w:pPr>
              <w:ind w:right="430" w:firstLine="177"/>
              <w:jc w:val="right"/>
              <w:rPr>
                <w:lang w:val="es-ES"/>
              </w:rPr>
            </w:pPr>
            <w:r w:rsidRPr="009768C1">
              <w:rPr>
                <w:lang w:val="es-ES"/>
              </w:rPr>
              <w:t>40.231</w:t>
            </w:r>
          </w:p>
        </w:tc>
      </w:tr>
      <w:tr w:rsidR="00F7227E" w:rsidRPr="009768C1" w:rsidTr="00A14D8B">
        <w:trPr>
          <w:trHeight w:val="293"/>
          <w:jc w:val="center"/>
        </w:trPr>
        <w:tc>
          <w:tcPr>
            <w:tcW w:w="2852" w:type="dxa"/>
            <w:tcBorders>
              <w:top w:val="nil"/>
              <w:left w:val="single" w:sz="8" w:space="0" w:color="auto"/>
              <w:bottom w:val="nil"/>
              <w:right w:val="single" w:sz="8" w:space="0" w:color="auto"/>
            </w:tcBorders>
            <w:shd w:val="clear" w:color="auto" w:fill="auto"/>
          </w:tcPr>
          <w:p w:rsidR="00F7227E" w:rsidRPr="009768C1" w:rsidRDefault="00F7227E" w:rsidP="00AA1DE0">
            <w:pPr>
              <w:rPr>
                <w:lang w:val="es-ES"/>
              </w:rPr>
            </w:pPr>
            <w:r w:rsidRPr="009768C1">
              <w:rPr>
                <w:lang w:val="es-ES"/>
              </w:rPr>
              <w:t>Noruega</w:t>
            </w:r>
          </w:p>
        </w:tc>
        <w:tc>
          <w:tcPr>
            <w:tcW w:w="3691" w:type="dxa"/>
            <w:tcBorders>
              <w:top w:val="nil"/>
              <w:left w:val="single" w:sz="8" w:space="0" w:color="auto"/>
              <w:bottom w:val="nil"/>
              <w:right w:val="single" w:sz="8" w:space="0" w:color="auto"/>
            </w:tcBorders>
            <w:shd w:val="clear" w:color="auto" w:fill="auto"/>
          </w:tcPr>
          <w:p w:rsidR="00F7227E" w:rsidRPr="009768C1" w:rsidRDefault="00F7227E" w:rsidP="00A14D8B">
            <w:pPr>
              <w:ind w:right="430" w:firstLine="177"/>
              <w:jc w:val="right"/>
              <w:rPr>
                <w:lang w:val="es-ES"/>
              </w:rPr>
            </w:pPr>
            <w:r w:rsidRPr="009768C1">
              <w:rPr>
                <w:lang w:val="es-ES"/>
              </w:rPr>
              <w:t>53.641</w:t>
            </w:r>
          </w:p>
        </w:tc>
      </w:tr>
      <w:tr w:rsidR="00F7227E" w:rsidRPr="009768C1" w:rsidTr="00A14D8B">
        <w:trPr>
          <w:trHeight w:val="293"/>
          <w:jc w:val="center"/>
        </w:trPr>
        <w:tc>
          <w:tcPr>
            <w:tcW w:w="2852" w:type="dxa"/>
            <w:tcBorders>
              <w:top w:val="nil"/>
              <w:left w:val="single" w:sz="8" w:space="0" w:color="auto"/>
              <w:bottom w:val="nil"/>
              <w:right w:val="single" w:sz="8" w:space="0" w:color="auto"/>
            </w:tcBorders>
            <w:shd w:val="clear" w:color="auto" w:fill="auto"/>
          </w:tcPr>
          <w:p w:rsidR="00F7227E" w:rsidRPr="009768C1" w:rsidRDefault="00F7227E" w:rsidP="00AA1DE0">
            <w:pPr>
              <w:rPr>
                <w:lang w:val="es-ES"/>
              </w:rPr>
            </w:pPr>
            <w:r w:rsidRPr="009768C1">
              <w:rPr>
                <w:lang w:val="es-ES"/>
              </w:rPr>
              <w:t>Panamá</w:t>
            </w:r>
          </w:p>
        </w:tc>
        <w:tc>
          <w:tcPr>
            <w:tcW w:w="3691" w:type="dxa"/>
            <w:tcBorders>
              <w:top w:val="nil"/>
              <w:left w:val="single" w:sz="8" w:space="0" w:color="auto"/>
              <w:bottom w:val="nil"/>
              <w:right w:val="single" w:sz="8" w:space="0" w:color="auto"/>
            </w:tcBorders>
            <w:shd w:val="clear" w:color="auto" w:fill="auto"/>
          </w:tcPr>
          <w:p w:rsidR="00F7227E" w:rsidRPr="009768C1" w:rsidRDefault="00F7227E" w:rsidP="00A14D8B">
            <w:pPr>
              <w:ind w:right="430" w:firstLine="177"/>
              <w:jc w:val="right"/>
              <w:rPr>
                <w:lang w:val="es-ES"/>
              </w:rPr>
            </w:pPr>
            <w:r w:rsidRPr="009768C1">
              <w:rPr>
                <w:lang w:val="es-ES"/>
              </w:rPr>
              <w:t>648</w:t>
            </w:r>
          </w:p>
        </w:tc>
      </w:tr>
      <w:tr w:rsidR="009768C1" w:rsidRPr="009768C1" w:rsidTr="00A14D8B">
        <w:trPr>
          <w:trHeight w:val="416"/>
          <w:jc w:val="center"/>
        </w:trPr>
        <w:tc>
          <w:tcPr>
            <w:tcW w:w="2852" w:type="dxa"/>
            <w:tcBorders>
              <w:top w:val="single" w:sz="8" w:space="0" w:color="auto"/>
              <w:left w:val="single" w:sz="8" w:space="0" w:color="auto"/>
              <w:bottom w:val="single" w:sz="8" w:space="0" w:color="auto"/>
            </w:tcBorders>
            <w:shd w:val="clear" w:color="auto" w:fill="CCFF99"/>
          </w:tcPr>
          <w:p w:rsidR="00812486" w:rsidRPr="009768C1" w:rsidRDefault="00812486" w:rsidP="00A14D8B">
            <w:pPr>
              <w:rPr>
                <w:lang w:val="es-ES"/>
              </w:rPr>
            </w:pPr>
          </w:p>
          <w:p w:rsidR="00812486" w:rsidRPr="009768C1" w:rsidRDefault="00812486" w:rsidP="00A14D8B">
            <w:pPr>
              <w:rPr>
                <w:lang w:val="es-ES"/>
              </w:rPr>
            </w:pPr>
            <w:r w:rsidRPr="009768C1">
              <w:rPr>
                <w:lang w:val="es-ES"/>
              </w:rPr>
              <w:t>Total 2014</w:t>
            </w:r>
          </w:p>
          <w:p w:rsidR="00812486" w:rsidRPr="009768C1" w:rsidRDefault="00812486" w:rsidP="00A14D8B">
            <w:pPr>
              <w:rPr>
                <w:lang w:val="es-ES"/>
              </w:rPr>
            </w:pPr>
          </w:p>
        </w:tc>
        <w:tc>
          <w:tcPr>
            <w:tcW w:w="3691" w:type="dxa"/>
            <w:tcBorders>
              <w:top w:val="single" w:sz="8" w:space="0" w:color="auto"/>
              <w:bottom w:val="single" w:sz="8" w:space="0" w:color="auto"/>
              <w:right w:val="single" w:sz="8" w:space="0" w:color="auto"/>
            </w:tcBorders>
            <w:shd w:val="clear" w:color="auto" w:fill="CCFF99"/>
          </w:tcPr>
          <w:p w:rsidR="00812486" w:rsidRPr="009768C1" w:rsidRDefault="00812486" w:rsidP="00A14D8B">
            <w:pPr>
              <w:ind w:right="430" w:firstLine="177"/>
              <w:jc w:val="right"/>
              <w:rPr>
                <w:lang w:val="es-ES"/>
              </w:rPr>
            </w:pPr>
          </w:p>
          <w:p w:rsidR="00812486" w:rsidRPr="009768C1" w:rsidRDefault="00AA1DE0" w:rsidP="00A14D8B">
            <w:pPr>
              <w:ind w:right="430" w:firstLine="177"/>
              <w:jc w:val="right"/>
              <w:rPr>
                <w:lang w:val="es-ES"/>
              </w:rPr>
            </w:pPr>
            <w:r w:rsidRPr="009768C1">
              <w:rPr>
                <w:lang w:val="es-ES"/>
              </w:rPr>
              <w:t>214.</w:t>
            </w:r>
            <w:r w:rsidR="00812486" w:rsidRPr="009768C1">
              <w:rPr>
                <w:lang w:val="es-ES"/>
              </w:rPr>
              <w:t>188</w:t>
            </w:r>
          </w:p>
        </w:tc>
      </w:tr>
      <w:tr w:rsidR="009768C1" w:rsidRPr="009768C1" w:rsidTr="00A14D8B">
        <w:trPr>
          <w:trHeight w:val="293"/>
          <w:jc w:val="center"/>
        </w:trPr>
        <w:tc>
          <w:tcPr>
            <w:tcW w:w="6543" w:type="dxa"/>
            <w:gridSpan w:val="2"/>
            <w:tcBorders>
              <w:top w:val="single" w:sz="8" w:space="0" w:color="auto"/>
              <w:left w:val="nil"/>
              <w:bottom w:val="single" w:sz="8" w:space="0" w:color="auto"/>
              <w:right w:val="nil"/>
            </w:tcBorders>
            <w:shd w:val="clear" w:color="auto" w:fill="FFFFFF" w:themeFill="background1"/>
            <w:vAlign w:val="center"/>
          </w:tcPr>
          <w:p w:rsidR="00812486" w:rsidRPr="009768C1" w:rsidRDefault="00812486" w:rsidP="00A14D8B">
            <w:pPr>
              <w:jc w:val="left"/>
              <w:rPr>
                <w:lang w:val="es-ES"/>
              </w:rPr>
            </w:pPr>
          </w:p>
        </w:tc>
      </w:tr>
      <w:tr w:rsidR="009768C1" w:rsidRPr="009768C1" w:rsidTr="00A14D8B">
        <w:trPr>
          <w:trHeight w:val="293"/>
          <w:jc w:val="center"/>
        </w:trPr>
        <w:tc>
          <w:tcPr>
            <w:tcW w:w="6543" w:type="dxa"/>
            <w:gridSpan w:val="2"/>
            <w:tcBorders>
              <w:top w:val="single" w:sz="8" w:space="0" w:color="auto"/>
              <w:left w:val="single" w:sz="8" w:space="0" w:color="auto"/>
              <w:bottom w:val="nil"/>
              <w:right w:val="single" w:sz="8" w:space="0" w:color="auto"/>
            </w:tcBorders>
            <w:shd w:val="clear" w:color="auto" w:fill="CCFF99"/>
            <w:vAlign w:val="center"/>
          </w:tcPr>
          <w:p w:rsidR="00812486" w:rsidRPr="009768C1" w:rsidRDefault="00812486" w:rsidP="00A14D8B">
            <w:pPr>
              <w:jc w:val="center"/>
              <w:rPr>
                <w:lang w:val="es-ES"/>
              </w:rPr>
            </w:pPr>
          </w:p>
          <w:p w:rsidR="00812486" w:rsidRPr="009768C1" w:rsidRDefault="009545A7" w:rsidP="009545A7">
            <w:pPr>
              <w:jc w:val="center"/>
              <w:rPr>
                <w:lang w:val="es-ES"/>
              </w:rPr>
            </w:pPr>
            <w:r>
              <w:rPr>
                <w:lang w:val="es-ES"/>
              </w:rPr>
              <w:t xml:space="preserve">Contribuciones percibidas para </w:t>
            </w:r>
            <w:r w:rsidR="00812486" w:rsidRPr="009545A7">
              <w:rPr>
                <w:lang w:val="es-ES"/>
              </w:rPr>
              <w:t>2015:</w:t>
            </w:r>
          </w:p>
        </w:tc>
      </w:tr>
      <w:tr w:rsidR="009768C1" w:rsidRPr="009768C1" w:rsidTr="00A14D8B">
        <w:trPr>
          <w:trHeight w:val="595"/>
          <w:jc w:val="center"/>
        </w:trPr>
        <w:tc>
          <w:tcPr>
            <w:tcW w:w="2852" w:type="dxa"/>
            <w:tcBorders>
              <w:top w:val="single" w:sz="8" w:space="0" w:color="auto"/>
              <w:left w:val="single" w:sz="8" w:space="0" w:color="auto"/>
              <w:bottom w:val="single" w:sz="8" w:space="0" w:color="auto"/>
              <w:right w:val="single" w:sz="8" w:space="0" w:color="auto"/>
            </w:tcBorders>
            <w:shd w:val="clear" w:color="auto" w:fill="CCFF99"/>
          </w:tcPr>
          <w:p w:rsidR="00812486" w:rsidRPr="009768C1" w:rsidRDefault="00812486" w:rsidP="00A14D8B">
            <w:pPr>
              <w:jc w:val="center"/>
              <w:rPr>
                <w:lang w:val="es-ES"/>
              </w:rPr>
            </w:pPr>
          </w:p>
          <w:p w:rsidR="00812486" w:rsidRPr="009768C1" w:rsidRDefault="00AA1DE0" w:rsidP="00A14D8B">
            <w:pPr>
              <w:jc w:val="center"/>
              <w:rPr>
                <w:lang w:val="es-ES"/>
              </w:rPr>
            </w:pPr>
            <w:r w:rsidRPr="009768C1">
              <w:rPr>
                <w:lang w:val="es-ES"/>
              </w:rPr>
              <w:t>Miembros de la Unión</w:t>
            </w:r>
          </w:p>
        </w:tc>
        <w:tc>
          <w:tcPr>
            <w:tcW w:w="3691" w:type="dxa"/>
            <w:tcBorders>
              <w:top w:val="single" w:sz="8" w:space="0" w:color="auto"/>
              <w:left w:val="single" w:sz="8" w:space="0" w:color="auto"/>
              <w:bottom w:val="single" w:sz="8" w:space="0" w:color="auto"/>
              <w:right w:val="single" w:sz="8" w:space="0" w:color="auto"/>
            </w:tcBorders>
            <w:shd w:val="clear" w:color="auto" w:fill="CCFF99"/>
          </w:tcPr>
          <w:p w:rsidR="00812486" w:rsidRPr="009768C1" w:rsidRDefault="00812486" w:rsidP="00A14D8B">
            <w:pPr>
              <w:ind w:right="430" w:firstLine="177"/>
              <w:jc w:val="center"/>
              <w:rPr>
                <w:lang w:val="es-ES"/>
              </w:rPr>
            </w:pPr>
          </w:p>
          <w:p w:rsidR="00812486" w:rsidRPr="009768C1" w:rsidRDefault="00AA1DE0" w:rsidP="00A14D8B">
            <w:pPr>
              <w:ind w:right="430" w:firstLine="177"/>
              <w:jc w:val="right"/>
              <w:rPr>
                <w:lang w:val="es-ES"/>
              </w:rPr>
            </w:pPr>
            <w:r w:rsidRPr="009768C1">
              <w:rPr>
                <w:lang w:val="es-ES"/>
              </w:rPr>
              <w:t>Francos suizos</w:t>
            </w:r>
          </w:p>
        </w:tc>
      </w:tr>
      <w:tr w:rsidR="009768C1" w:rsidRPr="009768C1" w:rsidTr="00A14D8B">
        <w:trPr>
          <w:trHeight w:val="293"/>
          <w:jc w:val="center"/>
        </w:trPr>
        <w:tc>
          <w:tcPr>
            <w:tcW w:w="2852" w:type="dxa"/>
            <w:tcBorders>
              <w:top w:val="single" w:sz="8" w:space="0" w:color="auto"/>
              <w:left w:val="single" w:sz="8" w:space="0" w:color="auto"/>
              <w:bottom w:val="nil"/>
              <w:right w:val="single" w:sz="8" w:space="0" w:color="auto"/>
            </w:tcBorders>
            <w:shd w:val="clear" w:color="auto" w:fill="FFFFFF" w:themeFill="background1"/>
          </w:tcPr>
          <w:p w:rsidR="00812486" w:rsidRPr="009768C1" w:rsidRDefault="00812486" w:rsidP="00A14D8B">
            <w:pPr>
              <w:rPr>
                <w:lang w:val="es-ES"/>
              </w:rPr>
            </w:pPr>
            <w:r w:rsidRPr="009768C1">
              <w:rPr>
                <w:lang w:val="es-ES"/>
              </w:rPr>
              <w:t>Bulgaria</w:t>
            </w:r>
          </w:p>
        </w:tc>
        <w:tc>
          <w:tcPr>
            <w:tcW w:w="3691" w:type="dxa"/>
            <w:tcBorders>
              <w:top w:val="nil"/>
              <w:left w:val="single" w:sz="8" w:space="0" w:color="auto"/>
              <w:bottom w:val="nil"/>
              <w:right w:val="single" w:sz="8" w:space="0" w:color="auto"/>
            </w:tcBorders>
            <w:shd w:val="clear" w:color="auto" w:fill="FFFFFF" w:themeFill="background1"/>
          </w:tcPr>
          <w:p w:rsidR="00812486" w:rsidRPr="009768C1" w:rsidRDefault="00AA1DE0" w:rsidP="00A14D8B">
            <w:pPr>
              <w:ind w:right="430"/>
              <w:jc w:val="right"/>
              <w:rPr>
                <w:lang w:val="es-ES"/>
              </w:rPr>
            </w:pPr>
            <w:r w:rsidRPr="009768C1">
              <w:rPr>
                <w:lang w:val="es-ES"/>
              </w:rPr>
              <w:t>10.</w:t>
            </w:r>
            <w:r w:rsidR="00812486" w:rsidRPr="009768C1">
              <w:rPr>
                <w:lang w:val="es-ES"/>
              </w:rPr>
              <w:t>728</w:t>
            </w:r>
          </w:p>
        </w:tc>
      </w:tr>
      <w:tr w:rsidR="009768C1" w:rsidRPr="009768C1" w:rsidTr="00A14D8B">
        <w:trPr>
          <w:trHeight w:val="293"/>
          <w:jc w:val="center"/>
        </w:trPr>
        <w:tc>
          <w:tcPr>
            <w:tcW w:w="2852" w:type="dxa"/>
            <w:tcBorders>
              <w:top w:val="nil"/>
              <w:left w:val="single" w:sz="8" w:space="0" w:color="auto"/>
              <w:bottom w:val="nil"/>
              <w:right w:val="single" w:sz="8" w:space="0" w:color="auto"/>
            </w:tcBorders>
            <w:shd w:val="clear" w:color="auto" w:fill="FFFFFF" w:themeFill="background1"/>
          </w:tcPr>
          <w:p w:rsidR="00812486" w:rsidRPr="009768C1" w:rsidRDefault="00AA1DE0" w:rsidP="00A14D8B">
            <w:pPr>
              <w:rPr>
                <w:lang w:val="es-ES"/>
              </w:rPr>
            </w:pPr>
            <w:r w:rsidRPr="009768C1">
              <w:rPr>
                <w:lang w:val="es-ES"/>
              </w:rPr>
              <w:t>Mé</w:t>
            </w:r>
            <w:r w:rsidR="00812486" w:rsidRPr="009768C1">
              <w:rPr>
                <w:lang w:val="es-ES"/>
              </w:rPr>
              <w:t>xico</w:t>
            </w:r>
          </w:p>
        </w:tc>
        <w:tc>
          <w:tcPr>
            <w:tcW w:w="3691" w:type="dxa"/>
            <w:tcBorders>
              <w:top w:val="nil"/>
              <w:left w:val="single" w:sz="8" w:space="0" w:color="auto"/>
              <w:bottom w:val="nil"/>
              <w:right w:val="single" w:sz="8" w:space="0" w:color="auto"/>
            </w:tcBorders>
            <w:shd w:val="clear" w:color="auto" w:fill="FFFFFF" w:themeFill="background1"/>
          </w:tcPr>
          <w:p w:rsidR="00812486" w:rsidRPr="009768C1" w:rsidRDefault="00AA1DE0" w:rsidP="00A14D8B">
            <w:pPr>
              <w:ind w:right="430" w:firstLine="177"/>
              <w:jc w:val="right"/>
              <w:rPr>
                <w:lang w:val="es-ES"/>
              </w:rPr>
            </w:pPr>
            <w:r w:rsidRPr="009768C1">
              <w:rPr>
                <w:lang w:val="es-ES"/>
              </w:rPr>
              <w:t>11.</w:t>
            </w:r>
            <w:r w:rsidR="00812486" w:rsidRPr="009768C1">
              <w:rPr>
                <w:lang w:val="es-ES"/>
              </w:rPr>
              <w:t>568</w:t>
            </w:r>
          </w:p>
        </w:tc>
      </w:tr>
      <w:tr w:rsidR="009768C1" w:rsidRPr="009768C1" w:rsidTr="00A14D8B">
        <w:trPr>
          <w:trHeight w:val="293"/>
          <w:jc w:val="center"/>
        </w:trPr>
        <w:tc>
          <w:tcPr>
            <w:tcW w:w="2852" w:type="dxa"/>
            <w:tcBorders>
              <w:top w:val="single" w:sz="8" w:space="0" w:color="auto"/>
              <w:left w:val="single" w:sz="8" w:space="0" w:color="auto"/>
              <w:bottom w:val="single" w:sz="8" w:space="0" w:color="auto"/>
              <w:right w:val="single" w:sz="8" w:space="0" w:color="auto"/>
            </w:tcBorders>
            <w:shd w:val="clear" w:color="auto" w:fill="CCFF99"/>
          </w:tcPr>
          <w:p w:rsidR="00812486" w:rsidRPr="009768C1" w:rsidRDefault="00812486" w:rsidP="00A14D8B">
            <w:pPr>
              <w:rPr>
                <w:lang w:val="es-ES"/>
              </w:rPr>
            </w:pPr>
          </w:p>
          <w:p w:rsidR="00812486" w:rsidRPr="009768C1" w:rsidRDefault="00812486" w:rsidP="00A14D8B">
            <w:pPr>
              <w:rPr>
                <w:lang w:val="es-ES"/>
              </w:rPr>
            </w:pPr>
            <w:r w:rsidRPr="009768C1">
              <w:rPr>
                <w:lang w:val="es-ES"/>
              </w:rPr>
              <w:t>Total 2015</w:t>
            </w:r>
          </w:p>
          <w:p w:rsidR="00812486" w:rsidRPr="009768C1" w:rsidRDefault="00812486" w:rsidP="00A14D8B">
            <w:pPr>
              <w:rPr>
                <w:lang w:val="es-ES"/>
              </w:rPr>
            </w:pPr>
          </w:p>
        </w:tc>
        <w:tc>
          <w:tcPr>
            <w:tcW w:w="3691" w:type="dxa"/>
            <w:tcBorders>
              <w:top w:val="single" w:sz="8" w:space="0" w:color="auto"/>
              <w:left w:val="single" w:sz="8" w:space="0" w:color="auto"/>
              <w:bottom w:val="single" w:sz="8" w:space="0" w:color="auto"/>
              <w:right w:val="single" w:sz="8" w:space="0" w:color="auto"/>
            </w:tcBorders>
            <w:shd w:val="clear" w:color="auto" w:fill="CCFF99"/>
          </w:tcPr>
          <w:p w:rsidR="00812486" w:rsidRPr="009768C1" w:rsidRDefault="00812486" w:rsidP="00A14D8B">
            <w:pPr>
              <w:ind w:right="430" w:firstLine="177"/>
              <w:jc w:val="right"/>
              <w:rPr>
                <w:lang w:val="es-ES"/>
              </w:rPr>
            </w:pPr>
          </w:p>
          <w:p w:rsidR="00812486" w:rsidRPr="009768C1" w:rsidRDefault="00AA1DE0" w:rsidP="00A14D8B">
            <w:pPr>
              <w:ind w:right="430" w:firstLine="177"/>
              <w:jc w:val="right"/>
              <w:rPr>
                <w:lang w:val="es-ES"/>
              </w:rPr>
            </w:pPr>
            <w:r w:rsidRPr="009768C1">
              <w:rPr>
                <w:lang w:val="es-ES"/>
              </w:rPr>
              <w:t>22.</w:t>
            </w:r>
            <w:r w:rsidR="00812486" w:rsidRPr="009768C1">
              <w:rPr>
                <w:lang w:val="es-ES"/>
              </w:rPr>
              <w:t>296</w:t>
            </w:r>
          </w:p>
        </w:tc>
      </w:tr>
      <w:tr w:rsidR="009768C1" w:rsidRPr="009768C1" w:rsidTr="00A14D8B">
        <w:trPr>
          <w:trHeight w:val="293"/>
          <w:jc w:val="center"/>
        </w:trPr>
        <w:tc>
          <w:tcPr>
            <w:tcW w:w="2852" w:type="dxa"/>
            <w:tcBorders>
              <w:top w:val="single" w:sz="8" w:space="0" w:color="auto"/>
              <w:left w:val="nil"/>
              <w:bottom w:val="single" w:sz="8" w:space="0" w:color="auto"/>
              <w:right w:val="nil"/>
            </w:tcBorders>
            <w:shd w:val="clear" w:color="auto" w:fill="FFFFFF" w:themeFill="background1"/>
          </w:tcPr>
          <w:p w:rsidR="00812486" w:rsidRPr="009768C1" w:rsidRDefault="00812486" w:rsidP="00A14D8B">
            <w:pPr>
              <w:rPr>
                <w:lang w:val="es-ES"/>
              </w:rPr>
            </w:pPr>
          </w:p>
        </w:tc>
        <w:tc>
          <w:tcPr>
            <w:tcW w:w="3691" w:type="dxa"/>
            <w:tcBorders>
              <w:top w:val="single" w:sz="8" w:space="0" w:color="auto"/>
              <w:left w:val="nil"/>
              <w:bottom w:val="single" w:sz="8" w:space="0" w:color="auto"/>
              <w:right w:val="nil"/>
            </w:tcBorders>
            <w:shd w:val="clear" w:color="auto" w:fill="FFFFFF" w:themeFill="background1"/>
          </w:tcPr>
          <w:p w:rsidR="00812486" w:rsidRPr="009768C1" w:rsidRDefault="00812486" w:rsidP="00A14D8B">
            <w:pPr>
              <w:ind w:right="430" w:firstLine="177"/>
              <w:jc w:val="right"/>
              <w:rPr>
                <w:lang w:val="es-ES"/>
              </w:rPr>
            </w:pPr>
          </w:p>
        </w:tc>
      </w:tr>
      <w:tr w:rsidR="009768C1" w:rsidRPr="009768C1" w:rsidTr="00A14D8B">
        <w:trPr>
          <w:trHeight w:val="293"/>
          <w:jc w:val="center"/>
        </w:trPr>
        <w:tc>
          <w:tcPr>
            <w:tcW w:w="2852" w:type="dxa"/>
            <w:tcBorders>
              <w:top w:val="single" w:sz="8" w:space="0" w:color="auto"/>
              <w:left w:val="single" w:sz="8" w:space="0" w:color="auto"/>
              <w:bottom w:val="single" w:sz="8" w:space="0" w:color="auto"/>
              <w:right w:val="single" w:sz="8" w:space="0" w:color="auto"/>
            </w:tcBorders>
            <w:shd w:val="clear" w:color="auto" w:fill="CCFF99"/>
          </w:tcPr>
          <w:p w:rsidR="00812486" w:rsidRPr="0095107F" w:rsidRDefault="00812486" w:rsidP="00A14D8B">
            <w:pPr>
              <w:rPr>
                <w:highlight w:val="magenta"/>
                <w:lang w:val="es-ES"/>
              </w:rPr>
            </w:pPr>
          </w:p>
          <w:p w:rsidR="00812486" w:rsidRPr="009545A7" w:rsidRDefault="009545A7" w:rsidP="00A14D8B">
            <w:pPr>
              <w:rPr>
                <w:lang w:val="es-ES"/>
              </w:rPr>
            </w:pPr>
            <w:r w:rsidRPr="009545A7">
              <w:rPr>
                <w:lang w:val="es-ES"/>
              </w:rPr>
              <w:t>Total del pago anticipado de contribuciones</w:t>
            </w:r>
          </w:p>
          <w:p w:rsidR="00812486" w:rsidRPr="0095107F" w:rsidRDefault="00812486" w:rsidP="00A14D8B">
            <w:pPr>
              <w:rPr>
                <w:highlight w:val="magenta"/>
                <w:lang w:val="es-ES"/>
              </w:rPr>
            </w:pPr>
          </w:p>
        </w:tc>
        <w:tc>
          <w:tcPr>
            <w:tcW w:w="3691" w:type="dxa"/>
            <w:tcBorders>
              <w:top w:val="single" w:sz="8" w:space="0" w:color="auto"/>
              <w:left w:val="single" w:sz="8" w:space="0" w:color="auto"/>
              <w:bottom w:val="single" w:sz="8" w:space="0" w:color="auto"/>
              <w:right w:val="single" w:sz="8" w:space="0" w:color="auto"/>
            </w:tcBorders>
            <w:shd w:val="clear" w:color="auto" w:fill="CCFF99"/>
          </w:tcPr>
          <w:p w:rsidR="00812486" w:rsidRPr="009768C1" w:rsidRDefault="00812486" w:rsidP="00A14D8B">
            <w:pPr>
              <w:ind w:right="430" w:firstLine="177"/>
              <w:jc w:val="right"/>
              <w:rPr>
                <w:lang w:val="es-ES"/>
              </w:rPr>
            </w:pPr>
          </w:p>
          <w:p w:rsidR="00812486" w:rsidRPr="009768C1" w:rsidRDefault="00812486" w:rsidP="00AA1DE0">
            <w:pPr>
              <w:ind w:right="430" w:firstLine="177"/>
              <w:jc w:val="right"/>
              <w:rPr>
                <w:lang w:val="es-ES"/>
              </w:rPr>
            </w:pPr>
            <w:r w:rsidRPr="009768C1">
              <w:rPr>
                <w:lang w:val="es-ES"/>
              </w:rPr>
              <w:t>236</w:t>
            </w:r>
            <w:r w:rsidR="00AA1DE0" w:rsidRPr="009768C1">
              <w:rPr>
                <w:lang w:val="es-ES"/>
              </w:rPr>
              <w:t>.</w:t>
            </w:r>
            <w:r w:rsidRPr="009768C1">
              <w:rPr>
                <w:lang w:val="es-ES"/>
              </w:rPr>
              <w:t>484</w:t>
            </w:r>
          </w:p>
        </w:tc>
      </w:tr>
    </w:tbl>
    <w:p w:rsidR="00812486" w:rsidRPr="009768C1" w:rsidRDefault="00812486" w:rsidP="00812486">
      <w:pPr>
        <w:rPr>
          <w:lang w:val="es-ES"/>
        </w:rPr>
      </w:pPr>
    </w:p>
    <w:p w:rsidR="00812486" w:rsidRPr="009768C1" w:rsidRDefault="00812486" w:rsidP="00812486">
      <w:pPr>
        <w:rPr>
          <w:lang w:val="es-ES"/>
        </w:rPr>
      </w:pPr>
    </w:p>
    <w:p w:rsidR="00812486" w:rsidRPr="009768C1" w:rsidRDefault="00812486" w:rsidP="00812486">
      <w:pPr>
        <w:rPr>
          <w:lang w:val="es-ES"/>
        </w:rPr>
      </w:pPr>
    </w:p>
    <w:p w:rsidR="00812486" w:rsidRPr="009768C1" w:rsidRDefault="00812486" w:rsidP="00812486">
      <w:pPr>
        <w:rPr>
          <w:u w:val="single"/>
          <w:lang w:val="es-ES"/>
        </w:rPr>
      </w:pPr>
      <w:r w:rsidRPr="009768C1">
        <w:rPr>
          <w:u w:val="single"/>
          <w:lang w:val="es-ES"/>
        </w:rPr>
        <w:br w:type="page"/>
      </w:r>
    </w:p>
    <w:p w:rsidR="00B363DD" w:rsidRPr="009768C1" w:rsidRDefault="00B363DD" w:rsidP="00C95420">
      <w:pPr>
        <w:pStyle w:val="Heading5"/>
      </w:pPr>
      <w:bookmarkStart w:id="52" w:name="_Toc397086228"/>
      <w:bookmarkStart w:id="53" w:name="_Toc397086727"/>
      <w:r w:rsidRPr="009768C1">
        <w:lastRenderedPageBreak/>
        <w:t>Importes de las contribuciones adeudadas y de la participación en el fondo de operaciones pendiente de pago al 31 de diciembre de 2013</w:t>
      </w:r>
      <w:bookmarkEnd w:id="52"/>
      <w:bookmarkEnd w:id="53"/>
    </w:p>
    <w:p w:rsidR="00812486" w:rsidRPr="009768C1" w:rsidRDefault="00812486" w:rsidP="00812486">
      <w:pPr>
        <w:jc w:val="center"/>
        <w:rPr>
          <w:lang w:val="es-ES"/>
        </w:rPr>
      </w:pPr>
    </w:p>
    <w:tbl>
      <w:tblPr>
        <w:tblW w:w="0" w:type="auto"/>
        <w:tblInd w:w="739" w:type="dxa"/>
        <w:tblBorders>
          <w:top w:val="single" w:sz="8" w:space="0" w:color="auto"/>
          <w:left w:val="single" w:sz="8" w:space="0" w:color="auto"/>
          <w:bottom w:val="single" w:sz="8" w:space="0" w:color="auto"/>
          <w:right w:val="single" w:sz="8" w:space="0" w:color="auto"/>
        </w:tblBorders>
        <w:tblLayout w:type="fixed"/>
        <w:tblCellMar>
          <w:left w:w="30" w:type="dxa"/>
          <w:right w:w="30" w:type="dxa"/>
        </w:tblCellMar>
        <w:tblLook w:val="0000" w:firstRow="0" w:lastRow="0" w:firstColumn="0" w:lastColumn="0" w:noHBand="0" w:noVBand="0"/>
      </w:tblPr>
      <w:tblGrid>
        <w:gridCol w:w="3071"/>
        <w:gridCol w:w="2790"/>
        <w:gridCol w:w="1292"/>
        <w:gridCol w:w="1292"/>
      </w:tblGrid>
      <w:tr w:rsidR="00C806AD" w:rsidRPr="00C7055D" w:rsidTr="00C95420">
        <w:trPr>
          <w:cantSplit/>
          <w:trHeight w:val="528"/>
          <w:tblHeader/>
        </w:trPr>
        <w:tc>
          <w:tcPr>
            <w:tcW w:w="3071" w:type="dxa"/>
            <w:vMerge w:val="restart"/>
            <w:tcBorders>
              <w:top w:val="single" w:sz="8" w:space="0" w:color="auto"/>
              <w:right w:val="single" w:sz="8" w:space="0" w:color="auto"/>
            </w:tcBorders>
            <w:shd w:val="clear" w:color="auto" w:fill="CCFF99"/>
          </w:tcPr>
          <w:p w:rsidR="00C806AD" w:rsidRPr="001266DF" w:rsidRDefault="00C806AD" w:rsidP="00C95420">
            <w:pPr>
              <w:spacing w:before="60"/>
              <w:jc w:val="center"/>
              <w:rPr>
                <w:rFonts w:cs="Arial"/>
                <w:lang w:val="es-ES"/>
              </w:rPr>
            </w:pPr>
            <w:r w:rsidRPr="001266DF">
              <w:rPr>
                <w:rFonts w:cs="Arial"/>
                <w:lang w:val="es-ES"/>
              </w:rPr>
              <w:t>Miembros de la Unión</w:t>
            </w:r>
          </w:p>
        </w:tc>
        <w:tc>
          <w:tcPr>
            <w:tcW w:w="2790" w:type="dxa"/>
            <w:vMerge w:val="restart"/>
            <w:tcBorders>
              <w:top w:val="single" w:sz="8" w:space="0" w:color="auto"/>
              <w:left w:val="single" w:sz="8" w:space="0" w:color="auto"/>
              <w:right w:val="single" w:sz="8" w:space="0" w:color="auto"/>
            </w:tcBorders>
            <w:shd w:val="clear" w:color="auto" w:fill="CCFF99"/>
          </w:tcPr>
          <w:p w:rsidR="00C806AD" w:rsidRPr="009545A7" w:rsidRDefault="009545A7" w:rsidP="009545A7">
            <w:pPr>
              <w:spacing w:before="60"/>
              <w:rPr>
                <w:rFonts w:cs="Arial"/>
                <w:lang w:val="es-ES"/>
              </w:rPr>
            </w:pPr>
            <w:r w:rsidRPr="009545A7">
              <w:rPr>
                <w:rFonts w:cs="Arial"/>
                <w:lang w:val="es-ES"/>
              </w:rPr>
              <w:t>Sin atrasos</w:t>
            </w:r>
            <w:r w:rsidR="00C806AD" w:rsidRPr="009545A7">
              <w:rPr>
                <w:rFonts w:cs="Arial"/>
                <w:lang w:val="es-ES"/>
              </w:rPr>
              <w:t>/</w:t>
            </w:r>
            <w:r w:rsidRPr="009545A7">
              <w:rPr>
                <w:rFonts w:cs="Arial"/>
                <w:lang w:val="es-ES"/>
              </w:rPr>
              <w:t>años</w:t>
            </w:r>
            <w:r w:rsidR="00C806AD" w:rsidRPr="009545A7">
              <w:rPr>
                <w:rFonts w:cs="Arial"/>
                <w:lang w:val="es-ES"/>
              </w:rPr>
              <w:t xml:space="preserve">(s) </w:t>
            </w:r>
            <w:r>
              <w:rPr>
                <w:rFonts w:cs="Arial"/>
                <w:lang w:val="es-ES"/>
              </w:rPr>
              <w:t>de atrasos</w:t>
            </w:r>
          </w:p>
        </w:tc>
        <w:tc>
          <w:tcPr>
            <w:tcW w:w="2584" w:type="dxa"/>
            <w:gridSpan w:val="2"/>
            <w:tcBorders>
              <w:top w:val="single" w:sz="8" w:space="0" w:color="auto"/>
              <w:left w:val="single" w:sz="8" w:space="0" w:color="auto"/>
              <w:bottom w:val="single" w:sz="8" w:space="0" w:color="auto"/>
            </w:tcBorders>
            <w:shd w:val="clear" w:color="auto" w:fill="CCFF99"/>
          </w:tcPr>
          <w:p w:rsidR="00C806AD" w:rsidRPr="001266DF" w:rsidRDefault="00C806AD" w:rsidP="00C95420">
            <w:pPr>
              <w:keepNext/>
              <w:keepLines/>
              <w:spacing w:before="60"/>
              <w:outlineLvl w:val="6"/>
              <w:rPr>
                <w:rFonts w:cs="Arial"/>
                <w:i/>
                <w:iCs/>
                <w:lang w:val="es-ES_tradnl"/>
              </w:rPr>
            </w:pPr>
            <w:r w:rsidRPr="001266DF">
              <w:rPr>
                <w:rFonts w:cs="Arial"/>
                <w:iCs/>
                <w:lang w:val="es-ES"/>
              </w:rPr>
              <w:t>Importe de los atrasos en francos suizos</w:t>
            </w:r>
          </w:p>
        </w:tc>
      </w:tr>
      <w:tr w:rsidR="00C806AD" w:rsidRPr="001266DF" w:rsidTr="00C95420">
        <w:trPr>
          <w:cantSplit/>
          <w:trHeight w:val="369"/>
          <w:tblHeader/>
        </w:trPr>
        <w:tc>
          <w:tcPr>
            <w:tcW w:w="3071" w:type="dxa"/>
            <w:vMerge/>
            <w:tcBorders>
              <w:bottom w:val="single" w:sz="8" w:space="0" w:color="auto"/>
              <w:right w:val="single" w:sz="8" w:space="0" w:color="auto"/>
            </w:tcBorders>
            <w:shd w:val="clear" w:color="auto" w:fill="CCFF99"/>
          </w:tcPr>
          <w:p w:rsidR="00C806AD" w:rsidRPr="001266DF" w:rsidRDefault="00C806AD" w:rsidP="00C95420">
            <w:pPr>
              <w:spacing w:before="60"/>
              <w:jc w:val="center"/>
              <w:rPr>
                <w:rFonts w:cs="Arial"/>
                <w:lang w:val="es-ES_tradnl"/>
              </w:rPr>
            </w:pPr>
          </w:p>
        </w:tc>
        <w:tc>
          <w:tcPr>
            <w:tcW w:w="2790" w:type="dxa"/>
            <w:vMerge/>
            <w:tcBorders>
              <w:left w:val="single" w:sz="8" w:space="0" w:color="auto"/>
              <w:bottom w:val="single" w:sz="8" w:space="0" w:color="auto"/>
              <w:right w:val="single" w:sz="8" w:space="0" w:color="auto"/>
            </w:tcBorders>
            <w:shd w:val="clear" w:color="auto" w:fill="CCFF99"/>
          </w:tcPr>
          <w:p w:rsidR="00C806AD" w:rsidRPr="001266DF" w:rsidRDefault="00C806AD" w:rsidP="00C95420">
            <w:pPr>
              <w:spacing w:before="60"/>
              <w:rPr>
                <w:rFonts w:cs="Arial"/>
                <w:lang w:val="es-ES_tradnl"/>
              </w:rPr>
            </w:pPr>
          </w:p>
        </w:tc>
        <w:tc>
          <w:tcPr>
            <w:tcW w:w="1292" w:type="dxa"/>
            <w:tcBorders>
              <w:top w:val="single" w:sz="8" w:space="0" w:color="auto"/>
              <w:left w:val="single" w:sz="8" w:space="0" w:color="auto"/>
              <w:bottom w:val="single" w:sz="8" w:space="0" w:color="auto"/>
            </w:tcBorders>
            <w:shd w:val="clear" w:color="auto" w:fill="CCFF99"/>
          </w:tcPr>
          <w:p w:rsidR="00C806AD" w:rsidRPr="001266DF" w:rsidRDefault="00C806AD" w:rsidP="00C95420">
            <w:pPr>
              <w:keepNext/>
              <w:keepLines/>
              <w:spacing w:before="60"/>
              <w:outlineLvl w:val="6"/>
              <w:rPr>
                <w:rFonts w:cs="Arial"/>
                <w:i/>
                <w:iCs/>
                <w:lang w:val="es-ES_tradnl"/>
              </w:rPr>
            </w:pPr>
          </w:p>
        </w:tc>
        <w:tc>
          <w:tcPr>
            <w:tcW w:w="1292" w:type="dxa"/>
            <w:tcBorders>
              <w:top w:val="single" w:sz="8" w:space="0" w:color="auto"/>
              <w:left w:val="single" w:sz="8" w:space="0" w:color="auto"/>
              <w:bottom w:val="single" w:sz="8" w:space="0" w:color="auto"/>
            </w:tcBorders>
            <w:shd w:val="clear" w:color="auto" w:fill="CCFF99"/>
          </w:tcPr>
          <w:p w:rsidR="00C806AD" w:rsidRPr="001266DF" w:rsidRDefault="00C806AD" w:rsidP="00C95420">
            <w:pPr>
              <w:keepNext/>
              <w:keepLines/>
              <w:spacing w:before="60"/>
              <w:outlineLvl w:val="6"/>
              <w:rPr>
                <w:rFonts w:cs="Arial"/>
                <w:i/>
                <w:iCs/>
                <w:lang w:val="es-ES"/>
              </w:rPr>
            </w:pPr>
            <w:r w:rsidRPr="001266DF">
              <w:rPr>
                <w:rFonts w:cs="Arial"/>
                <w:i/>
                <w:iCs/>
                <w:lang w:val="es-ES"/>
              </w:rPr>
              <w:t>Total</w:t>
            </w:r>
          </w:p>
        </w:tc>
      </w:tr>
      <w:tr w:rsidR="00C806AD" w:rsidRPr="001266DF" w:rsidTr="00C95420">
        <w:tblPrEx>
          <w:tblCellMar>
            <w:left w:w="108" w:type="dxa"/>
            <w:right w:w="108" w:type="dxa"/>
          </w:tblCellMar>
        </w:tblPrEx>
        <w:trPr>
          <w:cantSplit/>
        </w:trPr>
        <w:tc>
          <w:tcPr>
            <w:tcW w:w="3071" w:type="dxa"/>
            <w:tcBorders>
              <w:top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Albania</w:t>
            </w:r>
          </w:p>
        </w:tc>
        <w:tc>
          <w:tcPr>
            <w:tcW w:w="2790" w:type="dxa"/>
            <w:tcBorders>
              <w:top w:val="single" w:sz="8"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single" w:sz="8"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single" w:sz="8"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Alemania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Argentina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Australia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Austria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Azerbaiyán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proofErr w:type="spellStart"/>
            <w:r w:rsidRPr="001266DF">
              <w:rPr>
                <w:rFonts w:cs="Arial"/>
                <w:lang w:val="es-ES"/>
              </w:rPr>
              <w:t>Belarús</w:t>
            </w:r>
            <w:proofErr w:type="spellEnd"/>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Bélgica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u w:val="single"/>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806AD">
            <w:pPr>
              <w:jc w:val="left"/>
              <w:rPr>
                <w:rFonts w:cs="Arial"/>
                <w:lang w:val="es-ES"/>
              </w:rPr>
            </w:pPr>
            <w:r w:rsidRPr="001266DF">
              <w:rPr>
                <w:rFonts w:cs="Arial"/>
                <w:lang w:val="es-ES"/>
              </w:rPr>
              <w:t>Bolivia (Estado Plurinacional de)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Brasil</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Bulgaria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Canadá</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 xml:space="preserve">Sin atrasos </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Chile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China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Colombia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Costa Rica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Croacia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Dinamarca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u w:val="single"/>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Ecuador</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Contribución 2013 (saldo)</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r w:rsidRPr="001266DF">
              <w:rPr>
                <w:rFonts w:cs="Arial"/>
                <w:lang w:val="es-ES"/>
              </w:rPr>
              <w:t>740</w:t>
            </w: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Eslovaquia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Eslovenia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España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Estados Unidos de América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Estonia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Height w:val="450"/>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806AD">
            <w:pPr>
              <w:jc w:val="left"/>
              <w:rPr>
                <w:rFonts w:cs="Arial"/>
                <w:lang w:val="es-ES_tradnl"/>
              </w:rPr>
            </w:pPr>
            <w:r w:rsidRPr="001266DF">
              <w:rPr>
                <w:rFonts w:cs="Arial"/>
                <w:lang w:val="es-ES_tradnl"/>
              </w:rPr>
              <w:t>ex República Yugoslava de Macedonia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p>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Federación de Rusia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 xml:space="preserve">Sin atrasos </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Finlandia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Francia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Georgia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Hungría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Irlanda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Islandia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Israel</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Italia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Japón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Jordania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proofErr w:type="spellStart"/>
            <w:r w:rsidRPr="001266DF">
              <w:rPr>
                <w:rFonts w:cs="Arial"/>
                <w:lang w:val="es-ES"/>
              </w:rPr>
              <w:t>Kenya</w:t>
            </w:r>
            <w:proofErr w:type="spellEnd"/>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Kirguistán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Letonia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Lituania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Marruecos</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México</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lastRenderedPageBreak/>
              <w:t>Nicaragua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Noruega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Nueva Zelandia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Omán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Países Bajos</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Panamá</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Paraguay</w:t>
            </w:r>
          </w:p>
          <w:p w:rsidR="00C806AD" w:rsidRPr="001266DF" w:rsidRDefault="00C806AD" w:rsidP="00C95420">
            <w:pPr>
              <w:rPr>
                <w:rFonts w:cs="Arial"/>
                <w:lang w:val="es-ES"/>
              </w:rPr>
            </w:pPr>
            <w:r w:rsidRPr="001266DF">
              <w:rPr>
                <w:rFonts w:cs="Arial"/>
                <w:lang w:val="es-ES"/>
              </w:rPr>
              <w:t>Perú</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Polonia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Portugal</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Reino Unido</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u w:val="single"/>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u w:val="single"/>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República Checa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República de Corea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 xml:space="preserve">República de </w:t>
            </w:r>
            <w:proofErr w:type="spellStart"/>
            <w:r w:rsidRPr="001266DF">
              <w:rPr>
                <w:rFonts w:cs="Arial"/>
                <w:lang w:val="es-ES"/>
              </w:rPr>
              <w:t>Moldova</w:t>
            </w:r>
            <w:proofErr w:type="spellEnd"/>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República Dominicana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Contribución 2012 (saldo)</w:t>
            </w:r>
          </w:p>
          <w:p w:rsidR="00C806AD" w:rsidRPr="001266DF" w:rsidRDefault="00C806AD" w:rsidP="00C95420">
            <w:pPr>
              <w:rPr>
                <w:rFonts w:cs="Arial"/>
                <w:lang w:val="es-ES"/>
              </w:rPr>
            </w:pPr>
            <w:r w:rsidRPr="001266DF">
              <w:rPr>
                <w:rFonts w:cs="Arial"/>
                <w:lang w:val="es-ES"/>
              </w:rPr>
              <w:t>Contribución 2013</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r w:rsidRPr="001266DF">
              <w:rPr>
                <w:rFonts w:cs="Arial"/>
                <w:lang w:val="es-ES"/>
              </w:rPr>
              <w:t>979</w:t>
            </w:r>
          </w:p>
          <w:p w:rsidR="00C806AD" w:rsidRPr="001266DF" w:rsidRDefault="00C806AD" w:rsidP="00C95420">
            <w:pPr>
              <w:jc w:val="right"/>
              <w:rPr>
                <w:rFonts w:cs="Arial"/>
                <w:lang w:val="es-ES"/>
              </w:rPr>
            </w:pPr>
            <w:r w:rsidRPr="001266DF">
              <w:rPr>
                <w:rFonts w:cs="Arial"/>
                <w:u w:val="single"/>
                <w:lang w:val="es-ES"/>
              </w:rPr>
              <w:t>10.728</w:t>
            </w: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p w:rsidR="00C806AD" w:rsidRPr="001266DF" w:rsidRDefault="00C806AD" w:rsidP="00C95420">
            <w:pPr>
              <w:jc w:val="right"/>
              <w:rPr>
                <w:rFonts w:cs="Arial"/>
                <w:lang w:val="es-ES"/>
              </w:rPr>
            </w:pPr>
            <w:r w:rsidRPr="001266DF">
              <w:rPr>
                <w:rFonts w:cs="Arial"/>
                <w:lang w:val="es-ES"/>
              </w:rPr>
              <w:t>11.707</w:t>
            </w: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Rumania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Singapur</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u w:val="single"/>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Sudáfrica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Suecia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Height w:val="255"/>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Suiza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 xml:space="preserve">Trinidad y </w:t>
            </w:r>
            <w:proofErr w:type="spellStart"/>
            <w:r w:rsidRPr="001266DF">
              <w:rPr>
                <w:rFonts w:cs="Arial"/>
                <w:lang w:val="es-ES"/>
              </w:rPr>
              <w:t>Tabago</w:t>
            </w:r>
            <w:proofErr w:type="spellEnd"/>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Túnez</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Turquía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Ucrania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Unión Europea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Uruguay</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Uzbekistán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dotted" w:sz="4"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dotted" w:sz="4" w:space="0" w:color="auto"/>
              <w:bottom w:val="single" w:sz="8" w:space="0" w:color="auto"/>
              <w:right w:val="single" w:sz="8" w:space="0" w:color="auto"/>
            </w:tcBorders>
            <w:tcMar>
              <w:top w:w="28" w:type="dxa"/>
              <w:bottom w:w="28" w:type="dxa"/>
            </w:tcMar>
          </w:tcPr>
          <w:p w:rsidR="00C806AD" w:rsidRPr="001266DF" w:rsidRDefault="00C806AD" w:rsidP="00C95420">
            <w:pPr>
              <w:rPr>
                <w:rFonts w:cs="Arial"/>
                <w:lang w:val="es-ES"/>
              </w:rPr>
            </w:pPr>
            <w:proofErr w:type="spellStart"/>
            <w:r w:rsidRPr="001266DF">
              <w:rPr>
                <w:rFonts w:cs="Arial"/>
                <w:lang w:val="es-ES"/>
              </w:rPr>
              <w:t>Viet</w:t>
            </w:r>
            <w:proofErr w:type="spellEnd"/>
            <w:r w:rsidRPr="001266DF">
              <w:rPr>
                <w:rFonts w:cs="Arial"/>
                <w:lang w:val="es-ES"/>
              </w:rPr>
              <w:t xml:space="preserve"> </w:t>
            </w:r>
            <w:proofErr w:type="spellStart"/>
            <w:r w:rsidRPr="001266DF">
              <w:rPr>
                <w:rFonts w:cs="Arial"/>
                <w:lang w:val="es-ES"/>
              </w:rPr>
              <w:t>Nam</w:t>
            </w:r>
            <w:proofErr w:type="spellEnd"/>
          </w:p>
        </w:tc>
        <w:tc>
          <w:tcPr>
            <w:tcW w:w="2790" w:type="dxa"/>
            <w:tcBorders>
              <w:top w:val="dotted" w:sz="4" w:space="0" w:color="auto"/>
              <w:left w:val="single" w:sz="8" w:space="0" w:color="auto"/>
              <w:bottom w:val="single" w:sz="8" w:space="0" w:color="auto"/>
              <w:right w:val="single" w:sz="8" w:space="0" w:color="auto"/>
            </w:tcBorders>
            <w:tcMar>
              <w:top w:w="28" w:type="dxa"/>
              <w:bottom w:w="28" w:type="dxa"/>
            </w:tcMar>
          </w:tcPr>
          <w:p w:rsidR="00C806AD" w:rsidRPr="001266DF" w:rsidRDefault="00C806AD" w:rsidP="00C95420">
            <w:pPr>
              <w:rPr>
                <w:rFonts w:cs="Arial"/>
                <w:lang w:val="es-ES"/>
              </w:rPr>
            </w:pPr>
            <w:r w:rsidRPr="001266DF">
              <w:rPr>
                <w:rFonts w:cs="Arial"/>
                <w:lang w:val="es-ES"/>
              </w:rPr>
              <w:t>Sin atrasos</w:t>
            </w:r>
          </w:p>
        </w:tc>
        <w:tc>
          <w:tcPr>
            <w:tcW w:w="1292" w:type="dxa"/>
            <w:tcBorders>
              <w:top w:val="dotted" w:sz="4" w:space="0" w:color="auto"/>
              <w:left w:val="single" w:sz="8" w:space="0" w:color="auto"/>
              <w:bottom w:val="single" w:sz="8" w:space="0" w:color="auto"/>
              <w:right w:val="single" w:sz="8" w:space="0" w:color="auto"/>
            </w:tcBorders>
            <w:tcMar>
              <w:top w:w="28" w:type="dxa"/>
              <w:bottom w:w="28" w:type="dxa"/>
            </w:tcMar>
          </w:tcPr>
          <w:p w:rsidR="00C806AD" w:rsidRPr="001266DF" w:rsidRDefault="00C806AD" w:rsidP="00C95420">
            <w:pPr>
              <w:jc w:val="right"/>
              <w:rPr>
                <w:rFonts w:cs="Arial"/>
                <w:lang w:val="es-ES"/>
              </w:rPr>
            </w:pPr>
          </w:p>
        </w:tc>
        <w:tc>
          <w:tcPr>
            <w:tcW w:w="1292" w:type="dxa"/>
            <w:tcBorders>
              <w:top w:val="dotted" w:sz="4" w:space="0" w:color="auto"/>
              <w:left w:val="single" w:sz="8" w:space="0" w:color="auto"/>
              <w:bottom w:val="single" w:sz="8" w:space="0" w:color="auto"/>
            </w:tcBorders>
            <w:tcMar>
              <w:top w:w="28" w:type="dxa"/>
              <w:bottom w:w="28" w:type="dxa"/>
            </w:tcMar>
          </w:tcPr>
          <w:p w:rsidR="00C806AD" w:rsidRPr="001266DF" w:rsidRDefault="00C806AD" w:rsidP="00C95420">
            <w:pPr>
              <w:jc w:val="right"/>
              <w:rPr>
                <w:rFonts w:cs="Arial"/>
                <w:lang w:val="es-ES"/>
              </w:rPr>
            </w:pPr>
          </w:p>
        </w:tc>
      </w:tr>
      <w:tr w:rsidR="00C806AD" w:rsidRPr="001266DF" w:rsidTr="00C95420">
        <w:tblPrEx>
          <w:tblCellMar>
            <w:left w:w="108" w:type="dxa"/>
            <w:right w:w="108" w:type="dxa"/>
          </w:tblCellMar>
        </w:tblPrEx>
        <w:trPr>
          <w:cantSplit/>
        </w:trPr>
        <w:tc>
          <w:tcPr>
            <w:tcW w:w="3071" w:type="dxa"/>
            <w:tcBorders>
              <w:top w:val="single" w:sz="8" w:space="0" w:color="auto"/>
              <w:bottom w:val="single" w:sz="8" w:space="0" w:color="auto"/>
              <w:right w:val="single" w:sz="8" w:space="0" w:color="auto"/>
            </w:tcBorders>
            <w:shd w:val="clear" w:color="auto" w:fill="CCFF99"/>
          </w:tcPr>
          <w:p w:rsidR="00C806AD" w:rsidRPr="001266DF" w:rsidRDefault="00C806AD" w:rsidP="00C95420">
            <w:pPr>
              <w:spacing w:before="120" w:after="120"/>
              <w:rPr>
                <w:lang w:val="es-ES"/>
              </w:rPr>
            </w:pPr>
            <w:r w:rsidRPr="001266DF">
              <w:rPr>
                <w:lang w:val="es-ES"/>
              </w:rPr>
              <w:t>Total</w:t>
            </w:r>
          </w:p>
        </w:tc>
        <w:tc>
          <w:tcPr>
            <w:tcW w:w="2790" w:type="dxa"/>
            <w:tcBorders>
              <w:top w:val="single" w:sz="8" w:space="0" w:color="auto"/>
              <w:left w:val="single" w:sz="8" w:space="0" w:color="auto"/>
              <w:bottom w:val="single" w:sz="8" w:space="0" w:color="auto"/>
              <w:right w:val="single" w:sz="8" w:space="0" w:color="auto"/>
            </w:tcBorders>
            <w:shd w:val="clear" w:color="auto" w:fill="CCFF99"/>
          </w:tcPr>
          <w:p w:rsidR="00C806AD" w:rsidRPr="001266DF" w:rsidRDefault="00C806AD" w:rsidP="00C95420">
            <w:pPr>
              <w:spacing w:before="120" w:after="120"/>
              <w:rPr>
                <w:lang w:val="es-ES"/>
              </w:rPr>
            </w:pPr>
          </w:p>
        </w:tc>
        <w:tc>
          <w:tcPr>
            <w:tcW w:w="1292" w:type="dxa"/>
            <w:tcBorders>
              <w:top w:val="single" w:sz="8" w:space="0" w:color="auto"/>
              <w:left w:val="single" w:sz="8" w:space="0" w:color="auto"/>
              <w:bottom w:val="single" w:sz="8" w:space="0" w:color="auto"/>
              <w:right w:val="single" w:sz="8" w:space="0" w:color="auto"/>
            </w:tcBorders>
            <w:shd w:val="clear" w:color="auto" w:fill="CCFF99"/>
          </w:tcPr>
          <w:p w:rsidR="00C806AD" w:rsidRPr="001266DF" w:rsidRDefault="00C806AD" w:rsidP="00C95420">
            <w:pPr>
              <w:spacing w:before="120" w:after="120"/>
              <w:jc w:val="right"/>
              <w:rPr>
                <w:lang w:val="es-ES"/>
              </w:rPr>
            </w:pPr>
          </w:p>
        </w:tc>
        <w:tc>
          <w:tcPr>
            <w:tcW w:w="1292" w:type="dxa"/>
            <w:tcBorders>
              <w:top w:val="single" w:sz="8" w:space="0" w:color="auto"/>
              <w:left w:val="single" w:sz="8" w:space="0" w:color="auto"/>
              <w:bottom w:val="single" w:sz="8" w:space="0" w:color="auto"/>
            </w:tcBorders>
            <w:shd w:val="clear" w:color="auto" w:fill="CCFF99"/>
          </w:tcPr>
          <w:p w:rsidR="00C806AD" w:rsidRPr="001266DF" w:rsidRDefault="00C806AD" w:rsidP="00C95420">
            <w:pPr>
              <w:spacing w:before="120" w:after="120"/>
              <w:jc w:val="right"/>
              <w:rPr>
                <w:lang w:val="es-ES"/>
              </w:rPr>
            </w:pPr>
            <w:r w:rsidRPr="001266DF">
              <w:rPr>
                <w:lang w:val="es-ES"/>
              </w:rPr>
              <w:t>12.447</w:t>
            </w:r>
          </w:p>
        </w:tc>
      </w:tr>
    </w:tbl>
    <w:p w:rsidR="00C95420" w:rsidRPr="001266DF" w:rsidRDefault="00C95420" w:rsidP="00C806AD">
      <w:pPr>
        <w:jc w:val="center"/>
        <w:outlineLvl w:val="1"/>
        <w:rPr>
          <w:b/>
          <w:lang w:val="es-ES" w:eastAsia="en-GB"/>
        </w:rPr>
      </w:pPr>
    </w:p>
    <w:p w:rsidR="00812486" w:rsidRPr="009768C1" w:rsidRDefault="00812486" w:rsidP="00812486">
      <w:pPr>
        <w:rPr>
          <w:lang w:val="es-ES"/>
        </w:rPr>
      </w:pPr>
    </w:p>
    <w:p w:rsidR="00812486" w:rsidRPr="009768C1" w:rsidRDefault="00812486" w:rsidP="00812486">
      <w:pPr>
        <w:rPr>
          <w:b/>
          <w:u w:val="single"/>
          <w:lang w:val="es-ES"/>
        </w:rPr>
      </w:pPr>
      <w:r w:rsidRPr="009768C1">
        <w:rPr>
          <w:b/>
          <w:lang w:val="es-ES"/>
        </w:rPr>
        <w:br w:type="page"/>
      </w:r>
    </w:p>
    <w:p w:rsidR="00812486" w:rsidRPr="009768C1" w:rsidRDefault="00AA1DE0" w:rsidP="0008624C">
      <w:pPr>
        <w:pStyle w:val="Heading1"/>
      </w:pPr>
      <w:bookmarkStart w:id="54" w:name="_Toc397086229"/>
      <w:bookmarkStart w:id="55" w:name="_Toc397086728"/>
      <w:r w:rsidRPr="009768C1">
        <w:lastRenderedPageBreak/>
        <w:t>Fondos extrapresupuestarios (fondos fiduciarios)</w:t>
      </w:r>
      <w:bookmarkEnd w:id="54"/>
      <w:bookmarkEnd w:id="55"/>
    </w:p>
    <w:p w:rsidR="00812486" w:rsidRPr="009768C1" w:rsidRDefault="00812486" w:rsidP="0008624C">
      <w:pPr>
        <w:pStyle w:val="Heading1"/>
      </w:pPr>
    </w:p>
    <w:p w:rsidR="00812486" w:rsidRPr="009768C1" w:rsidRDefault="00AA1DE0" w:rsidP="0007572A">
      <w:pPr>
        <w:keepNext/>
        <w:ind w:firstLine="720"/>
        <w:rPr>
          <w:lang w:val="es-ES"/>
        </w:rPr>
      </w:pPr>
      <w:r w:rsidRPr="009768C1">
        <w:rPr>
          <w:lang w:val="es-ES"/>
        </w:rPr>
        <w:t>Los fondos fiduciarios asignados por los miembros de la Unión se presentan a continuación en contabilidad independiente.</w:t>
      </w:r>
    </w:p>
    <w:p w:rsidR="00812486" w:rsidRPr="009768C1" w:rsidRDefault="00812486" w:rsidP="00812486">
      <w:pPr>
        <w:keepNext/>
        <w:rPr>
          <w:lang w:val="es-ES"/>
        </w:rPr>
      </w:pPr>
    </w:p>
    <w:p w:rsidR="00812486" w:rsidRPr="009768C1" w:rsidRDefault="0095107F" w:rsidP="00812486">
      <w:pPr>
        <w:rPr>
          <w:lang w:val="es-ES"/>
        </w:rPr>
      </w:pPr>
      <w:r w:rsidRPr="0095107F">
        <w:rPr>
          <w:noProof/>
        </w:rPr>
        <w:drawing>
          <wp:inline distT="0" distB="0" distL="0" distR="0">
            <wp:extent cx="6120765" cy="81915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20765" cy="819158"/>
                    </a:xfrm>
                    <a:prstGeom prst="rect">
                      <a:avLst/>
                    </a:prstGeom>
                    <a:noFill/>
                    <a:ln>
                      <a:noFill/>
                    </a:ln>
                  </pic:spPr>
                </pic:pic>
              </a:graphicData>
            </a:graphic>
          </wp:inline>
        </w:drawing>
      </w:r>
    </w:p>
    <w:p w:rsidR="00812486" w:rsidRPr="009768C1" w:rsidRDefault="00812486" w:rsidP="00812486">
      <w:pPr>
        <w:rPr>
          <w:lang w:val="es-ES"/>
        </w:rPr>
      </w:pPr>
    </w:p>
    <w:p w:rsidR="00812486" w:rsidRPr="009768C1" w:rsidRDefault="00812486" w:rsidP="00812486">
      <w:pPr>
        <w:rPr>
          <w:lang w:val="es-ES"/>
        </w:rPr>
      </w:pPr>
    </w:p>
    <w:tbl>
      <w:tblPr>
        <w:tblW w:w="0" w:type="auto"/>
        <w:jc w:val="center"/>
        <w:tblInd w:w="1552" w:type="dxa"/>
        <w:tblLayout w:type="fixed"/>
        <w:tblCellMar>
          <w:left w:w="30" w:type="dxa"/>
          <w:right w:w="30" w:type="dxa"/>
        </w:tblCellMar>
        <w:tblLook w:val="0000" w:firstRow="0" w:lastRow="0" w:firstColumn="0" w:lastColumn="0" w:noHBand="0" w:noVBand="0"/>
      </w:tblPr>
      <w:tblGrid>
        <w:gridCol w:w="4536"/>
        <w:gridCol w:w="1417"/>
        <w:gridCol w:w="1418"/>
      </w:tblGrid>
      <w:tr w:rsidR="009768C1" w:rsidRPr="00C7055D" w:rsidTr="00A14D8B">
        <w:trPr>
          <w:trHeight w:val="254"/>
          <w:jc w:val="center"/>
        </w:trPr>
        <w:tc>
          <w:tcPr>
            <w:tcW w:w="7371" w:type="dxa"/>
            <w:gridSpan w:val="3"/>
            <w:shd w:val="solid" w:color="FFFFFF" w:fill="CCFF99"/>
            <w:tcMar>
              <w:left w:w="57" w:type="dxa"/>
              <w:right w:w="57" w:type="dxa"/>
            </w:tcMar>
          </w:tcPr>
          <w:p w:rsidR="00812486" w:rsidRPr="009768C1" w:rsidRDefault="00B363DD" w:rsidP="00A14D8B">
            <w:pPr>
              <w:rPr>
                <w:b/>
                <w:lang w:val="es-ES"/>
              </w:rPr>
            </w:pPr>
            <w:r w:rsidRPr="009768C1">
              <w:rPr>
                <w:b/>
                <w:lang w:val="es-ES"/>
              </w:rPr>
              <w:t>Ingresos y gastos del bienio 2012</w:t>
            </w:r>
            <w:r w:rsidR="0007572A" w:rsidRPr="009768C1">
              <w:rPr>
                <w:b/>
                <w:lang w:val="es-ES"/>
              </w:rPr>
              <w:t>/</w:t>
            </w:r>
            <w:r w:rsidRPr="009768C1">
              <w:rPr>
                <w:b/>
                <w:lang w:val="es-ES"/>
              </w:rPr>
              <w:t>2013</w:t>
            </w:r>
          </w:p>
          <w:p w:rsidR="00812486" w:rsidRPr="009768C1" w:rsidRDefault="00812486" w:rsidP="00A14D8B">
            <w:pPr>
              <w:jc w:val="left"/>
              <w:rPr>
                <w:lang w:val="es-ES"/>
              </w:rPr>
            </w:pPr>
          </w:p>
        </w:tc>
      </w:tr>
      <w:tr w:rsidR="009768C1" w:rsidRPr="009768C1" w:rsidTr="00A14D8B">
        <w:trPr>
          <w:trHeight w:val="254"/>
          <w:jc w:val="center"/>
        </w:trPr>
        <w:tc>
          <w:tcPr>
            <w:tcW w:w="4536" w:type="dxa"/>
            <w:tcBorders>
              <w:bottom w:val="single" w:sz="8" w:space="0" w:color="auto"/>
            </w:tcBorders>
            <w:shd w:val="solid" w:color="FFFFFF" w:fill="CCFF99"/>
            <w:tcMar>
              <w:left w:w="57" w:type="dxa"/>
              <w:right w:w="57" w:type="dxa"/>
            </w:tcMar>
          </w:tcPr>
          <w:p w:rsidR="00812486" w:rsidRPr="009768C1" w:rsidRDefault="00AA1DE0" w:rsidP="00A14D8B">
            <w:pPr>
              <w:rPr>
                <w:lang w:val="es-ES"/>
              </w:rPr>
            </w:pPr>
            <w:r w:rsidRPr="009768C1">
              <w:rPr>
                <w:lang w:val="es-ES"/>
              </w:rPr>
              <w:t>(al 31 de diciembre de 2013)</w:t>
            </w:r>
          </w:p>
          <w:p w:rsidR="00812486" w:rsidRPr="009768C1" w:rsidRDefault="00812486" w:rsidP="00A14D8B">
            <w:pPr>
              <w:rPr>
                <w:lang w:val="es-ES"/>
              </w:rPr>
            </w:pPr>
          </w:p>
        </w:tc>
        <w:tc>
          <w:tcPr>
            <w:tcW w:w="2835" w:type="dxa"/>
            <w:gridSpan w:val="2"/>
            <w:tcBorders>
              <w:bottom w:val="single" w:sz="8" w:space="0" w:color="auto"/>
            </w:tcBorders>
            <w:shd w:val="solid" w:color="FFFFFF" w:fill="CCFF99"/>
            <w:tcMar>
              <w:left w:w="57" w:type="dxa"/>
              <w:right w:w="57" w:type="dxa"/>
            </w:tcMar>
          </w:tcPr>
          <w:p w:rsidR="00812486" w:rsidRPr="009768C1" w:rsidRDefault="00812486" w:rsidP="00A14D8B">
            <w:pPr>
              <w:jc w:val="center"/>
              <w:rPr>
                <w:lang w:val="es-ES"/>
              </w:rPr>
            </w:pPr>
          </w:p>
        </w:tc>
      </w:tr>
      <w:tr w:rsidR="009768C1" w:rsidRPr="009768C1" w:rsidTr="00A14D8B">
        <w:trPr>
          <w:trHeight w:val="254"/>
          <w:jc w:val="center"/>
        </w:trPr>
        <w:tc>
          <w:tcPr>
            <w:tcW w:w="4536" w:type="dxa"/>
            <w:tcBorders>
              <w:top w:val="single" w:sz="8" w:space="0" w:color="auto"/>
              <w:left w:val="single" w:sz="8" w:space="0" w:color="auto"/>
              <w:bottom w:val="single" w:sz="4" w:space="0" w:color="auto"/>
              <w:right w:val="single" w:sz="4" w:space="0" w:color="auto"/>
            </w:tcBorders>
            <w:shd w:val="solid" w:color="FFFFFF" w:fill="CCFF99"/>
            <w:tcMar>
              <w:left w:w="57" w:type="dxa"/>
              <w:right w:w="57" w:type="dxa"/>
            </w:tcMar>
          </w:tcPr>
          <w:p w:rsidR="00812486" w:rsidRPr="009768C1" w:rsidRDefault="00AA1DE0" w:rsidP="00A14D8B">
            <w:pPr>
              <w:rPr>
                <w:lang w:val="es-ES"/>
              </w:rPr>
            </w:pPr>
            <w:r w:rsidRPr="009768C1">
              <w:rPr>
                <w:lang w:val="es-ES"/>
              </w:rPr>
              <w:t>Fondos fiduciarios/Japón</w:t>
            </w:r>
          </w:p>
        </w:tc>
        <w:tc>
          <w:tcPr>
            <w:tcW w:w="2835" w:type="dxa"/>
            <w:gridSpan w:val="2"/>
            <w:tcBorders>
              <w:top w:val="single" w:sz="8" w:space="0" w:color="auto"/>
              <w:left w:val="single" w:sz="4" w:space="0" w:color="auto"/>
              <w:bottom w:val="single" w:sz="4" w:space="0" w:color="auto"/>
              <w:right w:val="single" w:sz="8" w:space="0" w:color="auto"/>
            </w:tcBorders>
            <w:shd w:val="solid" w:color="FFFFFF" w:fill="CCFF99"/>
            <w:tcMar>
              <w:left w:w="57" w:type="dxa"/>
              <w:right w:w="57" w:type="dxa"/>
            </w:tcMar>
          </w:tcPr>
          <w:p w:rsidR="00812486" w:rsidRPr="009768C1" w:rsidRDefault="00AA1DE0" w:rsidP="00A14D8B">
            <w:pPr>
              <w:jc w:val="center"/>
              <w:rPr>
                <w:lang w:val="es-ES"/>
              </w:rPr>
            </w:pPr>
            <w:r w:rsidRPr="009768C1">
              <w:rPr>
                <w:lang w:val="es-ES"/>
              </w:rPr>
              <w:t>Francos suizos</w:t>
            </w:r>
          </w:p>
        </w:tc>
      </w:tr>
      <w:tr w:rsidR="009768C1" w:rsidRPr="009768C1" w:rsidTr="00A14D8B">
        <w:trPr>
          <w:trHeight w:val="254"/>
          <w:jc w:val="center"/>
        </w:trPr>
        <w:tc>
          <w:tcPr>
            <w:tcW w:w="4536" w:type="dxa"/>
            <w:tcBorders>
              <w:top w:val="single" w:sz="4" w:space="0" w:color="auto"/>
              <w:left w:val="single" w:sz="8" w:space="0" w:color="auto"/>
              <w:right w:val="single" w:sz="4" w:space="0" w:color="auto"/>
            </w:tcBorders>
            <w:tcMar>
              <w:left w:w="57" w:type="dxa"/>
              <w:right w:w="57" w:type="dxa"/>
            </w:tcMar>
          </w:tcPr>
          <w:p w:rsidR="00E75ED5" w:rsidRPr="009768C1" w:rsidRDefault="00E75ED5" w:rsidP="00A43BF2">
            <w:pPr>
              <w:rPr>
                <w:lang w:val="es-ES"/>
              </w:rPr>
            </w:pPr>
            <w:r w:rsidRPr="009768C1">
              <w:rPr>
                <w:lang w:val="es-ES"/>
              </w:rPr>
              <w:t>Balance al comienzo del ejercicio</w:t>
            </w:r>
          </w:p>
        </w:tc>
        <w:tc>
          <w:tcPr>
            <w:tcW w:w="1417" w:type="dxa"/>
            <w:tcBorders>
              <w:top w:val="single" w:sz="4" w:space="0" w:color="auto"/>
              <w:left w:val="single" w:sz="4" w:space="0" w:color="auto"/>
              <w:right w:val="single" w:sz="4" w:space="0" w:color="auto"/>
            </w:tcBorders>
            <w:tcMar>
              <w:left w:w="57" w:type="dxa"/>
              <w:right w:w="57" w:type="dxa"/>
            </w:tcMar>
          </w:tcPr>
          <w:p w:rsidR="00E75ED5" w:rsidRPr="009768C1" w:rsidRDefault="00E75ED5" w:rsidP="00A14D8B">
            <w:pPr>
              <w:jc w:val="right"/>
              <w:rPr>
                <w:lang w:val="es-ES"/>
              </w:rPr>
            </w:pPr>
          </w:p>
        </w:tc>
        <w:tc>
          <w:tcPr>
            <w:tcW w:w="1418" w:type="dxa"/>
            <w:tcBorders>
              <w:top w:val="single" w:sz="4" w:space="0" w:color="auto"/>
              <w:left w:val="single" w:sz="4" w:space="0" w:color="auto"/>
              <w:right w:val="single" w:sz="8" w:space="0" w:color="auto"/>
            </w:tcBorders>
            <w:tcMar>
              <w:left w:w="57" w:type="dxa"/>
              <w:right w:w="57" w:type="dxa"/>
            </w:tcMar>
          </w:tcPr>
          <w:p w:rsidR="00E75ED5" w:rsidRPr="009768C1" w:rsidRDefault="00E75ED5" w:rsidP="00AA1DE0">
            <w:pPr>
              <w:jc w:val="right"/>
              <w:rPr>
                <w:lang w:val="es-ES"/>
              </w:rPr>
            </w:pPr>
            <w:r w:rsidRPr="009768C1">
              <w:rPr>
                <w:lang w:val="es-ES"/>
              </w:rPr>
              <w:t>218.481</w:t>
            </w:r>
          </w:p>
        </w:tc>
      </w:tr>
      <w:tr w:rsidR="009768C1" w:rsidRPr="009768C1" w:rsidTr="00A14D8B">
        <w:trPr>
          <w:trHeight w:val="254"/>
          <w:jc w:val="center"/>
        </w:trPr>
        <w:tc>
          <w:tcPr>
            <w:tcW w:w="4536" w:type="dxa"/>
            <w:tcBorders>
              <w:left w:val="single" w:sz="8" w:space="0" w:color="auto"/>
              <w:right w:val="single" w:sz="4" w:space="0" w:color="auto"/>
            </w:tcBorders>
            <w:tcMar>
              <w:left w:w="57" w:type="dxa"/>
              <w:right w:w="57" w:type="dxa"/>
            </w:tcMar>
          </w:tcPr>
          <w:p w:rsidR="00E75ED5" w:rsidRPr="009768C1" w:rsidRDefault="00E75ED5" w:rsidP="00A43BF2">
            <w:pPr>
              <w:rPr>
                <w:i/>
                <w:lang w:val="es-ES"/>
              </w:rPr>
            </w:pPr>
            <w:r w:rsidRPr="009768C1">
              <w:rPr>
                <w:i/>
                <w:lang w:val="es-ES"/>
              </w:rPr>
              <w:t>Ingresos</w:t>
            </w:r>
          </w:p>
        </w:tc>
        <w:tc>
          <w:tcPr>
            <w:tcW w:w="1417" w:type="dxa"/>
            <w:tcBorders>
              <w:left w:val="single" w:sz="4" w:space="0" w:color="auto"/>
              <w:right w:val="single" w:sz="4" w:space="0" w:color="auto"/>
            </w:tcBorders>
            <w:tcMar>
              <w:left w:w="57" w:type="dxa"/>
              <w:right w:w="57" w:type="dxa"/>
            </w:tcMar>
          </w:tcPr>
          <w:p w:rsidR="00E75ED5" w:rsidRPr="009768C1" w:rsidRDefault="00E75ED5" w:rsidP="00A14D8B">
            <w:pPr>
              <w:jc w:val="right"/>
              <w:rPr>
                <w:lang w:val="es-ES"/>
              </w:rPr>
            </w:pPr>
          </w:p>
        </w:tc>
        <w:tc>
          <w:tcPr>
            <w:tcW w:w="1418" w:type="dxa"/>
            <w:tcBorders>
              <w:left w:val="single" w:sz="4" w:space="0" w:color="auto"/>
              <w:right w:val="single" w:sz="8" w:space="0" w:color="auto"/>
            </w:tcBorders>
            <w:tcMar>
              <w:left w:w="57" w:type="dxa"/>
              <w:right w:w="57" w:type="dxa"/>
            </w:tcMar>
          </w:tcPr>
          <w:p w:rsidR="00E75ED5" w:rsidRPr="009768C1" w:rsidRDefault="00E75ED5" w:rsidP="00A14D8B">
            <w:pPr>
              <w:jc w:val="right"/>
              <w:rPr>
                <w:lang w:val="es-ES"/>
              </w:rPr>
            </w:pPr>
          </w:p>
        </w:tc>
      </w:tr>
      <w:tr w:rsidR="009768C1" w:rsidRPr="009768C1" w:rsidTr="00A14D8B">
        <w:trPr>
          <w:trHeight w:val="254"/>
          <w:jc w:val="center"/>
        </w:trPr>
        <w:tc>
          <w:tcPr>
            <w:tcW w:w="4536" w:type="dxa"/>
            <w:tcBorders>
              <w:left w:val="single" w:sz="8" w:space="0" w:color="auto"/>
              <w:right w:val="single" w:sz="4" w:space="0" w:color="auto"/>
            </w:tcBorders>
            <w:tcMar>
              <w:left w:w="57" w:type="dxa"/>
              <w:right w:w="57" w:type="dxa"/>
            </w:tcMar>
          </w:tcPr>
          <w:p w:rsidR="00E75ED5" w:rsidRPr="009768C1" w:rsidRDefault="00E75ED5" w:rsidP="00A43BF2">
            <w:pPr>
              <w:rPr>
                <w:lang w:val="es-ES"/>
              </w:rPr>
            </w:pPr>
            <w:r w:rsidRPr="009768C1">
              <w:rPr>
                <w:lang w:val="es-ES"/>
              </w:rPr>
              <w:t>Fondos recibidos</w:t>
            </w:r>
          </w:p>
        </w:tc>
        <w:tc>
          <w:tcPr>
            <w:tcW w:w="1417" w:type="dxa"/>
            <w:tcBorders>
              <w:left w:val="single" w:sz="4" w:space="0" w:color="auto"/>
              <w:right w:val="single" w:sz="4" w:space="0" w:color="auto"/>
            </w:tcBorders>
            <w:tcMar>
              <w:left w:w="57" w:type="dxa"/>
              <w:right w:w="57" w:type="dxa"/>
            </w:tcMar>
          </w:tcPr>
          <w:p w:rsidR="00E75ED5" w:rsidRPr="009768C1" w:rsidRDefault="00E75ED5" w:rsidP="00A14D8B">
            <w:pPr>
              <w:jc w:val="right"/>
              <w:rPr>
                <w:lang w:val="es-ES"/>
              </w:rPr>
            </w:pPr>
            <w:r w:rsidRPr="009768C1">
              <w:rPr>
                <w:lang w:val="es-ES"/>
              </w:rPr>
              <w:t>315.642</w:t>
            </w:r>
          </w:p>
        </w:tc>
        <w:tc>
          <w:tcPr>
            <w:tcW w:w="1418" w:type="dxa"/>
            <w:tcBorders>
              <w:left w:val="single" w:sz="4" w:space="0" w:color="auto"/>
              <w:right w:val="single" w:sz="8" w:space="0" w:color="auto"/>
            </w:tcBorders>
            <w:tcMar>
              <w:left w:w="57" w:type="dxa"/>
              <w:right w:w="57" w:type="dxa"/>
            </w:tcMar>
          </w:tcPr>
          <w:p w:rsidR="00E75ED5" w:rsidRPr="009768C1" w:rsidRDefault="00E75ED5" w:rsidP="00A14D8B">
            <w:pPr>
              <w:jc w:val="right"/>
              <w:rPr>
                <w:lang w:val="es-ES"/>
              </w:rPr>
            </w:pPr>
          </w:p>
        </w:tc>
      </w:tr>
      <w:tr w:rsidR="009768C1" w:rsidRPr="009768C1" w:rsidTr="00A14D8B">
        <w:trPr>
          <w:trHeight w:val="240"/>
          <w:jc w:val="center"/>
        </w:trPr>
        <w:tc>
          <w:tcPr>
            <w:tcW w:w="4536" w:type="dxa"/>
            <w:vMerge w:val="restart"/>
            <w:tcBorders>
              <w:left w:val="single" w:sz="8" w:space="0" w:color="auto"/>
              <w:right w:val="single" w:sz="4" w:space="0" w:color="auto"/>
            </w:tcBorders>
            <w:tcMar>
              <w:left w:w="57" w:type="dxa"/>
              <w:right w:w="57" w:type="dxa"/>
            </w:tcMar>
          </w:tcPr>
          <w:p w:rsidR="00E75ED5" w:rsidRPr="009768C1" w:rsidRDefault="00E75ED5" w:rsidP="00A43BF2">
            <w:pPr>
              <w:rPr>
                <w:lang w:val="es-ES"/>
              </w:rPr>
            </w:pPr>
            <w:r w:rsidRPr="009768C1">
              <w:rPr>
                <w:lang w:val="es-ES"/>
              </w:rPr>
              <w:t>Interés</w:t>
            </w:r>
          </w:p>
        </w:tc>
        <w:tc>
          <w:tcPr>
            <w:tcW w:w="1417" w:type="dxa"/>
            <w:tcBorders>
              <w:left w:val="single" w:sz="4" w:space="0" w:color="auto"/>
              <w:bottom w:val="single" w:sz="4" w:space="0" w:color="auto"/>
              <w:right w:val="single" w:sz="4" w:space="0" w:color="auto"/>
            </w:tcBorders>
            <w:tcMar>
              <w:left w:w="57" w:type="dxa"/>
              <w:right w:w="57" w:type="dxa"/>
            </w:tcMar>
          </w:tcPr>
          <w:p w:rsidR="00E75ED5" w:rsidRPr="009768C1" w:rsidRDefault="00E75ED5" w:rsidP="00A14D8B">
            <w:pPr>
              <w:jc w:val="right"/>
              <w:rPr>
                <w:lang w:val="es-ES"/>
              </w:rPr>
            </w:pPr>
            <w:r w:rsidRPr="009768C1">
              <w:rPr>
                <w:lang w:val="es-ES"/>
              </w:rPr>
              <w:t>227</w:t>
            </w:r>
          </w:p>
        </w:tc>
        <w:tc>
          <w:tcPr>
            <w:tcW w:w="1418" w:type="dxa"/>
            <w:vMerge w:val="restart"/>
            <w:tcBorders>
              <w:left w:val="single" w:sz="4" w:space="0" w:color="auto"/>
              <w:right w:val="single" w:sz="8" w:space="0" w:color="auto"/>
            </w:tcBorders>
            <w:tcMar>
              <w:left w:w="57" w:type="dxa"/>
              <w:right w:w="57" w:type="dxa"/>
            </w:tcMar>
          </w:tcPr>
          <w:p w:rsidR="00E75ED5" w:rsidRPr="009768C1" w:rsidRDefault="00E75ED5" w:rsidP="00A14D8B">
            <w:pPr>
              <w:jc w:val="right"/>
              <w:rPr>
                <w:lang w:val="es-ES"/>
              </w:rPr>
            </w:pPr>
          </w:p>
          <w:p w:rsidR="00E75ED5" w:rsidRPr="009768C1" w:rsidRDefault="00E75ED5" w:rsidP="00A14D8B">
            <w:pPr>
              <w:jc w:val="right"/>
              <w:rPr>
                <w:lang w:val="es-ES"/>
              </w:rPr>
            </w:pPr>
            <w:r w:rsidRPr="009768C1">
              <w:rPr>
                <w:lang w:val="es-ES"/>
              </w:rPr>
              <w:t>315,869</w:t>
            </w:r>
          </w:p>
        </w:tc>
      </w:tr>
      <w:tr w:rsidR="009768C1" w:rsidRPr="009768C1" w:rsidTr="00A14D8B">
        <w:trPr>
          <w:trHeight w:val="210"/>
          <w:jc w:val="center"/>
        </w:trPr>
        <w:tc>
          <w:tcPr>
            <w:tcW w:w="4536" w:type="dxa"/>
            <w:vMerge/>
            <w:tcBorders>
              <w:left w:val="single" w:sz="8" w:space="0" w:color="auto"/>
              <w:right w:val="single" w:sz="4" w:space="0" w:color="auto"/>
            </w:tcBorders>
            <w:tcMar>
              <w:left w:w="57" w:type="dxa"/>
              <w:right w:w="57" w:type="dxa"/>
            </w:tcMar>
          </w:tcPr>
          <w:p w:rsidR="00E75ED5" w:rsidRPr="009768C1" w:rsidRDefault="00E75ED5" w:rsidP="00A14D8B">
            <w:pPr>
              <w:rPr>
                <w:lang w:val="es-ES"/>
              </w:rPr>
            </w:pPr>
          </w:p>
        </w:tc>
        <w:tc>
          <w:tcPr>
            <w:tcW w:w="1417" w:type="dxa"/>
            <w:tcBorders>
              <w:top w:val="single" w:sz="4" w:space="0" w:color="auto"/>
              <w:left w:val="single" w:sz="4" w:space="0" w:color="auto"/>
              <w:right w:val="single" w:sz="4" w:space="0" w:color="auto"/>
            </w:tcBorders>
            <w:tcMar>
              <w:left w:w="57" w:type="dxa"/>
              <w:right w:w="57" w:type="dxa"/>
            </w:tcMar>
          </w:tcPr>
          <w:p w:rsidR="00E75ED5" w:rsidRPr="009768C1" w:rsidRDefault="00E75ED5" w:rsidP="00A14D8B">
            <w:pPr>
              <w:jc w:val="right"/>
              <w:rPr>
                <w:lang w:val="es-ES"/>
              </w:rPr>
            </w:pPr>
          </w:p>
        </w:tc>
        <w:tc>
          <w:tcPr>
            <w:tcW w:w="1418" w:type="dxa"/>
            <w:vMerge/>
            <w:tcBorders>
              <w:left w:val="single" w:sz="4" w:space="0" w:color="auto"/>
              <w:right w:val="single" w:sz="8" w:space="0" w:color="auto"/>
            </w:tcBorders>
            <w:tcMar>
              <w:left w:w="57" w:type="dxa"/>
              <w:right w:w="57" w:type="dxa"/>
            </w:tcMar>
          </w:tcPr>
          <w:p w:rsidR="00E75ED5" w:rsidRPr="009768C1" w:rsidRDefault="00E75ED5" w:rsidP="00A14D8B">
            <w:pPr>
              <w:jc w:val="right"/>
              <w:rPr>
                <w:lang w:val="es-ES"/>
              </w:rPr>
            </w:pPr>
          </w:p>
        </w:tc>
      </w:tr>
      <w:tr w:rsidR="009768C1" w:rsidRPr="009768C1" w:rsidTr="00A14D8B">
        <w:trPr>
          <w:trHeight w:val="254"/>
          <w:jc w:val="center"/>
        </w:trPr>
        <w:tc>
          <w:tcPr>
            <w:tcW w:w="4536" w:type="dxa"/>
            <w:tcBorders>
              <w:left w:val="single" w:sz="8" w:space="0" w:color="auto"/>
              <w:right w:val="single" w:sz="4" w:space="0" w:color="auto"/>
            </w:tcBorders>
            <w:tcMar>
              <w:left w:w="57" w:type="dxa"/>
              <w:right w:w="57" w:type="dxa"/>
            </w:tcMar>
          </w:tcPr>
          <w:p w:rsidR="00E75ED5" w:rsidRPr="009768C1" w:rsidRDefault="00E75ED5" w:rsidP="00A43BF2">
            <w:pPr>
              <w:rPr>
                <w:i/>
                <w:lang w:val="es-ES"/>
              </w:rPr>
            </w:pPr>
            <w:r w:rsidRPr="009768C1">
              <w:rPr>
                <w:i/>
                <w:lang w:val="es-ES"/>
              </w:rPr>
              <w:t>Gastos</w:t>
            </w:r>
          </w:p>
        </w:tc>
        <w:tc>
          <w:tcPr>
            <w:tcW w:w="1417" w:type="dxa"/>
            <w:tcBorders>
              <w:left w:val="single" w:sz="4" w:space="0" w:color="auto"/>
              <w:right w:val="single" w:sz="4" w:space="0" w:color="auto"/>
            </w:tcBorders>
            <w:tcMar>
              <w:left w:w="57" w:type="dxa"/>
              <w:right w:w="57" w:type="dxa"/>
            </w:tcMar>
          </w:tcPr>
          <w:p w:rsidR="00E75ED5" w:rsidRPr="009768C1" w:rsidRDefault="00E75ED5" w:rsidP="00A14D8B">
            <w:pPr>
              <w:jc w:val="right"/>
              <w:rPr>
                <w:lang w:val="es-ES"/>
              </w:rPr>
            </w:pPr>
          </w:p>
        </w:tc>
        <w:tc>
          <w:tcPr>
            <w:tcW w:w="1418" w:type="dxa"/>
            <w:tcBorders>
              <w:left w:val="single" w:sz="4" w:space="0" w:color="auto"/>
              <w:right w:val="single" w:sz="8" w:space="0" w:color="auto"/>
            </w:tcBorders>
            <w:tcMar>
              <w:left w:w="57" w:type="dxa"/>
              <w:right w:w="57" w:type="dxa"/>
            </w:tcMar>
          </w:tcPr>
          <w:p w:rsidR="00E75ED5" w:rsidRPr="009768C1" w:rsidRDefault="00E75ED5" w:rsidP="00A14D8B">
            <w:pPr>
              <w:jc w:val="right"/>
              <w:rPr>
                <w:lang w:val="es-ES"/>
              </w:rPr>
            </w:pPr>
          </w:p>
        </w:tc>
      </w:tr>
      <w:tr w:rsidR="009768C1" w:rsidRPr="009768C1" w:rsidTr="00A14D8B">
        <w:trPr>
          <w:trHeight w:val="254"/>
          <w:jc w:val="center"/>
        </w:trPr>
        <w:tc>
          <w:tcPr>
            <w:tcW w:w="4536" w:type="dxa"/>
            <w:tcBorders>
              <w:left w:val="single" w:sz="8" w:space="0" w:color="auto"/>
              <w:right w:val="single" w:sz="4" w:space="0" w:color="auto"/>
            </w:tcBorders>
            <w:tcMar>
              <w:left w:w="57" w:type="dxa"/>
              <w:right w:w="57" w:type="dxa"/>
            </w:tcMar>
          </w:tcPr>
          <w:p w:rsidR="00E75ED5" w:rsidRPr="009768C1" w:rsidRDefault="00E75ED5" w:rsidP="00A43BF2">
            <w:pPr>
              <w:rPr>
                <w:lang w:val="es-ES"/>
              </w:rPr>
            </w:pPr>
            <w:r w:rsidRPr="009768C1">
              <w:rPr>
                <w:lang w:val="es-ES"/>
              </w:rPr>
              <w:t>Misiones del personal</w:t>
            </w:r>
          </w:p>
        </w:tc>
        <w:tc>
          <w:tcPr>
            <w:tcW w:w="1417" w:type="dxa"/>
            <w:tcBorders>
              <w:left w:val="single" w:sz="4" w:space="0" w:color="auto"/>
              <w:right w:val="single" w:sz="4" w:space="0" w:color="auto"/>
            </w:tcBorders>
            <w:tcMar>
              <w:left w:w="57" w:type="dxa"/>
              <w:right w:w="57" w:type="dxa"/>
            </w:tcMar>
          </w:tcPr>
          <w:p w:rsidR="00E75ED5" w:rsidRPr="009768C1" w:rsidRDefault="00E75ED5" w:rsidP="00A14D8B">
            <w:pPr>
              <w:jc w:val="right"/>
              <w:rPr>
                <w:lang w:val="es-ES"/>
              </w:rPr>
            </w:pPr>
            <w:r w:rsidRPr="009768C1">
              <w:rPr>
                <w:lang w:val="es-ES"/>
              </w:rPr>
              <w:t>87.999</w:t>
            </w:r>
          </w:p>
        </w:tc>
        <w:tc>
          <w:tcPr>
            <w:tcW w:w="1418" w:type="dxa"/>
            <w:tcBorders>
              <w:left w:val="single" w:sz="4" w:space="0" w:color="auto"/>
              <w:right w:val="single" w:sz="8" w:space="0" w:color="auto"/>
            </w:tcBorders>
            <w:tcMar>
              <w:left w:w="57" w:type="dxa"/>
              <w:right w:w="57" w:type="dxa"/>
            </w:tcMar>
          </w:tcPr>
          <w:p w:rsidR="00E75ED5" w:rsidRPr="009768C1" w:rsidRDefault="00E75ED5" w:rsidP="00A14D8B">
            <w:pPr>
              <w:jc w:val="right"/>
              <w:rPr>
                <w:lang w:val="es-ES"/>
              </w:rPr>
            </w:pPr>
          </w:p>
        </w:tc>
      </w:tr>
      <w:tr w:rsidR="009768C1" w:rsidRPr="009768C1" w:rsidTr="00A14D8B">
        <w:trPr>
          <w:trHeight w:val="254"/>
          <w:jc w:val="center"/>
        </w:trPr>
        <w:tc>
          <w:tcPr>
            <w:tcW w:w="4536" w:type="dxa"/>
            <w:tcBorders>
              <w:left w:val="single" w:sz="8" w:space="0" w:color="auto"/>
              <w:right w:val="single" w:sz="4" w:space="0" w:color="auto"/>
            </w:tcBorders>
            <w:tcMar>
              <w:left w:w="57" w:type="dxa"/>
              <w:right w:w="57" w:type="dxa"/>
            </w:tcMar>
          </w:tcPr>
          <w:p w:rsidR="00E75ED5" w:rsidRPr="009768C1" w:rsidRDefault="00E75ED5" w:rsidP="00A43BF2">
            <w:pPr>
              <w:rPr>
                <w:lang w:val="es-ES"/>
              </w:rPr>
            </w:pPr>
            <w:r w:rsidRPr="009768C1">
              <w:rPr>
                <w:lang w:val="es-ES"/>
              </w:rPr>
              <w:t>Viajes de terceros</w:t>
            </w:r>
          </w:p>
        </w:tc>
        <w:tc>
          <w:tcPr>
            <w:tcW w:w="1417" w:type="dxa"/>
            <w:tcBorders>
              <w:left w:val="single" w:sz="4" w:space="0" w:color="auto"/>
              <w:right w:val="single" w:sz="4" w:space="0" w:color="auto"/>
            </w:tcBorders>
            <w:tcMar>
              <w:left w:w="57" w:type="dxa"/>
              <w:right w:w="57" w:type="dxa"/>
            </w:tcMar>
          </w:tcPr>
          <w:p w:rsidR="00E75ED5" w:rsidRPr="009768C1" w:rsidRDefault="00E75ED5" w:rsidP="00A14D8B">
            <w:pPr>
              <w:jc w:val="right"/>
              <w:rPr>
                <w:lang w:val="es-ES"/>
              </w:rPr>
            </w:pPr>
            <w:r w:rsidRPr="009768C1">
              <w:rPr>
                <w:lang w:val="es-ES"/>
              </w:rPr>
              <w:t>226.961</w:t>
            </w:r>
          </w:p>
        </w:tc>
        <w:tc>
          <w:tcPr>
            <w:tcW w:w="1418" w:type="dxa"/>
            <w:tcBorders>
              <w:left w:val="single" w:sz="4" w:space="0" w:color="auto"/>
              <w:right w:val="single" w:sz="8" w:space="0" w:color="auto"/>
            </w:tcBorders>
            <w:tcMar>
              <w:left w:w="57" w:type="dxa"/>
              <w:right w:w="57" w:type="dxa"/>
            </w:tcMar>
          </w:tcPr>
          <w:p w:rsidR="00E75ED5" w:rsidRPr="009768C1" w:rsidRDefault="00E75ED5" w:rsidP="00A14D8B">
            <w:pPr>
              <w:jc w:val="right"/>
              <w:rPr>
                <w:lang w:val="es-ES"/>
              </w:rPr>
            </w:pPr>
          </w:p>
        </w:tc>
      </w:tr>
      <w:tr w:rsidR="009768C1" w:rsidRPr="009768C1" w:rsidTr="00A14D8B">
        <w:trPr>
          <w:trHeight w:val="254"/>
          <w:jc w:val="center"/>
        </w:trPr>
        <w:tc>
          <w:tcPr>
            <w:tcW w:w="4536" w:type="dxa"/>
            <w:tcBorders>
              <w:left w:val="single" w:sz="8" w:space="0" w:color="auto"/>
              <w:right w:val="single" w:sz="4" w:space="0" w:color="auto"/>
            </w:tcBorders>
            <w:tcMar>
              <w:left w:w="57" w:type="dxa"/>
              <w:right w:w="57" w:type="dxa"/>
            </w:tcMar>
          </w:tcPr>
          <w:p w:rsidR="00E75ED5" w:rsidRPr="009768C1" w:rsidRDefault="00E75ED5" w:rsidP="00A43BF2">
            <w:pPr>
              <w:rPr>
                <w:lang w:val="es-ES"/>
              </w:rPr>
            </w:pPr>
            <w:r w:rsidRPr="009768C1">
              <w:rPr>
                <w:lang w:val="es-ES"/>
              </w:rPr>
              <w:t>Conferencias</w:t>
            </w:r>
          </w:p>
        </w:tc>
        <w:tc>
          <w:tcPr>
            <w:tcW w:w="1417" w:type="dxa"/>
            <w:tcBorders>
              <w:left w:val="single" w:sz="4" w:space="0" w:color="auto"/>
              <w:right w:val="single" w:sz="4" w:space="0" w:color="auto"/>
            </w:tcBorders>
            <w:tcMar>
              <w:left w:w="57" w:type="dxa"/>
              <w:right w:w="57" w:type="dxa"/>
            </w:tcMar>
          </w:tcPr>
          <w:p w:rsidR="00E75ED5" w:rsidRPr="009768C1" w:rsidRDefault="00E75ED5" w:rsidP="00A14D8B">
            <w:pPr>
              <w:jc w:val="right"/>
              <w:rPr>
                <w:lang w:val="es-ES"/>
              </w:rPr>
            </w:pPr>
            <w:r w:rsidRPr="009768C1">
              <w:rPr>
                <w:lang w:val="es-ES"/>
              </w:rPr>
              <w:t>4.930</w:t>
            </w:r>
          </w:p>
        </w:tc>
        <w:tc>
          <w:tcPr>
            <w:tcW w:w="1418" w:type="dxa"/>
            <w:tcBorders>
              <w:left w:val="single" w:sz="4" w:space="0" w:color="auto"/>
              <w:right w:val="single" w:sz="8" w:space="0" w:color="auto"/>
            </w:tcBorders>
            <w:tcMar>
              <w:left w:w="57" w:type="dxa"/>
              <w:right w:w="57" w:type="dxa"/>
            </w:tcMar>
          </w:tcPr>
          <w:p w:rsidR="00E75ED5" w:rsidRPr="009768C1" w:rsidRDefault="00E75ED5" w:rsidP="00A14D8B">
            <w:pPr>
              <w:jc w:val="right"/>
              <w:rPr>
                <w:lang w:val="es-ES"/>
              </w:rPr>
            </w:pPr>
          </w:p>
        </w:tc>
      </w:tr>
      <w:tr w:rsidR="009768C1" w:rsidRPr="009768C1" w:rsidTr="00A14D8B">
        <w:trPr>
          <w:trHeight w:val="254"/>
          <w:jc w:val="center"/>
        </w:trPr>
        <w:tc>
          <w:tcPr>
            <w:tcW w:w="4536" w:type="dxa"/>
            <w:tcBorders>
              <w:left w:val="single" w:sz="8" w:space="0" w:color="auto"/>
              <w:right w:val="single" w:sz="4" w:space="0" w:color="auto"/>
            </w:tcBorders>
            <w:tcMar>
              <w:left w:w="57" w:type="dxa"/>
              <w:right w:w="57" w:type="dxa"/>
            </w:tcMar>
          </w:tcPr>
          <w:p w:rsidR="00E75ED5" w:rsidRPr="009768C1" w:rsidRDefault="00E75ED5" w:rsidP="00A43BF2">
            <w:pPr>
              <w:rPr>
                <w:lang w:val="es-ES"/>
              </w:rPr>
            </w:pPr>
            <w:r w:rsidRPr="009768C1">
              <w:rPr>
                <w:lang w:val="es-ES"/>
              </w:rPr>
              <w:t>Otros servicios contractuales</w:t>
            </w:r>
          </w:p>
          <w:p w:rsidR="00E75ED5" w:rsidRPr="009768C1" w:rsidRDefault="00E75ED5" w:rsidP="00A43BF2">
            <w:pPr>
              <w:rPr>
                <w:lang w:val="es-ES"/>
              </w:rPr>
            </w:pPr>
            <w:r w:rsidRPr="009768C1">
              <w:rPr>
                <w:lang w:val="es-ES"/>
              </w:rPr>
              <w:t>Gastos de funcionamiento</w:t>
            </w:r>
          </w:p>
        </w:tc>
        <w:tc>
          <w:tcPr>
            <w:tcW w:w="1417" w:type="dxa"/>
            <w:tcBorders>
              <w:left w:val="single" w:sz="4" w:space="0" w:color="auto"/>
              <w:bottom w:val="single" w:sz="4" w:space="0" w:color="auto"/>
              <w:right w:val="single" w:sz="4" w:space="0" w:color="auto"/>
            </w:tcBorders>
            <w:tcMar>
              <w:left w:w="57" w:type="dxa"/>
              <w:right w:w="57" w:type="dxa"/>
            </w:tcMar>
          </w:tcPr>
          <w:p w:rsidR="00E75ED5" w:rsidRPr="009768C1" w:rsidRDefault="00E75ED5" w:rsidP="00A14D8B">
            <w:pPr>
              <w:jc w:val="right"/>
              <w:rPr>
                <w:lang w:val="es-ES"/>
              </w:rPr>
            </w:pPr>
            <w:r w:rsidRPr="009768C1">
              <w:rPr>
                <w:lang w:val="es-ES"/>
              </w:rPr>
              <w:t>8.679</w:t>
            </w:r>
          </w:p>
          <w:p w:rsidR="00E75ED5" w:rsidRPr="009768C1" w:rsidRDefault="00E75ED5" w:rsidP="00A14D8B">
            <w:pPr>
              <w:jc w:val="right"/>
              <w:rPr>
                <w:lang w:val="es-ES"/>
              </w:rPr>
            </w:pPr>
            <w:r w:rsidRPr="009768C1">
              <w:rPr>
                <w:lang w:val="es-ES"/>
              </w:rPr>
              <w:t>210</w:t>
            </w:r>
          </w:p>
        </w:tc>
        <w:tc>
          <w:tcPr>
            <w:tcW w:w="1418" w:type="dxa"/>
            <w:tcBorders>
              <w:left w:val="single" w:sz="4" w:space="0" w:color="auto"/>
              <w:right w:val="single" w:sz="8" w:space="0" w:color="auto"/>
            </w:tcBorders>
            <w:tcMar>
              <w:left w:w="57" w:type="dxa"/>
              <w:right w:w="57" w:type="dxa"/>
            </w:tcMar>
          </w:tcPr>
          <w:p w:rsidR="00E75ED5" w:rsidRPr="009768C1" w:rsidRDefault="00E75ED5" w:rsidP="00A14D8B">
            <w:pPr>
              <w:jc w:val="right"/>
              <w:rPr>
                <w:lang w:val="es-ES"/>
              </w:rPr>
            </w:pPr>
          </w:p>
        </w:tc>
      </w:tr>
      <w:tr w:rsidR="009768C1" w:rsidRPr="009768C1" w:rsidTr="00A14D8B">
        <w:trPr>
          <w:trHeight w:val="254"/>
          <w:jc w:val="center"/>
        </w:trPr>
        <w:tc>
          <w:tcPr>
            <w:tcW w:w="4536" w:type="dxa"/>
            <w:tcBorders>
              <w:left w:val="single" w:sz="8" w:space="0" w:color="auto"/>
              <w:right w:val="single" w:sz="4" w:space="0" w:color="auto"/>
            </w:tcBorders>
            <w:tcMar>
              <w:left w:w="57" w:type="dxa"/>
              <w:right w:w="57" w:type="dxa"/>
            </w:tcMar>
          </w:tcPr>
          <w:p w:rsidR="00E75ED5" w:rsidRPr="009768C1" w:rsidRDefault="00E75ED5" w:rsidP="00A43BF2">
            <w:pPr>
              <w:rPr>
                <w:lang w:val="es-ES"/>
              </w:rPr>
            </w:pPr>
            <w:r w:rsidRPr="009768C1">
              <w:rPr>
                <w:lang w:val="es-ES"/>
              </w:rPr>
              <w:t>Total gastos directos</w:t>
            </w:r>
          </w:p>
        </w:tc>
        <w:tc>
          <w:tcPr>
            <w:tcW w:w="1417" w:type="dxa"/>
            <w:tcBorders>
              <w:top w:val="single" w:sz="4" w:space="0" w:color="auto"/>
              <w:left w:val="single" w:sz="4" w:space="0" w:color="auto"/>
              <w:right w:val="single" w:sz="4" w:space="0" w:color="auto"/>
            </w:tcBorders>
            <w:tcMar>
              <w:left w:w="57" w:type="dxa"/>
              <w:right w:w="57" w:type="dxa"/>
            </w:tcMar>
          </w:tcPr>
          <w:p w:rsidR="00E75ED5" w:rsidRPr="009768C1" w:rsidRDefault="00E75ED5" w:rsidP="00A14D8B">
            <w:pPr>
              <w:jc w:val="right"/>
              <w:rPr>
                <w:lang w:val="es-ES"/>
              </w:rPr>
            </w:pPr>
            <w:r w:rsidRPr="009768C1">
              <w:rPr>
                <w:lang w:val="es-ES"/>
              </w:rPr>
              <w:t>328.779</w:t>
            </w:r>
          </w:p>
        </w:tc>
        <w:tc>
          <w:tcPr>
            <w:tcW w:w="1418" w:type="dxa"/>
            <w:tcBorders>
              <w:left w:val="single" w:sz="4" w:space="0" w:color="auto"/>
              <w:right w:val="single" w:sz="8" w:space="0" w:color="auto"/>
            </w:tcBorders>
            <w:tcMar>
              <w:left w:w="57" w:type="dxa"/>
              <w:right w:w="57" w:type="dxa"/>
            </w:tcMar>
          </w:tcPr>
          <w:p w:rsidR="00E75ED5" w:rsidRPr="009768C1" w:rsidRDefault="00E75ED5" w:rsidP="00A14D8B">
            <w:pPr>
              <w:jc w:val="right"/>
              <w:rPr>
                <w:lang w:val="es-ES"/>
              </w:rPr>
            </w:pPr>
          </w:p>
        </w:tc>
      </w:tr>
      <w:tr w:rsidR="009768C1" w:rsidRPr="009768C1" w:rsidTr="00A14D8B">
        <w:trPr>
          <w:trHeight w:val="210"/>
          <w:jc w:val="center"/>
        </w:trPr>
        <w:tc>
          <w:tcPr>
            <w:tcW w:w="4536" w:type="dxa"/>
            <w:vMerge w:val="restart"/>
            <w:tcBorders>
              <w:left w:val="single" w:sz="8" w:space="0" w:color="auto"/>
              <w:right w:val="single" w:sz="4" w:space="0" w:color="auto"/>
            </w:tcBorders>
            <w:tcMar>
              <w:left w:w="57" w:type="dxa"/>
              <w:right w:w="57" w:type="dxa"/>
            </w:tcMar>
          </w:tcPr>
          <w:p w:rsidR="00E75ED5" w:rsidRPr="009768C1" w:rsidRDefault="00E75ED5" w:rsidP="00A43BF2">
            <w:pPr>
              <w:rPr>
                <w:lang w:val="es-ES"/>
              </w:rPr>
            </w:pPr>
            <w:r w:rsidRPr="009768C1">
              <w:rPr>
                <w:lang w:val="es-ES"/>
              </w:rPr>
              <w:t>Gastos administrativos</w:t>
            </w:r>
          </w:p>
        </w:tc>
        <w:tc>
          <w:tcPr>
            <w:tcW w:w="1417" w:type="dxa"/>
            <w:tcBorders>
              <w:left w:val="single" w:sz="4" w:space="0" w:color="auto"/>
              <w:bottom w:val="single" w:sz="4" w:space="0" w:color="auto"/>
              <w:right w:val="single" w:sz="4" w:space="0" w:color="auto"/>
            </w:tcBorders>
            <w:tcMar>
              <w:left w:w="57" w:type="dxa"/>
              <w:right w:w="57" w:type="dxa"/>
            </w:tcMar>
          </w:tcPr>
          <w:p w:rsidR="00E75ED5" w:rsidRPr="009768C1" w:rsidRDefault="00E75ED5" w:rsidP="00A14D8B">
            <w:pPr>
              <w:jc w:val="right"/>
              <w:rPr>
                <w:lang w:val="es-ES"/>
              </w:rPr>
            </w:pPr>
            <w:r w:rsidRPr="009768C1">
              <w:rPr>
                <w:lang w:val="es-ES"/>
              </w:rPr>
              <w:t>42.741</w:t>
            </w:r>
          </w:p>
        </w:tc>
        <w:tc>
          <w:tcPr>
            <w:tcW w:w="1418" w:type="dxa"/>
            <w:vMerge w:val="restart"/>
            <w:tcBorders>
              <w:left w:val="single" w:sz="4" w:space="0" w:color="auto"/>
              <w:right w:val="single" w:sz="8" w:space="0" w:color="auto"/>
            </w:tcBorders>
            <w:tcMar>
              <w:left w:w="57" w:type="dxa"/>
              <w:right w:w="57" w:type="dxa"/>
            </w:tcMar>
          </w:tcPr>
          <w:p w:rsidR="00E75ED5" w:rsidRPr="009768C1" w:rsidRDefault="00E75ED5" w:rsidP="00A14D8B">
            <w:pPr>
              <w:jc w:val="right"/>
            </w:pPr>
          </w:p>
          <w:p w:rsidR="00E75ED5" w:rsidRPr="009768C1" w:rsidRDefault="00E75ED5" w:rsidP="00AA1DE0">
            <w:pPr>
              <w:jc w:val="right"/>
            </w:pPr>
            <w:r w:rsidRPr="009768C1">
              <w:t>-371.520</w:t>
            </w:r>
          </w:p>
        </w:tc>
      </w:tr>
      <w:tr w:rsidR="009768C1" w:rsidRPr="009768C1" w:rsidTr="00A14D8B">
        <w:trPr>
          <w:trHeight w:val="240"/>
          <w:jc w:val="center"/>
        </w:trPr>
        <w:tc>
          <w:tcPr>
            <w:tcW w:w="4536" w:type="dxa"/>
            <w:vMerge/>
            <w:tcBorders>
              <w:left w:val="single" w:sz="8" w:space="0" w:color="auto"/>
              <w:bottom w:val="single" w:sz="4" w:space="0" w:color="auto"/>
              <w:right w:val="single" w:sz="4" w:space="0" w:color="auto"/>
            </w:tcBorders>
            <w:tcMar>
              <w:left w:w="57" w:type="dxa"/>
              <w:right w:w="57" w:type="dxa"/>
            </w:tcMar>
          </w:tcPr>
          <w:p w:rsidR="00812486" w:rsidRPr="009768C1" w:rsidRDefault="00812486" w:rsidP="00A14D8B"/>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812486" w:rsidRPr="009768C1" w:rsidRDefault="00812486" w:rsidP="00A14D8B"/>
        </w:tc>
        <w:tc>
          <w:tcPr>
            <w:tcW w:w="1418" w:type="dxa"/>
            <w:vMerge/>
            <w:tcBorders>
              <w:left w:val="single" w:sz="4" w:space="0" w:color="auto"/>
              <w:bottom w:val="single" w:sz="4" w:space="0" w:color="auto"/>
              <w:right w:val="single" w:sz="8" w:space="0" w:color="auto"/>
            </w:tcBorders>
            <w:tcMar>
              <w:left w:w="57" w:type="dxa"/>
              <w:right w:w="57" w:type="dxa"/>
            </w:tcMar>
          </w:tcPr>
          <w:p w:rsidR="00812486" w:rsidRPr="009768C1" w:rsidRDefault="00812486" w:rsidP="00A14D8B">
            <w:pPr>
              <w:jc w:val="right"/>
            </w:pPr>
          </w:p>
        </w:tc>
      </w:tr>
      <w:tr w:rsidR="009768C1" w:rsidRPr="009768C1" w:rsidTr="00A14D8B">
        <w:trPr>
          <w:trHeight w:val="254"/>
          <w:jc w:val="center"/>
        </w:trPr>
        <w:tc>
          <w:tcPr>
            <w:tcW w:w="4536" w:type="dxa"/>
            <w:tcBorders>
              <w:top w:val="single" w:sz="4" w:space="0" w:color="auto"/>
              <w:left w:val="single" w:sz="8" w:space="0" w:color="auto"/>
              <w:bottom w:val="single" w:sz="8" w:space="0" w:color="auto"/>
              <w:right w:val="single" w:sz="4" w:space="0" w:color="auto"/>
            </w:tcBorders>
            <w:shd w:val="clear" w:color="auto" w:fill="CCFF99"/>
            <w:tcMar>
              <w:left w:w="57" w:type="dxa"/>
              <w:right w:w="57" w:type="dxa"/>
            </w:tcMar>
          </w:tcPr>
          <w:p w:rsidR="00812486" w:rsidRPr="009768C1" w:rsidRDefault="00E75ED5" w:rsidP="00A14D8B">
            <w:pPr>
              <w:rPr>
                <w:lang w:val="es-ES_tradnl"/>
              </w:rPr>
            </w:pPr>
            <w:r w:rsidRPr="009768C1">
              <w:rPr>
                <w:lang w:val="es-ES"/>
              </w:rPr>
              <w:t>Fondos disponibles al final del ejercicio</w:t>
            </w:r>
          </w:p>
        </w:tc>
        <w:tc>
          <w:tcPr>
            <w:tcW w:w="1417" w:type="dxa"/>
            <w:tcBorders>
              <w:top w:val="single" w:sz="4" w:space="0" w:color="auto"/>
              <w:left w:val="single" w:sz="4" w:space="0" w:color="auto"/>
              <w:bottom w:val="single" w:sz="8" w:space="0" w:color="auto"/>
              <w:right w:val="single" w:sz="4" w:space="0" w:color="auto"/>
            </w:tcBorders>
            <w:shd w:val="clear" w:color="auto" w:fill="CCFF99"/>
            <w:tcMar>
              <w:left w:w="57" w:type="dxa"/>
              <w:right w:w="57" w:type="dxa"/>
            </w:tcMar>
          </w:tcPr>
          <w:p w:rsidR="00812486" w:rsidRPr="009768C1" w:rsidRDefault="00812486" w:rsidP="00A14D8B">
            <w:pPr>
              <w:jc w:val="right"/>
              <w:rPr>
                <w:lang w:val="es-ES_tradnl"/>
              </w:rPr>
            </w:pPr>
          </w:p>
        </w:tc>
        <w:tc>
          <w:tcPr>
            <w:tcW w:w="1418" w:type="dxa"/>
            <w:tcBorders>
              <w:top w:val="single" w:sz="4" w:space="0" w:color="auto"/>
              <w:left w:val="single" w:sz="4" w:space="0" w:color="auto"/>
              <w:bottom w:val="single" w:sz="8" w:space="0" w:color="auto"/>
              <w:right w:val="single" w:sz="8" w:space="0" w:color="auto"/>
            </w:tcBorders>
            <w:shd w:val="clear" w:color="auto" w:fill="CCFF99"/>
            <w:tcMar>
              <w:left w:w="57" w:type="dxa"/>
              <w:right w:w="57" w:type="dxa"/>
            </w:tcMar>
          </w:tcPr>
          <w:p w:rsidR="00812486" w:rsidRPr="009768C1" w:rsidRDefault="00812486" w:rsidP="00AA1DE0">
            <w:pPr>
              <w:jc w:val="right"/>
            </w:pPr>
            <w:r w:rsidRPr="009768C1">
              <w:t>162</w:t>
            </w:r>
            <w:r w:rsidR="00AA1DE0" w:rsidRPr="009768C1">
              <w:t>.</w:t>
            </w:r>
            <w:r w:rsidRPr="009768C1">
              <w:t>830</w:t>
            </w:r>
          </w:p>
        </w:tc>
      </w:tr>
      <w:tr w:rsidR="009768C1" w:rsidRPr="00C7055D" w:rsidTr="00A14D8B">
        <w:trPr>
          <w:trHeight w:val="475"/>
          <w:jc w:val="center"/>
        </w:trPr>
        <w:tc>
          <w:tcPr>
            <w:tcW w:w="7371" w:type="dxa"/>
            <w:gridSpan w:val="3"/>
            <w:tcBorders>
              <w:top w:val="single" w:sz="8" w:space="0" w:color="auto"/>
            </w:tcBorders>
            <w:tcMar>
              <w:left w:w="57" w:type="dxa"/>
              <w:right w:w="57" w:type="dxa"/>
            </w:tcMar>
          </w:tcPr>
          <w:p w:rsidR="00812486" w:rsidRPr="009768C1" w:rsidRDefault="00812486" w:rsidP="00A14D8B">
            <w:pPr>
              <w:rPr>
                <w:i/>
                <w:sz w:val="16"/>
                <w:szCs w:val="16"/>
                <w:lang w:val="es-ES"/>
              </w:rPr>
            </w:pPr>
          </w:p>
          <w:p w:rsidR="00812486" w:rsidRPr="009768C1" w:rsidRDefault="00812486" w:rsidP="00A14D8B">
            <w:pPr>
              <w:ind w:left="537" w:hanging="537"/>
              <w:rPr>
                <w:sz w:val="16"/>
                <w:szCs w:val="16"/>
                <w:lang w:val="es-ES"/>
              </w:rPr>
            </w:pPr>
            <w:r w:rsidRPr="009768C1">
              <w:rPr>
                <w:i/>
                <w:sz w:val="16"/>
                <w:szCs w:val="16"/>
                <w:lang w:val="es-ES"/>
              </w:rPr>
              <w:t>Not</w:t>
            </w:r>
            <w:r w:rsidR="00B363DD" w:rsidRPr="009768C1">
              <w:rPr>
                <w:i/>
                <w:sz w:val="16"/>
                <w:szCs w:val="16"/>
                <w:lang w:val="es-ES"/>
              </w:rPr>
              <w:t>a</w:t>
            </w:r>
            <w:r w:rsidRPr="009768C1">
              <w:rPr>
                <w:sz w:val="16"/>
                <w:szCs w:val="16"/>
                <w:lang w:val="es-ES"/>
              </w:rPr>
              <w:t>:</w:t>
            </w:r>
            <w:r w:rsidRPr="009768C1">
              <w:rPr>
                <w:sz w:val="16"/>
                <w:szCs w:val="16"/>
                <w:lang w:val="es-ES"/>
              </w:rPr>
              <w:tab/>
            </w:r>
            <w:r w:rsidR="00B363DD" w:rsidRPr="009768C1">
              <w:rPr>
                <w:sz w:val="16"/>
                <w:lang w:val="es-ES"/>
              </w:rPr>
              <w:t xml:space="preserve">fondos fiduciarios en forma de fondos extrapresupuestarios del Gobierno del Japón destinados a seminarios y talleres regionales sobre la protección de las obtenciones vegetales en la región </w:t>
            </w:r>
            <w:r w:rsidR="00313F5D" w:rsidRPr="009768C1">
              <w:rPr>
                <w:sz w:val="16"/>
                <w:lang w:val="es-ES"/>
              </w:rPr>
              <w:t>asiática</w:t>
            </w:r>
            <w:r w:rsidRPr="009768C1">
              <w:rPr>
                <w:sz w:val="16"/>
                <w:szCs w:val="16"/>
                <w:lang w:val="es-ES"/>
              </w:rPr>
              <w:t>.</w:t>
            </w:r>
          </w:p>
          <w:p w:rsidR="00812486" w:rsidRPr="009768C1" w:rsidRDefault="00812486" w:rsidP="00A14D8B">
            <w:pPr>
              <w:ind w:left="537" w:hanging="537"/>
              <w:rPr>
                <w:sz w:val="16"/>
                <w:szCs w:val="16"/>
                <w:lang w:val="es-ES"/>
              </w:rPr>
            </w:pPr>
          </w:p>
        </w:tc>
      </w:tr>
    </w:tbl>
    <w:p w:rsidR="00812486" w:rsidRPr="009768C1" w:rsidRDefault="00812486" w:rsidP="00812486">
      <w:pPr>
        <w:rPr>
          <w:lang w:val="es-ES"/>
        </w:rPr>
      </w:pPr>
    </w:p>
    <w:p w:rsidR="00812486" w:rsidRPr="009768C1" w:rsidRDefault="00812486" w:rsidP="00812486">
      <w:pPr>
        <w:rPr>
          <w:lang w:val="es-ES"/>
        </w:rPr>
      </w:pPr>
    </w:p>
    <w:tbl>
      <w:tblPr>
        <w:tblpPr w:leftFromText="180" w:rightFromText="180" w:vertAnchor="text" w:horzAnchor="margin" w:tblpXSpec="center" w:tblpY="168"/>
        <w:tblW w:w="0" w:type="auto"/>
        <w:tblLayout w:type="fixed"/>
        <w:tblCellMar>
          <w:left w:w="30" w:type="dxa"/>
          <w:right w:w="30" w:type="dxa"/>
        </w:tblCellMar>
        <w:tblLook w:val="0000" w:firstRow="0" w:lastRow="0" w:firstColumn="0" w:lastColumn="0" w:noHBand="0" w:noVBand="0"/>
      </w:tblPr>
      <w:tblGrid>
        <w:gridCol w:w="4509"/>
        <w:gridCol w:w="1417"/>
        <w:gridCol w:w="1445"/>
      </w:tblGrid>
      <w:tr w:rsidR="009768C1" w:rsidRPr="009768C1" w:rsidTr="00A14D8B">
        <w:trPr>
          <w:trHeight w:val="254"/>
        </w:trPr>
        <w:tc>
          <w:tcPr>
            <w:tcW w:w="4509" w:type="dxa"/>
            <w:tcBorders>
              <w:top w:val="single" w:sz="8" w:space="0" w:color="auto"/>
              <w:left w:val="single" w:sz="8" w:space="0" w:color="auto"/>
              <w:bottom w:val="single" w:sz="4" w:space="0" w:color="auto"/>
              <w:right w:val="single" w:sz="4" w:space="0" w:color="auto"/>
            </w:tcBorders>
            <w:shd w:val="solid" w:color="FFFFFF" w:fill="CCFF99"/>
            <w:tcMar>
              <w:left w:w="57" w:type="dxa"/>
              <w:right w:w="57" w:type="dxa"/>
            </w:tcMar>
          </w:tcPr>
          <w:p w:rsidR="00812486" w:rsidRPr="009768C1" w:rsidRDefault="00E75ED5" w:rsidP="00A14D8B">
            <w:pPr>
              <w:tabs>
                <w:tab w:val="right" w:pos="4395"/>
              </w:tabs>
              <w:rPr>
                <w:lang w:val="es-ES"/>
              </w:rPr>
            </w:pPr>
            <w:r w:rsidRPr="009768C1">
              <w:rPr>
                <w:lang w:val="es-ES"/>
              </w:rPr>
              <w:t xml:space="preserve">Fondos fiduciarios/Estados Unidos de América </w:t>
            </w:r>
            <w:r w:rsidR="00812486" w:rsidRPr="009768C1">
              <w:rPr>
                <w:lang w:val="es-ES"/>
              </w:rPr>
              <w:tab/>
            </w:r>
          </w:p>
        </w:tc>
        <w:tc>
          <w:tcPr>
            <w:tcW w:w="2862" w:type="dxa"/>
            <w:gridSpan w:val="2"/>
            <w:tcBorders>
              <w:top w:val="single" w:sz="8" w:space="0" w:color="auto"/>
              <w:left w:val="single" w:sz="4" w:space="0" w:color="auto"/>
              <w:bottom w:val="single" w:sz="4" w:space="0" w:color="auto"/>
              <w:right w:val="single" w:sz="8" w:space="0" w:color="auto"/>
            </w:tcBorders>
            <w:shd w:val="solid" w:color="FFFFFF" w:fill="CCFF99"/>
            <w:tcMar>
              <w:left w:w="57" w:type="dxa"/>
              <w:right w:w="57" w:type="dxa"/>
            </w:tcMar>
          </w:tcPr>
          <w:p w:rsidR="00812486" w:rsidRPr="009768C1" w:rsidRDefault="00E75ED5" w:rsidP="00A14D8B">
            <w:pPr>
              <w:jc w:val="center"/>
              <w:rPr>
                <w:lang w:val="es-ES"/>
              </w:rPr>
            </w:pPr>
            <w:r w:rsidRPr="009768C1">
              <w:rPr>
                <w:lang w:val="es-ES"/>
              </w:rPr>
              <w:t>Francos suizos</w:t>
            </w:r>
          </w:p>
        </w:tc>
      </w:tr>
      <w:tr w:rsidR="009768C1" w:rsidRPr="009768C1" w:rsidTr="00A14D8B">
        <w:trPr>
          <w:trHeight w:val="254"/>
        </w:trPr>
        <w:tc>
          <w:tcPr>
            <w:tcW w:w="4509" w:type="dxa"/>
            <w:tcBorders>
              <w:top w:val="single" w:sz="4" w:space="0" w:color="auto"/>
              <w:left w:val="single" w:sz="8" w:space="0" w:color="auto"/>
              <w:right w:val="single" w:sz="4" w:space="0" w:color="auto"/>
            </w:tcBorders>
            <w:tcMar>
              <w:left w:w="57" w:type="dxa"/>
              <w:right w:w="57" w:type="dxa"/>
            </w:tcMar>
          </w:tcPr>
          <w:p w:rsidR="00E75ED5" w:rsidRPr="009768C1" w:rsidRDefault="00E75ED5" w:rsidP="00E75ED5">
            <w:pPr>
              <w:rPr>
                <w:lang w:val="es-ES"/>
              </w:rPr>
            </w:pPr>
            <w:r w:rsidRPr="009768C1">
              <w:rPr>
                <w:lang w:val="es-ES"/>
              </w:rPr>
              <w:t>Balance al comienzo del ejercicio</w:t>
            </w:r>
          </w:p>
        </w:tc>
        <w:tc>
          <w:tcPr>
            <w:tcW w:w="1417" w:type="dxa"/>
            <w:tcBorders>
              <w:top w:val="single" w:sz="4" w:space="0" w:color="auto"/>
              <w:left w:val="single" w:sz="4" w:space="0" w:color="auto"/>
              <w:right w:val="single" w:sz="4" w:space="0" w:color="auto"/>
            </w:tcBorders>
            <w:tcMar>
              <w:left w:w="57" w:type="dxa"/>
              <w:right w:w="57" w:type="dxa"/>
            </w:tcMar>
          </w:tcPr>
          <w:p w:rsidR="00E75ED5" w:rsidRPr="009768C1" w:rsidRDefault="00E75ED5" w:rsidP="00E75ED5">
            <w:pPr>
              <w:jc w:val="right"/>
              <w:rPr>
                <w:lang w:val="es-ES"/>
              </w:rPr>
            </w:pPr>
          </w:p>
        </w:tc>
        <w:tc>
          <w:tcPr>
            <w:tcW w:w="1445" w:type="dxa"/>
            <w:tcBorders>
              <w:top w:val="single" w:sz="4" w:space="0" w:color="auto"/>
              <w:left w:val="single" w:sz="4" w:space="0" w:color="auto"/>
              <w:right w:val="single" w:sz="8" w:space="0" w:color="auto"/>
            </w:tcBorders>
            <w:tcMar>
              <w:left w:w="57" w:type="dxa"/>
              <w:right w:w="57" w:type="dxa"/>
            </w:tcMar>
          </w:tcPr>
          <w:p w:rsidR="00E75ED5" w:rsidRPr="009768C1" w:rsidRDefault="00E75ED5" w:rsidP="00E75ED5">
            <w:pPr>
              <w:jc w:val="right"/>
              <w:rPr>
                <w:lang w:val="es-ES"/>
              </w:rPr>
            </w:pPr>
            <w:r w:rsidRPr="009768C1">
              <w:rPr>
                <w:lang w:val="es-ES"/>
              </w:rPr>
              <w:t>8.897</w:t>
            </w:r>
          </w:p>
        </w:tc>
      </w:tr>
      <w:tr w:rsidR="009768C1" w:rsidRPr="009768C1" w:rsidTr="00A14D8B">
        <w:trPr>
          <w:trHeight w:val="254"/>
        </w:trPr>
        <w:tc>
          <w:tcPr>
            <w:tcW w:w="4509" w:type="dxa"/>
            <w:tcBorders>
              <w:left w:val="single" w:sz="8" w:space="0" w:color="auto"/>
              <w:right w:val="single" w:sz="4" w:space="0" w:color="auto"/>
            </w:tcBorders>
            <w:tcMar>
              <w:left w:w="57" w:type="dxa"/>
              <w:right w:w="57" w:type="dxa"/>
            </w:tcMar>
          </w:tcPr>
          <w:p w:rsidR="00E75ED5" w:rsidRPr="009768C1" w:rsidRDefault="00E75ED5" w:rsidP="00E75ED5">
            <w:pPr>
              <w:rPr>
                <w:i/>
                <w:lang w:val="es-ES"/>
              </w:rPr>
            </w:pPr>
            <w:r w:rsidRPr="009768C1">
              <w:rPr>
                <w:i/>
                <w:lang w:val="es-ES"/>
              </w:rPr>
              <w:t>Ingresos</w:t>
            </w:r>
          </w:p>
        </w:tc>
        <w:tc>
          <w:tcPr>
            <w:tcW w:w="1417" w:type="dxa"/>
            <w:tcBorders>
              <w:left w:val="single" w:sz="4" w:space="0" w:color="auto"/>
              <w:right w:val="single" w:sz="4" w:space="0" w:color="auto"/>
            </w:tcBorders>
            <w:tcMar>
              <w:left w:w="57" w:type="dxa"/>
              <w:right w:w="57" w:type="dxa"/>
            </w:tcMar>
          </w:tcPr>
          <w:p w:rsidR="00E75ED5" w:rsidRPr="009768C1" w:rsidRDefault="00E75ED5" w:rsidP="00E75ED5">
            <w:pPr>
              <w:jc w:val="right"/>
              <w:rPr>
                <w:lang w:val="es-ES"/>
              </w:rPr>
            </w:pPr>
          </w:p>
        </w:tc>
        <w:tc>
          <w:tcPr>
            <w:tcW w:w="1445" w:type="dxa"/>
            <w:tcBorders>
              <w:left w:val="single" w:sz="4" w:space="0" w:color="auto"/>
              <w:right w:val="single" w:sz="8" w:space="0" w:color="auto"/>
            </w:tcBorders>
            <w:tcMar>
              <w:left w:w="57" w:type="dxa"/>
              <w:right w:w="57" w:type="dxa"/>
            </w:tcMar>
          </w:tcPr>
          <w:p w:rsidR="00E75ED5" w:rsidRPr="009768C1" w:rsidRDefault="00E75ED5" w:rsidP="00E75ED5">
            <w:pPr>
              <w:jc w:val="right"/>
              <w:rPr>
                <w:lang w:val="es-ES"/>
              </w:rPr>
            </w:pPr>
          </w:p>
        </w:tc>
      </w:tr>
      <w:tr w:rsidR="009768C1" w:rsidRPr="009768C1" w:rsidTr="00A14D8B">
        <w:trPr>
          <w:trHeight w:val="80"/>
        </w:trPr>
        <w:tc>
          <w:tcPr>
            <w:tcW w:w="4509" w:type="dxa"/>
            <w:tcBorders>
              <w:left w:val="single" w:sz="8" w:space="0" w:color="auto"/>
              <w:right w:val="single" w:sz="4" w:space="0" w:color="auto"/>
            </w:tcBorders>
            <w:tcMar>
              <w:left w:w="57" w:type="dxa"/>
              <w:right w:w="57" w:type="dxa"/>
            </w:tcMar>
          </w:tcPr>
          <w:p w:rsidR="00E75ED5" w:rsidRPr="009768C1" w:rsidRDefault="00E75ED5" w:rsidP="00E75ED5">
            <w:pPr>
              <w:rPr>
                <w:lang w:val="es-ES"/>
              </w:rPr>
            </w:pPr>
            <w:r w:rsidRPr="009768C1">
              <w:rPr>
                <w:lang w:val="es-ES"/>
              </w:rPr>
              <w:t>Fondos recibidos</w:t>
            </w:r>
          </w:p>
        </w:tc>
        <w:tc>
          <w:tcPr>
            <w:tcW w:w="1417" w:type="dxa"/>
            <w:tcBorders>
              <w:left w:val="single" w:sz="4" w:space="0" w:color="auto"/>
              <w:bottom w:val="single" w:sz="4" w:space="0" w:color="auto"/>
              <w:right w:val="single" w:sz="4" w:space="0" w:color="auto"/>
            </w:tcBorders>
            <w:tcMar>
              <w:left w:w="57" w:type="dxa"/>
              <w:right w:w="57" w:type="dxa"/>
            </w:tcMar>
          </w:tcPr>
          <w:p w:rsidR="00E75ED5" w:rsidRPr="009768C1" w:rsidRDefault="00E75ED5" w:rsidP="00E75ED5">
            <w:pPr>
              <w:jc w:val="right"/>
              <w:rPr>
                <w:lang w:val="es-ES"/>
              </w:rPr>
            </w:pPr>
            <w:r w:rsidRPr="009768C1">
              <w:rPr>
                <w:lang w:val="es-ES"/>
              </w:rPr>
              <w:t>238.443</w:t>
            </w:r>
          </w:p>
        </w:tc>
        <w:tc>
          <w:tcPr>
            <w:tcW w:w="1445" w:type="dxa"/>
            <w:tcBorders>
              <w:left w:val="single" w:sz="4" w:space="0" w:color="auto"/>
              <w:right w:val="single" w:sz="8" w:space="0" w:color="auto"/>
            </w:tcBorders>
            <w:tcMar>
              <w:left w:w="57" w:type="dxa"/>
              <w:right w:w="57" w:type="dxa"/>
            </w:tcMar>
          </w:tcPr>
          <w:p w:rsidR="00E75ED5" w:rsidRPr="009768C1" w:rsidRDefault="00E75ED5" w:rsidP="00E75ED5">
            <w:pPr>
              <w:jc w:val="right"/>
              <w:rPr>
                <w:lang w:val="es-ES"/>
              </w:rPr>
            </w:pPr>
            <w:r w:rsidRPr="009768C1">
              <w:rPr>
                <w:lang w:val="es-ES"/>
              </w:rPr>
              <w:t>238.443</w:t>
            </w:r>
          </w:p>
        </w:tc>
      </w:tr>
      <w:tr w:rsidR="009768C1" w:rsidRPr="009768C1" w:rsidTr="00A14D8B">
        <w:trPr>
          <w:trHeight w:val="254"/>
        </w:trPr>
        <w:tc>
          <w:tcPr>
            <w:tcW w:w="4509" w:type="dxa"/>
            <w:tcBorders>
              <w:left w:val="single" w:sz="8" w:space="0" w:color="auto"/>
              <w:right w:val="single" w:sz="4" w:space="0" w:color="auto"/>
            </w:tcBorders>
            <w:tcMar>
              <w:left w:w="57" w:type="dxa"/>
              <w:right w:w="57" w:type="dxa"/>
            </w:tcMar>
          </w:tcPr>
          <w:p w:rsidR="00E75ED5" w:rsidRPr="009768C1" w:rsidRDefault="00E75ED5" w:rsidP="00E75ED5">
            <w:pPr>
              <w:rPr>
                <w:i/>
                <w:lang w:val="es-ES"/>
              </w:rPr>
            </w:pPr>
          </w:p>
        </w:tc>
        <w:tc>
          <w:tcPr>
            <w:tcW w:w="1417" w:type="dxa"/>
            <w:tcBorders>
              <w:top w:val="single" w:sz="4" w:space="0" w:color="auto"/>
              <w:left w:val="single" w:sz="4" w:space="0" w:color="auto"/>
              <w:right w:val="single" w:sz="4" w:space="0" w:color="auto"/>
            </w:tcBorders>
            <w:tcMar>
              <w:left w:w="57" w:type="dxa"/>
              <w:right w:w="57" w:type="dxa"/>
            </w:tcMar>
          </w:tcPr>
          <w:p w:rsidR="00E75ED5" w:rsidRPr="009768C1" w:rsidRDefault="00E75ED5" w:rsidP="00E75ED5">
            <w:pPr>
              <w:jc w:val="right"/>
              <w:rPr>
                <w:lang w:val="es-ES"/>
              </w:rPr>
            </w:pPr>
          </w:p>
        </w:tc>
        <w:tc>
          <w:tcPr>
            <w:tcW w:w="1445" w:type="dxa"/>
            <w:tcBorders>
              <w:left w:val="single" w:sz="4" w:space="0" w:color="auto"/>
              <w:right w:val="single" w:sz="8" w:space="0" w:color="auto"/>
            </w:tcBorders>
            <w:tcMar>
              <w:left w:w="57" w:type="dxa"/>
              <w:right w:w="57" w:type="dxa"/>
            </w:tcMar>
          </w:tcPr>
          <w:p w:rsidR="00E75ED5" w:rsidRPr="009768C1" w:rsidRDefault="00E75ED5" w:rsidP="00E75ED5">
            <w:pPr>
              <w:jc w:val="right"/>
              <w:rPr>
                <w:lang w:val="es-ES"/>
              </w:rPr>
            </w:pPr>
          </w:p>
        </w:tc>
      </w:tr>
      <w:tr w:rsidR="009768C1" w:rsidRPr="009768C1" w:rsidTr="00A14D8B">
        <w:trPr>
          <w:trHeight w:val="254"/>
        </w:trPr>
        <w:tc>
          <w:tcPr>
            <w:tcW w:w="4509" w:type="dxa"/>
            <w:tcBorders>
              <w:left w:val="single" w:sz="8" w:space="0" w:color="auto"/>
              <w:right w:val="single" w:sz="4" w:space="0" w:color="auto"/>
            </w:tcBorders>
            <w:tcMar>
              <w:left w:w="57" w:type="dxa"/>
              <w:right w:w="57" w:type="dxa"/>
            </w:tcMar>
          </w:tcPr>
          <w:p w:rsidR="00E75ED5" w:rsidRPr="009768C1" w:rsidRDefault="00E75ED5" w:rsidP="00E75ED5">
            <w:pPr>
              <w:rPr>
                <w:i/>
                <w:lang w:val="es-ES"/>
              </w:rPr>
            </w:pPr>
            <w:r w:rsidRPr="009768C1">
              <w:rPr>
                <w:i/>
                <w:lang w:val="es-ES"/>
              </w:rPr>
              <w:t>Gastos</w:t>
            </w:r>
          </w:p>
        </w:tc>
        <w:tc>
          <w:tcPr>
            <w:tcW w:w="1417" w:type="dxa"/>
            <w:tcBorders>
              <w:left w:val="single" w:sz="4" w:space="0" w:color="auto"/>
              <w:right w:val="single" w:sz="4" w:space="0" w:color="auto"/>
            </w:tcBorders>
            <w:tcMar>
              <w:left w:w="57" w:type="dxa"/>
              <w:right w:w="57" w:type="dxa"/>
            </w:tcMar>
          </w:tcPr>
          <w:p w:rsidR="00E75ED5" w:rsidRPr="009768C1" w:rsidRDefault="00E75ED5" w:rsidP="00E75ED5">
            <w:pPr>
              <w:jc w:val="right"/>
              <w:rPr>
                <w:lang w:val="es-ES"/>
              </w:rPr>
            </w:pPr>
          </w:p>
        </w:tc>
        <w:tc>
          <w:tcPr>
            <w:tcW w:w="1445" w:type="dxa"/>
            <w:tcBorders>
              <w:left w:val="single" w:sz="4" w:space="0" w:color="auto"/>
              <w:right w:val="single" w:sz="8" w:space="0" w:color="auto"/>
            </w:tcBorders>
            <w:tcMar>
              <w:left w:w="57" w:type="dxa"/>
              <w:right w:w="57" w:type="dxa"/>
            </w:tcMar>
          </w:tcPr>
          <w:p w:rsidR="00E75ED5" w:rsidRPr="009768C1" w:rsidRDefault="00E75ED5" w:rsidP="00E75ED5">
            <w:pPr>
              <w:jc w:val="right"/>
              <w:rPr>
                <w:lang w:val="es-ES"/>
              </w:rPr>
            </w:pPr>
          </w:p>
        </w:tc>
      </w:tr>
      <w:tr w:rsidR="009768C1" w:rsidRPr="009768C1" w:rsidTr="00A14D8B">
        <w:trPr>
          <w:trHeight w:val="254"/>
        </w:trPr>
        <w:tc>
          <w:tcPr>
            <w:tcW w:w="4509" w:type="dxa"/>
            <w:tcBorders>
              <w:left w:val="single" w:sz="8" w:space="0" w:color="auto"/>
              <w:right w:val="single" w:sz="4" w:space="0" w:color="auto"/>
            </w:tcBorders>
            <w:tcMar>
              <w:left w:w="57" w:type="dxa"/>
              <w:right w:w="57" w:type="dxa"/>
            </w:tcMar>
          </w:tcPr>
          <w:p w:rsidR="00E75ED5" w:rsidRPr="009768C1" w:rsidRDefault="00E75ED5" w:rsidP="00E75ED5">
            <w:pPr>
              <w:rPr>
                <w:lang w:val="es-ES"/>
              </w:rPr>
            </w:pPr>
            <w:r w:rsidRPr="009768C1">
              <w:rPr>
                <w:lang w:val="es-ES"/>
              </w:rPr>
              <w:t>Viajes de terceros</w:t>
            </w:r>
          </w:p>
        </w:tc>
        <w:tc>
          <w:tcPr>
            <w:tcW w:w="1417" w:type="dxa"/>
            <w:tcBorders>
              <w:left w:val="single" w:sz="4" w:space="0" w:color="auto"/>
              <w:right w:val="single" w:sz="4" w:space="0" w:color="auto"/>
            </w:tcBorders>
            <w:tcMar>
              <w:left w:w="57" w:type="dxa"/>
              <w:right w:w="57" w:type="dxa"/>
            </w:tcMar>
          </w:tcPr>
          <w:p w:rsidR="00E75ED5" w:rsidRPr="009768C1" w:rsidRDefault="00E75ED5" w:rsidP="00E75ED5">
            <w:pPr>
              <w:jc w:val="right"/>
              <w:rPr>
                <w:lang w:val="es-ES"/>
              </w:rPr>
            </w:pPr>
            <w:r w:rsidRPr="009768C1">
              <w:rPr>
                <w:lang w:val="es-ES"/>
              </w:rPr>
              <w:t>212.934</w:t>
            </w:r>
          </w:p>
        </w:tc>
        <w:tc>
          <w:tcPr>
            <w:tcW w:w="1445" w:type="dxa"/>
            <w:tcBorders>
              <w:left w:val="single" w:sz="4" w:space="0" w:color="auto"/>
              <w:right w:val="single" w:sz="8" w:space="0" w:color="auto"/>
            </w:tcBorders>
            <w:tcMar>
              <w:left w:w="57" w:type="dxa"/>
              <w:right w:w="57" w:type="dxa"/>
            </w:tcMar>
          </w:tcPr>
          <w:p w:rsidR="00E75ED5" w:rsidRPr="009768C1" w:rsidRDefault="00E75ED5" w:rsidP="00E75ED5">
            <w:pPr>
              <w:jc w:val="right"/>
              <w:rPr>
                <w:lang w:val="es-ES"/>
              </w:rPr>
            </w:pPr>
          </w:p>
        </w:tc>
      </w:tr>
      <w:tr w:rsidR="009768C1" w:rsidRPr="009768C1" w:rsidTr="00A14D8B">
        <w:trPr>
          <w:trHeight w:val="254"/>
        </w:trPr>
        <w:tc>
          <w:tcPr>
            <w:tcW w:w="4509" w:type="dxa"/>
            <w:tcBorders>
              <w:left w:val="single" w:sz="8" w:space="0" w:color="auto"/>
              <w:right w:val="single" w:sz="4" w:space="0" w:color="auto"/>
            </w:tcBorders>
            <w:tcMar>
              <w:left w:w="57" w:type="dxa"/>
              <w:right w:w="57" w:type="dxa"/>
            </w:tcMar>
          </w:tcPr>
          <w:p w:rsidR="00E75ED5" w:rsidRPr="009768C1" w:rsidRDefault="00E75ED5" w:rsidP="00E75ED5">
            <w:pPr>
              <w:rPr>
                <w:lang w:val="es-ES"/>
              </w:rPr>
            </w:pPr>
            <w:r w:rsidRPr="009768C1">
              <w:rPr>
                <w:lang w:val="es-ES"/>
              </w:rPr>
              <w:t>Servicios contractuales</w:t>
            </w:r>
          </w:p>
        </w:tc>
        <w:tc>
          <w:tcPr>
            <w:tcW w:w="1417" w:type="dxa"/>
            <w:tcBorders>
              <w:left w:val="single" w:sz="4" w:space="0" w:color="auto"/>
              <w:bottom w:val="single" w:sz="4" w:space="0" w:color="auto"/>
              <w:right w:val="single" w:sz="4" w:space="0" w:color="auto"/>
            </w:tcBorders>
            <w:tcMar>
              <w:left w:w="57" w:type="dxa"/>
              <w:right w:w="57" w:type="dxa"/>
            </w:tcMar>
          </w:tcPr>
          <w:p w:rsidR="00E75ED5" w:rsidRPr="009768C1" w:rsidRDefault="00E75ED5" w:rsidP="00E75ED5">
            <w:pPr>
              <w:jc w:val="right"/>
              <w:rPr>
                <w:lang w:val="es-ES"/>
              </w:rPr>
            </w:pPr>
            <w:r w:rsidRPr="009768C1">
              <w:rPr>
                <w:lang w:val="es-ES"/>
              </w:rPr>
              <w:t>3.000</w:t>
            </w:r>
          </w:p>
        </w:tc>
        <w:tc>
          <w:tcPr>
            <w:tcW w:w="1445" w:type="dxa"/>
            <w:tcBorders>
              <w:left w:val="single" w:sz="4" w:space="0" w:color="auto"/>
              <w:right w:val="single" w:sz="8" w:space="0" w:color="auto"/>
            </w:tcBorders>
            <w:tcMar>
              <w:left w:w="57" w:type="dxa"/>
              <w:right w:w="57" w:type="dxa"/>
            </w:tcMar>
          </w:tcPr>
          <w:p w:rsidR="00E75ED5" w:rsidRPr="009768C1" w:rsidRDefault="00E75ED5" w:rsidP="00E75ED5">
            <w:pPr>
              <w:jc w:val="right"/>
              <w:rPr>
                <w:lang w:val="es-ES"/>
              </w:rPr>
            </w:pPr>
          </w:p>
        </w:tc>
      </w:tr>
      <w:tr w:rsidR="009768C1" w:rsidRPr="009768C1" w:rsidTr="00A14D8B">
        <w:trPr>
          <w:trHeight w:val="254"/>
        </w:trPr>
        <w:tc>
          <w:tcPr>
            <w:tcW w:w="4509" w:type="dxa"/>
            <w:tcBorders>
              <w:left w:val="single" w:sz="8" w:space="0" w:color="auto"/>
              <w:right w:val="single" w:sz="4" w:space="0" w:color="auto"/>
            </w:tcBorders>
            <w:tcMar>
              <w:left w:w="57" w:type="dxa"/>
              <w:right w:w="57" w:type="dxa"/>
            </w:tcMar>
          </w:tcPr>
          <w:p w:rsidR="00E75ED5" w:rsidRPr="009768C1" w:rsidRDefault="00E75ED5" w:rsidP="00E75ED5">
            <w:pPr>
              <w:rPr>
                <w:lang w:val="es-ES"/>
              </w:rPr>
            </w:pPr>
            <w:r w:rsidRPr="009768C1">
              <w:rPr>
                <w:lang w:val="es-ES"/>
              </w:rPr>
              <w:t>Total gastos directos</w:t>
            </w:r>
          </w:p>
        </w:tc>
        <w:tc>
          <w:tcPr>
            <w:tcW w:w="1417" w:type="dxa"/>
            <w:tcBorders>
              <w:top w:val="single" w:sz="4" w:space="0" w:color="auto"/>
              <w:left w:val="single" w:sz="4" w:space="0" w:color="auto"/>
              <w:right w:val="single" w:sz="4" w:space="0" w:color="auto"/>
            </w:tcBorders>
            <w:tcMar>
              <w:left w:w="57" w:type="dxa"/>
              <w:right w:w="57" w:type="dxa"/>
            </w:tcMar>
          </w:tcPr>
          <w:p w:rsidR="00E75ED5" w:rsidRPr="009768C1" w:rsidRDefault="00E75ED5" w:rsidP="00E75ED5">
            <w:pPr>
              <w:jc w:val="right"/>
              <w:rPr>
                <w:lang w:val="es-ES"/>
              </w:rPr>
            </w:pPr>
            <w:r w:rsidRPr="009768C1">
              <w:rPr>
                <w:lang w:val="es-ES"/>
              </w:rPr>
              <w:t>215.934</w:t>
            </w:r>
          </w:p>
        </w:tc>
        <w:tc>
          <w:tcPr>
            <w:tcW w:w="1445" w:type="dxa"/>
            <w:tcBorders>
              <w:left w:val="single" w:sz="4" w:space="0" w:color="auto"/>
              <w:right w:val="single" w:sz="8" w:space="0" w:color="auto"/>
            </w:tcBorders>
            <w:tcMar>
              <w:left w:w="57" w:type="dxa"/>
              <w:right w:w="57" w:type="dxa"/>
            </w:tcMar>
          </w:tcPr>
          <w:p w:rsidR="00E75ED5" w:rsidRPr="009768C1" w:rsidRDefault="00E75ED5" w:rsidP="00E75ED5">
            <w:pPr>
              <w:jc w:val="right"/>
              <w:rPr>
                <w:lang w:val="es-ES"/>
              </w:rPr>
            </w:pPr>
          </w:p>
        </w:tc>
      </w:tr>
      <w:tr w:rsidR="009768C1" w:rsidRPr="009768C1" w:rsidTr="00A14D8B">
        <w:trPr>
          <w:trHeight w:val="230"/>
        </w:trPr>
        <w:tc>
          <w:tcPr>
            <w:tcW w:w="4509" w:type="dxa"/>
            <w:vMerge w:val="restart"/>
            <w:tcBorders>
              <w:left w:val="single" w:sz="8" w:space="0" w:color="auto"/>
              <w:right w:val="single" w:sz="4" w:space="0" w:color="auto"/>
            </w:tcBorders>
            <w:tcMar>
              <w:left w:w="57" w:type="dxa"/>
              <w:right w:w="57" w:type="dxa"/>
            </w:tcMar>
          </w:tcPr>
          <w:p w:rsidR="00E75ED5" w:rsidRPr="009768C1" w:rsidRDefault="00E75ED5" w:rsidP="00E75ED5">
            <w:pPr>
              <w:rPr>
                <w:lang w:val="es-ES"/>
              </w:rPr>
            </w:pPr>
            <w:r w:rsidRPr="009768C1">
              <w:rPr>
                <w:lang w:val="es-ES"/>
              </w:rPr>
              <w:t>Gastos administrativos</w:t>
            </w:r>
          </w:p>
        </w:tc>
        <w:tc>
          <w:tcPr>
            <w:tcW w:w="1417" w:type="dxa"/>
            <w:tcBorders>
              <w:left w:val="single" w:sz="4" w:space="0" w:color="auto"/>
              <w:bottom w:val="single" w:sz="4" w:space="0" w:color="auto"/>
              <w:right w:val="single" w:sz="4" w:space="0" w:color="auto"/>
            </w:tcBorders>
            <w:tcMar>
              <w:left w:w="57" w:type="dxa"/>
              <w:right w:w="57" w:type="dxa"/>
            </w:tcMar>
          </w:tcPr>
          <w:p w:rsidR="00E75ED5" w:rsidRPr="009768C1" w:rsidRDefault="00E75ED5" w:rsidP="00E75ED5">
            <w:pPr>
              <w:jc w:val="right"/>
              <w:rPr>
                <w:lang w:val="es-ES"/>
              </w:rPr>
            </w:pPr>
            <w:r w:rsidRPr="009768C1">
              <w:rPr>
                <w:lang w:val="es-ES"/>
              </w:rPr>
              <w:t>28.071</w:t>
            </w:r>
          </w:p>
        </w:tc>
        <w:tc>
          <w:tcPr>
            <w:tcW w:w="1445" w:type="dxa"/>
            <w:vMerge w:val="restart"/>
            <w:tcBorders>
              <w:left w:val="single" w:sz="4" w:space="0" w:color="auto"/>
              <w:right w:val="single" w:sz="8" w:space="0" w:color="auto"/>
            </w:tcBorders>
            <w:tcMar>
              <w:left w:w="57" w:type="dxa"/>
              <w:right w:w="57" w:type="dxa"/>
            </w:tcMar>
          </w:tcPr>
          <w:p w:rsidR="00E75ED5" w:rsidRPr="009768C1" w:rsidRDefault="00E75ED5" w:rsidP="00E75ED5">
            <w:pPr>
              <w:rPr>
                <w:lang w:val="es-ES"/>
              </w:rPr>
            </w:pPr>
          </w:p>
          <w:p w:rsidR="00E75ED5" w:rsidRPr="009768C1" w:rsidRDefault="00E75ED5" w:rsidP="00E75ED5">
            <w:pPr>
              <w:jc w:val="right"/>
              <w:rPr>
                <w:lang w:val="es-ES"/>
              </w:rPr>
            </w:pPr>
            <w:r w:rsidRPr="009768C1">
              <w:rPr>
                <w:lang w:val="es-ES"/>
              </w:rPr>
              <w:t>-244.005</w:t>
            </w:r>
          </w:p>
        </w:tc>
      </w:tr>
      <w:tr w:rsidR="009768C1" w:rsidRPr="009768C1" w:rsidTr="00A14D8B">
        <w:trPr>
          <w:trHeight w:val="220"/>
        </w:trPr>
        <w:tc>
          <w:tcPr>
            <w:tcW w:w="4509" w:type="dxa"/>
            <w:vMerge/>
            <w:tcBorders>
              <w:left w:val="single" w:sz="8" w:space="0" w:color="auto"/>
              <w:bottom w:val="single" w:sz="4" w:space="0" w:color="auto"/>
              <w:right w:val="single" w:sz="4" w:space="0" w:color="auto"/>
            </w:tcBorders>
            <w:tcMar>
              <w:left w:w="57" w:type="dxa"/>
              <w:right w:w="57" w:type="dxa"/>
            </w:tcMar>
          </w:tcPr>
          <w:p w:rsidR="00812486" w:rsidRPr="009768C1" w:rsidRDefault="00812486" w:rsidP="00A14D8B">
            <w:pPr>
              <w:rPr>
                <w:lang w:val="es-ES"/>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812486" w:rsidRPr="009768C1" w:rsidRDefault="00812486" w:rsidP="00A14D8B">
            <w:pPr>
              <w:rPr>
                <w:lang w:val="es-ES"/>
              </w:rPr>
            </w:pPr>
          </w:p>
        </w:tc>
        <w:tc>
          <w:tcPr>
            <w:tcW w:w="1445" w:type="dxa"/>
            <w:vMerge/>
            <w:tcBorders>
              <w:left w:val="single" w:sz="4" w:space="0" w:color="auto"/>
              <w:bottom w:val="single" w:sz="4" w:space="0" w:color="auto"/>
              <w:right w:val="single" w:sz="8" w:space="0" w:color="auto"/>
            </w:tcBorders>
            <w:tcMar>
              <w:left w:w="57" w:type="dxa"/>
              <w:right w:w="57" w:type="dxa"/>
            </w:tcMar>
          </w:tcPr>
          <w:p w:rsidR="00812486" w:rsidRPr="009768C1" w:rsidRDefault="00812486" w:rsidP="00A14D8B">
            <w:pPr>
              <w:jc w:val="right"/>
              <w:rPr>
                <w:lang w:val="es-ES"/>
              </w:rPr>
            </w:pPr>
          </w:p>
        </w:tc>
      </w:tr>
      <w:tr w:rsidR="009768C1" w:rsidRPr="009768C1" w:rsidTr="00A14D8B">
        <w:trPr>
          <w:trHeight w:val="254"/>
        </w:trPr>
        <w:tc>
          <w:tcPr>
            <w:tcW w:w="4509" w:type="dxa"/>
            <w:tcBorders>
              <w:top w:val="single" w:sz="4" w:space="0" w:color="auto"/>
              <w:left w:val="single" w:sz="8" w:space="0" w:color="auto"/>
              <w:bottom w:val="single" w:sz="8" w:space="0" w:color="auto"/>
              <w:right w:val="single" w:sz="4" w:space="0" w:color="auto"/>
            </w:tcBorders>
            <w:shd w:val="clear" w:color="auto" w:fill="CCFF99"/>
            <w:tcMar>
              <w:left w:w="57" w:type="dxa"/>
              <w:right w:w="57" w:type="dxa"/>
            </w:tcMar>
          </w:tcPr>
          <w:p w:rsidR="00812486" w:rsidRPr="009768C1" w:rsidRDefault="00E75ED5" w:rsidP="00A14D8B">
            <w:pPr>
              <w:rPr>
                <w:lang w:val="es-ES"/>
              </w:rPr>
            </w:pPr>
            <w:r w:rsidRPr="009768C1">
              <w:rPr>
                <w:lang w:val="es-ES"/>
              </w:rPr>
              <w:t>Fondos disponibles al final del ejercicio</w:t>
            </w:r>
          </w:p>
        </w:tc>
        <w:tc>
          <w:tcPr>
            <w:tcW w:w="1417" w:type="dxa"/>
            <w:tcBorders>
              <w:top w:val="single" w:sz="4" w:space="0" w:color="auto"/>
              <w:left w:val="single" w:sz="4" w:space="0" w:color="auto"/>
              <w:bottom w:val="single" w:sz="8" w:space="0" w:color="auto"/>
              <w:right w:val="single" w:sz="4" w:space="0" w:color="auto"/>
            </w:tcBorders>
            <w:shd w:val="clear" w:color="auto" w:fill="CCFF99"/>
            <w:tcMar>
              <w:left w:w="57" w:type="dxa"/>
              <w:right w:w="57" w:type="dxa"/>
            </w:tcMar>
          </w:tcPr>
          <w:p w:rsidR="00812486" w:rsidRPr="009768C1" w:rsidRDefault="00812486" w:rsidP="00A14D8B">
            <w:pPr>
              <w:jc w:val="right"/>
              <w:rPr>
                <w:lang w:val="es-ES"/>
              </w:rPr>
            </w:pPr>
          </w:p>
        </w:tc>
        <w:tc>
          <w:tcPr>
            <w:tcW w:w="1445" w:type="dxa"/>
            <w:tcBorders>
              <w:top w:val="single" w:sz="4" w:space="0" w:color="auto"/>
              <w:left w:val="single" w:sz="4" w:space="0" w:color="auto"/>
              <w:bottom w:val="single" w:sz="8" w:space="0" w:color="auto"/>
              <w:right w:val="single" w:sz="8" w:space="0" w:color="auto"/>
            </w:tcBorders>
            <w:shd w:val="clear" w:color="auto" w:fill="CCFF99"/>
            <w:tcMar>
              <w:left w:w="57" w:type="dxa"/>
              <w:right w:w="57" w:type="dxa"/>
            </w:tcMar>
          </w:tcPr>
          <w:p w:rsidR="00812486" w:rsidRPr="009768C1" w:rsidRDefault="00E75ED5" w:rsidP="00A14D8B">
            <w:pPr>
              <w:jc w:val="right"/>
              <w:rPr>
                <w:lang w:val="es-ES"/>
              </w:rPr>
            </w:pPr>
            <w:r w:rsidRPr="009768C1">
              <w:rPr>
                <w:lang w:val="es-ES"/>
              </w:rPr>
              <w:t>3.</w:t>
            </w:r>
            <w:r w:rsidR="00812486" w:rsidRPr="009768C1">
              <w:rPr>
                <w:lang w:val="es-ES"/>
              </w:rPr>
              <w:t>335</w:t>
            </w:r>
          </w:p>
        </w:tc>
      </w:tr>
    </w:tbl>
    <w:p w:rsidR="00812486" w:rsidRPr="009768C1" w:rsidRDefault="00812486" w:rsidP="00812486">
      <w:pPr>
        <w:rPr>
          <w:lang w:val="es-ES"/>
        </w:rPr>
      </w:pPr>
    </w:p>
    <w:p w:rsidR="00812486" w:rsidRPr="009768C1" w:rsidRDefault="00812486" w:rsidP="00812486">
      <w:pPr>
        <w:jc w:val="right"/>
        <w:rPr>
          <w:lang w:val="es-ES"/>
        </w:rPr>
      </w:pPr>
    </w:p>
    <w:p w:rsidR="00812486" w:rsidRPr="009768C1" w:rsidRDefault="00812486" w:rsidP="00812486">
      <w:pPr>
        <w:jc w:val="right"/>
        <w:rPr>
          <w:lang w:val="es-ES"/>
        </w:rPr>
      </w:pPr>
    </w:p>
    <w:p w:rsidR="00812486" w:rsidRPr="009768C1" w:rsidRDefault="00812486" w:rsidP="00812486">
      <w:pPr>
        <w:jc w:val="right"/>
        <w:rPr>
          <w:lang w:val="es-ES"/>
        </w:rPr>
      </w:pPr>
    </w:p>
    <w:p w:rsidR="00812486" w:rsidRPr="009768C1" w:rsidRDefault="00812486" w:rsidP="00812486">
      <w:pPr>
        <w:jc w:val="right"/>
        <w:rPr>
          <w:lang w:val="es-ES"/>
        </w:rPr>
      </w:pPr>
    </w:p>
    <w:p w:rsidR="00812486" w:rsidRPr="009768C1" w:rsidRDefault="00812486" w:rsidP="00812486">
      <w:pPr>
        <w:jc w:val="right"/>
        <w:rPr>
          <w:lang w:val="es-ES"/>
        </w:rPr>
      </w:pPr>
    </w:p>
    <w:p w:rsidR="00812486" w:rsidRPr="009768C1" w:rsidRDefault="00812486" w:rsidP="00812486">
      <w:pPr>
        <w:jc w:val="right"/>
        <w:rPr>
          <w:lang w:val="es-ES"/>
        </w:rPr>
      </w:pPr>
    </w:p>
    <w:p w:rsidR="00812486" w:rsidRPr="009768C1" w:rsidRDefault="00812486" w:rsidP="00812486">
      <w:pPr>
        <w:jc w:val="right"/>
        <w:rPr>
          <w:lang w:val="es-ES"/>
        </w:rPr>
      </w:pPr>
    </w:p>
    <w:p w:rsidR="00812486" w:rsidRPr="009768C1" w:rsidRDefault="00812486" w:rsidP="00812486">
      <w:pPr>
        <w:jc w:val="right"/>
        <w:rPr>
          <w:lang w:val="es-ES"/>
        </w:rPr>
      </w:pPr>
    </w:p>
    <w:p w:rsidR="00812486" w:rsidRPr="009768C1" w:rsidRDefault="00812486" w:rsidP="00812486">
      <w:pPr>
        <w:jc w:val="right"/>
        <w:rPr>
          <w:lang w:val="es-ES"/>
        </w:rPr>
      </w:pPr>
    </w:p>
    <w:p w:rsidR="00812486" w:rsidRPr="009768C1" w:rsidRDefault="00812486" w:rsidP="00812486">
      <w:pPr>
        <w:jc w:val="right"/>
        <w:rPr>
          <w:lang w:val="es-ES"/>
        </w:rPr>
      </w:pPr>
    </w:p>
    <w:p w:rsidR="00812486" w:rsidRPr="009768C1" w:rsidRDefault="00812486" w:rsidP="00812486">
      <w:pPr>
        <w:jc w:val="right"/>
        <w:rPr>
          <w:lang w:val="es-ES"/>
        </w:rPr>
      </w:pPr>
    </w:p>
    <w:p w:rsidR="00812486" w:rsidRPr="009768C1" w:rsidRDefault="00812486" w:rsidP="00812486">
      <w:pPr>
        <w:rPr>
          <w:i/>
          <w:lang w:val="es-ES"/>
        </w:rPr>
      </w:pPr>
    </w:p>
    <w:p w:rsidR="00812486" w:rsidRPr="009768C1" w:rsidRDefault="00812486" w:rsidP="00812486">
      <w:pPr>
        <w:ind w:left="1652" w:hanging="448"/>
        <w:rPr>
          <w:i/>
          <w:sz w:val="16"/>
          <w:szCs w:val="16"/>
          <w:lang w:val="es-ES"/>
        </w:rPr>
      </w:pPr>
    </w:p>
    <w:p w:rsidR="00812486" w:rsidRPr="009768C1" w:rsidRDefault="00812486" w:rsidP="001D6C32">
      <w:pPr>
        <w:ind w:left="1701" w:hanging="497"/>
        <w:rPr>
          <w:sz w:val="16"/>
          <w:szCs w:val="16"/>
          <w:lang w:val="es-ES"/>
        </w:rPr>
      </w:pPr>
      <w:r w:rsidRPr="009768C1">
        <w:rPr>
          <w:i/>
          <w:sz w:val="16"/>
          <w:szCs w:val="16"/>
          <w:lang w:val="es-ES"/>
        </w:rPr>
        <w:t>Not</w:t>
      </w:r>
      <w:r w:rsidR="00B363DD" w:rsidRPr="009768C1">
        <w:rPr>
          <w:i/>
          <w:sz w:val="16"/>
          <w:szCs w:val="16"/>
          <w:lang w:val="es-ES"/>
        </w:rPr>
        <w:t>a</w:t>
      </w:r>
      <w:proofErr w:type="gramStart"/>
      <w:r w:rsidRPr="009768C1">
        <w:rPr>
          <w:i/>
          <w:sz w:val="16"/>
          <w:szCs w:val="16"/>
          <w:lang w:val="es-ES"/>
        </w:rPr>
        <w:t>:</w:t>
      </w:r>
      <w:r w:rsidR="00B363DD" w:rsidRPr="009768C1">
        <w:rPr>
          <w:sz w:val="16"/>
          <w:lang w:val="es-ES"/>
        </w:rPr>
        <w:t xml:space="preserve">  fondos</w:t>
      </w:r>
      <w:proofErr w:type="gramEnd"/>
      <w:r w:rsidR="00B363DD" w:rsidRPr="009768C1">
        <w:rPr>
          <w:sz w:val="16"/>
          <w:lang w:val="es-ES"/>
        </w:rPr>
        <w:t xml:space="preserve"> fiduciarios en forma de fondos extrapresupuestarios del Gobierno de los Estados Unidos de América destinados a formación sobre protección de la propiedad intelectual en el ámbito de la protección de las variedades vegetales</w:t>
      </w:r>
      <w:r w:rsidRPr="009768C1">
        <w:rPr>
          <w:sz w:val="16"/>
          <w:szCs w:val="16"/>
          <w:lang w:val="es-ES"/>
        </w:rPr>
        <w:t>.</w:t>
      </w:r>
    </w:p>
    <w:p w:rsidR="00812486" w:rsidRPr="009768C1" w:rsidRDefault="00812486" w:rsidP="00812486">
      <w:pPr>
        <w:ind w:left="1652" w:hanging="448"/>
        <w:rPr>
          <w:sz w:val="16"/>
          <w:szCs w:val="16"/>
          <w:lang w:val="es-ES"/>
        </w:rPr>
      </w:pPr>
    </w:p>
    <w:p w:rsidR="00812486" w:rsidRPr="009768C1" w:rsidRDefault="00812486" w:rsidP="00F7227E">
      <w:pPr>
        <w:jc w:val="left"/>
        <w:rPr>
          <w:lang w:val="es-ES"/>
        </w:rPr>
      </w:pPr>
    </w:p>
    <w:p w:rsidR="00812486" w:rsidRPr="009768C1" w:rsidRDefault="00812486" w:rsidP="00F7227E">
      <w:pPr>
        <w:jc w:val="left"/>
        <w:rPr>
          <w:lang w:val="es-ES"/>
        </w:rPr>
      </w:pPr>
    </w:p>
    <w:p w:rsidR="00812486" w:rsidRPr="009768C1" w:rsidRDefault="00812486" w:rsidP="00F7227E">
      <w:pPr>
        <w:jc w:val="left"/>
        <w:rPr>
          <w:lang w:val="es-ES"/>
        </w:rPr>
      </w:pPr>
    </w:p>
    <w:p w:rsidR="00812486" w:rsidRPr="009768C1" w:rsidRDefault="00812486" w:rsidP="00812486">
      <w:pPr>
        <w:jc w:val="right"/>
        <w:rPr>
          <w:lang w:val="es-ES"/>
        </w:rPr>
      </w:pPr>
      <w:r w:rsidRPr="009768C1">
        <w:rPr>
          <w:lang w:val="es-ES"/>
        </w:rPr>
        <w:t>[Fin del Anexo y del documento]</w:t>
      </w:r>
    </w:p>
    <w:p w:rsidR="006B17D2" w:rsidRPr="009768C1" w:rsidRDefault="006B17D2" w:rsidP="00812486">
      <w:pPr>
        <w:rPr>
          <w:lang w:val="es-ES"/>
        </w:rPr>
      </w:pPr>
    </w:p>
    <w:sectPr w:rsidR="006B17D2" w:rsidRPr="009768C1" w:rsidSect="00906DDC">
      <w:headerReference w:type="default" r:id="rId42"/>
      <w:headerReference w:type="first" r:id="rId43"/>
      <w:footerReference w:type="first" r:id="rId44"/>
      <w:pgSz w:w="11907" w:h="16840" w:code="9"/>
      <w:pgMar w:top="510" w:right="1134" w:bottom="1134" w:left="1134" w:header="51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DF3" w:rsidRDefault="003C3DF3" w:rsidP="00F45372">
      <w:r>
        <w:separator/>
      </w:r>
    </w:p>
    <w:p w:rsidR="003C3DF3" w:rsidRDefault="003C3DF3" w:rsidP="00F45372"/>
    <w:p w:rsidR="003C3DF3" w:rsidRDefault="003C3DF3" w:rsidP="00F45372"/>
  </w:endnote>
  <w:endnote w:type="continuationSeparator" w:id="0">
    <w:p w:rsidR="003C3DF3" w:rsidRDefault="003C3DF3" w:rsidP="00F45372">
      <w:r>
        <w:separator/>
      </w:r>
    </w:p>
    <w:p w:rsidR="003C3DF3" w:rsidRPr="00B108A6" w:rsidRDefault="003C3DF3">
      <w:pPr>
        <w:pStyle w:val="Footer"/>
        <w:spacing w:after="60"/>
        <w:rPr>
          <w:sz w:val="18"/>
          <w:lang w:val="fr-FR"/>
        </w:rPr>
      </w:pPr>
      <w:r w:rsidRPr="00B108A6">
        <w:rPr>
          <w:sz w:val="18"/>
          <w:lang w:val="fr-FR"/>
        </w:rPr>
        <w:t>[Suite de la note de la page précédente]</w:t>
      </w:r>
    </w:p>
    <w:p w:rsidR="003C3DF3" w:rsidRPr="00B108A6" w:rsidRDefault="003C3DF3" w:rsidP="00F45372">
      <w:pPr>
        <w:rPr>
          <w:lang w:val="fr-FR"/>
        </w:rPr>
      </w:pPr>
    </w:p>
    <w:p w:rsidR="003C3DF3" w:rsidRPr="00B108A6" w:rsidRDefault="003C3DF3" w:rsidP="00F45372">
      <w:pPr>
        <w:rPr>
          <w:lang w:val="fr-FR"/>
        </w:rPr>
      </w:pPr>
    </w:p>
  </w:endnote>
  <w:endnote w:type="continuationNotice" w:id="1">
    <w:p w:rsidR="003C3DF3" w:rsidRPr="00B108A6" w:rsidRDefault="003C3DF3" w:rsidP="00F45372">
      <w:pPr>
        <w:rPr>
          <w:lang w:val="fr-FR"/>
        </w:rPr>
      </w:pPr>
      <w:r w:rsidRPr="00B108A6">
        <w:rPr>
          <w:lang w:val="fr-FR"/>
        </w:rPr>
        <w:t>[Suite de la note page suivante]</w:t>
      </w:r>
    </w:p>
    <w:p w:rsidR="003C3DF3" w:rsidRPr="00B108A6" w:rsidRDefault="003C3DF3" w:rsidP="00F45372">
      <w:pPr>
        <w:rPr>
          <w:lang w:val="fr-FR"/>
        </w:rPr>
      </w:pPr>
    </w:p>
    <w:p w:rsidR="003C3DF3" w:rsidRPr="00B108A6" w:rsidRDefault="003C3DF3"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33" w:rsidRDefault="004A5333">
    <w:pPr>
      <w:pStyle w:val="Footer"/>
      <w:jc w:val="right"/>
    </w:pPr>
  </w:p>
  <w:p w:rsidR="004A5333" w:rsidRDefault="004A53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33" w:rsidRDefault="004A5333" w:rsidP="00A14D8B">
    <w:pPr>
      <w:pStyle w:val="Footer"/>
      <w:jc w:val="center"/>
    </w:pPr>
  </w:p>
  <w:p w:rsidR="004A5333" w:rsidRDefault="004A53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33" w:rsidRPr="00AE0EF1" w:rsidRDefault="00CC4077">
    <w:pPr>
      <w:pStyle w:val="Footer"/>
    </w:pPr>
    <w:fldSimple w:instr=" FILENAME \p\* Lower \* MERGEFORMAT ">
      <w:r w:rsidR="006901BC">
        <w:rPr>
          <w:noProof/>
        </w:rPr>
        <w:t>n:\orgupov\shared\document\c\c48\c_48_04_35532_es_x.docx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DF3" w:rsidRDefault="003C3DF3" w:rsidP="006A59FA">
      <w:pPr>
        <w:spacing w:before="120"/>
      </w:pPr>
      <w:r>
        <w:separator/>
      </w:r>
    </w:p>
  </w:footnote>
  <w:footnote w:type="continuationSeparator" w:id="0">
    <w:p w:rsidR="003C3DF3" w:rsidRDefault="003C3DF3" w:rsidP="00F45372">
      <w:r>
        <w:separator/>
      </w:r>
    </w:p>
  </w:footnote>
  <w:footnote w:type="continuationNotice" w:id="1">
    <w:p w:rsidR="003C3DF3" w:rsidRPr="00721353" w:rsidRDefault="003C3DF3" w:rsidP="00721353">
      <w:pPr>
        <w:pStyle w:val="Footer"/>
      </w:pPr>
    </w:p>
  </w:footnote>
  <w:footnote w:id="2">
    <w:p w:rsidR="004A5333" w:rsidRPr="00A43BF2" w:rsidRDefault="004A5333" w:rsidP="00812486">
      <w:pPr>
        <w:pStyle w:val="FootnoteText"/>
        <w:rPr>
          <w:lang w:val="es-ES"/>
        </w:rPr>
      </w:pPr>
      <w:r>
        <w:rPr>
          <w:rStyle w:val="FootnoteReference"/>
        </w:rPr>
        <w:footnoteRef/>
      </w:r>
      <w:r w:rsidRPr="00A43BF2">
        <w:rPr>
          <w:lang w:val="es-ES"/>
        </w:rPr>
        <w:t xml:space="preserve"> Cualquier diferencia con respecto a las cifras de los estados financieros se debe al redondeo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33" w:rsidRPr="00C5280D" w:rsidRDefault="004A5333" w:rsidP="00A14D8B">
    <w:pPr>
      <w:pStyle w:val="Header"/>
      <w:rPr>
        <w:rStyle w:val="PageNumber"/>
        <w:lang w:val="en-US"/>
      </w:rPr>
    </w:pPr>
    <w:r>
      <w:rPr>
        <w:rStyle w:val="PageNumber"/>
        <w:lang w:val="en-US"/>
      </w:rPr>
      <w:t>C/48/4</w:t>
    </w:r>
  </w:p>
  <w:p w:rsidR="004A5333" w:rsidRPr="00C5280D" w:rsidRDefault="004A5333" w:rsidP="00A14D8B">
    <w:pPr>
      <w:pStyle w:val="Header"/>
    </w:pPr>
    <w:proofErr w:type="gramStart"/>
    <w:r w:rsidRPr="00C5280D">
      <w:t>page</w:t>
    </w:r>
    <w:proofErr w:type="gramEnd"/>
    <w:r w:rsidRPr="00C5280D">
      <w:t xml:space="preserve"> </w:t>
    </w:r>
    <w:r w:rsidR="00E41B1D" w:rsidRPr="00C5280D">
      <w:rPr>
        <w:rStyle w:val="PageNumber"/>
        <w:lang w:val="en-US"/>
      </w:rPr>
      <w:fldChar w:fldCharType="begin"/>
    </w:r>
    <w:r w:rsidRPr="00C5280D">
      <w:rPr>
        <w:rStyle w:val="PageNumber"/>
        <w:lang w:val="en-US"/>
      </w:rPr>
      <w:instrText xml:space="preserve"> PAGE </w:instrText>
    </w:r>
    <w:r w:rsidR="00E41B1D" w:rsidRPr="00C5280D">
      <w:rPr>
        <w:rStyle w:val="PageNumber"/>
        <w:lang w:val="en-US"/>
      </w:rPr>
      <w:fldChar w:fldCharType="separate"/>
    </w:r>
    <w:r w:rsidR="006901BC">
      <w:rPr>
        <w:rStyle w:val="PageNumber"/>
        <w:noProof/>
        <w:lang w:val="en-US"/>
      </w:rPr>
      <w:t>29</w:t>
    </w:r>
    <w:r w:rsidR="00E41B1D" w:rsidRPr="00C5280D">
      <w:rPr>
        <w:rStyle w:val="PageNumber"/>
        <w:lang w:val="en-US"/>
      </w:rPr>
      <w:fldChar w:fldCharType="end"/>
    </w:r>
  </w:p>
  <w:p w:rsidR="004A5333" w:rsidRPr="00C5280D" w:rsidRDefault="004A5333" w:rsidP="00A14D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33" w:rsidRPr="002F09F3" w:rsidRDefault="004A5333" w:rsidP="00A14D8B">
    <w:pPr>
      <w:pStyle w:val="Header"/>
      <w:rPr>
        <w:lang w:val="en-US"/>
      </w:rPr>
    </w:pPr>
    <w:r w:rsidRPr="002F09F3">
      <w:rPr>
        <w:lang w:val="en-US"/>
      </w:rPr>
      <w:t>C/48/4</w:t>
    </w:r>
  </w:p>
  <w:p w:rsidR="004A5333" w:rsidRPr="002F09F3" w:rsidRDefault="004A5333" w:rsidP="00A14D8B">
    <w:pPr>
      <w:pStyle w:val="Header"/>
      <w:rPr>
        <w:noProof/>
        <w:lang w:val="en-US"/>
      </w:rPr>
    </w:pPr>
    <w:r>
      <w:rPr>
        <w:lang w:val="en-US"/>
      </w:rPr>
      <w:t>Annex,</w:t>
    </w:r>
    <w:r w:rsidRPr="002F09F3">
      <w:rPr>
        <w:lang w:val="en-US"/>
      </w:rPr>
      <w:t xml:space="preserve"> page </w:t>
    </w:r>
    <w:r w:rsidR="00E41B1D" w:rsidRPr="002F09F3">
      <w:rPr>
        <w:lang w:val="en-US"/>
      </w:rPr>
      <w:fldChar w:fldCharType="begin"/>
    </w:r>
    <w:r w:rsidRPr="002F09F3">
      <w:rPr>
        <w:lang w:val="en-US"/>
      </w:rPr>
      <w:instrText xml:space="preserve"> PAGE   \* MERGEFORMAT </w:instrText>
    </w:r>
    <w:r w:rsidR="00E41B1D" w:rsidRPr="002F09F3">
      <w:rPr>
        <w:lang w:val="en-US"/>
      </w:rPr>
      <w:fldChar w:fldCharType="separate"/>
    </w:r>
    <w:r w:rsidR="006901BC">
      <w:rPr>
        <w:noProof/>
        <w:lang w:val="en-US"/>
      </w:rPr>
      <w:t>29</w:t>
    </w:r>
    <w:r w:rsidR="00E41B1D" w:rsidRPr="002F09F3">
      <w:rPr>
        <w:noProof/>
        <w:lang w:val="en-US"/>
      </w:rPr>
      <w:fldChar w:fldCharType="end"/>
    </w:r>
  </w:p>
  <w:p w:rsidR="004A5333" w:rsidRPr="002F09F3" w:rsidRDefault="004A5333" w:rsidP="00A14D8B">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33" w:rsidRDefault="004A5333" w:rsidP="00A14D8B">
    <w:pPr>
      <w:pStyle w:val="Header"/>
      <w:rPr>
        <w:lang w:val="en-US"/>
      </w:rPr>
    </w:pPr>
    <w:r>
      <w:rPr>
        <w:lang w:val="en-US"/>
      </w:rPr>
      <w:t>C48/4</w:t>
    </w:r>
  </w:p>
  <w:p w:rsidR="004A5333" w:rsidRDefault="004A5333" w:rsidP="00A14D8B">
    <w:pPr>
      <w:pStyle w:val="Header"/>
      <w:rPr>
        <w:lang w:val="en-US"/>
      </w:rPr>
    </w:pPr>
  </w:p>
  <w:p w:rsidR="004A5333" w:rsidRDefault="004A5333" w:rsidP="00A14D8B">
    <w:pPr>
      <w:pStyle w:val="Header"/>
      <w:rPr>
        <w:lang w:val="en-US"/>
      </w:rPr>
    </w:pPr>
    <w:r>
      <w:rPr>
        <w:lang w:val="en-US"/>
      </w:rPr>
      <w:t>ANEXO</w:t>
    </w:r>
  </w:p>
  <w:p w:rsidR="004A5333" w:rsidRDefault="004A5333" w:rsidP="00A14D8B">
    <w:pPr>
      <w:pStyle w:val="Header"/>
      <w:rPr>
        <w:lang w:val="en-US"/>
      </w:rPr>
    </w:pPr>
  </w:p>
  <w:p w:rsidR="004A5333" w:rsidRDefault="004A5333" w:rsidP="00A14D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33" w:rsidRPr="008D3729" w:rsidRDefault="004A5333" w:rsidP="00EB048E">
    <w:pPr>
      <w:pStyle w:val="Header"/>
      <w:rPr>
        <w:rStyle w:val="PageNumber"/>
        <w:lang w:val="es-ES_tradnl"/>
      </w:rPr>
    </w:pPr>
    <w:r>
      <w:rPr>
        <w:rStyle w:val="PageNumber"/>
        <w:lang w:val="es-ES_tradnl"/>
      </w:rPr>
      <w:t>C/48/4</w:t>
    </w:r>
  </w:p>
  <w:p w:rsidR="004A5333" w:rsidRPr="008D3729" w:rsidRDefault="004A5333" w:rsidP="00EB048E">
    <w:pPr>
      <w:pStyle w:val="Header"/>
      <w:rPr>
        <w:lang w:val="es-ES_tradnl"/>
      </w:rPr>
    </w:pPr>
    <w:r>
      <w:rPr>
        <w:lang w:val="es-ES_tradnl"/>
      </w:rPr>
      <w:t xml:space="preserve">Anexo, </w:t>
    </w:r>
    <w:r w:rsidRPr="008D3729">
      <w:rPr>
        <w:lang w:val="es-ES_tradnl"/>
      </w:rPr>
      <w:t xml:space="preserve">página </w:t>
    </w:r>
    <w:r w:rsidR="00E41B1D" w:rsidRPr="008D3729">
      <w:rPr>
        <w:rStyle w:val="PageNumber"/>
        <w:lang w:val="es-ES_tradnl"/>
      </w:rPr>
      <w:fldChar w:fldCharType="begin"/>
    </w:r>
    <w:r w:rsidRPr="008D3729">
      <w:rPr>
        <w:rStyle w:val="PageNumber"/>
        <w:lang w:val="es-ES_tradnl"/>
      </w:rPr>
      <w:instrText xml:space="preserve"> PAGE </w:instrText>
    </w:r>
    <w:r w:rsidR="00E41B1D" w:rsidRPr="008D3729">
      <w:rPr>
        <w:rStyle w:val="PageNumber"/>
        <w:lang w:val="es-ES_tradnl"/>
      </w:rPr>
      <w:fldChar w:fldCharType="separate"/>
    </w:r>
    <w:r w:rsidR="006901BC">
      <w:rPr>
        <w:rStyle w:val="PageNumber"/>
        <w:noProof/>
        <w:lang w:val="es-ES_tradnl"/>
      </w:rPr>
      <w:t>3</w:t>
    </w:r>
    <w:r w:rsidR="00E41B1D" w:rsidRPr="008D3729">
      <w:rPr>
        <w:rStyle w:val="PageNumber"/>
        <w:lang w:val="es-ES_tradnl"/>
      </w:rPr>
      <w:fldChar w:fldCharType="end"/>
    </w:r>
  </w:p>
  <w:p w:rsidR="004A5333" w:rsidRPr="008D3729" w:rsidRDefault="004A5333" w:rsidP="00F45372">
    <w:pP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33" w:rsidRDefault="004A5333" w:rsidP="00A14D8B">
    <w:pPr>
      <w:pStyle w:val="Header"/>
      <w:rPr>
        <w:lang w:val="en-US"/>
      </w:rPr>
    </w:pPr>
    <w:r>
      <w:rPr>
        <w:lang w:val="en-US"/>
      </w:rPr>
      <w:t>C48/4</w:t>
    </w:r>
  </w:p>
  <w:p w:rsidR="004A5333" w:rsidRPr="008D3729" w:rsidRDefault="004A5333" w:rsidP="006F451C">
    <w:pPr>
      <w:pStyle w:val="Header"/>
      <w:rPr>
        <w:lang w:val="es-ES_tradnl"/>
      </w:rPr>
    </w:pPr>
    <w:proofErr w:type="spellStart"/>
    <w:r>
      <w:rPr>
        <w:lang w:val="en-US"/>
      </w:rPr>
      <w:t>Anexo</w:t>
    </w:r>
    <w:proofErr w:type="spellEnd"/>
    <w:r>
      <w:rPr>
        <w:lang w:val="en-US"/>
      </w:rPr>
      <w:t xml:space="preserve">, </w:t>
    </w:r>
    <w:proofErr w:type="spellStart"/>
    <w:r>
      <w:rPr>
        <w:lang w:val="en-US"/>
      </w:rPr>
      <w:t>página</w:t>
    </w:r>
    <w:proofErr w:type="spellEnd"/>
    <w:r w:rsidRPr="008D3729">
      <w:rPr>
        <w:lang w:val="es-ES_tradnl"/>
      </w:rPr>
      <w:t xml:space="preserve"> </w:t>
    </w:r>
    <w:r w:rsidR="00E41B1D" w:rsidRPr="008D3729">
      <w:rPr>
        <w:rStyle w:val="PageNumber"/>
        <w:lang w:val="es-ES_tradnl"/>
      </w:rPr>
      <w:fldChar w:fldCharType="begin"/>
    </w:r>
    <w:r w:rsidRPr="008D3729">
      <w:rPr>
        <w:rStyle w:val="PageNumber"/>
        <w:lang w:val="es-ES_tradnl"/>
      </w:rPr>
      <w:instrText xml:space="preserve"> PAGE </w:instrText>
    </w:r>
    <w:r w:rsidR="00E41B1D" w:rsidRPr="008D3729">
      <w:rPr>
        <w:rStyle w:val="PageNumber"/>
        <w:lang w:val="es-ES_tradnl"/>
      </w:rPr>
      <w:fldChar w:fldCharType="separate"/>
    </w:r>
    <w:r w:rsidR="006901BC">
      <w:rPr>
        <w:rStyle w:val="PageNumber"/>
        <w:noProof/>
        <w:lang w:val="es-ES_tradnl"/>
      </w:rPr>
      <w:t>2</w:t>
    </w:r>
    <w:r w:rsidR="00E41B1D" w:rsidRPr="008D3729">
      <w:rPr>
        <w:rStyle w:val="PageNumber"/>
        <w:lang w:val="es-ES_tradnl"/>
      </w:rPr>
      <w:fldChar w:fldCharType="end"/>
    </w:r>
  </w:p>
  <w:p w:rsidR="004A5333" w:rsidRDefault="004A5333" w:rsidP="00A14D8B">
    <w:pPr>
      <w:pStyle w:val="Header"/>
      <w:rPr>
        <w:lang w:val="en-US"/>
      </w:rPr>
    </w:pPr>
  </w:p>
  <w:p w:rsidR="004A5333" w:rsidRDefault="004A5333" w:rsidP="00A14D8B">
    <w:pPr>
      <w:pStyle w:val="Header"/>
      <w:rPr>
        <w:lang w:val="en-US"/>
      </w:rPr>
    </w:pPr>
  </w:p>
  <w:p w:rsidR="004A5333" w:rsidRDefault="004A5333" w:rsidP="00A14D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AB716"/>
    <w:multiLevelType w:val="hybridMultilevel"/>
    <w:tmpl w:val="8CC2B6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1AF44564"/>
    <w:lvl w:ilvl="0">
      <w:start w:val="1"/>
      <w:numFmt w:val="decimal"/>
      <w:lvlText w:val="%1."/>
      <w:lvlJc w:val="left"/>
      <w:pPr>
        <w:tabs>
          <w:tab w:val="num" w:pos="1492"/>
        </w:tabs>
        <w:ind w:left="1492" w:hanging="360"/>
      </w:pPr>
    </w:lvl>
  </w:abstractNum>
  <w:abstractNum w:abstractNumId="2">
    <w:nsid w:val="FFFFFF7D"/>
    <w:multiLevelType w:val="singleLevel"/>
    <w:tmpl w:val="0A98E094"/>
    <w:lvl w:ilvl="0">
      <w:start w:val="1"/>
      <w:numFmt w:val="decimal"/>
      <w:lvlText w:val="%1."/>
      <w:lvlJc w:val="left"/>
      <w:pPr>
        <w:tabs>
          <w:tab w:val="num" w:pos="1209"/>
        </w:tabs>
        <w:ind w:left="1209" w:hanging="360"/>
      </w:pPr>
    </w:lvl>
  </w:abstractNum>
  <w:abstractNum w:abstractNumId="3">
    <w:nsid w:val="FFFFFF7E"/>
    <w:multiLevelType w:val="singleLevel"/>
    <w:tmpl w:val="8174A276"/>
    <w:lvl w:ilvl="0">
      <w:start w:val="1"/>
      <w:numFmt w:val="decimal"/>
      <w:lvlText w:val="%1."/>
      <w:lvlJc w:val="left"/>
      <w:pPr>
        <w:tabs>
          <w:tab w:val="num" w:pos="926"/>
        </w:tabs>
        <w:ind w:left="926" w:hanging="360"/>
      </w:pPr>
    </w:lvl>
  </w:abstractNum>
  <w:abstractNum w:abstractNumId="4">
    <w:nsid w:val="FFFFFF7F"/>
    <w:multiLevelType w:val="singleLevel"/>
    <w:tmpl w:val="8A2AD4F8"/>
    <w:lvl w:ilvl="0">
      <w:start w:val="1"/>
      <w:numFmt w:val="decimal"/>
      <w:lvlText w:val="%1."/>
      <w:lvlJc w:val="left"/>
      <w:pPr>
        <w:tabs>
          <w:tab w:val="num" w:pos="643"/>
        </w:tabs>
        <w:ind w:left="643" w:hanging="360"/>
      </w:pPr>
    </w:lvl>
  </w:abstractNum>
  <w:abstractNum w:abstractNumId="5">
    <w:nsid w:val="FFFFFF80"/>
    <w:multiLevelType w:val="singleLevel"/>
    <w:tmpl w:val="1428A47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78A2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546FB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528D6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2B6CE8C"/>
    <w:lvl w:ilvl="0">
      <w:start w:val="1"/>
      <w:numFmt w:val="decimal"/>
      <w:lvlText w:val="%1."/>
      <w:lvlJc w:val="left"/>
      <w:pPr>
        <w:tabs>
          <w:tab w:val="num" w:pos="360"/>
        </w:tabs>
        <w:ind w:left="360" w:hanging="360"/>
      </w:pPr>
    </w:lvl>
  </w:abstractNum>
  <w:abstractNum w:abstractNumId="10">
    <w:nsid w:val="FFFFFF89"/>
    <w:multiLevelType w:val="singleLevel"/>
    <w:tmpl w:val="AD5EA10E"/>
    <w:lvl w:ilvl="0">
      <w:start w:val="1"/>
      <w:numFmt w:val="bullet"/>
      <w:lvlText w:val=""/>
      <w:lvlJc w:val="left"/>
      <w:pPr>
        <w:tabs>
          <w:tab w:val="num" w:pos="360"/>
        </w:tabs>
        <w:ind w:left="360" w:hanging="360"/>
      </w:pPr>
      <w:rPr>
        <w:rFonts w:ascii="Symbol" w:hAnsi="Symbol" w:hint="default"/>
      </w:rPr>
    </w:lvl>
  </w:abstractNum>
  <w:abstractNum w:abstractNumId="11">
    <w:nsid w:val="0322D4D5"/>
    <w:multiLevelType w:val="singleLevel"/>
    <w:tmpl w:val="71D275D6"/>
    <w:lvl w:ilvl="0">
      <w:start w:val="16"/>
      <w:numFmt w:val="decimal"/>
      <w:lvlText w:val="%1."/>
      <w:lvlJc w:val="left"/>
      <w:pPr>
        <w:tabs>
          <w:tab w:val="num" w:pos="504"/>
        </w:tabs>
        <w:ind w:left="504" w:hanging="504"/>
      </w:pPr>
      <w:rPr>
        <w:rFonts w:cs="Times New Roman"/>
        <w:snapToGrid/>
        <w:spacing w:val="4"/>
        <w:sz w:val="22"/>
        <w:szCs w:val="22"/>
      </w:rPr>
    </w:lvl>
  </w:abstractNum>
  <w:abstractNum w:abstractNumId="12">
    <w:nsid w:val="0406210A"/>
    <w:multiLevelType w:val="singleLevel"/>
    <w:tmpl w:val="1CF2E3BA"/>
    <w:lvl w:ilvl="0">
      <w:start w:val="12"/>
      <w:numFmt w:val="decimal"/>
      <w:lvlText w:val="%1."/>
      <w:lvlJc w:val="left"/>
      <w:pPr>
        <w:tabs>
          <w:tab w:val="num" w:pos="576"/>
        </w:tabs>
        <w:ind w:left="576" w:hanging="576"/>
      </w:pPr>
      <w:rPr>
        <w:rFonts w:cs="Times New Roman"/>
        <w:snapToGrid/>
        <w:sz w:val="22"/>
        <w:szCs w:val="22"/>
      </w:rPr>
    </w:lvl>
  </w:abstractNum>
  <w:abstractNum w:abstractNumId="13">
    <w:nsid w:val="04E7704C"/>
    <w:multiLevelType w:val="singleLevel"/>
    <w:tmpl w:val="3CC816F0"/>
    <w:lvl w:ilvl="0">
      <w:start w:val="9"/>
      <w:numFmt w:val="decimal"/>
      <w:lvlText w:val="%1."/>
      <w:lvlJc w:val="left"/>
      <w:pPr>
        <w:tabs>
          <w:tab w:val="num" w:pos="648"/>
        </w:tabs>
        <w:ind w:left="864" w:hanging="648"/>
      </w:pPr>
      <w:rPr>
        <w:rFonts w:cs="Times New Roman"/>
        <w:snapToGrid/>
        <w:spacing w:val="4"/>
        <w:sz w:val="22"/>
        <w:szCs w:val="22"/>
      </w:rPr>
    </w:lvl>
  </w:abstractNum>
  <w:abstractNum w:abstractNumId="14">
    <w:nsid w:val="064AA93B"/>
    <w:multiLevelType w:val="singleLevel"/>
    <w:tmpl w:val="4AAE3083"/>
    <w:lvl w:ilvl="0">
      <w:start w:val="22"/>
      <w:numFmt w:val="decimal"/>
      <w:lvlText w:val="%1."/>
      <w:lvlJc w:val="left"/>
      <w:pPr>
        <w:tabs>
          <w:tab w:val="num" w:pos="576"/>
        </w:tabs>
        <w:ind w:left="720" w:hanging="576"/>
      </w:pPr>
      <w:rPr>
        <w:rFonts w:cs="Times New Roman"/>
        <w:snapToGrid/>
        <w:spacing w:val="4"/>
        <w:sz w:val="22"/>
        <w:szCs w:val="22"/>
      </w:rPr>
    </w:lvl>
  </w:abstractNum>
  <w:abstractNum w:abstractNumId="15">
    <w:nsid w:val="06EDDC85"/>
    <w:multiLevelType w:val="singleLevel"/>
    <w:tmpl w:val="17E10399"/>
    <w:lvl w:ilvl="0">
      <w:start w:val="1"/>
      <w:numFmt w:val="decimal"/>
      <w:lvlText w:val="%1."/>
      <w:lvlJc w:val="left"/>
      <w:pPr>
        <w:tabs>
          <w:tab w:val="num" w:pos="576"/>
        </w:tabs>
        <w:ind w:left="792" w:hanging="576"/>
      </w:pPr>
      <w:rPr>
        <w:rFonts w:cs="Times New Roman"/>
        <w:snapToGrid/>
        <w:spacing w:val="4"/>
        <w:sz w:val="22"/>
        <w:szCs w:val="22"/>
      </w:rPr>
    </w:lvl>
  </w:abstractNum>
  <w:abstractNum w:abstractNumId="16">
    <w:nsid w:val="14B46568"/>
    <w:multiLevelType w:val="multilevel"/>
    <w:tmpl w:val="774864BE"/>
    <w:lvl w:ilvl="0">
      <w:start w:val="1"/>
      <w:numFmt w:val="bullet"/>
      <w:pStyle w:val="StyleStyle1Left163cmFirstline0cm"/>
      <w:lvlText w:val=""/>
      <w:lvlJc w:val="left"/>
      <w:pPr>
        <w:tabs>
          <w:tab w:val="num" w:pos="1134"/>
        </w:tabs>
        <w:ind w:left="1134" w:hanging="510"/>
      </w:pPr>
      <w:rPr>
        <w:rFonts w:ascii="Symbol" w:hAnsi="Symbol"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bullet"/>
      <w:lvlText w:val="-"/>
      <w:lvlJc w:val="left"/>
      <w:pPr>
        <w:tabs>
          <w:tab w:val="num" w:pos="1758"/>
        </w:tabs>
        <w:ind w:left="624" w:firstLine="567"/>
      </w:pPr>
      <w:rPr>
        <w:rFonts w:ascii="Symbol" w:hAnsi="Symbol" w:hint="default"/>
      </w:rPr>
    </w:lvl>
    <w:lvl w:ilvl="2">
      <w:start w:val="1"/>
      <w:numFmt w:val="bullet"/>
      <w:lvlText w:val="-"/>
      <w:lvlJc w:val="left"/>
      <w:pPr>
        <w:tabs>
          <w:tab w:val="num" w:pos="2325"/>
        </w:tabs>
        <w:ind w:left="624" w:firstLine="1134"/>
      </w:pPr>
      <w:rPr>
        <w:rFonts w:ascii="Symbol" w:hAnsi="Symbol" w:hint="default"/>
      </w:rPr>
    </w:lvl>
    <w:lvl w:ilvl="3">
      <w:start w:val="1"/>
      <w:numFmt w:val="bullet"/>
      <w:lvlText w:val="-"/>
      <w:lvlJc w:val="left"/>
      <w:pPr>
        <w:tabs>
          <w:tab w:val="num" w:pos="2892"/>
        </w:tabs>
        <w:ind w:left="624" w:firstLine="1701"/>
      </w:pPr>
      <w:rPr>
        <w:rFonts w:ascii="Symbol" w:hAnsi="Symbol" w:hint="default"/>
      </w:rPr>
    </w:lvl>
    <w:lvl w:ilvl="4">
      <w:start w:val="1"/>
      <w:numFmt w:val="bullet"/>
      <w:lvlText w:val="-"/>
      <w:lvlJc w:val="left"/>
      <w:pPr>
        <w:tabs>
          <w:tab w:val="num" w:pos="3459"/>
        </w:tabs>
        <w:ind w:left="624" w:firstLine="2268"/>
      </w:pPr>
      <w:rPr>
        <w:rFonts w:ascii="Symbol" w:hAnsi="Symbol" w:hint="default"/>
      </w:rPr>
    </w:lvl>
    <w:lvl w:ilvl="5">
      <w:start w:val="1"/>
      <w:numFmt w:val="bullet"/>
      <w:lvlText w:val="-"/>
      <w:lvlJc w:val="left"/>
      <w:pPr>
        <w:tabs>
          <w:tab w:val="num" w:pos="4026"/>
        </w:tabs>
        <w:ind w:left="624" w:firstLine="2835"/>
      </w:pPr>
      <w:rPr>
        <w:rFonts w:ascii="Symbol" w:hAnsi="Symbol" w:hint="default"/>
      </w:rPr>
    </w:lvl>
    <w:lvl w:ilvl="6">
      <w:start w:val="1"/>
      <w:numFmt w:val="bullet"/>
      <w:lvlText w:val="-"/>
      <w:lvlJc w:val="left"/>
      <w:pPr>
        <w:tabs>
          <w:tab w:val="num" w:pos="4593"/>
        </w:tabs>
        <w:ind w:left="624" w:firstLine="3402"/>
      </w:pPr>
      <w:rPr>
        <w:rFonts w:ascii="Symbol" w:hAnsi="Symbol" w:hint="default"/>
      </w:rPr>
    </w:lvl>
    <w:lvl w:ilvl="7">
      <w:start w:val="1"/>
      <w:numFmt w:val="bullet"/>
      <w:lvlText w:val="-"/>
      <w:lvlJc w:val="left"/>
      <w:pPr>
        <w:tabs>
          <w:tab w:val="num" w:pos="5159"/>
        </w:tabs>
        <w:ind w:left="624" w:firstLine="3969"/>
      </w:pPr>
      <w:rPr>
        <w:rFonts w:ascii="Symbol" w:hAnsi="Symbol" w:hint="default"/>
      </w:rPr>
    </w:lvl>
    <w:lvl w:ilvl="8">
      <w:start w:val="1"/>
      <w:numFmt w:val="bullet"/>
      <w:lvlText w:val="-"/>
      <w:lvlJc w:val="left"/>
      <w:pPr>
        <w:tabs>
          <w:tab w:val="num" w:pos="5726"/>
        </w:tabs>
        <w:ind w:left="624" w:firstLine="4535"/>
      </w:pPr>
      <w:rPr>
        <w:rFonts w:ascii="Symbol" w:hAnsi="Symbol" w:hint="default"/>
      </w:rPr>
    </w:lvl>
  </w:abstractNum>
  <w:abstractNum w:abstractNumId="17">
    <w:nsid w:val="3D0B1E30"/>
    <w:multiLevelType w:val="multilevel"/>
    <w:tmpl w:val="3924904E"/>
    <w:lvl w:ilvl="0">
      <w:start w:val="1"/>
      <w:numFmt w:val="none"/>
      <w:lvlText w:val=""/>
      <w:legacy w:legacy="1" w:legacySpace="120" w:legacyIndent="360"/>
      <w:lvlJc w:val="left"/>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4C7B488B"/>
    <w:multiLevelType w:val="hybridMultilevel"/>
    <w:tmpl w:val="41D6134A"/>
    <w:lvl w:ilvl="0" w:tplc="D9D8C64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6C45B33"/>
    <w:multiLevelType w:val="hybridMultilevel"/>
    <w:tmpl w:val="5002AB08"/>
    <w:lvl w:ilvl="0" w:tplc="72D00A28">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6"/>
  </w:num>
  <w:num w:numId="3">
    <w:abstractNumId w:val="15"/>
  </w:num>
  <w:num w:numId="4">
    <w:abstractNumId w:val="15"/>
    <w:lvlOverride w:ilvl="0">
      <w:lvl w:ilvl="0">
        <w:numFmt w:val="decimal"/>
        <w:lvlText w:val="%1."/>
        <w:lvlJc w:val="left"/>
        <w:pPr>
          <w:tabs>
            <w:tab w:val="num" w:pos="648"/>
          </w:tabs>
          <w:ind w:left="864" w:hanging="648"/>
        </w:pPr>
        <w:rPr>
          <w:rFonts w:cs="Times New Roman"/>
          <w:snapToGrid/>
          <w:sz w:val="22"/>
          <w:szCs w:val="22"/>
        </w:rPr>
      </w:lvl>
    </w:lvlOverride>
  </w:num>
  <w:num w:numId="5">
    <w:abstractNumId w:val="13"/>
  </w:num>
  <w:num w:numId="6">
    <w:abstractNumId w:val="13"/>
    <w:lvlOverride w:ilvl="0">
      <w:lvl w:ilvl="0">
        <w:numFmt w:val="decimal"/>
        <w:lvlText w:val="%1."/>
        <w:lvlJc w:val="left"/>
        <w:pPr>
          <w:tabs>
            <w:tab w:val="num" w:pos="576"/>
          </w:tabs>
          <w:ind w:left="792" w:hanging="576"/>
        </w:pPr>
        <w:rPr>
          <w:rFonts w:cs="Times New Roman"/>
          <w:snapToGrid/>
          <w:spacing w:val="4"/>
          <w:sz w:val="22"/>
          <w:szCs w:val="22"/>
        </w:rPr>
      </w:lvl>
    </w:lvlOverride>
  </w:num>
  <w:num w:numId="7">
    <w:abstractNumId w:val="12"/>
  </w:num>
  <w:num w:numId="8">
    <w:abstractNumId w:val="12"/>
    <w:lvlOverride w:ilvl="0">
      <w:lvl w:ilvl="0">
        <w:numFmt w:val="decimal"/>
        <w:lvlText w:val="%1."/>
        <w:lvlJc w:val="left"/>
        <w:pPr>
          <w:tabs>
            <w:tab w:val="num" w:pos="504"/>
          </w:tabs>
          <w:ind w:left="504" w:hanging="504"/>
        </w:pPr>
        <w:rPr>
          <w:rFonts w:cs="Times New Roman"/>
          <w:snapToGrid/>
          <w:spacing w:val="4"/>
          <w:sz w:val="22"/>
          <w:szCs w:val="22"/>
        </w:rPr>
      </w:lvl>
    </w:lvlOverride>
  </w:num>
  <w:num w:numId="9">
    <w:abstractNumId w:val="11"/>
  </w:num>
  <w:num w:numId="10">
    <w:abstractNumId w:val="1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9"/>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98"/>
    <w:rsid w:val="00001EB8"/>
    <w:rsid w:val="0000571E"/>
    <w:rsid w:val="00010CF3"/>
    <w:rsid w:val="00011E27"/>
    <w:rsid w:val="000148BC"/>
    <w:rsid w:val="00020D28"/>
    <w:rsid w:val="00024AB8"/>
    <w:rsid w:val="00030854"/>
    <w:rsid w:val="00035B8B"/>
    <w:rsid w:val="00036028"/>
    <w:rsid w:val="00044642"/>
    <w:rsid w:val="000446B9"/>
    <w:rsid w:val="0004779E"/>
    <w:rsid w:val="00047E21"/>
    <w:rsid w:val="0007572A"/>
    <w:rsid w:val="00085505"/>
    <w:rsid w:val="0008624C"/>
    <w:rsid w:val="000A1BE2"/>
    <w:rsid w:val="000C244A"/>
    <w:rsid w:val="000C7021"/>
    <w:rsid w:val="000D6BBC"/>
    <w:rsid w:val="000D7780"/>
    <w:rsid w:val="00105929"/>
    <w:rsid w:val="001131D5"/>
    <w:rsid w:val="001313BA"/>
    <w:rsid w:val="00136389"/>
    <w:rsid w:val="00141DB8"/>
    <w:rsid w:val="00142198"/>
    <w:rsid w:val="0017474A"/>
    <w:rsid w:val="001758C6"/>
    <w:rsid w:val="001800EB"/>
    <w:rsid w:val="001C5971"/>
    <w:rsid w:val="001D518E"/>
    <w:rsid w:val="001D6C32"/>
    <w:rsid w:val="001D7083"/>
    <w:rsid w:val="001F7DBD"/>
    <w:rsid w:val="002026F7"/>
    <w:rsid w:val="0021332C"/>
    <w:rsid w:val="00213982"/>
    <w:rsid w:val="002264D1"/>
    <w:rsid w:val="0023200F"/>
    <w:rsid w:val="00235267"/>
    <w:rsid w:val="0024416D"/>
    <w:rsid w:val="0026007A"/>
    <w:rsid w:val="00264A36"/>
    <w:rsid w:val="00266E18"/>
    <w:rsid w:val="002800A0"/>
    <w:rsid w:val="002801B3"/>
    <w:rsid w:val="00281060"/>
    <w:rsid w:val="002910EF"/>
    <w:rsid w:val="002940E8"/>
    <w:rsid w:val="002A6E50"/>
    <w:rsid w:val="002B1270"/>
    <w:rsid w:val="002B4C12"/>
    <w:rsid w:val="002C256A"/>
    <w:rsid w:val="002E41CB"/>
    <w:rsid w:val="002F1812"/>
    <w:rsid w:val="00305A7F"/>
    <w:rsid w:val="00313F5D"/>
    <w:rsid w:val="003152FE"/>
    <w:rsid w:val="00320AE8"/>
    <w:rsid w:val="00327436"/>
    <w:rsid w:val="00344BD6"/>
    <w:rsid w:val="0035528D"/>
    <w:rsid w:val="00361821"/>
    <w:rsid w:val="00370631"/>
    <w:rsid w:val="00373109"/>
    <w:rsid w:val="003813C0"/>
    <w:rsid w:val="00393D15"/>
    <w:rsid w:val="003C31D3"/>
    <w:rsid w:val="003C3DF3"/>
    <w:rsid w:val="003D227C"/>
    <w:rsid w:val="003D2B4D"/>
    <w:rsid w:val="003D7E71"/>
    <w:rsid w:val="003E7998"/>
    <w:rsid w:val="003F0654"/>
    <w:rsid w:val="003F76F6"/>
    <w:rsid w:val="00406C5C"/>
    <w:rsid w:val="00423BB4"/>
    <w:rsid w:val="00435487"/>
    <w:rsid w:val="00442921"/>
    <w:rsid w:val="00444A88"/>
    <w:rsid w:val="00474DA4"/>
    <w:rsid w:val="00497973"/>
    <w:rsid w:val="004A5333"/>
    <w:rsid w:val="004C4380"/>
    <w:rsid w:val="004D047D"/>
    <w:rsid w:val="004F305A"/>
    <w:rsid w:val="00512164"/>
    <w:rsid w:val="00520297"/>
    <w:rsid w:val="00525078"/>
    <w:rsid w:val="005338F9"/>
    <w:rsid w:val="005371C5"/>
    <w:rsid w:val="0054281C"/>
    <w:rsid w:val="00545C22"/>
    <w:rsid w:val="0055268D"/>
    <w:rsid w:val="00576BE4"/>
    <w:rsid w:val="00576BF0"/>
    <w:rsid w:val="005A2612"/>
    <w:rsid w:val="005A400A"/>
    <w:rsid w:val="005B515D"/>
    <w:rsid w:val="005B54E4"/>
    <w:rsid w:val="00612379"/>
    <w:rsid w:val="0061555F"/>
    <w:rsid w:val="00641200"/>
    <w:rsid w:val="00673DBF"/>
    <w:rsid w:val="006741C2"/>
    <w:rsid w:val="00687EB4"/>
    <w:rsid w:val="006901BC"/>
    <w:rsid w:val="006A59FA"/>
    <w:rsid w:val="006B17D2"/>
    <w:rsid w:val="006C1F7C"/>
    <w:rsid w:val="006C224E"/>
    <w:rsid w:val="006D780A"/>
    <w:rsid w:val="006F451C"/>
    <w:rsid w:val="00721353"/>
    <w:rsid w:val="00732DEC"/>
    <w:rsid w:val="00735BD5"/>
    <w:rsid w:val="00745D66"/>
    <w:rsid w:val="007556F6"/>
    <w:rsid w:val="00760EEF"/>
    <w:rsid w:val="00766512"/>
    <w:rsid w:val="00777EE5"/>
    <w:rsid w:val="00784836"/>
    <w:rsid w:val="0079023E"/>
    <w:rsid w:val="007A2854"/>
    <w:rsid w:val="007D0B9D"/>
    <w:rsid w:val="007D19B0"/>
    <w:rsid w:val="007D5520"/>
    <w:rsid w:val="007D6683"/>
    <w:rsid w:val="007F498F"/>
    <w:rsid w:val="0080679D"/>
    <w:rsid w:val="008108B0"/>
    <w:rsid w:val="00811B20"/>
    <w:rsid w:val="00812486"/>
    <w:rsid w:val="0082296E"/>
    <w:rsid w:val="00824099"/>
    <w:rsid w:val="00867AC1"/>
    <w:rsid w:val="0088551E"/>
    <w:rsid w:val="008A1698"/>
    <w:rsid w:val="008A2181"/>
    <w:rsid w:val="008A743F"/>
    <w:rsid w:val="008C0970"/>
    <w:rsid w:val="008C7C35"/>
    <w:rsid w:val="008D2CF7"/>
    <w:rsid w:val="008D3729"/>
    <w:rsid w:val="008D6B35"/>
    <w:rsid w:val="00900C26"/>
    <w:rsid w:val="0090197F"/>
    <w:rsid w:val="00906DDC"/>
    <w:rsid w:val="00934E09"/>
    <w:rsid w:val="00936253"/>
    <w:rsid w:val="0095107F"/>
    <w:rsid w:val="00952DD4"/>
    <w:rsid w:val="009545A7"/>
    <w:rsid w:val="00970FED"/>
    <w:rsid w:val="009768C1"/>
    <w:rsid w:val="00997029"/>
    <w:rsid w:val="009A2053"/>
    <w:rsid w:val="009D690D"/>
    <w:rsid w:val="009E65B6"/>
    <w:rsid w:val="009F00DB"/>
    <w:rsid w:val="00A01004"/>
    <w:rsid w:val="00A14D8B"/>
    <w:rsid w:val="00A30220"/>
    <w:rsid w:val="00A30B4A"/>
    <w:rsid w:val="00A42AC3"/>
    <w:rsid w:val="00A430CF"/>
    <w:rsid w:val="00A43BF2"/>
    <w:rsid w:val="00A47CDB"/>
    <w:rsid w:val="00A54309"/>
    <w:rsid w:val="00A929D4"/>
    <w:rsid w:val="00A95DDC"/>
    <w:rsid w:val="00AA1DE0"/>
    <w:rsid w:val="00AB2B93"/>
    <w:rsid w:val="00AB7E5B"/>
    <w:rsid w:val="00AE0EF1"/>
    <w:rsid w:val="00B058F2"/>
    <w:rsid w:val="00B07301"/>
    <w:rsid w:val="00B1021A"/>
    <w:rsid w:val="00B108A6"/>
    <w:rsid w:val="00B224DE"/>
    <w:rsid w:val="00B363DD"/>
    <w:rsid w:val="00B72907"/>
    <w:rsid w:val="00B72A02"/>
    <w:rsid w:val="00B82DC9"/>
    <w:rsid w:val="00B84BBD"/>
    <w:rsid w:val="00BA43FB"/>
    <w:rsid w:val="00BB030F"/>
    <w:rsid w:val="00BC127D"/>
    <w:rsid w:val="00BC1FE6"/>
    <w:rsid w:val="00C061B6"/>
    <w:rsid w:val="00C0774A"/>
    <w:rsid w:val="00C13808"/>
    <w:rsid w:val="00C2446C"/>
    <w:rsid w:val="00C270B9"/>
    <w:rsid w:val="00C36A9F"/>
    <w:rsid w:val="00C36AE5"/>
    <w:rsid w:val="00C41F17"/>
    <w:rsid w:val="00C5791C"/>
    <w:rsid w:val="00C66290"/>
    <w:rsid w:val="00C7055D"/>
    <w:rsid w:val="00C72B7A"/>
    <w:rsid w:val="00C806AD"/>
    <w:rsid w:val="00C849D1"/>
    <w:rsid w:val="00C92624"/>
    <w:rsid w:val="00C933F7"/>
    <w:rsid w:val="00C95420"/>
    <w:rsid w:val="00C973F2"/>
    <w:rsid w:val="00CA774A"/>
    <w:rsid w:val="00CC11B0"/>
    <w:rsid w:val="00CC4077"/>
    <w:rsid w:val="00CF49C1"/>
    <w:rsid w:val="00CF7E36"/>
    <w:rsid w:val="00D261C5"/>
    <w:rsid w:val="00D3708D"/>
    <w:rsid w:val="00D400E2"/>
    <w:rsid w:val="00D40426"/>
    <w:rsid w:val="00D57C96"/>
    <w:rsid w:val="00D72695"/>
    <w:rsid w:val="00D91203"/>
    <w:rsid w:val="00D95174"/>
    <w:rsid w:val="00D9770A"/>
    <w:rsid w:val="00DA4685"/>
    <w:rsid w:val="00DA6F36"/>
    <w:rsid w:val="00DB596E"/>
    <w:rsid w:val="00DC00EA"/>
    <w:rsid w:val="00DC02BB"/>
    <w:rsid w:val="00E0625C"/>
    <w:rsid w:val="00E41B1D"/>
    <w:rsid w:val="00E72D49"/>
    <w:rsid w:val="00E7593C"/>
    <w:rsid w:val="00E75ED5"/>
    <w:rsid w:val="00E7678A"/>
    <w:rsid w:val="00E80F31"/>
    <w:rsid w:val="00E935F1"/>
    <w:rsid w:val="00E94A81"/>
    <w:rsid w:val="00EA1FFB"/>
    <w:rsid w:val="00EA5245"/>
    <w:rsid w:val="00EB048E"/>
    <w:rsid w:val="00EE34DF"/>
    <w:rsid w:val="00EF2F89"/>
    <w:rsid w:val="00F00A88"/>
    <w:rsid w:val="00F1237A"/>
    <w:rsid w:val="00F22CBD"/>
    <w:rsid w:val="00F45372"/>
    <w:rsid w:val="00F52401"/>
    <w:rsid w:val="00F560F7"/>
    <w:rsid w:val="00F6334D"/>
    <w:rsid w:val="00F66E5F"/>
    <w:rsid w:val="00F7227E"/>
    <w:rsid w:val="00F73179"/>
    <w:rsid w:val="00F751EF"/>
    <w:rsid w:val="00FA49AB"/>
    <w:rsid w:val="00FC0C26"/>
    <w:rsid w:val="00FE39C7"/>
    <w:rsid w:val="00FE7B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55D"/>
    <w:pPr>
      <w:jc w:val="both"/>
    </w:pPr>
    <w:rPr>
      <w:rFonts w:ascii="Arial" w:hAnsi="Arial"/>
    </w:rPr>
  </w:style>
  <w:style w:type="paragraph" w:styleId="Heading1">
    <w:name w:val="heading 1"/>
    <w:next w:val="Normal"/>
    <w:link w:val="Heading1Char"/>
    <w:autoRedefine/>
    <w:qFormat/>
    <w:rsid w:val="0008624C"/>
    <w:pPr>
      <w:keepNext/>
      <w:jc w:val="both"/>
      <w:outlineLvl w:val="0"/>
    </w:pPr>
    <w:rPr>
      <w:rFonts w:ascii="Arial" w:hAnsi="Arial"/>
      <w:b/>
      <w:caps/>
      <w:lang w:val="es-ES"/>
    </w:rPr>
  </w:style>
  <w:style w:type="paragraph" w:styleId="Heading2">
    <w:name w:val="heading 2"/>
    <w:next w:val="Normal"/>
    <w:link w:val="Heading2Char"/>
    <w:autoRedefine/>
    <w:qFormat/>
    <w:rsid w:val="00C7055D"/>
    <w:pPr>
      <w:jc w:val="center"/>
      <w:outlineLvl w:val="1"/>
    </w:pPr>
    <w:rPr>
      <w:rFonts w:ascii="Arial Bold" w:hAnsi="Arial Bold"/>
      <w:b/>
      <w:caps/>
      <w:lang w:val="es-ES" w:eastAsia="en-GB"/>
    </w:rPr>
  </w:style>
  <w:style w:type="paragraph" w:styleId="Heading3">
    <w:name w:val="heading 3"/>
    <w:next w:val="Normal"/>
    <w:link w:val="Heading3Char"/>
    <w:autoRedefine/>
    <w:qFormat/>
    <w:rsid w:val="00035B8B"/>
    <w:pPr>
      <w:keepNext/>
      <w:jc w:val="center"/>
      <w:outlineLvl w:val="2"/>
    </w:pPr>
    <w:rPr>
      <w:rFonts w:ascii="Arial" w:eastAsiaTheme="minorHAnsi" w:hAnsi="Arial"/>
      <w:b/>
      <w:u w:val="single"/>
      <w:lang w:val="es-ES"/>
    </w:rPr>
  </w:style>
  <w:style w:type="paragraph" w:styleId="Heading4">
    <w:name w:val="heading 4"/>
    <w:next w:val="Normal"/>
    <w:link w:val="Heading4Char"/>
    <w:autoRedefine/>
    <w:qFormat/>
    <w:rsid w:val="00A14D8B"/>
    <w:pPr>
      <w:keepNext/>
      <w:ind w:left="567"/>
      <w:jc w:val="both"/>
      <w:outlineLvl w:val="3"/>
    </w:pPr>
    <w:rPr>
      <w:rFonts w:ascii="Arial" w:hAnsi="Arial"/>
      <w:i/>
      <w:color w:val="008000"/>
      <w:lang w:val="es-ES_tradnl"/>
    </w:rPr>
  </w:style>
  <w:style w:type="paragraph" w:styleId="Heading5">
    <w:name w:val="heading 5"/>
    <w:next w:val="Normal"/>
    <w:link w:val="Heading5Char"/>
    <w:autoRedefine/>
    <w:qFormat/>
    <w:rsid w:val="00C95420"/>
    <w:pPr>
      <w:keepNext/>
      <w:ind w:left="1134" w:hanging="567"/>
      <w:jc w:val="center"/>
      <w:outlineLvl w:val="4"/>
    </w:pPr>
    <w:rPr>
      <w:rFonts w:ascii="Arial" w:hAnsi="Arial"/>
      <w:sz w:val="18"/>
      <w:szCs w:val="18"/>
      <w:u w:val="single"/>
      <w:lang w:val="es-ES"/>
    </w:rPr>
  </w:style>
  <w:style w:type="paragraph" w:styleId="Heading6">
    <w:name w:val="heading 6"/>
    <w:basedOn w:val="Normal"/>
    <w:next w:val="Normal"/>
    <w:link w:val="Heading6Char"/>
    <w:qFormat/>
    <w:rsid w:val="00812486"/>
    <w:pPr>
      <w:keepNext/>
      <w:jc w:val="center"/>
      <w:outlineLvl w:val="5"/>
    </w:pPr>
    <w:rPr>
      <w:rFonts w:ascii="Times New Roman" w:hAnsi="Times New Roman"/>
      <w:sz w:val="24"/>
      <w:u w:val="single"/>
      <w:lang w:val="fr-FR"/>
    </w:rPr>
  </w:style>
  <w:style w:type="paragraph" w:styleId="Heading7">
    <w:name w:val="heading 7"/>
    <w:basedOn w:val="Normal"/>
    <w:next w:val="Normal"/>
    <w:link w:val="Heading7Char"/>
    <w:qFormat/>
    <w:rsid w:val="00812486"/>
    <w:pPr>
      <w:keepNext/>
      <w:keepLines/>
      <w:spacing w:before="200"/>
      <w:outlineLvl w:val="6"/>
    </w:pPr>
    <w:rPr>
      <w:rFonts w:ascii="Cambria" w:hAnsi="Cambria"/>
      <w:i/>
      <w:iCs/>
      <w:color w:val="404040"/>
    </w:rPr>
  </w:style>
  <w:style w:type="paragraph" w:styleId="Heading9">
    <w:name w:val="heading 9"/>
    <w:basedOn w:val="Normal"/>
    <w:next w:val="Normal"/>
    <w:link w:val="Heading9Char"/>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73179"/>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link w:val="TitleChar"/>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F73179"/>
    <w:rPr>
      <w:vertAlign w:val="superscript"/>
    </w:rPr>
  </w:style>
  <w:style w:type="paragraph" w:styleId="Closing">
    <w:name w:val="Closing"/>
    <w:basedOn w:val="Normal"/>
    <w:link w:val="ClosingChar"/>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link w:val="MacroTextChar"/>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link w:val="EndnoteTextChar"/>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link w:val="DateChar"/>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C7055D"/>
    <w:pPr>
      <w:tabs>
        <w:tab w:val="right" w:leader="dot" w:pos="9639"/>
      </w:tabs>
      <w:spacing w:before="120" w:after="120" w:line="360" w:lineRule="auto"/>
      <w:ind w:left="851" w:right="851" w:hanging="567"/>
      <w:contextualSpacing/>
    </w:pPr>
    <w:rPr>
      <w:rFonts w:ascii="Arial" w:hAnsi="Arial"/>
      <w:noProof/>
    </w:rPr>
  </w:style>
  <w:style w:type="paragraph" w:styleId="TOC3">
    <w:name w:val="toc 3"/>
    <w:next w:val="Normal"/>
    <w:autoRedefine/>
    <w:uiPriority w:val="39"/>
    <w:rsid w:val="00C7055D"/>
    <w:pPr>
      <w:tabs>
        <w:tab w:val="right" w:leader="dot" w:pos="9639"/>
      </w:tabs>
      <w:spacing w:before="120" w:after="120"/>
      <w:ind w:left="1276" w:right="851" w:hanging="992"/>
    </w:pPr>
    <w:rPr>
      <w:rFonts w:ascii="Arial" w:hAnsi="Arial"/>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semiHidden/>
    <w:rsid w:val="00C7055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C7055D"/>
    <w:pPr>
      <w:tabs>
        <w:tab w:val="right" w:leader="dot" w:pos="9639"/>
      </w:tabs>
      <w:spacing w:before="240" w:after="120" w:line="480" w:lineRule="auto"/>
      <w:ind w:left="284" w:right="284" w:hanging="284"/>
      <w:contextualSpacing/>
    </w:pPr>
    <w:rPr>
      <w:rFonts w:ascii="Arial" w:hAnsi="Arial"/>
      <w:b/>
      <w:caps/>
      <w:noProof/>
    </w:rPr>
  </w:style>
  <w:style w:type="paragraph" w:styleId="TOC5">
    <w:name w:val="toc 5"/>
    <w:next w:val="Normal"/>
    <w:autoRedefine/>
    <w:uiPriority w:val="39"/>
    <w:rsid w:val="00C7055D"/>
    <w:pPr>
      <w:tabs>
        <w:tab w:val="right" w:leader="dot" w:pos="9639"/>
      </w:tabs>
      <w:spacing w:before="120" w:after="120"/>
      <w:ind w:left="284" w:right="851"/>
      <w:jc w:val="both"/>
    </w:pPr>
    <w:rPr>
      <w:rFonts w:ascii="Arial" w:hAnsi="Arial"/>
      <w:noProof/>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6Char">
    <w:name w:val="Heading 6 Char"/>
    <w:basedOn w:val="DefaultParagraphFont"/>
    <w:link w:val="Heading6"/>
    <w:rsid w:val="00812486"/>
    <w:rPr>
      <w:sz w:val="24"/>
      <w:u w:val="single"/>
      <w:lang w:val="fr-FR"/>
    </w:rPr>
  </w:style>
  <w:style w:type="character" w:customStyle="1" w:styleId="Heading7Char">
    <w:name w:val="Heading 7 Char"/>
    <w:basedOn w:val="DefaultParagraphFont"/>
    <w:link w:val="Heading7"/>
    <w:rsid w:val="00812486"/>
    <w:rPr>
      <w:rFonts w:ascii="Cambria" w:hAnsi="Cambria"/>
      <w:i/>
      <w:iCs/>
      <w:color w:val="404040"/>
    </w:rPr>
  </w:style>
  <w:style w:type="paragraph" w:customStyle="1" w:styleId="Inf4Normal">
    <w:name w:val="Inf_4_Normal"/>
    <w:basedOn w:val="Normal"/>
    <w:rsid w:val="00812486"/>
    <w:pPr>
      <w:spacing w:before="108"/>
    </w:pPr>
  </w:style>
  <w:style w:type="paragraph" w:customStyle="1" w:styleId="Inf4Heading4">
    <w:name w:val="Inf_4_Heading_4"/>
    <w:basedOn w:val="Heading4"/>
    <w:next w:val="Normal"/>
    <w:rsid w:val="00812486"/>
    <w:pPr>
      <w:spacing w:before="120"/>
      <w:ind w:left="0"/>
    </w:pPr>
    <w:rPr>
      <w:rFonts w:ascii="Arial Bold" w:hAnsi="Arial Bold"/>
      <w:bCs/>
      <w:color w:val="FFFFFF" w:themeColor="background1"/>
      <w:sz w:val="16"/>
    </w:rPr>
  </w:style>
  <w:style w:type="paragraph" w:customStyle="1" w:styleId="Inf4Heading6">
    <w:name w:val="Inf_4_Heading_6"/>
    <w:basedOn w:val="Normal"/>
    <w:rsid w:val="00812486"/>
    <w:pPr>
      <w:keepNext/>
      <w:spacing w:before="108"/>
      <w:ind w:left="567"/>
      <w:outlineLvl w:val="5"/>
    </w:pPr>
    <w:rPr>
      <w:b/>
      <w:bCs/>
      <w:szCs w:val="24"/>
    </w:rPr>
  </w:style>
  <w:style w:type="paragraph" w:styleId="ListContinue4">
    <w:name w:val="List Continue 4"/>
    <w:basedOn w:val="Normal"/>
    <w:rsid w:val="00812486"/>
    <w:pPr>
      <w:spacing w:after="120"/>
      <w:ind w:left="1440"/>
    </w:pPr>
  </w:style>
  <w:style w:type="paragraph" w:styleId="ListParagraph">
    <w:name w:val="List Paragraph"/>
    <w:basedOn w:val="Normal"/>
    <w:uiPriority w:val="34"/>
    <w:qFormat/>
    <w:rsid w:val="00812486"/>
    <w:pPr>
      <w:ind w:left="720"/>
      <w:contextualSpacing/>
    </w:pPr>
  </w:style>
  <w:style w:type="character" w:customStyle="1" w:styleId="Heading2Char">
    <w:name w:val="Heading 2 Char"/>
    <w:link w:val="Heading2"/>
    <w:rsid w:val="00C7055D"/>
    <w:rPr>
      <w:rFonts w:ascii="Arial Bold" w:hAnsi="Arial Bold"/>
      <w:b/>
      <w:caps/>
      <w:lang w:val="es-ES" w:eastAsia="en-GB"/>
    </w:rPr>
  </w:style>
  <w:style w:type="character" w:customStyle="1" w:styleId="Heading1Char">
    <w:name w:val="Heading 1 Char"/>
    <w:link w:val="Heading1"/>
    <w:rsid w:val="0008624C"/>
    <w:rPr>
      <w:rFonts w:ascii="Arial" w:hAnsi="Arial"/>
      <w:b/>
      <w:caps/>
      <w:lang w:val="es-ES"/>
    </w:rPr>
  </w:style>
  <w:style w:type="character" w:customStyle="1" w:styleId="Heading3Char">
    <w:name w:val="Heading 3 Char"/>
    <w:link w:val="Heading3"/>
    <w:rsid w:val="00035B8B"/>
    <w:rPr>
      <w:rFonts w:ascii="Arial" w:eastAsiaTheme="minorHAnsi" w:hAnsi="Arial"/>
      <w:b/>
      <w:u w:val="single"/>
      <w:lang w:val="es-ES"/>
    </w:rPr>
  </w:style>
  <w:style w:type="character" w:customStyle="1" w:styleId="Heading4Char">
    <w:name w:val="Heading 4 Char"/>
    <w:link w:val="Heading4"/>
    <w:rsid w:val="00A14D8B"/>
    <w:rPr>
      <w:rFonts w:ascii="Arial" w:hAnsi="Arial"/>
      <w:i/>
      <w:color w:val="008000"/>
      <w:lang w:val="es-ES_tradnl"/>
    </w:rPr>
  </w:style>
  <w:style w:type="character" w:customStyle="1" w:styleId="Heading5Char">
    <w:name w:val="Heading 5 Char"/>
    <w:link w:val="Heading5"/>
    <w:rsid w:val="00C95420"/>
    <w:rPr>
      <w:rFonts w:ascii="Arial" w:hAnsi="Arial"/>
      <w:sz w:val="18"/>
      <w:szCs w:val="18"/>
      <w:u w:val="single"/>
      <w:lang w:val="es-ES"/>
    </w:rPr>
  </w:style>
  <w:style w:type="character" w:customStyle="1" w:styleId="Heading9Char">
    <w:name w:val="Heading 9 Char"/>
    <w:link w:val="Heading9"/>
    <w:rsid w:val="00812486"/>
    <w:rPr>
      <w:rFonts w:ascii="Arial" w:hAnsi="Arial"/>
      <w:i/>
      <w:sz w:val="18"/>
    </w:rPr>
  </w:style>
  <w:style w:type="character" w:customStyle="1" w:styleId="HeaderChar">
    <w:name w:val="Header Char"/>
    <w:link w:val="Header"/>
    <w:uiPriority w:val="99"/>
    <w:rsid w:val="00812486"/>
    <w:rPr>
      <w:rFonts w:ascii="Arial" w:hAnsi="Arial"/>
      <w:lang w:val="fr-FR"/>
    </w:rPr>
  </w:style>
  <w:style w:type="character" w:customStyle="1" w:styleId="FooterChar">
    <w:name w:val="Footer Char"/>
    <w:aliases w:val="doc_path_name Char"/>
    <w:link w:val="Footer"/>
    <w:uiPriority w:val="99"/>
    <w:rsid w:val="00812486"/>
    <w:rPr>
      <w:rFonts w:ascii="Arial" w:hAnsi="Arial"/>
      <w:sz w:val="14"/>
    </w:rPr>
  </w:style>
  <w:style w:type="character" w:customStyle="1" w:styleId="TitleChar">
    <w:name w:val="Title Char"/>
    <w:link w:val="Title"/>
    <w:rsid w:val="00812486"/>
    <w:rPr>
      <w:rFonts w:ascii="Arial" w:hAnsi="Arial"/>
      <w:b/>
      <w:caps/>
      <w:kern w:val="28"/>
      <w:sz w:val="30"/>
    </w:rPr>
  </w:style>
  <w:style w:type="character" w:customStyle="1" w:styleId="FootnoteTextChar">
    <w:name w:val="Footnote Text Char"/>
    <w:link w:val="FootnoteText"/>
    <w:rsid w:val="00812486"/>
    <w:rPr>
      <w:rFonts w:ascii="Arial" w:hAnsi="Arial"/>
      <w:sz w:val="16"/>
    </w:rPr>
  </w:style>
  <w:style w:type="character" w:customStyle="1" w:styleId="ClosingChar">
    <w:name w:val="Closing Char"/>
    <w:link w:val="Closing"/>
    <w:rsid w:val="00812486"/>
    <w:rPr>
      <w:rFonts w:ascii="Arial" w:hAnsi="Arial"/>
    </w:rPr>
  </w:style>
  <w:style w:type="character" w:customStyle="1" w:styleId="MacroTextChar">
    <w:name w:val="Macro Text Char"/>
    <w:link w:val="MacroText"/>
    <w:semiHidden/>
    <w:rsid w:val="00812486"/>
    <w:rPr>
      <w:rFonts w:ascii="Courier New" w:hAnsi="Courier New"/>
      <w:sz w:val="16"/>
    </w:rPr>
  </w:style>
  <w:style w:type="character" w:customStyle="1" w:styleId="SignatureChar">
    <w:name w:val="Signature Char"/>
    <w:link w:val="Signature"/>
    <w:rsid w:val="00812486"/>
    <w:rPr>
      <w:rFonts w:ascii="Arial" w:hAnsi="Arial"/>
    </w:rPr>
  </w:style>
  <w:style w:type="character" w:customStyle="1" w:styleId="BodyTextChar">
    <w:name w:val="Body Text Char"/>
    <w:link w:val="BodyText"/>
    <w:rsid w:val="00812486"/>
    <w:rPr>
      <w:rFonts w:ascii="Arial" w:hAnsi="Arial"/>
    </w:rPr>
  </w:style>
  <w:style w:type="character" w:customStyle="1" w:styleId="EndnoteTextChar">
    <w:name w:val="Endnote Text Char"/>
    <w:link w:val="EndnoteText"/>
    <w:semiHidden/>
    <w:rsid w:val="00812486"/>
    <w:rPr>
      <w:rFonts w:ascii="Arial" w:hAnsi="Arial"/>
    </w:rPr>
  </w:style>
  <w:style w:type="character" w:customStyle="1" w:styleId="DateChar">
    <w:name w:val="Date Char"/>
    <w:link w:val="Date"/>
    <w:semiHidden/>
    <w:rsid w:val="00812486"/>
    <w:rPr>
      <w:rFonts w:ascii="Arial" w:hAnsi="Arial"/>
      <w:b/>
      <w:sz w:val="22"/>
    </w:rPr>
  </w:style>
  <w:style w:type="paragraph" w:customStyle="1" w:styleId="n">
    <w:name w:val="n"/>
    <w:basedOn w:val="Header"/>
    <w:rsid w:val="00812486"/>
    <w:rPr>
      <w:rFonts w:ascii="Times New Roman" w:hAnsi="Times New Roman"/>
      <w:sz w:val="24"/>
    </w:rPr>
  </w:style>
  <w:style w:type="paragraph" w:styleId="BodyTextIndent3">
    <w:name w:val="Body Text Indent 3"/>
    <w:basedOn w:val="Normal"/>
    <w:link w:val="BodyTextIndent3Char"/>
    <w:rsid w:val="00812486"/>
    <w:pPr>
      <w:tabs>
        <w:tab w:val="right" w:pos="284"/>
        <w:tab w:val="right" w:pos="6804"/>
        <w:tab w:val="right" w:pos="9356"/>
      </w:tabs>
      <w:spacing w:line="240" w:lineRule="exact"/>
      <w:ind w:left="709"/>
    </w:pPr>
    <w:rPr>
      <w:rFonts w:ascii="Times New Roman" w:hAnsi="Times New Roman"/>
      <w:sz w:val="24"/>
      <w:lang w:val="fr-FR"/>
    </w:rPr>
  </w:style>
  <w:style w:type="character" w:customStyle="1" w:styleId="BodyTextIndent3Char">
    <w:name w:val="Body Text Indent 3 Char"/>
    <w:basedOn w:val="DefaultParagraphFont"/>
    <w:link w:val="BodyTextIndent3"/>
    <w:rsid w:val="00812486"/>
    <w:rPr>
      <w:sz w:val="24"/>
      <w:lang w:val="fr-FR"/>
    </w:rPr>
  </w:style>
  <w:style w:type="paragraph" w:customStyle="1" w:styleId="DecisionInvitingPara">
    <w:name w:val="Decision Inviting Para."/>
    <w:basedOn w:val="Normal"/>
    <w:rsid w:val="00812486"/>
    <w:pPr>
      <w:ind w:left="4536"/>
      <w:jc w:val="left"/>
    </w:pPr>
    <w:rPr>
      <w:rFonts w:ascii="Times New Roman" w:hAnsi="Times New Roman"/>
      <w:i/>
      <w:sz w:val="24"/>
      <w:lang w:val="fr-FR"/>
    </w:rPr>
  </w:style>
  <w:style w:type="paragraph" w:customStyle="1" w:styleId="T1">
    <w:name w:val="T1"/>
    <w:basedOn w:val="BodyText"/>
    <w:rsid w:val="00812486"/>
    <w:rPr>
      <w:rFonts w:ascii="Times New Roman" w:hAnsi="Times New Roman"/>
      <w:b/>
      <w:sz w:val="24"/>
      <w:lang w:val="fr-FR"/>
    </w:rPr>
  </w:style>
  <w:style w:type="paragraph" w:customStyle="1" w:styleId="Titre">
    <w:name w:val="Titre"/>
    <w:basedOn w:val="Normal"/>
    <w:rsid w:val="00812486"/>
    <w:pPr>
      <w:tabs>
        <w:tab w:val="left" w:pos="567"/>
        <w:tab w:val="left" w:pos="993"/>
        <w:tab w:val="right" w:pos="6237"/>
        <w:tab w:val="right" w:pos="7938"/>
      </w:tabs>
      <w:spacing w:line="240" w:lineRule="exact"/>
      <w:jc w:val="left"/>
    </w:pPr>
    <w:rPr>
      <w:rFonts w:ascii="Times New Roman" w:hAnsi="Times New Roman"/>
      <w:b/>
      <w:caps/>
      <w:lang w:val="fr-FR"/>
    </w:rPr>
  </w:style>
  <w:style w:type="paragraph" w:styleId="BodyTextIndent2">
    <w:name w:val="Body Text Indent 2"/>
    <w:basedOn w:val="Normal"/>
    <w:link w:val="BodyTextIndent2Char"/>
    <w:rsid w:val="00812486"/>
    <w:pPr>
      <w:tabs>
        <w:tab w:val="right" w:pos="3119"/>
        <w:tab w:val="right" w:pos="5103"/>
        <w:tab w:val="right" w:pos="7371"/>
        <w:tab w:val="right" w:pos="9356"/>
      </w:tabs>
      <w:ind w:left="284"/>
    </w:pPr>
    <w:rPr>
      <w:rFonts w:ascii="Times New Roman" w:hAnsi="Times New Roman"/>
      <w:lang w:val="fr-FR"/>
    </w:rPr>
  </w:style>
  <w:style w:type="character" w:customStyle="1" w:styleId="BodyTextIndent2Char">
    <w:name w:val="Body Text Indent 2 Char"/>
    <w:basedOn w:val="DefaultParagraphFont"/>
    <w:link w:val="BodyTextIndent2"/>
    <w:rsid w:val="00812486"/>
    <w:rPr>
      <w:lang w:val="fr-FR"/>
    </w:rPr>
  </w:style>
  <w:style w:type="table" w:styleId="TableGrid">
    <w:name w:val="Table Grid"/>
    <w:basedOn w:val="TableNormal"/>
    <w:rsid w:val="0081248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812486"/>
    <w:pPr>
      <w:jc w:val="center"/>
    </w:pPr>
    <w:rPr>
      <w:rFonts w:ascii="Times New Roman" w:hAnsi="Times New Roman"/>
      <w:sz w:val="24"/>
      <w:u w:val="single"/>
      <w:lang w:val="fr-FR"/>
    </w:rPr>
  </w:style>
  <w:style w:type="character" w:customStyle="1" w:styleId="BodyText3Char">
    <w:name w:val="Body Text 3 Char"/>
    <w:basedOn w:val="DefaultParagraphFont"/>
    <w:link w:val="BodyText3"/>
    <w:rsid w:val="00812486"/>
    <w:rPr>
      <w:sz w:val="24"/>
      <w:u w:val="single"/>
      <w:lang w:val="fr-FR"/>
    </w:rPr>
  </w:style>
  <w:style w:type="paragraph" w:customStyle="1" w:styleId="Partie">
    <w:name w:val="Partie"/>
    <w:basedOn w:val="Normal"/>
    <w:rsid w:val="00812486"/>
    <w:pPr>
      <w:tabs>
        <w:tab w:val="left" w:pos="567"/>
        <w:tab w:val="left" w:pos="993"/>
        <w:tab w:val="right" w:pos="6237"/>
        <w:tab w:val="right" w:pos="7938"/>
      </w:tabs>
      <w:spacing w:line="240" w:lineRule="exact"/>
      <w:jc w:val="center"/>
    </w:pPr>
    <w:rPr>
      <w:rFonts w:ascii="Times New Roman" w:hAnsi="Times New Roman"/>
      <w:b/>
      <w:sz w:val="22"/>
      <w:u w:val="single"/>
      <w:lang w:val="fr-FR"/>
    </w:rPr>
  </w:style>
  <w:style w:type="paragraph" w:customStyle="1" w:styleId="Chapitre">
    <w:name w:val="Chapitre"/>
    <w:basedOn w:val="Normal"/>
    <w:rsid w:val="00812486"/>
    <w:pPr>
      <w:tabs>
        <w:tab w:val="left" w:pos="567"/>
        <w:tab w:val="left" w:pos="993"/>
        <w:tab w:val="right" w:pos="6237"/>
        <w:tab w:val="right" w:pos="7938"/>
      </w:tabs>
      <w:spacing w:line="240" w:lineRule="exact"/>
      <w:jc w:val="center"/>
    </w:pPr>
    <w:rPr>
      <w:rFonts w:ascii="Times New Roman" w:hAnsi="Times New Roman"/>
      <w:b/>
      <w:lang w:val="fr-FR"/>
    </w:rPr>
  </w:style>
  <w:style w:type="paragraph" w:styleId="BodyText2">
    <w:name w:val="Body Text 2"/>
    <w:basedOn w:val="Normal"/>
    <w:link w:val="BodyText2Char"/>
    <w:rsid w:val="00812486"/>
    <w:pPr>
      <w:tabs>
        <w:tab w:val="left" w:pos="567"/>
      </w:tabs>
      <w:jc w:val="left"/>
    </w:pPr>
    <w:rPr>
      <w:rFonts w:ascii="Times New Roman" w:hAnsi="Times New Roman"/>
      <w:sz w:val="24"/>
      <w:lang w:val="fr-FR"/>
    </w:rPr>
  </w:style>
  <w:style w:type="character" w:customStyle="1" w:styleId="BodyText2Char">
    <w:name w:val="Body Text 2 Char"/>
    <w:basedOn w:val="DefaultParagraphFont"/>
    <w:link w:val="BodyText2"/>
    <w:rsid w:val="00812486"/>
    <w:rPr>
      <w:sz w:val="24"/>
      <w:lang w:val="fr-FR"/>
    </w:rPr>
  </w:style>
  <w:style w:type="paragraph" w:customStyle="1" w:styleId="StyleStyle1Left163cmFirstline0cm">
    <w:name w:val="Style Style1 + Left:  1.63 cm First line:  0 cm"/>
    <w:basedOn w:val="Normal"/>
    <w:rsid w:val="00812486"/>
    <w:pPr>
      <w:numPr>
        <w:numId w:val="2"/>
      </w:numPr>
      <w:tabs>
        <w:tab w:val="left" w:pos="567"/>
      </w:tabs>
    </w:pPr>
    <w:rPr>
      <w:rFonts w:ascii="Times New Roman" w:hAnsi="Times New Roman"/>
      <w:sz w:val="24"/>
    </w:rPr>
  </w:style>
  <w:style w:type="paragraph" w:customStyle="1" w:styleId="Default">
    <w:name w:val="Default"/>
    <w:rsid w:val="00812486"/>
    <w:pPr>
      <w:autoSpaceDE w:val="0"/>
      <w:autoSpaceDN w:val="0"/>
      <w:adjustRightInd w:val="0"/>
    </w:pPr>
    <w:rPr>
      <w:rFonts w:ascii="Arial" w:hAnsi="Arial" w:cs="Arial"/>
      <w:color w:val="000000"/>
      <w:sz w:val="24"/>
      <w:szCs w:val="24"/>
      <w:lang w:val="en-GB" w:eastAsia="en-GB"/>
    </w:rPr>
  </w:style>
  <w:style w:type="paragraph" w:customStyle="1" w:styleId="Styletexte">
    <w:name w:val="Style texte"/>
    <w:basedOn w:val="Normal"/>
    <w:link w:val="StyletexteChar"/>
    <w:rsid w:val="00812486"/>
    <w:pPr>
      <w:spacing w:after="120"/>
    </w:pPr>
    <w:rPr>
      <w:sz w:val="22"/>
    </w:rPr>
  </w:style>
  <w:style w:type="character" w:customStyle="1" w:styleId="StyletexteChar">
    <w:name w:val="Style texte Char"/>
    <w:link w:val="Styletexte"/>
    <w:locked/>
    <w:rsid w:val="00812486"/>
    <w:rPr>
      <w:rFonts w:ascii="Arial" w:hAnsi="Arial"/>
      <w:sz w:val="22"/>
    </w:rPr>
  </w:style>
  <w:style w:type="paragraph" w:customStyle="1" w:styleId="Style3">
    <w:name w:val="Style3"/>
    <w:basedOn w:val="Normal"/>
    <w:link w:val="Style3Char"/>
    <w:rsid w:val="00812486"/>
    <w:pPr>
      <w:spacing w:after="120"/>
    </w:pPr>
    <w:rPr>
      <w:sz w:val="22"/>
    </w:rPr>
  </w:style>
  <w:style w:type="character" w:customStyle="1" w:styleId="Style3Char">
    <w:name w:val="Style3 Char"/>
    <w:link w:val="Style3"/>
    <w:locked/>
    <w:rsid w:val="00812486"/>
    <w:rPr>
      <w:rFonts w:ascii="Arial" w:hAnsi="Arial"/>
      <w:sz w:val="22"/>
    </w:rPr>
  </w:style>
  <w:style w:type="paragraph" w:styleId="TOCHeading">
    <w:name w:val="TOC Heading"/>
    <w:basedOn w:val="Heading1"/>
    <w:next w:val="Normal"/>
    <w:uiPriority w:val="39"/>
    <w:semiHidden/>
    <w:unhideWhenUsed/>
    <w:qFormat/>
    <w:rsid w:val="005371C5"/>
    <w:pPr>
      <w:keepLines/>
      <w:spacing w:before="480" w:line="276" w:lineRule="auto"/>
      <w:jc w:val="left"/>
      <w:outlineLvl w:val="9"/>
    </w:pPr>
    <w:rPr>
      <w:rFonts w:asciiTheme="majorHAnsi" w:eastAsiaTheme="majorEastAsia" w:hAnsiTheme="majorHAnsi" w:cstheme="majorBidi"/>
      <w:b w:val="0"/>
      <w:bCs/>
      <w:caps w:val="0"/>
      <w:color w:val="365F91" w:themeColor="accent1" w:themeShade="BF"/>
      <w:sz w:val="28"/>
      <w:szCs w:val="28"/>
    </w:rPr>
  </w:style>
  <w:style w:type="paragraph" w:styleId="TOC6">
    <w:name w:val="toc 6"/>
    <w:basedOn w:val="Normal"/>
    <w:next w:val="Normal"/>
    <w:autoRedefine/>
    <w:uiPriority w:val="39"/>
    <w:rsid w:val="00B82DC9"/>
    <w:pPr>
      <w:tabs>
        <w:tab w:val="right" w:leader="dot" w:pos="9629"/>
      </w:tabs>
      <w:spacing w:after="100"/>
    </w:pPr>
  </w:style>
  <w:style w:type="paragraph" w:styleId="TOC7">
    <w:name w:val="toc 7"/>
    <w:basedOn w:val="Normal"/>
    <w:next w:val="Normal"/>
    <w:autoRedefine/>
    <w:uiPriority w:val="39"/>
    <w:rsid w:val="004C4380"/>
    <w:pPr>
      <w:spacing w:after="100"/>
      <w:ind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55D"/>
    <w:pPr>
      <w:jc w:val="both"/>
    </w:pPr>
    <w:rPr>
      <w:rFonts w:ascii="Arial" w:hAnsi="Arial"/>
    </w:rPr>
  </w:style>
  <w:style w:type="paragraph" w:styleId="Heading1">
    <w:name w:val="heading 1"/>
    <w:next w:val="Normal"/>
    <w:link w:val="Heading1Char"/>
    <w:autoRedefine/>
    <w:qFormat/>
    <w:rsid w:val="0008624C"/>
    <w:pPr>
      <w:keepNext/>
      <w:jc w:val="both"/>
      <w:outlineLvl w:val="0"/>
    </w:pPr>
    <w:rPr>
      <w:rFonts w:ascii="Arial" w:hAnsi="Arial"/>
      <w:b/>
      <w:caps/>
      <w:lang w:val="es-ES"/>
    </w:rPr>
  </w:style>
  <w:style w:type="paragraph" w:styleId="Heading2">
    <w:name w:val="heading 2"/>
    <w:next w:val="Normal"/>
    <w:link w:val="Heading2Char"/>
    <w:autoRedefine/>
    <w:qFormat/>
    <w:rsid w:val="00C7055D"/>
    <w:pPr>
      <w:jc w:val="center"/>
      <w:outlineLvl w:val="1"/>
    </w:pPr>
    <w:rPr>
      <w:rFonts w:ascii="Arial Bold" w:hAnsi="Arial Bold"/>
      <w:b/>
      <w:caps/>
      <w:lang w:val="es-ES" w:eastAsia="en-GB"/>
    </w:rPr>
  </w:style>
  <w:style w:type="paragraph" w:styleId="Heading3">
    <w:name w:val="heading 3"/>
    <w:next w:val="Normal"/>
    <w:link w:val="Heading3Char"/>
    <w:autoRedefine/>
    <w:qFormat/>
    <w:rsid w:val="00035B8B"/>
    <w:pPr>
      <w:keepNext/>
      <w:jc w:val="center"/>
      <w:outlineLvl w:val="2"/>
    </w:pPr>
    <w:rPr>
      <w:rFonts w:ascii="Arial" w:eastAsiaTheme="minorHAnsi" w:hAnsi="Arial"/>
      <w:b/>
      <w:u w:val="single"/>
      <w:lang w:val="es-ES"/>
    </w:rPr>
  </w:style>
  <w:style w:type="paragraph" w:styleId="Heading4">
    <w:name w:val="heading 4"/>
    <w:next w:val="Normal"/>
    <w:link w:val="Heading4Char"/>
    <w:autoRedefine/>
    <w:qFormat/>
    <w:rsid w:val="00A14D8B"/>
    <w:pPr>
      <w:keepNext/>
      <w:ind w:left="567"/>
      <w:jc w:val="both"/>
      <w:outlineLvl w:val="3"/>
    </w:pPr>
    <w:rPr>
      <w:rFonts w:ascii="Arial" w:hAnsi="Arial"/>
      <w:i/>
      <w:color w:val="008000"/>
      <w:lang w:val="es-ES_tradnl"/>
    </w:rPr>
  </w:style>
  <w:style w:type="paragraph" w:styleId="Heading5">
    <w:name w:val="heading 5"/>
    <w:next w:val="Normal"/>
    <w:link w:val="Heading5Char"/>
    <w:autoRedefine/>
    <w:qFormat/>
    <w:rsid w:val="00C95420"/>
    <w:pPr>
      <w:keepNext/>
      <w:ind w:left="1134" w:hanging="567"/>
      <w:jc w:val="center"/>
      <w:outlineLvl w:val="4"/>
    </w:pPr>
    <w:rPr>
      <w:rFonts w:ascii="Arial" w:hAnsi="Arial"/>
      <w:sz w:val="18"/>
      <w:szCs w:val="18"/>
      <w:u w:val="single"/>
      <w:lang w:val="es-ES"/>
    </w:rPr>
  </w:style>
  <w:style w:type="paragraph" w:styleId="Heading6">
    <w:name w:val="heading 6"/>
    <w:basedOn w:val="Normal"/>
    <w:next w:val="Normal"/>
    <w:link w:val="Heading6Char"/>
    <w:qFormat/>
    <w:rsid w:val="00812486"/>
    <w:pPr>
      <w:keepNext/>
      <w:jc w:val="center"/>
      <w:outlineLvl w:val="5"/>
    </w:pPr>
    <w:rPr>
      <w:rFonts w:ascii="Times New Roman" w:hAnsi="Times New Roman"/>
      <w:sz w:val="24"/>
      <w:u w:val="single"/>
      <w:lang w:val="fr-FR"/>
    </w:rPr>
  </w:style>
  <w:style w:type="paragraph" w:styleId="Heading7">
    <w:name w:val="heading 7"/>
    <w:basedOn w:val="Normal"/>
    <w:next w:val="Normal"/>
    <w:link w:val="Heading7Char"/>
    <w:qFormat/>
    <w:rsid w:val="00812486"/>
    <w:pPr>
      <w:keepNext/>
      <w:keepLines/>
      <w:spacing w:before="200"/>
      <w:outlineLvl w:val="6"/>
    </w:pPr>
    <w:rPr>
      <w:rFonts w:ascii="Cambria" w:hAnsi="Cambria"/>
      <w:i/>
      <w:iCs/>
      <w:color w:val="404040"/>
    </w:rPr>
  </w:style>
  <w:style w:type="paragraph" w:styleId="Heading9">
    <w:name w:val="heading 9"/>
    <w:basedOn w:val="Normal"/>
    <w:next w:val="Normal"/>
    <w:link w:val="Heading9Char"/>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73179"/>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link w:val="TitleChar"/>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F73179"/>
    <w:rPr>
      <w:vertAlign w:val="superscript"/>
    </w:rPr>
  </w:style>
  <w:style w:type="paragraph" w:styleId="Closing">
    <w:name w:val="Closing"/>
    <w:basedOn w:val="Normal"/>
    <w:link w:val="ClosingChar"/>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link w:val="MacroTextChar"/>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link w:val="EndnoteTextChar"/>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link w:val="DateChar"/>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C7055D"/>
    <w:pPr>
      <w:tabs>
        <w:tab w:val="right" w:leader="dot" w:pos="9639"/>
      </w:tabs>
      <w:spacing w:before="120" w:after="120" w:line="360" w:lineRule="auto"/>
      <w:ind w:left="851" w:right="851" w:hanging="567"/>
      <w:contextualSpacing/>
    </w:pPr>
    <w:rPr>
      <w:rFonts w:ascii="Arial" w:hAnsi="Arial"/>
      <w:noProof/>
    </w:rPr>
  </w:style>
  <w:style w:type="paragraph" w:styleId="TOC3">
    <w:name w:val="toc 3"/>
    <w:next w:val="Normal"/>
    <w:autoRedefine/>
    <w:uiPriority w:val="39"/>
    <w:rsid w:val="00C7055D"/>
    <w:pPr>
      <w:tabs>
        <w:tab w:val="right" w:leader="dot" w:pos="9639"/>
      </w:tabs>
      <w:spacing w:before="120" w:after="120"/>
      <w:ind w:left="1276" w:right="851" w:hanging="992"/>
    </w:pPr>
    <w:rPr>
      <w:rFonts w:ascii="Arial" w:hAnsi="Arial"/>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semiHidden/>
    <w:rsid w:val="00C7055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C7055D"/>
    <w:pPr>
      <w:tabs>
        <w:tab w:val="right" w:leader="dot" w:pos="9639"/>
      </w:tabs>
      <w:spacing w:before="240" w:after="120" w:line="480" w:lineRule="auto"/>
      <w:ind w:left="284" w:right="284" w:hanging="284"/>
      <w:contextualSpacing/>
    </w:pPr>
    <w:rPr>
      <w:rFonts w:ascii="Arial" w:hAnsi="Arial"/>
      <w:b/>
      <w:caps/>
      <w:noProof/>
    </w:rPr>
  </w:style>
  <w:style w:type="paragraph" w:styleId="TOC5">
    <w:name w:val="toc 5"/>
    <w:next w:val="Normal"/>
    <w:autoRedefine/>
    <w:uiPriority w:val="39"/>
    <w:rsid w:val="00C7055D"/>
    <w:pPr>
      <w:tabs>
        <w:tab w:val="right" w:leader="dot" w:pos="9639"/>
      </w:tabs>
      <w:spacing w:before="120" w:after="120"/>
      <w:ind w:left="284" w:right="851"/>
      <w:jc w:val="both"/>
    </w:pPr>
    <w:rPr>
      <w:rFonts w:ascii="Arial" w:hAnsi="Arial"/>
      <w:noProof/>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6Char">
    <w:name w:val="Heading 6 Char"/>
    <w:basedOn w:val="DefaultParagraphFont"/>
    <w:link w:val="Heading6"/>
    <w:rsid w:val="00812486"/>
    <w:rPr>
      <w:sz w:val="24"/>
      <w:u w:val="single"/>
      <w:lang w:val="fr-FR"/>
    </w:rPr>
  </w:style>
  <w:style w:type="character" w:customStyle="1" w:styleId="Heading7Char">
    <w:name w:val="Heading 7 Char"/>
    <w:basedOn w:val="DefaultParagraphFont"/>
    <w:link w:val="Heading7"/>
    <w:rsid w:val="00812486"/>
    <w:rPr>
      <w:rFonts w:ascii="Cambria" w:hAnsi="Cambria"/>
      <w:i/>
      <w:iCs/>
      <w:color w:val="404040"/>
    </w:rPr>
  </w:style>
  <w:style w:type="paragraph" w:customStyle="1" w:styleId="Inf4Normal">
    <w:name w:val="Inf_4_Normal"/>
    <w:basedOn w:val="Normal"/>
    <w:rsid w:val="00812486"/>
    <w:pPr>
      <w:spacing w:before="108"/>
    </w:pPr>
  </w:style>
  <w:style w:type="paragraph" w:customStyle="1" w:styleId="Inf4Heading4">
    <w:name w:val="Inf_4_Heading_4"/>
    <w:basedOn w:val="Heading4"/>
    <w:next w:val="Normal"/>
    <w:rsid w:val="00812486"/>
    <w:pPr>
      <w:spacing w:before="120"/>
      <w:ind w:left="0"/>
    </w:pPr>
    <w:rPr>
      <w:rFonts w:ascii="Arial Bold" w:hAnsi="Arial Bold"/>
      <w:bCs/>
      <w:color w:val="FFFFFF" w:themeColor="background1"/>
      <w:sz w:val="16"/>
    </w:rPr>
  </w:style>
  <w:style w:type="paragraph" w:customStyle="1" w:styleId="Inf4Heading6">
    <w:name w:val="Inf_4_Heading_6"/>
    <w:basedOn w:val="Normal"/>
    <w:rsid w:val="00812486"/>
    <w:pPr>
      <w:keepNext/>
      <w:spacing w:before="108"/>
      <w:ind w:left="567"/>
      <w:outlineLvl w:val="5"/>
    </w:pPr>
    <w:rPr>
      <w:b/>
      <w:bCs/>
      <w:szCs w:val="24"/>
    </w:rPr>
  </w:style>
  <w:style w:type="paragraph" w:styleId="ListContinue4">
    <w:name w:val="List Continue 4"/>
    <w:basedOn w:val="Normal"/>
    <w:rsid w:val="00812486"/>
    <w:pPr>
      <w:spacing w:after="120"/>
      <w:ind w:left="1440"/>
    </w:pPr>
  </w:style>
  <w:style w:type="paragraph" w:styleId="ListParagraph">
    <w:name w:val="List Paragraph"/>
    <w:basedOn w:val="Normal"/>
    <w:uiPriority w:val="34"/>
    <w:qFormat/>
    <w:rsid w:val="00812486"/>
    <w:pPr>
      <w:ind w:left="720"/>
      <w:contextualSpacing/>
    </w:pPr>
  </w:style>
  <w:style w:type="character" w:customStyle="1" w:styleId="Heading2Char">
    <w:name w:val="Heading 2 Char"/>
    <w:link w:val="Heading2"/>
    <w:rsid w:val="00C7055D"/>
    <w:rPr>
      <w:rFonts w:ascii="Arial Bold" w:hAnsi="Arial Bold"/>
      <w:b/>
      <w:caps/>
      <w:lang w:val="es-ES" w:eastAsia="en-GB"/>
    </w:rPr>
  </w:style>
  <w:style w:type="character" w:customStyle="1" w:styleId="Heading1Char">
    <w:name w:val="Heading 1 Char"/>
    <w:link w:val="Heading1"/>
    <w:rsid w:val="0008624C"/>
    <w:rPr>
      <w:rFonts w:ascii="Arial" w:hAnsi="Arial"/>
      <w:b/>
      <w:caps/>
      <w:lang w:val="es-ES"/>
    </w:rPr>
  </w:style>
  <w:style w:type="character" w:customStyle="1" w:styleId="Heading3Char">
    <w:name w:val="Heading 3 Char"/>
    <w:link w:val="Heading3"/>
    <w:rsid w:val="00035B8B"/>
    <w:rPr>
      <w:rFonts w:ascii="Arial" w:eastAsiaTheme="minorHAnsi" w:hAnsi="Arial"/>
      <w:b/>
      <w:u w:val="single"/>
      <w:lang w:val="es-ES"/>
    </w:rPr>
  </w:style>
  <w:style w:type="character" w:customStyle="1" w:styleId="Heading4Char">
    <w:name w:val="Heading 4 Char"/>
    <w:link w:val="Heading4"/>
    <w:rsid w:val="00A14D8B"/>
    <w:rPr>
      <w:rFonts w:ascii="Arial" w:hAnsi="Arial"/>
      <w:i/>
      <w:color w:val="008000"/>
      <w:lang w:val="es-ES_tradnl"/>
    </w:rPr>
  </w:style>
  <w:style w:type="character" w:customStyle="1" w:styleId="Heading5Char">
    <w:name w:val="Heading 5 Char"/>
    <w:link w:val="Heading5"/>
    <w:rsid w:val="00C95420"/>
    <w:rPr>
      <w:rFonts w:ascii="Arial" w:hAnsi="Arial"/>
      <w:sz w:val="18"/>
      <w:szCs w:val="18"/>
      <w:u w:val="single"/>
      <w:lang w:val="es-ES"/>
    </w:rPr>
  </w:style>
  <w:style w:type="character" w:customStyle="1" w:styleId="Heading9Char">
    <w:name w:val="Heading 9 Char"/>
    <w:link w:val="Heading9"/>
    <w:rsid w:val="00812486"/>
    <w:rPr>
      <w:rFonts w:ascii="Arial" w:hAnsi="Arial"/>
      <w:i/>
      <w:sz w:val="18"/>
    </w:rPr>
  </w:style>
  <w:style w:type="character" w:customStyle="1" w:styleId="HeaderChar">
    <w:name w:val="Header Char"/>
    <w:link w:val="Header"/>
    <w:uiPriority w:val="99"/>
    <w:rsid w:val="00812486"/>
    <w:rPr>
      <w:rFonts w:ascii="Arial" w:hAnsi="Arial"/>
      <w:lang w:val="fr-FR"/>
    </w:rPr>
  </w:style>
  <w:style w:type="character" w:customStyle="1" w:styleId="FooterChar">
    <w:name w:val="Footer Char"/>
    <w:aliases w:val="doc_path_name Char"/>
    <w:link w:val="Footer"/>
    <w:uiPriority w:val="99"/>
    <w:rsid w:val="00812486"/>
    <w:rPr>
      <w:rFonts w:ascii="Arial" w:hAnsi="Arial"/>
      <w:sz w:val="14"/>
    </w:rPr>
  </w:style>
  <w:style w:type="character" w:customStyle="1" w:styleId="TitleChar">
    <w:name w:val="Title Char"/>
    <w:link w:val="Title"/>
    <w:rsid w:val="00812486"/>
    <w:rPr>
      <w:rFonts w:ascii="Arial" w:hAnsi="Arial"/>
      <w:b/>
      <w:caps/>
      <w:kern w:val="28"/>
      <w:sz w:val="30"/>
    </w:rPr>
  </w:style>
  <w:style w:type="character" w:customStyle="1" w:styleId="FootnoteTextChar">
    <w:name w:val="Footnote Text Char"/>
    <w:link w:val="FootnoteText"/>
    <w:rsid w:val="00812486"/>
    <w:rPr>
      <w:rFonts w:ascii="Arial" w:hAnsi="Arial"/>
      <w:sz w:val="16"/>
    </w:rPr>
  </w:style>
  <w:style w:type="character" w:customStyle="1" w:styleId="ClosingChar">
    <w:name w:val="Closing Char"/>
    <w:link w:val="Closing"/>
    <w:rsid w:val="00812486"/>
    <w:rPr>
      <w:rFonts w:ascii="Arial" w:hAnsi="Arial"/>
    </w:rPr>
  </w:style>
  <w:style w:type="character" w:customStyle="1" w:styleId="MacroTextChar">
    <w:name w:val="Macro Text Char"/>
    <w:link w:val="MacroText"/>
    <w:semiHidden/>
    <w:rsid w:val="00812486"/>
    <w:rPr>
      <w:rFonts w:ascii="Courier New" w:hAnsi="Courier New"/>
      <w:sz w:val="16"/>
    </w:rPr>
  </w:style>
  <w:style w:type="character" w:customStyle="1" w:styleId="SignatureChar">
    <w:name w:val="Signature Char"/>
    <w:link w:val="Signature"/>
    <w:rsid w:val="00812486"/>
    <w:rPr>
      <w:rFonts w:ascii="Arial" w:hAnsi="Arial"/>
    </w:rPr>
  </w:style>
  <w:style w:type="character" w:customStyle="1" w:styleId="BodyTextChar">
    <w:name w:val="Body Text Char"/>
    <w:link w:val="BodyText"/>
    <w:rsid w:val="00812486"/>
    <w:rPr>
      <w:rFonts w:ascii="Arial" w:hAnsi="Arial"/>
    </w:rPr>
  </w:style>
  <w:style w:type="character" w:customStyle="1" w:styleId="EndnoteTextChar">
    <w:name w:val="Endnote Text Char"/>
    <w:link w:val="EndnoteText"/>
    <w:semiHidden/>
    <w:rsid w:val="00812486"/>
    <w:rPr>
      <w:rFonts w:ascii="Arial" w:hAnsi="Arial"/>
    </w:rPr>
  </w:style>
  <w:style w:type="character" w:customStyle="1" w:styleId="DateChar">
    <w:name w:val="Date Char"/>
    <w:link w:val="Date"/>
    <w:semiHidden/>
    <w:rsid w:val="00812486"/>
    <w:rPr>
      <w:rFonts w:ascii="Arial" w:hAnsi="Arial"/>
      <w:b/>
      <w:sz w:val="22"/>
    </w:rPr>
  </w:style>
  <w:style w:type="paragraph" w:customStyle="1" w:styleId="n">
    <w:name w:val="n"/>
    <w:basedOn w:val="Header"/>
    <w:rsid w:val="00812486"/>
    <w:rPr>
      <w:rFonts w:ascii="Times New Roman" w:hAnsi="Times New Roman"/>
      <w:sz w:val="24"/>
    </w:rPr>
  </w:style>
  <w:style w:type="paragraph" w:styleId="BodyTextIndent3">
    <w:name w:val="Body Text Indent 3"/>
    <w:basedOn w:val="Normal"/>
    <w:link w:val="BodyTextIndent3Char"/>
    <w:rsid w:val="00812486"/>
    <w:pPr>
      <w:tabs>
        <w:tab w:val="right" w:pos="284"/>
        <w:tab w:val="right" w:pos="6804"/>
        <w:tab w:val="right" w:pos="9356"/>
      </w:tabs>
      <w:spacing w:line="240" w:lineRule="exact"/>
      <w:ind w:left="709"/>
    </w:pPr>
    <w:rPr>
      <w:rFonts w:ascii="Times New Roman" w:hAnsi="Times New Roman"/>
      <w:sz w:val="24"/>
      <w:lang w:val="fr-FR"/>
    </w:rPr>
  </w:style>
  <w:style w:type="character" w:customStyle="1" w:styleId="BodyTextIndent3Char">
    <w:name w:val="Body Text Indent 3 Char"/>
    <w:basedOn w:val="DefaultParagraphFont"/>
    <w:link w:val="BodyTextIndent3"/>
    <w:rsid w:val="00812486"/>
    <w:rPr>
      <w:sz w:val="24"/>
      <w:lang w:val="fr-FR"/>
    </w:rPr>
  </w:style>
  <w:style w:type="paragraph" w:customStyle="1" w:styleId="DecisionInvitingPara">
    <w:name w:val="Decision Inviting Para."/>
    <w:basedOn w:val="Normal"/>
    <w:rsid w:val="00812486"/>
    <w:pPr>
      <w:ind w:left="4536"/>
      <w:jc w:val="left"/>
    </w:pPr>
    <w:rPr>
      <w:rFonts w:ascii="Times New Roman" w:hAnsi="Times New Roman"/>
      <w:i/>
      <w:sz w:val="24"/>
      <w:lang w:val="fr-FR"/>
    </w:rPr>
  </w:style>
  <w:style w:type="paragraph" w:customStyle="1" w:styleId="T1">
    <w:name w:val="T1"/>
    <w:basedOn w:val="BodyText"/>
    <w:rsid w:val="00812486"/>
    <w:rPr>
      <w:rFonts w:ascii="Times New Roman" w:hAnsi="Times New Roman"/>
      <w:b/>
      <w:sz w:val="24"/>
      <w:lang w:val="fr-FR"/>
    </w:rPr>
  </w:style>
  <w:style w:type="paragraph" w:customStyle="1" w:styleId="Titre">
    <w:name w:val="Titre"/>
    <w:basedOn w:val="Normal"/>
    <w:rsid w:val="00812486"/>
    <w:pPr>
      <w:tabs>
        <w:tab w:val="left" w:pos="567"/>
        <w:tab w:val="left" w:pos="993"/>
        <w:tab w:val="right" w:pos="6237"/>
        <w:tab w:val="right" w:pos="7938"/>
      </w:tabs>
      <w:spacing w:line="240" w:lineRule="exact"/>
      <w:jc w:val="left"/>
    </w:pPr>
    <w:rPr>
      <w:rFonts w:ascii="Times New Roman" w:hAnsi="Times New Roman"/>
      <w:b/>
      <w:caps/>
      <w:lang w:val="fr-FR"/>
    </w:rPr>
  </w:style>
  <w:style w:type="paragraph" w:styleId="BodyTextIndent2">
    <w:name w:val="Body Text Indent 2"/>
    <w:basedOn w:val="Normal"/>
    <w:link w:val="BodyTextIndent2Char"/>
    <w:rsid w:val="00812486"/>
    <w:pPr>
      <w:tabs>
        <w:tab w:val="right" w:pos="3119"/>
        <w:tab w:val="right" w:pos="5103"/>
        <w:tab w:val="right" w:pos="7371"/>
        <w:tab w:val="right" w:pos="9356"/>
      </w:tabs>
      <w:ind w:left="284"/>
    </w:pPr>
    <w:rPr>
      <w:rFonts w:ascii="Times New Roman" w:hAnsi="Times New Roman"/>
      <w:lang w:val="fr-FR"/>
    </w:rPr>
  </w:style>
  <w:style w:type="character" w:customStyle="1" w:styleId="BodyTextIndent2Char">
    <w:name w:val="Body Text Indent 2 Char"/>
    <w:basedOn w:val="DefaultParagraphFont"/>
    <w:link w:val="BodyTextIndent2"/>
    <w:rsid w:val="00812486"/>
    <w:rPr>
      <w:lang w:val="fr-FR"/>
    </w:rPr>
  </w:style>
  <w:style w:type="table" w:styleId="TableGrid">
    <w:name w:val="Table Grid"/>
    <w:basedOn w:val="TableNormal"/>
    <w:rsid w:val="0081248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812486"/>
    <w:pPr>
      <w:jc w:val="center"/>
    </w:pPr>
    <w:rPr>
      <w:rFonts w:ascii="Times New Roman" w:hAnsi="Times New Roman"/>
      <w:sz w:val="24"/>
      <w:u w:val="single"/>
      <w:lang w:val="fr-FR"/>
    </w:rPr>
  </w:style>
  <w:style w:type="character" w:customStyle="1" w:styleId="BodyText3Char">
    <w:name w:val="Body Text 3 Char"/>
    <w:basedOn w:val="DefaultParagraphFont"/>
    <w:link w:val="BodyText3"/>
    <w:rsid w:val="00812486"/>
    <w:rPr>
      <w:sz w:val="24"/>
      <w:u w:val="single"/>
      <w:lang w:val="fr-FR"/>
    </w:rPr>
  </w:style>
  <w:style w:type="paragraph" w:customStyle="1" w:styleId="Partie">
    <w:name w:val="Partie"/>
    <w:basedOn w:val="Normal"/>
    <w:rsid w:val="00812486"/>
    <w:pPr>
      <w:tabs>
        <w:tab w:val="left" w:pos="567"/>
        <w:tab w:val="left" w:pos="993"/>
        <w:tab w:val="right" w:pos="6237"/>
        <w:tab w:val="right" w:pos="7938"/>
      </w:tabs>
      <w:spacing w:line="240" w:lineRule="exact"/>
      <w:jc w:val="center"/>
    </w:pPr>
    <w:rPr>
      <w:rFonts w:ascii="Times New Roman" w:hAnsi="Times New Roman"/>
      <w:b/>
      <w:sz w:val="22"/>
      <w:u w:val="single"/>
      <w:lang w:val="fr-FR"/>
    </w:rPr>
  </w:style>
  <w:style w:type="paragraph" w:customStyle="1" w:styleId="Chapitre">
    <w:name w:val="Chapitre"/>
    <w:basedOn w:val="Normal"/>
    <w:rsid w:val="00812486"/>
    <w:pPr>
      <w:tabs>
        <w:tab w:val="left" w:pos="567"/>
        <w:tab w:val="left" w:pos="993"/>
        <w:tab w:val="right" w:pos="6237"/>
        <w:tab w:val="right" w:pos="7938"/>
      </w:tabs>
      <w:spacing w:line="240" w:lineRule="exact"/>
      <w:jc w:val="center"/>
    </w:pPr>
    <w:rPr>
      <w:rFonts w:ascii="Times New Roman" w:hAnsi="Times New Roman"/>
      <w:b/>
      <w:lang w:val="fr-FR"/>
    </w:rPr>
  </w:style>
  <w:style w:type="paragraph" w:styleId="BodyText2">
    <w:name w:val="Body Text 2"/>
    <w:basedOn w:val="Normal"/>
    <w:link w:val="BodyText2Char"/>
    <w:rsid w:val="00812486"/>
    <w:pPr>
      <w:tabs>
        <w:tab w:val="left" w:pos="567"/>
      </w:tabs>
      <w:jc w:val="left"/>
    </w:pPr>
    <w:rPr>
      <w:rFonts w:ascii="Times New Roman" w:hAnsi="Times New Roman"/>
      <w:sz w:val="24"/>
      <w:lang w:val="fr-FR"/>
    </w:rPr>
  </w:style>
  <w:style w:type="character" w:customStyle="1" w:styleId="BodyText2Char">
    <w:name w:val="Body Text 2 Char"/>
    <w:basedOn w:val="DefaultParagraphFont"/>
    <w:link w:val="BodyText2"/>
    <w:rsid w:val="00812486"/>
    <w:rPr>
      <w:sz w:val="24"/>
      <w:lang w:val="fr-FR"/>
    </w:rPr>
  </w:style>
  <w:style w:type="paragraph" w:customStyle="1" w:styleId="StyleStyle1Left163cmFirstline0cm">
    <w:name w:val="Style Style1 + Left:  1.63 cm First line:  0 cm"/>
    <w:basedOn w:val="Normal"/>
    <w:rsid w:val="00812486"/>
    <w:pPr>
      <w:numPr>
        <w:numId w:val="2"/>
      </w:numPr>
      <w:tabs>
        <w:tab w:val="left" w:pos="567"/>
      </w:tabs>
    </w:pPr>
    <w:rPr>
      <w:rFonts w:ascii="Times New Roman" w:hAnsi="Times New Roman"/>
      <w:sz w:val="24"/>
    </w:rPr>
  </w:style>
  <w:style w:type="paragraph" w:customStyle="1" w:styleId="Default">
    <w:name w:val="Default"/>
    <w:rsid w:val="00812486"/>
    <w:pPr>
      <w:autoSpaceDE w:val="0"/>
      <w:autoSpaceDN w:val="0"/>
      <w:adjustRightInd w:val="0"/>
    </w:pPr>
    <w:rPr>
      <w:rFonts w:ascii="Arial" w:hAnsi="Arial" w:cs="Arial"/>
      <w:color w:val="000000"/>
      <w:sz w:val="24"/>
      <w:szCs w:val="24"/>
      <w:lang w:val="en-GB" w:eastAsia="en-GB"/>
    </w:rPr>
  </w:style>
  <w:style w:type="paragraph" w:customStyle="1" w:styleId="Styletexte">
    <w:name w:val="Style texte"/>
    <w:basedOn w:val="Normal"/>
    <w:link w:val="StyletexteChar"/>
    <w:rsid w:val="00812486"/>
    <w:pPr>
      <w:spacing w:after="120"/>
    </w:pPr>
    <w:rPr>
      <w:sz w:val="22"/>
    </w:rPr>
  </w:style>
  <w:style w:type="character" w:customStyle="1" w:styleId="StyletexteChar">
    <w:name w:val="Style texte Char"/>
    <w:link w:val="Styletexte"/>
    <w:locked/>
    <w:rsid w:val="00812486"/>
    <w:rPr>
      <w:rFonts w:ascii="Arial" w:hAnsi="Arial"/>
      <w:sz w:val="22"/>
    </w:rPr>
  </w:style>
  <w:style w:type="paragraph" w:customStyle="1" w:styleId="Style3">
    <w:name w:val="Style3"/>
    <w:basedOn w:val="Normal"/>
    <w:link w:val="Style3Char"/>
    <w:rsid w:val="00812486"/>
    <w:pPr>
      <w:spacing w:after="120"/>
    </w:pPr>
    <w:rPr>
      <w:sz w:val="22"/>
    </w:rPr>
  </w:style>
  <w:style w:type="character" w:customStyle="1" w:styleId="Style3Char">
    <w:name w:val="Style3 Char"/>
    <w:link w:val="Style3"/>
    <w:locked/>
    <w:rsid w:val="00812486"/>
    <w:rPr>
      <w:rFonts w:ascii="Arial" w:hAnsi="Arial"/>
      <w:sz w:val="22"/>
    </w:rPr>
  </w:style>
  <w:style w:type="paragraph" w:styleId="TOCHeading">
    <w:name w:val="TOC Heading"/>
    <w:basedOn w:val="Heading1"/>
    <w:next w:val="Normal"/>
    <w:uiPriority w:val="39"/>
    <w:semiHidden/>
    <w:unhideWhenUsed/>
    <w:qFormat/>
    <w:rsid w:val="005371C5"/>
    <w:pPr>
      <w:keepLines/>
      <w:spacing w:before="480" w:line="276" w:lineRule="auto"/>
      <w:jc w:val="left"/>
      <w:outlineLvl w:val="9"/>
    </w:pPr>
    <w:rPr>
      <w:rFonts w:asciiTheme="majorHAnsi" w:eastAsiaTheme="majorEastAsia" w:hAnsiTheme="majorHAnsi" w:cstheme="majorBidi"/>
      <w:b w:val="0"/>
      <w:bCs/>
      <w:caps w:val="0"/>
      <w:color w:val="365F91" w:themeColor="accent1" w:themeShade="BF"/>
      <w:sz w:val="28"/>
      <w:szCs w:val="28"/>
    </w:rPr>
  </w:style>
  <w:style w:type="paragraph" w:styleId="TOC6">
    <w:name w:val="toc 6"/>
    <w:basedOn w:val="Normal"/>
    <w:next w:val="Normal"/>
    <w:autoRedefine/>
    <w:uiPriority w:val="39"/>
    <w:rsid w:val="00B82DC9"/>
    <w:pPr>
      <w:tabs>
        <w:tab w:val="right" w:leader="dot" w:pos="9629"/>
      </w:tabs>
      <w:spacing w:after="100"/>
    </w:pPr>
  </w:style>
  <w:style w:type="paragraph" w:styleId="TOC7">
    <w:name w:val="toc 7"/>
    <w:basedOn w:val="Normal"/>
    <w:next w:val="Normal"/>
    <w:autoRedefine/>
    <w:uiPriority w:val="39"/>
    <w:rsid w:val="004C4380"/>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image" Target="media/image27.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10" Type="http://schemas.openxmlformats.org/officeDocument/2006/relationships/image" Target="media/image1.png"/><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9075C-DA1D-435A-87B8-430B6C40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5541</Words>
  <Characters>31840</Characters>
  <Application>Microsoft Office Word</Application>
  <DocSecurity>0</DocSecurity>
  <Lines>265</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C/48/4</vt:lpstr>
      <vt:lpstr>C/48/4</vt:lpstr>
    </vt:vector>
  </TitlesOfParts>
  <Company>UPOV</Company>
  <LinksUpToDate>false</LinksUpToDate>
  <CharactersWithSpaces>37307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C/48/4</dc:title>
  <dc:creator>DianaG</dc:creator>
  <dc:description>DG (trad. ext.) 22/7/2014</dc:description>
  <cp:lastModifiedBy>MAY Jessica</cp:lastModifiedBy>
  <cp:revision>13</cp:revision>
  <cp:lastPrinted>2014-08-29T12:45:00Z</cp:lastPrinted>
  <dcterms:created xsi:type="dcterms:W3CDTF">2014-08-07T15:38:00Z</dcterms:created>
  <dcterms:modified xsi:type="dcterms:W3CDTF">2014-08-29T12:45:00Z</dcterms:modified>
</cp:coreProperties>
</file>