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F27AC" w:rsidRPr="00741244" w:rsidTr="00C13808">
        <w:trPr>
          <w:trHeight w:val="1760"/>
        </w:trPr>
        <w:tc>
          <w:tcPr>
            <w:tcW w:w="4243" w:type="dxa"/>
          </w:tcPr>
          <w:p w:rsidR="000F27AC" w:rsidRPr="00B53441" w:rsidRDefault="000F27AC" w:rsidP="00F45372">
            <w:pPr>
              <w:rPr>
                <w:dstrike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F27AC" w:rsidRPr="00B53441" w:rsidRDefault="00DB6A31" w:rsidP="00F45372">
            <w:pPr>
              <w:pStyle w:val="LogoUPOV"/>
              <w:rPr>
                <w:dstrike/>
                <w:lang w:val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986155" cy="485140"/>
                  <wp:effectExtent l="0" t="0" r="444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F27AC" w:rsidRPr="00C42311" w:rsidRDefault="000F27AC" w:rsidP="00F45372">
            <w:pPr>
              <w:pStyle w:val="Lettrine"/>
              <w:rPr>
                <w:lang w:val="es-ES_tradnl"/>
              </w:rPr>
            </w:pPr>
            <w:r w:rsidRPr="00C42311">
              <w:rPr>
                <w:lang w:val="es-ES_tradnl"/>
              </w:rPr>
              <w:t>S</w:t>
            </w:r>
          </w:p>
          <w:p w:rsidR="000F27AC" w:rsidRPr="00C42311" w:rsidRDefault="000F27AC" w:rsidP="003E7998">
            <w:pPr>
              <w:pStyle w:val="Docoriginal"/>
              <w:ind w:left="880"/>
              <w:rPr>
                <w:lang w:val="es-ES_tradnl"/>
              </w:rPr>
            </w:pPr>
            <w:r w:rsidRPr="00C42311">
              <w:rPr>
                <w:lang w:val="es-ES_tradnl"/>
              </w:rPr>
              <w:t>C/48/</w:t>
            </w:r>
            <w:bookmarkStart w:id="0" w:name="Code"/>
            <w:bookmarkEnd w:id="0"/>
            <w:r w:rsidRPr="00C42311">
              <w:rPr>
                <w:lang w:val="es-ES_tradnl"/>
              </w:rPr>
              <w:t>15</w:t>
            </w:r>
          </w:p>
          <w:p w:rsidR="000F27AC" w:rsidRPr="00C42311" w:rsidRDefault="000F27AC" w:rsidP="003E7998">
            <w:pPr>
              <w:pStyle w:val="Docoriginal"/>
              <w:ind w:left="880"/>
              <w:rPr>
                <w:b w:val="0"/>
                <w:spacing w:val="0"/>
                <w:lang w:val="es-ES_tradnl"/>
              </w:rPr>
            </w:pPr>
            <w:r w:rsidRPr="00C42311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C42311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Pr="00C42311">
              <w:rPr>
                <w:b w:val="0"/>
                <w:spacing w:val="0"/>
                <w:lang w:val="es-ES_tradnl"/>
              </w:rPr>
              <w:t>Inglés</w:t>
            </w:r>
          </w:p>
          <w:p w:rsidR="000F27AC" w:rsidRPr="00C42311" w:rsidRDefault="000F27AC" w:rsidP="00A84775">
            <w:pPr>
              <w:pStyle w:val="Docoriginal"/>
              <w:ind w:left="880"/>
              <w:rPr>
                <w:lang w:val="es-ES_tradnl"/>
              </w:rPr>
            </w:pPr>
            <w:r w:rsidRPr="00C42311">
              <w:rPr>
                <w:spacing w:val="0"/>
                <w:lang w:val="es-ES_tradnl"/>
              </w:rPr>
              <w:t>FECHA:</w:t>
            </w:r>
            <w:r w:rsidRPr="00C42311">
              <w:rPr>
                <w:b w:val="0"/>
                <w:spacing w:val="0"/>
                <w:lang w:val="es-ES_tradnl"/>
              </w:rPr>
              <w:t xml:space="preserve"> </w:t>
            </w:r>
            <w:r w:rsidRPr="00C42311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Pr="00A84775">
              <w:rPr>
                <w:b w:val="0"/>
                <w:spacing w:val="0"/>
                <w:lang w:val="es-ES_tradnl"/>
              </w:rPr>
              <w:t>4 de ju</w:t>
            </w:r>
            <w:r w:rsidR="00A84775">
              <w:rPr>
                <w:b w:val="0"/>
                <w:spacing w:val="0"/>
                <w:lang w:val="es-ES_tradnl"/>
              </w:rPr>
              <w:t>l</w:t>
            </w:r>
            <w:r w:rsidRPr="00A84775">
              <w:rPr>
                <w:b w:val="0"/>
                <w:spacing w:val="0"/>
                <w:lang w:val="es-ES_tradnl"/>
              </w:rPr>
              <w:t>io de 2014</w:t>
            </w:r>
          </w:p>
        </w:tc>
      </w:tr>
      <w:tr w:rsidR="000F27AC" w:rsidRPr="00741244" w:rsidTr="00C13808">
        <w:tc>
          <w:tcPr>
            <w:tcW w:w="10131" w:type="dxa"/>
            <w:gridSpan w:val="3"/>
          </w:tcPr>
          <w:p w:rsidR="000F27AC" w:rsidRPr="00C42311" w:rsidRDefault="000F27AC" w:rsidP="00F45372">
            <w:pPr>
              <w:pStyle w:val="upove"/>
              <w:rPr>
                <w:sz w:val="28"/>
                <w:lang w:val="es-ES_tradnl"/>
              </w:rPr>
            </w:pPr>
            <w:r w:rsidRPr="00C42311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F27AC" w:rsidRPr="00B53441" w:rsidTr="00C13808">
        <w:tc>
          <w:tcPr>
            <w:tcW w:w="10131" w:type="dxa"/>
            <w:gridSpan w:val="3"/>
          </w:tcPr>
          <w:p w:rsidR="000F27AC" w:rsidRPr="00C42311" w:rsidRDefault="000F27AC" w:rsidP="00F45372">
            <w:pPr>
              <w:pStyle w:val="Country"/>
              <w:rPr>
                <w:lang w:val="es-ES_tradnl"/>
              </w:rPr>
            </w:pPr>
            <w:r w:rsidRPr="00C42311">
              <w:rPr>
                <w:lang w:val="es-ES_tradnl"/>
              </w:rPr>
              <w:t>Ginebra</w:t>
            </w:r>
          </w:p>
        </w:tc>
      </w:tr>
    </w:tbl>
    <w:p w:rsidR="000F27AC" w:rsidRPr="00C42311" w:rsidRDefault="000F27AC" w:rsidP="00F45372">
      <w:pPr>
        <w:pStyle w:val="Sessiontc"/>
        <w:rPr>
          <w:lang w:val="es-ES_tradnl"/>
        </w:rPr>
      </w:pPr>
      <w:r w:rsidRPr="00C42311">
        <w:rPr>
          <w:lang w:val="es-ES_tradnl"/>
        </w:rPr>
        <w:t>CONSEJO</w:t>
      </w:r>
    </w:p>
    <w:p w:rsidR="000F27AC" w:rsidRPr="00C42311" w:rsidRDefault="000F27AC" w:rsidP="00F45372">
      <w:pPr>
        <w:pStyle w:val="Sessiontcplacedate"/>
        <w:rPr>
          <w:lang w:val="es-ES_tradnl"/>
        </w:rPr>
      </w:pPr>
      <w:r w:rsidRPr="00C42311">
        <w:rPr>
          <w:lang w:val="es-ES_tradnl"/>
        </w:rPr>
        <w:t>Cuadragésima octava sesión ordinaria</w:t>
      </w:r>
      <w:r w:rsidRPr="00C42311">
        <w:rPr>
          <w:lang w:val="es-ES_tradnl"/>
        </w:rPr>
        <w:br/>
        <w:t>Ginebra, 16 de octubre de 2014</w:t>
      </w:r>
    </w:p>
    <w:p w:rsidR="000F27AC" w:rsidRPr="007519CD" w:rsidRDefault="000F27AC" w:rsidP="000057DB">
      <w:pPr>
        <w:pStyle w:val="Titleofdoc0"/>
        <w:rPr>
          <w:lang w:val="es-ES_tradnl"/>
        </w:rPr>
      </w:pPr>
      <w:bookmarkStart w:id="2" w:name="TitleOfDoc"/>
      <w:bookmarkEnd w:id="2"/>
      <w:r w:rsidRPr="000057DB">
        <w:rPr>
          <w:lang w:val="es-ES_tradnl"/>
        </w:rPr>
        <w:t>NOMBRAMIENTO DEL SECRETARIO GENERAL</w:t>
      </w:r>
    </w:p>
    <w:p w:rsidR="000F27AC" w:rsidRPr="00C42311" w:rsidRDefault="000F27AC" w:rsidP="00F45372">
      <w:pPr>
        <w:pStyle w:val="preparedby1"/>
        <w:rPr>
          <w:lang w:val="es-ES_tradnl"/>
        </w:rPr>
      </w:pPr>
      <w:bookmarkStart w:id="3" w:name="Prepared"/>
      <w:bookmarkEnd w:id="3"/>
      <w:r w:rsidRPr="00C42311">
        <w:rPr>
          <w:lang w:val="es-ES_tradnl"/>
        </w:rPr>
        <w:t>Documento preparado por la Oficina de la Unión</w:t>
      </w:r>
      <w:r w:rsidRPr="00C42311">
        <w:rPr>
          <w:lang w:val="es-ES_tradnl"/>
        </w:rPr>
        <w:br/>
      </w:r>
      <w:r w:rsidRPr="00C42311">
        <w:rPr>
          <w:lang w:val="es-ES_tradnl"/>
        </w:rPr>
        <w:br/>
      </w:r>
      <w:r w:rsidRPr="00C42311">
        <w:rPr>
          <w:color w:val="A6A6A6"/>
          <w:lang w:val="es-ES_tradnl"/>
        </w:rPr>
        <w:t>Descargo de responsabilidad</w:t>
      </w:r>
      <w:proofErr w:type="gramStart"/>
      <w:r w:rsidRPr="00C42311">
        <w:rPr>
          <w:color w:val="A6A6A6"/>
          <w:lang w:val="es-ES_tradnl"/>
        </w:rPr>
        <w:t>:  el</w:t>
      </w:r>
      <w:proofErr w:type="gramEnd"/>
      <w:r w:rsidRPr="00C42311">
        <w:rPr>
          <w:color w:val="A6A6A6"/>
          <w:lang w:val="es-ES_tradnl"/>
        </w:rPr>
        <w:t xml:space="preserve"> presente documento no constituye</w:t>
      </w:r>
      <w:r w:rsidRPr="00C42311">
        <w:rPr>
          <w:color w:val="A6A6A6"/>
          <w:lang w:val="es-ES_tradnl"/>
        </w:rPr>
        <w:br/>
        <w:t>un documento de política u orientación de la UPOV</w:t>
      </w:r>
    </w:p>
    <w:p w:rsidR="000F27AC" w:rsidRPr="00DB6A31" w:rsidRDefault="000F27AC" w:rsidP="00A75BC2">
      <w:pPr>
        <w:rPr>
          <w:u w:val="single"/>
          <w:lang w:val="es-ES_tradnl"/>
        </w:rPr>
      </w:pPr>
      <w:r w:rsidRPr="00C42311">
        <w:rPr>
          <w:u w:val="single"/>
          <w:lang w:val="es-ES_tradnl"/>
        </w:rPr>
        <w:t>Introducción</w:t>
      </w:r>
    </w:p>
    <w:p w:rsidR="000F27AC" w:rsidRPr="00DB6A31" w:rsidRDefault="000F27AC" w:rsidP="00A75BC2">
      <w:pPr>
        <w:rPr>
          <w:u w:val="single"/>
          <w:lang w:val="es-ES_tradnl"/>
        </w:rPr>
      </w:pPr>
    </w:p>
    <w:p w:rsidR="000F27AC" w:rsidRPr="00DB6A31" w:rsidRDefault="000F27AC" w:rsidP="00A75BC2">
      <w:pPr>
        <w:rPr>
          <w:lang w:val="es-ES_tradnl"/>
        </w:rPr>
      </w:pPr>
      <w:r w:rsidRPr="00EA26D0">
        <w:fldChar w:fldCharType="begin"/>
      </w:r>
      <w:r w:rsidRPr="00DB6A31">
        <w:rPr>
          <w:lang w:val="es-ES_tradnl"/>
        </w:rPr>
        <w:instrText xml:space="preserve"> AUTONUM  </w:instrText>
      </w:r>
      <w:r w:rsidRPr="00EA26D0">
        <w:fldChar w:fldCharType="end"/>
      </w:r>
      <w:r w:rsidRPr="00DB6A31">
        <w:rPr>
          <w:lang w:val="es-ES_tradnl"/>
        </w:rPr>
        <w:tab/>
      </w:r>
      <w:r w:rsidRPr="002371C1">
        <w:rPr>
          <w:lang w:val="es-ES_tradnl"/>
        </w:rPr>
        <w:t>En el Convenio de la UPOV (artículo 26.5</w:t>
      </w:r>
      <w:proofErr w:type="gramStart"/>
      <w:r w:rsidRPr="002371C1">
        <w:rPr>
          <w:lang w:val="es-ES_tradnl"/>
        </w:rPr>
        <w:t>)iii</w:t>
      </w:r>
      <w:proofErr w:type="gramEnd"/>
      <w:r w:rsidRPr="002371C1">
        <w:rPr>
          <w:lang w:val="es-ES_tradnl"/>
        </w:rPr>
        <w:t>) del Acta de 1991 y artículo 21.b) del Acta de 1978) se dispone que el Consejo de la UPOV nombra al Secretario General de la UPOV y fija las condiciones de su nombramiento.</w:t>
      </w:r>
      <w:r w:rsidRPr="00DB6A31">
        <w:rPr>
          <w:lang w:val="es-ES_tradnl"/>
        </w:rPr>
        <w:t xml:space="preserve"> </w:t>
      </w:r>
    </w:p>
    <w:p w:rsidR="000F27AC" w:rsidRPr="00DB6A31" w:rsidRDefault="000F27AC" w:rsidP="00A75BC2">
      <w:pPr>
        <w:rPr>
          <w:lang w:val="es-ES_tradnl"/>
        </w:rPr>
      </w:pPr>
    </w:p>
    <w:p w:rsidR="000F27AC" w:rsidRPr="00DB6A31" w:rsidRDefault="000F27AC" w:rsidP="00A75BC2">
      <w:pPr>
        <w:rPr>
          <w:lang w:val="es-ES_tradnl"/>
        </w:rPr>
      </w:pPr>
      <w:r w:rsidRPr="00EA26D0">
        <w:fldChar w:fldCharType="begin"/>
      </w:r>
      <w:r w:rsidRPr="00DB6A31">
        <w:rPr>
          <w:lang w:val="es-ES_tradnl"/>
        </w:rPr>
        <w:instrText xml:space="preserve"> AUTONUM  </w:instrText>
      </w:r>
      <w:r w:rsidRPr="00EA26D0">
        <w:fldChar w:fldCharType="end"/>
      </w:r>
      <w:r w:rsidRPr="00DB6A31">
        <w:rPr>
          <w:lang w:val="es-ES_tradnl"/>
        </w:rPr>
        <w:tab/>
      </w:r>
      <w:r w:rsidRPr="002371C1">
        <w:rPr>
          <w:lang w:val="es-ES_tradnl"/>
        </w:rPr>
        <w:t>En el artículo 4 del Acuerdo entre la Organización Mundial de la Propiedad Intelectual y la Unión Internacional para la Protección de las Obtenciones Vegetales (Acuerdo OMPI-UPOV, documento UPOV/INF/8), firmado el 26 de noviembre de 1982, se dispone lo siguiente:</w:t>
      </w:r>
    </w:p>
    <w:p w:rsidR="000F27AC" w:rsidRPr="00C13F54" w:rsidRDefault="000F27AC" w:rsidP="007519CD">
      <w:pPr>
        <w:rPr>
          <w:lang w:val="es-ES_tradnl"/>
        </w:rPr>
      </w:pPr>
    </w:p>
    <w:p w:rsidR="000F27AC" w:rsidRPr="00C13F54" w:rsidRDefault="000F27AC" w:rsidP="002371C1">
      <w:pPr>
        <w:spacing w:after="120"/>
        <w:ind w:left="567" w:right="567"/>
        <w:rPr>
          <w:lang w:val="es-ES_tradnl"/>
        </w:rPr>
      </w:pPr>
      <w:r w:rsidRPr="00C13F54">
        <w:rPr>
          <w:lang w:val="es-ES_tradnl"/>
        </w:rPr>
        <w:tab/>
      </w:r>
      <w:r w:rsidRPr="00C42311">
        <w:rPr>
          <w:lang w:val="es-ES_tradnl"/>
        </w:rPr>
        <w:t>“1)</w:t>
      </w:r>
      <w:r w:rsidRPr="00C13F54">
        <w:rPr>
          <w:lang w:val="es-ES_tradnl"/>
        </w:rPr>
        <w:tab/>
      </w:r>
      <w:r w:rsidRPr="002371C1">
        <w:rPr>
          <w:lang w:val="es-ES_tradnl"/>
        </w:rPr>
        <w:t>El Consejo de la UPOV nombrará como Secretario General de la UPOV al Director General de la OMPI.</w:t>
      </w:r>
    </w:p>
    <w:p w:rsidR="000F27AC" w:rsidRPr="00C13F54" w:rsidRDefault="000F27AC" w:rsidP="002371C1">
      <w:pPr>
        <w:spacing w:after="120"/>
        <w:ind w:left="567" w:right="567"/>
        <w:rPr>
          <w:lang w:val="es-ES_tradnl"/>
        </w:rPr>
      </w:pPr>
      <w:r w:rsidRPr="00C42311">
        <w:rPr>
          <w:lang w:val="es-ES_tradnl"/>
        </w:rPr>
        <w:tab/>
        <w:t>2)</w:t>
      </w:r>
      <w:r w:rsidRPr="00C13F54">
        <w:rPr>
          <w:lang w:val="es-ES_tradnl"/>
        </w:rPr>
        <w:tab/>
      </w:r>
      <w:r w:rsidRPr="002371C1">
        <w:rPr>
          <w:lang w:val="es-ES_tradnl"/>
        </w:rPr>
        <w:t>Cuando el puesto de Director General de la OMPI esté vacante, y por todo el tiempo que dicho puesto quede vacante, la persona que actúe como Director General de la OMPI será el Secretario General de la UPOV en funciones.</w:t>
      </w:r>
    </w:p>
    <w:p w:rsidR="000F27AC" w:rsidRPr="00C13F54" w:rsidRDefault="000F27AC" w:rsidP="002371C1">
      <w:pPr>
        <w:spacing w:after="120"/>
        <w:ind w:left="567" w:right="567"/>
        <w:rPr>
          <w:lang w:val="es-ES_tradnl"/>
        </w:rPr>
      </w:pPr>
      <w:r w:rsidRPr="00C42311">
        <w:rPr>
          <w:lang w:val="es-ES_tradnl"/>
        </w:rPr>
        <w:tab/>
        <w:t>3)</w:t>
      </w:r>
      <w:r w:rsidRPr="00C13F54">
        <w:rPr>
          <w:lang w:val="es-ES_tradnl"/>
        </w:rPr>
        <w:tab/>
      </w:r>
      <w:r w:rsidRPr="002371C1">
        <w:rPr>
          <w:lang w:val="es-ES_tradnl"/>
        </w:rPr>
        <w:t>Durante el período entre la fecha efectiva del nombramiento del Director General de la OMPI y su nombramiento como Secretario General de la UPOV, será Secretario General de la UPOV en funciones.</w:t>
      </w:r>
    </w:p>
    <w:p w:rsidR="000F27AC" w:rsidRPr="00C13F54" w:rsidRDefault="000F27AC" w:rsidP="002371C1">
      <w:pPr>
        <w:spacing w:after="120"/>
        <w:ind w:left="567" w:right="567"/>
        <w:rPr>
          <w:lang w:val="es-ES_tradnl"/>
        </w:rPr>
      </w:pPr>
      <w:r w:rsidRPr="00C42311">
        <w:rPr>
          <w:lang w:val="es-ES_tradnl"/>
        </w:rPr>
        <w:tab/>
        <w:t>4)</w:t>
      </w:r>
      <w:r w:rsidRPr="00C13F54">
        <w:rPr>
          <w:lang w:val="es-ES_tradnl"/>
        </w:rPr>
        <w:tab/>
      </w:r>
      <w:r w:rsidRPr="002371C1">
        <w:rPr>
          <w:lang w:val="es-ES_tradnl"/>
        </w:rPr>
        <w:t>El nombramiento del Secretario General de la UPOV durará tanto tiempo como sea Director General de la OMPI y cesará el día en que cese su nombramiento como Director General de la OMPI.</w:t>
      </w:r>
    </w:p>
    <w:p w:rsidR="000F27AC" w:rsidRPr="00C13F54" w:rsidRDefault="000F27AC" w:rsidP="007519CD">
      <w:pPr>
        <w:ind w:left="567" w:right="566"/>
        <w:rPr>
          <w:lang w:val="es-ES_tradnl"/>
        </w:rPr>
      </w:pPr>
      <w:r w:rsidRPr="00C42311">
        <w:rPr>
          <w:lang w:val="es-ES_tradnl"/>
        </w:rPr>
        <w:tab/>
        <w:t>5)</w:t>
      </w:r>
      <w:r w:rsidRPr="00C13F54">
        <w:rPr>
          <w:lang w:val="es-ES_tradnl"/>
        </w:rPr>
        <w:tab/>
      </w:r>
      <w:r w:rsidRPr="002371C1">
        <w:rPr>
          <w:lang w:val="es-ES_tradnl"/>
        </w:rPr>
        <w:t>La remuneración del Secretario General de la UPOV, pagadera por la UPOV, será determinada por el Consejo de la UPOV.</w:t>
      </w:r>
      <w:r w:rsidRPr="00DB6A31">
        <w:rPr>
          <w:lang w:val="es-ES_tradnl"/>
        </w:rPr>
        <w:t>”</w:t>
      </w:r>
    </w:p>
    <w:p w:rsidR="000F27AC" w:rsidRPr="00DB6A31" w:rsidRDefault="000F27AC" w:rsidP="007519CD">
      <w:pPr>
        <w:rPr>
          <w:szCs w:val="24"/>
          <w:u w:val="single"/>
          <w:lang w:val="es-ES_tradnl"/>
        </w:rPr>
      </w:pPr>
    </w:p>
    <w:p w:rsidR="000F27AC" w:rsidRPr="00DB6A31" w:rsidRDefault="000F27AC" w:rsidP="002D1B0F">
      <w:pPr>
        <w:rPr>
          <w:lang w:val="es-ES_tradnl"/>
        </w:rPr>
      </w:pPr>
      <w:r>
        <w:fldChar w:fldCharType="begin"/>
      </w:r>
      <w:r w:rsidRPr="00DB6A31">
        <w:rPr>
          <w:lang w:val="es-ES_tradnl"/>
        </w:rPr>
        <w:instrText xml:space="preserve"> AUTONUM  </w:instrText>
      </w:r>
      <w:r>
        <w:fldChar w:fldCharType="end"/>
      </w:r>
      <w:r w:rsidRPr="00DB6A31">
        <w:rPr>
          <w:lang w:val="es-ES_tradnl"/>
        </w:rPr>
        <w:tab/>
      </w:r>
      <w:r w:rsidRPr="002371C1">
        <w:rPr>
          <w:lang w:val="es-ES_tradnl"/>
        </w:rPr>
        <w:t xml:space="preserve">En su cuadragésima segunda sesión ordinaria, celebrada en Ginebra el 30 de octubre de 2008, el Consejo decidió nombrar al Sr. Francis </w:t>
      </w:r>
      <w:proofErr w:type="spellStart"/>
      <w:r w:rsidRPr="002371C1">
        <w:rPr>
          <w:lang w:val="es-ES_tradnl"/>
        </w:rPr>
        <w:t>Gurry</w:t>
      </w:r>
      <w:proofErr w:type="spellEnd"/>
      <w:r w:rsidRPr="002371C1">
        <w:rPr>
          <w:lang w:val="es-ES_tradnl"/>
        </w:rPr>
        <w:t xml:space="preserve"> Secretario General de la UPOV para el período comprendido entre el 30 de octubre de 2008 y el 30 de septiembre de 2014.</w:t>
      </w:r>
    </w:p>
    <w:p w:rsidR="000F27AC" w:rsidRPr="00DB6A31" w:rsidRDefault="000F27AC" w:rsidP="002D1B0F">
      <w:pPr>
        <w:rPr>
          <w:lang w:val="es-ES_tradnl"/>
        </w:rPr>
      </w:pPr>
    </w:p>
    <w:p w:rsidR="000F27AC" w:rsidRPr="00DB6A31" w:rsidRDefault="000F27AC" w:rsidP="009A08B8">
      <w:pPr>
        <w:rPr>
          <w:szCs w:val="24"/>
          <w:u w:val="single"/>
          <w:lang w:val="es-ES_tradnl"/>
        </w:rPr>
      </w:pPr>
      <w:r w:rsidRPr="002371C1">
        <w:rPr>
          <w:szCs w:val="24"/>
          <w:u w:val="single"/>
          <w:lang w:val="es-ES_tradnl"/>
        </w:rPr>
        <w:t>Nombramiento del Director General de la OMPI</w:t>
      </w:r>
    </w:p>
    <w:p w:rsidR="000F27AC" w:rsidRPr="002D1B0F" w:rsidRDefault="000F27AC" w:rsidP="002D1B0F">
      <w:pPr>
        <w:rPr>
          <w:szCs w:val="24"/>
          <w:u w:val="single"/>
          <w:lang w:val="es-ES_tradnl"/>
        </w:rPr>
      </w:pPr>
    </w:p>
    <w:p w:rsidR="000F27AC" w:rsidRPr="00DB6A31" w:rsidRDefault="000F27AC" w:rsidP="002D1B0F">
      <w:pPr>
        <w:pStyle w:val="Closing"/>
        <w:tabs>
          <w:tab w:val="left" w:pos="0"/>
        </w:tabs>
        <w:ind w:left="0"/>
        <w:jc w:val="both"/>
        <w:rPr>
          <w:szCs w:val="24"/>
          <w:u w:val="single"/>
          <w:lang w:val="es-ES_tradnl"/>
        </w:rPr>
      </w:pPr>
      <w:r w:rsidRPr="00697DE7">
        <w:rPr>
          <w:szCs w:val="24"/>
        </w:rPr>
        <w:fldChar w:fldCharType="begin"/>
      </w:r>
      <w:r w:rsidRPr="00DB6A31">
        <w:rPr>
          <w:szCs w:val="24"/>
          <w:lang w:val="es-ES_tradnl"/>
        </w:rPr>
        <w:instrText xml:space="preserve"> AUTONUM  </w:instrText>
      </w:r>
      <w:r w:rsidRPr="00697DE7">
        <w:rPr>
          <w:szCs w:val="24"/>
        </w:rPr>
        <w:fldChar w:fldCharType="end"/>
      </w:r>
      <w:r w:rsidRPr="00DB6A31">
        <w:rPr>
          <w:szCs w:val="24"/>
          <w:lang w:val="es-ES_tradnl"/>
        </w:rPr>
        <w:tab/>
      </w:r>
      <w:r w:rsidRPr="002371C1">
        <w:rPr>
          <w:szCs w:val="24"/>
          <w:lang w:val="es-ES_tradnl"/>
        </w:rPr>
        <w:t xml:space="preserve">En su cuadragésimo quinto período de sesiones (24º extraordinario), </w:t>
      </w:r>
      <w:r w:rsidR="00741244">
        <w:rPr>
          <w:szCs w:val="24"/>
          <w:lang w:val="es-ES_tradnl"/>
        </w:rPr>
        <w:t>celebrado en Ginebra los días 8 </w:t>
      </w:r>
      <w:r w:rsidRPr="002371C1">
        <w:rPr>
          <w:szCs w:val="24"/>
          <w:lang w:val="es-ES_tradnl"/>
        </w:rPr>
        <w:t>y 9 de mayo de 2014, la Asamblea General de la OMPI designó Director General de</w:t>
      </w:r>
      <w:r w:rsidR="00741244">
        <w:rPr>
          <w:szCs w:val="24"/>
          <w:lang w:val="es-ES_tradnl"/>
        </w:rPr>
        <w:t xml:space="preserve"> la OMPI al Sr. Francis </w:t>
      </w:r>
      <w:proofErr w:type="spellStart"/>
      <w:r w:rsidRPr="002371C1">
        <w:rPr>
          <w:szCs w:val="24"/>
          <w:lang w:val="es-ES_tradnl"/>
        </w:rPr>
        <w:t>Gurry</w:t>
      </w:r>
      <w:proofErr w:type="spellEnd"/>
      <w:r w:rsidRPr="002371C1">
        <w:rPr>
          <w:szCs w:val="24"/>
          <w:lang w:val="es-ES_tradnl"/>
        </w:rPr>
        <w:t xml:space="preserve"> para el período comprendido entre el 30 de octubre de 2014 y el 30 de septiembre de 2020.</w:t>
      </w:r>
    </w:p>
    <w:p w:rsidR="000F27AC" w:rsidRPr="00DB6A31" w:rsidRDefault="000F27AC" w:rsidP="002D1B0F">
      <w:pPr>
        <w:rPr>
          <w:szCs w:val="24"/>
          <w:u w:val="single"/>
          <w:lang w:val="es-ES_tradnl"/>
        </w:rPr>
      </w:pPr>
    </w:p>
    <w:p w:rsidR="000F27AC" w:rsidRPr="00DB6A31" w:rsidRDefault="000F27AC" w:rsidP="002371C1">
      <w:pPr>
        <w:tabs>
          <w:tab w:val="left" w:pos="0"/>
        </w:tabs>
        <w:spacing w:after="120"/>
        <w:ind w:right="-1"/>
        <w:rPr>
          <w:szCs w:val="24"/>
          <w:lang w:val="es-ES_tradnl"/>
        </w:rPr>
      </w:pPr>
      <w:r w:rsidRPr="00697DE7">
        <w:rPr>
          <w:szCs w:val="24"/>
        </w:rPr>
        <w:fldChar w:fldCharType="begin"/>
      </w:r>
      <w:r w:rsidRPr="00DB6A31">
        <w:rPr>
          <w:szCs w:val="24"/>
          <w:lang w:val="es-ES_tradnl"/>
        </w:rPr>
        <w:instrText xml:space="preserve"> AUTONUM  </w:instrText>
      </w:r>
      <w:r w:rsidRPr="00697DE7">
        <w:rPr>
          <w:szCs w:val="24"/>
        </w:rPr>
        <w:fldChar w:fldCharType="end"/>
      </w:r>
      <w:r w:rsidRPr="00DB6A31">
        <w:rPr>
          <w:szCs w:val="24"/>
          <w:lang w:val="es-ES_tradnl"/>
        </w:rPr>
        <w:tab/>
      </w:r>
      <w:r w:rsidRPr="002371C1">
        <w:rPr>
          <w:spacing w:val="-2"/>
          <w:szCs w:val="24"/>
          <w:lang w:val="es-ES_tradnl"/>
        </w:rPr>
        <w:t>De conformidad con lo dispuesto en el artículo 4.3) del Acuerdo OMPI-</w:t>
      </w:r>
      <w:r w:rsidRPr="002371C1">
        <w:rPr>
          <w:rFonts w:cs="Arial"/>
          <w:spacing w:val="-2"/>
          <w:szCs w:val="24"/>
          <w:lang w:val="es-ES_tradnl"/>
        </w:rPr>
        <w:t>UPOV</w:t>
      </w:r>
      <w:r w:rsidRPr="002371C1">
        <w:rPr>
          <w:spacing w:val="-2"/>
          <w:szCs w:val="24"/>
          <w:lang w:val="es-ES_tradnl"/>
        </w:rPr>
        <w:t xml:space="preserve">, el Sr. </w:t>
      </w:r>
      <w:proofErr w:type="spellStart"/>
      <w:r w:rsidRPr="002371C1">
        <w:rPr>
          <w:spacing w:val="-2"/>
          <w:szCs w:val="24"/>
          <w:lang w:val="es-ES_tradnl"/>
        </w:rPr>
        <w:t>Gurry</w:t>
      </w:r>
      <w:proofErr w:type="spellEnd"/>
      <w:r w:rsidRPr="002371C1">
        <w:rPr>
          <w:spacing w:val="-2"/>
          <w:szCs w:val="24"/>
          <w:lang w:val="es-ES_tradnl"/>
        </w:rPr>
        <w:t xml:space="preserve"> será el Secretario General en funciones de la UPOV a partir del 1 de octubre de 2014.</w:t>
      </w:r>
    </w:p>
    <w:p w:rsidR="000F27AC" w:rsidRPr="00DB6A31" w:rsidRDefault="000F27AC" w:rsidP="002D1B0F">
      <w:pPr>
        <w:rPr>
          <w:szCs w:val="24"/>
          <w:lang w:val="es-ES_tradnl"/>
        </w:rPr>
      </w:pPr>
    </w:p>
    <w:p w:rsidR="000F27AC" w:rsidRPr="00DB6A31" w:rsidRDefault="000F27AC" w:rsidP="009A08B8">
      <w:pPr>
        <w:rPr>
          <w:szCs w:val="24"/>
          <w:u w:val="single"/>
          <w:lang w:val="es-ES_tradnl"/>
        </w:rPr>
      </w:pPr>
      <w:r w:rsidRPr="002371C1">
        <w:rPr>
          <w:szCs w:val="24"/>
          <w:u w:val="single"/>
          <w:lang w:val="es-ES_tradnl"/>
        </w:rPr>
        <w:t>Nombramiento del Secretario General de la UPOV</w:t>
      </w:r>
    </w:p>
    <w:p w:rsidR="000F27AC" w:rsidRPr="002D1B0F" w:rsidRDefault="000F27AC" w:rsidP="002D1B0F">
      <w:pPr>
        <w:rPr>
          <w:szCs w:val="24"/>
          <w:u w:val="single"/>
          <w:lang w:val="es-ES_tradnl"/>
        </w:rPr>
      </w:pPr>
    </w:p>
    <w:p w:rsidR="000F27AC" w:rsidRPr="00DB6A31" w:rsidRDefault="000F27AC" w:rsidP="002D1B0F">
      <w:pPr>
        <w:pStyle w:val="Closing"/>
        <w:tabs>
          <w:tab w:val="left" w:pos="0"/>
        </w:tabs>
        <w:ind w:left="0"/>
        <w:jc w:val="both"/>
        <w:rPr>
          <w:lang w:val="es-ES_tradnl"/>
        </w:rPr>
      </w:pPr>
      <w:r w:rsidRPr="00697DE7">
        <w:fldChar w:fldCharType="begin"/>
      </w:r>
      <w:r w:rsidRPr="00DB6A31">
        <w:rPr>
          <w:lang w:val="es-ES_tradnl"/>
        </w:rPr>
        <w:instrText xml:space="preserve"> AUTONUM  </w:instrText>
      </w:r>
      <w:r w:rsidRPr="00697DE7">
        <w:fldChar w:fldCharType="end"/>
      </w:r>
      <w:r w:rsidRPr="00DB6A31">
        <w:rPr>
          <w:lang w:val="es-ES_tradnl"/>
        </w:rPr>
        <w:tab/>
      </w:r>
      <w:r w:rsidRPr="002371C1">
        <w:rPr>
          <w:lang w:val="es-ES_tradnl"/>
        </w:rPr>
        <w:t>Con arreglo a las disposiciones pertinentes del Convenio de la UP</w:t>
      </w:r>
      <w:r w:rsidR="00BB40B7">
        <w:rPr>
          <w:lang w:val="es-ES_tradnl"/>
        </w:rPr>
        <w:t>OV (artículo 26.5</w:t>
      </w:r>
      <w:proofErr w:type="gramStart"/>
      <w:r w:rsidR="00BB40B7">
        <w:rPr>
          <w:lang w:val="es-ES_tradnl"/>
        </w:rPr>
        <w:t>)iii</w:t>
      </w:r>
      <w:proofErr w:type="gramEnd"/>
      <w:r w:rsidR="00BB40B7">
        <w:rPr>
          <w:lang w:val="es-ES_tradnl"/>
        </w:rPr>
        <w:t>) del Acta </w:t>
      </w:r>
      <w:r w:rsidRPr="002371C1">
        <w:rPr>
          <w:lang w:val="es-ES_tradnl"/>
        </w:rPr>
        <w:t>de 1991 y artículo 21.b) del Acta de 1978) y del Acuerdo OMPI-UPOV (véanse los párrafos 1 y 2 del presente documento), se invita al Consejo a nombrar al Sr. </w:t>
      </w:r>
      <w:proofErr w:type="spellStart"/>
      <w:r w:rsidRPr="002371C1">
        <w:rPr>
          <w:lang w:val="es-ES_tradnl"/>
        </w:rPr>
        <w:t>Gurry</w:t>
      </w:r>
      <w:proofErr w:type="spellEnd"/>
      <w:r w:rsidRPr="002371C1">
        <w:rPr>
          <w:lang w:val="es-ES_tradnl"/>
        </w:rPr>
        <w:t xml:space="preserve"> Secretario General de la UPOV para el período comprendido entre el 16 de octubre de 2014 y el 30 de septiembre de 2020.</w:t>
      </w:r>
      <w:r w:rsidRPr="00DB6A31">
        <w:rPr>
          <w:lang w:val="es-ES_tradnl"/>
        </w:rPr>
        <w:t xml:space="preserve">  </w:t>
      </w:r>
      <w:r w:rsidRPr="002371C1">
        <w:rPr>
          <w:lang w:val="es-ES_tradnl"/>
        </w:rPr>
        <w:t>En el Anexo del presente documento figura el currículum vítae del Sr. </w:t>
      </w:r>
      <w:proofErr w:type="spellStart"/>
      <w:r w:rsidRPr="002371C1">
        <w:rPr>
          <w:lang w:val="es-ES_tradnl"/>
        </w:rPr>
        <w:t>Gurry</w:t>
      </w:r>
      <w:proofErr w:type="spellEnd"/>
      <w:r w:rsidRPr="002371C1">
        <w:rPr>
          <w:lang w:val="es-ES_tradnl"/>
        </w:rPr>
        <w:t>.</w:t>
      </w:r>
    </w:p>
    <w:p w:rsidR="000F27AC" w:rsidRPr="00DB6A31" w:rsidRDefault="000F27AC" w:rsidP="002D1B0F">
      <w:pPr>
        <w:pStyle w:val="Closing"/>
        <w:tabs>
          <w:tab w:val="left" w:pos="0"/>
        </w:tabs>
        <w:ind w:left="0"/>
        <w:jc w:val="both"/>
        <w:rPr>
          <w:lang w:val="es-ES_tradnl"/>
        </w:rPr>
      </w:pPr>
    </w:p>
    <w:p w:rsidR="000F27AC" w:rsidRPr="00DB6A31" w:rsidRDefault="000F27AC" w:rsidP="009A08B8">
      <w:pPr>
        <w:pStyle w:val="Closing"/>
        <w:tabs>
          <w:tab w:val="left" w:pos="0"/>
        </w:tabs>
        <w:ind w:left="0"/>
        <w:jc w:val="both"/>
        <w:rPr>
          <w:lang w:val="es-ES_tradnl"/>
        </w:rPr>
      </w:pPr>
      <w:r>
        <w:fldChar w:fldCharType="begin"/>
      </w:r>
      <w:r w:rsidRPr="00DB6A31">
        <w:rPr>
          <w:lang w:val="es-ES_tradnl"/>
        </w:rPr>
        <w:instrText xml:space="preserve"> AUTONUM  </w:instrText>
      </w:r>
      <w:r>
        <w:fldChar w:fldCharType="end"/>
      </w:r>
      <w:r w:rsidRPr="00DB6A31">
        <w:rPr>
          <w:lang w:val="es-ES_tradnl"/>
        </w:rPr>
        <w:tab/>
      </w:r>
      <w:r w:rsidRPr="002371C1">
        <w:rPr>
          <w:lang w:val="es-ES_tradnl"/>
        </w:rPr>
        <w:t>Por otra parte, en el artículo 4.5) del Acuerdo OMPI-UPOV se estipula que “la remuneración del Secretario General de la UPOV, pagadera por la UPOV, será determinada por el Consejo de la UPOV.”</w:t>
      </w:r>
    </w:p>
    <w:p w:rsidR="000F27AC" w:rsidRPr="002D1B0F" w:rsidRDefault="000F27AC" w:rsidP="002D1B0F">
      <w:pPr>
        <w:pStyle w:val="Closing"/>
        <w:tabs>
          <w:tab w:val="left" w:pos="0"/>
        </w:tabs>
        <w:ind w:left="0"/>
        <w:jc w:val="both"/>
        <w:rPr>
          <w:lang w:val="es-ES_tradnl"/>
        </w:rPr>
      </w:pPr>
    </w:p>
    <w:p w:rsidR="000F27AC" w:rsidRPr="00DB6A31" w:rsidRDefault="000F27AC" w:rsidP="002D1B0F">
      <w:pPr>
        <w:pStyle w:val="Closing"/>
        <w:tabs>
          <w:tab w:val="left" w:pos="0"/>
        </w:tabs>
        <w:ind w:left="0"/>
        <w:jc w:val="both"/>
        <w:rPr>
          <w:lang w:val="es-ES_tradnl"/>
        </w:rPr>
      </w:pPr>
      <w:r>
        <w:fldChar w:fldCharType="begin"/>
      </w:r>
      <w:r w:rsidRPr="00DB6A31">
        <w:rPr>
          <w:lang w:val="es-ES_tradnl"/>
        </w:rPr>
        <w:instrText xml:space="preserve"> AUTONUM  </w:instrText>
      </w:r>
      <w:r>
        <w:fldChar w:fldCharType="end"/>
      </w:r>
      <w:r w:rsidRPr="00DB6A31">
        <w:rPr>
          <w:lang w:val="es-ES_tradnl"/>
        </w:rPr>
        <w:tab/>
      </w:r>
      <w:r w:rsidRPr="002371C1">
        <w:rPr>
          <w:lang w:val="es-ES_tradnl"/>
        </w:rPr>
        <w:t>De conformidad con las decisiones del Consejo de la UPOV, la remuneración del Secretario General de la UPOV será equivalente al 20% del sueldo, incluido el importe correspondiente al ajuste por lugar de destino, que recibe en su calidad de Director General de la OMPI.</w:t>
      </w:r>
    </w:p>
    <w:p w:rsidR="000F27AC" w:rsidRPr="00DB6A31" w:rsidRDefault="000F27AC" w:rsidP="002D1B0F">
      <w:pPr>
        <w:pStyle w:val="Closing"/>
        <w:tabs>
          <w:tab w:val="left" w:pos="0"/>
        </w:tabs>
        <w:ind w:left="0"/>
        <w:jc w:val="both"/>
        <w:rPr>
          <w:lang w:val="es-ES_tradnl"/>
        </w:rPr>
      </w:pPr>
    </w:p>
    <w:p w:rsidR="000F27AC" w:rsidRPr="00DB6A31" w:rsidRDefault="000F27AC" w:rsidP="002D1B0F">
      <w:pPr>
        <w:pStyle w:val="Closing"/>
        <w:tabs>
          <w:tab w:val="left" w:pos="0"/>
        </w:tabs>
        <w:ind w:left="0"/>
        <w:jc w:val="both"/>
        <w:rPr>
          <w:szCs w:val="24"/>
          <w:lang w:val="es-ES_tradnl"/>
        </w:rPr>
      </w:pPr>
      <w:r>
        <w:rPr>
          <w:szCs w:val="24"/>
        </w:rPr>
        <w:fldChar w:fldCharType="begin"/>
      </w:r>
      <w:r w:rsidRPr="00DB6A31">
        <w:rPr>
          <w:szCs w:val="24"/>
          <w:lang w:val="es-ES_tradnl"/>
        </w:rPr>
        <w:instrText xml:space="preserve"> AUTONUM  </w:instrText>
      </w:r>
      <w:r>
        <w:rPr>
          <w:szCs w:val="24"/>
        </w:rPr>
        <w:fldChar w:fldCharType="end"/>
      </w:r>
      <w:r w:rsidRPr="00DB6A31">
        <w:rPr>
          <w:szCs w:val="24"/>
          <w:lang w:val="es-ES_tradnl"/>
        </w:rPr>
        <w:tab/>
      </w:r>
      <w:r w:rsidRPr="002371C1">
        <w:rPr>
          <w:szCs w:val="24"/>
          <w:lang w:val="es-ES_tradnl"/>
        </w:rPr>
        <w:t>El Sr. </w:t>
      </w:r>
      <w:proofErr w:type="spellStart"/>
      <w:r w:rsidRPr="002371C1">
        <w:rPr>
          <w:szCs w:val="24"/>
          <w:lang w:val="es-ES_tradnl"/>
        </w:rPr>
        <w:t>Gurry</w:t>
      </w:r>
      <w:proofErr w:type="spellEnd"/>
      <w:r w:rsidRPr="002371C1">
        <w:rPr>
          <w:szCs w:val="24"/>
          <w:lang w:val="es-ES_tradnl"/>
        </w:rPr>
        <w:t xml:space="preserve"> ha expresado el deseo (véase el párrafo 7 del documento WO/GA/36/12 de la OMPI, “Informe del Grupo de Trabajo sobre las condiciones del nombramiento del nuevo Director General”) de no recibir la remuneración que le corresponde como Secretario General de la UPOV y de que se destine esa suma al programa y presupuesto de la UPOV con el fin de financiar actividades de especial interés para los países en desarrollo</w:t>
      </w:r>
      <w:r w:rsidRPr="002371C1">
        <w:rPr>
          <w:lang w:val="es-ES_tradnl"/>
        </w:rPr>
        <w:t>.</w:t>
      </w:r>
    </w:p>
    <w:p w:rsidR="000F27AC" w:rsidRPr="00DB6A31" w:rsidRDefault="000F27AC" w:rsidP="002D1B0F">
      <w:pPr>
        <w:rPr>
          <w:lang w:val="es-ES_tradnl"/>
        </w:rPr>
      </w:pPr>
    </w:p>
    <w:p w:rsidR="000F27AC" w:rsidRPr="00DB6A31" w:rsidRDefault="000F27AC" w:rsidP="002D1B0F">
      <w:pPr>
        <w:ind w:left="4536"/>
        <w:rPr>
          <w:i/>
          <w:lang w:val="es-ES_tradnl"/>
        </w:rPr>
      </w:pPr>
      <w:r w:rsidRPr="00696036">
        <w:fldChar w:fldCharType="begin"/>
      </w:r>
      <w:r w:rsidRPr="00DB6A31">
        <w:rPr>
          <w:lang w:val="es-ES_tradnl"/>
        </w:rPr>
        <w:instrText xml:space="preserve"> AUTONUM  </w:instrText>
      </w:r>
      <w:r w:rsidRPr="00696036">
        <w:fldChar w:fldCharType="end"/>
      </w:r>
      <w:r w:rsidRPr="00DB6A31">
        <w:rPr>
          <w:lang w:val="es-ES_tradnl"/>
        </w:rPr>
        <w:tab/>
      </w:r>
      <w:r w:rsidRPr="002371C1">
        <w:rPr>
          <w:i/>
          <w:lang w:val="es-ES_tradnl"/>
        </w:rPr>
        <w:t xml:space="preserve">Se invita al Consejo a nombrar al Sr. Francis </w:t>
      </w:r>
      <w:proofErr w:type="spellStart"/>
      <w:r w:rsidRPr="002371C1">
        <w:rPr>
          <w:i/>
          <w:lang w:val="es-ES_tradnl"/>
        </w:rPr>
        <w:t>Gurry</w:t>
      </w:r>
      <w:proofErr w:type="spellEnd"/>
      <w:r w:rsidRPr="002371C1">
        <w:rPr>
          <w:i/>
          <w:lang w:val="es-ES_tradnl"/>
        </w:rPr>
        <w:t xml:space="preserve"> </w:t>
      </w:r>
      <w:bookmarkStart w:id="4" w:name="_GoBack"/>
      <w:bookmarkEnd w:id="4"/>
      <w:r w:rsidRPr="002371C1">
        <w:rPr>
          <w:i/>
          <w:lang w:val="es-ES_tradnl"/>
        </w:rPr>
        <w:t>Secretario General de la UPOV para el período comprendido entre el 16 de octubre de 2014 y el 30 de septiembre de 2020.</w:t>
      </w:r>
    </w:p>
    <w:p w:rsidR="000F27AC" w:rsidRPr="00DB6A31" w:rsidRDefault="000F27AC" w:rsidP="007519CD">
      <w:pPr>
        <w:rPr>
          <w:lang w:val="es-ES_tradnl"/>
        </w:rPr>
      </w:pPr>
    </w:p>
    <w:p w:rsidR="000F27AC" w:rsidRPr="00DB6A31" w:rsidRDefault="000F27AC" w:rsidP="007519CD">
      <w:pPr>
        <w:rPr>
          <w:lang w:val="es-ES_tradnl"/>
        </w:rPr>
      </w:pPr>
    </w:p>
    <w:p w:rsidR="000F27AC" w:rsidRPr="00DB6A31" w:rsidRDefault="000F27AC" w:rsidP="002D1B0F">
      <w:pPr>
        <w:rPr>
          <w:lang w:val="es-ES_tradnl"/>
        </w:rPr>
      </w:pPr>
    </w:p>
    <w:p w:rsidR="000F27AC" w:rsidRPr="00C42311" w:rsidRDefault="000F27AC" w:rsidP="00B53441">
      <w:pPr>
        <w:pStyle w:val="endofdoc"/>
        <w:rPr>
          <w:dstrike w:val="0"/>
          <w:lang w:val="es-ES_tradnl"/>
        </w:rPr>
      </w:pPr>
      <w:r w:rsidRPr="00DB6A31">
        <w:rPr>
          <w:dstrike w:val="0"/>
          <w:lang w:val="es-ES_tradnl"/>
        </w:rPr>
        <w:t>[</w:t>
      </w:r>
      <w:r w:rsidRPr="00C42311">
        <w:rPr>
          <w:dstrike w:val="0"/>
          <w:lang w:val="es-ES_tradnl"/>
        </w:rPr>
        <w:t>Sigue el Anexo</w:t>
      </w:r>
      <w:r w:rsidRPr="00DB6A31">
        <w:rPr>
          <w:dstrike w:val="0"/>
          <w:lang w:val="es-ES_tradnl"/>
        </w:rPr>
        <w:t>]</w:t>
      </w:r>
    </w:p>
    <w:p w:rsidR="000F27AC" w:rsidRDefault="000F27AC" w:rsidP="003E7998">
      <w:pPr>
        <w:jc w:val="left"/>
        <w:rPr>
          <w:lang w:val="es-ES_tradnl"/>
        </w:rPr>
      </w:pPr>
    </w:p>
    <w:p w:rsidR="000F27AC" w:rsidRDefault="000F27AC" w:rsidP="003E7998">
      <w:pPr>
        <w:jc w:val="left"/>
        <w:rPr>
          <w:lang w:val="es-ES_tradnl"/>
        </w:rPr>
        <w:sectPr w:rsidR="000F27AC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F27AC" w:rsidRPr="00C42311" w:rsidRDefault="000F27AC" w:rsidP="004B3538">
      <w:pPr>
        <w:jc w:val="center"/>
        <w:rPr>
          <w:b/>
          <w:bCs/>
          <w:lang w:val="es-ES_tradnl"/>
        </w:rPr>
      </w:pPr>
      <w:r w:rsidRPr="00C42311">
        <w:rPr>
          <w:b/>
          <w:bCs/>
          <w:lang w:val="es-ES_tradnl"/>
        </w:rPr>
        <w:lastRenderedPageBreak/>
        <w:t xml:space="preserve">Currículum vítae del Dr. Francis </w:t>
      </w:r>
      <w:proofErr w:type="spellStart"/>
      <w:r w:rsidRPr="00C42311">
        <w:rPr>
          <w:b/>
          <w:bCs/>
          <w:lang w:val="es-ES_tradnl"/>
        </w:rPr>
        <w:t>Gurry</w:t>
      </w:r>
      <w:proofErr w:type="spellEnd"/>
    </w:p>
    <w:p w:rsidR="000F27AC" w:rsidRDefault="000F27AC" w:rsidP="004B3538">
      <w:pPr>
        <w:jc w:val="center"/>
        <w:rPr>
          <w:bCs/>
          <w:lang w:val="es-ES_tradnl"/>
        </w:rPr>
      </w:pPr>
    </w:p>
    <w:p w:rsidR="004B3538" w:rsidRPr="00C42311" w:rsidRDefault="004B3538" w:rsidP="007519CD">
      <w:pPr>
        <w:rPr>
          <w:bCs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769"/>
      </w:tblGrid>
      <w:tr w:rsidR="000F27AC" w:rsidRPr="00B53441" w:rsidTr="00AE2F5B">
        <w:tc>
          <w:tcPr>
            <w:tcW w:w="2518" w:type="dxa"/>
          </w:tcPr>
          <w:p w:rsidR="000F27AC" w:rsidRPr="00C42311" w:rsidRDefault="000F27AC" w:rsidP="00AE2F5B">
            <w:pPr>
              <w:spacing w:before="60" w:after="6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Fecha de nacimiento:</w:t>
            </w:r>
          </w:p>
        </w:tc>
        <w:tc>
          <w:tcPr>
            <w:tcW w:w="6769" w:type="dxa"/>
          </w:tcPr>
          <w:p w:rsidR="000F27AC" w:rsidRPr="00C42311" w:rsidRDefault="000F27AC" w:rsidP="00AE2F5B">
            <w:pPr>
              <w:spacing w:before="60" w:after="60"/>
              <w:rPr>
                <w:bCs/>
                <w:lang w:val="es-ES_tradnl"/>
              </w:rPr>
            </w:pPr>
            <w:r w:rsidRPr="00C42311">
              <w:rPr>
                <w:bCs/>
                <w:lang w:val="es-ES_tradnl"/>
              </w:rPr>
              <w:t>17 de mayo de 1951</w:t>
            </w:r>
          </w:p>
        </w:tc>
      </w:tr>
      <w:tr w:rsidR="000F27AC" w:rsidRPr="00B53441" w:rsidTr="00AE2F5B">
        <w:tc>
          <w:tcPr>
            <w:tcW w:w="2518" w:type="dxa"/>
          </w:tcPr>
          <w:p w:rsidR="000F27AC" w:rsidRPr="00C42311" w:rsidRDefault="000F27AC" w:rsidP="00AE2F5B">
            <w:pPr>
              <w:spacing w:before="60" w:after="6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Nacionalidad:</w:t>
            </w:r>
          </w:p>
        </w:tc>
        <w:tc>
          <w:tcPr>
            <w:tcW w:w="6769" w:type="dxa"/>
          </w:tcPr>
          <w:p w:rsidR="000F27AC" w:rsidRPr="00C42311" w:rsidRDefault="000F27AC" w:rsidP="00AE2F5B">
            <w:pPr>
              <w:spacing w:before="60" w:after="60"/>
              <w:rPr>
                <w:bCs/>
                <w:lang w:val="es-ES_tradnl"/>
              </w:rPr>
            </w:pPr>
            <w:r w:rsidRPr="00C42311">
              <w:rPr>
                <w:bCs/>
                <w:lang w:val="es-ES_tradnl"/>
              </w:rPr>
              <w:t>Australiano</w:t>
            </w:r>
          </w:p>
        </w:tc>
      </w:tr>
      <w:tr w:rsidR="000F27AC" w:rsidRPr="00B53441" w:rsidTr="00AE2F5B">
        <w:tc>
          <w:tcPr>
            <w:tcW w:w="2518" w:type="dxa"/>
          </w:tcPr>
          <w:p w:rsidR="000F27AC" w:rsidRPr="00C42311" w:rsidRDefault="000F27AC" w:rsidP="00AE2F5B">
            <w:pPr>
              <w:spacing w:before="60" w:after="6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Estado civil:</w:t>
            </w:r>
          </w:p>
        </w:tc>
        <w:tc>
          <w:tcPr>
            <w:tcW w:w="6769" w:type="dxa"/>
          </w:tcPr>
          <w:p w:rsidR="000F27AC" w:rsidRPr="00C42311" w:rsidRDefault="000F27AC" w:rsidP="00AE2F5B">
            <w:pPr>
              <w:spacing w:before="60" w:after="60"/>
              <w:rPr>
                <w:bCs/>
                <w:lang w:val="es-ES_tradnl"/>
              </w:rPr>
            </w:pPr>
            <w:r w:rsidRPr="00C42311">
              <w:rPr>
                <w:bCs/>
                <w:lang w:val="es-ES_tradnl"/>
              </w:rPr>
              <w:t>Casado, tres hijos</w:t>
            </w:r>
          </w:p>
        </w:tc>
      </w:tr>
    </w:tbl>
    <w:p w:rsidR="000F27AC" w:rsidRPr="00C42311" w:rsidRDefault="000F27AC" w:rsidP="007519CD">
      <w:pPr>
        <w:rPr>
          <w:bCs/>
          <w:lang w:val="es-ES_tradnl"/>
        </w:rPr>
      </w:pPr>
    </w:p>
    <w:p w:rsidR="000F27AC" w:rsidRPr="00C42311" w:rsidRDefault="000F27AC" w:rsidP="007519CD">
      <w:pPr>
        <w:rPr>
          <w:bCs/>
          <w:lang w:val="es-ES_tradnl"/>
        </w:rPr>
      </w:pPr>
    </w:p>
    <w:p w:rsidR="000F27AC" w:rsidRPr="00C42311" w:rsidRDefault="000F27AC" w:rsidP="007519CD">
      <w:pPr>
        <w:rPr>
          <w:b/>
          <w:bCs/>
          <w:lang w:val="es-ES_tradnl"/>
        </w:rPr>
      </w:pPr>
      <w:r w:rsidRPr="00C42311">
        <w:rPr>
          <w:b/>
          <w:bCs/>
          <w:lang w:val="es-ES_tradnl"/>
        </w:rPr>
        <w:t>FORMACIÓN ACADÉMICA</w:t>
      </w:r>
    </w:p>
    <w:p w:rsidR="000F27AC" w:rsidRPr="00C42311" w:rsidRDefault="000F27AC" w:rsidP="007519CD">
      <w:pPr>
        <w:rPr>
          <w:bCs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903"/>
      </w:tblGrid>
      <w:tr w:rsidR="000F27AC" w:rsidRPr="00741244" w:rsidTr="00AE2F5B">
        <w:tc>
          <w:tcPr>
            <w:tcW w:w="1384" w:type="dxa"/>
          </w:tcPr>
          <w:p w:rsidR="000F27AC" w:rsidRPr="00C42311" w:rsidRDefault="000F27AC" w:rsidP="00AE2F5B">
            <w:pPr>
              <w:spacing w:after="6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1980</w:t>
            </w:r>
          </w:p>
        </w:tc>
        <w:tc>
          <w:tcPr>
            <w:tcW w:w="7903" w:type="dxa"/>
          </w:tcPr>
          <w:p w:rsidR="000F27AC" w:rsidRPr="00C42311" w:rsidRDefault="000F27AC" w:rsidP="00AE2F5B">
            <w:pPr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Doctor en Filosofía (</w:t>
            </w:r>
            <w:proofErr w:type="spellStart"/>
            <w:r w:rsidRPr="00C42311">
              <w:rPr>
                <w:b/>
                <w:bCs/>
                <w:lang w:val="es-ES_tradnl"/>
              </w:rPr>
              <w:t>Ph.D</w:t>
            </w:r>
            <w:proofErr w:type="spellEnd"/>
            <w:r w:rsidRPr="00C42311">
              <w:rPr>
                <w:b/>
                <w:bCs/>
                <w:lang w:val="es-ES_tradnl"/>
              </w:rPr>
              <w:t>)</w:t>
            </w:r>
          </w:p>
          <w:p w:rsidR="000F27AC" w:rsidRPr="00C42311" w:rsidRDefault="000F27AC" w:rsidP="00AE2F5B">
            <w:pPr>
              <w:rPr>
                <w:lang w:val="es-ES_tradnl"/>
              </w:rPr>
            </w:pPr>
            <w:r w:rsidRPr="00C42311">
              <w:rPr>
                <w:lang w:val="es-ES_tradnl"/>
              </w:rPr>
              <w:t>Universidad de Cambridge, Reino Unido</w:t>
            </w:r>
          </w:p>
          <w:p w:rsidR="000F27AC" w:rsidRPr="00C42311" w:rsidRDefault="000F27AC" w:rsidP="00AE2F5B">
            <w:pPr>
              <w:rPr>
                <w:lang w:val="es-ES_tradnl"/>
              </w:rPr>
            </w:pPr>
          </w:p>
          <w:p w:rsidR="000F27AC" w:rsidRPr="00C42311" w:rsidRDefault="000F27AC" w:rsidP="00AE2F5B">
            <w:pPr>
              <w:spacing w:after="120"/>
              <w:rPr>
                <w:lang w:val="es-ES_tradnl"/>
              </w:rPr>
            </w:pPr>
            <w:proofErr w:type="spellStart"/>
            <w:r w:rsidRPr="00C42311">
              <w:rPr>
                <w:i/>
                <w:lang w:val="es-ES_tradnl"/>
              </w:rPr>
              <w:t>Yorke</w:t>
            </w:r>
            <w:proofErr w:type="spellEnd"/>
            <w:r w:rsidRPr="00C42311">
              <w:rPr>
                <w:i/>
                <w:lang w:val="es-ES_tradnl"/>
              </w:rPr>
              <w:t xml:space="preserve"> </w:t>
            </w:r>
            <w:proofErr w:type="spellStart"/>
            <w:r w:rsidRPr="00C42311">
              <w:rPr>
                <w:i/>
                <w:lang w:val="es-ES_tradnl"/>
              </w:rPr>
              <w:t>Prize</w:t>
            </w:r>
            <w:proofErr w:type="spellEnd"/>
            <w:r w:rsidRPr="00C42311">
              <w:rPr>
                <w:lang w:val="es-ES_tradnl"/>
              </w:rPr>
              <w:t>, Facultad de Derecho, Universidad de Cambridge</w:t>
            </w:r>
          </w:p>
        </w:tc>
      </w:tr>
      <w:tr w:rsidR="000F27AC" w:rsidRPr="00B53441" w:rsidTr="00AE2F5B">
        <w:tc>
          <w:tcPr>
            <w:tcW w:w="1384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1976</w:t>
            </w:r>
          </w:p>
        </w:tc>
        <w:tc>
          <w:tcPr>
            <w:tcW w:w="7903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Maestría en Derecho (LL.M)</w:t>
            </w:r>
          </w:p>
          <w:p w:rsidR="000F27AC" w:rsidRPr="00C42311" w:rsidRDefault="000F27AC" w:rsidP="00AE2F5B">
            <w:pPr>
              <w:spacing w:after="120"/>
              <w:rPr>
                <w:lang w:val="es-ES_tradnl"/>
              </w:rPr>
            </w:pPr>
            <w:r w:rsidRPr="00C42311">
              <w:rPr>
                <w:lang w:val="es-ES_tradnl"/>
              </w:rPr>
              <w:t>Universidad de Melbourne, Australia</w:t>
            </w:r>
          </w:p>
        </w:tc>
      </w:tr>
      <w:tr w:rsidR="000F27AC" w:rsidRPr="00741244" w:rsidTr="00AE2F5B">
        <w:tc>
          <w:tcPr>
            <w:tcW w:w="1384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1975</w:t>
            </w:r>
          </w:p>
        </w:tc>
        <w:tc>
          <w:tcPr>
            <w:tcW w:w="7903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Ingreso en el Colegio de Abogados</w:t>
            </w:r>
          </w:p>
          <w:p w:rsidR="000F27AC" w:rsidRPr="00C42311" w:rsidRDefault="000F27AC" w:rsidP="00AE2F5B">
            <w:pPr>
              <w:spacing w:after="120"/>
              <w:rPr>
                <w:lang w:val="es-ES_tradnl"/>
              </w:rPr>
            </w:pPr>
            <w:r w:rsidRPr="00C42311">
              <w:rPr>
                <w:lang w:val="es-ES_tradnl"/>
              </w:rPr>
              <w:t>Tribunal Supremo de Victoria, Australia</w:t>
            </w:r>
          </w:p>
        </w:tc>
      </w:tr>
      <w:tr w:rsidR="000F27AC" w:rsidRPr="00B53441" w:rsidTr="00AE2F5B">
        <w:tc>
          <w:tcPr>
            <w:tcW w:w="1384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1974</w:t>
            </w:r>
          </w:p>
        </w:tc>
        <w:tc>
          <w:tcPr>
            <w:tcW w:w="7903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Licenciatura en Derecho (LL.B)</w:t>
            </w:r>
          </w:p>
          <w:p w:rsidR="000F27AC" w:rsidRPr="00C42311" w:rsidRDefault="000F27AC" w:rsidP="00AE2F5B">
            <w:pPr>
              <w:spacing w:after="120"/>
              <w:rPr>
                <w:lang w:val="es-ES_tradnl"/>
              </w:rPr>
            </w:pPr>
            <w:r w:rsidRPr="00C42311">
              <w:rPr>
                <w:lang w:val="es-ES_tradnl"/>
              </w:rPr>
              <w:t>Universidad de Melbourne, Australia</w:t>
            </w:r>
          </w:p>
        </w:tc>
      </w:tr>
    </w:tbl>
    <w:p w:rsidR="000F27AC" w:rsidRPr="00C42311" w:rsidRDefault="000F27AC" w:rsidP="007519CD">
      <w:pPr>
        <w:rPr>
          <w:bCs/>
          <w:lang w:val="es-ES_tradnl"/>
        </w:rPr>
      </w:pPr>
    </w:p>
    <w:p w:rsidR="000F27AC" w:rsidRPr="00C42311" w:rsidRDefault="000F27AC" w:rsidP="007519CD">
      <w:pPr>
        <w:rPr>
          <w:bCs/>
          <w:lang w:val="es-ES_tradnl"/>
        </w:rPr>
      </w:pPr>
    </w:p>
    <w:p w:rsidR="000F27AC" w:rsidRPr="00C42311" w:rsidRDefault="000F27AC" w:rsidP="007519CD">
      <w:pPr>
        <w:rPr>
          <w:b/>
          <w:bCs/>
          <w:lang w:val="es-ES_tradnl"/>
        </w:rPr>
      </w:pPr>
      <w:r w:rsidRPr="00C42311">
        <w:rPr>
          <w:b/>
          <w:bCs/>
          <w:lang w:val="es-ES_tradnl"/>
        </w:rPr>
        <w:t>EXPERIENCIA PROFESIONAL</w:t>
      </w:r>
    </w:p>
    <w:p w:rsidR="000F27AC" w:rsidRPr="00C42311" w:rsidRDefault="000F27AC" w:rsidP="007519CD">
      <w:pPr>
        <w:rPr>
          <w:bCs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8"/>
      </w:tblGrid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2008 – presente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Director General</w:t>
            </w:r>
            <w:r w:rsidRPr="00C42311">
              <w:rPr>
                <w:bCs/>
                <w:lang w:val="es-ES_tradnl"/>
              </w:rPr>
              <w:br/>
              <w:t xml:space="preserve">Organización Mundial de la Propiedad Intelectual (OMPI), Ginebra, Suiza:  </w:t>
            </w:r>
          </w:p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Cs/>
                <w:lang w:val="es-ES_tradnl"/>
              </w:rPr>
              <w:t>Secretario General</w:t>
            </w:r>
            <w:r w:rsidRPr="00C42311">
              <w:rPr>
                <w:bCs/>
                <w:lang w:val="es-ES_tradnl"/>
              </w:rPr>
              <w:br/>
            </w:r>
            <w:r w:rsidRPr="00C42311">
              <w:rPr>
                <w:bCs/>
                <w:snapToGrid w:val="0"/>
                <w:lang w:val="es-ES_tradnl"/>
              </w:rPr>
              <w:t>Unión Internacional para la Protección de las Obtenciones Vegetales (UPOV)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2003 – 2008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Director General Adjunto</w:t>
            </w:r>
            <w:r w:rsidRPr="00C42311">
              <w:rPr>
                <w:bCs/>
                <w:lang w:val="es-ES_tradnl"/>
              </w:rPr>
              <w:br/>
              <w:t>Organización Mundial de la Propiedad Intelectual (OMPI)</w:t>
            </w:r>
          </w:p>
          <w:p w:rsidR="000F27AC" w:rsidRPr="00C42311" w:rsidRDefault="000F27AC" w:rsidP="00AE2F5B">
            <w:pPr>
              <w:spacing w:before="120" w:after="120"/>
              <w:rPr>
                <w:bCs/>
                <w:lang w:val="es-ES_tradnl"/>
              </w:rPr>
            </w:pPr>
            <w:r w:rsidRPr="00C42311">
              <w:rPr>
                <w:bCs/>
                <w:lang w:val="es-ES_tradnl"/>
              </w:rPr>
              <w:t>Responsable de:  el Tratado de Cooperación en materia de Patentes (PCT);  políticas y Derecho en materia de patentes así como la Clasificación Internacional de Patentes (CIP);  normas técnicas de la OMPI;  estadísticas de la OMPI;  el Centro de Arbitraje y Mediación de la OMPI;  conocimientos tradicionales, expresiones culturales tradicionales, recursos genéticos y ciencias de la vida.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4B3538" w:rsidP="00AE2F5B">
            <w:pPr>
              <w:keepNext/>
              <w:spacing w:before="120"/>
              <w:rPr>
                <w:b/>
                <w:bCs/>
                <w:snapToGrid w:val="0"/>
                <w:lang w:val="es-ES_tradnl"/>
              </w:rPr>
            </w:pPr>
            <w:r>
              <w:rPr>
                <w:b/>
                <w:bCs/>
                <w:snapToGrid w:val="0"/>
                <w:lang w:val="es-ES_tradnl"/>
              </w:rPr>
              <w:t>1999</w:t>
            </w:r>
            <w:r>
              <w:rPr>
                <w:b/>
                <w:bCs/>
                <w:snapToGrid w:val="0"/>
                <w:lang w:val="es-ES_tradnl"/>
              </w:rPr>
              <w:noBreakHyphen/>
              <w:t>200</w:t>
            </w:r>
            <w:r w:rsidR="000F27AC" w:rsidRPr="00C42311">
              <w:rPr>
                <w:b/>
                <w:bCs/>
                <w:snapToGrid w:val="0"/>
                <w:lang w:val="es-ES_tradnl"/>
              </w:rPr>
              <w:t>3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keepNext/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Subdirector General y Consejero Jurídico</w:t>
            </w:r>
            <w:r w:rsidRPr="00C42311">
              <w:rPr>
                <w:bCs/>
                <w:lang w:val="es-ES_tradnl"/>
              </w:rPr>
              <w:br/>
              <w:t>Organización Mundial de la Propiedad Intelectual (OMPI)</w:t>
            </w:r>
          </w:p>
          <w:p w:rsidR="000F27AC" w:rsidRPr="00C42311" w:rsidRDefault="000F27AC" w:rsidP="00AE2F5B">
            <w:pPr>
              <w:keepNext/>
              <w:spacing w:before="120" w:after="120"/>
              <w:rPr>
                <w:bCs/>
                <w:lang w:val="es-ES_tradnl"/>
              </w:rPr>
            </w:pPr>
            <w:r w:rsidRPr="00C42311">
              <w:rPr>
                <w:bCs/>
                <w:lang w:val="es-ES_tradnl"/>
              </w:rPr>
              <w:t>Oficina del Consejero Jurídico;  responsable asimismo de:  el Centro de Arbitraje y Mediación de la OMPI;  comercio electrónico;  y a partir de 2002:  el Tratado de Cooperación en materia de Patentes (PCT), políticas y Derecho en materia de patentes y la Clasificación Internacional de Patentes (CIP);  conocimientos tradicionales, expresiones culturales tradicionales, recursos genéticos y ciencias de la vida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1997</w:t>
            </w:r>
            <w:r w:rsidRPr="00C42311">
              <w:rPr>
                <w:b/>
                <w:bCs/>
                <w:snapToGrid w:val="0"/>
                <w:lang w:val="es-ES_tradnl"/>
              </w:rPr>
              <w:noBreakHyphen/>
              <w:t>1999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Consejero Jurídico</w:t>
            </w:r>
            <w:r w:rsidRPr="00C42311">
              <w:rPr>
                <w:bCs/>
                <w:lang w:val="es-ES_tradnl"/>
              </w:rPr>
              <w:br/>
              <w:t>Organización Mundial de la Propiedad Intelectual (OMPI)</w:t>
            </w:r>
            <w:r w:rsidRPr="00C42311">
              <w:rPr>
                <w:bCs/>
                <w:lang w:val="es-ES_tradnl"/>
              </w:rPr>
              <w:br/>
              <w:t>Oficina del Consejero Jurídico;  responsable asimismo del Centro de Arbitraje y Mediación de la OMPI;  comercio electrónico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1993</w:t>
            </w:r>
            <w:r w:rsidRPr="00C42311">
              <w:rPr>
                <w:b/>
                <w:bCs/>
                <w:snapToGrid w:val="0"/>
                <w:lang w:val="es-ES_tradnl"/>
              </w:rPr>
              <w:noBreakHyphen/>
              <w:t>1997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Oficina del Director General Adjunto</w:t>
            </w:r>
            <w:r w:rsidRPr="00C42311">
              <w:rPr>
                <w:bCs/>
                <w:lang w:val="es-ES_tradnl"/>
              </w:rPr>
              <w:br/>
              <w:t>Organización Mundial de la Propiedad Intelectual (OMPI)</w:t>
            </w:r>
            <w:r w:rsidRPr="00C42311">
              <w:rPr>
                <w:bCs/>
                <w:lang w:val="es-ES_tradnl"/>
              </w:rPr>
              <w:br/>
            </w:r>
            <w:r w:rsidRPr="00C42311">
              <w:rPr>
                <w:bCs/>
                <w:lang w:val="es-ES_tradnl"/>
              </w:rPr>
              <w:lastRenderedPageBreak/>
              <w:t>Director del Centro de Arbitraje y Mediación de la OMPI;  Consejero Jurídico Interino (1996–1997)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lastRenderedPageBreak/>
              <w:t>1990</w:t>
            </w:r>
            <w:r w:rsidRPr="00C42311">
              <w:rPr>
                <w:b/>
                <w:bCs/>
                <w:snapToGrid w:val="0"/>
                <w:lang w:val="es-ES_tradnl"/>
              </w:rPr>
              <w:noBreakHyphen/>
              <w:t>1993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Oficina del Director General</w:t>
            </w:r>
            <w:r w:rsidRPr="00C42311">
              <w:rPr>
                <w:bCs/>
                <w:lang w:val="es-ES_tradnl"/>
              </w:rPr>
              <w:br/>
              <w:t>Organización Mundial de la Propiedad Intelectual (OMPI)</w:t>
            </w:r>
            <w:r w:rsidRPr="00C42311">
              <w:rPr>
                <w:bCs/>
                <w:lang w:val="es-ES_tradnl"/>
              </w:rPr>
              <w:br/>
              <w:t>Ayudante Especial del Director General (1991–1993) y Director Consejero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1998</w:t>
            </w:r>
            <w:r w:rsidRPr="00C42311">
              <w:rPr>
                <w:b/>
                <w:bCs/>
                <w:snapToGrid w:val="0"/>
                <w:lang w:val="es-ES_tradnl"/>
              </w:rPr>
              <w:noBreakHyphen/>
              <w:t>1990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Jefe de la Sección de Derecho de Propiedad Industrial</w:t>
            </w:r>
            <w:r w:rsidRPr="00C42311">
              <w:rPr>
                <w:bCs/>
                <w:lang w:val="es-ES_tradnl"/>
              </w:rPr>
              <w:br/>
              <w:t>Organización Mundial de la Propiedad Intelectual (OMPI)</w:t>
            </w:r>
            <w:r w:rsidRPr="00C42311">
              <w:rPr>
                <w:bCs/>
                <w:lang w:val="es-ES_tradnl"/>
              </w:rPr>
              <w:br/>
              <w:t>División de Propiedad Industrial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1985</w:t>
            </w:r>
            <w:r w:rsidRPr="00C42311">
              <w:rPr>
                <w:b/>
                <w:bCs/>
                <w:snapToGrid w:val="0"/>
                <w:lang w:val="es-ES_tradnl"/>
              </w:rPr>
              <w:noBreakHyphen/>
              <w:t>1988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Consultor y Administrador Principal de Programas</w:t>
            </w:r>
            <w:r w:rsidRPr="00C42311">
              <w:rPr>
                <w:bCs/>
                <w:lang w:val="es-ES_tradnl"/>
              </w:rPr>
              <w:br/>
              <w:t>Organización Mundial de la Propiedad Intelectual (OMPI)</w:t>
            </w:r>
            <w:r w:rsidRPr="00C42311">
              <w:rPr>
                <w:bCs/>
                <w:lang w:val="es-ES_tradnl"/>
              </w:rPr>
              <w:br/>
              <w:t>Oficina de Relaciones Exteriores y Cooperación para el Desarrollo con Asia y el Pacífico</w:t>
            </w:r>
          </w:p>
        </w:tc>
      </w:tr>
      <w:tr w:rsidR="000F27AC" w:rsidRPr="00B53441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1984</w:t>
            </w:r>
          </w:p>
        </w:tc>
        <w:tc>
          <w:tcPr>
            <w:tcW w:w="7478" w:type="dxa"/>
          </w:tcPr>
          <w:p w:rsidR="000F27AC" w:rsidRPr="00C42311" w:rsidRDefault="000F27AC" w:rsidP="00AE2F5B">
            <w:pPr>
              <w:spacing w:before="120" w:after="120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Abogado</w:t>
            </w:r>
            <w:r w:rsidRPr="00C42311">
              <w:rPr>
                <w:bCs/>
                <w:lang w:val="es-ES_tradnl"/>
              </w:rPr>
              <w:br/>
            </w:r>
            <w:proofErr w:type="spellStart"/>
            <w:r w:rsidRPr="00C42311">
              <w:rPr>
                <w:lang w:val="es-ES_tradnl"/>
              </w:rPr>
              <w:t>Freehills</w:t>
            </w:r>
            <w:proofErr w:type="spellEnd"/>
            <w:r w:rsidRPr="00C42311">
              <w:rPr>
                <w:lang w:val="es-ES_tradnl"/>
              </w:rPr>
              <w:t xml:space="preserve">, </w:t>
            </w:r>
            <w:proofErr w:type="spellStart"/>
            <w:r w:rsidRPr="00C42311">
              <w:rPr>
                <w:lang w:val="es-ES_tradnl"/>
              </w:rPr>
              <w:t>Sydney</w:t>
            </w:r>
            <w:proofErr w:type="spellEnd"/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1982</w:t>
            </w:r>
            <w:r w:rsidRPr="00C42311">
              <w:rPr>
                <w:b/>
                <w:bCs/>
                <w:snapToGrid w:val="0"/>
                <w:lang w:val="es-ES_tradnl"/>
              </w:rPr>
              <w:noBreakHyphen/>
              <w:t>1983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Profesor de Derecho</w:t>
            </w:r>
            <w:r w:rsidRPr="00C42311">
              <w:rPr>
                <w:bCs/>
                <w:lang w:val="es-ES_tradnl"/>
              </w:rPr>
              <w:br/>
              <w:t>Universidad de Dijon (Francia)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 w:rsidRPr="00C42311">
              <w:rPr>
                <w:b/>
                <w:bCs/>
                <w:snapToGrid w:val="0"/>
                <w:lang w:val="es-ES_tradnl"/>
              </w:rPr>
              <w:t>1976</w:t>
            </w:r>
            <w:r w:rsidRPr="00C42311">
              <w:rPr>
                <w:b/>
                <w:bCs/>
                <w:snapToGrid w:val="0"/>
                <w:lang w:val="es-ES_tradnl"/>
              </w:rPr>
              <w:noBreakHyphen/>
              <w:t>1979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Estudiante de investigación</w:t>
            </w:r>
            <w:r w:rsidRPr="00C42311">
              <w:rPr>
                <w:bCs/>
                <w:lang w:val="es-ES_tradnl"/>
              </w:rPr>
              <w:br/>
              <w:t xml:space="preserve">Facultad de </w:t>
            </w:r>
            <w:r w:rsidRPr="00C42311">
              <w:rPr>
                <w:lang w:val="es-ES_tradnl"/>
              </w:rPr>
              <w:t>Derecho, Universidad de Cambridge</w:t>
            </w:r>
            <w:r w:rsidRPr="00C42311">
              <w:rPr>
                <w:lang w:val="es-ES_tradnl"/>
              </w:rPr>
              <w:br/>
              <w:t xml:space="preserve">(Beca </w:t>
            </w:r>
            <w:proofErr w:type="spellStart"/>
            <w:r w:rsidRPr="00C42311">
              <w:rPr>
                <w:lang w:val="es-ES_tradnl"/>
              </w:rPr>
              <w:t>Tapp</w:t>
            </w:r>
            <w:proofErr w:type="spellEnd"/>
            <w:r w:rsidRPr="00C42311">
              <w:rPr>
                <w:lang w:val="es-ES_tradnl"/>
              </w:rPr>
              <w:t xml:space="preserve">, </w:t>
            </w:r>
            <w:proofErr w:type="spellStart"/>
            <w:r w:rsidRPr="00C42311">
              <w:rPr>
                <w:i/>
                <w:lang w:val="es-ES_tradnl"/>
              </w:rPr>
              <w:t>Gonville</w:t>
            </w:r>
            <w:proofErr w:type="spellEnd"/>
            <w:r w:rsidRPr="00C42311">
              <w:rPr>
                <w:i/>
                <w:lang w:val="es-ES_tradnl"/>
              </w:rPr>
              <w:t xml:space="preserve"> and </w:t>
            </w:r>
            <w:proofErr w:type="spellStart"/>
            <w:r w:rsidRPr="00C42311">
              <w:rPr>
                <w:i/>
                <w:lang w:val="es-ES_tradnl"/>
              </w:rPr>
              <w:t>Caius</w:t>
            </w:r>
            <w:proofErr w:type="spellEnd"/>
            <w:r w:rsidRPr="00C42311">
              <w:rPr>
                <w:i/>
                <w:lang w:val="es-ES_tradnl"/>
              </w:rPr>
              <w:t xml:space="preserve"> </w:t>
            </w:r>
            <w:proofErr w:type="spellStart"/>
            <w:r w:rsidRPr="00C42311">
              <w:rPr>
                <w:i/>
                <w:lang w:val="es-ES_tradnl"/>
              </w:rPr>
              <w:t>College</w:t>
            </w:r>
            <w:proofErr w:type="spellEnd"/>
            <w:r w:rsidRPr="00C42311">
              <w:rPr>
                <w:lang w:val="es-ES_tradnl"/>
              </w:rPr>
              <w:t>, 1978–79)</w:t>
            </w:r>
          </w:p>
        </w:tc>
      </w:tr>
      <w:tr w:rsidR="004B3538" w:rsidRPr="00741244" w:rsidTr="00AE2F5B">
        <w:tc>
          <w:tcPr>
            <w:tcW w:w="1809" w:type="dxa"/>
          </w:tcPr>
          <w:p w:rsidR="004B3538" w:rsidRPr="00C42311" w:rsidRDefault="004B3538" w:rsidP="00AE2F5B">
            <w:pPr>
              <w:spacing w:before="120"/>
              <w:rPr>
                <w:b/>
                <w:bCs/>
                <w:snapToGrid w:val="0"/>
                <w:lang w:val="es-ES_tradnl"/>
              </w:rPr>
            </w:pPr>
            <w:r>
              <w:rPr>
                <w:b/>
                <w:bCs/>
                <w:snapToGrid w:val="0"/>
                <w:lang w:val="es-ES_tradnl"/>
              </w:rPr>
              <w:t>1979-1984</w:t>
            </w:r>
          </w:p>
        </w:tc>
        <w:tc>
          <w:tcPr>
            <w:tcW w:w="7478" w:type="dxa"/>
          </w:tcPr>
          <w:p w:rsidR="004B3538" w:rsidRPr="00C42311" w:rsidRDefault="004B3538" w:rsidP="009344EE">
            <w:pPr>
              <w:spacing w:before="120" w:after="120"/>
              <w:jc w:val="left"/>
              <w:rPr>
                <w:b/>
                <w:bCs/>
                <w:lang w:val="es-ES_tradnl"/>
              </w:rPr>
            </w:pPr>
            <w:r w:rsidRPr="004B3538">
              <w:rPr>
                <w:b/>
                <w:lang w:val="es-ES_tradnl"/>
              </w:rPr>
              <w:t>P</w:t>
            </w:r>
            <w:r>
              <w:rPr>
                <w:b/>
                <w:lang w:val="es-ES_tradnl"/>
              </w:rPr>
              <w:t>rofesor titular de D</w:t>
            </w:r>
            <w:r w:rsidRPr="004B3538">
              <w:rPr>
                <w:b/>
                <w:lang w:val="es-ES_tradnl"/>
              </w:rPr>
              <w:t>erecho</w:t>
            </w:r>
            <w:r w:rsidRPr="004B3538">
              <w:rPr>
                <w:b/>
                <w:lang w:val="es-ES_tradnl"/>
              </w:rPr>
              <w:br/>
            </w:r>
            <w:r w:rsidRPr="004B3538">
              <w:rPr>
                <w:lang w:val="es-ES_tradnl"/>
              </w:rPr>
              <w:t>Universidad de Melbourne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1974</w:t>
            </w:r>
            <w:r w:rsidRPr="00C42311">
              <w:rPr>
                <w:b/>
                <w:bCs/>
                <w:lang w:val="es-ES_tradnl"/>
              </w:rPr>
              <w:noBreakHyphen/>
              <w:t>1976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after="120"/>
              <w:jc w:val="left"/>
              <w:rPr>
                <w:bCs/>
                <w:lang w:val="es-ES_tradnl"/>
              </w:rPr>
            </w:pPr>
            <w:r w:rsidRPr="00C42311">
              <w:rPr>
                <w:b/>
                <w:bCs/>
                <w:lang w:val="es-ES_tradnl"/>
              </w:rPr>
              <w:t>Pasante de abogado, posteriormente Abogado</w:t>
            </w:r>
            <w:r w:rsidRPr="00C42311">
              <w:rPr>
                <w:bCs/>
                <w:lang w:val="es-ES_tradnl"/>
              </w:rPr>
              <w:br/>
            </w:r>
            <w:r w:rsidRPr="00C42311">
              <w:rPr>
                <w:lang w:val="es-ES_tradnl"/>
              </w:rPr>
              <w:t>Arthur Robinson &amp; Co, Melbourne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60"/>
              <w:rPr>
                <w:b/>
                <w:bCs/>
                <w:lang w:val="es-ES_tradnl"/>
              </w:rPr>
            </w:pPr>
          </w:p>
        </w:tc>
        <w:tc>
          <w:tcPr>
            <w:tcW w:w="7478" w:type="dxa"/>
          </w:tcPr>
          <w:p w:rsidR="000F27AC" w:rsidRPr="00C42311" w:rsidRDefault="000F27AC" w:rsidP="00AE2F5B">
            <w:pPr>
              <w:spacing w:after="120"/>
              <w:rPr>
                <w:lang w:val="es-ES_tradnl"/>
              </w:rPr>
            </w:pPr>
          </w:p>
        </w:tc>
      </w:tr>
    </w:tbl>
    <w:p w:rsidR="000F27AC" w:rsidRPr="00C42311" w:rsidRDefault="000F27AC" w:rsidP="007519CD">
      <w:pPr>
        <w:rPr>
          <w:b/>
          <w:lang w:val="es-ES_tradnl"/>
        </w:rPr>
      </w:pPr>
    </w:p>
    <w:p w:rsidR="000F27AC" w:rsidRPr="00C42311" w:rsidRDefault="000F27AC" w:rsidP="007519CD">
      <w:pPr>
        <w:rPr>
          <w:b/>
          <w:lang w:val="es-ES_tradnl"/>
        </w:rPr>
      </w:pPr>
      <w:r w:rsidRPr="00C42311">
        <w:rPr>
          <w:b/>
          <w:lang w:val="es-ES_tradnl"/>
        </w:rPr>
        <w:br w:type="page"/>
      </w:r>
      <w:r w:rsidRPr="00C42311">
        <w:rPr>
          <w:b/>
          <w:lang w:val="es-ES_tradnl"/>
        </w:rPr>
        <w:lastRenderedPageBreak/>
        <w:t>OTROS NOMBRAMIENTOS</w:t>
      </w:r>
    </w:p>
    <w:p w:rsidR="000F27AC" w:rsidRPr="00C42311" w:rsidRDefault="000F27AC" w:rsidP="007519CD">
      <w:pPr>
        <w:rPr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8"/>
      </w:tblGrid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lang w:val="es-ES_tradnl"/>
              </w:rPr>
            </w:pPr>
            <w:r w:rsidRPr="00C42311">
              <w:rPr>
                <w:b/>
                <w:lang w:val="es-ES_tradnl"/>
              </w:rPr>
              <w:t>2012</w:t>
            </w:r>
            <w:r w:rsidRPr="00C42311">
              <w:rPr>
                <w:b/>
                <w:lang w:val="es-ES_tradnl"/>
              </w:rPr>
              <w:noBreakHyphen/>
              <w:t>presente</w:t>
            </w:r>
          </w:p>
        </w:tc>
        <w:tc>
          <w:tcPr>
            <w:tcW w:w="7478" w:type="dxa"/>
          </w:tcPr>
          <w:p w:rsidR="000F27AC" w:rsidRPr="00C42311" w:rsidRDefault="000F27AC" w:rsidP="00AE2F5B">
            <w:pPr>
              <w:spacing w:before="120" w:after="120"/>
              <w:rPr>
                <w:b/>
                <w:lang w:val="es-ES_tradnl"/>
              </w:rPr>
            </w:pPr>
            <w:r w:rsidRPr="00C42311">
              <w:rPr>
                <w:b/>
                <w:lang w:val="es-ES_tradnl"/>
              </w:rPr>
              <w:t xml:space="preserve">Presidente, Comité de Alto Nivel sobre Gestión de la Junta de los Jefes Ejecutivos del </w:t>
            </w:r>
            <w:r w:rsidRPr="00C42311">
              <w:rPr>
                <w:b/>
                <w:snapToGrid w:val="0"/>
                <w:lang w:val="es-ES_tradnl"/>
              </w:rPr>
              <w:t>Sistema de las Naciones Unidas para la Coordinación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2013</w:t>
            </w:r>
          </w:p>
        </w:tc>
        <w:tc>
          <w:tcPr>
            <w:tcW w:w="7478" w:type="dxa"/>
          </w:tcPr>
          <w:p w:rsidR="000F27AC" w:rsidRPr="00C42311" w:rsidRDefault="000F27AC" w:rsidP="00AE2F5B">
            <w:pPr>
              <w:spacing w:before="120" w:after="120"/>
              <w:rPr>
                <w:lang w:val="fr-FR"/>
              </w:rPr>
            </w:pPr>
            <w:proofErr w:type="spellStart"/>
            <w:r w:rsidRPr="00C42311">
              <w:rPr>
                <w:b/>
                <w:lang w:val="fr-FR"/>
              </w:rPr>
              <w:t>Miembro</w:t>
            </w:r>
            <w:proofErr w:type="spellEnd"/>
            <w:r w:rsidRPr="00C42311">
              <w:rPr>
                <w:b/>
                <w:lang w:val="fr-FR"/>
              </w:rPr>
              <w:t xml:space="preserve">, </w:t>
            </w:r>
            <w:r w:rsidRPr="00C42311">
              <w:rPr>
                <w:b/>
                <w:i/>
                <w:iCs/>
                <w:lang w:val="fr-FR"/>
              </w:rPr>
              <w:t>Consultative Commission for International Geneva</w:t>
            </w:r>
            <w:r w:rsidRPr="00C42311">
              <w:rPr>
                <w:b/>
                <w:lang w:val="fr-FR"/>
              </w:rPr>
              <w:t xml:space="preserve"> </w:t>
            </w:r>
            <w:r w:rsidRPr="00C42311">
              <w:rPr>
                <w:lang w:val="fr-FR"/>
              </w:rPr>
              <w:t>(</w:t>
            </w:r>
            <w:r w:rsidRPr="00C42311">
              <w:rPr>
                <w:i/>
                <w:lang w:val="fr-FR"/>
              </w:rPr>
              <w:t>Commission consultative des relations de la Genève internationale</w:t>
            </w:r>
            <w:r w:rsidRPr="00C42311">
              <w:rPr>
                <w:lang w:val="fr-FR"/>
              </w:rPr>
              <w:t>)</w:t>
            </w:r>
          </w:p>
        </w:tc>
      </w:tr>
    </w:tbl>
    <w:p w:rsidR="000F27AC" w:rsidRPr="00C42311" w:rsidRDefault="000F27AC" w:rsidP="007519CD">
      <w:pPr>
        <w:rPr>
          <w:lang w:val="fr-FR"/>
        </w:rPr>
      </w:pPr>
    </w:p>
    <w:p w:rsidR="000F27AC" w:rsidRPr="00C42311" w:rsidRDefault="000F27AC" w:rsidP="007519CD">
      <w:pPr>
        <w:rPr>
          <w:lang w:val="fr-FR"/>
        </w:rPr>
      </w:pPr>
    </w:p>
    <w:p w:rsidR="000F27AC" w:rsidRPr="00C42311" w:rsidRDefault="000F27AC" w:rsidP="007519CD">
      <w:pPr>
        <w:rPr>
          <w:b/>
          <w:lang w:val="es-ES_tradnl"/>
        </w:rPr>
      </w:pPr>
      <w:r w:rsidRPr="00C42311">
        <w:rPr>
          <w:b/>
          <w:lang w:val="es-ES_tradnl"/>
        </w:rPr>
        <w:t>CARGOS HONORARIOS</w:t>
      </w:r>
    </w:p>
    <w:p w:rsidR="000F27AC" w:rsidRPr="00C42311" w:rsidRDefault="000F27AC" w:rsidP="007519CD">
      <w:pPr>
        <w:rPr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8"/>
      </w:tblGrid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2013</w:t>
            </w:r>
          </w:p>
        </w:tc>
        <w:tc>
          <w:tcPr>
            <w:tcW w:w="7478" w:type="dxa"/>
          </w:tcPr>
          <w:p w:rsidR="000F27AC" w:rsidRPr="00C42311" w:rsidRDefault="000F27AC" w:rsidP="00AE2F5B">
            <w:pPr>
              <w:spacing w:before="120" w:after="120"/>
              <w:rPr>
                <w:lang w:val="es-ES_tradnl"/>
              </w:rPr>
            </w:pPr>
            <w:r w:rsidRPr="00C42311">
              <w:rPr>
                <w:b/>
                <w:lang w:val="es-ES_tradnl"/>
              </w:rPr>
              <w:t xml:space="preserve">Condecoración del </w:t>
            </w:r>
            <w:proofErr w:type="spellStart"/>
            <w:r w:rsidRPr="00C42311">
              <w:rPr>
                <w:b/>
                <w:lang w:val="es-ES_tradnl"/>
              </w:rPr>
              <w:t>Wissam</w:t>
            </w:r>
            <w:proofErr w:type="spellEnd"/>
            <w:r w:rsidRPr="00C42311">
              <w:rPr>
                <w:b/>
                <w:lang w:val="es-ES_tradnl"/>
              </w:rPr>
              <w:t xml:space="preserve"> </w:t>
            </w:r>
            <w:proofErr w:type="spellStart"/>
            <w:r w:rsidRPr="00C42311">
              <w:rPr>
                <w:b/>
                <w:lang w:val="es-ES_tradnl"/>
              </w:rPr>
              <w:t>Alawite</w:t>
            </w:r>
            <w:proofErr w:type="spellEnd"/>
            <w:r w:rsidRPr="00C42311">
              <w:rPr>
                <w:lang w:val="es-ES_tradnl"/>
              </w:rPr>
              <w:t xml:space="preserve"> con grado de Comandante</w:t>
            </w:r>
            <w:r w:rsidRPr="00C42311">
              <w:rPr>
                <w:lang w:val="es-ES_tradnl"/>
              </w:rPr>
              <w:br/>
              <w:t>Reino de Marruecos</w:t>
            </w:r>
          </w:p>
        </w:tc>
      </w:tr>
      <w:tr w:rsidR="000F27AC" w:rsidRPr="00B53441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2012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</w:pPr>
            <w:r w:rsidRPr="00C42311">
              <w:rPr>
                <w:b/>
                <w:i/>
                <w:iCs/>
              </w:rPr>
              <w:t>Fellow</w:t>
            </w:r>
            <w:r w:rsidRPr="00C42311">
              <w:t xml:space="preserve"> (</w:t>
            </w:r>
            <w:proofErr w:type="spellStart"/>
            <w:r w:rsidRPr="00C42311">
              <w:t>miembro</w:t>
            </w:r>
            <w:proofErr w:type="spellEnd"/>
            <w:r w:rsidRPr="00C42311">
              <w:t>)</w:t>
            </w:r>
            <w:r w:rsidRPr="00C42311">
              <w:br/>
              <w:t>Australian Institute of International Affairs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2012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/>
                <w:i/>
                <w:lang w:val="es-ES_tradnl"/>
              </w:rPr>
              <w:t>Doctor Honoris Causa</w:t>
            </w:r>
            <w:r w:rsidRPr="00C42311">
              <w:rPr>
                <w:b/>
                <w:i/>
                <w:lang w:val="es-ES_tradnl"/>
              </w:rPr>
              <w:br/>
            </w:r>
            <w:r w:rsidRPr="00C42311">
              <w:rPr>
                <w:szCs w:val="22"/>
                <w:lang w:val="es-ES_tradnl"/>
              </w:rPr>
              <w:t xml:space="preserve">Academia de Estudios Económicos de </w:t>
            </w:r>
            <w:proofErr w:type="spellStart"/>
            <w:r w:rsidRPr="00C42311">
              <w:rPr>
                <w:szCs w:val="22"/>
                <w:lang w:val="es-ES_tradnl"/>
              </w:rPr>
              <w:t>Moldova</w:t>
            </w:r>
            <w:proofErr w:type="spellEnd"/>
            <w:r w:rsidRPr="00C42311">
              <w:rPr>
                <w:szCs w:val="22"/>
                <w:lang w:val="es-ES_tradnl"/>
              </w:rPr>
              <w:t xml:space="preserve">, </w:t>
            </w:r>
            <w:r w:rsidRPr="00C42311">
              <w:rPr>
                <w:szCs w:val="24"/>
                <w:lang w:val="es-ES_tradnl"/>
              </w:rPr>
              <w:t xml:space="preserve">República de </w:t>
            </w:r>
            <w:proofErr w:type="spellStart"/>
            <w:r w:rsidRPr="00C42311">
              <w:rPr>
                <w:szCs w:val="24"/>
                <w:lang w:val="es-ES_tradnl"/>
              </w:rPr>
              <w:t>Moldova</w:t>
            </w:r>
            <w:proofErr w:type="spellEnd"/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2012</w:t>
            </w:r>
          </w:p>
        </w:tc>
        <w:tc>
          <w:tcPr>
            <w:tcW w:w="7478" w:type="dxa"/>
          </w:tcPr>
          <w:p w:rsidR="000F27AC" w:rsidRPr="00C42311" w:rsidRDefault="000F27AC" w:rsidP="00AE2F5B">
            <w:pPr>
              <w:spacing w:before="120" w:after="120"/>
              <w:rPr>
                <w:lang w:val="es-ES_tradnl"/>
              </w:rPr>
            </w:pPr>
            <w:r w:rsidRPr="00C42311">
              <w:rPr>
                <w:b/>
                <w:lang w:val="es-ES_tradnl"/>
              </w:rPr>
              <w:t>Miembro Honorario del Consejo de las Artes</w:t>
            </w:r>
            <w:r w:rsidRPr="00C42311">
              <w:rPr>
                <w:lang w:val="es-ES_tradnl"/>
              </w:rPr>
              <w:br/>
              <w:t>Universidad de Alcalá, España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2012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/>
                <w:i/>
                <w:lang w:val="es-ES_tradnl"/>
              </w:rPr>
              <w:t>Doctor Honoris Causa</w:t>
            </w:r>
            <w:r w:rsidRPr="00C42311">
              <w:rPr>
                <w:b/>
                <w:i/>
                <w:lang w:val="es-ES_tradnl"/>
              </w:rPr>
              <w:br/>
            </w:r>
            <w:r w:rsidRPr="00C42311">
              <w:rPr>
                <w:szCs w:val="22"/>
                <w:lang w:val="es-ES_tradnl"/>
              </w:rPr>
              <w:t>Universidad Nacional Eurasiática, Kazajstán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2011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/>
                <w:i/>
                <w:lang w:val="es-ES_tradnl"/>
              </w:rPr>
              <w:t>Doctor Honoris Causa</w:t>
            </w:r>
            <w:r w:rsidRPr="00C42311">
              <w:rPr>
                <w:b/>
                <w:i/>
                <w:lang w:val="es-ES_tradnl"/>
              </w:rPr>
              <w:br/>
            </w:r>
            <w:r w:rsidRPr="00C42311">
              <w:rPr>
                <w:szCs w:val="22"/>
                <w:lang w:val="es-ES_tradnl"/>
              </w:rPr>
              <w:t xml:space="preserve">Universidad de Akron, </w:t>
            </w:r>
            <w:r w:rsidRPr="00C42311">
              <w:rPr>
                <w:szCs w:val="24"/>
                <w:lang w:val="es-ES_tradnl"/>
              </w:rPr>
              <w:t>Estados Unidos de América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2010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/>
                <w:i/>
                <w:lang w:val="es-ES_tradnl"/>
              </w:rPr>
              <w:t>Doctor Honoris Causa</w:t>
            </w:r>
            <w:r w:rsidRPr="00C42311">
              <w:rPr>
                <w:b/>
                <w:i/>
                <w:lang w:val="es-ES_tradnl"/>
              </w:rPr>
              <w:br/>
            </w:r>
            <w:r w:rsidRPr="00C42311">
              <w:rPr>
                <w:szCs w:val="22"/>
                <w:lang w:val="es-ES_tradnl"/>
              </w:rPr>
              <w:t xml:space="preserve">Universidad de Haifa, </w:t>
            </w:r>
            <w:r w:rsidRPr="00C42311">
              <w:rPr>
                <w:szCs w:val="24"/>
                <w:lang w:val="es-ES_tradnl"/>
              </w:rPr>
              <w:t>Israel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2010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/>
                <w:i/>
                <w:lang w:val="es-ES_tradnl"/>
              </w:rPr>
              <w:t>Doctor Honoris Causa</w:t>
            </w:r>
            <w:r w:rsidRPr="00C42311">
              <w:rPr>
                <w:b/>
                <w:i/>
                <w:lang w:val="es-ES_tradnl"/>
              </w:rPr>
              <w:br/>
            </w:r>
            <w:r w:rsidRPr="00C42311">
              <w:rPr>
                <w:szCs w:val="22"/>
                <w:lang w:val="es-ES_tradnl"/>
              </w:rPr>
              <w:t xml:space="preserve">Universidad </w:t>
            </w:r>
            <w:proofErr w:type="spellStart"/>
            <w:r w:rsidRPr="00C42311">
              <w:rPr>
                <w:szCs w:val="22"/>
                <w:lang w:val="es-ES_tradnl"/>
              </w:rPr>
              <w:t>Renmin</w:t>
            </w:r>
            <w:proofErr w:type="spellEnd"/>
            <w:r w:rsidRPr="00C42311">
              <w:rPr>
                <w:szCs w:val="22"/>
                <w:lang w:val="es-ES_tradnl"/>
              </w:rPr>
              <w:t xml:space="preserve">, </w:t>
            </w:r>
            <w:r w:rsidRPr="00C42311">
              <w:rPr>
                <w:szCs w:val="24"/>
                <w:lang w:val="es-ES_tradnl"/>
              </w:rPr>
              <w:t>China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2009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/>
                <w:i/>
                <w:lang w:val="es-ES_tradnl"/>
              </w:rPr>
              <w:t>Doctor Honoris Causa</w:t>
            </w:r>
            <w:r w:rsidRPr="00C42311">
              <w:rPr>
                <w:b/>
                <w:i/>
                <w:lang w:val="es-ES_tradnl"/>
              </w:rPr>
              <w:br/>
            </w:r>
            <w:r w:rsidRPr="00C42311">
              <w:rPr>
                <w:szCs w:val="22"/>
                <w:lang w:val="es-ES_tradnl"/>
              </w:rPr>
              <w:t>Universidad Técnica Nacional de Ucrania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2009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r w:rsidRPr="00C42311">
              <w:rPr>
                <w:b/>
                <w:lang w:val="es-ES_tradnl"/>
              </w:rPr>
              <w:t>Catedrático Honorario</w:t>
            </w:r>
            <w:r w:rsidRPr="00C42311">
              <w:rPr>
                <w:lang w:val="es-ES_tradnl"/>
              </w:rPr>
              <w:br/>
              <w:t>Universidad de Pekín, China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snapToGrid w:val="0"/>
                <w:lang w:val="es-ES_tradnl"/>
              </w:rPr>
            </w:pPr>
            <w:r w:rsidRPr="00C42311">
              <w:rPr>
                <w:b/>
                <w:snapToGrid w:val="0"/>
                <w:lang w:val="es-ES_tradnl"/>
              </w:rPr>
              <w:t>2008</w:t>
            </w:r>
          </w:p>
        </w:tc>
        <w:tc>
          <w:tcPr>
            <w:tcW w:w="7478" w:type="dxa"/>
          </w:tcPr>
          <w:p w:rsidR="000F27AC" w:rsidRPr="00C42311" w:rsidRDefault="000F27AC" w:rsidP="00AE2F5B">
            <w:pPr>
              <w:spacing w:before="120" w:after="120"/>
              <w:rPr>
                <w:lang w:val="es-ES_tradnl"/>
              </w:rPr>
            </w:pPr>
            <w:r w:rsidRPr="00C42311">
              <w:rPr>
                <w:b/>
                <w:lang w:val="es-ES_tradnl"/>
              </w:rPr>
              <w:t>Miembro</w:t>
            </w:r>
            <w:r w:rsidRPr="00C42311">
              <w:rPr>
                <w:lang w:val="es-ES_tradnl"/>
              </w:rPr>
              <w:br/>
            </w:r>
            <w:r w:rsidRPr="00C42311">
              <w:rPr>
                <w:szCs w:val="22"/>
                <w:lang w:val="es-ES_tradnl"/>
              </w:rPr>
              <w:t>Academia Europea de las Ciencias y las Artes</w:t>
            </w:r>
          </w:p>
        </w:tc>
      </w:tr>
      <w:tr w:rsidR="000F27AC" w:rsidRPr="00741244" w:rsidTr="00AE2F5B">
        <w:tc>
          <w:tcPr>
            <w:tcW w:w="1809" w:type="dxa"/>
          </w:tcPr>
          <w:p w:rsidR="000F27AC" w:rsidRPr="00C42311" w:rsidRDefault="000F27AC" w:rsidP="00AE2F5B">
            <w:pPr>
              <w:spacing w:before="120"/>
              <w:rPr>
                <w:b/>
                <w:lang w:val="es-ES_tradnl"/>
              </w:rPr>
            </w:pPr>
            <w:r w:rsidRPr="00C42311">
              <w:rPr>
                <w:b/>
                <w:lang w:val="es-ES_tradnl"/>
              </w:rPr>
              <w:t>2001</w:t>
            </w:r>
          </w:p>
        </w:tc>
        <w:tc>
          <w:tcPr>
            <w:tcW w:w="7478" w:type="dxa"/>
          </w:tcPr>
          <w:p w:rsidR="000F27AC" w:rsidRPr="00C42311" w:rsidRDefault="000F27AC" w:rsidP="009344EE">
            <w:pPr>
              <w:spacing w:before="120" w:after="120"/>
              <w:jc w:val="left"/>
              <w:rPr>
                <w:lang w:val="es-ES_tradnl"/>
              </w:rPr>
            </w:pPr>
            <w:proofErr w:type="spellStart"/>
            <w:r w:rsidRPr="00C42311">
              <w:rPr>
                <w:b/>
                <w:bCs/>
                <w:i/>
                <w:lang w:val="es-ES_tradnl"/>
              </w:rPr>
              <w:t>Honorary</w:t>
            </w:r>
            <w:proofErr w:type="spellEnd"/>
            <w:r w:rsidRPr="00C42311">
              <w:rPr>
                <w:b/>
                <w:bCs/>
                <w:i/>
                <w:lang w:val="es-ES_tradnl"/>
              </w:rPr>
              <w:t xml:space="preserve"> </w:t>
            </w:r>
            <w:proofErr w:type="spellStart"/>
            <w:r w:rsidRPr="00C42311">
              <w:rPr>
                <w:b/>
                <w:bCs/>
                <w:i/>
                <w:lang w:val="es-ES_tradnl"/>
              </w:rPr>
              <w:t>Professorial</w:t>
            </w:r>
            <w:proofErr w:type="spellEnd"/>
            <w:r w:rsidRPr="00C42311">
              <w:rPr>
                <w:b/>
                <w:bCs/>
                <w:i/>
                <w:lang w:val="es-ES_tradnl"/>
              </w:rPr>
              <w:t xml:space="preserve"> </w:t>
            </w:r>
            <w:proofErr w:type="spellStart"/>
            <w:r w:rsidRPr="00C42311">
              <w:rPr>
                <w:b/>
                <w:bCs/>
                <w:i/>
                <w:lang w:val="es-ES_tradnl"/>
              </w:rPr>
              <w:t>Fellow</w:t>
            </w:r>
            <w:proofErr w:type="spellEnd"/>
            <w:r w:rsidRPr="00C42311">
              <w:rPr>
                <w:lang w:val="es-ES_tradnl"/>
              </w:rPr>
              <w:t xml:space="preserve">, </w:t>
            </w:r>
            <w:r w:rsidRPr="00C42311">
              <w:rPr>
                <w:lang w:val="es-ES_tradnl"/>
              </w:rPr>
              <w:br/>
              <w:t>Facultad de Derecho, Universidad de Melbourne, (Australia)</w:t>
            </w:r>
          </w:p>
        </w:tc>
      </w:tr>
    </w:tbl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bCs/>
          <w:lang w:val="es-ES_tradnl"/>
        </w:rPr>
      </w:pPr>
      <w:r w:rsidRPr="00C42311">
        <w:rPr>
          <w:b/>
          <w:bCs/>
          <w:lang w:val="es-ES_tradnl"/>
        </w:rPr>
        <w:br w:type="page"/>
      </w:r>
      <w:r w:rsidRPr="00C42311">
        <w:rPr>
          <w:b/>
          <w:bCs/>
          <w:lang w:val="es-ES_tradnl"/>
        </w:rPr>
        <w:lastRenderedPageBreak/>
        <w:t>MIEMBRO DE ÓRGANOS CONSULTIVOS Y CONSEJOS DE REDACCIÓN</w:t>
      </w:r>
    </w:p>
    <w:p w:rsidR="000F27AC" w:rsidRPr="00C42311" w:rsidRDefault="000F27AC" w:rsidP="007519CD">
      <w:pPr>
        <w:rPr>
          <w:bCs/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  <w:r w:rsidRPr="00C42311">
        <w:rPr>
          <w:lang w:val="es-ES_tradnl"/>
        </w:rPr>
        <w:t>Patrocinador, campaña de la Universidad de Melbourne</w:t>
      </w: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  <w:r w:rsidRPr="00C42311">
        <w:rPr>
          <w:lang w:val="es-ES_tradnl"/>
        </w:rPr>
        <w:t xml:space="preserve">Presidente Honorario, Junta de Gestión del </w:t>
      </w:r>
      <w:r w:rsidRPr="00C42311">
        <w:rPr>
          <w:i/>
          <w:lang w:val="es-ES_tradnl"/>
        </w:rPr>
        <w:t xml:space="preserve">Center </w:t>
      </w:r>
      <w:proofErr w:type="spellStart"/>
      <w:r w:rsidRPr="00C42311">
        <w:rPr>
          <w:i/>
          <w:lang w:val="es-ES_tradnl"/>
        </w:rPr>
        <w:t>for</w:t>
      </w:r>
      <w:proofErr w:type="spellEnd"/>
      <w:r w:rsidRPr="00C42311">
        <w:rPr>
          <w:i/>
          <w:lang w:val="es-ES_tradnl"/>
        </w:rPr>
        <w:t xml:space="preserve"> China </w:t>
      </w:r>
      <w:proofErr w:type="spellStart"/>
      <w:r w:rsidRPr="00C42311">
        <w:rPr>
          <w:i/>
          <w:lang w:val="es-ES_tradnl"/>
        </w:rPr>
        <w:t>Innovation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Index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Research</w:t>
      </w:r>
      <w:proofErr w:type="spellEnd"/>
      <w:r w:rsidRPr="00C42311">
        <w:rPr>
          <w:lang w:val="es-ES_tradnl"/>
        </w:rPr>
        <w:t>, Universidad de Beijing</w:t>
      </w: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  <w:r w:rsidRPr="00C42311">
        <w:rPr>
          <w:lang w:val="es-ES_tradnl"/>
        </w:rPr>
        <w:t xml:space="preserve">Consejo de Dirección del programa de maestría en solución internacional de diferencias, Universidad de Ginebra y </w:t>
      </w:r>
      <w:proofErr w:type="spellStart"/>
      <w:r w:rsidRPr="00C42311">
        <w:rPr>
          <w:i/>
          <w:lang w:val="es-ES_tradnl"/>
        </w:rPr>
        <w:t>Graduate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Institute</w:t>
      </w:r>
      <w:proofErr w:type="spellEnd"/>
      <w:r w:rsidRPr="00C42311">
        <w:rPr>
          <w:i/>
          <w:lang w:val="es-ES_tradnl"/>
        </w:rPr>
        <w:t xml:space="preserve"> of International </w:t>
      </w:r>
      <w:proofErr w:type="spellStart"/>
      <w:r w:rsidRPr="00C42311">
        <w:rPr>
          <w:i/>
          <w:lang w:val="es-ES_tradnl"/>
        </w:rPr>
        <w:t>Develepment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Studies</w:t>
      </w:r>
      <w:proofErr w:type="spellEnd"/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roofErr w:type="spellStart"/>
      <w:r w:rsidRPr="00C42311">
        <w:t>Consejo</w:t>
      </w:r>
      <w:proofErr w:type="spellEnd"/>
      <w:r w:rsidRPr="00C42311">
        <w:t xml:space="preserve"> </w:t>
      </w:r>
      <w:proofErr w:type="spellStart"/>
      <w:r w:rsidRPr="00C42311">
        <w:t>Consultivo</w:t>
      </w:r>
      <w:proofErr w:type="spellEnd"/>
      <w:r w:rsidRPr="00C42311">
        <w:t xml:space="preserve">, </w:t>
      </w:r>
      <w:r w:rsidRPr="00C42311">
        <w:rPr>
          <w:i/>
        </w:rPr>
        <w:t>Melbourne Journal of International Law</w:t>
      </w:r>
    </w:p>
    <w:p w:rsidR="000F27AC" w:rsidRPr="00C42311" w:rsidRDefault="000F27AC" w:rsidP="007519CD"/>
    <w:p w:rsidR="000F27AC" w:rsidRPr="00C42311" w:rsidRDefault="000F27AC" w:rsidP="007519CD">
      <w:pPr>
        <w:rPr>
          <w:lang w:val="es-ES_tradnl"/>
        </w:rPr>
      </w:pPr>
      <w:r w:rsidRPr="00C42311">
        <w:rPr>
          <w:i/>
          <w:lang w:val="es-ES_tradnl"/>
        </w:rPr>
        <w:t xml:space="preserve">Centre </w:t>
      </w:r>
      <w:proofErr w:type="spellStart"/>
      <w:r w:rsidRPr="00C42311">
        <w:rPr>
          <w:i/>
          <w:lang w:val="es-ES_tradnl"/>
        </w:rPr>
        <w:t>for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Intellectual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Property</w:t>
      </w:r>
      <w:proofErr w:type="spellEnd"/>
      <w:r w:rsidRPr="00C42311">
        <w:rPr>
          <w:i/>
          <w:lang w:val="es-ES_tradnl"/>
        </w:rPr>
        <w:t xml:space="preserve"> and </w:t>
      </w:r>
      <w:proofErr w:type="spellStart"/>
      <w:r w:rsidRPr="00C42311">
        <w:rPr>
          <w:i/>
          <w:lang w:val="es-ES_tradnl"/>
        </w:rPr>
        <w:t>Information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Law</w:t>
      </w:r>
      <w:proofErr w:type="spellEnd"/>
      <w:r w:rsidRPr="00C42311">
        <w:rPr>
          <w:lang w:val="es-ES_tradnl"/>
        </w:rPr>
        <w:t>, Facultad de Derecho, Universidad de Cambridge</w:t>
      </w: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  <w:proofErr w:type="spellStart"/>
      <w:r w:rsidRPr="00C42311">
        <w:rPr>
          <w:i/>
          <w:lang w:val="es-ES_tradnl"/>
        </w:rPr>
        <w:t>Intellectual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Property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Research</w:t>
      </w:r>
      <w:proofErr w:type="spellEnd"/>
      <w:r w:rsidRPr="00C42311">
        <w:rPr>
          <w:i/>
          <w:lang w:val="es-ES_tradnl"/>
        </w:rPr>
        <w:t xml:space="preserve"> </w:t>
      </w:r>
      <w:proofErr w:type="spellStart"/>
      <w:r w:rsidRPr="00C42311">
        <w:rPr>
          <w:i/>
          <w:lang w:val="es-ES_tradnl"/>
        </w:rPr>
        <w:t>Institute</w:t>
      </w:r>
      <w:proofErr w:type="spellEnd"/>
      <w:r w:rsidRPr="00C42311">
        <w:rPr>
          <w:lang w:val="es-ES_tradnl"/>
        </w:rPr>
        <w:t xml:space="preserve"> de Australia, Facultad de Derecho, Universidad de Melbourne, Australia</w:t>
      </w: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i/>
        </w:rPr>
      </w:pPr>
      <w:r w:rsidRPr="00C42311">
        <w:rPr>
          <w:i/>
        </w:rPr>
        <w:t>Indian Journal of Intellectual Property</w:t>
      </w:r>
    </w:p>
    <w:p w:rsidR="000F27AC" w:rsidRPr="00C42311" w:rsidRDefault="000F27AC" w:rsidP="007519CD"/>
    <w:p w:rsidR="000F27AC" w:rsidRPr="00C42311" w:rsidRDefault="000F27AC" w:rsidP="007519CD">
      <w:r w:rsidRPr="00C42311">
        <w:t>SCRIPT-</w:t>
      </w:r>
      <w:proofErr w:type="spellStart"/>
      <w:r w:rsidRPr="00C42311">
        <w:t>ed</w:t>
      </w:r>
      <w:proofErr w:type="spellEnd"/>
      <w:r w:rsidRPr="00C42311">
        <w:t xml:space="preserve"> - </w:t>
      </w:r>
      <w:r w:rsidRPr="00C42311">
        <w:rPr>
          <w:i/>
        </w:rPr>
        <w:t>A Journal of Law, Technology &amp; Society</w:t>
      </w:r>
      <w:r w:rsidRPr="00C42311">
        <w:t xml:space="preserve"> (Universidad de </w:t>
      </w:r>
      <w:proofErr w:type="spellStart"/>
      <w:r w:rsidRPr="00C42311">
        <w:t>Edimburgo</w:t>
      </w:r>
      <w:proofErr w:type="spellEnd"/>
      <w:r w:rsidRPr="00C42311">
        <w:t xml:space="preserve">, </w:t>
      </w:r>
      <w:proofErr w:type="spellStart"/>
      <w:r w:rsidRPr="00C42311">
        <w:t>Reino</w:t>
      </w:r>
      <w:proofErr w:type="spellEnd"/>
      <w:r w:rsidRPr="00C42311">
        <w:t xml:space="preserve"> </w:t>
      </w:r>
      <w:proofErr w:type="spellStart"/>
      <w:r w:rsidRPr="00C42311">
        <w:t>Unido</w:t>
      </w:r>
      <w:proofErr w:type="spellEnd"/>
      <w:r w:rsidRPr="00C42311">
        <w:t>)</w:t>
      </w:r>
    </w:p>
    <w:p w:rsidR="000F27AC" w:rsidRPr="00C42311" w:rsidRDefault="000F27AC" w:rsidP="007519CD"/>
    <w:p w:rsidR="000F27AC" w:rsidRPr="00C42311" w:rsidRDefault="000F27AC" w:rsidP="007519CD"/>
    <w:p w:rsidR="000F27AC" w:rsidRPr="00C42311" w:rsidRDefault="000F27AC" w:rsidP="007519CD">
      <w:pPr>
        <w:rPr>
          <w:b/>
          <w:bCs/>
          <w:lang w:val="es-ES_tradnl"/>
        </w:rPr>
      </w:pPr>
      <w:r w:rsidRPr="00C42311">
        <w:rPr>
          <w:b/>
          <w:bCs/>
          <w:lang w:val="es-ES_tradnl"/>
        </w:rPr>
        <w:t>IDIOMAS</w:t>
      </w: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  <w:r w:rsidRPr="00C42311">
        <w:rPr>
          <w:lang w:val="es-ES_tradnl"/>
        </w:rPr>
        <w:t>Inglés (lengua materna), francés (con fluidez)</w:t>
      </w: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lang w:val="es-ES_tradnl"/>
        </w:rPr>
      </w:pPr>
    </w:p>
    <w:p w:rsidR="000F27AC" w:rsidRPr="00C42311" w:rsidRDefault="000F27AC" w:rsidP="007519CD">
      <w:pPr>
        <w:rPr>
          <w:b/>
        </w:rPr>
      </w:pPr>
      <w:r w:rsidRPr="00C42311">
        <w:rPr>
          <w:b/>
        </w:rPr>
        <w:t>PUBLICACIONES</w:t>
      </w:r>
    </w:p>
    <w:p w:rsidR="000F27AC" w:rsidRPr="00C42311" w:rsidRDefault="000F27AC" w:rsidP="007519CD"/>
    <w:p w:rsidR="000F27AC" w:rsidRPr="00C42311" w:rsidRDefault="000F27AC" w:rsidP="007519CD">
      <w:pPr>
        <w:rPr>
          <w:b/>
        </w:rPr>
      </w:pPr>
      <w:proofErr w:type="spellStart"/>
      <w:r w:rsidRPr="00C42311">
        <w:rPr>
          <w:b/>
        </w:rPr>
        <w:t>Libros</w:t>
      </w:r>
      <w:proofErr w:type="spellEnd"/>
    </w:p>
    <w:p w:rsidR="000F27AC" w:rsidRPr="00C42311" w:rsidRDefault="000F27AC" w:rsidP="007519CD"/>
    <w:p w:rsidR="000F27AC" w:rsidRPr="00C42311" w:rsidRDefault="000F27AC" w:rsidP="007519CD">
      <w:proofErr w:type="gramStart"/>
      <w:r w:rsidRPr="00C42311">
        <w:rPr>
          <w:i/>
          <w:iCs/>
        </w:rPr>
        <w:t xml:space="preserve">Breach of Confidence </w:t>
      </w:r>
      <w:r w:rsidRPr="00C42311">
        <w:t xml:space="preserve">(1984), Oxford University Press, Clarendon, </w:t>
      </w:r>
      <w:proofErr w:type="spellStart"/>
      <w:r w:rsidRPr="00C42311">
        <w:t>págs</w:t>
      </w:r>
      <w:proofErr w:type="spellEnd"/>
      <w:r w:rsidRPr="00C42311">
        <w:t>.</w:t>
      </w:r>
      <w:proofErr w:type="gramEnd"/>
      <w:r w:rsidRPr="00C42311">
        <w:t xml:space="preserve"> 1-487 (en la </w:t>
      </w:r>
      <w:proofErr w:type="spellStart"/>
      <w:r w:rsidRPr="00C42311">
        <w:t>actualidad</w:t>
      </w:r>
      <w:proofErr w:type="spellEnd"/>
      <w:r w:rsidRPr="00C42311">
        <w:t xml:space="preserve"> </w:t>
      </w:r>
      <w:proofErr w:type="spellStart"/>
      <w:r w:rsidRPr="00C42311">
        <w:t>publicado</w:t>
      </w:r>
      <w:proofErr w:type="spellEnd"/>
      <w:r w:rsidRPr="00C42311">
        <w:t xml:space="preserve"> </w:t>
      </w:r>
      <w:proofErr w:type="spellStart"/>
      <w:proofErr w:type="gramStart"/>
      <w:r w:rsidRPr="00C42311">
        <w:t>como</w:t>
      </w:r>
      <w:proofErr w:type="spellEnd"/>
      <w:proofErr w:type="gramEnd"/>
      <w:r w:rsidRPr="00C42311">
        <w:t xml:space="preserve"> </w:t>
      </w:r>
      <w:proofErr w:type="spellStart"/>
      <w:r w:rsidRPr="00C42311">
        <w:rPr>
          <w:i/>
        </w:rPr>
        <w:t>Gurry</w:t>
      </w:r>
      <w:proofErr w:type="spellEnd"/>
      <w:r w:rsidRPr="00C42311">
        <w:rPr>
          <w:i/>
        </w:rPr>
        <w:t xml:space="preserve"> on Breach of Confidence.  The protection of Confidential Information</w:t>
      </w:r>
      <w:r w:rsidRPr="00C42311">
        <w:t xml:space="preserve">, </w:t>
      </w:r>
      <w:proofErr w:type="spellStart"/>
      <w:r w:rsidRPr="00C42311">
        <w:t>segunda</w:t>
      </w:r>
      <w:proofErr w:type="spellEnd"/>
      <w:r w:rsidRPr="00C42311">
        <w:t xml:space="preserve"> </w:t>
      </w:r>
      <w:proofErr w:type="spellStart"/>
      <w:r w:rsidRPr="00C42311">
        <w:t>edición</w:t>
      </w:r>
      <w:proofErr w:type="spellEnd"/>
      <w:r w:rsidRPr="00C42311">
        <w:t xml:space="preserve"> </w:t>
      </w:r>
      <w:proofErr w:type="spellStart"/>
      <w:r w:rsidRPr="00C42311">
        <w:t>por</w:t>
      </w:r>
      <w:proofErr w:type="spellEnd"/>
      <w:r w:rsidRPr="00C42311">
        <w:t xml:space="preserve"> Tanya </w:t>
      </w:r>
      <w:proofErr w:type="spellStart"/>
      <w:r w:rsidRPr="00C42311">
        <w:t>Aplin</w:t>
      </w:r>
      <w:proofErr w:type="spellEnd"/>
      <w:r w:rsidRPr="00C42311">
        <w:t xml:space="preserve">, Lionel </w:t>
      </w:r>
      <w:proofErr w:type="spellStart"/>
      <w:r w:rsidRPr="00C42311">
        <w:t>Bently</w:t>
      </w:r>
      <w:proofErr w:type="spellEnd"/>
      <w:r w:rsidRPr="00C42311">
        <w:t xml:space="preserve">, Phillip Johnson y Simon </w:t>
      </w:r>
      <w:proofErr w:type="spellStart"/>
      <w:r w:rsidRPr="00C42311">
        <w:t>Malynicz</w:t>
      </w:r>
      <w:proofErr w:type="spellEnd"/>
      <w:r w:rsidRPr="00C42311">
        <w:t>, Oxford University Press, Clarendon, 2012).</w:t>
      </w:r>
    </w:p>
    <w:p w:rsidR="000F27AC" w:rsidRPr="00C42311" w:rsidRDefault="000F27AC" w:rsidP="007519CD"/>
    <w:p w:rsidR="000F27AC" w:rsidRPr="00C42311" w:rsidRDefault="000F27AC" w:rsidP="007519CD">
      <w:proofErr w:type="gramStart"/>
      <w:r w:rsidRPr="00C42311">
        <w:rPr>
          <w:i/>
          <w:iCs/>
        </w:rPr>
        <w:t xml:space="preserve">Intellectual Property in an Integrated World Economy </w:t>
      </w:r>
      <w:r w:rsidRPr="00C42311">
        <w:t>(2007) (</w:t>
      </w:r>
      <w:proofErr w:type="spellStart"/>
      <w:r w:rsidRPr="00C42311">
        <w:t>junto</w:t>
      </w:r>
      <w:proofErr w:type="spellEnd"/>
      <w:r w:rsidRPr="00C42311">
        <w:t xml:space="preserve"> con Frederick Abbot y Thomas </w:t>
      </w:r>
      <w:proofErr w:type="spellStart"/>
      <w:r w:rsidRPr="00C42311">
        <w:t>Cottier</w:t>
      </w:r>
      <w:proofErr w:type="spellEnd"/>
      <w:r w:rsidRPr="00C42311">
        <w:t xml:space="preserve">), Aspen publishers, </w:t>
      </w:r>
      <w:proofErr w:type="spellStart"/>
      <w:r w:rsidRPr="00C42311">
        <w:t>págs</w:t>
      </w:r>
      <w:proofErr w:type="spellEnd"/>
      <w:r w:rsidRPr="00C42311">
        <w:t>.</w:t>
      </w:r>
      <w:proofErr w:type="gramEnd"/>
      <w:r w:rsidRPr="00C42311">
        <w:t> </w:t>
      </w:r>
      <w:proofErr w:type="gramStart"/>
      <w:r w:rsidRPr="00C42311">
        <w:t>ix-xxix</w:t>
      </w:r>
      <w:proofErr w:type="gramEnd"/>
      <w:r w:rsidRPr="00C42311">
        <w:t>, 1-683</w:t>
      </w:r>
    </w:p>
    <w:p w:rsidR="000F27AC" w:rsidRPr="00C42311" w:rsidRDefault="000F27AC" w:rsidP="007519CD"/>
    <w:p w:rsidR="000F27AC" w:rsidRPr="00C42311" w:rsidRDefault="000F27AC" w:rsidP="007519CD">
      <w:r w:rsidRPr="00C42311">
        <w:rPr>
          <w:i/>
          <w:iCs/>
        </w:rPr>
        <w:t xml:space="preserve">International Intellectual Property System: Commentary and Materials </w:t>
      </w:r>
      <w:r w:rsidRPr="00C42311">
        <w:rPr>
          <w:rFonts w:eastAsia="HiddenHorzOCR"/>
        </w:rPr>
        <w:t xml:space="preserve">(l999) </w:t>
      </w:r>
      <w:r w:rsidRPr="00C42311">
        <w:t>(</w:t>
      </w:r>
      <w:proofErr w:type="spellStart"/>
      <w:r w:rsidRPr="00C42311">
        <w:t>junto</w:t>
      </w:r>
      <w:proofErr w:type="spellEnd"/>
      <w:r w:rsidRPr="00C42311">
        <w:t xml:space="preserve"> con Frederick Abbott y Thomas </w:t>
      </w:r>
      <w:proofErr w:type="spellStart"/>
      <w:r w:rsidRPr="00C42311">
        <w:t>Cottier</w:t>
      </w:r>
      <w:proofErr w:type="spellEnd"/>
      <w:r w:rsidRPr="00C42311">
        <w:t xml:space="preserve">), Kluwer, </w:t>
      </w:r>
      <w:proofErr w:type="spellStart"/>
      <w:r w:rsidRPr="00C42311">
        <w:t>págs</w:t>
      </w:r>
      <w:proofErr w:type="spellEnd"/>
      <w:r w:rsidRPr="00C42311">
        <w:t>. </w:t>
      </w:r>
      <w:proofErr w:type="spellStart"/>
      <w:proofErr w:type="gramStart"/>
      <w:r w:rsidRPr="00C42311">
        <w:t>i</w:t>
      </w:r>
      <w:proofErr w:type="spellEnd"/>
      <w:r w:rsidRPr="00C42311">
        <w:t>-xx</w:t>
      </w:r>
      <w:proofErr w:type="gramEnd"/>
      <w:r w:rsidRPr="00C42311">
        <w:t xml:space="preserve"> xi, 1-2026</w:t>
      </w:r>
    </w:p>
    <w:p w:rsidR="000F27AC" w:rsidRPr="00C42311" w:rsidRDefault="000F27AC" w:rsidP="007519CD"/>
    <w:p w:rsidR="000F27AC" w:rsidRPr="00C42311" w:rsidRDefault="000F27AC" w:rsidP="007519CD"/>
    <w:p w:rsidR="000F27AC" w:rsidRPr="00C42311" w:rsidRDefault="000F27AC" w:rsidP="007519CD">
      <w:pPr>
        <w:rPr>
          <w:b/>
        </w:rPr>
      </w:pPr>
      <w:proofErr w:type="spellStart"/>
      <w:r w:rsidRPr="00C42311">
        <w:rPr>
          <w:b/>
        </w:rPr>
        <w:t>Capítulos</w:t>
      </w:r>
      <w:proofErr w:type="spellEnd"/>
      <w:r w:rsidRPr="00C42311">
        <w:rPr>
          <w:b/>
        </w:rPr>
        <w:t xml:space="preserve"> de </w:t>
      </w:r>
      <w:proofErr w:type="spellStart"/>
      <w:r w:rsidRPr="00C42311">
        <w:rPr>
          <w:b/>
        </w:rPr>
        <w:t>libros</w:t>
      </w:r>
      <w:proofErr w:type="spellEnd"/>
    </w:p>
    <w:p w:rsidR="000F27AC" w:rsidRPr="00C42311" w:rsidRDefault="000F27AC" w:rsidP="007519CD"/>
    <w:p w:rsidR="000F27AC" w:rsidRPr="00C42311" w:rsidRDefault="000F27AC" w:rsidP="007519CD">
      <w:proofErr w:type="spellStart"/>
      <w:r w:rsidRPr="00C42311">
        <w:t>Prólogo</w:t>
      </w:r>
      <w:proofErr w:type="spellEnd"/>
      <w:r w:rsidRPr="00C42311">
        <w:t xml:space="preserve">, David Lindsay, </w:t>
      </w:r>
      <w:r w:rsidRPr="00C42311">
        <w:rPr>
          <w:i/>
          <w:iCs/>
        </w:rPr>
        <w:t xml:space="preserve">International Domain Name Law: ICANN and the UDRP </w:t>
      </w:r>
      <w:r w:rsidRPr="00C42311">
        <w:t>(Hart, Oxford, 2007)</w:t>
      </w:r>
    </w:p>
    <w:p w:rsidR="000F27AC" w:rsidRPr="00C42311" w:rsidRDefault="000F27AC" w:rsidP="007519CD"/>
    <w:p w:rsidR="000F27AC" w:rsidRPr="00C42311" w:rsidRDefault="000F27AC" w:rsidP="007519CD">
      <w:proofErr w:type="spellStart"/>
      <w:r w:rsidRPr="00C42311">
        <w:t>Prefacio</w:t>
      </w:r>
      <w:proofErr w:type="spellEnd"/>
      <w:r w:rsidRPr="00C42311">
        <w:t xml:space="preserve">, </w:t>
      </w:r>
      <w:proofErr w:type="spellStart"/>
      <w:r w:rsidRPr="00C42311">
        <w:t>Valérie</w:t>
      </w:r>
      <w:proofErr w:type="spellEnd"/>
      <w:r w:rsidRPr="00C42311">
        <w:t xml:space="preserve">-Anne Giscard d’Estaing, </w:t>
      </w:r>
      <w:r w:rsidRPr="00C42311">
        <w:rPr>
          <w:i/>
          <w:iCs/>
        </w:rPr>
        <w:t xml:space="preserve">Inventions </w:t>
      </w:r>
      <w:r w:rsidRPr="00C42311">
        <w:t>(</w:t>
      </w:r>
      <w:proofErr w:type="spellStart"/>
      <w:r w:rsidRPr="00C42311">
        <w:t>Edición</w:t>
      </w:r>
      <w:proofErr w:type="spellEnd"/>
      <w:r w:rsidRPr="00C42311">
        <w:t xml:space="preserve"> 2007) (Michel </w:t>
      </w:r>
      <w:proofErr w:type="spellStart"/>
      <w:r w:rsidRPr="00C42311">
        <w:t>Lafon</w:t>
      </w:r>
      <w:proofErr w:type="spellEnd"/>
      <w:r w:rsidRPr="00C42311">
        <w:t>)</w:t>
      </w:r>
    </w:p>
    <w:p w:rsidR="000F27AC" w:rsidRPr="00C42311" w:rsidRDefault="000F27AC" w:rsidP="007519CD"/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Prólogo, </w:t>
      </w:r>
      <w:r w:rsidRPr="00C42311">
        <w:rPr>
          <w:i/>
          <w:iCs/>
          <w:noProof/>
        </w:rPr>
        <w:t>Intellectual Property Management in Health and Agricultural Innovation</w:t>
      </w:r>
    </w:p>
    <w:p w:rsidR="000F27AC" w:rsidRPr="004B3538" w:rsidRDefault="000F27AC" w:rsidP="007519CD">
      <w:pPr>
        <w:rPr>
          <w:noProof/>
          <w:lang w:val="de-DE"/>
        </w:rPr>
      </w:pPr>
      <w:r w:rsidRPr="004B3538">
        <w:rPr>
          <w:noProof/>
          <w:lang w:val="de-DE"/>
        </w:rPr>
        <w:t>(eds. A. Krattinger et al.) (MIHR and PIPR) (2007)</w:t>
      </w:r>
    </w:p>
    <w:p w:rsidR="000F27AC" w:rsidRPr="004B3538" w:rsidRDefault="000F27AC" w:rsidP="007519CD">
      <w:pPr>
        <w:rPr>
          <w:noProof/>
          <w:lang w:val="de-DE"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“The Uniform Domain Name Dispute Resolution Policy” (2002) XXVII </w:t>
      </w:r>
      <w:r w:rsidRPr="00C42311">
        <w:rPr>
          <w:i/>
          <w:iCs/>
          <w:noProof/>
        </w:rPr>
        <w:t>Yearbook Commercial Arbitration </w:t>
      </w:r>
      <w:r w:rsidRPr="00C42311">
        <w:rPr>
          <w:iCs/>
          <w:noProof/>
        </w:rPr>
        <w:t>299-304</w:t>
      </w:r>
    </w:p>
    <w:p w:rsidR="000F27AC" w:rsidRPr="00C42311" w:rsidRDefault="000F27AC" w:rsidP="007519CD">
      <w:pPr>
        <w:rPr>
          <w:iCs/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Prólogo, </w:t>
      </w:r>
      <w:r w:rsidRPr="00C42311">
        <w:rPr>
          <w:i/>
          <w:iCs/>
          <w:noProof/>
        </w:rPr>
        <w:t>Martindale-Hubbell International Arbitration and Dispute Resolution</w:t>
      </w:r>
    </w:p>
    <w:p w:rsidR="000F27AC" w:rsidRPr="00C42311" w:rsidRDefault="000F27AC" w:rsidP="007519CD">
      <w:pPr>
        <w:rPr>
          <w:noProof/>
        </w:rPr>
      </w:pPr>
      <w:r w:rsidRPr="00C42311">
        <w:rPr>
          <w:i/>
          <w:iCs/>
          <w:noProof/>
        </w:rPr>
        <w:t xml:space="preserve">Directory </w:t>
      </w:r>
      <w:r w:rsidRPr="00C42311">
        <w:rPr>
          <w:noProof/>
        </w:rPr>
        <w:t>(1999) (Martindale-Hubbell, East Grinstead, Reino Unido)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“WIPO Arbitration Center,” en American Intellectual Property Law Association, </w:t>
      </w:r>
      <w:r w:rsidRPr="00C42311">
        <w:rPr>
          <w:i/>
          <w:iCs/>
          <w:noProof/>
        </w:rPr>
        <w:t>ADR</w:t>
      </w: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i/>
          <w:iCs/>
          <w:noProof/>
        </w:rPr>
        <w:lastRenderedPageBreak/>
        <w:t>Guide (</w:t>
      </w:r>
      <w:r w:rsidRPr="00C42311">
        <w:rPr>
          <w:iCs/>
          <w:noProof/>
        </w:rPr>
        <w:t>1994</w:t>
      </w:r>
      <w:r w:rsidRPr="00C42311">
        <w:rPr>
          <w:i/>
          <w:iCs/>
          <w:noProof/>
        </w:rPr>
        <w:t>)</w:t>
      </w:r>
    </w:p>
    <w:p w:rsidR="000F27AC" w:rsidRPr="00C42311" w:rsidRDefault="000F27AC" w:rsidP="007519CD">
      <w:pPr>
        <w:rPr>
          <w:iCs/>
          <w:noProof/>
        </w:rPr>
      </w:pP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>“Arbitrability of Intellectual Property Disputes,” en Swiss Arbitration Association,</w:t>
      </w:r>
    </w:p>
    <w:p w:rsidR="000F27AC" w:rsidRPr="00C42311" w:rsidRDefault="000F27AC" w:rsidP="007519CD">
      <w:pPr>
        <w:rPr>
          <w:noProof/>
        </w:rPr>
      </w:pPr>
      <w:r w:rsidRPr="00C42311">
        <w:rPr>
          <w:i/>
          <w:iCs/>
          <w:noProof/>
        </w:rPr>
        <w:t xml:space="preserve">Objective Arbitrability, Antitrust Disputes, Intellectual Property Disputes </w:t>
      </w:r>
      <w:r w:rsidRPr="00C42311">
        <w:rPr>
          <w:noProof/>
        </w:rPr>
        <w:t>(ASA</w:t>
      </w: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>Special Series N/6, 1994)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 xml:space="preserve">“Institutional Aspects,” en Peter Robinson, Karl P. Sauvant y Vishwas P. Govitrikar, </w:t>
      </w:r>
      <w:r w:rsidRPr="00C42311">
        <w:rPr>
          <w:i/>
          <w:iCs/>
          <w:noProof/>
        </w:rPr>
        <w:t>Electronic Highways for World Trade</w:t>
      </w:r>
      <w:r w:rsidRPr="00C42311">
        <w:rPr>
          <w:iCs/>
          <w:noProof/>
        </w:rPr>
        <w:t xml:space="preserve"> –</w:t>
      </w:r>
      <w:r w:rsidRPr="00C42311">
        <w:rPr>
          <w:noProof/>
        </w:rPr>
        <w:t xml:space="preserve"> </w:t>
      </w:r>
      <w:r w:rsidRPr="00C42311">
        <w:rPr>
          <w:i/>
          <w:iCs/>
          <w:noProof/>
        </w:rPr>
        <w:t xml:space="preserve">Issues in Telecommunication and Data Services </w:t>
      </w:r>
      <w:r w:rsidRPr="00C42311">
        <w:rPr>
          <w:noProof/>
        </w:rPr>
        <w:t>(Westview Press, 1989)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 xml:space="preserve">“Liability Issues Affecting Non-Contracting Parties,” en OCDE </w:t>
      </w:r>
      <w:r w:rsidRPr="00C42311">
        <w:rPr>
          <w:i/>
          <w:iCs/>
          <w:noProof/>
        </w:rPr>
        <w:t xml:space="preserve">Transborder Data Flows </w:t>
      </w:r>
      <w:r w:rsidRPr="00C42311">
        <w:rPr>
          <w:noProof/>
        </w:rPr>
        <w:t>(North Holland, 1985)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 xml:space="preserve">“Confidentiality,” en P.D. Finn (Ed.), </w:t>
      </w:r>
      <w:r w:rsidRPr="00C42311">
        <w:rPr>
          <w:i/>
          <w:iCs/>
          <w:noProof/>
        </w:rPr>
        <w:t xml:space="preserve">Essays in Equity </w:t>
      </w:r>
      <w:r w:rsidRPr="00C42311">
        <w:rPr>
          <w:noProof/>
        </w:rPr>
        <w:t>(Law Book Company, Sydney, 1985)</w:t>
      </w:r>
    </w:p>
    <w:p w:rsidR="000F27AC" w:rsidRDefault="000F27AC" w:rsidP="007519CD">
      <w:pPr>
        <w:rPr>
          <w:noProof/>
        </w:rPr>
      </w:pPr>
    </w:p>
    <w:p w:rsidR="005D17C7" w:rsidRPr="00C42311" w:rsidRDefault="005D17C7" w:rsidP="007519CD">
      <w:pPr>
        <w:rPr>
          <w:noProof/>
        </w:rPr>
      </w:pPr>
    </w:p>
    <w:p w:rsidR="000F27AC" w:rsidRPr="00C42311" w:rsidRDefault="000F27AC" w:rsidP="007519CD">
      <w:pPr>
        <w:rPr>
          <w:b/>
          <w:noProof/>
        </w:rPr>
      </w:pPr>
      <w:r w:rsidRPr="00C42311">
        <w:rPr>
          <w:b/>
          <w:noProof/>
        </w:rPr>
        <w:t>Artículos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>“Copyright in the Digital Environment:  Restoring the Balance” (24</w:t>
      </w:r>
      <w:r w:rsidRPr="00C42311">
        <w:rPr>
          <w:noProof/>
          <w:vertAlign w:val="superscript"/>
        </w:rPr>
        <w:t>th</w:t>
      </w:r>
      <w:r w:rsidRPr="00C42311">
        <w:rPr>
          <w:noProof/>
        </w:rPr>
        <w:t xml:space="preserve"> Horace S. Manges Lecture, 6 de abril de 2011) (2011) 35 </w:t>
      </w:r>
      <w:r w:rsidRPr="00C42311">
        <w:rPr>
          <w:i/>
          <w:noProof/>
        </w:rPr>
        <w:t>Columbia Journal of Law and the Arts</w:t>
      </w:r>
      <w:r w:rsidRPr="00C42311">
        <w:rPr>
          <w:noProof/>
        </w:rPr>
        <w:t> 1</w:t>
      </w:r>
      <w:r w:rsidRPr="00C42311">
        <w:rPr>
          <w:noProof/>
        </w:rPr>
        <w:noBreakHyphen/>
        <w:t>15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“The Cambrian Explosion” (2007) 38 </w:t>
      </w:r>
      <w:r w:rsidRPr="00C42311">
        <w:rPr>
          <w:i/>
          <w:iCs/>
          <w:noProof/>
        </w:rPr>
        <w:t>International Review of Intellectual Property and Competition Law </w:t>
      </w:r>
      <w:r w:rsidRPr="00C42311">
        <w:rPr>
          <w:iCs/>
          <w:noProof/>
        </w:rPr>
        <w:t>255</w:t>
      </w:r>
      <w:r w:rsidRPr="00C42311">
        <w:rPr>
          <w:iCs/>
          <w:noProof/>
        </w:rPr>
        <w:noBreakHyphen/>
        <w:t>258</w:t>
      </w:r>
    </w:p>
    <w:p w:rsidR="000F27AC" w:rsidRPr="00C42311" w:rsidRDefault="000F27AC" w:rsidP="007519CD">
      <w:pPr>
        <w:rPr>
          <w:iCs/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“Globalization, Intellectual Property and Development,” </w:t>
      </w:r>
      <w:r w:rsidRPr="00C42311">
        <w:rPr>
          <w:i/>
          <w:iCs/>
          <w:noProof/>
        </w:rPr>
        <w:t>Proceedings of the American</w:t>
      </w: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i/>
          <w:iCs/>
          <w:noProof/>
        </w:rPr>
        <w:t>Society of International Law 2005</w:t>
      </w:r>
    </w:p>
    <w:p w:rsidR="000F27AC" w:rsidRPr="00C42311" w:rsidRDefault="000F27AC" w:rsidP="007519CD">
      <w:pPr>
        <w:rPr>
          <w:iCs/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“The Growing Complexity of International Policy in Intellectual Property” (2005) 11 (1) </w:t>
      </w:r>
      <w:r w:rsidRPr="00C42311">
        <w:rPr>
          <w:i/>
          <w:iCs/>
          <w:noProof/>
        </w:rPr>
        <w:t>Science and Engineering Ethics </w:t>
      </w:r>
      <w:r w:rsidRPr="00C42311">
        <w:rPr>
          <w:iCs/>
          <w:noProof/>
        </w:rPr>
        <w:t>13-20</w:t>
      </w:r>
    </w:p>
    <w:p w:rsidR="000F27AC" w:rsidRPr="00C42311" w:rsidRDefault="000F27AC" w:rsidP="007519CD">
      <w:pPr>
        <w:rPr>
          <w:i/>
          <w:iCs/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“The Dispute Resolution Services of the World Intellectual Property Organization” </w:t>
      </w:r>
      <w:r w:rsidRPr="00C42311">
        <w:rPr>
          <w:iCs/>
          <w:noProof/>
        </w:rPr>
        <w:t>(1999)</w:t>
      </w:r>
      <w:r w:rsidRPr="00C42311">
        <w:rPr>
          <w:i/>
          <w:iCs/>
          <w:noProof/>
        </w:rPr>
        <w:t xml:space="preserve"> Journal of International Economic Law </w:t>
      </w:r>
      <w:r w:rsidRPr="00C42311">
        <w:rPr>
          <w:iCs/>
          <w:noProof/>
        </w:rPr>
        <w:t>385-398</w:t>
      </w:r>
    </w:p>
    <w:p w:rsidR="000F27AC" w:rsidRPr="00C42311" w:rsidRDefault="000F27AC" w:rsidP="007519CD">
      <w:pPr>
        <w:rPr>
          <w:i/>
          <w:iCs/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“The Evolution of Technology and Markets and the Management of Intellectual Property Rights,” en Frederick Abbott y David Gerber (eds.), </w:t>
      </w:r>
      <w:r w:rsidRPr="00C42311">
        <w:rPr>
          <w:i/>
          <w:iCs/>
          <w:noProof/>
        </w:rPr>
        <w:t xml:space="preserve">Public Policy and Global Technology Integration </w:t>
      </w:r>
      <w:r w:rsidRPr="00C42311">
        <w:rPr>
          <w:noProof/>
        </w:rPr>
        <w:t>(Kluwer, 1997)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 xml:space="preserve">“IP Licensing Disputes: When Courts are not the Answer” (1995) </w:t>
      </w:r>
      <w:r w:rsidRPr="00C42311">
        <w:rPr>
          <w:i/>
          <w:iCs/>
          <w:noProof/>
        </w:rPr>
        <w:t>IP Worldwide </w:t>
      </w:r>
      <w:r w:rsidRPr="00C42311">
        <w:rPr>
          <w:iCs/>
          <w:noProof/>
        </w:rPr>
        <w:t>13</w:t>
      </w:r>
      <w:r w:rsidRPr="00C42311">
        <w:rPr>
          <w:iCs/>
          <w:noProof/>
        </w:rPr>
        <w:noBreakHyphen/>
      </w:r>
      <w:r w:rsidRPr="00C42311">
        <w:rPr>
          <w:noProof/>
        </w:rPr>
        <w:t>14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  <w:lang w:val="fr-FR"/>
        </w:rPr>
      </w:pPr>
      <w:r w:rsidRPr="00C42311">
        <w:rPr>
          <w:noProof/>
          <w:lang w:val="fr-FR"/>
        </w:rPr>
        <w:t xml:space="preserve">“Arbitrage et propriété intellectuelle,” en Institut de recherche en propriété intellectuelle, </w:t>
      </w:r>
      <w:r w:rsidRPr="00C42311">
        <w:rPr>
          <w:i/>
          <w:iCs/>
          <w:noProof/>
          <w:lang w:val="fr-FR"/>
        </w:rPr>
        <w:t xml:space="preserve">Arbitrage et propriété intellectuelle </w:t>
      </w:r>
      <w:r w:rsidRPr="00C42311">
        <w:rPr>
          <w:noProof/>
          <w:lang w:val="fr-FR"/>
        </w:rPr>
        <w:t>(Libraires Techniques, 1994)</w:t>
      </w:r>
    </w:p>
    <w:p w:rsidR="000F27AC" w:rsidRPr="00C42311" w:rsidRDefault="000F27AC" w:rsidP="007519CD">
      <w:pPr>
        <w:rPr>
          <w:noProof/>
          <w:lang w:val="fr-FR"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Introducción al volumen anual 1994 (Volumen 5) de </w:t>
      </w:r>
      <w:r w:rsidRPr="00C42311">
        <w:rPr>
          <w:i/>
          <w:iCs/>
          <w:noProof/>
        </w:rPr>
        <w:t>American Review of International Arbitration </w:t>
      </w:r>
      <w:r w:rsidRPr="00C42311">
        <w:rPr>
          <w:iCs/>
          <w:noProof/>
        </w:rPr>
        <w:t>1-5</w:t>
      </w:r>
    </w:p>
    <w:p w:rsidR="000F27AC" w:rsidRPr="00C42311" w:rsidRDefault="000F27AC" w:rsidP="007519CD">
      <w:pPr>
        <w:rPr>
          <w:iCs/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“New Television Services - Opportunities for Diversification” (1982) 10 </w:t>
      </w:r>
      <w:r w:rsidRPr="00C42311">
        <w:rPr>
          <w:i/>
          <w:iCs/>
          <w:noProof/>
        </w:rPr>
        <w:t>Australian</w:t>
      </w:r>
    </w:p>
    <w:p w:rsidR="000F27AC" w:rsidRPr="00C42311" w:rsidRDefault="000F27AC" w:rsidP="007519CD">
      <w:pPr>
        <w:rPr>
          <w:noProof/>
        </w:rPr>
      </w:pPr>
      <w:r w:rsidRPr="00C42311">
        <w:rPr>
          <w:i/>
          <w:iCs/>
          <w:noProof/>
        </w:rPr>
        <w:t>Business Law Review </w:t>
      </w:r>
      <w:r w:rsidRPr="00C42311">
        <w:rPr>
          <w:noProof/>
        </w:rPr>
        <w:t>157–173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“The Implementation of Policy through Executive Action” (1977) 11 </w:t>
      </w:r>
      <w:r w:rsidRPr="00C42311">
        <w:rPr>
          <w:i/>
          <w:iCs/>
          <w:noProof/>
        </w:rPr>
        <w:t>Melbourne University Law Review </w:t>
      </w:r>
      <w:r w:rsidRPr="00C42311">
        <w:rPr>
          <w:iCs/>
          <w:noProof/>
        </w:rPr>
        <w:t>189-222</w:t>
      </w:r>
    </w:p>
    <w:p w:rsidR="000F27AC" w:rsidRPr="00C42311" w:rsidRDefault="000F27AC" w:rsidP="007519CD">
      <w:pPr>
        <w:rPr>
          <w:iCs/>
          <w:noProof/>
        </w:rPr>
      </w:pPr>
    </w:p>
    <w:p w:rsidR="000F27AC" w:rsidRPr="00C42311" w:rsidRDefault="000F27AC" w:rsidP="007519CD">
      <w:pPr>
        <w:rPr>
          <w:i/>
          <w:iCs/>
          <w:noProof/>
        </w:rPr>
      </w:pPr>
      <w:r w:rsidRPr="00C42311">
        <w:rPr>
          <w:noProof/>
        </w:rPr>
        <w:t xml:space="preserve">“The Role of the Permanent Establishment in Double Taxation Agreements” (1976) 5 </w:t>
      </w:r>
      <w:r w:rsidRPr="00C42311">
        <w:rPr>
          <w:i/>
          <w:iCs/>
          <w:noProof/>
        </w:rPr>
        <w:t>Australian Tax Review </w:t>
      </w:r>
      <w:r w:rsidRPr="00C42311">
        <w:rPr>
          <w:iCs/>
          <w:noProof/>
        </w:rPr>
        <w:t>12-26</w:t>
      </w:r>
    </w:p>
    <w:p w:rsidR="000F27AC" w:rsidRPr="00C42311" w:rsidRDefault="000F27AC" w:rsidP="007519CD">
      <w:pPr>
        <w:rPr>
          <w:iCs/>
          <w:noProof/>
        </w:rPr>
      </w:pPr>
    </w:p>
    <w:p w:rsidR="000F27AC" w:rsidRPr="00C42311" w:rsidRDefault="000F27AC" w:rsidP="007519CD">
      <w:pPr>
        <w:rPr>
          <w:noProof/>
        </w:rPr>
      </w:pPr>
      <w:r w:rsidRPr="00C42311">
        <w:rPr>
          <w:noProof/>
        </w:rPr>
        <w:t xml:space="preserve">“Aspects of the Law of Contract in Takeover Offers” (1976) 50 </w:t>
      </w:r>
      <w:r w:rsidRPr="00C42311">
        <w:rPr>
          <w:i/>
          <w:iCs/>
          <w:noProof/>
        </w:rPr>
        <w:t>Australian Law Journal </w:t>
      </w:r>
      <w:r w:rsidRPr="00C42311">
        <w:rPr>
          <w:noProof/>
        </w:rPr>
        <w:t>167</w:t>
      </w:r>
      <w:r w:rsidRPr="00C42311">
        <w:rPr>
          <w:noProof/>
        </w:rPr>
        <w:noBreakHyphen/>
        <w:t>174</w:t>
      </w: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7519CD">
      <w:pPr>
        <w:rPr>
          <w:noProof/>
        </w:rPr>
      </w:pPr>
    </w:p>
    <w:p w:rsidR="000F27AC" w:rsidRPr="00C42311" w:rsidRDefault="000F27AC" w:rsidP="00A6096A">
      <w:pPr>
        <w:jc w:val="right"/>
        <w:rPr>
          <w:lang w:val="es-ES_tradnl"/>
        </w:rPr>
      </w:pPr>
      <w:r w:rsidRPr="00C42311">
        <w:rPr>
          <w:lang w:val="es-ES_tradnl"/>
        </w:rPr>
        <w:t>[Fin del Anexo y del documento]</w:t>
      </w:r>
    </w:p>
    <w:sectPr w:rsidR="000F27AC" w:rsidRPr="00C42311" w:rsidSect="00A7718B">
      <w:headerReference w:type="default" r:id="rId11"/>
      <w:headerReference w:type="first" r:id="rId12"/>
      <w:pgSz w:w="11907" w:h="16840" w:code="9"/>
      <w:pgMar w:top="1418" w:right="1418" w:bottom="1418" w:left="1418" w:header="510" w:footer="102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9F" w:rsidRDefault="00690D9F" w:rsidP="00F45372">
      <w:r>
        <w:separator/>
      </w:r>
    </w:p>
    <w:p w:rsidR="00690D9F" w:rsidRDefault="00690D9F" w:rsidP="00F45372"/>
    <w:p w:rsidR="00690D9F" w:rsidRDefault="00690D9F" w:rsidP="00F45372"/>
  </w:endnote>
  <w:endnote w:type="continuationSeparator" w:id="0">
    <w:p w:rsidR="00690D9F" w:rsidRDefault="00690D9F" w:rsidP="00F45372">
      <w:r>
        <w:separator/>
      </w:r>
    </w:p>
    <w:p w:rsidR="00690D9F" w:rsidRPr="00B108A6" w:rsidRDefault="00690D9F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690D9F" w:rsidRPr="00B108A6" w:rsidRDefault="00690D9F" w:rsidP="00F45372">
      <w:pPr>
        <w:rPr>
          <w:lang w:val="fr-FR"/>
        </w:rPr>
      </w:pPr>
    </w:p>
    <w:p w:rsidR="00690D9F" w:rsidRPr="00B108A6" w:rsidRDefault="00690D9F" w:rsidP="00F45372">
      <w:pPr>
        <w:rPr>
          <w:lang w:val="fr-FR"/>
        </w:rPr>
      </w:pPr>
    </w:p>
  </w:endnote>
  <w:endnote w:type="continuationNotice" w:id="1">
    <w:p w:rsidR="00690D9F" w:rsidRPr="00B108A6" w:rsidRDefault="00690D9F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690D9F" w:rsidRPr="00B108A6" w:rsidRDefault="00690D9F" w:rsidP="00F45372">
      <w:pPr>
        <w:rPr>
          <w:lang w:val="fr-FR"/>
        </w:rPr>
      </w:pPr>
    </w:p>
    <w:p w:rsidR="00690D9F" w:rsidRPr="00B108A6" w:rsidRDefault="00690D9F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9F" w:rsidRDefault="00690D9F" w:rsidP="006A59FA">
      <w:pPr>
        <w:spacing w:before="120"/>
      </w:pPr>
      <w:r>
        <w:separator/>
      </w:r>
    </w:p>
  </w:footnote>
  <w:footnote w:type="continuationSeparator" w:id="0">
    <w:p w:rsidR="00690D9F" w:rsidRDefault="00690D9F" w:rsidP="00F45372">
      <w:r>
        <w:separator/>
      </w:r>
    </w:p>
  </w:footnote>
  <w:footnote w:type="continuationNotice" w:id="1">
    <w:p w:rsidR="00690D9F" w:rsidRPr="00721353" w:rsidRDefault="00690D9F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AC" w:rsidRPr="008D3729" w:rsidRDefault="000F27AC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C/48/15</w:t>
    </w:r>
  </w:p>
  <w:p w:rsidR="000F27AC" w:rsidRPr="008D3729" w:rsidRDefault="000F27AC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C94B57">
      <w:rPr>
        <w:rStyle w:val="PageNumber"/>
        <w:noProof/>
        <w:lang w:val="es-ES_tradnl"/>
      </w:rPr>
      <w:t>5</w:t>
    </w:r>
    <w:r w:rsidRPr="008D3729">
      <w:rPr>
        <w:rStyle w:val="PageNumber"/>
        <w:lang w:val="es-ES_tradnl"/>
      </w:rPr>
      <w:fldChar w:fldCharType="end"/>
    </w:r>
  </w:p>
  <w:p w:rsidR="000F27AC" w:rsidRPr="008D3729" w:rsidRDefault="000F27AC" w:rsidP="009344EE">
    <w:pPr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AC" w:rsidRPr="008D3729" w:rsidRDefault="000F27AC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C/48/15</w:t>
    </w:r>
  </w:p>
  <w:p w:rsidR="000F27AC" w:rsidRPr="008D3729" w:rsidRDefault="000F27AC" w:rsidP="00EB048E">
    <w:pPr>
      <w:pStyle w:val="Header"/>
      <w:rPr>
        <w:lang w:val="es-ES_tradnl"/>
      </w:rPr>
    </w:pPr>
    <w:r>
      <w:rPr>
        <w:lang w:val="es-ES_tradnl"/>
      </w:rPr>
      <w:t xml:space="preserve">Anexo, </w:t>
    </w: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C94B57">
      <w:rPr>
        <w:rStyle w:val="PageNumber"/>
        <w:noProof/>
        <w:lang w:val="es-ES_tradnl"/>
      </w:rPr>
      <w:t>5</w:t>
    </w:r>
    <w:r w:rsidRPr="008D3729">
      <w:rPr>
        <w:rStyle w:val="PageNumber"/>
        <w:lang w:val="es-ES_tradnl"/>
      </w:rPr>
      <w:fldChar w:fldCharType="end"/>
    </w:r>
  </w:p>
  <w:p w:rsidR="000F27AC" w:rsidRPr="008D3729" w:rsidRDefault="000F27AC" w:rsidP="009344EE">
    <w:pPr>
      <w:jc w:val="cent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AC" w:rsidRPr="008D3729" w:rsidRDefault="000F27AC" w:rsidP="009344E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C/48/15</w:t>
    </w:r>
  </w:p>
  <w:p w:rsidR="000F27AC" w:rsidRDefault="000F27AC" w:rsidP="00AB1FF9">
    <w:pPr>
      <w:pStyle w:val="Header"/>
    </w:pPr>
    <w:r>
      <w:t>ANEXO</w:t>
    </w:r>
  </w:p>
  <w:p w:rsidR="000F27AC" w:rsidRPr="00AB1FF9" w:rsidRDefault="000F27AC" w:rsidP="00AB1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6675"/>
    <w:multiLevelType w:val="hybridMultilevel"/>
    <w:tmpl w:val="6770BD1E"/>
    <w:lvl w:ilvl="0" w:tplc="100C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7519CD"/>
    <w:rsid w:val="0000571E"/>
    <w:rsid w:val="000057DB"/>
    <w:rsid w:val="00006B3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244A"/>
    <w:rsid w:val="000C7021"/>
    <w:rsid w:val="000D6BBC"/>
    <w:rsid w:val="000D7780"/>
    <w:rsid w:val="000F27AC"/>
    <w:rsid w:val="000F640D"/>
    <w:rsid w:val="000F7971"/>
    <w:rsid w:val="00105929"/>
    <w:rsid w:val="00112EC9"/>
    <w:rsid w:val="001131D5"/>
    <w:rsid w:val="0011590A"/>
    <w:rsid w:val="00132735"/>
    <w:rsid w:val="00141DB8"/>
    <w:rsid w:val="00142198"/>
    <w:rsid w:val="0017474A"/>
    <w:rsid w:val="001758C6"/>
    <w:rsid w:val="001C5971"/>
    <w:rsid w:val="001F7DBD"/>
    <w:rsid w:val="0021332C"/>
    <w:rsid w:val="00213982"/>
    <w:rsid w:val="00235267"/>
    <w:rsid w:val="002371C1"/>
    <w:rsid w:val="0024416D"/>
    <w:rsid w:val="002608DE"/>
    <w:rsid w:val="00264A36"/>
    <w:rsid w:val="00266E18"/>
    <w:rsid w:val="002800A0"/>
    <w:rsid w:val="002801B3"/>
    <w:rsid w:val="00281060"/>
    <w:rsid w:val="002940E8"/>
    <w:rsid w:val="002A6E50"/>
    <w:rsid w:val="002C256A"/>
    <w:rsid w:val="002D1B0F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A4D23"/>
    <w:rsid w:val="003D227C"/>
    <w:rsid w:val="003D2B4D"/>
    <w:rsid w:val="003D7E71"/>
    <w:rsid w:val="003E7998"/>
    <w:rsid w:val="00420902"/>
    <w:rsid w:val="00444A88"/>
    <w:rsid w:val="00474DA4"/>
    <w:rsid w:val="004B3538"/>
    <w:rsid w:val="004C7B17"/>
    <w:rsid w:val="004D047D"/>
    <w:rsid w:val="004F305A"/>
    <w:rsid w:val="00512164"/>
    <w:rsid w:val="00520297"/>
    <w:rsid w:val="005338F9"/>
    <w:rsid w:val="0054281C"/>
    <w:rsid w:val="0055268D"/>
    <w:rsid w:val="0057118B"/>
    <w:rsid w:val="00576BE4"/>
    <w:rsid w:val="00576BF0"/>
    <w:rsid w:val="005936BE"/>
    <w:rsid w:val="005A400A"/>
    <w:rsid w:val="005D17C7"/>
    <w:rsid w:val="00612379"/>
    <w:rsid w:val="0061555F"/>
    <w:rsid w:val="00641200"/>
    <w:rsid w:val="00687EB4"/>
    <w:rsid w:val="00690D9F"/>
    <w:rsid w:val="00696036"/>
    <w:rsid w:val="00697DE7"/>
    <w:rsid w:val="006A59FA"/>
    <w:rsid w:val="006B17D2"/>
    <w:rsid w:val="006B4C65"/>
    <w:rsid w:val="006C224E"/>
    <w:rsid w:val="006D780A"/>
    <w:rsid w:val="00721353"/>
    <w:rsid w:val="00732DEC"/>
    <w:rsid w:val="00735BD5"/>
    <w:rsid w:val="00741244"/>
    <w:rsid w:val="00741E82"/>
    <w:rsid w:val="00745D66"/>
    <w:rsid w:val="007519CD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D3729"/>
    <w:rsid w:val="008E4CA5"/>
    <w:rsid w:val="00900C26"/>
    <w:rsid w:val="0090197F"/>
    <w:rsid w:val="00906DDC"/>
    <w:rsid w:val="009344EE"/>
    <w:rsid w:val="00934E09"/>
    <w:rsid w:val="00936253"/>
    <w:rsid w:val="00937035"/>
    <w:rsid w:val="00952DD4"/>
    <w:rsid w:val="00970FED"/>
    <w:rsid w:val="00997029"/>
    <w:rsid w:val="009A08B8"/>
    <w:rsid w:val="009D690D"/>
    <w:rsid w:val="009E65B6"/>
    <w:rsid w:val="009E67B8"/>
    <w:rsid w:val="00A42AC3"/>
    <w:rsid w:val="00A430CF"/>
    <w:rsid w:val="00A47CDB"/>
    <w:rsid w:val="00A54309"/>
    <w:rsid w:val="00A6096A"/>
    <w:rsid w:val="00A75BC2"/>
    <w:rsid w:val="00A7718B"/>
    <w:rsid w:val="00A84775"/>
    <w:rsid w:val="00A929D4"/>
    <w:rsid w:val="00AB1FF9"/>
    <w:rsid w:val="00AB2B93"/>
    <w:rsid w:val="00AB7E5B"/>
    <w:rsid w:val="00AE0EF1"/>
    <w:rsid w:val="00AE2F5B"/>
    <w:rsid w:val="00B07301"/>
    <w:rsid w:val="00B108A6"/>
    <w:rsid w:val="00B224DE"/>
    <w:rsid w:val="00B53441"/>
    <w:rsid w:val="00B72907"/>
    <w:rsid w:val="00B84BBD"/>
    <w:rsid w:val="00BA43FB"/>
    <w:rsid w:val="00BB40B7"/>
    <w:rsid w:val="00BB5795"/>
    <w:rsid w:val="00BC127D"/>
    <w:rsid w:val="00BC1FE6"/>
    <w:rsid w:val="00C03493"/>
    <w:rsid w:val="00C061B6"/>
    <w:rsid w:val="00C13808"/>
    <w:rsid w:val="00C13F54"/>
    <w:rsid w:val="00C2446C"/>
    <w:rsid w:val="00C36AE5"/>
    <w:rsid w:val="00C410ED"/>
    <w:rsid w:val="00C41F17"/>
    <w:rsid w:val="00C42311"/>
    <w:rsid w:val="00C4741B"/>
    <w:rsid w:val="00C544FD"/>
    <w:rsid w:val="00C5791C"/>
    <w:rsid w:val="00C651CE"/>
    <w:rsid w:val="00C66290"/>
    <w:rsid w:val="00C72B7A"/>
    <w:rsid w:val="00C92624"/>
    <w:rsid w:val="00C94B57"/>
    <w:rsid w:val="00C973F2"/>
    <w:rsid w:val="00CA5251"/>
    <w:rsid w:val="00CA774A"/>
    <w:rsid w:val="00CC1172"/>
    <w:rsid w:val="00CC11B0"/>
    <w:rsid w:val="00CF7E36"/>
    <w:rsid w:val="00D261C5"/>
    <w:rsid w:val="00D3708D"/>
    <w:rsid w:val="00D403FD"/>
    <w:rsid w:val="00D40426"/>
    <w:rsid w:val="00D57C96"/>
    <w:rsid w:val="00D72695"/>
    <w:rsid w:val="00D91203"/>
    <w:rsid w:val="00D95174"/>
    <w:rsid w:val="00DA4685"/>
    <w:rsid w:val="00DA6F36"/>
    <w:rsid w:val="00DB596E"/>
    <w:rsid w:val="00DB6A31"/>
    <w:rsid w:val="00DC00EA"/>
    <w:rsid w:val="00E056CE"/>
    <w:rsid w:val="00E2702B"/>
    <w:rsid w:val="00E72D49"/>
    <w:rsid w:val="00E7593C"/>
    <w:rsid w:val="00E7678A"/>
    <w:rsid w:val="00E80F31"/>
    <w:rsid w:val="00E935F1"/>
    <w:rsid w:val="00E94A81"/>
    <w:rsid w:val="00EA1FFB"/>
    <w:rsid w:val="00EA26D0"/>
    <w:rsid w:val="00EA5245"/>
    <w:rsid w:val="00EB048E"/>
    <w:rsid w:val="00EE180D"/>
    <w:rsid w:val="00EE34DF"/>
    <w:rsid w:val="00EF2F89"/>
    <w:rsid w:val="00F00A88"/>
    <w:rsid w:val="00F1237A"/>
    <w:rsid w:val="00F22CBD"/>
    <w:rsid w:val="00F43F74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73179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17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73179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79"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73179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US" w:eastAsia="en-US"/>
    </w:rPr>
  </w:style>
  <w:style w:type="paragraph" w:styleId="Header">
    <w:name w:val="header"/>
    <w:basedOn w:val="Normal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9CD"/>
    <w:rPr>
      <w:rFonts w:ascii="Arial" w:hAnsi="Arial" w:cs="Times New Roman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73179"/>
    <w:rPr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73179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F73179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uiPriority w:val="99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uiPriority w:val="99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uiPriority w:val="99"/>
    <w:rsid w:val="00F73179"/>
    <w:pPr>
      <w:spacing w:before="60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F73179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F73179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Index1">
    <w:name w:val="index 1"/>
    <w:basedOn w:val="Normal"/>
    <w:next w:val="Normal"/>
    <w:uiPriority w:val="99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Times New Roman"/>
      <w:sz w:val="16"/>
      <w:lang w:val="en-US" w:eastAsia="en-US" w:bidi="ar-SA"/>
    </w:rPr>
  </w:style>
  <w:style w:type="paragraph" w:styleId="Signature">
    <w:name w:val="Signature"/>
    <w:basedOn w:val="Normal"/>
    <w:link w:val="SignatureChar"/>
    <w:uiPriority w:val="99"/>
    <w:rsid w:val="00F73179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F73179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7317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73179"/>
    <w:pPr>
      <w:ind w:left="1589"/>
      <w:jc w:val="left"/>
    </w:pPr>
  </w:style>
  <w:style w:type="paragraph" w:customStyle="1" w:styleId="upove">
    <w:name w:val="upov_e"/>
    <w:basedOn w:val="Normal"/>
    <w:uiPriority w:val="99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F73179"/>
  </w:style>
  <w:style w:type="paragraph" w:styleId="EndnoteText">
    <w:name w:val="endnote text"/>
    <w:basedOn w:val="Normal"/>
    <w:link w:val="EndnoteTextChar"/>
    <w:uiPriority w:val="99"/>
    <w:semiHidden/>
    <w:rsid w:val="00F7317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73179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F73179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73179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F73179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73179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73179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73179"/>
    <w:pPr>
      <w:spacing w:before="240"/>
    </w:pPr>
  </w:style>
  <w:style w:type="paragraph" w:customStyle="1" w:styleId="Titleofdoc0">
    <w:name w:val="Title_of_doc"/>
    <w:basedOn w:val="Normal"/>
    <w:uiPriority w:val="99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B53441"/>
    <w:pPr>
      <w:ind w:left="567" w:hanging="567"/>
      <w:jc w:val="right"/>
    </w:pPr>
    <w:rPr>
      <w:rFonts w:ascii="Arial" w:hAnsi="Arial"/>
      <w:dstrike/>
      <w:sz w:val="20"/>
      <w:szCs w:val="20"/>
      <w:lang w:val="en-US" w:eastAsia="en-US"/>
    </w:rPr>
  </w:style>
  <w:style w:type="character" w:customStyle="1" w:styleId="DocoriginalChar">
    <w:name w:val="Doc_original Char"/>
    <w:basedOn w:val="DefaultParagraphFont"/>
    <w:link w:val="Docoriginal"/>
    <w:uiPriority w:val="99"/>
    <w:locked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73179"/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uiPriority w:val="99"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F73179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uiPriority w:val="99"/>
    <w:rsid w:val="00F73179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link w:val="BalloonTextChar"/>
    <w:uiPriority w:val="99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19CD"/>
    <w:pPr>
      <w:ind w:left="720"/>
      <w:contextualSpacing/>
    </w:pPr>
  </w:style>
  <w:style w:type="paragraph" w:customStyle="1" w:styleId="Endofdocument">
    <w:name w:val="End of document"/>
    <w:basedOn w:val="Normal"/>
    <w:uiPriority w:val="99"/>
    <w:rsid w:val="007519CD"/>
    <w:pPr>
      <w:ind w:left="4536"/>
      <w:jc w:val="center"/>
    </w:pPr>
    <w:rPr>
      <w:rFonts w:ascii="Times New Roman" w:hAnsi="Times New Roman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73179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17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73179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79"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73179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US" w:eastAsia="en-US"/>
    </w:rPr>
  </w:style>
  <w:style w:type="paragraph" w:styleId="Header">
    <w:name w:val="header"/>
    <w:basedOn w:val="Normal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9CD"/>
    <w:rPr>
      <w:rFonts w:ascii="Arial" w:hAnsi="Arial" w:cs="Times New Roman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73179"/>
    <w:rPr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73179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F73179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uiPriority w:val="99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uiPriority w:val="99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uiPriority w:val="99"/>
    <w:rsid w:val="00F73179"/>
    <w:pPr>
      <w:spacing w:before="60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F73179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F73179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Index1">
    <w:name w:val="index 1"/>
    <w:basedOn w:val="Normal"/>
    <w:next w:val="Normal"/>
    <w:uiPriority w:val="99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Times New Roman"/>
      <w:sz w:val="16"/>
      <w:lang w:val="en-US" w:eastAsia="en-US" w:bidi="ar-SA"/>
    </w:rPr>
  </w:style>
  <w:style w:type="paragraph" w:styleId="Signature">
    <w:name w:val="Signature"/>
    <w:basedOn w:val="Normal"/>
    <w:link w:val="SignatureChar"/>
    <w:uiPriority w:val="99"/>
    <w:rsid w:val="00F73179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F73179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7317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73179"/>
    <w:pPr>
      <w:ind w:left="1589"/>
      <w:jc w:val="left"/>
    </w:pPr>
  </w:style>
  <w:style w:type="paragraph" w:customStyle="1" w:styleId="upove">
    <w:name w:val="upov_e"/>
    <w:basedOn w:val="Normal"/>
    <w:uiPriority w:val="99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F73179"/>
  </w:style>
  <w:style w:type="paragraph" w:styleId="EndnoteText">
    <w:name w:val="endnote text"/>
    <w:basedOn w:val="Normal"/>
    <w:link w:val="EndnoteTextChar"/>
    <w:uiPriority w:val="99"/>
    <w:semiHidden/>
    <w:rsid w:val="00F7317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73179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F73179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73179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F73179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73179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73179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73179"/>
    <w:pPr>
      <w:spacing w:before="240"/>
    </w:pPr>
  </w:style>
  <w:style w:type="paragraph" w:customStyle="1" w:styleId="Titleofdoc0">
    <w:name w:val="Title_of_doc"/>
    <w:basedOn w:val="Normal"/>
    <w:uiPriority w:val="99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B53441"/>
    <w:pPr>
      <w:ind w:left="567" w:hanging="567"/>
      <w:jc w:val="right"/>
    </w:pPr>
    <w:rPr>
      <w:rFonts w:ascii="Arial" w:hAnsi="Arial"/>
      <w:dstrike/>
      <w:sz w:val="20"/>
      <w:szCs w:val="20"/>
      <w:lang w:val="en-US" w:eastAsia="en-US"/>
    </w:rPr>
  </w:style>
  <w:style w:type="character" w:customStyle="1" w:styleId="DocoriginalChar">
    <w:name w:val="Doc_original Char"/>
    <w:basedOn w:val="DefaultParagraphFont"/>
    <w:link w:val="Docoriginal"/>
    <w:uiPriority w:val="99"/>
    <w:locked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73179"/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uiPriority w:val="99"/>
    <w:rsid w:val="00F731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F73179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uiPriority w:val="99"/>
    <w:rsid w:val="00F73179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link w:val="BalloonTextChar"/>
    <w:uiPriority w:val="99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19CD"/>
    <w:pPr>
      <w:ind w:left="720"/>
      <w:contextualSpacing/>
    </w:pPr>
  </w:style>
  <w:style w:type="paragraph" w:customStyle="1" w:styleId="Endofdocument">
    <w:name w:val="End of document"/>
    <w:basedOn w:val="Normal"/>
    <w:uiPriority w:val="99"/>
    <w:rsid w:val="007519CD"/>
    <w:pPr>
      <w:ind w:left="4536"/>
      <w:jc w:val="center"/>
    </w:pPr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1D7C-0DD9-40D2-90D8-F95206BB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1868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C/48/15</vt:lpstr>
    </vt:vector>
  </TitlesOfParts>
  <Company>UPOV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C/48/15</dc:title>
  <dc:subject>Nombramiento del Secretario General</dc:subject>
  <dc:creator/>
  <dc:description>AS (trad. ext.) - 24/7/2014</dc:description>
  <cp:lastModifiedBy>MAY Jessica</cp:lastModifiedBy>
  <cp:revision>12</cp:revision>
  <cp:lastPrinted>2014-08-29T10:24:00Z</cp:lastPrinted>
  <dcterms:created xsi:type="dcterms:W3CDTF">2014-07-25T11:44:00Z</dcterms:created>
  <dcterms:modified xsi:type="dcterms:W3CDTF">2014-08-29T10:24:00Z</dcterms:modified>
</cp:coreProperties>
</file>