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305A63" w:rsidRPr="00F00A88" w:rsidTr="003D5165">
        <w:trPr>
          <w:trHeight w:val="1760"/>
        </w:trPr>
        <w:tc>
          <w:tcPr>
            <w:tcW w:w="4243" w:type="dxa"/>
          </w:tcPr>
          <w:p w:rsidR="00305A63" w:rsidRPr="00F00A88" w:rsidRDefault="00305A63" w:rsidP="003D5165">
            <w:pPr>
              <w:rPr>
                <w:lang w:val="es-ES_tradnl"/>
              </w:rPr>
            </w:pPr>
            <w:bookmarkStart w:id="0" w:name="_GoBack"/>
            <w:bookmarkEnd w:id="0"/>
          </w:p>
        </w:tc>
        <w:tc>
          <w:tcPr>
            <w:tcW w:w="1646" w:type="dxa"/>
            <w:vAlign w:val="center"/>
          </w:tcPr>
          <w:p w:rsidR="00305A63" w:rsidRPr="00F00A88" w:rsidRDefault="00305A63" w:rsidP="003D5165">
            <w:pPr>
              <w:pStyle w:val="LogoUPOV"/>
              <w:rPr>
                <w:lang w:val="es-ES_tradnl"/>
              </w:rPr>
            </w:pPr>
            <w:r w:rsidRPr="00F00A88">
              <w:rPr>
                <w:noProof/>
              </w:rPr>
              <w:drawing>
                <wp:inline distT="0" distB="0" distL="0" distR="0" wp14:anchorId="29CF8BAB" wp14:editId="1A2DD632">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305A63" w:rsidRPr="00F00A88" w:rsidRDefault="00305A63" w:rsidP="003D5165">
            <w:pPr>
              <w:pStyle w:val="Lettrine"/>
              <w:rPr>
                <w:lang w:val="es-ES_tradnl"/>
              </w:rPr>
            </w:pPr>
            <w:r w:rsidRPr="00F00A88">
              <w:rPr>
                <w:lang w:val="es-ES_tradnl"/>
              </w:rPr>
              <w:t>S</w:t>
            </w:r>
          </w:p>
          <w:p w:rsidR="00305A63" w:rsidRPr="00F00A88" w:rsidRDefault="00305A63" w:rsidP="003D5165">
            <w:pPr>
              <w:pStyle w:val="Docoriginal"/>
              <w:ind w:left="952"/>
              <w:rPr>
                <w:lang w:val="es-ES_tradnl"/>
              </w:rPr>
            </w:pPr>
            <w:r w:rsidRPr="00F00A88">
              <w:rPr>
                <w:lang w:val="es-ES_tradnl"/>
              </w:rPr>
              <w:t>C/47/</w:t>
            </w:r>
            <w:r>
              <w:rPr>
                <w:lang w:val="es-ES_tradnl"/>
              </w:rPr>
              <w:t>2</w:t>
            </w:r>
          </w:p>
          <w:p w:rsidR="00305A63" w:rsidRPr="00F00A88" w:rsidRDefault="00305A63" w:rsidP="003D5165">
            <w:pPr>
              <w:pStyle w:val="Docoriginal"/>
              <w:ind w:left="952"/>
              <w:rPr>
                <w:b w:val="0"/>
                <w:spacing w:val="0"/>
                <w:lang w:val="es-ES_tradnl"/>
              </w:rPr>
            </w:pPr>
            <w:r w:rsidRPr="00305A63">
              <w:rPr>
                <w:rStyle w:val="StyleDoclangBold"/>
                <w:b/>
                <w:spacing w:val="0"/>
                <w:lang w:val="es-ES_tradnl"/>
              </w:rPr>
              <w:t>ORIGINAL</w:t>
            </w:r>
            <w:r w:rsidRPr="00F00A88">
              <w:rPr>
                <w:rStyle w:val="StyleDoclangBold"/>
                <w:spacing w:val="0"/>
                <w:lang w:val="es-ES_tradnl"/>
              </w:rPr>
              <w:t>:</w:t>
            </w:r>
            <w:r w:rsidRPr="00F00A88">
              <w:rPr>
                <w:rStyle w:val="StyleDocoriginalNotBold1"/>
                <w:spacing w:val="0"/>
                <w:lang w:val="es-ES_tradnl"/>
              </w:rPr>
              <w:t xml:space="preserve">  </w:t>
            </w:r>
            <w:r w:rsidRPr="00F00A88">
              <w:rPr>
                <w:b w:val="0"/>
                <w:spacing w:val="0"/>
                <w:lang w:val="es-ES_tradnl"/>
              </w:rPr>
              <w:t>Inglés</w:t>
            </w:r>
          </w:p>
          <w:p w:rsidR="00305A63" w:rsidRPr="00F00A88" w:rsidRDefault="00305A63" w:rsidP="003D5165">
            <w:pPr>
              <w:pStyle w:val="Docoriginal"/>
              <w:ind w:left="952"/>
              <w:rPr>
                <w:lang w:val="es-ES_tradnl"/>
              </w:rPr>
            </w:pPr>
            <w:r w:rsidRPr="00F00A88">
              <w:rPr>
                <w:spacing w:val="0"/>
                <w:lang w:val="es-ES_tradnl"/>
              </w:rPr>
              <w:t>FECHA:</w:t>
            </w:r>
            <w:r w:rsidRPr="00F00A88">
              <w:rPr>
                <w:b w:val="0"/>
                <w:spacing w:val="0"/>
                <w:lang w:val="es-ES_tradnl"/>
              </w:rPr>
              <w:t xml:space="preserve"> </w:t>
            </w:r>
            <w:r w:rsidRPr="00F00A88">
              <w:rPr>
                <w:rStyle w:val="StyleDocoriginalNotBold1"/>
                <w:spacing w:val="0"/>
                <w:lang w:val="es-ES_tradnl"/>
              </w:rPr>
              <w:t xml:space="preserve"> </w:t>
            </w:r>
            <w:r w:rsidRPr="00BF2668">
              <w:rPr>
                <w:b w:val="0"/>
                <w:spacing w:val="0"/>
                <w:lang w:val="es-ES_tradnl"/>
              </w:rPr>
              <w:t>17 de septiembre de 2013</w:t>
            </w:r>
          </w:p>
        </w:tc>
      </w:tr>
      <w:tr w:rsidR="00305A63" w:rsidRPr="00F00A88" w:rsidTr="003D5165">
        <w:tc>
          <w:tcPr>
            <w:tcW w:w="10131" w:type="dxa"/>
            <w:gridSpan w:val="3"/>
          </w:tcPr>
          <w:p w:rsidR="00305A63" w:rsidRPr="00F00A88" w:rsidRDefault="00305A63" w:rsidP="003D5165">
            <w:pPr>
              <w:pStyle w:val="upove"/>
              <w:rPr>
                <w:sz w:val="28"/>
                <w:lang w:val="es-ES_tradnl"/>
              </w:rPr>
            </w:pPr>
            <w:r w:rsidRPr="00F00A88">
              <w:rPr>
                <w:spacing w:val="2"/>
                <w:lang w:val="es-ES_tradnl"/>
              </w:rPr>
              <w:t>UNIÓN INTERNACIONAL PARA LA PROTECCIÓN DE LAS OBTENCIONES VEGETALES</w:t>
            </w:r>
          </w:p>
        </w:tc>
      </w:tr>
      <w:tr w:rsidR="00305A63" w:rsidRPr="00F00A88" w:rsidTr="003D5165">
        <w:tc>
          <w:tcPr>
            <w:tcW w:w="10131" w:type="dxa"/>
            <w:gridSpan w:val="3"/>
          </w:tcPr>
          <w:p w:rsidR="00305A63" w:rsidRPr="00F00A88" w:rsidRDefault="00305A63" w:rsidP="003D5165">
            <w:pPr>
              <w:pStyle w:val="Country"/>
              <w:rPr>
                <w:lang w:val="es-ES_tradnl"/>
              </w:rPr>
            </w:pPr>
            <w:r w:rsidRPr="00F00A88">
              <w:rPr>
                <w:lang w:val="es-ES_tradnl"/>
              </w:rPr>
              <w:t>Ginebra</w:t>
            </w:r>
          </w:p>
        </w:tc>
      </w:tr>
    </w:tbl>
    <w:p w:rsidR="00B43D13" w:rsidRPr="00C60FC3" w:rsidRDefault="00B43D13" w:rsidP="00BF2668">
      <w:pPr>
        <w:pStyle w:val="Sessiontc"/>
        <w:rPr>
          <w:lang w:val="es-ES_tradnl"/>
        </w:rPr>
      </w:pPr>
      <w:r w:rsidRPr="00C60FC3">
        <w:rPr>
          <w:lang w:val="es-ES_tradnl"/>
        </w:rPr>
        <w:t>consejo</w:t>
      </w:r>
    </w:p>
    <w:p w:rsidR="00B43D13" w:rsidRPr="00C60FC3" w:rsidRDefault="00B43D13" w:rsidP="00BF2668">
      <w:pPr>
        <w:pStyle w:val="Sessiontcplacedate"/>
        <w:rPr>
          <w:lang w:val="es-ES_tradnl"/>
        </w:rPr>
      </w:pPr>
      <w:r w:rsidRPr="00C60FC3">
        <w:rPr>
          <w:lang w:val="es-ES_tradnl"/>
        </w:rPr>
        <w:t>Cuadragésima séptima sesión ordinaria</w:t>
      </w:r>
      <w:r w:rsidRPr="00C60FC3">
        <w:rPr>
          <w:lang w:val="es-ES_tradnl"/>
        </w:rPr>
        <w:br/>
        <w:t>Ginebra, 24 de octubre de 2013</w:t>
      </w:r>
    </w:p>
    <w:p w:rsidR="00B43D13" w:rsidRPr="00C60FC3" w:rsidRDefault="00B43D13" w:rsidP="00BF2668">
      <w:pPr>
        <w:pStyle w:val="Titleofdoc0"/>
        <w:rPr>
          <w:lang w:val="es-ES_tradnl"/>
        </w:rPr>
      </w:pPr>
      <w:bookmarkStart w:id="1" w:name="TitleOfDoc"/>
      <w:bookmarkEnd w:id="1"/>
      <w:r w:rsidRPr="00C60FC3">
        <w:rPr>
          <w:lang w:val="es-ES_tradnl"/>
        </w:rPr>
        <w:t>Informe anual del Secretario General correspondiente al año 2012</w:t>
      </w:r>
    </w:p>
    <w:p w:rsidR="00B43D13" w:rsidRPr="00C60FC3" w:rsidRDefault="00B43D13" w:rsidP="00BF2668">
      <w:pPr>
        <w:pStyle w:val="preparedby1"/>
        <w:rPr>
          <w:lang w:val="es-ES_tradnl"/>
        </w:rPr>
      </w:pPr>
      <w:bookmarkStart w:id="2" w:name="Prepared"/>
      <w:bookmarkEnd w:id="2"/>
      <w:r w:rsidRPr="00C60FC3">
        <w:rPr>
          <w:lang w:val="es-ES_tradnl"/>
        </w:rPr>
        <w:t>(</w:t>
      </w:r>
      <w:proofErr w:type="gramStart"/>
      <w:r w:rsidRPr="00C60FC3">
        <w:rPr>
          <w:lang w:val="es-ES_tradnl"/>
        </w:rPr>
        <w:t>cuadragésimo</w:t>
      </w:r>
      <w:proofErr w:type="gramEnd"/>
      <w:r w:rsidRPr="00C60FC3">
        <w:rPr>
          <w:lang w:val="es-ES_tradnl"/>
        </w:rPr>
        <w:t xml:space="preserve"> cuarto año)</w:t>
      </w:r>
    </w:p>
    <w:p w:rsidR="00B43D13" w:rsidRPr="00C60FC3" w:rsidRDefault="00B43D13" w:rsidP="00BF2668">
      <w:pPr>
        <w:pStyle w:val="preparedby1"/>
        <w:rPr>
          <w:lang w:val="es-ES_tradnl"/>
        </w:rPr>
      </w:pPr>
      <w:r w:rsidRPr="00C60FC3">
        <w:rPr>
          <w:color w:val="A6A6A6"/>
          <w:lang w:val="es-ES_tradnl"/>
        </w:rPr>
        <w:t>Descargo de responsabilidad</w:t>
      </w:r>
      <w:proofErr w:type="gramStart"/>
      <w:r w:rsidRPr="00C60FC3">
        <w:rPr>
          <w:color w:val="A6A6A6"/>
          <w:lang w:val="es-ES_tradnl"/>
        </w:rPr>
        <w:t>:  el</w:t>
      </w:r>
      <w:proofErr w:type="gramEnd"/>
      <w:r w:rsidRPr="00C60FC3">
        <w:rPr>
          <w:color w:val="A6A6A6"/>
          <w:lang w:val="es-ES_tradnl"/>
        </w:rPr>
        <w:t xml:space="preserve"> presente documento no constituye</w:t>
      </w:r>
      <w:r w:rsidRPr="00C60FC3">
        <w:rPr>
          <w:color w:val="A6A6A6"/>
          <w:lang w:val="es-ES_tradnl"/>
        </w:rPr>
        <w:br/>
        <w:t>un documento de política u orientación de la UPOV</w:t>
      </w:r>
    </w:p>
    <w:p w:rsidR="00B43D13" w:rsidRPr="00C60FC3" w:rsidRDefault="00B43D13" w:rsidP="00BF2668">
      <w:pPr>
        <w:rPr>
          <w:lang w:val="es-ES_tradnl"/>
        </w:rPr>
      </w:pPr>
      <w:r w:rsidRPr="00C60FC3">
        <w:rPr>
          <w:lang w:val="es-ES_tradnl"/>
        </w:rPr>
        <w:t>El presente documento contiene el Informe anual del Secretario General correspondiente a 2012.  En el Anexo III del presente documento se ofrece un resumen de los resultados obtenidos en 2012, estructurado con arreglo al programa y presupuesto para el bienio </w:t>
      </w:r>
      <w:r w:rsidR="001257C0">
        <w:rPr>
          <w:lang w:val="es-ES_tradnl"/>
        </w:rPr>
        <w:t>2012</w:t>
      </w:r>
      <w:r w:rsidR="001257C0">
        <w:rPr>
          <w:lang w:val="es-ES_tradnl"/>
        </w:rPr>
        <w:noBreakHyphen/>
        <w:t>2013</w:t>
      </w:r>
      <w:r w:rsidRPr="00C60FC3">
        <w:rPr>
          <w:lang w:val="es-ES_tradnl"/>
        </w:rPr>
        <w:t xml:space="preserve"> (documento C/45/4 Rev.2).</w:t>
      </w:r>
    </w:p>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rPr>
          <w:u w:val="single"/>
          <w:lang w:val="es-ES_tradnl"/>
        </w:rPr>
      </w:pPr>
      <w:r w:rsidRPr="00C60FC3">
        <w:rPr>
          <w:u w:val="single"/>
          <w:lang w:val="es-ES_tradnl"/>
        </w:rPr>
        <w:t>Índice</w:t>
      </w:r>
    </w:p>
    <w:p w:rsidR="00B43D13" w:rsidRPr="00C60FC3" w:rsidRDefault="00B43D13" w:rsidP="00BF2668">
      <w:pPr>
        <w:rPr>
          <w:lang w:val="es-ES_tradnl"/>
        </w:rPr>
      </w:pPr>
    </w:p>
    <w:p w:rsidR="005856EF" w:rsidRDefault="00B43D13">
      <w:pPr>
        <w:pStyle w:val="TOC1"/>
        <w:rPr>
          <w:rFonts w:asciiTheme="minorHAnsi" w:eastAsiaTheme="minorEastAsia" w:hAnsiTheme="minorHAnsi" w:cstheme="minorBidi"/>
          <w:caps w:val="0"/>
          <w:noProof/>
          <w:sz w:val="22"/>
          <w:szCs w:val="22"/>
        </w:rPr>
      </w:pPr>
      <w:r w:rsidRPr="00C60FC3">
        <w:rPr>
          <w:dstrike/>
          <w:szCs w:val="22"/>
          <w:lang w:val="es-ES_tradnl"/>
        </w:rPr>
        <w:fldChar w:fldCharType="begin"/>
      </w:r>
      <w:r w:rsidRPr="00C60FC3">
        <w:rPr>
          <w:dstrike/>
          <w:szCs w:val="22"/>
          <w:lang w:val="es-ES_tradnl"/>
        </w:rPr>
        <w:instrText xml:space="preserve"> TOC \o "1-2" </w:instrText>
      </w:r>
      <w:r w:rsidRPr="00C60FC3">
        <w:rPr>
          <w:dstrike/>
          <w:szCs w:val="22"/>
          <w:lang w:val="es-ES_tradnl"/>
        </w:rPr>
        <w:fldChar w:fldCharType="separate"/>
      </w:r>
      <w:r w:rsidR="005856EF" w:rsidRPr="001B7729">
        <w:rPr>
          <w:noProof/>
          <w:lang w:val="es-ES_tradnl"/>
        </w:rPr>
        <w:t>I.</w:t>
      </w:r>
      <w:r w:rsidR="005856EF">
        <w:rPr>
          <w:rFonts w:asciiTheme="minorHAnsi" w:eastAsiaTheme="minorEastAsia" w:hAnsiTheme="minorHAnsi" w:cstheme="minorBidi"/>
          <w:caps w:val="0"/>
          <w:noProof/>
          <w:sz w:val="22"/>
          <w:szCs w:val="22"/>
        </w:rPr>
        <w:tab/>
      </w:r>
      <w:r w:rsidR="005856EF" w:rsidRPr="001B7729">
        <w:rPr>
          <w:noProof/>
          <w:lang w:val="es-ES_tradnl"/>
        </w:rPr>
        <w:t>COMPOSICIÓN DE LA UNIÓN</w:t>
      </w:r>
      <w:r w:rsidR="005856EF">
        <w:rPr>
          <w:noProof/>
        </w:rPr>
        <w:tab/>
      </w:r>
      <w:r w:rsidR="005856EF">
        <w:rPr>
          <w:noProof/>
        </w:rPr>
        <w:fldChar w:fldCharType="begin"/>
      </w:r>
      <w:r w:rsidR="005856EF">
        <w:rPr>
          <w:noProof/>
        </w:rPr>
        <w:instrText xml:space="preserve"> PAGEREF _Toc367953254 \h </w:instrText>
      </w:r>
      <w:r w:rsidR="005856EF">
        <w:rPr>
          <w:noProof/>
        </w:rPr>
      </w:r>
      <w:r w:rsidR="005856EF">
        <w:rPr>
          <w:noProof/>
        </w:rPr>
        <w:fldChar w:fldCharType="separate"/>
      </w:r>
      <w:r w:rsidR="00CA0EE8">
        <w:rPr>
          <w:noProof/>
        </w:rPr>
        <w:t>2</w:t>
      </w:r>
      <w:r w:rsidR="005856EF">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Miembros</w:t>
      </w:r>
      <w:r>
        <w:rPr>
          <w:noProof/>
        </w:rPr>
        <w:tab/>
      </w:r>
      <w:r>
        <w:rPr>
          <w:noProof/>
        </w:rPr>
        <w:fldChar w:fldCharType="begin"/>
      </w:r>
      <w:r>
        <w:rPr>
          <w:noProof/>
        </w:rPr>
        <w:instrText xml:space="preserve"> PAGEREF _Toc367953255 \h </w:instrText>
      </w:r>
      <w:r>
        <w:rPr>
          <w:noProof/>
        </w:rPr>
      </w:r>
      <w:r>
        <w:rPr>
          <w:noProof/>
        </w:rPr>
        <w:fldChar w:fldCharType="separate"/>
      </w:r>
      <w:r w:rsidR="00CA0EE8">
        <w:rPr>
          <w:noProof/>
        </w:rPr>
        <w:t>2</w:t>
      </w:r>
      <w:r>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Situación respecto de las distintas Actas del Convenio</w:t>
      </w:r>
      <w:r>
        <w:rPr>
          <w:noProof/>
        </w:rPr>
        <w:tab/>
      </w:r>
      <w:r>
        <w:rPr>
          <w:noProof/>
        </w:rPr>
        <w:fldChar w:fldCharType="begin"/>
      </w:r>
      <w:r>
        <w:rPr>
          <w:noProof/>
        </w:rPr>
        <w:instrText xml:space="preserve"> PAGEREF _Toc367953256 \h </w:instrText>
      </w:r>
      <w:r>
        <w:rPr>
          <w:noProof/>
        </w:rPr>
      </w:r>
      <w:r>
        <w:rPr>
          <w:noProof/>
        </w:rPr>
        <w:fldChar w:fldCharType="separate"/>
      </w:r>
      <w:r w:rsidR="00CA0EE8">
        <w:rPr>
          <w:noProof/>
        </w:rPr>
        <w:t>2</w:t>
      </w:r>
      <w:r>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Futuros miembros</w:t>
      </w:r>
      <w:r>
        <w:rPr>
          <w:noProof/>
        </w:rPr>
        <w:tab/>
      </w:r>
      <w:r>
        <w:rPr>
          <w:noProof/>
        </w:rPr>
        <w:fldChar w:fldCharType="begin"/>
      </w:r>
      <w:r>
        <w:rPr>
          <w:noProof/>
        </w:rPr>
        <w:instrText xml:space="preserve"> PAGEREF _Toc367953257 \h </w:instrText>
      </w:r>
      <w:r>
        <w:rPr>
          <w:noProof/>
        </w:rPr>
      </w:r>
      <w:r>
        <w:rPr>
          <w:noProof/>
        </w:rPr>
        <w:fldChar w:fldCharType="separate"/>
      </w:r>
      <w:r w:rsidR="00CA0EE8">
        <w:rPr>
          <w:noProof/>
        </w:rPr>
        <w:t>2</w:t>
      </w:r>
      <w:r>
        <w:rPr>
          <w:noProof/>
        </w:rPr>
        <w:fldChar w:fldCharType="end"/>
      </w:r>
    </w:p>
    <w:p w:rsidR="005856EF" w:rsidRDefault="005856EF">
      <w:pPr>
        <w:pStyle w:val="TOC1"/>
        <w:rPr>
          <w:rFonts w:asciiTheme="minorHAnsi" w:eastAsiaTheme="minorEastAsia" w:hAnsiTheme="minorHAnsi" w:cstheme="minorBidi"/>
          <w:caps w:val="0"/>
          <w:noProof/>
          <w:sz w:val="22"/>
          <w:szCs w:val="22"/>
        </w:rPr>
      </w:pPr>
      <w:r w:rsidRPr="001B7729">
        <w:rPr>
          <w:noProof/>
          <w:lang w:val="es-ES_tradnl"/>
        </w:rPr>
        <w:t>II.</w:t>
      </w:r>
      <w:r>
        <w:rPr>
          <w:rFonts w:asciiTheme="minorHAnsi" w:eastAsiaTheme="minorEastAsia" w:hAnsiTheme="minorHAnsi" w:cstheme="minorBidi"/>
          <w:caps w:val="0"/>
          <w:noProof/>
          <w:sz w:val="22"/>
          <w:szCs w:val="22"/>
        </w:rPr>
        <w:tab/>
      </w:r>
      <w:r w:rsidRPr="001B7729">
        <w:rPr>
          <w:noProof/>
          <w:lang w:val="es-ES_tradnl"/>
        </w:rPr>
        <w:t>SESIONES DEL CONSEJO Y DE SUS ÓRGANOS SUBSIDIARIOS</w:t>
      </w:r>
      <w:r>
        <w:rPr>
          <w:noProof/>
        </w:rPr>
        <w:tab/>
      </w:r>
      <w:r>
        <w:rPr>
          <w:noProof/>
        </w:rPr>
        <w:fldChar w:fldCharType="begin"/>
      </w:r>
      <w:r>
        <w:rPr>
          <w:noProof/>
        </w:rPr>
        <w:instrText xml:space="preserve"> PAGEREF _Toc367953258 \h </w:instrText>
      </w:r>
      <w:r>
        <w:rPr>
          <w:noProof/>
        </w:rPr>
      </w:r>
      <w:r>
        <w:rPr>
          <w:noProof/>
        </w:rPr>
        <w:fldChar w:fldCharType="separate"/>
      </w:r>
      <w:r w:rsidR="00CA0EE8">
        <w:rPr>
          <w:noProof/>
        </w:rPr>
        <w:t>4</w:t>
      </w:r>
      <w:r>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Consejo</w:t>
      </w:r>
      <w:r>
        <w:rPr>
          <w:noProof/>
        </w:rPr>
        <w:tab/>
      </w:r>
      <w:r>
        <w:rPr>
          <w:noProof/>
        </w:rPr>
        <w:fldChar w:fldCharType="begin"/>
      </w:r>
      <w:r>
        <w:rPr>
          <w:noProof/>
        </w:rPr>
        <w:instrText xml:space="preserve"> PAGEREF _Toc367953259 \h </w:instrText>
      </w:r>
      <w:r>
        <w:rPr>
          <w:noProof/>
        </w:rPr>
      </w:r>
      <w:r>
        <w:rPr>
          <w:noProof/>
        </w:rPr>
        <w:fldChar w:fldCharType="separate"/>
      </w:r>
      <w:r w:rsidR="00CA0EE8">
        <w:rPr>
          <w:noProof/>
        </w:rPr>
        <w:t>4</w:t>
      </w:r>
      <w:r>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Comité Consultivo</w:t>
      </w:r>
      <w:r>
        <w:rPr>
          <w:noProof/>
        </w:rPr>
        <w:tab/>
      </w:r>
      <w:r>
        <w:rPr>
          <w:noProof/>
        </w:rPr>
        <w:fldChar w:fldCharType="begin"/>
      </w:r>
      <w:r>
        <w:rPr>
          <w:noProof/>
        </w:rPr>
        <w:instrText xml:space="preserve"> PAGEREF _Toc367953260 \h </w:instrText>
      </w:r>
      <w:r>
        <w:rPr>
          <w:noProof/>
        </w:rPr>
      </w:r>
      <w:r>
        <w:rPr>
          <w:noProof/>
        </w:rPr>
        <w:fldChar w:fldCharType="separate"/>
      </w:r>
      <w:r w:rsidR="00CA0EE8">
        <w:rPr>
          <w:noProof/>
        </w:rPr>
        <w:t>5</w:t>
      </w:r>
      <w:r>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Comité Administrativo y Jurídico, Comité Técnico, Grupos de Trabajo Técnico y Grupo de Trabajo sobre Técnicas Bioquímicas y Moleculares, y Perfiles de ADN en particular</w:t>
      </w:r>
      <w:r>
        <w:rPr>
          <w:noProof/>
        </w:rPr>
        <w:tab/>
      </w:r>
      <w:r>
        <w:rPr>
          <w:noProof/>
        </w:rPr>
        <w:fldChar w:fldCharType="begin"/>
      </w:r>
      <w:r>
        <w:rPr>
          <w:noProof/>
        </w:rPr>
        <w:instrText xml:space="preserve"> PAGEREF _Toc367953261 \h </w:instrText>
      </w:r>
      <w:r>
        <w:rPr>
          <w:noProof/>
        </w:rPr>
      </w:r>
      <w:r>
        <w:rPr>
          <w:noProof/>
        </w:rPr>
        <w:fldChar w:fldCharType="separate"/>
      </w:r>
      <w:r w:rsidR="00CA0EE8">
        <w:rPr>
          <w:noProof/>
        </w:rPr>
        <w:t>9</w:t>
      </w:r>
      <w:r>
        <w:rPr>
          <w:noProof/>
        </w:rPr>
        <w:fldChar w:fldCharType="end"/>
      </w:r>
    </w:p>
    <w:p w:rsidR="005856EF" w:rsidRDefault="005856EF">
      <w:pPr>
        <w:pStyle w:val="TOC1"/>
        <w:rPr>
          <w:rFonts w:asciiTheme="minorHAnsi" w:eastAsiaTheme="minorEastAsia" w:hAnsiTheme="minorHAnsi" w:cstheme="minorBidi"/>
          <w:caps w:val="0"/>
          <w:noProof/>
          <w:sz w:val="22"/>
          <w:szCs w:val="22"/>
        </w:rPr>
      </w:pPr>
      <w:r w:rsidRPr="001B7729">
        <w:rPr>
          <w:noProof/>
          <w:lang w:val="es-ES_tradnl"/>
        </w:rPr>
        <w:t>III.</w:t>
      </w:r>
      <w:r>
        <w:rPr>
          <w:rFonts w:asciiTheme="minorHAnsi" w:eastAsiaTheme="minorEastAsia" w:hAnsiTheme="minorHAnsi" w:cstheme="minorBidi"/>
          <w:caps w:val="0"/>
          <w:noProof/>
          <w:sz w:val="22"/>
          <w:szCs w:val="22"/>
        </w:rPr>
        <w:tab/>
      </w:r>
      <w:r w:rsidRPr="001B7729">
        <w:rPr>
          <w:noProof/>
          <w:lang w:val="es-ES_tradnl"/>
        </w:rPr>
        <w:t>CURSOS, SEMINARIOS, TALLERES, MISIONES, CONTACTOS IMPORTANTES</w:t>
      </w:r>
      <w:r>
        <w:rPr>
          <w:noProof/>
        </w:rPr>
        <w:tab/>
      </w:r>
      <w:r>
        <w:rPr>
          <w:noProof/>
        </w:rPr>
        <w:fldChar w:fldCharType="begin"/>
      </w:r>
      <w:r>
        <w:rPr>
          <w:noProof/>
        </w:rPr>
        <w:instrText xml:space="preserve"> PAGEREF _Toc367953262 \h </w:instrText>
      </w:r>
      <w:r>
        <w:rPr>
          <w:noProof/>
        </w:rPr>
      </w:r>
      <w:r>
        <w:rPr>
          <w:noProof/>
        </w:rPr>
        <w:fldChar w:fldCharType="separate"/>
      </w:r>
      <w:r w:rsidR="00CA0EE8">
        <w:rPr>
          <w:noProof/>
        </w:rPr>
        <w:t>9</w:t>
      </w:r>
      <w:r>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Actividades individuales</w:t>
      </w:r>
      <w:r>
        <w:rPr>
          <w:noProof/>
        </w:rPr>
        <w:tab/>
      </w:r>
      <w:r>
        <w:rPr>
          <w:noProof/>
        </w:rPr>
        <w:fldChar w:fldCharType="begin"/>
      </w:r>
      <w:r>
        <w:rPr>
          <w:noProof/>
        </w:rPr>
        <w:instrText xml:space="preserve"> PAGEREF _Toc367953263 \h </w:instrText>
      </w:r>
      <w:r>
        <w:rPr>
          <w:noProof/>
        </w:rPr>
      </w:r>
      <w:r>
        <w:rPr>
          <w:noProof/>
        </w:rPr>
        <w:fldChar w:fldCharType="separate"/>
      </w:r>
      <w:r w:rsidR="00CA0EE8">
        <w:rPr>
          <w:noProof/>
        </w:rPr>
        <w:t>9</w:t>
      </w:r>
      <w:r>
        <w:rPr>
          <w:noProof/>
        </w:rPr>
        <w:fldChar w:fldCharType="end"/>
      </w:r>
    </w:p>
    <w:p w:rsidR="005856EF" w:rsidRDefault="005856EF">
      <w:pPr>
        <w:pStyle w:val="TOC2"/>
        <w:rPr>
          <w:rFonts w:asciiTheme="minorHAnsi" w:eastAsiaTheme="minorEastAsia" w:hAnsiTheme="minorHAnsi" w:cstheme="minorBidi"/>
          <w:noProof/>
          <w:sz w:val="22"/>
          <w:szCs w:val="22"/>
        </w:rPr>
      </w:pPr>
      <w:r w:rsidRPr="001B7729">
        <w:rPr>
          <w:noProof/>
          <w:lang w:val="es-ES_tradnl"/>
        </w:rPr>
        <w:t>Curso de enseñanza a distancia</w:t>
      </w:r>
      <w:r>
        <w:rPr>
          <w:noProof/>
        </w:rPr>
        <w:tab/>
      </w:r>
      <w:r>
        <w:rPr>
          <w:noProof/>
        </w:rPr>
        <w:fldChar w:fldCharType="begin"/>
      </w:r>
      <w:r>
        <w:rPr>
          <w:noProof/>
        </w:rPr>
        <w:instrText xml:space="preserve"> PAGEREF _Toc367953264 \h </w:instrText>
      </w:r>
      <w:r>
        <w:rPr>
          <w:noProof/>
        </w:rPr>
      </w:r>
      <w:r>
        <w:rPr>
          <w:noProof/>
        </w:rPr>
        <w:fldChar w:fldCharType="separate"/>
      </w:r>
      <w:r w:rsidR="00CA0EE8">
        <w:rPr>
          <w:noProof/>
        </w:rPr>
        <w:t>19</w:t>
      </w:r>
      <w:r>
        <w:rPr>
          <w:noProof/>
        </w:rPr>
        <w:fldChar w:fldCharType="end"/>
      </w:r>
    </w:p>
    <w:p w:rsidR="005856EF" w:rsidRDefault="005856EF">
      <w:pPr>
        <w:pStyle w:val="TOC1"/>
        <w:rPr>
          <w:rFonts w:asciiTheme="minorHAnsi" w:eastAsiaTheme="minorEastAsia" w:hAnsiTheme="minorHAnsi" w:cstheme="minorBidi"/>
          <w:caps w:val="0"/>
          <w:noProof/>
          <w:sz w:val="22"/>
          <w:szCs w:val="22"/>
        </w:rPr>
      </w:pPr>
      <w:r w:rsidRPr="001B7729">
        <w:rPr>
          <w:noProof/>
          <w:lang w:val="es-ES_tradnl"/>
        </w:rPr>
        <w:t>IV.</w:t>
      </w:r>
      <w:r>
        <w:rPr>
          <w:rFonts w:asciiTheme="minorHAnsi" w:eastAsiaTheme="minorEastAsia" w:hAnsiTheme="minorHAnsi" w:cstheme="minorBidi"/>
          <w:caps w:val="0"/>
          <w:noProof/>
          <w:sz w:val="22"/>
          <w:szCs w:val="22"/>
        </w:rPr>
        <w:tab/>
      </w:r>
      <w:r w:rsidRPr="001B7729">
        <w:rPr>
          <w:noProof/>
          <w:lang w:val="es-ES_tradnl"/>
        </w:rPr>
        <w:t>RELACIONES CON ESTADOS Y ORGANIZACIONES</w:t>
      </w:r>
      <w:r>
        <w:rPr>
          <w:noProof/>
        </w:rPr>
        <w:tab/>
      </w:r>
      <w:r>
        <w:rPr>
          <w:noProof/>
        </w:rPr>
        <w:fldChar w:fldCharType="begin"/>
      </w:r>
      <w:r>
        <w:rPr>
          <w:noProof/>
        </w:rPr>
        <w:instrText xml:space="preserve"> PAGEREF _Toc367953265 \h </w:instrText>
      </w:r>
      <w:r>
        <w:rPr>
          <w:noProof/>
        </w:rPr>
      </w:r>
      <w:r>
        <w:rPr>
          <w:noProof/>
        </w:rPr>
        <w:fldChar w:fldCharType="separate"/>
      </w:r>
      <w:r w:rsidR="00CA0EE8">
        <w:rPr>
          <w:noProof/>
        </w:rPr>
        <w:t>20</w:t>
      </w:r>
      <w:r>
        <w:rPr>
          <w:noProof/>
        </w:rPr>
        <w:fldChar w:fldCharType="end"/>
      </w:r>
    </w:p>
    <w:p w:rsidR="005856EF" w:rsidRDefault="005856EF">
      <w:pPr>
        <w:pStyle w:val="TOC1"/>
        <w:rPr>
          <w:rFonts w:asciiTheme="minorHAnsi" w:eastAsiaTheme="minorEastAsia" w:hAnsiTheme="minorHAnsi" w:cstheme="minorBidi"/>
          <w:caps w:val="0"/>
          <w:noProof/>
          <w:sz w:val="22"/>
          <w:szCs w:val="22"/>
        </w:rPr>
      </w:pPr>
      <w:r w:rsidRPr="001B7729">
        <w:rPr>
          <w:noProof/>
          <w:lang w:val="es-ES_tradnl"/>
        </w:rPr>
        <w:t>V.</w:t>
      </w:r>
      <w:r>
        <w:rPr>
          <w:rFonts w:asciiTheme="minorHAnsi" w:eastAsiaTheme="minorEastAsia" w:hAnsiTheme="minorHAnsi" w:cstheme="minorBidi"/>
          <w:caps w:val="0"/>
          <w:noProof/>
          <w:sz w:val="22"/>
          <w:szCs w:val="22"/>
        </w:rPr>
        <w:tab/>
      </w:r>
      <w:r w:rsidRPr="001B7729">
        <w:rPr>
          <w:noProof/>
          <w:lang w:val="es-ES_tradnl"/>
        </w:rPr>
        <w:t>Publicaciones</w:t>
      </w:r>
      <w:r>
        <w:rPr>
          <w:noProof/>
        </w:rPr>
        <w:tab/>
      </w:r>
      <w:r>
        <w:rPr>
          <w:noProof/>
        </w:rPr>
        <w:fldChar w:fldCharType="begin"/>
      </w:r>
      <w:r>
        <w:rPr>
          <w:noProof/>
        </w:rPr>
        <w:instrText xml:space="preserve"> PAGEREF _Toc367953266 \h </w:instrText>
      </w:r>
      <w:r>
        <w:rPr>
          <w:noProof/>
        </w:rPr>
      </w:r>
      <w:r>
        <w:rPr>
          <w:noProof/>
        </w:rPr>
        <w:fldChar w:fldCharType="separate"/>
      </w:r>
      <w:r w:rsidR="00CA0EE8">
        <w:rPr>
          <w:noProof/>
        </w:rPr>
        <w:t>20</w:t>
      </w:r>
      <w:r>
        <w:rPr>
          <w:noProof/>
        </w:rPr>
        <w:fldChar w:fldCharType="end"/>
      </w:r>
    </w:p>
    <w:p w:rsidR="00B43D13" w:rsidRPr="00C60FC3" w:rsidRDefault="00B43D13" w:rsidP="00BF2668">
      <w:pPr>
        <w:spacing w:before="120"/>
        <w:ind w:left="1134" w:hanging="1134"/>
        <w:rPr>
          <w:sz w:val="22"/>
          <w:szCs w:val="22"/>
          <w:lang w:val="es-ES_tradnl"/>
        </w:rPr>
      </w:pPr>
      <w:r w:rsidRPr="00C60FC3">
        <w:rPr>
          <w:dstrike/>
          <w:szCs w:val="22"/>
          <w:lang w:val="es-ES_tradnl"/>
        </w:rPr>
        <w:fldChar w:fldCharType="end"/>
      </w:r>
    </w:p>
    <w:p w:rsidR="00B43D13" w:rsidRPr="00C60FC3" w:rsidRDefault="00B43D13" w:rsidP="00BF2668">
      <w:pPr>
        <w:spacing w:before="120"/>
        <w:ind w:left="1418" w:hanging="1134"/>
        <w:rPr>
          <w:noProof/>
          <w:lang w:val="es-ES_tradnl"/>
        </w:rPr>
      </w:pPr>
      <w:r w:rsidRPr="00C60FC3">
        <w:rPr>
          <w:lang w:val="es-ES_tradnl"/>
        </w:rPr>
        <w:t>ANEXO I:</w:t>
      </w:r>
      <w:r w:rsidRPr="00C60FC3">
        <w:rPr>
          <w:lang w:val="es-ES_tradnl"/>
        </w:rPr>
        <w:tab/>
        <w:t>Miembros de la Unión</w:t>
      </w:r>
    </w:p>
    <w:p w:rsidR="00B43D13" w:rsidRPr="00C60FC3" w:rsidRDefault="00B43D13" w:rsidP="00BF2668">
      <w:pPr>
        <w:spacing w:before="120"/>
        <w:ind w:left="1418" w:hanging="1134"/>
        <w:rPr>
          <w:noProof/>
          <w:lang w:val="es-ES_tradnl"/>
        </w:rPr>
      </w:pPr>
      <w:r w:rsidRPr="00C60FC3">
        <w:rPr>
          <w:lang w:val="es-ES_tradnl"/>
        </w:rPr>
        <w:t>ANEXO II:</w:t>
      </w:r>
      <w:r w:rsidRPr="00C60FC3">
        <w:rPr>
          <w:noProof/>
          <w:lang w:val="es-ES_tradnl"/>
        </w:rPr>
        <w:tab/>
      </w:r>
      <w:r w:rsidRPr="00C60FC3">
        <w:rPr>
          <w:lang w:val="es-ES_tradnl"/>
        </w:rPr>
        <w:t>Reseña de las misiones realizadas en 2012</w:t>
      </w:r>
    </w:p>
    <w:p w:rsidR="00B43D13" w:rsidRPr="00C60FC3" w:rsidRDefault="00B43D13" w:rsidP="00BF2668">
      <w:pPr>
        <w:spacing w:before="120"/>
        <w:ind w:left="1418" w:hanging="1134"/>
        <w:rPr>
          <w:noProof/>
          <w:lang w:val="es-ES_tradnl"/>
        </w:rPr>
      </w:pPr>
      <w:r w:rsidRPr="00C60FC3">
        <w:rPr>
          <w:lang w:val="es-ES_tradnl"/>
        </w:rPr>
        <w:t>ANEXO III:</w:t>
      </w:r>
      <w:r w:rsidRPr="00C60FC3">
        <w:rPr>
          <w:noProof/>
          <w:lang w:val="es-ES_tradnl"/>
        </w:rPr>
        <w:tab/>
      </w:r>
      <w:r w:rsidRPr="00C60FC3">
        <w:rPr>
          <w:lang w:val="es-ES_tradnl"/>
        </w:rPr>
        <w:t>Resultados e indicadores de rendimiento para 2012</w:t>
      </w:r>
    </w:p>
    <w:p w:rsidR="00B43D13" w:rsidRPr="00C60FC3" w:rsidRDefault="00B43D13" w:rsidP="00BF2668">
      <w:pPr>
        <w:spacing w:before="120"/>
        <w:ind w:left="1134" w:hanging="1134"/>
        <w:rPr>
          <w:noProof/>
          <w:lang w:val="es-ES_tradnl"/>
        </w:rPr>
      </w:pPr>
    </w:p>
    <w:p w:rsidR="00B43D13" w:rsidRPr="00C60FC3" w:rsidRDefault="00B43D13" w:rsidP="00BF2668">
      <w:pPr>
        <w:jc w:val="center"/>
        <w:rPr>
          <w:szCs w:val="24"/>
          <w:lang w:val="es-ES_tradnl"/>
        </w:rPr>
      </w:pPr>
      <w:r w:rsidRPr="00C60FC3">
        <w:rPr>
          <w:szCs w:val="24"/>
          <w:u w:val="single"/>
          <w:lang w:val="es-ES_tradnl"/>
        </w:rPr>
        <w:br w:type="page"/>
      </w:r>
      <w:r w:rsidRPr="00C60FC3">
        <w:rPr>
          <w:szCs w:val="24"/>
          <w:u w:val="single"/>
          <w:lang w:val="es-ES_tradnl"/>
        </w:rPr>
        <w:lastRenderedPageBreak/>
        <w:t>Abreviaturas utilizadas en el presente documento:</w:t>
      </w:r>
    </w:p>
    <w:p w:rsidR="00B43D13" w:rsidRPr="00C60FC3" w:rsidRDefault="00B43D13" w:rsidP="00BF2668">
      <w:pPr>
        <w:rPr>
          <w:szCs w:val="24"/>
          <w:lang w:val="es-ES_tradnl"/>
        </w:rPr>
      </w:pPr>
    </w:p>
    <w:p w:rsidR="00B43D13" w:rsidRPr="00C60FC3" w:rsidRDefault="00B43D13" w:rsidP="00BF2668">
      <w:pPr>
        <w:ind w:left="1560" w:hanging="993"/>
        <w:rPr>
          <w:lang w:val="es-ES_tradnl"/>
        </w:rPr>
      </w:pPr>
      <w:r w:rsidRPr="00C60FC3">
        <w:rPr>
          <w:lang w:val="es-ES_tradnl"/>
        </w:rPr>
        <w:t>CAJ:</w:t>
      </w:r>
      <w:r w:rsidRPr="00C60FC3">
        <w:rPr>
          <w:lang w:val="es-ES_tradnl"/>
        </w:rPr>
        <w:tab/>
        <w:t xml:space="preserve">Comité Administrativo y Jurídico </w:t>
      </w:r>
    </w:p>
    <w:p w:rsidR="00B43D13" w:rsidRPr="00C60FC3" w:rsidRDefault="00B43D13" w:rsidP="00BF2668">
      <w:pPr>
        <w:ind w:left="1560" w:hanging="993"/>
        <w:rPr>
          <w:lang w:val="es-ES_tradnl"/>
        </w:rPr>
      </w:pPr>
      <w:r w:rsidRPr="00C60FC3">
        <w:rPr>
          <w:lang w:val="es-ES_tradnl"/>
        </w:rPr>
        <w:t>TC:</w:t>
      </w:r>
      <w:r w:rsidRPr="00C60FC3">
        <w:rPr>
          <w:lang w:val="es-ES_tradnl"/>
        </w:rPr>
        <w:tab/>
        <w:t>Comité Técnico</w:t>
      </w:r>
    </w:p>
    <w:p w:rsidR="00B43D13" w:rsidRPr="00C60FC3" w:rsidRDefault="00B43D13" w:rsidP="00BF2668">
      <w:pPr>
        <w:ind w:left="1560" w:hanging="993"/>
        <w:rPr>
          <w:lang w:val="es-ES_tradnl"/>
        </w:rPr>
      </w:pPr>
      <w:r w:rsidRPr="00C60FC3">
        <w:rPr>
          <w:lang w:val="es-ES_tradnl"/>
        </w:rPr>
        <w:t>TC-EDC:</w:t>
      </w:r>
      <w:r w:rsidRPr="00C60FC3">
        <w:rPr>
          <w:lang w:val="es-ES_tradnl"/>
        </w:rPr>
        <w:tab/>
        <w:t>Comité de Redacción Ampliado</w:t>
      </w:r>
    </w:p>
    <w:p w:rsidR="00B43D13" w:rsidRPr="00C60FC3" w:rsidRDefault="00B43D13" w:rsidP="00BF2668">
      <w:pPr>
        <w:ind w:left="1560" w:hanging="993"/>
        <w:rPr>
          <w:lang w:val="es-ES_tradnl"/>
        </w:rPr>
      </w:pPr>
      <w:r w:rsidRPr="00C60FC3">
        <w:rPr>
          <w:lang w:val="es-ES_tradnl"/>
        </w:rPr>
        <w:t>TWP:</w:t>
      </w:r>
      <w:r w:rsidRPr="00C60FC3">
        <w:rPr>
          <w:lang w:val="es-ES_tradnl"/>
        </w:rPr>
        <w:tab/>
        <w:t>Grupos de Trabajo Técnico</w:t>
      </w:r>
    </w:p>
    <w:p w:rsidR="00B43D13" w:rsidRPr="00C60FC3" w:rsidRDefault="00B43D13" w:rsidP="00BF2668">
      <w:pPr>
        <w:ind w:left="1560" w:hanging="993"/>
        <w:rPr>
          <w:lang w:val="es-ES_tradnl"/>
        </w:rPr>
      </w:pPr>
      <w:r w:rsidRPr="00C60FC3">
        <w:rPr>
          <w:lang w:val="es-ES_tradnl"/>
        </w:rPr>
        <w:t>TWA:</w:t>
      </w:r>
      <w:r w:rsidRPr="00C60FC3">
        <w:rPr>
          <w:lang w:val="es-ES_tradnl"/>
        </w:rPr>
        <w:tab/>
        <w:t>Grupo de Trabajo Técnico sobre Plantas Agrícolas</w:t>
      </w:r>
    </w:p>
    <w:p w:rsidR="00B43D13" w:rsidRPr="00C60FC3" w:rsidRDefault="00B43D13" w:rsidP="00BF2668">
      <w:pPr>
        <w:ind w:left="1560" w:hanging="993"/>
        <w:rPr>
          <w:lang w:val="es-ES_tradnl"/>
        </w:rPr>
      </w:pPr>
      <w:r w:rsidRPr="00C60FC3">
        <w:rPr>
          <w:lang w:val="es-ES_tradnl"/>
        </w:rPr>
        <w:t>TWC:</w:t>
      </w:r>
      <w:r w:rsidRPr="00C60FC3">
        <w:rPr>
          <w:lang w:val="es-ES_tradnl"/>
        </w:rPr>
        <w:tab/>
        <w:t>Grupo de Trabajo Técnico sobre Automatización y Programas Informáticos</w:t>
      </w:r>
    </w:p>
    <w:p w:rsidR="00B43D13" w:rsidRPr="00C60FC3" w:rsidRDefault="00B43D13" w:rsidP="00BF2668">
      <w:pPr>
        <w:ind w:left="1560" w:hanging="993"/>
        <w:rPr>
          <w:lang w:val="es-ES_tradnl"/>
        </w:rPr>
      </w:pPr>
      <w:r w:rsidRPr="00C60FC3">
        <w:rPr>
          <w:lang w:val="es-ES_tradnl"/>
        </w:rPr>
        <w:t xml:space="preserve">TWF:  </w:t>
      </w:r>
      <w:r w:rsidRPr="00C60FC3">
        <w:rPr>
          <w:lang w:val="es-ES_tradnl"/>
        </w:rPr>
        <w:tab/>
        <w:t>Grupo de Trabajo Técnico sobre Plantas Frutales</w:t>
      </w:r>
    </w:p>
    <w:p w:rsidR="00B43D13" w:rsidRPr="00C60FC3" w:rsidRDefault="00B43D13" w:rsidP="00BF2668">
      <w:pPr>
        <w:ind w:left="1560" w:hanging="993"/>
        <w:rPr>
          <w:lang w:val="es-ES_tradnl"/>
        </w:rPr>
      </w:pPr>
      <w:r w:rsidRPr="00C60FC3">
        <w:rPr>
          <w:lang w:val="es-ES_tradnl"/>
        </w:rPr>
        <w:t>TWO:</w:t>
      </w:r>
      <w:r w:rsidRPr="00C60FC3">
        <w:rPr>
          <w:lang w:val="es-ES_tradnl"/>
        </w:rPr>
        <w:tab/>
        <w:t>Grupo de Trabajo Técnico sobre Plantas Ornamentales y Árboles Forestales</w:t>
      </w:r>
    </w:p>
    <w:p w:rsidR="00B43D13" w:rsidRPr="00C60FC3" w:rsidRDefault="00B43D13" w:rsidP="00BF2668">
      <w:pPr>
        <w:ind w:left="1560" w:hanging="993"/>
        <w:rPr>
          <w:lang w:val="es-ES_tradnl"/>
        </w:rPr>
      </w:pPr>
      <w:r w:rsidRPr="00C60FC3">
        <w:rPr>
          <w:lang w:val="es-ES_tradnl"/>
        </w:rPr>
        <w:t>TWV:</w:t>
      </w:r>
      <w:r w:rsidRPr="00C60FC3">
        <w:rPr>
          <w:lang w:val="es-ES_tradnl"/>
        </w:rPr>
        <w:tab/>
        <w:t>Grupo de Trabajo Técnico sobre Hortalizas</w:t>
      </w:r>
    </w:p>
    <w:p w:rsidR="00B43D13" w:rsidRPr="00C60FC3" w:rsidRDefault="00B43D13" w:rsidP="00BF2668">
      <w:pPr>
        <w:ind w:left="1560" w:hanging="993"/>
        <w:rPr>
          <w:lang w:val="es-ES_tradnl"/>
        </w:rPr>
      </w:pPr>
      <w:r w:rsidRPr="00C60FC3">
        <w:rPr>
          <w:lang w:val="es-ES_tradnl"/>
        </w:rPr>
        <w:t>BMT:</w:t>
      </w:r>
      <w:r w:rsidRPr="00C60FC3">
        <w:rPr>
          <w:lang w:val="es-ES_tradnl"/>
        </w:rPr>
        <w:tab/>
        <w:t>Grupo de Trabajo sobre Técnicas Bioquímicas y Moleculares, y Perfiles de ADN en particular</w:t>
      </w:r>
    </w:p>
    <w:p w:rsidR="00B43D13" w:rsidRPr="00C60FC3" w:rsidRDefault="00B43D13" w:rsidP="00BF2668">
      <w:pPr>
        <w:ind w:left="1560" w:hanging="993"/>
        <w:rPr>
          <w:lang w:val="es-ES_tradnl"/>
        </w:rPr>
      </w:pPr>
      <w:r w:rsidRPr="00C60FC3">
        <w:rPr>
          <w:lang w:val="es-ES_tradnl"/>
        </w:rPr>
        <w:t>DHE:</w:t>
      </w:r>
      <w:r w:rsidRPr="00C60FC3">
        <w:rPr>
          <w:lang w:val="es-ES_tradnl"/>
        </w:rPr>
        <w:tab/>
        <w:t>Distinción, Homogeneidad y Estabilidad</w:t>
      </w:r>
    </w:p>
    <w:p w:rsidR="00B43D13" w:rsidRPr="00C60FC3" w:rsidRDefault="00B43D13" w:rsidP="00BF2668">
      <w:pPr>
        <w:rPr>
          <w:lang w:val="es-ES_tradnl"/>
        </w:rPr>
      </w:pPr>
    </w:p>
    <w:p w:rsidR="00B43D13" w:rsidRPr="00C60FC3" w:rsidRDefault="00B43D13" w:rsidP="00BF2668">
      <w:pPr>
        <w:rPr>
          <w:noProof/>
          <w:lang w:val="es-ES_tradnl"/>
        </w:rPr>
      </w:pPr>
    </w:p>
    <w:p w:rsidR="00B43D13" w:rsidRPr="00C60FC3" w:rsidRDefault="00B43D13" w:rsidP="00BF2668">
      <w:pPr>
        <w:rPr>
          <w:noProof/>
          <w:lang w:val="es-ES_tradnl"/>
        </w:rPr>
      </w:pPr>
    </w:p>
    <w:p w:rsidR="00B43D13" w:rsidRPr="00C60FC3" w:rsidRDefault="00B43D13" w:rsidP="00BF2668">
      <w:pPr>
        <w:pStyle w:val="Heading1"/>
        <w:keepNext w:val="0"/>
        <w:rPr>
          <w:lang w:val="es-ES_tradnl"/>
        </w:rPr>
      </w:pPr>
      <w:bookmarkStart w:id="3" w:name="_Toc367953254"/>
      <w:r w:rsidRPr="00C60FC3">
        <w:rPr>
          <w:lang w:val="es-ES_tradnl"/>
        </w:rPr>
        <w:t>I.</w:t>
      </w:r>
      <w:r w:rsidRPr="00C60FC3">
        <w:rPr>
          <w:lang w:val="es-ES_tradnl"/>
        </w:rPr>
        <w:tab/>
        <w:t>COMPOSICIÓN DE LA UNIÓN</w:t>
      </w:r>
      <w:bookmarkEnd w:id="3"/>
    </w:p>
    <w:p w:rsidR="00B43D13" w:rsidRPr="00C60FC3" w:rsidRDefault="00B43D13" w:rsidP="00BF2668">
      <w:pPr>
        <w:rPr>
          <w:lang w:val="es-ES_tradnl"/>
        </w:rPr>
      </w:pPr>
    </w:p>
    <w:p w:rsidR="00B43D13" w:rsidRPr="00C60FC3" w:rsidRDefault="00B43D13" w:rsidP="00BF2668">
      <w:pPr>
        <w:pStyle w:val="Heading2"/>
        <w:keepNext w:val="0"/>
        <w:rPr>
          <w:lang w:val="es-ES_tradnl"/>
        </w:rPr>
      </w:pPr>
      <w:bookmarkStart w:id="4" w:name="_Toc367953255"/>
      <w:r w:rsidRPr="00C60FC3">
        <w:rPr>
          <w:lang w:val="es-ES_tradnl"/>
        </w:rPr>
        <w:t>Miembros</w:t>
      </w:r>
      <w:bookmarkEnd w:id="4"/>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Al 31 de diciembre de 2012, la Unión estaba formada por 70 miembros:  Albania, Alemania, Argentina, Australia, Austria, Azerbaiyán, Belarús, Bélgica, Bolivia (Estado Plurinacional de), Brasil, Bulgaria, Canadá, Chile, China, Colombia, Costa Rica, Croacia, Dinamarca, Ecuador, Eslovaquia, Eslovenia, España, Estados Unidos de América, Estonia, ex República Yugoslava de Macedonia, Federación de Rusia, Finlandia, Francia, Georgia, Hungría, Irlanda, Islandia, Israel, Italia, Japón, Jordania, Kenya, Kirguistán, Letonia, Lituania, Marruecos, México, Nicaragua, Noruega, Nueva Zelandia, Omán, Países Bajos, Panamá, Paraguay, Perú, Polonia, Portugal, Reino Unido, República Checa, República de Corea, República de Moldova, República Dominicana, Rumania, Singapur, Sudáfrica, Suecia, Suiza, Trinidad y Tabago, Túnez, Turquía, Ucrania, Unión Europea, Uruguay, Uzbekistán y Viet Nam.</w:t>
      </w:r>
    </w:p>
    <w:p w:rsidR="00B43D13" w:rsidRPr="00C60FC3" w:rsidRDefault="00B43D13" w:rsidP="00BF2668">
      <w:pPr>
        <w:rPr>
          <w:lang w:val="es-ES_tradnl"/>
        </w:rPr>
      </w:pPr>
    </w:p>
    <w:p w:rsidR="00B43D13" w:rsidRPr="00C60FC3" w:rsidRDefault="00B43D13" w:rsidP="00BF2668">
      <w:pPr>
        <w:tabs>
          <w:tab w:val="left" w:pos="567"/>
          <w:tab w:val="left" w:pos="1134"/>
        </w:tabs>
        <w:rPr>
          <w:lang w:val="es-ES_tradnl"/>
        </w:rPr>
      </w:pPr>
    </w:p>
    <w:p w:rsidR="00B43D13" w:rsidRPr="00C60FC3" w:rsidRDefault="00B43D13" w:rsidP="00BF2668">
      <w:pPr>
        <w:pStyle w:val="Heading2"/>
        <w:keepNext w:val="0"/>
        <w:rPr>
          <w:lang w:val="es-ES_tradnl"/>
        </w:rPr>
      </w:pPr>
      <w:bookmarkStart w:id="5" w:name="_Toc367953256"/>
      <w:r w:rsidRPr="00C60FC3">
        <w:rPr>
          <w:lang w:val="es-ES_tradnl"/>
        </w:rPr>
        <w:t>Situación respecto de las distintas Actas del Convenio</w:t>
      </w:r>
      <w:bookmarkEnd w:id="5"/>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31 de diciembre de 2012, la situación de los miembros de la Unión respecto de las distintas Actas del Convenio era la siguiente: </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a)</w:t>
      </w:r>
      <w:r w:rsidRPr="00C60FC3">
        <w:rPr>
          <w:lang w:val="es-ES_tradnl"/>
        </w:rPr>
        <w:tab/>
        <w:t>Bélgica estaba obligada por el Convenio de 1961 modificado por el Acta de 1972;</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b)</w:t>
      </w:r>
      <w:r w:rsidRPr="00C60FC3">
        <w:rPr>
          <w:lang w:val="es-ES_tradnl"/>
        </w:rPr>
        <w:tab/>
        <w:t>19 miembros estaban obligados por el Acta de 1978, a saber</w:t>
      </w:r>
      <w:proofErr w:type="gramStart"/>
      <w:r w:rsidRPr="00C60FC3">
        <w:rPr>
          <w:lang w:val="es-ES_tradnl"/>
        </w:rPr>
        <w:t>:  Argentina</w:t>
      </w:r>
      <w:proofErr w:type="gramEnd"/>
      <w:r w:rsidRPr="00C60FC3">
        <w:rPr>
          <w:lang w:val="es-ES_tradnl"/>
        </w:rPr>
        <w:t>, Bolivia, Brasil, Canadá, Chile, China, Colombia, Ecuador, Italia, Kenya, México, Nicaragua, Noruega, Nueva Zelandia, Paraguay, Portugal, Sudáfrica, Trinidad y Tabago y Uruguay;</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c)</w:t>
      </w:r>
      <w:r w:rsidRPr="00C60FC3">
        <w:rPr>
          <w:lang w:val="es-ES_tradnl"/>
        </w:rPr>
        <w:tab/>
        <w:t>50 miembros estaban obligados por el Acta de 1991, a saber:  Albania, Alemania, Australia, Austria, Azerbaiyán, Belarús, Bulgaria, Costa Rica, Croacia, Dinamarca, Eslovaquia, Eslovenia, España, Estados Unidos de América, Estonia, ex República Yugoslava de Macedonia, Federación de Rusia, Finlandia, Francia, Georgia, Hungría, Irlanda, Islandia, Israel, Japón, Jordania, Kirguistán, Letonia, Lituania, Marruecos, Omán, Países Bajos, Panamá, Perú, Polonia, Reino Unido, República Checa, República de Corea, República de Moldova, República Dominicana, Rumania, Singapur, Suecia, Suiza, Turquía, Ucrania, Unión Europea, Uzbekistán y Viet Nam.</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En el Anexo I figura la situación de los miembros de la Unión en relación con las distintas Actas del Convenio al 31 de diciembre de 2012.</w:t>
      </w:r>
    </w:p>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pStyle w:val="Heading2"/>
        <w:keepNext w:val="0"/>
        <w:rPr>
          <w:lang w:val="es-ES_tradnl"/>
        </w:rPr>
      </w:pPr>
      <w:bookmarkStart w:id="6" w:name="_Toc367953257"/>
      <w:r w:rsidRPr="00C60FC3">
        <w:rPr>
          <w:lang w:val="es-ES_tradnl"/>
        </w:rPr>
        <w:t>Futuros miembros</w:t>
      </w:r>
      <w:bookmarkEnd w:id="6"/>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 conformidad con lo dispuesto en el artículo 34.3) del Acta de 1991, “antes de depositar su instrumento de adhesión, todo Estado que no sea miembro de la Unión o cualquier organización intergubernamental solicitará la opinión del Consejo acerca de la conformidad de su legislación con las disposiciones del presente Convenio”.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lastRenderedPageBreak/>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Mediante una carta fechada el 25 de septiembre de 2012, la República de Ghana (en adelante denominada “Ghana”) solicitó el examen </w:t>
      </w:r>
      <w:r w:rsidR="00CC6381">
        <w:rPr>
          <w:lang w:val="es-ES_tradnl"/>
        </w:rPr>
        <w:t xml:space="preserve">de la conformidad </w:t>
      </w:r>
      <w:r w:rsidRPr="00C60FC3">
        <w:rPr>
          <w:lang w:val="es-ES_tradnl"/>
        </w:rPr>
        <w:t xml:space="preserve">del proyecto de Ley de </w:t>
      </w:r>
      <w:r w:rsidR="00CC6381">
        <w:rPr>
          <w:lang w:val="es-ES_tradnl"/>
        </w:rPr>
        <w:t xml:space="preserve">Ghana sobre los </w:t>
      </w:r>
      <w:r w:rsidRPr="00C60FC3">
        <w:rPr>
          <w:lang w:val="es-ES_tradnl"/>
        </w:rPr>
        <w:t>Obtentor</w:t>
      </w:r>
      <w:r w:rsidR="00CC6381">
        <w:rPr>
          <w:lang w:val="es-ES_tradnl"/>
        </w:rPr>
        <w:t>es</w:t>
      </w:r>
      <w:r w:rsidRPr="00C60FC3">
        <w:rPr>
          <w:lang w:val="es-ES_tradnl"/>
        </w:rPr>
        <w:t xml:space="preserve"> con el Acta de 1991 del Convenio de la UPOV.</w:t>
      </w:r>
    </w:p>
    <w:p w:rsidR="00C60FC3" w:rsidRPr="00C60FC3" w:rsidRDefault="00C60FC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En su cuadragésima sexta sesión ordinaria, celebrada en Ginebra el 1 de noviembre de 2012, el Consejo examinó la conformidad del proyecto de </w:t>
      </w:r>
      <w:r w:rsidR="00CC6381" w:rsidRPr="00C60FC3">
        <w:rPr>
          <w:lang w:val="es-ES_tradnl"/>
        </w:rPr>
        <w:t xml:space="preserve">Ley de </w:t>
      </w:r>
      <w:r w:rsidR="00CC6381">
        <w:rPr>
          <w:lang w:val="es-ES_tradnl"/>
        </w:rPr>
        <w:t xml:space="preserve">Ghana sobre los </w:t>
      </w:r>
      <w:r w:rsidR="00CC6381" w:rsidRPr="00C60FC3">
        <w:rPr>
          <w:lang w:val="es-ES_tradnl"/>
        </w:rPr>
        <w:t>Obtentor</w:t>
      </w:r>
      <w:r w:rsidR="00CC6381">
        <w:rPr>
          <w:lang w:val="es-ES_tradnl"/>
        </w:rPr>
        <w:t>es</w:t>
      </w:r>
      <w:r w:rsidR="00CC6381" w:rsidRPr="00C60FC3">
        <w:rPr>
          <w:lang w:val="es-ES_tradnl"/>
        </w:rPr>
        <w:t xml:space="preserve"> </w:t>
      </w:r>
      <w:r w:rsidRPr="00C60FC3">
        <w:rPr>
          <w:lang w:val="es-ES_tradnl"/>
        </w:rPr>
        <w:t>con el Acta de 1991 del Convenio de la UPOV y decidió lo siguiente:</w:t>
      </w:r>
    </w:p>
    <w:p w:rsidR="00B43D13" w:rsidRPr="00C60FC3" w:rsidRDefault="00B43D13" w:rsidP="00BF2668">
      <w:pPr>
        <w:rPr>
          <w:lang w:val="es-ES_tradnl"/>
        </w:rPr>
      </w:pPr>
    </w:p>
    <w:p w:rsidR="00B43D13" w:rsidRPr="00C60FC3" w:rsidRDefault="00B43D13" w:rsidP="00BF2668">
      <w:pPr>
        <w:ind w:left="567" w:right="567" w:firstLine="567"/>
        <w:rPr>
          <w:snapToGrid w:val="0"/>
          <w:sz w:val="18"/>
          <w:szCs w:val="18"/>
          <w:lang w:val="es-ES_tradnl"/>
        </w:rPr>
      </w:pPr>
      <w:r w:rsidRPr="00C60FC3">
        <w:rPr>
          <w:snapToGrid w:val="0"/>
          <w:sz w:val="18"/>
          <w:szCs w:val="18"/>
          <w:lang w:val="es-ES_tradnl"/>
        </w:rPr>
        <w:t>“a)</w:t>
      </w:r>
      <w:r w:rsidRPr="00C60FC3">
        <w:rPr>
          <w:snapToGrid w:val="0"/>
          <w:sz w:val="18"/>
          <w:szCs w:val="18"/>
          <w:lang w:val="es-ES_tradnl"/>
        </w:rPr>
        <w:tab/>
      </w:r>
      <w:r w:rsidR="00CC6381" w:rsidRPr="00CC6381">
        <w:rPr>
          <w:snapToGrid w:val="0"/>
          <w:sz w:val="18"/>
          <w:szCs w:val="18"/>
          <w:lang w:val="es-ES_tradnl"/>
        </w:rPr>
        <w:t>tomar nota del análisis expuesto en el documento C/46/14 y de las siguientes modificaciones propuestas por la Delegación de Ghana respecto de la Ley de Ghana sobre los Obtentores (proyecto de Ley):</w:t>
      </w:r>
    </w:p>
    <w:p w:rsidR="00B43D13" w:rsidRPr="00C60FC3" w:rsidRDefault="00B43D13" w:rsidP="00BF2668">
      <w:pPr>
        <w:ind w:left="567" w:right="567"/>
        <w:rPr>
          <w:snapToGrid w:val="0"/>
          <w:sz w:val="18"/>
          <w:szCs w:val="18"/>
          <w:lang w:val="es-ES_tradnl"/>
        </w:rPr>
      </w:pPr>
    </w:p>
    <w:p w:rsidR="00B43D13" w:rsidRPr="00C60FC3" w:rsidRDefault="00B43D13" w:rsidP="00BF2668">
      <w:pPr>
        <w:ind w:left="2268" w:right="567" w:hanging="567"/>
        <w:rPr>
          <w:snapToGrid w:val="0"/>
          <w:sz w:val="18"/>
          <w:szCs w:val="18"/>
          <w:lang w:val="es-ES_tradnl"/>
        </w:rPr>
      </w:pPr>
      <w:r w:rsidRPr="00C60FC3">
        <w:rPr>
          <w:snapToGrid w:val="0"/>
          <w:sz w:val="18"/>
          <w:szCs w:val="18"/>
          <w:lang w:val="es-ES_tradnl"/>
        </w:rPr>
        <w:t>i)</w:t>
      </w:r>
      <w:r w:rsidRPr="00C60FC3">
        <w:rPr>
          <w:snapToGrid w:val="0"/>
          <w:sz w:val="18"/>
          <w:szCs w:val="18"/>
          <w:lang w:val="es-ES_tradnl"/>
        </w:rPr>
        <w:tab/>
      </w:r>
      <w:r w:rsidR="00CC6381">
        <w:rPr>
          <w:snapToGrid w:val="0"/>
          <w:sz w:val="18"/>
          <w:szCs w:val="18"/>
          <w:lang w:val="es-ES_tradnl"/>
        </w:rPr>
        <w:t>la supresión de la palabra ‘</w:t>
      </w:r>
      <w:r w:rsidR="00CC6381" w:rsidRPr="00CC6381">
        <w:rPr>
          <w:snapToGrid w:val="0"/>
          <w:sz w:val="18"/>
          <w:szCs w:val="18"/>
          <w:lang w:val="es-ES_tradnl"/>
        </w:rPr>
        <w:t>conclusively</w:t>
      </w:r>
      <w:r w:rsidR="00CC6381">
        <w:rPr>
          <w:snapToGrid w:val="0"/>
          <w:sz w:val="18"/>
          <w:szCs w:val="18"/>
          <w:lang w:val="es-ES_tradnl"/>
        </w:rPr>
        <w:t>’</w:t>
      </w:r>
      <w:r w:rsidR="00CC6381" w:rsidRPr="00CC6381">
        <w:rPr>
          <w:snapToGrid w:val="0"/>
          <w:sz w:val="18"/>
          <w:szCs w:val="18"/>
          <w:lang w:val="es-ES_tradnl"/>
        </w:rPr>
        <w:t xml:space="preserve"> (de forma concluyente) en el artículo 15.2);</w:t>
      </w:r>
    </w:p>
    <w:p w:rsidR="00B43D13" w:rsidRPr="00C60FC3" w:rsidRDefault="00B43D13" w:rsidP="00BF2668">
      <w:pPr>
        <w:ind w:left="2268" w:right="567" w:hanging="567"/>
        <w:rPr>
          <w:snapToGrid w:val="0"/>
          <w:sz w:val="18"/>
          <w:szCs w:val="18"/>
          <w:lang w:val="es-ES_tradnl"/>
        </w:rPr>
      </w:pPr>
      <w:r w:rsidRPr="00C60FC3">
        <w:rPr>
          <w:snapToGrid w:val="0"/>
          <w:sz w:val="18"/>
          <w:szCs w:val="18"/>
          <w:lang w:val="es-ES_tradnl"/>
        </w:rPr>
        <w:t>ii)</w:t>
      </w:r>
      <w:r w:rsidRPr="00C60FC3">
        <w:rPr>
          <w:snapToGrid w:val="0"/>
          <w:sz w:val="18"/>
          <w:szCs w:val="18"/>
          <w:lang w:val="es-ES_tradnl"/>
        </w:rPr>
        <w:tab/>
      </w:r>
      <w:r w:rsidR="00CC6381" w:rsidRPr="00CC6381">
        <w:rPr>
          <w:snapToGrid w:val="0"/>
          <w:sz w:val="18"/>
          <w:szCs w:val="18"/>
          <w:lang w:val="es-ES_tradnl"/>
        </w:rPr>
        <w:t xml:space="preserve">la sustitución de las palabras </w:t>
      </w:r>
      <w:r w:rsidR="00CC6381">
        <w:rPr>
          <w:snapToGrid w:val="0"/>
          <w:sz w:val="18"/>
          <w:szCs w:val="18"/>
          <w:lang w:val="es-ES_tradnl"/>
        </w:rPr>
        <w:t>‘</w:t>
      </w:r>
      <w:r w:rsidR="00CC6381" w:rsidRPr="00CC6381">
        <w:rPr>
          <w:snapToGrid w:val="0"/>
          <w:sz w:val="18"/>
          <w:szCs w:val="18"/>
          <w:lang w:val="es-ES_tradnl"/>
        </w:rPr>
        <w:t>Plant Breeders Advisory Committee</w:t>
      </w:r>
      <w:r w:rsidR="00CC6381">
        <w:rPr>
          <w:snapToGrid w:val="0"/>
          <w:sz w:val="18"/>
          <w:szCs w:val="18"/>
          <w:lang w:val="es-ES_tradnl"/>
        </w:rPr>
        <w:t>’</w:t>
      </w:r>
      <w:r w:rsidR="00CC6381" w:rsidRPr="00CC6381">
        <w:rPr>
          <w:snapToGrid w:val="0"/>
          <w:sz w:val="18"/>
          <w:szCs w:val="18"/>
          <w:lang w:val="es-ES_tradnl"/>
        </w:rPr>
        <w:t xml:space="preserve"> (Co</w:t>
      </w:r>
      <w:r w:rsidR="00CC6381">
        <w:rPr>
          <w:snapToGrid w:val="0"/>
          <w:sz w:val="18"/>
          <w:szCs w:val="18"/>
          <w:lang w:val="es-ES_tradnl"/>
        </w:rPr>
        <w:t>mité Asesor de Obtentores) por ‘</w:t>
      </w:r>
      <w:r w:rsidR="00CC6381" w:rsidRPr="00CC6381">
        <w:rPr>
          <w:snapToGrid w:val="0"/>
          <w:sz w:val="18"/>
          <w:szCs w:val="18"/>
          <w:lang w:val="es-ES_tradnl"/>
        </w:rPr>
        <w:t>Plant Breeders Technical Committee</w:t>
      </w:r>
      <w:r w:rsidR="00CC6381">
        <w:rPr>
          <w:snapToGrid w:val="0"/>
          <w:sz w:val="18"/>
          <w:szCs w:val="18"/>
          <w:lang w:val="es-ES_tradnl"/>
        </w:rPr>
        <w:t>’</w:t>
      </w:r>
      <w:r w:rsidR="00CC6381" w:rsidRPr="00CC6381">
        <w:rPr>
          <w:snapToGrid w:val="0"/>
          <w:sz w:val="18"/>
          <w:szCs w:val="18"/>
          <w:lang w:val="es-ES_tradnl"/>
        </w:rPr>
        <w:t xml:space="preserve"> (Comité Técnico de Obtentores) en el artículo 30; y</w:t>
      </w:r>
    </w:p>
    <w:p w:rsidR="00B43D13" w:rsidRPr="00C60FC3" w:rsidRDefault="00B43D13" w:rsidP="00BF2668">
      <w:pPr>
        <w:ind w:left="2268" w:right="567" w:hanging="567"/>
        <w:rPr>
          <w:snapToGrid w:val="0"/>
          <w:sz w:val="18"/>
          <w:szCs w:val="18"/>
          <w:lang w:val="es-ES_tradnl"/>
        </w:rPr>
      </w:pPr>
      <w:r w:rsidRPr="00C60FC3">
        <w:rPr>
          <w:snapToGrid w:val="0"/>
          <w:sz w:val="18"/>
          <w:szCs w:val="18"/>
          <w:lang w:val="es-ES_tradnl"/>
        </w:rPr>
        <w:t>iii)</w:t>
      </w:r>
      <w:r w:rsidRPr="00C60FC3">
        <w:rPr>
          <w:snapToGrid w:val="0"/>
          <w:sz w:val="18"/>
          <w:szCs w:val="18"/>
          <w:lang w:val="es-ES_tradnl"/>
        </w:rPr>
        <w:tab/>
      </w:r>
      <w:r w:rsidR="00CC6381" w:rsidRPr="00CC6381">
        <w:rPr>
          <w:snapToGrid w:val="0"/>
          <w:sz w:val="18"/>
          <w:szCs w:val="18"/>
          <w:lang w:val="es-ES_tradnl"/>
        </w:rPr>
        <w:t xml:space="preserve">la supresión de la palabra </w:t>
      </w:r>
      <w:r w:rsidR="00CC6381">
        <w:rPr>
          <w:snapToGrid w:val="0"/>
          <w:sz w:val="18"/>
          <w:szCs w:val="18"/>
          <w:lang w:val="es-ES_tradnl"/>
        </w:rPr>
        <w:t>‘</w:t>
      </w:r>
      <w:r w:rsidR="00CC6381" w:rsidRPr="00CC6381">
        <w:rPr>
          <w:snapToGrid w:val="0"/>
          <w:sz w:val="18"/>
          <w:szCs w:val="18"/>
          <w:lang w:val="es-ES_tradnl"/>
        </w:rPr>
        <w:t>seed</w:t>
      </w:r>
      <w:r w:rsidR="00CC6381">
        <w:rPr>
          <w:snapToGrid w:val="0"/>
          <w:sz w:val="18"/>
          <w:szCs w:val="18"/>
          <w:lang w:val="es-ES_tradnl"/>
        </w:rPr>
        <w:t>’</w:t>
      </w:r>
      <w:r w:rsidR="00CC6381" w:rsidRPr="00CC6381">
        <w:rPr>
          <w:snapToGrid w:val="0"/>
          <w:sz w:val="18"/>
          <w:szCs w:val="18"/>
          <w:lang w:val="es-ES_tradnl"/>
        </w:rPr>
        <w:t xml:space="preserve"> (semillas) en el artículo 43.g);</w:t>
      </w:r>
    </w:p>
    <w:p w:rsidR="00B43D13" w:rsidRPr="00C60FC3" w:rsidRDefault="00B43D13" w:rsidP="00BF2668">
      <w:pPr>
        <w:ind w:left="2268" w:right="567"/>
        <w:rPr>
          <w:snapToGrid w:val="0"/>
          <w:sz w:val="18"/>
          <w:szCs w:val="18"/>
          <w:lang w:val="es-ES_tradnl"/>
        </w:rPr>
      </w:pPr>
    </w:p>
    <w:p w:rsidR="00B43D13" w:rsidRPr="00C60FC3" w:rsidRDefault="00B43D13" w:rsidP="00BF2668">
      <w:pPr>
        <w:ind w:left="567" w:right="567"/>
        <w:rPr>
          <w:snapToGrid w:val="0"/>
          <w:sz w:val="18"/>
          <w:szCs w:val="18"/>
          <w:lang w:val="es-ES_tradnl"/>
        </w:rPr>
      </w:pPr>
      <w:r w:rsidRPr="00C60FC3">
        <w:rPr>
          <w:snapToGrid w:val="0"/>
          <w:sz w:val="18"/>
          <w:szCs w:val="18"/>
          <w:lang w:val="es-ES_tradnl"/>
        </w:rPr>
        <w:tab/>
        <w:t>b)</w:t>
      </w:r>
      <w:r w:rsidRPr="00C60FC3">
        <w:rPr>
          <w:snapToGrid w:val="0"/>
          <w:sz w:val="18"/>
          <w:szCs w:val="18"/>
          <w:lang w:val="es-ES_tradnl"/>
        </w:rPr>
        <w:tab/>
      </w:r>
      <w:r w:rsidR="00CC6381" w:rsidRPr="00CC6381">
        <w:rPr>
          <w:snapToGrid w:val="0"/>
          <w:sz w:val="18"/>
          <w:szCs w:val="18"/>
          <w:lang w:val="es-ES_tradnl"/>
        </w:rPr>
        <w:t>tomar una decisión positiva sobre la conformidad del proyecto de Ley con las disposiciones del Acta de 1991 del Convenio Internacional para la Protección de las Obtenciones Vegetales, que habilitará a Ghana, una vez que se introduzcan en el proyecto de Ley las modificaciones recomendadas en los párrafos 10, 18 y 24 del documento C/46/14, y en el apartado a) supra, sin ninguna modificación adicional, y se adopte el proyecto de Ley y la Ley entre en vigor, para depositar su instrumento de adhesión al Acta de 1991;  y</w:t>
      </w:r>
    </w:p>
    <w:p w:rsidR="00B43D13" w:rsidRPr="00C60FC3" w:rsidRDefault="00B43D13" w:rsidP="00BF2668">
      <w:pPr>
        <w:ind w:left="567" w:right="567"/>
        <w:rPr>
          <w:snapToGrid w:val="0"/>
          <w:sz w:val="18"/>
          <w:szCs w:val="18"/>
          <w:lang w:val="es-ES_tradnl"/>
        </w:rPr>
      </w:pPr>
    </w:p>
    <w:p w:rsidR="00B43D13" w:rsidRPr="00C60FC3" w:rsidRDefault="00B43D13" w:rsidP="00BF2668">
      <w:pPr>
        <w:ind w:left="567" w:right="567"/>
        <w:rPr>
          <w:snapToGrid w:val="0"/>
          <w:sz w:val="18"/>
          <w:szCs w:val="18"/>
          <w:lang w:val="es-ES_tradnl"/>
        </w:rPr>
      </w:pPr>
      <w:r w:rsidRPr="00C60FC3">
        <w:rPr>
          <w:snapToGrid w:val="0"/>
          <w:sz w:val="18"/>
          <w:szCs w:val="18"/>
          <w:lang w:val="es-ES_tradnl"/>
        </w:rPr>
        <w:tab/>
        <w:t>c)</w:t>
      </w:r>
      <w:r w:rsidRPr="00C60FC3">
        <w:rPr>
          <w:snapToGrid w:val="0"/>
          <w:sz w:val="18"/>
          <w:szCs w:val="18"/>
          <w:lang w:val="es-ES_tradnl"/>
        </w:rPr>
        <w:tab/>
      </w:r>
      <w:proofErr w:type="gramStart"/>
      <w:r w:rsidR="00CC6381" w:rsidRPr="00CC6381">
        <w:rPr>
          <w:snapToGrid w:val="0"/>
          <w:sz w:val="18"/>
          <w:szCs w:val="18"/>
          <w:lang w:val="es-ES_tradnl"/>
        </w:rPr>
        <w:t>autorizar</w:t>
      </w:r>
      <w:proofErr w:type="gramEnd"/>
      <w:r w:rsidR="00CC6381" w:rsidRPr="00CC6381">
        <w:rPr>
          <w:snapToGrid w:val="0"/>
          <w:sz w:val="18"/>
          <w:szCs w:val="18"/>
          <w:lang w:val="es-ES_tradnl"/>
        </w:rPr>
        <w:t xml:space="preserve"> al Secretario General a informar al Gobierno de Ghana sobre tal decisión.</w:t>
      </w:r>
      <w:r w:rsidRPr="00C60FC3">
        <w:rPr>
          <w:snapToGrid w:val="0"/>
          <w:sz w:val="18"/>
          <w:szCs w:val="18"/>
          <w:lang w:val="es-ES_tradnl"/>
        </w:rPr>
        <w:t>”</w:t>
      </w:r>
    </w:p>
    <w:p w:rsidR="00B43D13" w:rsidRPr="00C60FC3" w:rsidRDefault="00B43D13" w:rsidP="00BF2668">
      <w:pPr>
        <w:rPr>
          <w:lang w:val="es-ES_tradnl"/>
        </w:rPr>
      </w:pPr>
    </w:p>
    <w:p w:rsidR="00B43D13" w:rsidRPr="00C60FC3" w:rsidRDefault="00B43D13" w:rsidP="00BF2668">
      <w:pPr>
        <w:rPr>
          <w:rFonts w:cs="Arial"/>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r>
      <w:r w:rsidRPr="00C60FC3">
        <w:rPr>
          <w:rFonts w:cs="Arial"/>
          <w:lang w:val="es-ES_tradnl"/>
        </w:rPr>
        <w:t xml:space="preserve">Mediante una carta fechada el 1 de octubre de 2012, la República Unida de Tanzanía solicitó </w:t>
      </w:r>
      <w:r w:rsidR="009B050B">
        <w:rPr>
          <w:rFonts w:cs="Arial"/>
          <w:lang w:val="es-ES_tradnl"/>
        </w:rPr>
        <w:t>el examen de la conformidad d</w:t>
      </w:r>
      <w:r w:rsidRPr="00C60FC3">
        <w:rPr>
          <w:rFonts w:cs="Arial"/>
          <w:lang w:val="es-ES_tradnl"/>
        </w:rPr>
        <w:t xml:space="preserve">el proyecto de Ley </w:t>
      </w:r>
      <w:r w:rsidR="009B050B">
        <w:rPr>
          <w:rFonts w:cs="Arial"/>
          <w:lang w:val="es-ES_tradnl"/>
        </w:rPr>
        <w:t xml:space="preserve">sobre los </w:t>
      </w:r>
      <w:r w:rsidRPr="00C60FC3">
        <w:rPr>
          <w:rFonts w:cs="Arial"/>
          <w:lang w:val="es-ES_tradnl"/>
        </w:rPr>
        <w:t xml:space="preserve">Derechos de Obtentor </w:t>
      </w:r>
      <w:r w:rsidR="009B050B">
        <w:rPr>
          <w:rFonts w:cs="Arial"/>
          <w:lang w:val="es-ES_tradnl"/>
        </w:rPr>
        <w:t>para</w:t>
      </w:r>
      <w:r w:rsidRPr="00C60FC3">
        <w:rPr>
          <w:rFonts w:cs="Arial"/>
          <w:lang w:val="es-ES_tradnl"/>
        </w:rPr>
        <w:t xml:space="preserve"> </w:t>
      </w:r>
      <w:r w:rsidR="009B050B">
        <w:rPr>
          <w:rFonts w:cs="Arial"/>
          <w:lang w:val="es-ES_tradnl"/>
        </w:rPr>
        <w:t xml:space="preserve">Tanzanía </w:t>
      </w:r>
      <w:r w:rsidRPr="00C60FC3">
        <w:rPr>
          <w:rFonts w:cs="Arial"/>
          <w:lang w:val="es-ES_tradnl"/>
        </w:rPr>
        <w:t>continental con el Acta de 1991 del Convenio de la UPOV.</w:t>
      </w:r>
    </w:p>
    <w:p w:rsidR="00B43D13" w:rsidRPr="00C60FC3" w:rsidRDefault="00B43D13" w:rsidP="00BF2668">
      <w:pPr>
        <w:rPr>
          <w:rFonts w:cs="Arial"/>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En su cuadragésima sexta sesión ordinaria, celebrada en Ginebra el 1 de noviembre de 2012, el Consejo examinó la conformidad del proyecto de </w:t>
      </w:r>
      <w:r w:rsidR="009B050B" w:rsidRPr="00C60FC3">
        <w:rPr>
          <w:rFonts w:cs="Arial"/>
          <w:lang w:val="es-ES_tradnl"/>
        </w:rPr>
        <w:t xml:space="preserve">Ley </w:t>
      </w:r>
      <w:r w:rsidR="009B050B">
        <w:rPr>
          <w:rFonts w:cs="Arial"/>
          <w:lang w:val="es-ES_tradnl"/>
        </w:rPr>
        <w:t xml:space="preserve">sobre los </w:t>
      </w:r>
      <w:r w:rsidR="009B050B" w:rsidRPr="00C60FC3">
        <w:rPr>
          <w:rFonts w:cs="Arial"/>
          <w:lang w:val="es-ES_tradnl"/>
        </w:rPr>
        <w:t xml:space="preserve">Derechos de Obtentor </w:t>
      </w:r>
      <w:r w:rsidR="009B050B">
        <w:rPr>
          <w:rFonts w:cs="Arial"/>
          <w:lang w:val="es-ES_tradnl"/>
        </w:rPr>
        <w:t>para</w:t>
      </w:r>
      <w:r w:rsidR="009B050B" w:rsidRPr="00C60FC3">
        <w:rPr>
          <w:rFonts w:cs="Arial"/>
          <w:lang w:val="es-ES_tradnl"/>
        </w:rPr>
        <w:t xml:space="preserve"> </w:t>
      </w:r>
      <w:r w:rsidR="009B050B">
        <w:rPr>
          <w:rFonts w:cs="Arial"/>
          <w:lang w:val="es-ES_tradnl"/>
        </w:rPr>
        <w:t>Tanzanía</w:t>
      </w:r>
      <w:r w:rsidR="009B050B" w:rsidRPr="00C60FC3">
        <w:rPr>
          <w:lang w:val="es-ES_tradnl"/>
        </w:rPr>
        <w:t xml:space="preserve"> </w:t>
      </w:r>
      <w:r w:rsidRPr="00C60FC3">
        <w:rPr>
          <w:lang w:val="es-ES_tradnl"/>
        </w:rPr>
        <w:t>continental con el Acta de 1991 del Convenio de la UPOV y decidió lo siguiente:</w:t>
      </w:r>
    </w:p>
    <w:p w:rsidR="00B43D13" w:rsidRPr="00C60FC3" w:rsidRDefault="00B43D13" w:rsidP="00BF2668">
      <w:pPr>
        <w:rPr>
          <w:lang w:val="es-ES_tradnl"/>
        </w:rPr>
      </w:pPr>
    </w:p>
    <w:p w:rsidR="009B050B" w:rsidRPr="009B050B" w:rsidRDefault="009B050B" w:rsidP="009B050B">
      <w:pPr>
        <w:ind w:left="567" w:rightChars="283" w:right="566"/>
        <w:rPr>
          <w:sz w:val="18"/>
          <w:szCs w:val="18"/>
          <w:lang w:val="es-ES_tradnl"/>
        </w:rPr>
      </w:pPr>
      <w:r w:rsidRPr="009B050B">
        <w:rPr>
          <w:sz w:val="18"/>
          <w:szCs w:val="18"/>
          <w:lang w:val="es-ES_tradnl"/>
        </w:rPr>
        <w:tab/>
      </w:r>
      <w:r>
        <w:rPr>
          <w:sz w:val="18"/>
          <w:szCs w:val="18"/>
          <w:lang w:val="es-ES_tradnl"/>
        </w:rPr>
        <w:t>“</w:t>
      </w:r>
      <w:r w:rsidRPr="009B050B">
        <w:rPr>
          <w:sz w:val="18"/>
          <w:szCs w:val="18"/>
          <w:lang w:val="es-ES_tradnl"/>
        </w:rPr>
        <w:t>a)</w:t>
      </w:r>
      <w:r w:rsidRPr="009B050B">
        <w:rPr>
          <w:sz w:val="18"/>
          <w:szCs w:val="18"/>
          <w:lang w:val="es-ES_tradnl"/>
        </w:rPr>
        <w:tab/>
        <w:t>tomar nota del análisis expuesto en el documento C/46/15 y que el proyecto de Ley sobre los Derechos de Obtentor para Tanzanía continental (proyecto de Ley) incorporará en el artículo 2 el siguiente texto</w:t>
      </w:r>
      <w:proofErr w:type="gramStart"/>
      <w:r w:rsidRPr="009B050B">
        <w:rPr>
          <w:sz w:val="18"/>
          <w:szCs w:val="18"/>
          <w:lang w:val="es-ES_tradnl"/>
        </w:rPr>
        <w:t>:  “</w:t>
      </w:r>
      <w:proofErr w:type="gramEnd"/>
      <w:r w:rsidRPr="009B050B">
        <w:rPr>
          <w:sz w:val="18"/>
          <w:szCs w:val="18"/>
          <w:lang w:val="es-ES_tradnl"/>
        </w:rPr>
        <w:t>se entenderá por ‘Ministerio’ el ministerio responsable de la agricultura”;</w:t>
      </w:r>
    </w:p>
    <w:p w:rsidR="009B050B" w:rsidRPr="009B050B" w:rsidRDefault="009B050B" w:rsidP="009B050B">
      <w:pPr>
        <w:ind w:left="567" w:rightChars="283" w:right="566"/>
        <w:rPr>
          <w:sz w:val="18"/>
          <w:szCs w:val="18"/>
          <w:lang w:val="es-ES_tradnl"/>
        </w:rPr>
      </w:pPr>
    </w:p>
    <w:p w:rsidR="009B050B" w:rsidRPr="009B050B" w:rsidRDefault="009B050B" w:rsidP="009B050B">
      <w:pPr>
        <w:ind w:left="567" w:rightChars="283" w:right="566"/>
        <w:rPr>
          <w:sz w:val="18"/>
          <w:szCs w:val="18"/>
          <w:lang w:val="es-ES_tradnl"/>
        </w:rPr>
      </w:pPr>
      <w:r w:rsidRPr="009B050B">
        <w:rPr>
          <w:sz w:val="18"/>
          <w:szCs w:val="18"/>
          <w:lang w:val="es-ES_tradnl"/>
        </w:rPr>
        <w:tab/>
        <w:t>b)</w:t>
      </w:r>
      <w:r w:rsidRPr="009B050B">
        <w:rPr>
          <w:sz w:val="18"/>
          <w:szCs w:val="18"/>
          <w:lang w:val="es-ES_tradnl"/>
        </w:rPr>
        <w:tab/>
      </w:r>
      <w:r w:rsidRPr="009B050B">
        <w:rPr>
          <w:spacing w:val="-2"/>
          <w:sz w:val="18"/>
          <w:szCs w:val="18"/>
          <w:lang w:val="es-ES_tradnl"/>
        </w:rPr>
        <w:t>con sujeción a la incorporación en el proyecto de Ley (véase el Anexo II del documento C/46/15)</w:t>
      </w:r>
      <w:r w:rsidRPr="009B050B">
        <w:rPr>
          <w:sz w:val="18"/>
          <w:szCs w:val="18"/>
          <w:lang w:val="es-ES_tradnl"/>
        </w:rPr>
        <w:t xml:space="preserve"> de las modificaciones propuestas por el Ministro (véase el Anexo III del documento C/46/15), recogidas en los párrafos 14, 16, 18, 24, 26, 28, 33, 36, 40, 42 y 43 del documento C/46/15, </w:t>
      </w:r>
      <w:r w:rsidRPr="009B050B">
        <w:rPr>
          <w:rFonts w:cs="Arial"/>
          <w:sz w:val="18"/>
          <w:szCs w:val="18"/>
          <w:lang w:val="es-ES_tradnl"/>
        </w:rPr>
        <w:t xml:space="preserve">las modificaciones recomendadas en los párrafos 22 y 34 del documento C/46/15, </w:t>
      </w:r>
      <w:r w:rsidRPr="009B050B">
        <w:rPr>
          <w:snapToGrid w:val="0"/>
          <w:sz w:val="18"/>
          <w:szCs w:val="18"/>
          <w:lang w:val="es-ES_tradnl"/>
        </w:rPr>
        <w:t xml:space="preserve">y en el apartado a) </w:t>
      </w:r>
      <w:r w:rsidRPr="009B050B">
        <w:rPr>
          <w:i/>
          <w:iCs/>
          <w:snapToGrid w:val="0"/>
          <w:sz w:val="18"/>
          <w:szCs w:val="18"/>
          <w:lang w:val="es-ES_tradnl"/>
        </w:rPr>
        <w:t>supra</w:t>
      </w:r>
      <w:r w:rsidRPr="009B050B">
        <w:rPr>
          <w:rFonts w:cs="Arial"/>
          <w:sz w:val="18"/>
          <w:szCs w:val="18"/>
          <w:lang w:val="es-ES_tradnl"/>
        </w:rPr>
        <w:t>, y la introducción de las siguientes propuestas convenidas con la Delegación de la República Unida de Tanzanía en el artículo 14 y en el artículo 22.1) y 4) del proyecto de Ley:</w:t>
      </w:r>
    </w:p>
    <w:p w:rsidR="009B050B" w:rsidRPr="009B050B" w:rsidRDefault="009B050B" w:rsidP="009B050B">
      <w:pPr>
        <w:ind w:left="567" w:rightChars="283" w:right="566"/>
        <w:rPr>
          <w:sz w:val="18"/>
          <w:szCs w:val="18"/>
          <w:lang w:val="es-ES_tradnl"/>
        </w:rPr>
      </w:pPr>
    </w:p>
    <w:p w:rsidR="009B050B" w:rsidRPr="009B050B" w:rsidRDefault="009B050B" w:rsidP="009B050B">
      <w:pPr>
        <w:ind w:left="1134" w:rightChars="567" w:right="1134"/>
        <w:rPr>
          <w:rFonts w:cs="Arial"/>
          <w:sz w:val="16"/>
          <w:szCs w:val="16"/>
          <w:lang w:val="es-ES_tradnl"/>
        </w:rPr>
      </w:pPr>
      <w:r w:rsidRPr="009B050B">
        <w:rPr>
          <w:rFonts w:cs="Arial"/>
          <w:sz w:val="16"/>
          <w:szCs w:val="16"/>
          <w:lang w:val="es-ES_tradnl"/>
        </w:rPr>
        <w:t>‘14.1)  La variedad será considerada nueva si, en la fecha de presentación de la solicitud de derecho de obtentor, el material de reproducción o de multiplicación vegetativa o un producto de cosecha de la variedad no ha sido vendido o entregado a terceros de otra manera, por el obtentor o con su consentimiento, a los fines de la explotación de la variedad</w:t>
      </w:r>
    </w:p>
    <w:p w:rsidR="009B050B" w:rsidRPr="009B050B" w:rsidRDefault="009B050B" w:rsidP="009B050B">
      <w:pPr>
        <w:ind w:left="1134" w:rightChars="567" w:right="1134"/>
        <w:rPr>
          <w:rFonts w:cs="Arial"/>
          <w:sz w:val="16"/>
          <w:szCs w:val="16"/>
          <w:lang w:val="es-ES_tradnl"/>
        </w:rPr>
      </w:pPr>
    </w:p>
    <w:p w:rsidR="009B050B" w:rsidRPr="009B050B" w:rsidRDefault="009B050B" w:rsidP="009B050B">
      <w:pPr>
        <w:ind w:left="1134" w:rightChars="567" w:right="1134"/>
        <w:rPr>
          <w:rFonts w:cs="Arial"/>
          <w:sz w:val="16"/>
          <w:szCs w:val="16"/>
          <w:lang w:val="es-ES_tradnl"/>
        </w:rPr>
      </w:pPr>
      <w:r w:rsidRPr="009B050B">
        <w:rPr>
          <w:rFonts w:cs="Arial"/>
          <w:sz w:val="16"/>
          <w:szCs w:val="16"/>
          <w:lang w:val="es-ES_tradnl"/>
        </w:rPr>
        <w:t>a)</w:t>
      </w:r>
      <w:r w:rsidRPr="009B050B">
        <w:rPr>
          <w:rFonts w:cs="Arial"/>
          <w:sz w:val="16"/>
          <w:szCs w:val="16"/>
          <w:lang w:val="es-ES_tradnl"/>
        </w:rPr>
        <w:tab/>
        <w:t>en el territorio de la República Unida de Tanzanía, más de un año antes de la fecha de presentación de la solicitud;</w:t>
      </w:r>
    </w:p>
    <w:p w:rsidR="009B050B" w:rsidRPr="009B050B" w:rsidRDefault="009B050B" w:rsidP="009B050B">
      <w:pPr>
        <w:ind w:left="1134" w:rightChars="567" w:right="1134"/>
        <w:rPr>
          <w:rFonts w:cs="Arial"/>
          <w:sz w:val="16"/>
          <w:szCs w:val="16"/>
          <w:lang w:val="es-ES_tradnl"/>
        </w:rPr>
      </w:pPr>
    </w:p>
    <w:p w:rsidR="009B050B" w:rsidRPr="009B050B" w:rsidRDefault="009B050B" w:rsidP="009B050B">
      <w:pPr>
        <w:ind w:left="1134" w:rightChars="567" w:right="1134"/>
        <w:rPr>
          <w:rFonts w:cs="Arial"/>
          <w:sz w:val="16"/>
          <w:szCs w:val="16"/>
          <w:lang w:val="es-ES_tradnl"/>
        </w:rPr>
      </w:pPr>
      <w:r w:rsidRPr="009B050B">
        <w:rPr>
          <w:rFonts w:cs="Arial"/>
          <w:sz w:val="16"/>
          <w:szCs w:val="16"/>
          <w:lang w:val="es-ES_tradnl"/>
        </w:rPr>
        <w:t>b)</w:t>
      </w:r>
      <w:r w:rsidRPr="009B050B">
        <w:rPr>
          <w:rFonts w:cs="Arial"/>
          <w:sz w:val="16"/>
          <w:szCs w:val="16"/>
          <w:lang w:val="es-ES_tradnl"/>
        </w:rPr>
        <w:tab/>
        <w:t xml:space="preserve">en un territorio distinto al de la República Unida de Tanzanía </w:t>
      </w:r>
      <w:r w:rsidRPr="009B050B">
        <w:rPr>
          <w:rFonts w:cs="Arial"/>
          <w:strike/>
          <w:sz w:val="16"/>
          <w:szCs w:val="16"/>
          <w:lang w:val="es-ES_tradnl"/>
        </w:rPr>
        <w:t>en el cual se haya presentado la solicitud</w:t>
      </w:r>
      <w:r w:rsidRPr="009B050B">
        <w:rPr>
          <w:rFonts w:cs="Arial"/>
          <w:sz w:val="16"/>
          <w:szCs w:val="16"/>
          <w:lang w:val="es-ES_tradnl"/>
        </w:rPr>
        <w:t>;</w:t>
      </w:r>
    </w:p>
    <w:p w:rsidR="009B050B" w:rsidRPr="009B050B" w:rsidRDefault="009B050B" w:rsidP="009B050B">
      <w:pPr>
        <w:ind w:left="1134" w:rightChars="567" w:right="1134" w:firstLine="567"/>
        <w:rPr>
          <w:rFonts w:cs="Arial"/>
          <w:sz w:val="16"/>
          <w:szCs w:val="16"/>
          <w:lang w:val="es-ES_tradnl"/>
        </w:rPr>
      </w:pPr>
    </w:p>
    <w:p w:rsidR="009B050B" w:rsidRPr="009B050B" w:rsidRDefault="009B050B" w:rsidP="009B050B">
      <w:pPr>
        <w:ind w:left="1134" w:rightChars="567" w:right="1134" w:firstLine="567"/>
        <w:rPr>
          <w:rFonts w:cs="Arial"/>
          <w:sz w:val="16"/>
          <w:szCs w:val="16"/>
          <w:lang w:val="es-ES_tradnl"/>
        </w:rPr>
      </w:pPr>
      <w:r w:rsidRPr="009B050B">
        <w:rPr>
          <w:rFonts w:cs="Arial"/>
          <w:sz w:val="16"/>
          <w:szCs w:val="16"/>
          <w:lang w:val="es-ES_tradnl"/>
        </w:rPr>
        <w:t>i)</w:t>
      </w:r>
      <w:r w:rsidRPr="009B050B">
        <w:rPr>
          <w:rFonts w:cs="Arial"/>
          <w:sz w:val="16"/>
          <w:szCs w:val="16"/>
          <w:lang w:val="es-ES_tradnl"/>
        </w:rPr>
        <w:tab/>
        <w:t>más de cuatro años;  o</w:t>
      </w:r>
    </w:p>
    <w:p w:rsidR="009B050B" w:rsidRPr="009B050B" w:rsidRDefault="009B050B" w:rsidP="009B050B">
      <w:pPr>
        <w:ind w:left="1134" w:rightChars="567" w:right="1134" w:firstLine="567"/>
        <w:rPr>
          <w:rFonts w:cs="Arial"/>
          <w:sz w:val="16"/>
          <w:szCs w:val="16"/>
          <w:lang w:val="es-ES_tradnl"/>
        </w:rPr>
      </w:pPr>
      <w:r w:rsidRPr="009B050B">
        <w:rPr>
          <w:rFonts w:cs="Arial"/>
          <w:sz w:val="16"/>
          <w:szCs w:val="16"/>
          <w:lang w:val="es-ES_tradnl"/>
        </w:rPr>
        <w:t>ii)</w:t>
      </w:r>
      <w:r w:rsidRPr="009B050B">
        <w:rPr>
          <w:rFonts w:cs="Arial"/>
          <w:sz w:val="16"/>
          <w:szCs w:val="16"/>
          <w:lang w:val="es-ES_tradnl"/>
        </w:rPr>
        <w:tab/>
      </w:r>
      <w:proofErr w:type="gramStart"/>
      <w:r w:rsidRPr="009B050B">
        <w:rPr>
          <w:rFonts w:cs="Arial"/>
          <w:sz w:val="16"/>
          <w:szCs w:val="16"/>
          <w:lang w:val="es-ES_tradnl"/>
        </w:rPr>
        <w:t>en</w:t>
      </w:r>
      <w:proofErr w:type="gramEnd"/>
      <w:r w:rsidRPr="009B050B">
        <w:rPr>
          <w:rFonts w:cs="Arial"/>
          <w:sz w:val="16"/>
          <w:szCs w:val="16"/>
          <w:lang w:val="es-ES_tradnl"/>
        </w:rPr>
        <w:t xml:space="preserve"> el caso de árboles y vides, más de seis años antes de esa fecha.’</w:t>
      </w:r>
    </w:p>
    <w:p w:rsidR="009B050B" w:rsidRPr="009B050B" w:rsidRDefault="009B050B" w:rsidP="009B050B">
      <w:pPr>
        <w:ind w:left="1134" w:rightChars="567" w:right="1134"/>
        <w:rPr>
          <w:rFonts w:cs="Arial"/>
          <w:sz w:val="16"/>
          <w:szCs w:val="16"/>
          <w:lang w:val="es-ES_tradnl"/>
        </w:rPr>
      </w:pPr>
    </w:p>
    <w:p w:rsidR="009B050B" w:rsidRPr="009B050B" w:rsidRDefault="009B050B" w:rsidP="009B050B">
      <w:pPr>
        <w:ind w:left="1117" w:rightChars="567" w:right="1134"/>
        <w:rPr>
          <w:rFonts w:cs="Arial"/>
          <w:sz w:val="16"/>
          <w:szCs w:val="16"/>
          <w:lang w:val="es-ES_tradnl"/>
        </w:rPr>
      </w:pPr>
      <w:r w:rsidRPr="009B050B">
        <w:rPr>
          <w:rFonts w:cs="Arial"/>
          <w:sz w:val="16"/>
          <w:szCs w:val="16"/>
          <w:lang w:val="es-ES_tradnl"/>
        </w:rPr>
        <w:t>‘22.1)</w:t>
      </w:r>
      <w:r w:rsidRPr="009B050B">
        <w:rPr>
          <w:rFonts w:cs="Arial"/>
          <w:sz w:val="16"/>
          <w:szCs w:val="16"/>
          <w:lang w:val="es-ES_tradnl"/>
        </w:rPr>
        <w:tab/>
        <w:t xml:space="preserve">El obtentor que haya presentado en debida forma una solicitud de protección de una variedad en uno de los miembros de una organización internacional que se ocupe de las cuestiones relativas a los derechos de obtentor y en el cual sea parte Tanzanía gozará de un derecho de prioridad durante un plazo máximo de 12 meses.  </w:t>
      </w:r>
      <w:r w:rsidRPr="009B050B">
        <w:rPr>
          <w:rFonts w:cs="Arial"/>
          <w:sz w:val="16"/>
          <w:szCs w:val="16"/>
          <w:u w:val="single"/>
          <w:lang w:val="es-ES_tradnl"/>
        </w:rPr>
        <w:t>Este plazo</w:t>
      </w:r>
      <w:r w:rsidRPr="009B050B">
        <w:rPr>
          <w:rFonts w:cs="Arial"/>
          <w:sz w:val="16"/>
          <w:szCs w:val="16"/>
          <w:lang w:val="es-ES_tradnl"/>
        </w:rPr>
        <w:t xml:space="preserve"> se contará a partir de la fecha de presentación de la primera solicitud.  </w:t>
      </w:r>
      <w:r w:rsidRPr="009B050B">
        <w:rPr>
          <w:rFonts w:cs="Arial"/>
          <w:strike/>
          <w:sz w:val="16"/>
          <w:szCs w:val="16"/>
          <w:lang w:val="es-ES_tradnl"/>
        </w:rPr>
        <w:t>La fecha</w:t>
      </w:r>
      <w:r w:rsidRPr="009B050B">
        <w:rPr>
          <w:rFonts w:cs="Arial"/>
          <w:sz w:val="16"/>
          <w:szCs w:val="16"/>
          <w:u w:val="single"/>
          <w:lang w:val="es-ES_tradnl"/>
        </w:rPr>
        <w:t>El día</w:t>
      </w:r>
      <w:r w:rsidRPr="009B050B">
        <w:rPr>
          <w:rFonts w:cs="Arial"/>
          <w:sz w:val="16"/>
          <w:szCs w:val="16"/>
          <w:lang w:val="es-ES_tradnl"/>
        </w:rPr>
        <w:t xml:space="preserve"> de la presentación no estará comprendid</w:t>
      </w:r>
      <w:r w:rsidRPr="009B050B">
        <w:rPr>
          <w:rFonts w:cs="Arial"/>
          <w:strike/>
          <w:sz w:val="16"/>
          <w:szCs w:val="16"/>
          <w:lang w:val="es-ES_tradnl"/>
        </w:rPr>
        <w:t>a</w:t>
      </w:r>
      <w:r w:rsidRPr="009B050B">
        <w:rPr>
          <w:rFonts w:cs="Arial"/>
          <w:sz w:val="16"/>
          <w:szCs w:val="16"/>
          <w:lang w:val="es-ES_tradnl"/>
        </w:rPr>
        <w:t xml:space="preserve">o en </w:t>
      </w:r>
      <w:r w:rsidRPr="009B050B">
        <w:rPr>
          <w:rFonts w:cs="Arial"/>
          <w:strike/>
          <w:sz w:val="16"/>
          <w:szCs w:val="16"/>
          <w:lang w:val="es-ES_tradnl"/>
        </w:rPr>
        <w:t>dicha solicitud</w:t>
      </w:r>
      <w:r w:rsidRPr="009B050B">
        <w:rPr>
          <w:rFonts w:cs="Arial"/>
          <w:sz w:val="16"/>
          <w:szCs w:val="16"/>
          <w:u w:val="single"/>
          <w:lang w:val="es-ES_tradnl"/>
        </w:rPr>
        <w:t>dicho plazo</w:t>
      </w:r>
      <w:r w:rsidRPr="009B050B">
        <w:rPr>
          <w:rFonts w:cs="Arial"/>
          <w:sz w:val="16"/>
          <w:szCs w:val="16"/>
          <w:lang w:val="es-ES_tradnl"/>
        </w:rPr>
        <w:t>.</w:t>
      </w:r>
    </w:p>
    <w:p w:rsidR="009B050B" w:rsidRPr="009B050B" w:rsidRDefault="009B050B" w:rsidP="009B050B">
      <w:pPr>
        <w:ind w:left="1117" w:rightChars="567" w:right="1134"/>
        <w:rPr>
          <w:rFonts w:cs="Arial"/>
          <w:sz w:val="16"/>
          <w:szCs w:val="16"/>
          <w:lang w:val="es-ES_tradnl"/>
        </w:rPr>
      </w:pPr>
    </w:p>
    <w:p w:rsidR="009B050B" w:rsidRPr="009B050B" w:rsidRDefault="009B050B" w:rsidP="009B050B">
      <w:pPr>
        <w:ind w:left="1117" w:rightChars="567" w:right="1134"/>
        <w:rPr>
          <w:rFonts w:cs="Arial"/>
          <w:sz w:val="16"/>
          <w:szCs w:val="16"/>
          <w:lang w:val="es-ES_tradnl"/>
        </w:rPr>
      </w:pPr>
      <w:r w:rsidRPr="009B050B">
        <w:rPr>
          <w:rFonts w:cs="Arial"/>
          <w:sz w:val="16"/>
          <w:szCs w:val="16"/>
          <w:lang w:val="es-ES_tradnl"/>
        </w:rPr>
        <w:t>[…]</w:t>
      </w:r>
    </w:p>
    <w:p w:rsidR="009B050B" w:rsidRPr="009B050B" w:rsidRDefault="009B050B" w:rsidP="009B050B">
      <w:pPr>
        <w:ind w:left="1134" w:rightChars="567" w:right="1134"/>
        <w:rPr>
          <w:rFonts w:cs="Arial"/>
          <w:sz w:val="16"/>
          <w:szCs w:val="16"/>
          <w:lang w:val="es-ES_tradnl"/>
        </w:rPr>
      </w:pPr>
    </w:p>
    <w:p w:rsidR="009B050B" w:rsidRPr="009B050B" w:rsidRDefault="009B050B" w:rsidP="009B050B">
      <w:pPr>
        <w:ind w:left="1134" w:rightChars="567" w:right="1134"/>
        <w:rPr>
          <w:rFonts w:cs="Arial"/>
          <w:sz w:val="16"/>
          <w:szCs w:val="16"/>
          <w:lang w:val="es-ES_tradnl"/>
        </w:rPr>
      </w:pPr>
      <w:r w:rsidRPr="009B050B">
        <w:rPr>
          <w:rFonts w:cs="Arial"/>
          <w:sz w:val="16"/>
          <w:szCs w:val="16"/>
          <w:lang w:val="es-ES_tradnl"/>
        </w:rPr>
        <w:t>4)</w:t>
      </w:r>
      <w:r w:rsidRPr="009B050B">
        <w:rPr>
          <w:rFonts w:cs="Arial"/>
          <w:sz w:val="16"/>
          <w:szCs w:val="16"/>
          <w:lang w:val="es-ES_tradnl"/>
        </w:rPr>
        <w:tab/>
        <w:t>El solicitante se beneficiará de un plazo de dos años tras la expiración del plazo de prioridad</w:t>
      </w:r>
      <w:r w:rsidRPr="009B050B">
        <w:rPr>
          <w:rFonts w:cs="Arial"/>
          <w:sz w:val="16"/>
          <w:szCs w:val="16"/>
          <w:u w:val="single"/>
          <w:lang w:val="es-ES_tradnl"/>
        </w:rPr>
        <w:t>, o de un plazo de seis meses</w:t>
      </w:r>
      <w:r w:rsidRPr="009B050B">
        <w:rPr>
          <w:rFonts w:cs="Arial"/>
          <w:sz w:val="16"/>
          <w:szCs w:val="16"/>
          <w:lang w:val="es-ES_tradnl"/>
        </w:rPr>
        <w:t xml:space="preserve"> cuando la primera solicitud sea rechazada o retirada, para presentar al Registro cualquier información, documento o material exigidos por esta Ley para el examen previsto.’</w:t>
      </w:r>
    </w:p>
    <w:p w:rsidR="009B050B" w:rsidRPr="009B050B" w:rsidRDefault="009B050B" w:rsidP="009B050B">
      <w:pPr>
        <w:ind w:left="567" w:rightChars="283" w:right="566"/>
        <w:rPr>
          <w:sz w:val="18"/>
          <w:szCs w:val="18"/>
          <w:lang w:val="es-ES_tradnl"/>
        </w:rPr>
      </w:pPr>
    </w:p>
    <w:p w:rsidR="009B050B" w:rsidRPr="009B050B" w:rsidRDefault="009B050B" w:rsidP="009B050B">
      <w:pPr>
        <w:ind w:left="567" w:rightChars="283" w:right="566"/>
        <w:rPr>
          <w:sz w:val="18"/>
          <w:szCs w:val="18"/>
          <w:lang w:val="es-ES_tradnl"/>
        </w:rPr>
      </w:pPr>
      <w:proofErr w:type="gramStart"/>
      <w:r w:rsidRPr="009B050B">
        <w:rPr>
          <w:sz w:val="18"/>
          <w:szCs w:val="18"/>
          <w:lang w:val="es-ES_tradnl"/>
        </w:rPr>
        <w:t>y</w:t>
      </w:r>
      <w:proofErr w:type="gramEnd"/>
      <w:r w:rsidRPr="009B050B">
        <w:rPr>
          <w:sz w:val="18"/>
          <w:szCs w:val="18"/>
          <w:lang w:val="es-ES_tradnl"/>
        </w:rPr>
        <w:t xml:space="preserve"> sin ninguna otra modificación adicional, tomar una decisión positiva sobre la conformidad del proyecto de Ley sobre los Derechos de Obtentor para Tanzanía continental con las disposiciones del Acta de 1991 del Convenio Internacional para la Protección de las Obtenciones Vegetales;</w:t>
      </w:r>
    </w:p>
    <w:p w:rsidR="009B050B" w:rsidRPr="009B050B" w:rsidRDefault="009B050B" w:rsidP="009B050B">
      <w:pPr>
        <w:ind w:left="567" w:rightChars="283" w:right="566"/>
        <w:rPr>
          <w:sz w:val="18"/>
          <w:szCs w:val="18"/>
          <w:lang w:val="es-ES_tradnl"/>
        </w:rPr>
      </w:pPr>
    </w:p>
    <w:p w:rsidR="009B050B" w:rsidRPr="009B050B" w:rsidRDefault="009B050B" w:rsidP="009B050B">
      <w:pPr>
        <w:ind w:left="567" w:rightChars="283" w:right="566" w:firstLine="567"/>
        <w:rPr>
          <w:sz w:val="18"/>
          <w:szCs w:val="18"/>
          <w:lang w:val="es-ES_tradnl"/>
        </w:rPr>
      </w:pPr>
      <w:r w:rsidRPr="009B050B">
        <w:rPr>
          <w:sz w:val="18"/>
          <w:szCs w:val="18"/>
          <w:lang w:val="es-ES_tradnl"/>
        </w:rPr>
        <w:t>c)</w:t>
      </w:r>
      <w:r w:rsidRPr="009B050B">
        <w:rPr>
          <w:sz w:val="18"/>
          <w:szCs w:val="18"/>
          <w:lang w:val="es-ES_tradnl"/>
        </w:rPr>
        <w:tab/>
        <w:t>tomar nota de que la adopción del proyecto de Ley para Tanzanía continental y del proyecto de Ley para Zanzíbar tiene el objeto de que los derechos de obtentor abarquen todo el territorio de la República Unida de Tanzanía;</w:t>
      </w:r>
    </w:p>
    <w:p w:rsidR="009B050B" w:rsidRPr="009B050B" w:rsidRDefault="009B050B" w:rsidP="009B050B">
      <w:pPr>
        <w:ind w:left="567" w:rightChars="283" w:right="566"/>
        <w:rPr>
          <w:sz w:val="18"/>
          <w:szCs w:val="18"/>
          <w:lang w:val="es-ES_tradnl"/>
        </w:rPr>
      </w:pPr>
    </w:p>
    <w:p w:rsidR="009B050B" w:rsidRPr="009B050B" w:rsidRDefault="009B050B" w:rsidP="009B050B">
      <w:pPr>
        <w:ind w:left="567" w:rightChars="283" w:right="566" w:firstLine="567"/>
        <w:rPr>
          <w:sz w:val="18"/>
          <w:szCs w:val="18"/>
          <w:lang w:val="es-ES_tradnl"/>
        </w:rPr>
      </w:pPr>
      <w:r w:rsidRPr="009B050B">
        <w:rPr>
          <w:sz w:val="18"/>
          <w:szCs w:val="18"/>
          <w:lang w:val="es-ES_tradnl"/>
        </w:rPr>
        <w:t>d)</w:t>
      </w:r>
      <w:r w:rsidRPr="009B050B">
        <w:rPr>
          <w:sz w:val="18"/>
          <w:szCs w:val="18"/>
          <w:lang w:val="es-ES_tradnl"/>
        </w:rPr>
        <w:tab/>
        <w:t>tomar nota de que el Gobierno de la República Unida de Tanzanía tiene previsto presentar, posteriormente, el proyecto de Ley o la Ley aprobada para Zanzíbar a los fines de su examen por el Consejo;</w:t>
      </w:r>
    </w:p>
    <w:p w:rsidR="009B050B" w:rsidRPr="009B050B" w:rsidRDefault="009B050B" w:rsidP="009B050B">
      <w:pPr>
        <w:ind w:left="567" w:rightChars="283" w:right="566"/>
        <w:rPr>
          <w:sz w:val="18"/>
          <w:szCs w:val="18"/>
          <w:lang w:val="es-ES_tradnl"/>
        </w:rPr>
      </w:pPr>
    </w:p>
    <w:p w:rsidR="009B050B" w:rsidRPr="009B050B" w:rsidRDefault="009B050B" w:rsidP="009B050B">
      <w:pPr>
        <w:ind w:left="567" w:rightChars="283" w:right="566" w:firstLine="567"/>
        <w:rPr>
          <w:sz w:val="18"/>
          <w:szCs w:val="18"/>
          <w:lang w:val="es-ES_tradnl"/>
        </w:rPr>
      </w:pPr>
      <w:r w:rsidRPr="009B050B">
        <w:rPr>
          <w:sz w:val="18"/>
          <w:szCs w:val="18"/>
          <w:lang w:val="es-ES_tradnl"/>
        </w:rPr>
        <w:t>e)</w:t>
      </w:r>
      <w:r w:rsidRPr="009B050B">
        <w:rPr>
          <w:sz w:val="18"/>
          <w:szCs w:val="18"/>
          <w:lang w:val="es-ES_tradnl"/>
        </w:rPr>
        <w:tab/>
        <w:t xml:space="preserve">informar al Gobierno de la República Unida de Tanzanía que podrá depositar su instrumento de adhesión tras las decisiones positivas del Consejo sobre las legislaciones para Tanzanía continental y para Zanzíbar;  y </w:t>
      </w:r>
    </w:p>
    <w:p w:rsidR="009B050B" w:rsidRPr="009B050B" w:rsidRDefault="009B050B" w:rsidP="009B050B">
      <w:pPr>
        <w:ind w:left="567" w:rightChars="283" w:right="566"/>
        <w:rPr>
          <w:sz w:val="18"/>
          <w:szCs w:val="18"/>
          <w:lang w:val="es-ES_tradnl"/>
        </w:rPr>
      </w:pPr>
    </w:p>
    <w:p w:rsidR="00B43D13" w:rsidRPr="009B050B" w:rsidRDefault="009B050B" w:rsidP="009B050B">
      <w:pPr>
        <w:ind w:left="567" w:rightChars="283" w:right="566" w:firstLine="567"/>
        <w:rPr>
          <w:spacing w:val="-2"/>
          <w:sz w:val="18"/>
          <w:szCs w:val="18"/>
          <w:lang w:val="es-ES_tradnl"/>
        </w:rPr>
      </w:pPr>
      <w:r w:rsidRPr="009B050B">
        <w:rPr>
          <w:spacing w:val="-2"/>
          <w:sz w:val="18"/>
          <w:szCs w:val="18"/>
          <w:lang w:val="es-ES_tradnl"/>
        </w:rPr>
        <w:t>f)</w:t>
      </w:r>
      <w:r w:rsidRPr="009B050B">
        <w:rPr>
          <w:spacing w:val="-2"/>
          <w:sz w:val="18"/>
          <w:szCs w:val="18"/>
          <w:lang w:val="es-ES_tradnl"/>
        </w:rPr>
        <w:tab/>
      </w:r>
      <w:proofErr w:type="gramStart"/>
      <w:r w:rsidRPr="009B050B">
        <w:rPr>
          <w:spacing w:val="-2"/>
          <w:sz w:val="18"/>
          <w:szCs w:val="18"/>
          <w:lang w:val="es-ES_tradnl"/>
        </w:rPr>
        <w:t>autorizar</w:t>
      </w:r>
      <w:proofErr w:type="gramEnd"/>
      <w:r w:rsidRPr="009B050B">
        <w:rPr>
          <w:spacing w:val="-2"/>
          <w:sz w:val="18"/>
          <w:szCs w:val="18"/>
          <w:lang w:val="es-ES_tradnl"/>
        </w:rPr>
        <w:t xml:space="preserve"> al Secretario General a informar al Gobierno de la República Unida de Tanzanía sobre esa decisión.</w:t>
      </w:r>
      <w:r>
        <w:rPr>
          <w:spacing w:val="-2"/>
          <w:sz w:val="18"/>
          <w:szCs w:val="18"/>
          <w:lang w:val="es-ES_tradnl"/>
        </w:rPr>
        <w:t>”</w:t>
      </w:r>
    </w:p>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pStyle w:val="Heading1"/>
        <w:keepNext w:val="0"/>
        <w:rPr>
          <w:lang w:val="es-ES_tradnl"/>
        </w:rPr>
      </w:pPr>
      <w:bookmarkStart w:id="7" w:name="_Toc367953258"/>
      <w:r w:rsidRPr="00C60FC3">
        <w:rPr>
          <w:lang w:val="es-ES_tradnl"/>
        </w:rPr>
        <w:t>II.</w:t>
      </w:r>
      <w:r w:rsidRPr="00C60FC3">
        <w:rPr>
          <w:lang w:val="es-ES_tradnl"/>
        </w:rPr>
        <w:tab/>
        <w:t>SESIONES DEL CONSEJO Y DE SUS ÓRGANOS SUBSIDIARIOS</w:t>
      </w:r>
      <w:bookmarkEnd w:id="7"/>
    </w:p>
    <w:p w:rsidR="00B43D13" w:rsidRPr="00C60FC3" w:rsidRDefault="00B43D13" w:rsidP="00BF2668">
      <w:pPr>
        <w:rPr>
          <w:lang w:val="es-ES_tradnl"/>
        </w:rPr>
      </w:pPr>
    </w:p>
    <w:p w:rsidR="00B43D13" w:rsidRPr="00C60FC3" w:rsidRDefault="00B43D13" w:rsidP="00BF2668">
      <w:pPr>
        <w:pStyle w:val="Heading2"/>
        <w:keepNext w:val="0"/>
        <w:rPr>
          <w:lang w:val="es-ES_tradnl"/>
        </w:rPr>
      </w:pPr>
      <w:bookmarkStart w:id="8" w:name="_Toc367953259"/>
      <w:r w:rsidRPr="00C60FC3">
        <w:rPr>
          <w:lang w:val="es-ES_tradnl"/>
        </w:rPr>
        <w:t>Consejo</w:t>
      </w:r>
      <w:bookmarkEnd w:id="8"/>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Consejo celebró su vigésima novena sesión extraordinaria el 30 de marzo de 2012 bajo la presidencia del Sr. Choi Keun-Jin (República de Corea), Presidente del C</w:t>
      </w:r>
      <w:r w:rsidR="009B050B">
        <w:rPr>
          <w:lang w:val="es-ES_tradnl"/>
        </w:rPr>
        <w:t>onsejo.  Asistieron a la sesión 36 </w:t>
      </w:r>
      <w:r w:rsidRPr="00C60FC3">
        <w:rPr>
          <w:lang w:val="es-ES_tradnl"/>
        </w:rPr>
        <w:t xml:space="preserve">miembros de la Unión, seis Estados observadores y seis organizaciones observadoras.  El informe de esa sesión se recoge en el documento </w:t>
      </w:r>
      <w:proofErr w:type="gramStart"/>
      <w:r w:rsidRPr="00C60FC3">
        <w:rPr>
          <w:lang w:val="es-ES_tradnl"/>
        </w:rPr>
        <w:t>C(</w:t>
      </w:r>
      <w:proofErr w:type="gramEnd"/>
      <w:r w:rsidRPr="00C60FC3">
        <w:rPr>
          <w:lang w:val="es-ES_tradnl"/>
        </w:rPr>
        <w:t>Extr.)/29/7.  En dicha sesión, el Consejo: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a)</w:t>
      </w:r>
      <w:r w:rsidRPr="00C60FC3">
        <w:rPr>
          <w:lang w:val="es-ES_tradnl"/>
        </w:rPr>
        <w:tab/>
        <w:t>tomó nota del informe del Presidente sobre la octogésima tercera sesión del Comité Consultivo;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b)</w:t>
      </w:r>
      <w:r w:rsidRPr="00C60FC3">
        <w:rPr>
          <w:lang w:val="es-ES_tradnl"/>
        </w:rPr>
        <w:tab/>
        <w:t xml:space="preserve">aprobó el cambio, de Seúl a Jeju, del lugar de celebración de la cuadragésima quinta sesión del TWO, que había de celebrarse del 6 al 10 de agosto de 2012, así como del taller preparatorio que se realizaría el 5 de agosto de 2012, y señaló que se introducirían en el “Calendario de reuniones </w:t>
      </w:r>
      <w:r w:rsidR="009B050B">
        <w:rPr>
          <w:lang w:val="es-ES_tradnl"/>
        </w:rPr>
        <w:t xml:space="preserve">en </w:t>
      </w:r>
      <w:r w:rsidRPr="00C60FC3">
        <w:rPr>
          <w:lang w:val="es-ES_tradnl"/>
        </w:rPr>
        <w:t>2012” (documento C/45/8 Rev.2) los cambios que procedan a ese respecto;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c)</w:t>
      </w:r>
      <w:r w:rsidRPr="00C60FC3">
        <w:rPr>
          <w:lang w:val="es-ES_tradnl"/>
        </w:rPr>
        <w:tab/>
        <w:t>aprobó los documentos siguientes:</w:t>
      </w:r>
    </w:p>
    <w:p w:rsidR="00B43D13" w:rsidRPr="00C60FC3" w:rsidRDefault="00B43D13" w:rsidP="00BF2668">
      <w:pPr>
        <w:rPr>
          <w:lang w:val="es-ES_tradnl"/>
        </w:rPr>
      </w:pP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spacing w:val="-2"/>
          <w:lang w:val="es-ES_tradnl"/>
        </w:rPr>
        <w:t>UPOV/INF/4 “Reglamento Financiero y Reglamentación Financiera de la UPOV” (documento UPOV/INF/4/2);  y</w:t>
      </w: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UPOV/INF-EXN “Lista de documentos INF-EXN y fechas de última publicación” (revisión) (documento UPOV/INF</w:t>
      </w:r>
      <w:r w:rsidRPr="00C60FC3">
        <w:rPr>
          <w:rFonts w:ascii="MS Gothic" w:eastAsia="MS Gothic" w:hAnsi="MS Gothic" w:cs="MS Gothic"/>
          <w:lang w:val="es-ES_tradnl"/>
        </w:rPr>
        <w:t>‑</w:t>
      </w:r>
      <w:r w:rsidRPr="00C60FC3">
        <w:rPr>
          <w:rFonts w:cs="Arial"/>
          <w:lang w:val="es-ES_tradnl"/>
        </w:rPr>
        <w:t>EXN/2);</w:t>
      </w:r>
    </w:p>
    <w:p w:rsidR="00B43D13" w:rsidRPr="00C60FC3" w:rsidRDefault="00B43D13" w:rsidP="00BF2668">
      <w:pPr>
        <w:rPr>
          <w:lang w:val="es-ES_tradnl"/>
        </w:rPr>
      </w:pPr>
      <w:r w:rsidRPr="00C60FC3">
        <w:rPr>
          <w:lang w:val="es-ES_tradnl"/>
        </w:rPr>
        <w:tab/>
        <w:t>d)</w:t>
      </w:r>
      <w:r w:rsidRPr="00C60FC3">
        <w:rPr>
          <w:lang w:val="es-ES_tradnl"/>
        </w:rPr>
        <w:tab/>
        <w:t xml:space="preserve">prorrogó el nombramiento del Secretario General Adjunto, del 1 de diciembre de 2012 hasta el 30 de noviembre de 2015 y dejó constancia de su aprecio por la excelente labor realizada por este </w:t>
      </w:r>
      <w:proofErr w:type="gramStart"/>
      <w:r w:rsidRPr="00C60FC3">
        <w:rPr>
          <w:lang w:val="es-ES_tradnl"/>
        </w:rPr>
        <w:t>último</w:t>
      </w:r>
      <w:proofErr w:type="gramEnd"/>
      <w:r w:rsidRPr="00C60FC3">
        <w:rPr>
          <w:lang w:val="es-ES_tradnl"/>
        </w:rPr>
        <w:t>;</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e)</w:t>
      </w:r>
      <w:r w:rsidRPr="00C60FC3">
        <w:rPr>
          <w:lang w:val="es-ES_tradnl"/>
        </w:rPr>
        <w:tab/>
        <w:t>examinó y aprobó un proyecto de comunicado de prensa.</w:t>
      </w:r>
    </w:p>
    <w:p w:rsidR="00B43D13" w:rsidRPr="00C60FC3" w:rsidRDefault="00B43D13" w:rsidP="00BF2668">
      <w:pPr>
        <w:rPr>
          <w:lang w:val="es-ES_tradnl"/>
        </w:rPr>
      </w:pPr>
    </w:p>
    <w:p w:rsidR="00B43D13" w:rsidRPr="00C60FC3" w:rsidRDefault="00B43D13" w:rsidP="00BF2668">
      <w:pPr>
        <w:ind w:right="-1"/>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Consejo celebró su cuadragésima sexta sesión ordinaria en Ginebra, el 1 de noviembre de 2012, bajo la presidencia del Sr. Choi Keun-Jin.  Asistieron a la sesión 47 miembros de la Unión, ocho Estados observadores y diez organizaciones observadoras.  El informe de esa sesión se recoge en el documento C/46/19.  En dicha sesión, el Consejo:</w:t>
      </w:r>
    </w:p>
    <w:p w:rsidR="00B43D13" w:rsidRPr="00C60FC3" w:rsidRDefault="00B43D13" w:rsidP="00BF2668">
      <w:pPr>
        <w:ind w:right="-1"/>
        <w:rPr>
          <w:lang w:val="es-ES_tradnl"/>
        </w:rPr>
      </w:pPr>
    </w:p>
    <w:p w:rsidR="00B43D13" w:rsidRPr="00C60FC3" w:rsidRDefault="00B43D13" w:rsidP="00BF2668">
      <w:pPr>
        <w:tabs>
          <w:tab w:val="left" w:pos="567"/>
          <w:tab w:val="num" w:pos="1134"/>
        </w:tabs>
        <w:rPr>
          <w:lang w:val="es-ES_tradnl"/>
        </w:rPr>
      </w:pPr>
      <w:r w:rsidRPr="00C60FC3">
        <w:rPr>
          <w:lang w:val="es-ES_tradnl"/>
        </w:rPr>
        <w:tab/>
        <w:t>a)</w:t>
      </w:r>
      <w:r w:rsidRPr="00C60FC3">
        <w:rPr>
          <w:lang w:val="es-ES_tradnl"/>
        </w:rPr>
        <w:tab/>
        <w:t xml:space="preserve">examinó la conformidad del proyecto de Ley de </w:t>
      </w:r>
      <w:r w:rsidR="009B050B">
        <w:rPr>
          <w:lang w:val="es-ES_tradnl"/>
        </w:rPr>
        <w:t xml:space="preserve">Ghana sobre los </w:t>
      </w:r>
      <w:r w:rsidRPr="00C60FC3">
        <w:rPr>
          <w:lang w:val="es-ES_tradnl"/>
        </w:rPr>
        <w:t>Obtentor</w:t>
      </w:r>
      <w:r w:rsidR="009B050B">
        <w:rPr>
          <w:lang w:val="es-ES_tradnl"/>
        </w:rPr>
        <w:t>es</w:t>
      </w:r>
      <w:r w:rsidRPr="00C60FC3">
        <w:rPr>
          <w:lang w:val="es-ES_tradnl"/>
        </w:rPr>
        <w:t xml:space="preserve"> y del proyecto de Ley </w:t>
      </w:r>
      <w:r w:rsidR="009B050B">
        <w:rPr>
          <w:lang w:val="es-ES_tradnl"/>
        </w:rPr>
        <w:t xml:space="preserve">sobre los </w:t>
      </w:r>
      <w:r w:rsidRPr="00C60FC3">
        <w:rPr>
          <w:lang w:val="es-ES_tradnl"/>
        </w:rPr>
        <w:t xml:space="preserve">Derechos de Obtentor </w:t>
      </w:r>
      <w:r w:rsidR="009B050B">
        <w:rPr>
          <w:lang w:val="es-ES_tradnl"/>
        </w:rPr>
        <w:t xml:space="preserve">para Tanzanía </w:t>
      </w:r>
      <w:r w:rsidRPr="00C60FC3">
        <w:rPr>
          <w:lang w:val="es-ES_tradnl"/>
        </w:rPr>
        <w:t xml:space="preserve">continental con el </w:t>
      </w:r>
      <w:r w:rsidR="009B050B">
        <w:rPr>
          <w:lang w:val="es-ES_tradnl"/>
        </w:rPr>
        <w:t>Acta de 1991 del Convenio de la </w:t>
      </w:r>
      <w:r w:rsidRPr="00C60FC3">
        <w:rPr>
          <w:lang w:val="es-ES_tradnl"/>
        </w:rPr>
        <w:t>UPOV;</w:t>
      </w:r>
    </w:p>
    <w:p w:rsidR="00B43D13" w:rsidRPr="00C60FC3" w:rsidRDefault="00B43D13" w:rsidP="00BF2668">
      <w:pPr>
        <w:tabs>
          <w:tab w:val="left" w:pos="567"/>
          <w:tab w:val="num" w:pos="1134"/>
        </w:tabs>
        <w:rPr>
          <w:lang w:val="es-ES_tradnl"/>
        </w:rPr>
      </w:pPr>
    </w:p>
    <w:p w:rsidR="00B43D13" w:rsidRPr="00C60FC3" w:rsidRDefault="00B43D13" w:rsidP="00BF2668">
      <w:pPr>
        <w:tabs>
          <w:tab w:val="left" w:pos="567"/>
          <w:tab w:val="num" w:pos="1134"/>
        </w:tabs>
        <w:rPr>
          <w:lang w:val="es-ES_tradnl"/>
        </w:rPr>
      </w:pPr>
      <w:r w:rsidRPr="00C60FC3">
        <w:rPr>
          <w:lang w:val="es-ES_tradnl"/>
        </w:rPr>
        <w:tab/>
        <w:t>b)</w:t>
      </w:r>
      <w:r w:rsidRPr="00C60FC3">
        <w:rPr>
          <w:lang w:val="es-ES_tradnl"/>
        </w:rPr>
        <w:tab/>
        <w:t>tomó nota de la labor realizada por el Comité Consultivo en su octogésima cuarta sesión, celebrada el 31 de octubre de 2012, que se expone en el documento C/46/16;</w:t>
      </w:r>
    </w:p>
    <w:p w:rsidR="00B43D13" w:rsidRPr="00C60FC3" w:rsidRDefault="00B43D13" w:rsidP="00BF2668">
      <w:pPr>
        <w:tabs>
          <w:tab w:val="left" w:pos="567"/>
          <w:tab w:val="num" w:pos="1134"/>
        </w:tabs>
        <w:rPr>
          <w:lang w:val="es-ES_tradnl"/>
        </w:rPr>
      </w:pPr>
    </w:p>
    <w:p w:rsidR="00B43D13" w:rsidRPr="00C60FC3" w:rsidRDefault="00B43D13" w:rsidP="00BF2668">
      <w:pPr>
        <w:keepNext/>
        <w:tabs>
          <w:tab w:val="left" w:pos="567"/>
          <w:tab w:val="num" w:pos="1134"/>
        </w:tabs>
        <w:rPr>
          <w:lang w:val="es-ES_tradnl"/>
        </w:rPr>
      </w:pPr>
      <w:r w:rsidRPr="00C60FC3">
        <w:rPr>
          <w:lang w:val="es-ES_tradnl"/>
        </w:rPr>
        <w:tab/>
        <w:t>c)</w:t>
      </w:r>
      <w:r w:rsidRPr="00C60FC3">
        <w:rPr>
          <w:lang w:val="es-ES_tradnl"/>
        </w:rPr>
        <w:tab/>
        <w:t>aprobó los documentos siguientes:</w:t>
      </w:r>
    </w:p>
    <w:p w:rsidR="00B43D13" w:rsidRPr="00C60FC3" w:rsidRDefault="00B43D13" w:rsidP="00BF2668">
      <w:pPr>
        <w:keepNext/>
        <w:tabs>
          <w:tab w:val="left" w:pos="567"/>
          <w:tab w:val="num" w:pos="1134"/>
        </w:tabs>
        <w:rPr>
          <w:lang w:val="es-ES_tradnl"/>
        </w:rPr>
      </w:pP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TGP/12 “Orientación sobre ciertos caracteres fisiológicos” (revisión) (documento TGP/12/2);</w:t>
      </w: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TGP/0 “Lista de documentos TGP y fechas de última publicación” (revisión) (documento TGP/0/5);</w:t>
      </w: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UPOV/INF/12 “Notas explicativas sobre las denominaciones de variedades con arreglo al Convenio de la UPOV” (revisión) (documento UPOV/INF/12/4);</w:t>
      </w: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UPOV/INF/19 “Reglas que rigen la concesión de la condición de observador ante los órganos de la UPOV a los Estados, las organizaciones intergubernamentales y las organizaciones internacionales no gubernamentales” (revisión) (documento UPOV/INF/19/1);</w:t>
      </w: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UPOV/INF/20 “Reglas que rigen el acceso a los documentos de la UPOV” (revisión) (documento UPOV/INF/20/1);</w:t>
      </w: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UPOV/INF/21 “Mecanismos alternativos de solución de controversias” (documento UPOV/INF/21/1);  y</w:t>
      </w:r>
    </w:p>
    <w:p w:rsidR="00B43D13" w:rsidRPr="00C60FC3" w:rsidRDefault="00B43D13" w:rsidP="00BF2668">
      <w:pPr>
        <w:pStyle w:val="ListParagraph"/>
        <w:numPr>
          <w:ilvl w:val="0"/>
          <w:numId w:val="17"/>
        </w:numPr>
        <w:spacing w:after="240"/>
        <w:ind w:left="1134" w:hanging="561"/>
        <w:contextualSpacing w:val="0"/>
        <w:rPr>
          <w:lang w:val="es-ES_tradnl"/>
        </w:rPr>
      </w:pPr>
      <w:r w:rsidRPr="00C60FC3">
        <w:rPr>
          <w:lang w:val="es-ES_tradnl"/>
        </w:rPr>
        <w:t>UPOV/INF-EXN “Lista de documentos INF-EXN y fechas de última publicación” (revisión) (documento UPOV/INF</w:t>
      </w:r>
      <w:r w:rsidRPr="00C60FC3">
        <w:rPr>
          <w:rFonts w:ascii="MS Gothic" w:eastAsia="MS Gothic" w:hAnsi="MS Gothic" w:cs="MS Gothic"/>
          <w:lang w:val="es-ES_tradnl"/>
        </w:rPr>
        <w:t>‑</w:t>
      </w:r>
      <w:r w:rsidRPr="00C60FC3">
        <w:rPr>
          <w:rFonts w:cs="Arial"/>
          <w:lang w:val="es-ES_tradnl"/>
        </w:rPr>
        <w:t>EXN/3);</w:t>
      </w:r>
    </w:p>
    <w:p w:rsidR="00B43D13" w:rsidRPr="00C60FC3" w:rsidRDefault="00B43D13" w:rsidP="00BF2668">
      <w:pPr>
        <w:tabs>
          <w:tab w:val="left" w:pos="567"/>
          <w:tab w:val="num" w:pos="1134"/>
        </w:tabs>
        <w:rPr>
          <w:lang w:val="es-ES_tradnl"/>
        </w:rPr>
      </w:pPr>
      <w:r w:rsidRPr="00C60FC3">
        <w:rPr>
          <w:lang w:val="es-ES_tradnl"/>
        </w:rPr>
        <w:tab/>
        <w:t>d)</w:t>
      </w:r>
      <w:r w:rsidRPr="00C60FC3">
        <w:rPr>
          <w:lang w:val="es-ES_tradnl"/>
        </w:rPr>
        <w:tab/>
        <w:t>tomó nota del informe del Secretario General sobre las actividades de la Unión en 2011 y del informe sobre el rendimiento en el bienio 2010-2011, así como del informe sobre las actividades realizadas en los nueve primeros meses de 2012;</w:t>
      </w:r>
    </w:p>
    <w:p w:rsidR="00B43D13" w:rsidRPr="00C60FC3" w:rsidRDefault="00B43D13" w:rsidP="00BF2668">
      <w:pPr>
        <w:tabs>
          <w:tab w:val="left" w:pos="567"/>
          <w:tab w:val="num" w:pos="1134"/>
        </w:tabs>
        <w:rPr>
          <w:lang w:val="es-ES_tradnl"/>
        </w:rPr>
      </w:pPr>
    </w:p>
    <w:p w:rsidR="00B43D13" w:rsidRPr="00C60FC3" w:rsidRDefault="00B43D13" w:rsidP="00BF2668">
      <w:pPr>
        <w:tabs>
          <w:tab w:val="left" w:pos="567"/>
          <w:tab w:val="num" w:pos="1134"/>
        </w:tabs>
        <w:rPr>
          <w:snapToGrid w:val="0"/>
          <w:lang w:val="es-ES_tradnl"/>
        </w:rPr>
      </w:pPr>
      <w:r w:rsidRPr="00C60FC3">
        <w:rPr>
          <w:lang w:val="es-ES_tradnl"/>
        </w:rPr>
        <w:tab/>
        <w:t>e)</w:t>
      </w:r>
      <w:r w:rsidRPr="00C60FC3">
        <w:rPr>
          <w:lang w:val="es-ES_tradnl"/>
        </w:rPr>
        <w:tab/>
      </w:r>
      <w:r w:rsidRPr="00C60FC3">
        <w:rPr>
          <w:snapToGrid w:val="0"/>
          <w:lang w:val="es-ES_tradnl"/>
        </w:rPr>
        <w:t xml:space="preserve">aprobó las cuentas relativas al ejercicio </w:t>
      </w:r>
      <w:r w:rsidR="009B050B">
        <w:rPr>
          <w:snapToGrid w:val="0"/>
          <w:lang w:val="es-ES_tradnl"/>
        </w:rPr>
        <w:t xml:space="preserve">financiero </w:t>
      </w:r>
      <w:r w:rsidRPr="00C60FC3">
        <w:rPr>
          <w:snapToGrid w:val="0"/>
          <w:lang w:val="es-ES_tradnl"/>
        </w:rPr>
        <w:t>2010-2011 y tomó nota del informe del auditor sobre las cuentas del bienio 2010-2011;</w:t>
      </w:r>
    </w:p>
    <w:p w:rsidR="00B43D13" w:rsidRPr="00C60FC3" w:rsidRDefault="00B43D13" w:rsidP="00BF2668">
      <w:pPr>
        <w:tabs>
          <w:tab w:val="left" w:pos="567"/>
          <w:tab w:val="num" w:pos="1134"/>
        </w:tabs>
        <w:rPr>
          <w:snapToGrid w:val="0"/>
          <w:lang w:val="es-ES_tradnl"/>
        </w:rPr>
      </w:pPr>
    </w:p>
    <w:p w:rsidR="00B43D13" w:rsidRPr="00C60FC3" w:rsidRDefault="00B43D13" w:rsidP="00BF2668">
      <w:pPr>
        <w:tabs>
          <w:tab w:val="left" w:pos="567"/>
          <w:tab w:val="num" w:pos="1134"/>
        </w:tabs>
        <w:rPr>
          <w:lang w:val="es-ES_tradnl"/>
        </w:rPr>
      </w:pPr>
      <w:r w:rsidRPr="00C60FC3">
        <w:rPr>
          <w:snapToGrid w:val="0"/>
          <w:lang w:val="es-ES_tradnl"/>
        </w:rPr>
        <w:tab/>
        <w:t>f)</w:t>
      </w:r>
      <w:r w:rsidRPr="00C60FC3">
        <w:rPr>
          <w:snapToGrid w:val="0"/>
          <w:lang w:val="es-ES_tradnl"/>
        </w:rPr>
        <w:tab/>
      </w:r>
      <w:r w:rsidRPr="00C60FC3">
        <w:rPr>
          <w:lang w:val="es-ES_tradnl"/>
        </w:rPr>
        <w:t>tomó nota de la situación relativa al pago de las contribuciones y a la participación en el Fondo de Operaciones;</w:t>
      </w:r>
    </w:p>
    <w:p w:rsidR="00B43D13" w:rsidRPr="00C60FC3" w:rsidRDefault="00B43D13" w:rsidP="00BF2668">
      <w:pPr>
        <w:tabs>
          <w:tab w:val="left" w:pos="567"/>
          <w:tab w:val="num" w:pos="1134"/>
        </w:tabs>
        <w:rPr>
          <w:lang w:val="es-ES_tradnl"/>
        </w:rPr>
      </w:pPr>
    </w:p>
    <w:p w:rsidR="00B43D13" w:rsidRPr="00C60FC3" w:rsidRDefault="00B43D13" w:rsidP="00BF2668">
      <w:pPr>
        <w:tabs>
          <w:tab w:val="left" w:pos="567"/>
          <w:tab w:val="num" w:pos="1134"/>
        </w:tabs>
        <w:rPr>
          <w:lang w:val="es-ES_tradnl"/>
        </w:rPr>
      </w:pPr>
      <w:r w:rsidRPr="00C60FC3">
        <w:rPr>
          <w:lang w:val="es-ES_tradnl"/>
        </w:rPr>
        <w:tab/>
        <w:t>g)</w:t>
      </w:r>
      <w:r w:rsidRPr="00C60FC3">
        <w:rPr>
          <w:lang w:val="es-ES_tradnl"/>
        </w:rPr>
        <w:tab/>
        <w:t>tomó nota de la labor del CAJ y aprobó el programa de trabajo de la sexagésima séptima sesión del CAJ;</w:t>
      </w:r>
    </w:p>
    <w:p w:rsidR="00B43D13" w:rsidRPr="00C60FC3" w:rsidRDefault="00B43D13" w:rsidP="00BF2668">
      <w:pPr>
        <w:tabs>
          <w:tab w:val="left" w:pos="567"/>
          <w:tab w:val="num" w:pos="1134"/>
        </w:tabs>
        <w:rPr>
          <w:lang w:val="es-ES_tradnl"/>
        </w:rPr>
      </w:pPr>
    </w:p>
    <w:p w:rsidR="00B43D13" w:rsidRPr="00C60FC3" w:rsidRDefault="00B43D13" w:rsidP="00BF2668">
      <w:pPr>
        <w:tabs>
          <w:tab w:val="left" w:pos="567"/>
          <w:tab w:val="num" w:pos="1134"/>
        </w:tabs>
        <w:rPr>
          <w:lang w:val="es-ES_tradnl"/>
        </w:rPr>
      </w:pPr>
      <w:r w:rsidRPr="00C60FC3">
        <w:rPr>
          <w:lang w:val="es-ES_tradnl"/>
        </w:rPr>
        <w:tab/>
        <w:t>h)</w:t>
      </w:r>
      <w:r w:rsidRPr="00C60FC3">
        <w:rPr>
          <w:lang w:val="es-ES_tradnl"/>
        </w:rPr>
        <w:tab/>
        <w:t>tomó nota de las actividades realizadas por el TC, los TWP y el BMT, y aprobó los respectivos programas de trabajo;</w:t>
      </w:r>
    </w:p>
    <w:p w:rsidR="00B43D13" w:rsidRPr="00C60FC3" w:rsidRDefault="00B43D13" w:rsidP="00BF2668">
      <w:pPr>
        <w:tabs>
          <w:tab w:val="left" w:pos="567"/>
          <w:tab w:val="num" w:pos="1134"/>
        </w:tabs>
        <w:rPr>
          <w:lang w:val="es-ES_tradnl"/>
        </w:rPr>
      </w:pPr>
    </w:p>
    <w:p w:rsidR="00B43D13" w:rsidRPr="00C60FC3" w:rsidRDefault="00B43D13" w:rsidP="00BF2668">
      <w:pPr>
        <w:tabs>
          <w:tab w:val="left" w:pos="567"/>
          <w:tab w:val="num" w:pos="1134"/>
        </w:tabs>
        <w:rPr>
          <w:lang w:val="es-ES_tradnl"/>
        </w:rPr>
      </w:pPr>
      <w:r w:rsidRPr="00C60FC3">
        <w:rPr>
          <w:lang w:val="es-ES_tradnl"/>
        </w:rPr>
        <w:tab/>
        <w:t>i)</w:t>
      </w:r>
      <w:r w:rsidRPr="00C60FC3">
        <w:rPr>
          <w:lang w:val="es-ES_tradnl"/>
        </w:rPr>
        <w:tab/>
        <w:t>aprobó el calendario de reuniones e</w:t>
      </w:r>
      <w:r w:rsidR="009B050B">
        <w:rPr>
          <w:lang w:val="es-ES_tradnl"/>
        </w:rPr>
        <w:t>n</w:t>
      </w:r>
      <w:r w:rsidRPr="00C60FC3">
        <w:rPr>
          <w:lang w:val="es-ES_tradnl"/>
        </w:rPr>
        <w:t> 2013;</w:t>
      </w:r>
    </w:p>
    <w:p w:rsidR="00B43D13" w:rsidRPr="00C60FC3" w:rsidRDefault="00B43D13" w:rsidP="00BF2668">
      <w:pPr>
        <w:tabs>
          <w:tab w:val="left" w:pos="567"/>
          <w:tab w:val="num" w:pos="1134"/>
        </w:tabs>
        <w:rPr>
          <w:lang w:val="es-ES_tradnl"/>
        </w:rPr>
      </w:pPr>
    </w:p>
    <w:p w:rsidR="00B43D13" w:rsidRPr="00C60FC3" w:rsidRDefault="00B43D13" w:rsidP="00BF2668">
      <w:pPr>
        <w:rPr>
          <w:lang w:val="es-ES_tradnl"/>
        </w:rPr>
      </w:pPr>
      <w:r w:rsidRPr="00C60FC3">
        <w:rPr>
          <w:lang w:val="es-ES_tradnl"/>
        </w:rPr>
        <w:tab/>
        <w:t>j)</w:t>
      </w:r>
      <w:r w:rsidRPr="00C60FC3">
        <w:rPr>
          <w:lang w:val="es-ES_tradnl"/>
        </w:rPr>
        <w:tab/>
        <w:t>eligió a las personas siguientes, en cada caso por un mandato de tres años, que concluirá con la cuadragésima novena sesión ordinaria del Consejo en 2015:</w:t>
      </w:r>
    </w:p>
    <w:p w:rsidR="00B43D13" w:rsidRPr="00C60FC3" w:rsidRDefault="00B43D13" w:rsidP="00BF2668">
      <w:pPr>
        <w:rPr>
          <w:lang w:val="es-ES_tradnl"/>
        </w:rPr>
      </w:pPr>
    </w:p>
    <w:p w:rsidR="00B43D13" w:rsidRPr="00C60FC3" w:rsidRDefault="00B43D13" w:rsidP="00BF2668">
      <w:pPr>
        <w:ind w:firstLine="567"/>
        <w:rPr>
          <w:lang w:val="es-ES_tradnl"/>
        </w:rPr>
      </w:pPr>
      <w:r w:rsidRPr="00C60FC3">
        <w:rPr>
          <w:lang w:val="es-ES_tradnl"/>
        </w:rPr>
        <w:t>–</w:t>
      </w:r>
      <w:r w:rsidRPr="00C60FC3">
        <w:rPr>
          <w:lang w:val="es-ES_tradnl"/>
        </w:rPr>
        <w:tab/>
        <w:t>Sra. Kitisri Sukhapinda (Estados Unidos de América), Presidenta del Consejo;</w:t>
      </w:r>
    </w:p>
    <w:p w:rsidR="00B43D13" w:rsidRPr="00C60FC3" w:rsidRDefault="00B43D13" w:rsidP="00BF2668">
      <w:pPr>
        <w:ind w:firstLine="567"/>
        <w:rPr>
          <w:lang w:val="es-ES_tradnl"/>
        </w:rPr>
      </w:pPr>
    </w:p>
    <w:p w:rsidR="00B43D13" w:rsidRPr="00C60FC3" w:rsidRDefault="00B43D13" w:rsidP="00BF2668">
      <w:pPr>
        <w:tabs>
          <w:tab w:val="left" w:pos="567"/>
          <w:tab w:val="num" w:pos="1134"/>
        </w:tabs>
        <w:ind w:left="567"/>
        <w:rPr>
          <w:lang w:val="es-ES_tradnl"/>
        </w:rPr>
      </w:pPr>
      <w:r w:rsidRPr="00C60FC3">
        <w:rPr>
          <w:lang w:val="es-ES_tradnl"/>
        </w:rPr>
        <w:t>–</w:t>
      </w:r>
      <w:r w:rsidRPr="00C60FC3">
        <w:rPr>
          <w:lang w:val="es-ES_tradnl"/>
        </w:rPr>
        <w:tab/>
        <w:t>Sr. Luis Salaices (España), Vicepresidente del Consejo;</w:t>
      </w:r>
    </w:p>
    <w:p w:rsidR="00B43D13" w:rsidRPr="00C60FC3" w:rsidRDefault="00B43D13" w:rsidP="00BF2668">
      <w:pPr>
        <w:tabs>
          <w:tab w:val="left" w:pos="567"/>
          <w:tab w:val="num" w:pos="1134"/>
        </w:tabs>
        <w:rPr>
          <w:lang w:val="es-ES_tradnl"/>
        </w:rPr>
      </w:pPr>
    </w:p>
    <w:p w:rsidR="00B43D13" w:rsidRPr="00C60FC3" w:rsidRDefault="00B43D13" w:rsidP="00BF2668">
      <w:pPr>
        <w:tabs>
          <w:tab w:val="left" w:pos="567"/>
          <w:tab w:val="num" w:pos="1134"/>
        </w:tabs>
        <w:rPr>
          <w:lang w:val="es-ES_tradnl"/>
        </w:rPr>
      </w:pPr>
      <w:r w:rsidRPr="00C60FC3">
        <w:rPr>
          <w:lang w:val="es-ES_tradnl"/>
        </w:rPr>
        <w:tab/>
        <w:t>k)</w:t>
      </w:r>
      <w:r w:rsidRPr="00C60FC3">
        <w:rPr>
          <w:lang w:val="es-ES_tradnl"/>
        </w:rPr>
        <w:tab/>
        <w:t>tomó nota de los documentos y los informes verbales sobre la situación en los ámbitos legislativo, administrativo y técnico relativos a la protección de las variedades vegetales, tal y como los presentaron miembros y observadores. Tomó nota asimismo de que está previsto elaborar una adición al documento C/46/12 y de que en el sitio Web de la UPOV se ha publicado una revisión del documento C/45/7 relativa a las estadísticas del período 2006-2010;  y</w:t>
      </w:r>
    </w:p>
    <w:p w:rsidR="00B43D13" w:rsidRPr="00C60FC3" w:rsidRDefault="00B43D13" w:rsidP="00BF2668">
      <w:pPr>
        <w:tabs>
          <w:tab w:val="left" w:pos="567"/>
          <w:tab w:val="num" w:pos="1134"/>
        </w:tabs>
        <w:rPr>
          <w:lang w:val="es-ES_tradnl"/>
        </w:rPr>
      </w:pPr>
    </w:p>
    <w:p w:rsidR="00B43D13" w:rsidRPr="00C60FC3" w:rsidRDefault="00B43D13" w:rsidP="00BF2668">
      <w:pPr>
        <w:tabs>
          <w:tab w:val="left" w:pos="567"/>
          <w:tab w:val="num" w:pos="1134"/>
        </w:tabs>
        <w:rPr>
          <w:lang w:val="es-ES_tradnl"/>
        </w:rPr>
      </w:pPr>
      <w:r w:rsidRPr="00C60FC3">
        <w:rPr>
          <w:lang w:val="es-ES_tradnl"/>
        </w:rPr>
        <w:tab/>
        <w:t>l)</w:t>
      </w:r>
      <w:r w:rsidRPr="00C60FC3">
        <w:rPr>
          <w:lang w:val="es-ES_tradnl"/>
        </w:rPr>
        <w:tab/>
        <w:t>examinó y aprobó un proyecto de comunicado de prensa.</w:t>
      </w:r>
    </w:p>
    <w:p w:rsidR="00B43D13" w:rsidRPr="00C60FC3" w:rsidRDefault="00B43D13" w:rsidP="00BF2668">
      <w:pPr>
        <w:tabs>
          <w:tab w:val="left" w:pos="567"/>
          <w:tab w:val="num" w:pos="1134"/>
        </w:tabs>
        <w:rPr>
          <w:lang w:val="es-ES_tradnl"/>
        </w:rPr>
      </w:pPr>
    </w:p>
    <w:p w:rsidR="00B43D13" w:rsidRPr="00C60FC3" w:rsidRDefault="00B43D13" w:rsidP="00BF2668">
      <w:pPr>
        <w:rPr>
          <w:lang w:val="es-ES_tradnl"/>
        </w:rPr>
      </w:pPr>
    </w:p>
    <w:p w:rsidR="00B43D13" w:rsidRPr="00C60FC3" w:rsidRDefault="00B43D13" w:rsidP="00BF2668">
      <w:pPr>
        <w:pStyle w:val="Heading2"/>
        <w:rPr>
          <w:lang w:val="es-ES_tradnl"/>
        </w:rPr>
      </w:pPr>
      <w:bookmarkStart w:id="9" w:name="_Toc367953260"/>
      <w:r w:rsidRPr="00C60FC3">
        <w:rPr>
          <w:lang w:val="es-ES_tradnl"/>
        </w:rPr>
        <w:t>Comité Consultivo</w:t>
      </w:r>
      <w:bookmarkEnd w:id="9"/>
    </w:p>
    <w:p w:rsidR="00B43D13" w:rsidRPr="00C60FC3" w:rsidRDefault="00B43D13" w:rsidP="00BF2668">
      <w:pPr>
        <w:keepNext/>
        <w:ind w:left="567" w:hanging="567"/>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Comité Consultivo celebró su octogésima tercera sesión el 30 de marzo de 2012 bajo la presidencia del Sr. Choi Keun-Jin (República de Corea).  En esa sesión, además de asesorar al Consejo sobre la aprobación de documentos (véase el párrafo 9.c) anterior), la prórroga del nombramiento del Secretario General Adjunto y el proyecto de comunicado de prensa, el Comité Consultivo:</w:t>
      </w:r>
    </w:p>
    <w:p w:rsidR="00B43D13" w:rsidRPr="00C60FC3" w:rsidRDefault="00B43D13" w:rsidP="00BF2668">
      <w:pPr>
        <w:rPr>
          <w:lang w:val="es-ES_tradnl"/>
        </w:rPr>
      </w:pPr>
    </w:p>
    <w:p w:rsidR="00B43D13" w:rsidRPr="00C60FC3" w:rsidRDefault="00B43D13" w:rsidP="00BF2668">
      <w:pPr>
        <w:tabs>
          <w:tab w:val="left" w:pos="567"/>
        </w:tabs>
        <w:rPr>
          <w:strike/>
          <w:lang w:val="es-ES_tradnl"/>
        </w:rPr>
      </w:pPr>
      <w:r w:rsidRPr="00C60FC3">
        <w:rPr>
          <w:lang w:val="es-ES_tradnl"/>
        </w:rPr>
        <w:tab/>
        <w:t>a)</w:t>
      </w:r>
      <w:r w:rsidRPr="00C60FC3">
        <w:rPr>
          <w:lang w:val="es-ES_tradnl"/>
        </w:rPr>
        <w:tab/>
        <w:t>tomó nota del informe de la tercera reunión del Grupo de Trabajo sobre las reglas relativas a los observadores, que tuvo lugar el 29 de marzo de 2012;</w:t>
      </w:r>
    </w:p>
    <w:p w:rsidR="00B43D13" w:rsidRPr="00C60FC3" w:rsidRDefault="00B43D13" w:rsidP="00BF2668">
      <w:pPr>
        <w:rPr>
          <w:lang w:val="es-ES_tradnl"/>
        </w:rPr>
      </w:pPr>
    </w:p>
    <w:p w:rsidR="00B43D13" w:rsidRPr="00C60FC3" w:rsidRDefault="00B43D13" w:rsidP="00BF2668">
      <w:pPr>
        <w:ind w:firstLine="567"/>
        <w:rPr>
          <w:lang w:val="es-ES_tradnl"/>
        </w:rPr>
      </w:pPr>
      <w:r w:rsidRPr="00C60FC3">
        <w:rPr>
          <w:lang w:val="es-ES_tradnl"/>
        </w:rPr>
        <w:t>b)</w:t>
      </w:r>
      <w:r w:rsidRPr="00C60FC3">
        <w:rPr>
          <w:lang w:val="es-ES_tradnl"/>
        </w:rPr>
        <w:tab/>
        <w:t>recomendó al Consejo que aprobara la revisión de las “Reglas que rigen la concesión de la condición de observador ante los Órganos de la UPOV a los Estados, las organizaciones intergubernamentales y las organizaciones internacionales no gubernamentales” y la revisión de las “Reglas que rigen el acceso a los documentos de la UPOV”;</w:t>
      </w:r>
    </w:p>
    <w:p w:rsidR="00B43D13" w:rsidRPr="00C60FC3" w:rsidRDefault="00B43D13" w:rsidP="00BF2668">
      <w:pPr>
        <w:rPr>
          <w:lang w:val="es-ES_tradnl"/>
        </w:rPr>
      </w:pPr>
    </w:p>
    <w:p w:rsidR="00B43D13" w:rsidRPr="00C60FC3" w:rsidRDefault="00B43D13" w:rsidP="00BF2668">
      <w:pPr>
        <w:ind w:firstLine="567"/>
        <w:rPr>
          <w:lang w:val="es-ES_tradnl"/>
        </w:rPr>
      </w:pPr>
      <w:r w:rsidRPr="00C60FC3">
        <w:rPr>
          <w:lang w:val="es-ES_tradnl"/>
        </w:rPr>
        <w:t>c)</w:t>
      </w:r>
      <w:r w:rsidRPr="00C60FC3">
        <w:rPr>
          <w:lang w:val="es-ES_tradnl"/>
        </w:rPr>
        <w:tab/>
        <w:t xml:space="preserve">concedió la condición de observador a la </w:t>
      </w:r>
      <w:r w:rsidRPr="00C60FC3">
        <w:rPr>
          <w:i/>
          <w:szCs w:val="24"/>
          <w:lang w:val="es-ES_tradnl"/>
        </w:rPr>
        <w:t>African Seed Trade Association</w:t>
      </w:r>
      <w:r w:rsidRPr="00C60FC3">
        <w:rPr>
          <w:szCs w:val="24"/>
          <w:lang w:val="es-ES_tradnl"/>
        </w:rPr>
        <w:t xml:space="preserve"> </w:t>
      </w:r>
      <w:r w:rsidRPr="00C60FC3">
        <w:rPr>
          <w:lang w:val="es-ES_tradnl"/>
        </w:rPr>
        <w:t>(AFSTA) ante el Consejo, el Comité Administrativo y Jurídico (CAJ), el Comité Técnico (TC) y los Grupos de Trabajos Técnico (TWP);</w:t>
      </w:r>
    </w:p>
    <w:p w:rsidR="00B43D13" w:rsidRPr="00C60FC3" w:rsidRDefault="00B43D13" w:rsidP="00BF2668">
      <w:pPr>
        <w:rPr>
          <w:lang w:val="es-ES_tradnl"/>
        </w:rPr>
      </w:pPr>
    </w:p>
    <w:p w:rsidR="00B43D13" w:rsidRPr="00C60FC3" w:rsidRDefault="00B43D13" w:rsidP="00BF2668">
      <w:pPr>
        <w:rPr>
          <w:lang w:val="es-ES_tradnl"/>
        </w:rPr>
      </w:pPr>
      <w:r w:rsidRPr="00C60FC3">
        <w:rPr>
          <w:snapToGrid w:val="0"/>
          <w:lang w:val="es-ES_tradnl"/>
        </w:rPr>
        <w:tab/>
        <w:t>d)</w:t>
      </w:r>
      <w:r w:rsidRPr="00C60FC3">
        <w:rPr>
          <w:snapToGrid w:val="0"/>
          <w:lang w:val="es-ES_tradnl"/>
        </w:rPr>
        <w:tab/>
        <w:t>tomó nota de las novedades en relación con el acceso a los documentos de la UPOV y la publicación de información y observó que:</w:t>
      </w:r>
    </w:p>
    <w:p w:rsidR="00B43D13" w:rsidRPr="00C60FC3" w:rsidRDefault="00B43D13" w:rsidP="00BF2668">
      <w:pPr>
        <w:rPr>
          <w:lang w:val="es-ES_tradnl"/>
        </w:rPr>
      </w:pPr>
    </w:p>
    <w:p w:rsidR="00B43D13" w:rsidRPr="00C60FC3" w:rsidRDefault="00B43D13" w:rsidP="00BF2668">
      <w:pPr>
        <w:ind w:firstLine="1134"/>
        <w:rPr>
          <w:lang w:val="es-ES_tradnl"/>
        </w:rPr>
      </w:pPr>
      <w:r w:rsidRPr="00C60FC3">
        <w:rPr>
          <w:lang w:val="es-ES_tradnl"/>
        </w:rPr>
        <w:t>i)</w:t>
      </w:r>
      <w:r w:rsidRPr="00C60FC3">
        <w:rPr>
          <w:lang w:val="es-ES_tradnl"/>
        </w:rPr>
        <w:tab/>
        <w:t>la digitalización y la publicación en el sitio Web de la UPOV de documentos importantes que sólo están disponibles en formato impreso serían planificadas conforme a los recursos disponibles;</w:t>
      </w:r>
    </w:p>
    <w:p w:rsidR="00B43D13" w:rsidRPr="00C60FC3" w:rsidRDefault="00B43D13" w:rsidP="00BF2668">
      <w:pPr>
        <w:ind w:firstLine="567"/>
        <w:rPr>
          <w:lang w:val="es-ES_tradnl"/>
        </w:rPr>
      </w:pPr>
    </w:p>
    <w:p w:rsidR="00B43D13" w:rsidRPr="00C60FC3" w:rsidRDefault="00B43D13" w:rsidP="00BF2668">
      <w:pPr>
        <w:ind w:firstLine="1134"/>
        <w:rPr>
          <w:lang w:val="es-ES_tradnl"/>
        </w:rPr>
      </w:pPr>
      <w:r w:rsidRPr="00C60FC3">
        <w:rPr>
          <w:lang w:val="es-ES_tradnl"/>
        </w:rPr>
        <w:t>ii)</w:t>
      </w:r>
      <w:r w:rsidRPr="00C60FC3">
        <w:rPr>
          <w:lang w:val="es-ES_tradnl"/>
        </w:rPr>
        <w:tab/>
        <w:t>en diciembre de 2011, se invitó a los miembros pertinentes de la Unión a suministrar una lista consolidada de géneros y especies a fin de incluir en UPOV Lex, más adelante en 2012, las notificaciones de miembros de la Unión sobre géneros y especies vegetales;</w:t>
      </w:r>
    </w:p>
    <w:p w:rsidR="00B43D13" w:rsidRPr="00C60FC3" w:rsidRDefault="00B43D13" w:rsidP="00BF2668">
      <w:pPr>
        <w:ind w:firstLine="1134"/>
        <w:rPr>
          <w:lang w:val="es-ES_tradnl"/>
        </w:rPr>
      </w:pPr>
    </w:p>
    <w:p w:rsidR="00B43D13" w:rsidRPr="00C60FC3" w:rsidRDefault="00B43D13" w:rsidP="00BF2668">
      <w:pPr>
        <w:ind w:firstLine="1134"/>
        <w:rPr>
          <w:lang w:val="es-ES_tradnl"/>
        </w:rPr>
      </w:pPr>
      <w:r w:rsidRPr="00C60FC3">
        <w:rPr>
          <w:lang w:val="es-ES_tradnl"/>
        </w:rPr>
        <w:t>iii)</w:t>
      </w:r>
      <w:r w:rsidRPr="00C60FC3">
        <w:rPr>
          <w:lang w:val="es-ES_tradnl"/>
        </w:rPr>
        <w:tab/>
        <w:t>la publicación en el sitio Web de la UPOV de la fecha de la concesión de la condición de observador en la lista de observadores ante los órganos de la UPOV se llevará a cabo conforme a los recursos disponibles;</w:t>
      </w:r>
    </w:p>
    <w:p w:rsidR="00B43D13" w:rsidRPr="00C60FC3" w:rsidRDefault="00B43D13" w:rsidP="00BF2668">
      <w:pPr>
        <w:ind w:firstLine="1134"/>
        <w:rPr>
          <w:lang w:val="es-ES_tradnl"/>
        </w:rPr>
      </w:pPr>
    </w:p>
    <w:p w:rsidR="00B43D13" w:rsidRPr="00C60FC3" w:rsidRDefault="00B43D13" w:rsidP="00BF2668">
      <w:pPr>
        <w:ind w:firstLine="1134"/>
        <w:rPr>
          <w:lang w:val="es-ES_tradnl"/>
        </w:rPr>
      </w:pPr>
      <w:r w:rsidRPr="00C60FC3">
        <w:rPr>
          <w:lang w:val="es-ES_tradnl"/>
        </w:rPr>
        <w:t>iv)</w:t>
      </w:r>
      <w:r w:rsidRPr="00C60FC3">
        <w:rPr>
          <w:lang w:val="es-ES_tradnl"/>
        </w:rPr>
        <w:tab/>
        <w:t xml:space="preserve">se procederá lo antes posible a la publicación, en el </w:t>
      </w:r>
      <w:r w:rsidR="00C60FC3" w:rsidRPr="00C60FC3">
        <w:rPr>
          <w:lang w:val="es-ES_tradnl"/>
        </w:rPr>
        <w:t>sitio</w:t>
      </w:r>
      <w:r w:rsidRPr="00C60FC3">
        <w:rPr>
          <w:lang w:val="es-ES_tradnl"/>
        </w:rPr>
        <w:t xml:space="preserve"> Web de la UPOV, de información sobre el Presidente y el Vicepresidente del Consejo y sobre los Presidentes y Vicepresidentes de los órganos de la UPOV, con la debida información de contacto, así como a la publicación en ese mismo sitio Web de fotografías del Secretario General y del Secretario General Adjunto;</w:t>
      </w:r>
    </w:p>
    <w:p w:rsidR="00B43D13" w:rsidRPr="00C60FC3" w:rsidRDefault="00B43D13" w:rsidP="00BF2668">
      <w:pPr>
        <w:ind w:firstLine="1134"/>
        <w:rPr>
          <w:lang w:val="es-ES_tradnl"/>
        </w:rPr>
      </w:pPr>
    </w:p>
    <w:p w:rsidR="00B43D13" w:rsidRPr="00C60FC3" w:rsidRDefault="00B43D13" w:rsidP="00BF2668">
      <w:pPr>
        <w:ind w:firstLine="1134"/>
        <w:rPr>
          <w:lang w:val="es-ES_tradnl"/>
        </w:rPr>
      </w:pPr>
      <w:r w:rsidRPr="00C60FC3">
        <w:rPr>
          <w:lang w:val="es-ES_tradnl"/>
        </w:rPr>
        <w:t>v)</w:t>
      </w:r>
      <w:r w:rsidRPr="00C60FC3">
        <w:rPr>
          <w:lang w:val="es-ES_tradnl"/>
        </w:rPr>
        <w:tab/>
        <w:t>en sintonía con el sitio Web reestructurado de la UPOV, la creación de un canal UPOV en YouTube para alojar videos de la UPOV se llevará a cabo paralelamente a la concepción de una imagen coherente para el material de public</w:t>
      </w:r>
      <w:r w:rsidR="009B050B">
        <w:rPr>
          <w:lang w:val="es-ES_tradnl"/>
        </w:rPr>
        <w:t>ación y presentación de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e)</w:t>
      </w:r>
      <w:r w:rsidRPr="00C60FC3">
        <w:rPr>
          <w:lang w:val="es-ES_tradnl"/>
        </w:rPr>
        <w:tab/>
      </w:r>
      <w:r w:rsidRPr="00C60FC3">
        <w:rPr>
          <w:snapToGrid w:val="0"/>
          <w:lang w:val="es-ES_tradnl"/>
        </w:rPr>
        <w:t>convino en examinar, en su octogésima cuarta sesión, el recurso a la comunicación electrónica para las reuniones, sobre la base de un documento que sería preparado por la Oficina de la Unión;</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f)</w:t>
      </w:r>
      <w:r w:rsidRPr="00C60FC3">
        <w:rPr>
          <w:lang w:val="es-ES_tradnl"/>
        </w:rPr>
        <w:tab/>
        <w:t xml:space="preserve">convino en que el “Simposio sobre las ventajas de la protección de las obtenciones vegetales para los agricultores y los productores”, que tendría lugar en Ginebra el 2 de noviembre de 2012, quedara abierto a la participación del público, en función del espacio disponible, dándose prioridad a los participantes procedentes de miembros de la Unión, y Estados y organizaciones que gozan de la condición de observador;  aprobó la difusión del Simposio por Internet;  acordó el texto relativo al objetivo del Simposio;  suscribió los planes relativos al proyecto de programa del Simposio;  y convino en que se incluyera a un orador de entre los que recomendó la </w:t>
      </w:r>
      <w:r w:rsidRPr="00C60FC3">
        <w:rPr>
          <w:i/>
          <w:lang w:val="es-ES_tradnl"/>
        </w:rPr>
        <w:t>Association for Plant Breeding for the Benefit of Society</w:t>
      </w:r>
      <w:r w:rsidRPr="00C60FC3">
        <w:rPr>
          <w:lang w:val="es-ES_tradnl"/>
        </w:rPr>
        <w:t xml:space="preserve"> (APBREBES) para que presentara una ponencia en relación con la finalidad del Simposio;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ab/>
        <w:t>g)</w:t>
      </w:r>
      <w:r w:rsidRPr="00C60FC3">
        <w:rPr>
          <w:lang w:val="es-ES_tradnl"/>
        </w:rPr>
        <w:tab/>
        <w:t>pidió a la Oficina de la Unión que preparara un documento sobre la política de la UPOV de financiación de oradores y participantes a los fines de examinarlo en su octogésima cuarta sesión, que tendría lugar en Ginebra el 31 de octubre de 2012;  y</w:t>
      </w:r>
    </w:p>
    <w:p w:rsidR="00B43D13" w:rsidRPr="00C60FC3" w:rsidRDefault="00B43D13" w:rsidP="00BF2668">
      <w:pPr>
        <w:rPr>
          <w:lang w:val="es-ES_tradnl"/>
        </w:rPr>
      </w:pPr>
    </w:p>
    <w:p w:rsidR="00B43D13" w:rsidRPr="00C60FC3" w:rsidRDefault="00B43D13" w:rsidP="00BF2668">
      <w:pPr>
        <w:rPr>
          <w:snapToGrid w:val="0"/>
          <w:lang w:val="es-ES_tradnl"/>
        </w:rPr>
      </w:pPr>
      <w:r w:rsidRPr="00C60FC3">
        <w:rPr>
          <w:lang w:val="es-ES_tradnl"/>
        </w:rPr>
        <w:tab/>
        <w:t>h)</w:t>
      </w:r>
      <w:r w:rsidRPr="00C60FC3">
        <w:rPr>
          <w:lang w:val="es-ES_tradnl"/>
        </w:rPr>
        <w:tab/>
      </w:r>
      <w:r w:rsidRPr="00C60FC3">
        <w:rPr>
          <w:snapToGrid w:val="0"/>
          <w:lang w:val="es-ES_tradnl"/>
        </w:rPr>
        <w:t>tomó nota de las novedades relevantes para la UPOV en otras instancias internacionales, y</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w:t>
      </w:r>
      <w:r w:rsidRPr="00C60FC3">
        <w:rPr>
          <w:snapToGrid w:val="0"/>
          <w:lang w:val="es-ES_tradnl"/>
        </w:rPr>
        <w:tab/>
        <w:t>aprobó la participación de la Oficina de la Unión en el Marco de la Organización Mundial de la Propiedad Intelectual (OMPI) de elaboración de estrategias nacionales de propiedad intelectual para el desarrollo;</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ii)</w:t>
      </w:r>
      <w:r w:rsidRPr="00C60FC3">
        <w:rPr>
          <w:snapToGrid w:val="0"/>
          <w:lang w:val="es-ES_tradnl"/>
        </w:rPr>
        <w:tab/>
        <w:t>aprobó la contribución de la Oficina de la Unión a la elaboración del cuestionario de la OMPI “Instrumento para evaluar la situación actual del sistema de propiedad intelectual, los objetivos estratégicos y las necesidades en el plano nacional conforme a las prioridades de desarrollo del país”.</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fldChar w:fldCharType="begin"/>
      </w:r>
      <w:r w:rsidRPr="00C60FC3">
        <w:rPr>
          <w:snapToGrid w:val="0"/>
          <w:lang w:val="es-ES_tradnl"/>
        </w:rPr>
        <w:instrText xml:space="preserve"> AUTONUM  </w:instrText>
      </w:r>
      <w:r w:rsidRPr="00C60FC3">
        <w:rPr>
          <w:snapToGrid w:val="0"/>
          <w:lang w:val="es-ES_tradnl"/>
        </w:rPr>
        <w:fldChar w:fldCharType="end"/>
      </w:r>
      <w:r w:rsidRPr="00C60FC3">
        <w:rPr>
          <w:snapToGrid w:val="0"/>
          <w:lang w:val="es-ES_tradnl"/>
        </w:rPr>
        <w:tab/>
        <w:t xml:space="preserve">El documento </w:t>
      </w:r>
      <w:proofErr w:type="gramStart"/>
      <w:r w:rsidRPr="00C60FC3">
        <w:rPr>
          <w:snapToGrid w:val="0"/>
          <w:lang w:val="es-ES_tradnl"/>
        </w:rPr>
        <w:t>C(</w:t>
      </w:r>
      <w:proofErr w:type="gramEnd"/>
      <w:r w:rsidRPr="00C60FC3">
        <w:rPr>
          <w:snapToGrid w:val="0"/>
          <w:lang w:val="es-ES_tradnl"/>
        </w:rPr>
        <w:t>Extr.)/29/4 contiene un informe sobre la labor realizada en la octogésima tercera sesión del Comité Consultivo.</w:t>
      </w:r>
    </w:p>
    <w:p w:rsidR="00B43D13" w:rsidRPr="00C60FC3" w:rsidRDefault="00B43D13" w:rsidP="00BF2668">
      <w:pPr>
        <w:rPr>
          <w:snapToGrid w:val="0"/>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Comité Consultivo celebró su octogésima cuarta sesión el 31 de octubre de 2012 bajo la presidencia del Sr. Choi Keun-Jin (República de Corea).  En esa sesión, además del examen preliminar del proyecto de Ley de </w:t>
      </w:r>
      <w:r w:rsidR="009B050B">
        <w:rPr>
          <w:lang w:val="es-ES_tradnl"/>
        </w:rPr>
        <w:t xml:space="preserve">Ghana sobre los </w:t>
      </w:r>
      <w:r w:rsidRPr="00C60FC3">
        <w:rPr>
          <w:lang w:val="es-ES_tradnl"/>
        </w:rPr>
        <w:t>Obtentor</w:t>
      </w:r>
      <w:r w:rsidR="009B050B">
        <w:rPr>
          <w:lang w:val="es-ES_tradnl"/>
        </w:rPr>
        <w:t>es</w:t>
      </w:r>
      <w:r w:rsidRPr="00C60FC3">
        <w:rPr>
          <w:lang w:val="es-ES_tradnl"/>
        </w:rPr>
        <w:t xml:space="preserve"> y del proyecto de Ley </w:t>
      </w:r>
      <w:r w:rsidR="009B050B">
        <w:rPr>
          <w:lang w:val="es-ES_tradnl"/>
        </w:rPr>
        <w:t xml:space="preserve">sobre los </w:t>
      </w:r>
      <w:r w:rsidRPr="00C60FC3">
        <w:rPr>
          <w:lang w:val="es-ES_tradnl"/>
        </w:rPr>
        <w:t xml:space="preserve">Derechos de Obtentor </w:t>
      </w:r>
      <w:r w:rsidR="009B050B">
        <w:rPr>
          <w:lang w:val="es-ES_tradnl"/>
        </w:rPr>
        <w:t xml:space="preserve">para Tanzanía </w:t>
      </w:r>
      <w:r w:rsidRPr="00C60FC3">
        <w:rPr>
          <w:lang w:val="es-ES_tradnl"/>
        </w:rPr>
        <w:t>continental (véase el párrafo 10.a) anterior), y de asesorar al Consejo sobre la aprobación de documentos (véase el párrafo 10.c) anterior) y el proyecto de comunicado de prensa, el Comité Consultivo:</w:t>
      </w:r>
    </w:p>
    <w:p w:rsidR="00B43D13" w:rsidRPr="00C60FC3" w:rsidRDefault="00B43D13" w:rsidP="00BF2668">
      <w:pPr>
        <w:rPr>
          <w:lang w:val="es-ES_tradnl"/>
        </w:rPr>
      </w:pPr>
    </w:p>
    <w:p w:rsidR="00B43D13" w:rsidRPr="00C60FC3" w:rsidRDefault="00B43D13" w:rsidP="00BF2668">
      <w:pPr>
        <w:rPr>
          <w:lang w:val="es-ES_tradnl"/>
        </w:rPr>
      </w:pPr>
      <w:r w:rsidRPr="00C60FC3">
        <w:rPr>
          <w:snapToGrid w:val="0"/>
          <w:lang w:val="es-ES_tradnl"/>
        </w:rPr>
        <w:tab/>
        <w:t>a)</w:t>
      </w:r>
      <w:r w:rsidRPr="00C60FC3">
        <w:rPr>
          <w:snapToGrid w:val="0"/>
          <w:lang w:val="es-ES_tradnl"/>
        </w:rPr>
        <w:tab/>
        <w:t xml:space="preserve">tomó nota de las novedades en relación con el acceso a los documentos de la UPOV y la publicación de información, </w:t>
      </w:r>
      <w:r w:rsidRPr="00C60FC3">
        <w:rPr>
          <w:lang w:val="es-ES_tradnl"/>
        </w:rPr>
        <w:t xml:space="preserve">y en particular: </w:t>
      </w:r>
    </w:p>
    <w:p w:rsidR="00B43D13" w:rsidRPr="00C60FC3" w:rsidRDefault="00B43D13" w:rsidP="00BF2668">
      <w:pPr>
        <w:rPr>
          <w:lang w:val="es-ES_tradnl"/>
        </w:rPr>
      </w:pPr>
    </w:p>
    <w:p w:rsidR="00B43D13" w:rsidRPr="00C60FC3" w:rsidRDefault="00B43D13" w:rsidP="00BF2668">
      <w:pPr>
        <w:rPr>
          <w:snapToGrid w:val="0"/>
          <w:lang w:val="es-ES_tradnl"/>
        </w:rPr>
      </w:pPr>
      <w:r w:rsidRPr="00C60FC3">
        <w:rPr>
          <w:lang w:val="es-ES_tradnl"/>
        </w:rPr>
        <w:tab/>
      </w:r>
      <w:r w:rsidRPr="00C60FC3">
        <w:rPr>
          <w:lang w:val="es-ES_tradnl"/>
        </w:rPr>
        <w:tab/>
        <w:t>i)</w:t>
      </w:r>
      <w:r w:rsidRPr="00C60FC3">
        <w:rPr>
          <w:lang w:val="es-ES_tradnl"/>
        </w:rPr>
        <w:tab/>
      </w:r>
      <w:r w:rsidRPr="00C60FC3">
        <w:rPr>
          <w:rFonts w:cs="Arial"/>
          <w:snapToGrid w:val="0"/>
          <w:lang w:val="es-ES_tradnl"/>
        </w:rPr>
        <w:t>tomó nota de las nuevas funciones de la base de datos sobre variedades vegetales PLUTO.  En particular, tomó nota de que el requisito de que los usuarios se inscriban para utilizar la base de datos PLUTO se ampliará a la base de datos GENIE y que el procedimiento de inscripción se utilizará para exigir a los usuarios que acepten los descargos de responsabilidad pertinentes a dichas bases de datos</w:t>
      </w:r>
      <w:r w:rsidRPr="00C60FC3">
        <w:rPr>
          <w:snapToGrid w:val="0"/>
          <w:lang w:val="es-ES_tradnl"/>
        </w:rPr>
        <w:t>. Tomó nota asimismo de que el requisito de inscripción para utilizar la base de datos PLUTO entraría en vigor en noviembre de 2012;</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ii)</w:t>
      </w:r>
      <w:r w:rsidRPr="00C60FC3">
        <w:rPr>
          <w:snapToGrid w:val="0"/>
          <w:lang w:val="es-ES_tradnl"/>
        </w:rPr>
        <w:tab/>
        <w:t>tomó nota de que el TC ha acordado añadir una portada a todas las versiones de las directrices de examen anteriormente aprobadas en la que se indicará su condición antes de que estos documentos se publiquen en el sitio Web de la UPOV;</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iii)</w:t>
      </w:r>
      <w:r w:rsidRPr="00C60FC3">
        <w:rPr>
          <w:snapToGrid w:val="0"/>
          <w:lang w:val="es-ES_tradnl"/>
        </w:rPr>
        <w:tab/>
        <w:t>acordó examinar en su octogésima quinta sesión, en marzo de 2013, una propuesta de revisión del texto de descargo de responsabilidad relativo a la sección del sitio Web dedicada a las reuniones de la UPOV, con el fin de hacer referencia a los documentos aprobados por el Consejo que estén en vigor en ese momento, y la posibilidad de añadir un descargo de responsabilidad a cada documento de sesión de la UPOV, indicando la situación de esos documentos;</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iv)</w:t>
      </w:r>
      <w:r w:rsidRPr="00C60FC3">
        <w:rPr>
          <w:snapToGrid w:val="0"/>
          <w:lang w:val="es-ES_tradnl"/>
        </w:rPr>
        <w:tab/>
        <w:t xml:space="preserve">tomó nota de que los recursos de la Oficina de la Unión todavía no han permitido escanear y publicar en el sitio Web de la UPOV todos los documentos importantes que solamente están disponibles en papel y de que la Oficina de la Unión sigue verificando la correcta incorporación de documentos al nuevo sitio Web de la UPOV; </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v)</w:t>
      </w:r>
      <w:r w:rsidRPr="00C60FC3">
        <w:rPr>
          <w:snapToGrid w:val="0"/>
          <w:lang w:val="es-ES_tradnl"/>
        </w:rPr>
        <w:tab/>
        <w:t>tomó nota de que la base de datos UPOV Lex se ha modificado para incluir las notificaciones de los miembros de la Unión sobre géneros y especies vegetales y que, en noviembre de 2012, incluirá toda la información facilitada por los miembros de la Unión en respuesta a la invitación cursada en diciembre de 2011;</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r>
      <w:proofErr w:type="gramStart"/>
      <w:r w:rsidRPr="00C60FC3">
        <w:rPr>
          <w:snapToGrid w:val="0"/>
          <w:lang w:val="es-ES_tradnl"/>
        </w:rPr>
        <w:t>vi</w:t>
      </w:r>
      <w:proofErr w:type="gramEnd"/>
      <w:r w:rsidRPr="00C60FC3">
        <w:rPr>
          <w:snapToGrid w:val="0"/>
          <w:lang w:val="es-ES_tradnl"/>
        </w:rPr>
        <w:t>)</w:t>
      </w:r>
      <w:r w:rsidRPr="00C60FC3">
        <w:rPr>
          <w:snapToGrid w:val="0"/>
          <w:lang w:val="es-ES_tradnl"/>
        </w:rPr>
        <w:tab/>
        <w:t>tomó nota de que los recursos de la Oficina de la Unión no habían permitido hasta ahora publicar en el sitio Web de la UPOV la fecha de la concesión de la condición de observador en la lista de observadores ante los órganos de la UPOV;</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vii)</w:t>
      </w:r>
      <w:r w:rsidRPr="00C60FC3">
        <w:rPr>
          <w:snapToGrid w:val="0"/>
          <w:lang w:val="es-ES_tradnl"/>
        </w:rPr>
        <w:tab/>
        <w:t>tomó nota de que, junto con la publicación de la información relativa al Presidente y al Vicepresidente del Consejo y los Presidentes y Vicepresidentes de los órganos de la UPOV, en octubre de 2012 se publicó, en el sitio Web de la UPOV, la debida información de contacto y las fotografías del Secretario General y del Secretario General Adjunto;</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viii)</w:t>
      </w:r>
      <w:r w:rsidRPr="00C60FC3">
        <w:rPr>
          <w:snapToGrid w:val="0"/>
          <w:lang w:val="es-ES_tradnl"/>
        </w:rPr>
        <w:tab/>
        <w:t>tomó nota del informe sobre el plan para la creación de un canal UPOV en YouTube e invitó a la Oficina de la Unión a preparar una propuesta de estrategia de comunicación, incluido un examen sobre la posible utilización de los medios sociales, que se someterá a consideración del Comité Consultivo en su octogésima quinta sesión, que se celebrará en marzo de 2013;</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ix)</w:t>
      </w:r>
      <w:r w:rsidRPr="00C60FC3">
        <w:rPr>
          <w:snapToGrid w:val="0"/>
          <w:lang w:val="es-ES_tradnl"/>
        </w:rPr>
        <w:tab/>
        <w:t>tomó nota del proyecto de programa del “Simposio sobre las ventajas de la protección de las obtenciones vegetales para los agricultores y los productores”;</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x)</w:t>
      </w:r>
      <w:r w:rsidRPr="00C60FC3">
        <w:rPr>
          <w:snapToGrid w:val="0"/>
          <w:lang w:val="es-ES_tradnl"/>
        </w:rPr>
        <w:tab/>
        <w:t xml:space="preserve">tomó nota de que las actas del “Simposio sobre el fitomejoramiento para el futuro” se publicarán junto con el programa de actividades relativas al quincuagésimo aniversario en un documento que se facilitará a los participantes en la cuadragésima sexta sesión </w:t>
      </w:r>
      <w:r w:rsidR="009B050B">
        <w:rPr>
          <w:snapToGrid w:val="0"/>
          <w:lang w:val="es-ES_tradnl"/>
        </w:rPr>
        <w:t xml:space="preserve">ordinaria </w:t>
      </w:r>
      <w:r w:rsidRPr="00C60FC3">
        <w:rPr>
          <w:snapToGrid w:val="0"/>
          <w:lang w:val="es-ES_tradnl"/>
        </w:rPr>
        <w:t>del Consejo;</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xi)</w:t>
      </w:r>
      <w:r w:rsidRPr="00C60FC3">
        <w:rPr>
          <w:snapToGrid w:val="0"/>
          <w:lang w:val="es-ES_tradnl"/>
        </w:rPr>
        <w:tab/>
        <w:t>tomó nota de que, a principios de 2013, se publicará un volumen que contendrá las actas del “Seminario sobre la protección de las variedades vegetales y la transferencia de tecnología: beneficios de la colaboración público-privada”, las del “Simposio sobre el fitomejoramiento para el futuro” y las del “Simposio sobre las ventajas de la protección de las obtenciones vegetales para los agricultores y los productores” y que, además, todas estas actas se publicarán en el sitio Web de la UPOV;</w:t>
      </w:r>
    </w:p>
    <w:p w:rsidR="00B43D13" w:rsidRPr="00C60FC3" w:rsidRDefault="00B43D13" w:rsidP="00BF2668">
      <w:pPr>
        <w:rPr>
          <w:snapToGrid w:val="0"/>
          <w:lang w:val="es-ES_tradnl"/>
        </w:rPr>
      </w:pPr>
    </w:p>
    <w:p w:rsidR="00B43D13" w:rsidRPr="00C60FC3" w:rsidRDefault="00B43D13" w:rsidP="00BF2668">
      <w:pPr>
        <w:keepNext/>
        <w:rPr>
          <w:snapToGrid w:val="0"/>
          <w:lang w:val="es-ES_tradnl"/>
        </w:rPr>
      </w:pPr>
      <w:r w:rsidRPr="00C60FC3">
        <w:rPr>
          <w:snapToGrid w:val="0"/>
          <w:lang w:val="es-ES_tradnl"/>
        </w:rPr>
        <w:tab/>
        <w:t>b)</w:t>
      </w:r>
      <w:r w:rsidRPr="00C60FC3">
        <w:rPr>
          <w:snapToGrid w:val="0"/>
          <w:lang w:val="es-ES_tradnl"/>
        </w:rPr>
        <w:tab/>
        <w:t>tomó nota de la utilización de la comunicación electrónica para las reuniones, y en particular:</w:t>
      </w:r>
    </w:p>
    <w:p w:rsidR="00B43D13" w:rsidRPr="00C60FC3" w:rsidRDefault="00B43D13" w:rsidP="00BF2668">
      <w:pPr>
        <w:keepNext/>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w:t>
      </w:r>
      <w:r w:rsidRPr="00C60FC3">
        <w:rPr>
          <w:snapToGrid w:val="0"/>
          <w:lang w:val="es-ES_tradnl"/>
        </w:rPr>
        <w:tab/>
        <w:t>tomó nota de la utilización de la modalidad de conferencia</w:t>
      </w:r>
      <w:r w:rsidR="009B050B">
        <w:rPr>
          <w:snapToGrid w:val="0"/>
          <w:lang w:val="es-ES_tradnl"/>
        </w:rPr>
        <w:t>s por Internet por parte del TC</w:t>
      </w:r>
      <w:r w:rsidR="009B050B">
        <w:rPr>
          <w:snapToGrid w:val="0"/>
          <w:lang w:val="es-ES_tradnl"/>
        </w:rPr>
        <w:noBreakHyphen/>
      </w:r>
      <w:r w:rsidRPr="00C60FC3">
        <w:rPr>
          <w:snapToGrid w:val="0"/>
          <w:lang w:val="es-ES_tradnl"/>
        </w:rPr>
        <w:t>EDC, los TWP y la Oficina de la Unión, y aprobó la utilización de la modalidad de conferencias por Internet por parte de los órganos de la UPOV, cuando el órgano correspondiente lo estime conveniente, para facilitar la participación de los miembros de la Unión y de los observadores de conformidad con los procedimientos vigentes, y por parte de la Oficina de la Unión, cuando lo considere oportuno, para facilitar la participación de quienes haya</w:t>
      </w:r>
      <w:r w:rsidR="009B050B">
        <w:rPr>
          <w:snapToGrid w:val="0"/>
          <w:lang w:val="es-ES_tradnl"/>
        </w:rPr>
        <w:t>n sido invitados a sus sesiones;</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ii)</w:t>
      </w:r>
      <w:r w:rsidRPr="00C60FC3">
        <w:rPr>
          <w:snapToGrid w:val="0"/>
          <w:lang w:val="es-ES_tradnl"/>
        </w:rPr>
        <w:tab/>
        <w:t xml:space="preserve">aprobó la difusión por Internet de las sesiones de los órganos de la UPOV, dirigida únicamente a miembros de la Unión y observadores de conformidad con los procedimientos vigentes, cuando el correspondiente órgano de la UPOV lo estime conveniente.  De acuerdo con dichos procedimientos, se accedería a la difusión por Internet mediante una contraseña que se proporcionaría a las personas designadas del correspondiente órgano de la UPOV, y la participación sería supervisada por la Oficina de la Unión.  En todos los demás casos de difusión por Internet, se invitará al Comité Consultivo a que apruebe los preparativos necesarios para que ésta pueda llevarse a cabo.  También acordó aprobar la difusión por Internet del “Simposio sobre las ventajas de la protección de las obtenciones vegetales para los agricultores y los productores”, que se celebraría en Ginebra el 2 de noviembre de 2012, a través del sitio Web de la UPOV, </w:t>
      </w:r>
      <w:r w:rsidR="009B050B">
        <w:rPr>
          <w:snapToGrid w:val="0"/>
          <w:lang w:val="es-ES_tradnl"/>
        </w:rPr>
        <w:t xml:space="preserve">tras </w:t>
      </w:r>
      <w:r w:rsidRPr="00C60FC3">
        <w:rPr>
          <w:snapToGrid w:val="0"/>
          <w:lang w:val="es-ES_tradnl"/>
        </w:rPr>
        <w:t xml:space="preserve">el oportuno </w:t>
      </w:r>
      <w:r w:rsidR="009B050B">
        <w:rPr>
          <w:snapToGrid w:val="0"/>
          <w:lang w:val="es-ES_tradnl"/>
        </w:rPr>
        <w:t xml:space="preserve">periodo de retraso </w:t>
      </w:r>
      <w:r w:rsidRPr="00C60FC3">
        <w:rPr>
          <w:snapToGrid w:val="0"/>
          <w:lang w:val="es-ES_tradnl"/>
        </w:rPr>
        <w:t xml:space="preserve">de </w:t>
      </w:r>
      <w:r w:rsidR="009B050B">
        <w:rPr>
          <w:snapToGrid w:val="0"/>
          <w:lang w:val="es-ES_tradnl"/>
        </w:rPr>
        <w:t>la transmisión;</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c)</w:t>
      </w:r>
      <w:r w:rsidRPr="00C60FC3">
        <w:rPr>
          <w:snapToGrid w:val="0"/>
          <w:lang w:val="es-ES_tradnl"/>
        </w:rPr>
        <w:tab/>
        <w:t>señaló que el curso avanzado de enseñanza a distancia DL-305 “Examen de solicitudes de derechos de obtentor” contendrá un módulo adicional sobre “Diseño de los ensayos y análisis de datos”, y aprobó los planes para poner en marcha el curso avanzado de enseñanza a distancia DL-305;  también señaló que se firmará un memorando de entendimiento y una carta de entendimiento entre la UPOV y Naktuinbouw para la elaboración de los módulos de la Sección IV “Examen DHE”;</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d)</w:t>
      </w:r>
      <w:r w:rsidRPr="00C60FC3">
        <w:rPr>
          <w:snapToGrid w:val="0"/>
          <w:lang w:val="es-ES_tradnl"/>
        </w:rPr>
        <w:tab/>
        <w:t>tomó nota de la demostración del prototipo de página Web sobre asistencia realizada en su octogésima cuarta sesión y aprobó la puesta en marcha de dicha página Web sobre la base del prototipo, y en una zona del sitio Web de la UPOV que fuera accesible por conducto de la zona restringida, y por medio de un enlace separado y una contraseña que será transmitida al representante y al suplente de cada miembro de la Unión ante el Consejo;  asimismo, tomó nota de que las propuestas relativas a la elaboración de la sección “Solicitudes de asistencia en materia de protección de las obtenciones vegetales” y de la sección “Informes sobre asistencia” se presentarán más adelante;</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e)</w:t>
      </w:r>
      <w:r w:rsidRPr="00C60FC3">
        <w:rPr>
          <w:snapToGrid w:val="0"/>
          <w:lang w:val="es-ES_tradnl"/>
        </w:rPr>
        <w:tab/>
        <w:t xml:space="preserve">recomendó al Consejo aprobar las cuentas del ejercicio </w:t>
      </w:r>
      <w:r w:rsidR="009B050B">
        <w:rPr>
          <w:snapToGrid w:val="0"/>
          <w:lang w:val="es-ES_tradnl"/>
        </w:rPr>
        <w:t xml:space="preserve">financiero </w:t>
      </w:r>
      <w:r w:rsidRPr="00C60FC3">
        <w:rPr>
          <w:snapToGrid w:val="0"/>
          <w:lang w:val="es-ES_tradnl"/>
        </w:rPr>
        <w:t xml:space="preserve">2010-2011 y tomó nota del informe del auditor sobre las cuentas del bienio 2010-2011;  tomó nota de la información sobre el fondo de reserva en relación con el bienio 2010­2011, así como del anticipo de la situación relativa a las reservas al cierre del ejercicio </w:t>
      </w:r>
      <w:r w:rsidR="009B050B">
        <w:rPr>
          <w:snapToGrid w:val="0"/>
          <w:lang w:val="es-ES_tradnl"/>
        </w:rPr>
        <w:t xml:space="preserve">financiero </w:t>
      </w:r>
      <w:r w:rsidRPr="00C60FC3">
        <w:rPr>
          <w:snapToGrid w:val="0"/>
          <w:lang w:val="es-ES_tradnl"/>
        </w:rPr>
        <w:t>del bienio </w:t>
      </w:r>
      <w:r w:rsidR="001257C0">
        <w:rPr>
          <w:snapToGrid w:val="0"/>
          <w:lang w:val="es-ES_tradnl"/>
        </w:rPr>
        <w:t>2012</w:t>
      </w:r>
      <w:r w:rsidR="001257C0">
        <w:rPr>
          <w:snapToGrid w:val="0"/>
          <w:lang w:val="es-ES_tradnl"/>
        </w:rPr>
        <w:noBreakHyphen/>
        <w:t>2013</w:t>
      </w:r>
      <w:r w:rsidRPr="00C60FC3">
        <w:rPr>
          <w:snapToGrid w:val="0"/>
          <w:lang w:val="es-ES_tradnl"/>
        </w:rPr>
        <w:t xml:space="preserve"> sobre la base de los resultados financieros del bienio 2010-2011, el programa y presupuesto para el bienio 2012­2013 y la adopción de las Normas Internacionales de Contabilidad del Sector Público (IPSAS);</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f)</w:t>
      </w:r>
      <w:r w:rsidRPr="00C60FC3">
        <w:rPr>
          <w:snapToGrid w:val="0"/>
          <w:lang w:val="es-ES_tradnl"/>
        </w:rPr>
        <w:tab/>
        <w:t>tomó nota de la situación del pago de las contribuciones al 30 de septiembre de 2012, y tomó nota de que, debido a los recientes pagos efectuados, Belarús, España, Italia, Marruecos y Panamá no presentaban atrasos;</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g)</w:t>
      </w:r>
      <w:r w:rsidRPr="00C60FC3">
        <w:rPr>
          <w:snapToGrid w:val="0"/>
          <w:lang w:val="es-ES_tradnl"/>
        </w:rPr>
        <w:tab/>
        <w:t>tomó nota de que la UPOV aplicará la política de la OMPI de financiación de terceros, a reserva de que la UPOV:  seguirá financiando únicamente los vuelos por avión en clase turista;  seguirá proporcionando un viático diario reducido, diferente al que aplica la OMPI, en los casos en que la UPOV acuerde pagar el alojamiento directamente;  pedirá que se aliente a los terceros que corresponda del sector privado a que participen por sus propios medios, si bien, en la medida en que la Oficina de la Unión lo considere adecuado, la UPOV financiará el viaje y los gastos conexos;  y seguirá sin pagar honorarios;</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h)</w:t>
      </w:r>
      <w:r w:rsidRPr="00C60FC3">
        <w:rPr>
          <w:snapToGrid w:val="0"/>
          <w:lang w:val="es-ES_tradnl"/>
        </w:rPr>
        <w:tab/>
        <w:t>tomó nota de las cuestiones relativas a los observadores ante los órganos de la UPOV, y en particular:</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w:t>
      </w:r>
      <w:r w:rsidRPr="00C60FC3">
        <w:rPr>
          <w:snapToGrid w:val="0"/>
          <w:lang w:val="es-ES_tradnl"/>
        </w:rPr>
        <w:tab/>
        <w:t>tomó nota de la concesión a Ghana de la condición de observador ante el TC y los TWP;</w:t>
      </w:r>
    </w:p>
    <w:p w:rsidR="00B43D13" w:rsidRPr="00C60FC3" w:rsidRDefault="00B43D13" w:rsidP="00BF2668">
      <w:pPr>
        <w:rPr>
          <w:snapToGrid w:val="0"/>
          <w:lang w:val="es-ES_tradnl"/>
        </w:rPr>
      </w:pPr>
    </w:p>
    <w:p w:rsidR="00B43D13" w:rsidRPr="00C60FC3" w:rsidRDefault="00B43D13" w:rsidP="00BF2668">
      <w:pPr>
        <w:rPr>
          <w:rFonts w:cs="Arial"/>
          <w:lang w:val="es-ES_tradnl"/>
        </w:rPr>
      </w:pPr>
      <w:r w:rsidRPr="00C60FC3">
        <w:rPr>
          <w:snapToGrid w:val="0"/>
          <w:lang w:val="es-ES_tradnl"/>
        </w:rPr>
        <w:tab/>
      </w:r>
      <w:r w:rsidRPr="00C60FC3">
        <w:rPr>
          <w:snapToGrid w:val="0"/>
          <w:lang w:val="es-ES_tradnl"/>
        </w:rPr>
        <w:tab/>
        <w:t>ii)</w:t>
      </w:r>
      <w:r w:rsidRPr="00C60FC3">
        <w:rPr>
          <w:snapToGrid w:val="0"/>
          <w:lang w:val="es-ES_tradnl"/>
        </w:rPr>
        <w:tab/>
        <w:t>expresó la opinión de que el cambio de nombre de “</w:t>
      </w:r>
      <w:r w:rsidRPr="00C60FC3">
        <w:rPr>
          <w:i/>
          <w:snapToGrid w:val="0"/>
          <w:lang w:val="es-ES_tradnl"/>
        </w:rPr>
        <w:t>Association for Plant Breeding for the Benefit of Society</w:t>
      </w:r>
      <w:r w:rsidRPr="00C60FC3">
        <w:rPr>
          <w:snapToGrid w:val="0"/>
          <w:lang w:val="es-ES_tradnl"/>
        </w:rPr>
        <w:t xml:space="preserve"> (APBREBES)” a “</w:t>
      </w:r>
      <w:r w:rsidRPr="00C60FC3">
        <w:rPr>
          <w:i/>
          <w:snapToGrid w:val="0"/>
          <w:lang w:val="es-ES_tradnl"/>
        </w:rPr>
        <w:t>Seeds for All</w:t>
      </w:r>
      <w:r w:rsidRPr="00C60FC3">
        <w:rPr>
          <w:snapToGrid w:val="0"/>
          <w:lang w:val="es-ES_tradnl"/>
        </w:rPr>
        <w:t xml:space="preserve">”, sin modificaciones sustantivas en los estatutos ni en el objetivo, en principio, no incidirá en la condición de observador de APBREBES.  Sin embargo, el Comité Consultivo señaló </w:t>
      </w:r>
      <w:proofErr w:type="gramStart"/>
      <w:r w:rsidRPr="00C60FC3">
        <w:rPr>
          <w:snapToGrid w:val="0"/>
          <w:lang w:val="es-ES_tradnl"/>
        </w:rPr>
        <w:t>de que</w:t>
      </w:r>
      <w:proofErr w:type="gramEnd"/>
      <w:r w:rsidRPr="00C60FC3">
        <w:rPr>
          <w:snapToGrid w:val="0"/>
          <w:lang w:val="es-ES_tradnl"/>
        </w:rPr>
        <w:t xml:space="preserve"> el Comité Consultivo deberá examinar dicha cuestión cuando APBREBES notifique a la Oficina de la Unión cualquier modificación en los estatutos de la organización;</w:t>
      </w:r>
    </w:p>
    <w:p w:rsidR="00B43D13" w:rsidRPr="00C60FC3" w:rsidRDefault="00B43D13" w:rsidP="00BF2668">
      <w:pPr>
        <w:rPr>
          <w:rFonts w:cs="Arial"/>
          <w:lang w:val="es-ES_tradnl"/>
        </w:rPr>
      </w:pPr>
    </w:p>
    <w:p w:rsidR="00B43D13" w:rsidRPr="00C60FC3" w:rsidRDefault="00B43D13" w:rsidP="00BF2668">
      <w:pPr>
        <w:rPr>
          <w:snapToGrid w:val="0"/>
          <w:lang w:val="es-ES_tradnl"/>
        </w:rPr>
      </w:pPr>
      <w:r w:rsidRPr="00C60FC3">
        <w:rPr>
          <w:rFonts w:cs="Arial"/>
          <w:lang w:val="es-ES_tradnl"/>
        </w:rPr>
        <w:tab/>
        <w:t>i)</w:t>
      </w:r>
      <w:r w:rsidRPr="00C60FC3">
        <w:rPr>
          <w:rFonts w:cs="Arial"/>
          <w:lang w:val="es-ES_tradnl"/>
        </w:rPr>
        <w:tab/>
      </w:r>
      <w:r w:rsidRPr="00C60FC3">
        <w:rPr>
          <w:snapToGrid w:val="0"/>
          <w:lang w:val="es-ES_tradnl"/>
        </w:rPr>
        <w:t>aprobó la publicación de un documento en el sitio Web de la UPOV que contenga la lista de los miembros de la UPOV, la lista de los Estados y organizaciones intergubernamentales que han iniciado el procedimiento de adhesión al Convenio de la UPOV, y la lista de los Estados y organizaciones intergubernamentales que han entrado en contacto con la Oficina de la Unión para solicitar asistencia en la elaboración de leyes basadas en el Convenio de la UPOV;</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j)</w:t>
      </w:r>
      <w:r w:rsidRPr="00C60FC3">
        <w:rPr>
          <w:snapToGrid w:val="0"/>
          <w:lang w:val="es-ES_tradnl"/>
        </w:rPr>
        <w:tab/>
        <w:t>acogió con agrado los informes remitidos por los nuevos miembros de la Unión, a saber, la República Dominicana, Turquía y Viet Nam, y acordó invitar a Georgia a presentar una ponencia en su octogésima sexta sesión, en octubre de 2013;</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k)</w:t>
      </w:r>
      <w:r w:rsidRPr="00C60FC3">
        <w:rPr>
          <w:snapToGrid w:val="0"/>
          <w:lang w:val="es-ES_tradnl"/>
        </w:rPr>
        <w:tab/>
        <w:t>tomó nota de las novedades relevantes para la UPOV en otras instancias internacionales, y</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w:t>
      </w:r>
      <w:r w:rsidRPr="00C60FC3">
        <w:rPr>
          <w:snapToGrid w:val="0"/>
          <w:lang w:val="es-ES_tradnl"/>
        </w:rPr>
        <w:tab/>
        <w:t>aprobó la participación de la Oficina de la Unión en la plataforma de codesarrollo y transferencia de tecnologías del Tratado Internacional sobre los Recursos Fitogenéticos para la Alimentación y la Agricultura (ITPGRFA);</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ii)</w:t>
      </w:r>
      <w:r w:rsidRPr="00C60FC3">
        <w:rPr>
          <w:snapToGrid w:val="0"/>
          <w:lang w:val="es-ES_tradnl"/>
        </w:rPr>
        <w:tab/>
        <w:t>aprobó la presentación de informes en futuras sesiones del ITPGRFA, que se relacionarán con todas las Actas del Convenio de la UPOV;</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r>
      <w:r w:rsidRPr="00C60FC3">
        <w:rPr>
          <w:snapToGrid w:val="0"/>
          <w:lang w:val="es-ES_tradnl"/>
        </w:rPr>
        <w:tab/>
        <w:t>iii)</w:t>
      </w:r>
      <w:r w:rsidRPr="00C60FC3">
        <w:rPr>
          <w:snapToGrid w:val="0"/>
          <w:lang w:val="es-ES_tradnl"/>
        </w:rPr>
        <w:tab/>
        <w:t>aprobó la participación de la UPOV en la iniciativa de la OMPI sobre producción sostenible del trigo en la República Unida de Tanzanía;</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l)</w:t>
      </w:r>
      <w:r w:rsidRPr="00C60FC3">
        <w:rPr>
          <w:snapToGrid w:val="0"/>
          <w:lang w:val="es-ES_tradnl"/>
        </w:rPr>
        <w:tab/>
        <w:t xml:space="preserve">tomó nota de las propuestas relativas al calendario de reuniones </w:t>
      </w:r>
      <w:r w:rsidR="009B050B">
        <w:rPr>
          <w:snapToGrid w:val="0"/>
          <w:lang w:val="es-ES_tradnl"/>
        </w:rPr>
        <w:t>en</w:t>
      </w:r>
      <w:r w:rsidRPr="00C60FC3">
        <w:rPr>
          <w:snapToGrid w:val="0"/>
          <w:lang w:val="es-ES_tradnl"/>
        </w:rPr>
        <w:t> 2013;  y</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tab/>
        <w:t>m)</w:t>
      </w:r>
      <w:r w:rsidRPr="00C60FC3">
        <w:rPr>
          <w:snapToGrid w:val="0"/>
          <w:lang w:val="es-ES_tradnl"/>
        </w:rPr>
        <w:tab/>
      </w:r>
      <w:r w:rsidRPr="00C60FC3">
        <w:rPr>
          <w:lang w:val="es-ES_tradnl"/>
        </w:rPr>
        <w:t>recomendó al Consejo que aprobara el proyecto de comunicado de prensa.</w:t>
      </w:r>
    </w:p>
    <w:p w:rsidR="00B43D13" w:rsidRPr="00C60FC3" w:rsidRDefault="00B43D13" w:rsidP="00BF2668">
      <w:pPr>
        <w:rPr>
          <w:color w:val="000000"/>
          <w:lang w:val="es-ES_tradnl"/>
        </w:rPr>
      </w:pPr>
    </w:p>
    <w:p w:rsidR="00B43D13" w:rsidRPr="00C60FC3" w:rsidRDefault="00B43D13" w:rsidP="00BF2668">
      <w:pPr>
        <w:rPr>
          <w:snapToGrid w:val="0"/>
          <w:lang w:val="es-ES_tradnl"/>
        </w:rPr>
      </w:pPr>
      <w:r w:rsidRPr="00C60FC3">
        <w:rPr>
          <w:snapToGrid w:val="0"/>
          <w:lang w:val="es-ES_tradnl"/>
        </w:rPr>
        <w:fldChar w:fldCharType="begin"/>
      </w:r>
      <w:r w:rsidRPr="00C60FC3">
        <w:rPr>
          <w:snapToGrid w:val="0"/>
          <w:lang w:val="es-ES_tradnl"/>
        </w:rPr>
        <w:instrText xml:space="preserve"> AUTONUM  </w:instrText>
      </w:r>
      <w:r w:rsidRPr="00C60FC3">
        <w:rPr>
          <w:snapToGrid w:val="0"/>
          <w:lang w:val="es-ES_tradnl"/>
        </w:rPr>
        <w:fldChar w:fldCharType="end"/>
      </w:r>
      <w:r w:rsidRPr="00C60FC3">
        <w:rPr>
          <w:snapToGrid w:val="0"/>
          <w:lang w:val="es-ES_tradnl"/>
        </w:rPr>
        <w:tab/>
        <w:t>El documento C/46/16 contiene información adicional sobre la labor realizada en la octogésima cuarta sesión del Comité Consultivo.</w:t>
      </w:r>
    </w:p>
    <w:p w:rsidR="00B43D13" w:rsidRPr="00C60FC3" w:rsidRDefault="00B43D13" w:rsidP="00BF2668">
      <w:pPr>
        <w:rPr>
          <w:color w:val="000000"/>
          <w:lang w:val="es-ES_tradnl"/>
        </w:rPr>
      </w:pPr>
    </w:p>
    <w:p w:rsidR="00B43D13" w:rsidRPr="00C60FC3" w:rsidRDefault="00B43D13" w:rsidP="00BF2668">
      <w:pPr>
        <w:rPr>
          <w:color w:val="000000"/>
          <w:lang w:val="es-ES_tradnl"/>
        </w:rPr>
      </w:pPr>
    </w:p>
    <w:p w:rsidR="00B43D13" w:rsidRPr="00C60FC3" w:rsidRDefault="00B43D13" w:rsidP="00BF2668">
      <w:pPr>
        <w:pStyle w:val="Heading2"/>
        <w:keepNext w:val="0"/>
        <w:rPr>
          <w:lang w:val="es-ES_tradnl"/>
        </w:rPr>
      </w:pPr>
      <w:bookmarkStart w:id="10" w:name="_Toc367953261"/>
      <w:r w:rsidRPr="00C60FC3">
        <w:rPr>
          <w:lang w:val="es-ES_tradnl"/>
        </w:rPr>
        <w:t>Comité Administrativo y Jurídico, Comité Técnico, Grupos de Trabajo Técnico y Grupo de Trabajo sobre Técnicas Bioquímicas y Moleculares, y Perfiles de ADN en particular</w:t>
      </w:r>
      <w:bookmarkEnd w:id="10"/>
    </w:p>
    <w:p w:rsidR="00B43D13" w:rsidRPr="00C60FC3" w:rsidRDefault="00B43D13" w:rsidP="00BF2668">
      <w:pPr>
        <w:rPr>
          <w:u w:val="single"/>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CAJ celebró su sexagésima quinta sesión el 29 de marzo de 2012, y su sexagésima sexta sesión, el 29 de octubre de 2012.  El CAJ-AG celebró su séptima sesión los días 29 y 30 de octubre de 2012.</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TC celebró su cuadragésima octava sesión del 26 al 28 de marzo de 2012.  El TC-EDC celebró reuniones los días </w:t>
      </w:r>
      <w:r w:rsidRPr="00C60FC3">
        <w:rPr>
          <w:szCs w:val="24"/>
          <w:lang w:val="es-ES_tradnl"/>
        </w:rPr>
        <w:t xml:space="preserve">11 y 12 </w:t>
      </w:r>
      <w:r w:rsidRPr="00C60FC3">
        <w:rPr>
          <w:lang w:val="es-ES_tradnl"/>
        </w:rPr>
        <w:t xml:space="preserve">de </w:t>
      </w:r>
      <w:r w:rsidRPr="00C60FC3">
        <w:rPr>
          <w:szCs w:val="24"/>
          <w:lang w:val="es-ES_tradnl"/>
        </w:rPr>
        <w:t xml:space="preserve">enero y 26 y 27 de marzo de 2012.  </w:t>
      </w:r>
      <w:r w:rsidRPr="00C60FC3">
        <w:rPr>
          <w:lang w:val="es-ES_tradnl"/>
        </w:rPr>
        <w:t xml:space="preserve">El TWA celebró su cuadragésima primera sesión en Angers (Francia) del 21 al 25 de mayo de 2012.  El TWC celebró su trigésima sesión en Chisinau (República de Moldova) del 25 al 29 de junio de 2012.  El TWF celebró su cuadragésima tercera sesión en Beijing (China) del 30 de julio al 3 agosto de 2012.  El TWO celebró su cuadragésima quinta sesión en Jeju (República de Corea) del 6 al 10 de agosto de 2012.  </w:t>
      </w:r>
      <w:r w:rsidRPr="00C60FC3">
        <w:rPr>
          <w:szCs w:val="24"/>
          <w:lang w:val="es-ES_tradnl"/>
        </w:rPr>
        <w:t>El TWV celebró su cuadragésima sexta sesión</w:t>
      </w:r>
      <w:r w:rsidRPr="00C60FC3">
        <w:rPr>
          <w:lang w:val="es-ES_tradnl"/>
        </w:rPr>
        <w:t xml:space="preserve"> </w:t>
      </w:r>
      <w:r w:rsidRPr="00C60FC3">
        <w:rPr>
          <w:szCs w:val="24"/>
          <w:lang w:val="es-ES_tradnl"/>
        </w:rPr>
        <w:t>en las inmediaciones de la ciudad de Venlo (Países Bajos) del 11 al 15 de junio de 2012.</w:t>
      </w:r>
      <w:r w:rsidRPr="00C60FC3">
        <w:rPr>
          <w:lang w:val="es-ES_tradnl"/>
        </w:rPr>
        <w:t xml:space="preserve">  Antes de cada una de las sesiones de los TWP se realizó un taller preparatorio.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Los documentos C/46/9 y C/47/9 “Informe sobre la marcha de los trabajos del Comité Administrativo y Jurídico”, y C/46/10 y C/47/10 “Informe sobre la marcha de la labor del Comité Técnico, los Grupos de Trabajo Técnico y el Grupo de Trabajo sobre Técnicas Bioquímicas y Moleculares, y Perfiles de ADN en particular” contienen más información sobre la labor del CAJ, el TC y los TWP.</w:t>
      </w:r>
    </w:p>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pStyle w:val="Heading1"/>
        <w:rPr>
          <w:lang w:val="es-ES_tradnl"/>
        </w:rPr>
      </w:pPr>
      <w:bookmarkStart w:id="11" w:name="_Toc367953262"/>
      <w:r w:rsidRPr="00C60FC3">
        <w:rPr>
          <w:lang w:val="es-ES_tradnl"/>
        </w:rPr>
        <w:t>III.</w:t>
      </w:r>
      <w:r w:rsidRPr="00C60FC3">
        <w:rPr>
          <w:lang w:val="es-ES_tradnl"/>
        </w:rPr>
        <w:tab/>
        <w:t>CURSOS, SEMINARIOS, TALLERES, MISIONES, CONTACTOS IMPORTANTES</w:t>
      </w:r>
      <w:bookmarkEnd w:id="11"/>
    </w:p>
    <w:p w:rsidR="00B43D13" w:rsidRPr="00C60FC3" w:rsidRDefault="00B43D13" w:rsidP="00BF2668">
      <w:pPr>
        <w:keepNext/>
        <w:rPr>
          <w:lang w:val="es-ES_tradnl"/>
        </w:rPr>
      </w:pPr>
    </w:p>
    <w:p w:rsidR="00B43D13" w:rsidRPr="00C60FC3" w:rsidRDefault="00B43D13" w:rsidP="00BF2668">
      <w:pPr>
        <w:pStyle w:val="Heading2"/>
        <w:rPr>
          <w:lang w:val="es-ES_tradnl"/>
        </w:rPr>
      </w:pPr>
      <w:bookmarkStart w:id="12" w:name="_Toc367953263"/>
      <w:r w:rsidRPr="00C60FC3">
        <w:rPr>
          <w:lang w:val="es-ES_tradnl"/>
        </w:rPr>
        <w:t>Actividades individuales</w:t>
      </w:r>
      <w:bookmarkEnd w:id="12"/>
    </w:p>
    <w:p w:rsidR="00B43D13" w:rsidRPr="00C60FC3" w:rsidRDefault="00B43D13" w:rsidP="00BF2668">
      <w:pPr>
        <w:keepNext/>
        <w:rPr>
          <w:szCs w:val="24"/>
          <w:lang w:val="es-ES_tradnl"/>
        </w:rPr>
      </w:pPr>
    </w:p>
    <w:p w:rsidR="00B43D13" w:rsidRPr="00C60FC3" w:rsidRDefault="00B43D13" w:rsidP="00BF2668">
      <w:pPr>
        <w:rPr>
          <w:szCs w:val="24"/>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r>
      <w:r w:rsidRPr="00C60FC3">
        <w:rPr>
          <w:lang w:val="es-ES_tradnl"/>
        </w:rPr>
        <w:t xml:space="preserve">El 5 de enero, en Ginebra, la Oficina participó en una reunión por vía electrónica a través de Internet con representantes del Comité Ejecutivo del Proyecto Mundial de Semillas (la Organización de las Naciones Unidas para la Alimentación y la Agricultura (FAO), la </w:t>
      </w:r>
      <w:r w:rsidRPr="00C60FC3">
        <w:rPr>
          <w:i/>
          <w:lang w:val="es-ES_tradnl"/>
        </w:rPr>
        <w:t>International Seed Federation</w:t>
      </w:r>
      <w:r w:rsidRPr="00C60FC3">
        <w:rPr>
          <w:lang w:val="es-ES_tradnl"/>
        </w:rPr>
        <w:t xml:space="preserve"> (ISF), la Asociación Internacional para el Ensayo de Semillas (ISTA), la Organización de Cooperación y Desarrollo Económicos (OCDE) y la UPOV) para examinar la marcha del Proyecto Mundial de Semillas.  </w:t>
      </w:r>
      <w:r w:rsidRPr="00C60FC3">
        <w:rPr>
          <w:szCs w:val="24"/>
          <w:lang w:val="es-ES_tradnl"/>
        </w:rPr>
        <w:t>Se celebraron reuniones adicionales por vía electrónica el 10 y 26 de enero, el 14 de febrero, el 16 de marzo, el 10 y el 13 de abril, el 9 de mayo, el 1 de junio, el 3 y el 25 de julio, el 17 y el 23 de agosto, el 3, el 13 y el 25 de septiembre, y el 1 y el 26 de noviembre.</w:t>
      </w:r>
    </w:p>
    <w:p w:rsidR="00B43D13" w:rsidRPr="00C60FC3" w:rsidRDefault="00B43D13" w:rsidP="00BF2668">
      <w:pPr>
        <w:rPr>
          <w:szCs w:val="24"/>
          <w:lang w:val="es-ES_tradnl"/>
        </w:rPr>
      </w:pPr>
    </w:p>
    <w:p w:rsidR="00B43D13" w:rsidRPr="00C60FC3" w:rsidRDefault="00B43D13" w:rsidP="00BF2668">
      <w:pPr>
        <w:rPr>
          <w:szCs w:val="24"/>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El 11 de enero, en Ginebra, la Oficina se reunió con su Excelencia el Sr. Kasmirhan Tahir, Embajador y Representante Permanente de Brunei Darussalam, Misión Permanente de Brunei Darussalam ante la Oficina de las Naciones Unidas, la Organización Mundial del Comercio y otras organizaciones internacionales.</w:t>
      </w:r>
    </w:p>
    <w:p w:rsidR="00B43D13" w:rsidRPr="00C60FC3" w:rsidRDefault="00B43D13" w:rsidP="00BF2668">
      <w:pPr>
        <w:rPr>
          <w:szCs w:val="24"/>
          <w:lang w:val="es-ES_tradnl"/>
        </w:rPr>
      </w:pPr>
    </w:p>
    <w:p w:rsidR="00B43D13" w:rsidRPr="00C60FC3" w:rsidRDefault="00B43D13" w:rsidP="00BF2668">
      <w:pPr>
        <w:rPr>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El 13 y el 14 de enero, en Arusha (República Unida de Tanzanía), la Oficina participó en una reunión del Comité Ejecutivo del Proyecto Mundial de Semillas.  El Comité Ejecutivo se reunió con funcionarios gubernamentales y representantes del sector de las semillas de la República Unida de Tanzanía.</w:t>
      </w:r>
    </w:p>
    <w:p w:rsidR="00B43D13" w:rsidRPr="00C60FC3" w:rsidRDefault="00B43D13" w:rsidP="00BF2668">
      <w:pPr>
        <w:rPr>
          <w:lang w:val="es-ES_tradnl"/>
        </w:rPr>
      </w:pPr>
    </w:p>
    <w:p w:rsidR="00B43D13" w:rsidRPr="00C60FC3" w:rsidRDefault="00B43D13" w:rsidP="00BF2668">
      <w:pPr>
        <w:rPr>
          <w:szCs w:val="24"/>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r>
      <w:r w:rsidRPr="00C60FC3">
        <w:rPr>
          <w:snapToGrid w:val="0"/>
          <w:lang w:val="es-ES_tradnl"/>
        </w:rPr>
        <w:t xml:space="preserve">El 14 de enero, también en Arusha, la Oficina mantuvo una breve reunión con el Sr. Patrick Ngwediagi, Registrador de Derechos de Obtentor, Ministerio de Agricultura, Seguridad Alimentaria y Cooperativas, relativa al proyecto de Ley </w:t>
      </w:r>
      <w:r w:rsidR="009B050B">
        <w:rPr>
          <w:snapToGrid w:val="0"/>
          <w:lang w:val="es-ES_tradnl"/>
        </w:rPr>
        <w:t xml:space="preserve">sobre los </w:t>
      </w:r>
      <w:r w:rsidRPr="00C60FC3">
        <w:rPr>
          <w:snapToGrid w:val="0"/>
          <w:lang w:val="es-ES_tradnl"/>
        </w:rPr>
        <w:t xml:space="preserve">Derechos de Obtentor </w:t>
      </w:r>
      <w:r w:rsidR="009B050B">
        <w:rPr>
          <w:snapToGrid w:val="0"/>
          <w:lang w:val="es-ES_tradnl"/>
        </w:rPr>
        <w:t xml:space="preserve">para Tanzanía </w:t>
      </w:r>
      <w:r w:rsidRPr="00C60FC3">
        <w:rPr>
          <w:snapToGrid w:val="0"/>
          <w:lang w:val="es-ES_tradnl"/>
        </w:rPr>
        <w:t>continental y a las novedades en materia de cooperación en la elaboración de una ley para Zanzíbar.</w:t>
      </w:r>
    </w:p>
    <w:p w:rsidR="00B43D13" w:rsidRPr="00C60FC3" w:rsidRDefault="00B43D13" w:rsidP="00BF2668">
      <w:pPr>
        <w:rPr>
          <w:szCs w:val="24"/>
          <w:lang w:val="es-ES_tradnl"/>
        </w:rPr>
      </w:pPr>
    </w:p>
    <w:p w:rsidR="00B43D13" w:rsidRPr="00C60FC3" w:rsidRDefault="00B43D13" w:rsidP="00BF2668">
      <w:pPr>
        <w:rPr>
          <w:szCs w:val="24"/>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 xml:space="preserve">El 18 de enero, en Ginebra, la Oficina se reunió con funcionarios de la </w:t>
      </w:r>
      <w:r w:rsidRPr="00C60FC3">
        <w:rPr>
          <w:i/>
          <w:szCs w:val="24"/>
          <w:lang w:val="es-ES_tradnl"/>
        </w:rPr>
        <w:t>Queensland University of Technology</w:t>
      </w:r>
      <w:r w:rsidRPr="00C60FC3">
        <w:rPr>
          <w:szCs w:val="24"/>
          <w:lang w:val="es-ES_tradnl"/>
        </w:rPr>
        <w:t xml:space="preserve"> (QUT) de Brisbane (Australia), durante su visita de estudio a la sede de la Organización Mundial de la Propiedad Intelectual (OMPI), a saber, la Sra. Rosalind Mason, Decana de la Facultad de Derecho y el Sr. Kamal Puri, Director del Diploma de Maestría OMPI-QUT en Derecho de Propiedad Intelectual y Administrador General.  La Oficina presentó una ponencia general sobre la UPOV.</w:t>
      </w:r>
    </w:p>
    <w:p w:rsidR="00B43D13" w:rsidRPr="00C60FC3" w:rsidRDefault="00B43D13" w:rsidP="00BF2668">
      <w:pPr>
        <w:rPr>
          <w:szCs w:val="24"/>
          <w:lang w:val="es-ES_tradnl"/>
        </w:rPr>
      </w:pPr>
    </w:p>
    <w:p w:rsidR="00B43D13" w:rsidRPr="00C60FC3" w:rsidRDefault="00B43D13" w:rsidP="00BF2668">
      <w:pPr>
        <w:rPr>
          <w:szCs w:val="24"/>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 xml:space="preserve">El 19 de enero, en Ginebra, la Oficina recibió la visita del Sr. Rasoanaivo, Consejero de la Misión Permanente de Madagascar en Ginebra, y de un pasante de la Misión Permanente, y explicó el sistema de la UPOV de protección de las variedades vegetales, así como el procedimiento </w:t>
      </w:r>
      <w:r w:rsidR="009B050B">
        <w:rPr>
          <w:szCs w:val="24"/>
          <w:lang w:val="es-ES_tradnl"/>
        </w:rPr>
        <w:t>para pasar a ser miembro de</w:t>
      </w:r>
      <w:r w:rsidRPr="00C60FC3">
        <w:rPr>
          <w:szCs w:val="24"/>
          <w:lang w:val="es-ES_tradnl"/>
        </w:rPr>
        <w:t xml:space="preserve"> la UPOV.</w:t>
      </w:r>
    </w:p>
    <w:p w:rsidR="00B43D13" w:rsidRPr="00C60FC3" w:rsidRDefault="00B43D13" w:rsidP="00BF2668">
      <w:pPr>
        <w:rPr>
          <w:szCs w:val="24"/>
          <w:lang w:val="es-ES_tradnl"/>
        </w:rPr>
      </w:pPr>
    </w:p>
    <w:p w:rsidR="00B43D13" w:rsidRPr="00C60FC3" w:rsidRDefault="00B43D13" w:rsidP="00BF2668">
      <w:pPr>
        <w:rPr>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El 23, el 24 y el 26 de enero de 2012, en Perú, la Oficina, en cooperación con el Instituto Nacional de Defensa de la Competencia y de la Protección de la Propiedad Intelectual (INDECOPI) y con el apoyo financiero de la Oficina de Patentes y Marcas de los Estados Unidos de América (USPTO), organizó tres Seminarios sobre la protección de las obtenciones vegetales.</w:t>
      </w:r>
      <w:r w:rsidRPr="00C60FC3">
        <w:rPr>
          <w:lang w:val="es-ES_tradnl"/>
        </w:rPr>
        <w:t xml:space="preserve">  Los seminarios tuvieron lugar en Lima, Trujillo e Iquitos, respectivamente.  La Oficina presentó ponencias sobre la UPOV, la protección de las obtenciones vegetales en virtud del Convenio de la UPOV, y </w:t>
      </w:r>
      <w:r w:rsidR="009B050B">
        <w:rPr>
          <w:lang w:val="es-ES_tradnl"/>
        </w:rPr>
        <w:t xml:space="preserve">los beneficios </w:t>
      </w:r>
      <w:r w:rsidRPr="00C60FC3">
        <w:rPr>
          <w:lang w:val="es-ES_tradnl"/>
        </w:rPr>
        <w:t xml:space="preserve">de </w:t>
      </w:r>
      <w:r w:rsidR="009B050B">
        <w:rPr>
          <w:lang w:val="es-ES_tradnl"/>
        </w:rPr>
        <w:t xml:space="preserve">pasar a </w:t>
      </w:r>
      <w:r w:rsidRPr="00C60FC3">
        <w:rPr>
          <w:lang w:val="es-ES_tradnl"/>
        </w:rPr>
        <w:t xml:space="preserve">ser miembro de la UPOV.  Al margen del Seminario en Lima, la Oficina se reunió con el Sr. Hebert Tassano, Presidente del Consejo Ejecutivo del INDECOPI, y el Sr. Bruno Merchor, Director de Invenciones y nuevas Tecnologías del INDECOPI, para examinar la evolución de la situación en el Perú con respecto a la aplicación de la protección de variedades vegetales. </w:t>
      </w:r>
    </w:p>
    <w:p w:rsidR="00B43D13" w:rsidRPr="00C60FC3" w:rsidRDefault="00B43D13" w:rsidP="00BF2668">
      <w:pPr>
        <w:rPr>
          <w:szCs w:val="24"/>
          <w:lang w:val="es-ES_tradnl"/>
        </w:rPr>
      </w:pPr>
    </w:p>
    <w:p w:rsidR="00B43D13" w:rsidRPr="00C60FC3" w:rsidRDefault="00B43D13" w:rsidP="00BF2668">
      <w:pPr>
        <w:rPr>
          <w:szCs w:val="24"/>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 xml:space="preserve">Del 24 al 27 de enero, en París (Francia), la Oficina asistió a las reuniones de los sistemas de semillas de la OCDE y participó en la reunión del Grupo Consultivo ampliado, del Grupo de Trabajo </w:t>
      </w:r>
      <w:r w:rsidRPr="00C60FC3">
        <w:rPr>
          <w:i/>
          <w:szCs w:val="24"/>
          <w:lang w:val="es-ES_tradnl"/>
        </w:rPr>
        <w:t>ad hoc</w:t>
      </w:r>
      <w:r w:rsidRPr="00C60FC3">
        <w:rPr>
          <w:szCs w:val="24"/>
          <w:lang w:val="es-ES_tradnl"/>
        </w:rPr>
        <w:t xml:space="preserve"> de Expertos en Técnicas Bioquímicas y Moleculares para la Descripción y/o Identificación de Variedades y el Grupo de Trabajo Técnico sobre la Identidad y la Pureza de las Variedades.</w:t>
      </w:r>
    </w:p>
    <w:p w:rsidR="00B43D13" w:rsidRPr="00C60FC3" w:rsidRDefault="00B43D13" w:rsidP="00BF2668">
      <w:pPr>
        <w:rPr>
          <w:szCs w:val="24"/>
          <w:lang w:val="es-ES_tradnl"/>
        </w:rPr>
      </w:pPr>
    </w:p>
    <w:p w:rsidR="00B43D13" w:rsidRPr="00C60FC3" w:rsidRDefault="00B43D13" w:rsidP="00BF2668">
      <w:pPr>
        <w:rPr>
          <w:rFonts w:cs="Arial"/>
          <w:color w:val="000000"/>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r>
      <w:r w:rsidRPr="00C60FC3">
        <w:rPr>
          <w:color w:val="000000"/>
          <w:lang w:val="es-ES_tradnl"/>
        </w:rPr>
        <w:t>Del 26 de enero al 1 de febrero, en Tokio, Chiba, Tsukuba y Hachimantai (Japón), la Oficina participó en una visita de estudio y en reuniones conexas para altos funcionarios encargados de la protección de las variedades vegetales de Camboya, Indonesia y la República Democrática Popular Lao.</w:t>
      </w:r>
    </w:p>
    <w:p w:rsidR="00B43D13" w:rsidRPr="00C60FC3" w:rsidRDefault="00B43D13" w:rsidP="00BF2668">
      <w:pPr>
        <w:rPr>
          <w:rFonts w:cs="Arial"/>
          <w:color w:val="000000"/>
          <w:lang w:val="es-ES_tradnl"/>
        </w:rPr>
      </w:pPr>
    </w:p>
    <w:p w:rsidR="00B43D13" w:rsidRPr="00C60FC3" w:rsidRDefault="00B43D13" w:rsidP="00BF2668">
      <w:pPr>
        <w:rPr>
          <w:rFonts w:cs="Arial"/>
          <w:color w:val="000000"/>
          <w:lang w:val="es-ES_tradnl"/>
        </w:rPr>
      </w:pPr>
      <w:r w:rsidRPr="00C60FC3">
        <w:rPr>
          <w:rFonts w:cs="Arial"/>
          <w:color w:val="000000"/>
          <w:lang w:val="es-ES_tradnl"/>
        </w:rPr>
        <w:fldChar w:fldCharType="begin"/>
      </w:r>
      <w:r w:rsidRPr="00C60FC3">
        <w:rPr>
          <w:rFonts w:cs="Arial"/>
          <w:color w:val="000000"/>
          <w:lang w:val="es-ES_tradnl"/>
        </w:rPr>
        <w:instrText xml:space="preserve"> AUTONUM  </w:instrText>
      </w:r>
      <w:r w:rsidRPr="00C60FC3">
        <w:rPr>
          <w:rFonts w:cs="Arial"/>
          <w:color w:val="000000"/>
          <w:lang w:val="es-ES_tradnl"/>
        </w:rPr>
        <w:fldChar w:fldCharType="end"/>
      </w:r>
      <w:r w:rsidRPr="00C60FC3">
        <w:rPr>
          <w:rFonts w:cs="Arial"/>
          <w:color w:val="000000"/>
          <w:lang w:val="es-ES_tradnl"/>
        </w:rPr>
        <w:tab/>
        <w:t>Del 14 al 22 de febrero, en Ginebra, la Oficina participó en partes de la vigésima sesión del Comité Intergubernamental de la OMPI sobre Propiedad Intelectual y Recursos Genéticos, Conocimientos Tradicionales y Folclore (CIG).</w:t>
      </w:r>
    </w:p>
    <w:p w:rsidR="00B43D13" w:rsidRPr="00C60FC3" w:rsidRDefault="00B43D13" w:rsidP="00BF2668">
      <w:pPr>
        <w:rPr>
          <w:rFonts w:cs="Arial"/>
          <w:color w:val="000000"/>
          <w:lang w:val="es-ES_tradnl"/>
        </w:rPr>
      </w:pPr>
    </w:p>
    <w:p w:rsidR="00B43D13" w:rsidRPr="00C60FC3" w:rsidRDefault="00B43D13" w:rsidP="00BF2668">
      <w:pPr>
        <w:rPr>
          <w:rFonts w:cs="Arial"/>
          <w:color w:val="000000"/>
          <w:lang w:val="es-ES_tradnl"/>
        </w:rPr>
      </w:pPr>
      <w:r w:rsidRPr="00C60FC3">
        <w:rPr>
          <w:rFonts w:cs="Arial"/>
          <w:color w:val="000000"/>
          <w:lang w:val="es-ES_tradnl"/>
        </w:rPr>
        <w:fldChar w:fldCharType="begin"/>
      </w:r>
      <w:r w:rsidRPr="00C60FC3">
        <w:rPr>
          <w:rFonts w:cs="Arial"/>
          <w:color w:val="000000"/>
          <w:lang w:val="es-ES_tradnl"/>
        </w:rPr>
        <w:instrText xml:space="preserve"> AUTONUM  </w:instrText>
      </w:r>
      <w:r w:rsidRPr="00C60FC3">
        <w:rPr>
          <w:rFonts w:cs="Arial"/>
          <w:color w:val="000000"/>
          <w:lang w:val="es-ES_tradnl"/>
        </w:rPr>
        <w:fldChar w:fldCharType="end"/>
      </w:r>
      <w:r w:rsidRPr="00C60FC3">
        <w:rPr>
          <w:rFonts w:cs="Arial"/>
          <w:color w:val="000000"/>
          <w:lang w:val="es-ES_tradnl"/>
        </w:rPr>
        <w:tab/>
        <w:t>El 21 de febrero, en Ginebra, la Oficina recibió la visita de la Sra. Fatima Al Ghazali, Ministra Plenipotenciaria de la Misión Permanente de Omán.</w:t>
      </w:r>
      <w:r w:rsidRPr="00C60FC3">
        <w:rPr>
          <w:color w:val="000000"/>
          <w:szCs w:val="24"/>
          <w:lang w:val="es-ES_tradnl"/>
        </w:rPr>
        <w:t xml:space="preserve">  Se examinó la organización en Omán de un taller sobre sensibilización acerca de la protección de las variedades vegetales (véase el párrafo 45).</w:t>
      </w:r>
    </w:p>
    <w:p w:rsidR="00B43D13" w:rsidRPr="00C60FC3" w:rsidRDefault="00B43D13" w:rsidP="00BF2668">
      <w:pPr>
        <w:rPr>
          <w:rFonts w:cs="Arial"/>
          <w:color w:val="000000"/>
          <w:lang w:val="es-ES_tradnl"/>
        </w:rPr>
      </w:pPr>
    </w:p>
    <w:p w:rsidR="00B43D13" w:rsidRPr="00C60FC3" w:rsidRDefault="00B43D13" w:rsidP="00BF2668">
      <w:pPr>
        <w:rPr>
          <w:rFonts w:cs="Arial"/>
          <w:color w:val="000000"/>
          <w:lang w:val="es-ES_tradnl" w:eastAsia="ja-JP"/>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El 24 de febrero, en Phnom Penh (Camboya), la Oficina participó en un Seminario de sensibilización sobre la protección de las variedades vegetales, organizado por el Ministerio de Agricultura, Silvicultura y Pesca de Camboya, en cooperación con el Ministerio de Agricultura, Silvicultura y Pesca del Japón, en el marco de las actividades de cooperación del Foro de Asia Oriental para la Protección de las Variedades Vegetales (Foro EAPVP).</w:t>
      </w:r>
    </w:p>
    <w:p w:rsidR="00B43D13" w:rsidRPr="00C60FC3" w:rsidRDefault="00B43D13" w:rsidP="00BF2668">
      <w:pPr>
        <w:rPr>
          <w:rFonts w:cs="Arial"/>
          <w:color w:val="000000"/>
          <w:lang w:val="es-ES_tradnl" w:eastAsia="ja-JP"/>
        </w:rPr>
      </w:pPr>
    </w:p>
    <w:p w:rsidR="00B43D13" w:rsidRPr="00C60FC3" w:rsidRDefault="00B43D13" w:rsidP="00BF2668">
      <w:pPr>
        <w:rPr>
          <w:rFonts w:cs="Arial"/>
          <w:noProof/>
          <w:color w:val="000000"/>
          <w:lang w:val="es-ES_tradnl" w:eastAsia="ja-JP" w:bidi="km-KH"/>
        </w:rPr>
      </w:pPr>
      <w:r w:rsidRPr="00C60FC3">
        <w:rPr>
          <w:snapToGrid w:val="0"/>
          <w:lang w:val="es-ES_tradnl" w:eastAsia="ja-JP"/>
        </w:rPr>
        <w:fldChar w:fldCharType="begin"/>
      </w:r>
      <w:r w:rsidRPr="00C60FC3">
        <w:rPr>
          <w:snapToGrid w:val="0"/>
          <w:lang w:val="es-ES_tradnl" w:eastAsia="ja-JP"/>
        </w:rPr>
        <w:instrText xml:space="preserve"> AUTONUM  </w:instrText>
      </w:r>
      <w:r w:rsidRPr="00C60FC3">
        <w:rPr>
          <w:snapToGrid w:val="0"/>
          <w:lang w:val="es-ES_tradnl" w:eastAsia="ja-JP"/>
        </w:rPr>
        <w:fldChar w:fldCharType="end"/>
      </w:r>
      <w:r w:rsidRPr="00C60FC3">
        <w:rPr>
          <w:snapToGrid w:val="0"/>
          <w:lang w:val="es-ES_tradnl" w:eastAsia="ja-JP"/>
        </w:rPr>
        <w:tab/>
        <w:t xml:space="preserve">Del 27 al 29 de febrero, en Pattaya (Tailandia), la Oficina participó en partes del Congreso de 2011 de la </w:t>
      </w:r>
      <w:r w:rsidRPr="00C60FC3">
        <w:rPr>
          <w:i/>
          <w:snapToGrid w:val="0"/>
          <w:lang w:val="es-ES_tradnl" w:eastAsia="ja-JP"/>
        </w:rPr>
        <w:t>Asia and Pacific Seed Association</w:t>
      </w:r>
      <w:r w:rsidRPr="00C60FC3">
        <w:rPr>
          <w:snapToGrid w:val="0"/>
          <w:lang w:val="es-ES_tradnl" w:eastAsia="ja-JP"/>
        </w:rPr>
        <w:t xml:space="preserve"> (APSA), que había sido pospuesto dos veces.</w:t>
      </w:r>
      <w:r w:rsidRPr="00C60FC3">
        <w:rPr>
          <w:rFonts w:cs="Arial"/>
          <w:bCs/>
          <w:color w:val="000000"/>
          <w:lang w:val="es-ES_tradnl" w:eastAsia="ja-JP"/>
        </w:rPr>
        <w:t xml:space="preserve">  La Oficina presentó una ponencia sobre “El Convenio de la UPOV</w:t>
      </w:r>
      <w:proofErr w:type="gramStart"/>
      <w:r w:rsidRPr="00C60FC3">
        <w:rPr>
          <w:rFonts w:cs="Arial"/>
          <w:bCs/>
          <w:color w:val="000000"/>
          <w:lang w:val="es-ES_tradnl" w:eastAsia="ja-JP"/>
        </w:rPr>
        <w:t>:  la</w:t>
      </w:r>
      <w:proofErr w:type="gramEnd"/>
      <w:r w:rsidRPr="00C60FC3">
        <w:rPr>
          <w:rFonts w:cs="Arial"/>
          <w:bCs/>
          <w:color w:val="000000"/>
          <w:lang w:val="es-ES_tradnl" w:eastAsia="ja-JP"/>
        </w:rPr>
        <w:t xml:space="preserve"> exención del obtentor y las excepciones para los agricultores” en el Taller sobre derechos de obtentor, patentes y acceso a la biodiversidad y los recursos genéticos, celebrado el 27 de febrero antes del Congreso, y presentó “Información actualizada sobre las actividades de la UPOV” en la reunión del Comité Permanente sobre Derechos de Propiedad Intelectual, celebrada el 29 de febrero.  </w:t>
      </w:r>
      <w:r w:rsidRPr="00C60FC3">
        <w:rPr>
          <w:rFonts w:cs="Arial"/>
          <w:color w:val="000000"/>
          <w:lang w:val="es-ES_tradnl" w:eastAsia="ja-JP" w:bidi="km-KH"/>
        </w:rPr>
        <w:t>Al margen del Congreso de la APSA, se celebró una reunión del Comité Ejecutivo del Proyecto Mundial de Semillas.</w:t>
      </w:r>
    </w:p>
    <w:p w:rsidR="00B43D13" w:rsidRPr="00C60FC3" w:rsidRDefault="00B43D13" w:rsidP="00BF2668">
      <w:pPr>
        <w:rPr>
          <w:rFonts w:cs="Arial"/>
          <w:noProof/>
          <w:color w:val="000000"/>
          <w:lang w:val="es-ES_tradnl" w:eastAsia="ja-JP" w:bidi="km-KH"/>
        </w:rPr>
      </w:pPr>
    </w:p>
    <w:p w:rsidR="00B43D13" w:rsidRPr="00C60FC3" w:rsidRDefault="00B43D13" w:rsidP="00BF2668">
      <w:pPr>
        <w:rPr>
          <w:lang w:val="es-ES_tradnl"/>
        </w:rPr>
      </w:pPr>
      <w:r w:rsidRPr="00C60FC3">
        <w:rPr>
          <w:snapToGrid w:val="0"/>
          <w:lang w:val="es-ES_tradnl" w:eastAsia="ja-JP"/>
        </w:rPr>
        <w:fldChar w:fldCharType="begin"/>
      </w:r>
      <w:r w:rsidRPr="00C60FC3">
        <w:rPr>
          <w:snapToGrid w:val="0"/>
          <w:lang w:val="es-ES_tradnl" w:eastAsia="ja-JP"/>
        </w:rPr>
        <w:instrText xml:space="preserve"> AUTONUM  </w:instrText>
      </w:r>
      <w:r w:rsidRPr="00C60FC3">
        <w:rPr>
          <w:snapToGrid w:val="0"/>
          <w:lang w:val="es-ES_tradnl" w:eastAsia="ja-JP"/>
        </w:rPr>
        <w:fldChar w:fldCharType="end"/>
      </w:r>
      <w:r w:rsidRPr="00C60FC3">
        <w:rPr>
          <w:snapToGrid w:val="0"/>
          <w:lang w:val="es-ES_tradnl" w:eastAsia="ja-JP"/>
        </w:rPr>
        <w:tab/>
      </w:r>
      <w:r w:rsidRPr="00C60FC3">
        <w:rPr>
          <w:lang w:val="es-ES_tradnl"/>
        </w:rPr>
        <w:t>El 28 de febrero, en la sede de la Organización Mundial del Comercio (OMC), en Ginebra, la Oficina asistió a las partes pertinentes de la reunión del Consejo de los Aspectos de los Derechos de Propiedad Intelectual relacionados con el Comercio (Consejo de los ADPIC).</w:t>
      </w:r>
    </w:p>
    <w:p w:rsidR="00B43D13" w:rsidRPr="00C60FC3" w:rsidRDefault="00B43D13" w:rsidP="00BF2668">
      <w:pPr>
        <w:rPr>
          <w:lang w:val="es-ES_tradnl"/>
        </w:rPr>
      </w:pPr>
    </w:p>
    <w:p w:rsidR="00B43D13" w:rsidRPr="00C60FC3" w:rsidRDefault="00B43D13" w:rsidP="00BF2668">
      <w:pPr>
        <w:rPr>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 xml:space="preserve">Del 5 al 8 de marzo, en Zanzíbar (República Unida de Tanzanía), la Oficina participó en el duodécimo Congreso Anual de la </w:t>
      </w:r>
      <w:r w:rsidRPr="00C60FC3">
        <w:rPr>
          <w:i/>
          <w:szCs w:val="24"/>
          <w:lang w:val="es-ES_tradnl"/>
        </w:rPr>
        <w:t>African Seed Trade Association</w:t>
      </w:r>
      <w:r w:rsidRPr="00C60FC3">
        <w:rPr>
          <w:szCs w:val="24"/>
          <w:lang w:val="es-ES_tradnl"/>
        </w:rPr>
        <w:t xml:space="preserve"> (AFSTA), en el que presentó una ponencia sobre nuevos acontecimientos producidos en la UPOV.</w:t>
      </w:r>
      <w:r w:rsidRPr="00C60FC3">
        <w:rPr>
          <w:lang w:val="es-ES_tradnl"/>
        </w:rPr>
        <w:t xml:space="preserve">  La Oficina organizó también un Taller sobre protección de las variedades vegetales, celebrado antes del Congreso de la AFSTA, el 5 de marzo.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8 de marzo, en Zanzíbar (República Unida de Tanzanía), el Comité Ejecutivo del Proyecto Mundial de Semillas asistió a una cena por invitación del Sr. Maghembe, Ministro de Agricultura, Seguridad Alimentaria y Cooperativas, a la que también asistieron funcionarios gubernamentales y representantes de la </w:t>
      </w:r>
      <w:r w:rsidRPr="00C60FC3">
        <w:rPr>
          <w:i/>
          <w:lang w:val="es-ES_tradnl"/>
        </w:rPr>
        <w:t>Tanzania Seed Trade Association</w:t>
      </w:r>
      <w:r w:rsidRPr="00C60FC3">
        <w:rPr>
          <w:lang w:val="es-ES_tradnl"/>
        </w:rPr>
        <w:t xml:space="preserve"> (TASTA).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9 de marzo, también en Zanzíbar, el Comité Ejecutivo del Proyecto Mundial de Semillas celebró su segunda reunión con funcionarios gubernamentales y representantes del sector de la semillas de la República Unida de Tanzanía (véase el párrafo 20).</w:t>
      </w:r>
    </w:p>
    <w:p w:rsidR="00B43D13" w:rsidRPr="00C60FC3" w:rsidRDefault="00B43D13" w:rsidP="00BF2668">
      <w:pPr>
        <w:rPr>
          <w:szCs w:val="24"/>
          <w:lang w:val="es-ES_tradnl"/>
        </w:rPr>
      </w:pPr>
    </w:p>
    <w:p w:rsidR="00B43D13" w:rsidRPr="00C60FC3" w:rsidRDefault="00B43D13" w:rsidP="00BF2668">
      <w:pPr>
        <w:rPr>
          <w:szCs w:val="24"/>
          <w:lang w:val="es-ES_tradnl"/>
        </w:rPr>
      </w:pPr>
      <w:r w:rsidRPr="00C60FC3">
        <w:rPr>
          <w:szCs w:val="24"/>
          <w:lang w:val="es-ES_tradnl"/>
        </w:rPr>
        <w:fldChar w:fldCharType="begin"/>
      </w:r>
      <w:r w:rsidRPr="00C60FC3">
        <w:rPr>
          <w:szCs w:val="24"/>
          <w:lang w:val="es-ES_tradnl"/>
        </w:rPr>
        <w:instrText xml:space="preserve"> AUTONUM  </w:instrText>
      </w:r>
      <w:r w:rsidRPr="00C60FC3">
        <w:rPr>
          <w:szCs w:val="24"/>
          <w:lang w:val="es-ES_tradnl"/>
        </w:rPr>
        <w:fldChar w:fldCharType="end"/>
      </w:r>
      <w:r w:rsidRPr="00C60FC3">
        <w:rPr>
          <w:szCs w:val="24"/>
          <w:lang w:val="es-ES_tradnl"/>
        </w:rPr>
        <w:tab/>
        <w:t>El 13 de marzo, en Ginebra, la Oficina recibió una visita de cortesía de la Sra. Catalina Gaviria Bravo, Consejera Comercial de la Misión Permanente de Colombia ante la OMC en Ginebra, y el Sr. Juan Camilo Saretzki-Forero, Primer Secretario de la Misión Permanente de Colombia ante las Naciones Unidas en Ginebra.</w:t>
      </w:r>
    </w:p>
    <w:p w:rsidR="00B43D13" w:rsidRPr="00C60FC3" w:rsidRDefault="00B43D13" w:rsidP="00BF2668">
      <w:pPr>
        <w:rPr>
          <w:szCs w:val="24"/>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20 de marzo, en la sede de la OMC en Ginebra, la Oficina presentó una ponencia sobre “Protección de las variedades vegetales</w:t>
      </w:r>
      <w:proofErr w:type="gramStart"/>
      <w:r w:rsidRPr="00C60FC3">
        <w:rPr>
          <w:lang w:val="es-ES_tradnl"/>
        </w:rPr>
        <w:t>:  derechos</w:t>
      </w:r>
      <w:proofErr w:type="gramEnd"/>
      <w:r w:rsidRPr="00C60FC3">
        <w:rPr>
          <w:lang w:val="es-ES_tradnl"/>
        </w:rPr>
        <w:t xml:space="preserve">, políticas y desarrollo” en el curso avanzado OMPI-OMC sobre propiedad intelectual para funcionarios gubernamentales.  Asistieron al curso participantes de Alemania, Botswana, Burkina Faso, Camboya, Canadá, Chile, China, </w:t>
      </w:r>
      <w:r w:rsidR="009B050B" w:rsidRPr="00C60FC3">
        <w:rPr>
          <w:lang w:val="es-ES_tradnl"/>
        </w:rPr>
        <w:t xml:space="preserve">Cuba, </w:t>
      </w:r>
      <w:r w:rsidRPr="00C60FC3">
        <w:rPr>
          <w:lang w:val="es-ES_tradnl"/>
        </w:rPr>
        <w:t>España, Ghana, India, Irán (República Islámica del), Kirguistán, México, Montenegro, Nigeria, Noruega, Panamá, Perú, República Democrática Popular Lao, Serbia, Sri Lanka, Suiza, Túnez y Zimbabwe.</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En la semana del 26 de marzo, en Ginebra, la Oficina se reunió con el Sr. Nik Hulse, Examinador Principal de Derechos de Obtentor de la Oficina de Derechos de Obtentor, IP Australia, para examinar la elaboración de una plantilla de directrices de examen en Internet.</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16 al 18 de abril, en Accra (Ghana), la Oficina participó en reuniones con el Comité Ejecutivo del Proyecto Mundial de Semillas.  El Comité Ejecutivo se reunió con </w:t>
      </w:r>
      <w:r w:rsidRPr="00C60FC3">
        <w:rPr>
          <w:szCs w:val="24"/>
          <w:lang w:val="es-ES_tradnl"/>
        </w:rPr>
        <w:t>su Excelencia el Sr. </w:t>
      </w:r>
      <w:r w:rsidRPr="00C60FC3">
        <w:rPr>
          <w:lang w:val="es-ES_tradnl"/>
        </w:rPr>
        <w:t>Kwesi Ahwoi, Ministro de Alimentación y Agricultura, la Sra. Grace Ama Issahaque, Procuradora Principal, Departamento del Registrador General, Ministerio de Justicia, otros funcionarios gubernamentales y representantes del sector de las semillas de Ghana.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19 de abril, en Belgrado (Serbia), la Oficina participó en una “Conferencia sobre derechos de obtentor y la condición de ser miembro de la UPOV”, organizada por la Dirección de Protección Vegetal del Ministerio de Agricultura, Comercio, Silvicultura y Recursos Hídricos de Serbia, en cooperación con la Embajada de los Países Bajos en Belgrado y el proyecto </w:t>
      </w:r>
      <w:r w:rsidRPr="00C60FC3">
        <w:rPr>
          <w:i/>
          <w:lang w:val="es-ES_tradnl"/>
        </w:rPr>
        <w:t>Agribusiness</w:t>
      </w:r>
      <w:r w:rsidRPr="00C60FC3">
        <w:rPr>
          <w:lang w:val="es-ES_tradnl"/>
        </w:rPr>
        <w:t xml:space="preserve"> de USAID.</w:t>
      </w:r>
      <w:r w:rsidRPr="00C60FC3">
        <w:rPr>
          <w:rFonts w:cs="Arial"/>
          <w:lang w:val="es-ES_tradnl"/>
        </w:rPr>
        <w:t xml:space="preserve">  La Oficina presentó una ponencia sobre “Introducción al sistema de la UPOV y ventajas de ser miembro de la UPOV;  mejora del acceso a las nuevas variedades en países de reciente adhesión”.</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23 al 27 de abril, en Alexandria, Virginia (Estados Unidos de América), la USPTO, en cooperación con la UPOV, organizó un curso de formación sobre “Protección de las variedades vegetales en virtud del Convenio de la UPOV”.  El objetivo del curso era impartir formación a las personas (“formadores”) que impartirán a su vez formación a otros en materia de derechos de obtentor con arreglo al Convenio de la UPOV.  Antes del curso de formación USPTO-UPOV, se exigió a todos los participantes que completaran el curso de enseñanza a distancia de la UPOV DL-205 “Introducción al sistema de la UPOV de protección de las variedades vegetales en virtud del Convenio de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23 y el 24 de abril, en Ginebra, la Oficina participó en una reunión relativa al Marco de la OMPI de Elaboración de Estrategias Nacionales de Propiedad Intelectual para el Desarrollo, con el fin de contribuir al módulo temático 2 “Agricultura, desarrollo rural y propiedad intelectual”.</w:t>
      </w:r>
    </w:p>
    <w:p w:rsidR="00B43D13" w:rsidRPr="00C60FC3" w:rsidRDefault="00B43D13" w:rsidP="00BF2668">
      <w:pPr>
        <w:rPr>
          <w:lang w:val="es-ES_tradnl"/>
        </w:rPr>
      </w:pPr>
    </w:p>
    <w:p w:rsidR="00B43D13" w:rsidRPr="00C60FC3" w:rsidRDefault="00B43D13" w:rsidP="00BF2668">
      <w:pPr>
        <w:rPr>
          <w:rFonts w:cs="Arial"/>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r>
      <w:r w:rsidRPr="00C60FC3">
        <w:rPr>
          <w:rFonts w:cs="Arial"/>
          <w:lang w:val="es-ES_tradnl"/>
        </w:rPr>
        <w:t>El 24 de abril, en Miami (Estados Unidos de América), la Oficina participó en la sesión abierta de la reunión anual general de la Comunidad Internacional de Obtentores de Variedades Ornamentales y Frutales de Reproducción Asexuada (CIOPORA) y presentó una ponencia sobre los últimos acontecimientos producidos en la UPOV.</w:t>
      </w:r>
    </w:p>
    <w:p w:rsidR="00B43D13" w:rsidRPr="00C60FC3" w:rsidRDefault="00B43D13" w:rsidP="00BF2668">
      <w:pPr>
        <w:rPr>
          <w:rFonts w:cs="Arial"/>
          <w:lang w:val="es-ES_tradnl"/>
        </w:rPr>
      </w:pPr>
    </w:p>
    <w:p w:rsidR="00B43D13" w:rsidRPr="00C60FC3" w:rsidRDefault="00B43D13" w:rsidP="00BF2668">
      <w:pPr>
        <w:rPr>
          <w:rFonts w:cs="Arial"/>
          <w:lang w:val="es-ES_tradnl"/>
        </w:rPr>
      </w:pPr>
      <w:r w:rsidRPr="00C60FC3">
        <w:rPr>
          <w:rFonts w:cs="Arial"/>
          <w:lang w:val="es-ES_tradnl"/>
        </w:rPr>
        <w:fldChar w:fldCharType="begin"/>
      </w:r>
      <w:r w:rsidRPr="00C60FC3">
        <w:rPr>
          <w:rFonts w:cs="Arial"/>
          <w:lang w:val="es-ES_tradnl"/>
        </w:rPr>
        <w:instrText xml:space="preserve"> AUTONUM  </w:instrText>
      </w:r>
      <w:r w:rsidRPr="00C60FC3">
        <w:rPr>
          <w:rFonts w:cs="Arial"/>
          <w:lang w:val="es-ES_tradnl"/>
        </w:rPr>
        <w:fldChar w:fldCharType="end"/>
      </w:r>
      <w:r w:rsidRPr="00C60FC3">
        <w:rPr>
          <w:rFonts w:cs="Arial"/>
          <w:lang w:val="es-ES_tradnl"/>
        </w:rPr>
        <w:tab/>
        <w:t>El 25 de abril, también en Miami, la Oficina presentó una ponencia sobre acontecimientos recientes en la UPOV en relación con las Américas”, por invitación de la CIOPORA, en la Conferencia Internacional sobre Propiedad Intelectual organizada por la CIOPORA.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27 de abril, en Ginebra, la Oficina recibió la visita de </w:t>
      </w:r>
      <w:r w:rsidRPr="00C60FC3">
        <w:rPr>
          <w:szCs w:val="24"/>
          <w:lang w:val="es-ES_tradnl"/>
        </w:rPr>
        <w:t>su Excelencia el Sr. </w:t>
      </w:r>
      <w:r w:rsidRPr="00C60FC3">
        <w:rPr>
          <w:lang w:val="es-ES_tradnl"/>
        </w:rPr>
        <w:t>Nicolas Niemtchinow, Embajador de Francia, quien depositó el instrumento de ratificación del Acta de 1991 del Convenio de la UPOV.</w:t>
      </w:r>
    </w:p>
    <w:p w:rsidR="00B43D13" w:rsidRPr="00C60FC3" w:rsidRDefault="00B43D13" w:rsidP="00BF2668">
      <w:pPr>
        <w:rPr>
          <w:lang w:val="es-ES_tradnl"/>
        </w:rPr>
      </w:pPr>
    </w:p>
    <w:p w:rsidR="00B43D13" w:rsidRPr="00C60FC3" w:rsidRDefault="00B43D13" w:rsidP="00BF2668">
      <w:pPr>
        <w:rPr>
          <w:rFonts w:eastAsia="MS Mincho" w:cs="Arial"/>
          <w:color w:val="000000"/>
          <w:lang w:val="es-ES_tradnl" w:eastAsia="ja-JP"/>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 y el 2 de mayo, en Mascate (Omán), la Oficina participó en un Taller sobre aplicación de un régimen de protección de las variedades vegetales y sensibilización, organizado conjuntamente por la UPOV y el Gobierno de Omán con el apoyo financiero de la USPTO.</w:t>
      </w:r>
      <w:r w:rsidRPr="00C60FC3">
        <w:rPr>
          <w:spacing w:val="-2"/>
          <w:lang w:val="es-ES_tradnl"/>
        </w:rPr>
        <w:t xml:space="preserve">  </w:t>
      </w:r>
      <w:r w:rsidRPr="00C60FC3">
        <w:rPr>
          <w:lang w:val="es-ES_tradnl"/>
        </w:rPr>
        <w:t>Al margen del Taller, la Oficina se reunió con el Secretario General del Consejo de Investigación, Dr. Hilal Bin Ali Al-Hinal y su equipo, y con el Ministro de Agricultura y Pesca, su Excelencia el Dr. Fuad Bin Ja’afar Al-Sajwani.</w:t>
      </w:r>
    </w:p>
    <w:p w:rsidR="00B43D13" w:rsidRPr="00C60FC3" w:rsidRDefault="00B43D13" w:rsidP="00BF2668">
      <w:pPr>
        <w:rPr>
          <w:rFonts w:eastAsia="MS Mincho" w:cs="Arial"/>
          <w:color w:val="000000"/>
          <w:lang w:val="es-ES_tradnl" w:eastAsia="ja-JP"/>
        </w:rPr>
      </w:pPr>
    </w:p>
    <w:p w:rsidR="00B43D13" w:rsidRPr="00C60FC3" w:rsidRDefault="00B43D13" w:rsidP="00BF2668">
      <w:pPr>
        <w:rPr>
          <w:rFonts w:eastAsia="MS Mincho" w:cs="Arial"/>
          <w:color w:val="000000"/>
          <w:lang w:val="es-ES_tradnl" w:eastAsia="ja-JP"/>
        </w:rPr>
      </w:pPr>
      <w:r w:rsidRPr="00C60FC3">
        <w:rPr>
          <w:rFonts w:eastAsia="MS Mincho" w:cs="Arial"/>
          <w:color w:val="000000"/>
          <w:lang w:val="es-ES_tradnl" w:eastAsia="ja-JP"/>
        </w:rPr>
        <w:fldChar w:fldCharType="begin"/>
      </w:r>
      <w:r w:rsidRPr="00C60FC3">
        <w:rPr>
          <w:rFonts w:eastAsia="MS Mincho" w:cs="Arial"/>
          <w:color w:val="000000"/>
          <w:lang w:val="es-ES_tradnl" w:eastAsia="ja-JP"/>
        </w:rPr>
        <w:instrText xml:space="preserve"> AUTONUM  </w:instrText>
      </w:r>
      <w:r w:rsidRPr="00C60FC3">
        <w:rPr>
          <w:rFonts w:eastAsia="MS Mincho" w:cs="Arial"/>
          <w:color w:val="000000"/>
          <w:lang w:val="es-ES_tradnl" w:eastAsia="ja-JP"/>
        </w:rPr>
        <w:fldChar w:fldCharType="end"/>
      </w:r>
      <w:r w:rsidRPr="00C60FC3">
        <w:rPr>
          <w:rFonts w:eastAsia="MS Mincho" w:cs="Arial"/>
          <w:color w:val="000000"/>
          <w:lang w:val="es-ES_tradnl" w:eastAsia="ja-JP"/>
        </w:rPr>
        <w:tab/>
        <w:t>Del 7 al 18 de mayo, en Ginebra, la Oficina recibió la visita del Sr. Patrick Maluku, Examinador de Variedades de la Oficina de protección de las variedades vegetales del Servicio de Inspección Fitosanitaria de Kenya (KEPHIS), quien recibió formación sobre la aportación de datos a la Base de datos sobre variedades vegetales de la UPOV.  Impartieron la formación la Oficina y los colegas de la Unidad de Base de Datos de Marcas de la OMPI.</w:t>
      </w:r>
    </w:p>
    <w:p w:rsidR="00B43D13" w:rsidRPr="00C60FC3" w:rsidRDefault="00B43D13" w:rsidP="00BF2668">
      <w:pPr>
        <w:rPr>
          <w:rFonts w:eastAsia="MS Mincho" w:cs="Arial"/>
          <w:color w:val="000000"/>
          <w:lang w:val="es-ES_tradnl" w:eastAsia="ja-JP"/>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8 de mayo, en Uppsala (Suecia), la Oficina impartió una sesión de formación, de un día de duración, sobre protección de las variedades vegetales, en el marco del Programa internacional avanzado de formación “Recursos genéticos y derechos de propiedad intelectual”, organizado por la Universidad de Ciencias Agrícolas de Suecia (SLU) y financiado por el Organismo Sueco de Desarrollo Internacional (Sida).  Asistieron al programa participantes de Chile, China, India, Jordania, Kenya, Malawi, Nepal, Pakistán, Perú, República Popular Democrática de Corea, Sudán, Uganda y Zimbabwe.</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9 de mayo, en Ginebra, la Oficina asistió a una recepción de celebración del “Día de Europa”, por invitación de </w:t>
      </w:r>
      <w:r w:rsidRPr="00C60FC3">
        <w:rPr>
          <w:szCs w:val="24"/>
          <w:lang w:val="es-ES_tradnl"/>
        </w:rPr>
        <w:t>su Excelencia el Sr. </w:t>
      </w:r>
      <w:r w:rsidRPr="00C60FC3">
        <w:rPr>
          <w:lang w:val="es-ES_tradnl"/>
        </w:rPr>
        <w:t xml:space="preserve">Angelos Pangratis, Embajador y Representante Permanente de la Unión Europea ante la OMC, y su </w:t>
      </w:r>
      <w:r w:rsidRPr="00C60FC3">
        <w:rPr>
          <w:szCs w:val="24"/>
          <w:lang w:val="es-ES_tradnl"/>
        </w:rPr>
        <w:t xml:space="preserve">Excelencia </w:t>
      </w:r>
      <w:r w:rsidRPr="00C60FC3">
        <w:rPr>
          <w:lang w:val="es-ES_tradnl"/>
        </w:rPr>
        <w:t>la Sra. Mariangela Zappia, Embajadora y Observadora Permanente de la Unión Europea ante la Oficina de las Naciones Unidas en Ginebra.</w:t>
      </w:r>
    </w:p>
    <w:p w:rsidR="00B43D13" w:rsidRPr="00C60FC3" w:rsidRDefault="00B43D13" w:rsidP="00BF2668">
      <w:pPr>
        <w:rPr>
          <w:lang w:val="es-ES_tradnl"/>
        </w:rPr>
      </w:pPr>
    </w:p>
    <w:p w:rsidR="00B43D13" w:rsidRPr="00C60FC3" w:rsidRDefault="00B43D13" w:rsidP="00BF2668">
      <w:pPr>
        <w:rPr>
          <w:rFonts w:cs="Arial"/>
          <w:color w:val="000000"/>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10 de mayo, en la sede de la UPOV, en Ginebra, la Oficina organizó una reunión sobre formularios electrónicos de solicitud, incluida la participación por vía electrónica a través de Internet.</w:t>
      </w:r>
      <w:r w:rsidRPr="00C60FC3">
        <w:rPr>
          <w:rFonts w:cs="Arial"/>
          <w:color w:val="000000"/>
          <w:lang w:val="es-ES_tradnl"/>
        </w:rPr>
        <w:t xml:space="preserve">  Asistieron a la reunión:  la OMPI;  la Oficina Comunitaria de Variedades Vegetales de la Unión Europea (OCVV), acompañada por expertos del Grupo de Estudio y Control de Variedades y Semillas (GEVES, Francia) y el Naktuinbouw (Países Bajos);  la CIOPORA;</w:t>
      </w:r>
      <w:r w:rsidR="009B050B">
        <w:rPr>
          <w:rFonts w:cs="Arial"/>
          <w:color w:val="000000"/>
          <w:lang w:val="es-ES_tradnl"/>
        </w:rPr>
        <w:t xml:space="preserve"> </w:t>
      </w:r>
      <w:r w:rsidRPr="00C60FC3">
        <w:rPr>
          <w:rFonts w:cs="Arial"/>
          <w:color w:val="000000"/>
          <w:lang w:val="es-ES_tradnl"/>
        </w:rPr>
        <w:t xml:space="preserve"> la ISF;  y la Oficina.</w:t>
      </w:r>
    </w:p>
    <w:p w:rsidR="00B43D13" w:rsidRPr="00C60FC3" w:rsidRDefault="00B43D13" w:rsidP="00BF2668">
      <w:pPr>
        <w:jc w:val="left"/>
        <w:rPr>
          <w:rFonts w:cs="Arial"/>
          <w:color w:val="000000"/>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10 y el 11 de mayo, en la sede de la OMPI en Ginebra, la Oficina participó en el taller “Propiedad Intelectual, Innovación y Seguridad Alimentaria</w:t>
      </w:r>
      <w:proofErr w:type="gramStart"/>
      <w:r w:rsidRPr="00C60FC3">
        <w:rPr>
          <w:lang w:val="es-ES_tradnl"/>
        </w:rPr>
        <w:t>:  Taller</w:t>
      </w:r>
      <w:proofErr w:type="gramEnd"/>
      <w:r w:rsidRPr="00C60FC3">
        <w:rPr>
          <w:lang w:val="es-ES_tradnl"/>
        </w:rPr>
        <w:t xml:space="preserve"> para la producción sostenible de trigo en África oriental – Estudio de caso sobre la función de la propiedad intelectual”.</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15 de mayo, en Londres (Reino Unido), la Oficina asistió a la cena anual de la </w:t>
      </w:r>
      <w:r w:rsidRPr="00C60FC3">
        <w:rPr>
          <w:i/>
          <w:lang w:val="es-ES_tradnl"/>
        </w:rPr>
        <w:t>British Society of Plant Breeders</w:t>
      </w:r>
      <w:r w:rsidRPr="00C60FC3">
        <w:rPr>
          <w:lang w:val="es-ES_tradnl"/>
        </w:rPr>
        <w:t xml:space="preserve"> (BSPB).</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23 de mayo, la Oficina recibió la visita del Sr. Samuel A. Moreno, Director General de Asuntos Jurídicos de la Dirección Nacional de Negociaciones del Ministerio de Comercio e Industria de Panamá, y la Sra. Zoraida Rodríguez, Consejera Jurídica de la Misión Permanente de Panamá ante la OMC, en Ginebra, para examinar el procedimiento de adhesión al Acta de 1991 del Convenio de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24 de mayo, la Oficina recibió la visita de la Sra. Wéré Régine Gazaro, Directora del Departamento de Protección de la Propiedad Intelectual da la Organización Africana de la Propiedad Intelectual (OAPI).  La visita incluyó una demostración del uso de la base de datos GENIE.</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24 de mayo, la Oficina recibió la visita de la Sra. Jiang Zehui, Presidenta de la Asociación de Floricultores de China, quien estuvo acompañada por funcionarios del Ministerio de Relaciones Exteriores, el Ministerio de Finanzas, la Administración Estatal de Silvicultura, la Red internacional del bambú y del ratán (INBAR), la Academia China de Silvicultura y la Asociación de Floricultores de China.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24 de mayo, la Oficina recibió la visita de la Sra. Shahrinah Yusof Khan, Registradora Adjunta, Jefa de Patentes de la Oficina de Registro de Patentes de Brunei Darussalam, para examinar el procedimiento de adhesión a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25 de mayo, en Ginebra, la Oficina recibió la visita del Sr. Ken-Ichiro Natsume, Jefe de la Oficina de la OMPI en el Japón.</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28 al 30 de mayo, en Bangkok (Tailandia) la Oficina participó en la quinta reunión del Foro de Asia Oriental para la protección de las variedades vegetales (Foro EAPVP) y en el Seminario internacional sobre la incidencia de la protección de las variedades vegetales.</w:t>
      </w:r>
      <w:r w:rsidRPr="00C60FC3">
        <w:rPr>
          <w:rFonts w:cs="Arial"/>
          <w:iCs/>
          <w:color w:val="000000"/>
          <w:lang w:val="es-ES_tradnl"/>
        </w:rPr>
        <w:t xml:space="preserve">  La Oficina presentó una ponencia sobre “La UPOV y la incidencia de la protección de las variedades vegetales”.  Al margen de esas reuniones, se mantuvieron conversaciones individuales con los países del Foro EAPVP.</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5 de junio, en el Centro Internacional de la Universidad Estatal Lomonosov de Moscú, en Ginebra, la Oficina pronunció una conferencia sobre la “Introducción a la protección de las obtenciones vegetales”, para estudiantes que participaron en el Curso de la OMPI de introducción al Derecho Internacional de la Propiedad Intelectual.</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5 de junio, en la sede de la OMC en Ginebra, la Oficina asistió a las sesiones pertinentes de la reunión del Consejo de los ADPIC.</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12 al 14 de junio, en Harare (Zimbabwe), la Oficina participó en la “Reunión de expertos para la revisión del proyecto de marco jurídico de la ARIPO sobre la protección de las obtenciones vegetales”, organizada por la ARIPO en cooperación con la UPOV y con la asistencia financiera de la USPTO.  Al margen de la reunión de expertos, la Oficina mantuvo reuniones sobre temas legislativos y sobre cómo ser miembro de la UPOV con oficiales principales del Departamento de Agricultura de Zimbabwe, y expertos de Ghana y de la República Unida de Tanzanía.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r>
      <w:r w:rsidRPr="00C60FC3">
        <w:rPr>
          <w:szCs w:val="24"/>
          <w:lang w:val="es-ES_tradnl"/>
        </w:rPr>
        <w:t>Durante el período objeto de examen, la Oficina siguió participando en el proyecto “Balance cero en emisiones de carbono”, emprendido por el Director General de la OMPI, que tiene por fin “la aplicación y el seguimiento de determinadas medidas internas con el fin de reducir al mínimo el efecto de las actividades de la Organización sobre el medio ambiente”.  El 15 de junio, la Oficina participó en una reunión del Grupo de Trabajo principal.</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18 al 22 de junio, la Oficina recibió la visita del Sr. Jay Sanderson, Conferenciante, Miembro del </w:t>
      </w:r>
      <w:r w:rsidRPr="00C60FC3">
        <w:rPr>
          <w:i/>
          <w:lang w:val="es-ES_tradnl"/>
        </w:rPr>
        <w:t>Australian Centre for Intellectual Property in Agriculture</w:t>
      </w:r>
      <w:r w:rsidRPr="00C60FC3">
        <w:rPr>
          <w:lang w:val="es-ES_tradnl"/>
        </w:rPr>
        <w:t xml:space="preserve"> (ACIPA), de la </w:t>
      </w:r>
      <w:r w:rsidRPr="00C60FC3">
        <w:rPr>
          <w:i/>
          <w:lang w:val="es-ES_tradnl"/>
        </w:rPr>
        <w:t>Griffith Law School</w:t>
      </w:r>
      <w:r w:rsidRPr="00C60FC3">
        <w:rPr>
          <w:lang w:val="es-ES_tradnl"/>
        </w:rPr>
        <w:t xml:space="preserve"> de Australia, que está estudiando el tema de la UPOV y el Convenio de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19 de junio, en Wageningen (Países Bajos), la Oficina impartió una sesión de formación sobre la UPOV, de un día de duración, en el XV Curso Internacional sobre Protección de las variedades vegetales, organizado por el Naktuinbouw, y también participó en el curso.</w:t>
      </w:r>
      <w:r w:rsidRPr="00C60FC3">
        <w:rPr>
          <w:rFonts w:cs="Arial"/>
          <w:szCs w:val="22"/>
          <w:lang w:val="es-ES_tradnl"/>
        </w:rPr>
        <w:t xml:space="preserve">  </w:t>
      </w:r>
      <w:r w:rsidRPr="00C60FC3">
        <w:rPr>
          <w:lang w:val="es-ES_tradnl"/>
        </w:rPr>
        <w:t>Asistieron al curso participantes de Australia, Bélgica, Brasil, Camerún, Costa Rica, Croacia, ex República Yugoslava de Macedonia, Honduras, India, Italia, Líbano, Marruecos, Países Bajos, Polonia, Serbia, Togo, Túnez, Turquía y Uganda.</w:t>
      </w:r>
      <w:r w:rsidRPr="00C60FC3">
        <w:rPr>
          <w:rFonts w:cs="Arial"/>
          <w:szCs w:val="22"/>
          <w:lang w:val="es-ES_tradnl"/>
        </w:rPr>
        <w:t xml:space="preserve">  Se dio a los participantes la posibilidad de mantener conversaciones bilaterales con los representantes de la UPOV.  El participante de Honduras solicitó asistencia para el procedimiento de </w:t>
      </w:r>
      <w:r w:rsidR="009B050B">
        <w:rPr>
          <w:rFonts w:cs="Arial"/>
          <w:szCs w:val="22"/>
          <w:lang w:val="es-ES_tradnl"/>
        </w:rPr>
        <w:t>pasar a ser miembro de</w:t>
      </w:r>
      <w:r w:rsidRPr="00C60FC3">
        <w:rPr>
          <w:rFonts w:cs="Arial"/>
          <w:szCs w:val="22"/>
          <w:lang w:val="es-ES_tradnl"/>
        </w:rPr>
        <w:t xml:space="preserve"> la UPOV.  Los participantes del Líbano y de la ex República Yugoslava de Macedonia formularon preguntas sobre la posibilidad de organizar actividades para sensibilizar acerca de las ventajas de la protección de las variedades vegetales.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20 de junio, en la sede de la OMC en Ginebra, la Oficina presentó una ponencia sobre la “Protección de la biotecnología y las obtenciones vegetales”, en el Coloquio OMPI-OMC para docentes de propiedad intelectual.</w:t>
      </w:r>
      <w:r w:rsidRPr="00C60FC3">
        <w:rPr>
          <w:szCs w:val="24"/>
          <w:lang w:val="es-ES_tradnl"/>
        </w:rPr>
        <w:t xml:space="preserve">  Asistieron al coloquio participantes de Argentina, Azerbaiyán, Bangladesh, Brasil, Camboya, China, Cuba, Ecuador, Egipto, España, Etiopía, Federación de Rusia, India, Indonesia, Jordania, Lesotho, Mongolia, República Dominicana, Senegal, Turquía, Ucrania y Zambia.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21 de junio, en la sede de la OMPI en Ginebra, la Oficina presentó una ponencia sobre la “Protección de las obtenciones vegetales con arreglo al Convenio Internacional para la protección de las obtenciones vegetales” en el Seminario Interregional de la OMPI de nivel intermedio sobre propiedad intelectual.  Asistieron al seminario participantes de Argentina, Belarús, Brasil, Burkina Faso, Chile, Colombia, Costa Rica, Côte d'Ivoire, Cuba, Egipto, ex República Yugoslava de Macedonia, Federación de Rusia, Georgia, Honduras, India, Iraq, Kirguistán, Líbano, Madagascar, Malí, Mauricio, México, Montenegro, Mozambique, Namibia, Nigeria, Pakistán, Panamá, Paraguay, Perú, R</w:t>
      </w:r>
      <w:r w:rsidR="00C9140C">
        <w:rPr>
          <w:lang w:val="es-ES_tradnl"/>
        </w:rPr>
        <w:t>epública Árabe Siria, República </w:t>
      </w:r>
      <w:r w:rsidRPr="00C60FC3">
        <w:rPr>
          <w:lang w:val="es-ES_tradnl"/>
        </w:rPr>
        <w:t>Centroafricana, República de Corea, República de Moldova, República Democrática del Congo, República Popular Democrática de Corea, Rumania, Santo Tomé y Príncipe, Senegal, Serbia, Sudán, Togo, Túnez, Ucrania, Uzbekistán, Viet Nam, Yemen y Zimbabwe, así como de la Autoridad Palestina, la Oficina de Patentes del Consejo de Cooperación de los Estados Árabes del Golfo, la ARIPO y la OAPI.</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26 al 28 de junio, en Río de Janeiro (Brasil), la Oficina participó en el Congreso Mundial de Semillas 2012 de la </w:t>
      </w:r>
      <w:r w:rsidRPr="00C60FC3">
        <w:rPr>
          <w:i/>
          <w:lang w:val="es-ES_tradnl"/>
        </w:rPr>
        <w:t>International Seed Federation</w:t>
      </w:r>
      <w:r w:rsidRPr="00C60FC3">
        <w:rPr>
          <w:lang w:val="es-ES_tradnl"/>
        </w:rPr>
        <w:t xml:space="preserve"> (ISF).</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3 al 6 de julio, en Nueva Delhi (India), la Oficina asistió a la segunda reunión del Comité Intergubernamental Especial de Composición Abierta sobre Acceso a los Recursos Genéticos y Participación Justa y Equitativa en los Beneficios que se Deriven de su Utilización al Convenio sobre la Diversidad Biológica (CIPE-2).</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4 de julio, en Roma (Italia), la Oficina presentó una ponencia sobre “Protección de las variedades vegetales y licencias” en el curso “Licencias de tecnología para los países en desarrollo</w:t>
      </w:r>
      <w:proofErr w:type="gramStart"/>
      <w:r w:rsidRPr="00C60FC3">
        <w:rPr>
          <w:lang w:val="es-ES_tradnl"/>
        </w:rPr>
        <w:t>:  qué</w:t>
      </w:r>
      <w:proofErr w:type="gramEnd"/>
      <w:r w:rsidRPr="00C60FC3">
        <w:rPr>
          <w:lang w:val="es-ES_tradnl"/>
        </w:rPr>
        <w:t xml:space="preserve"> se aconseja y qué se desaconseja hacer”, organizado por la Organización Internacional para el Derecho del Desarrollo (IDLO).  Asistieron al curso participantes de Argentina, Brasil, Bulgaria, Camboya, Egipto, ex República Yugoslava de Macedonia, Filipinas, Kenya, Líbano, Nepal, Nigeria, Pakistán, Perú, Rumania, Sri Lanka, Sudáfrica, Uganda y Viet Nam.</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6 de julio, en la sede de la OMPI en Ginebra, la Oficina presentó una ponencia sobre “La protección de las obtenciones vegetales en virtud del Convenio de la UPOV” en el Curso de verano de la OMPI sobre propiedad intelectual.  Asistieron al Curso de verano de la OMPI participantes de Alemania, Australia, Austria, Bélgica, Brasil, Camerún, Canadá, Chile, China, Colombia, Ecuador, Estados Unidos de América, ex República Yugoslava de Macedonia, Federación de Rusia, Grecia, India, Italia, Japón, Marruecos, México, Nigeria, Países Bajos, Polonia, Qatar, Reino Unido, </w:t>
      </w:r>
      <w:r w:rsidR="00C60FC3" w:rsidRPr="00C60FC3">
        <w:rPr>
          <w:lang w:val="es-ES_tradnl"/>
        </w:rPr>
        <w:t>República</w:t>
      </w:r>
      <w:r w:rsidRPr="00C60FC3">
        <w:rPr>
          <w:lang w:val="es-ES_tradnl"/>
        </w:rPr>
        <w:t xml:space="preserve"> de Corea, República Popular Democrática de Corea, Rumania, Suecia, Suiza, Túnez y Venezuela.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9 al 13 de julio, en Ginebra, la Oficina asistió a partes de la vigésima segunda sesión del Comité Intergubernamental sobre Propiedad Intelectual y Recursos Genéticos, Conocimientos Tradicionales y Folclore (CIG) de la OMPI.</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9 al 13 de julio, en Helsinki (Finlandia), la Oficina asistió a la reunión anual de la OCDE sobre los sistemas de semillas, incluyendo reuniones del Grupo Consultivo Ampliado de la OCDE, el Grupo de Trabajo </w:t>
      </w:r>
      <w:r w:rsidRPr="00C60FC3">
        <w:rPr>
          <w:i/>
          <w:lang w:val="es-ES_tradnl"/>
        </w:rPr>
        <w:t>ad hoc</w:t>
      </w:r>
      <w:r w:rsidRPr="00C60FC3">
        <w:rPr>
          <w:lang w:val="es-ES_tradnl"/>
        </w:rPr>
        <w:t xml:space="preserve"> de Expertos en Técnicas Bioquímicas y Moleculares para la Descripción y/o Identificación de Variedades y el Grupo de Trabajo Técnico sobre la Identidad y la Pureza de las Variedades.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10 al 12 de julio, en Seúl (</w:t>
      </w:r>
      <w:r w:rsidR="00C60FC3" w:rsidRPr="00C60FC3">
        <w:rPr>
          <w:lang w:val="es-ES_tradnl"/>
        </w:rPr>
        <w:t>República</w:t>
      </w:r>
      <w:r w:rsidRPr="00C60FC3">
        <w:rPr>
          <w:lang w:val="es-ES_tradnl"/>
        </w:rPr>
        <w:t xml:space="preserve"> de Corea), la Oficina pronunció conferencias sobre la UPOV en el curso de formación sobre “Protección de las variedades vegetales y examen DHE”, organizado por el Servicio de Semillas y Variedades de Corea (KSVS) y la Agencia Coreana de Cooperación Internacional (KOICA).  Asistieron al curso participantes de Camboya, Egipto, Filipinas, Ghana, Guatemala, Indonesia, Jordania, Kenya, Marruecos, Myanmar, Nicaragua, República Democrática Popular Lao, República Dominicana, República Unida de Tanzanía, Tayikistán y Uganda.  Los participantes tuvieron la posibilidad de mantener conversaciones bilaterales con los representantes de la UPOV.  El participante de Jordania solicitó la asistencia y orientación de la Oficina para la instauración del sistema de protección de las variedades vegetales y el examen DHE.</w:t>
      </w:r>
    </w:p>
    <w:p w:rsidR="00B43D13" w:rsidRPr="00C60FC3" w:rsidRDefault="00B43D13" w:rsidP="00BF2668">
      <w:pPr>
        <w:rPr>
          <w:lang w:val="es-ES_tradnl"/>
        </w:rPr>
      </w:pPr>
    </w:p>
    <w:p w:rsidR="00B43D13" w:rsidRPr="00C60FC3" w:rsidRDefault="00B43D13" w:rsidP="00BF2668">
      <w:pPr>
        <w:rPr>
          <w:rFonts w:cs="Arial"/>
          <w:szCs w:val="22"/>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16 y el 17 de julio, en Bangkok (Tailandia), la Oficina se reunió con funcionarios del Departamento de Agricultura para prestar asistencia en la revisión de la Ley de protección de las variedades vegetales.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26 y el 27 de julio, en Brisbane (Australia), el Sr. Doug Waterhouse pronunció conferencias, en nombre de la Oficina, sobre protección de las variedades vegetales en virtud del sistema de la UPOV, en el Programa de Licenciatura en Derecho de propiedad intelectual de la </w:t>
      </w:r>
      <w:r w:rsidRPr="00C60FC3">
        <w:rPr>
          <w:i/>
          <w:lang w:val="es-ES_tradnl"/>
        </w:rPr>
        <w:t>Queensland University of Technology</w:t>
      </w:r>
      <w:r w:rsidRPr="00C60FC3">
        <w:rPr>
          <w:lang w:val="es-ES_tradnl"/>
        </w:rPr>
        <w:t xml:space="preserve"> (QUT).</w:t>
      </w:r>
    </w:p>
    <w:p w:rsidR="00B43D13" w:rsidRPr="00C60FC3" w:rsidRDefault="00B43D13" w:rsidP="00BF2668">
      <w:pPr>
        <w:rPr>
          <w:lang w:val="es-ES_tradnl"/>
        </w:rPr>
      </w:pPr>
    </w:p>
    <w:p w:rsidR="00B43D13" w:rsidRPr="00C60FC3" w:rsidRDefault="00B43D13" w:rsidP="00BF2668">
      <w:pPr>
        <w:rPr>
          <w:snapToGrid w:val="0"/>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7 y el 8 de agosto, en Brasilia (Brasil), por invitación del Sr. Shakeel Bhatti, Secretario del Tratado Internacional sobre los Recursos Fitogenéticos para la Alimentación y la Agricultura (ITPGRFA), la Oficina asistió a una reunión para examinar las opciones correspondientes a la creación de una “Plataforma de codesarrollo y transferencia de tecnologías” y las actividades conexas en el contexto del ITPGRFA.</w:t>
      </w:r>
      <w:r w:rsidRPr="00C60FC3">
        <w:rPr>
          <w:snapToGrid w:val="0"/>
          <w:lang w:val="es-ES_tradnl"/>
        </w:rPr>
        <w:t xml:space="preserve">  Organizaron conjuntamente la reunión el Ministerio de Agricultura, Ganadería y Abastecimiento Alimentario y el Ministerio de Medio Ambiente del Brasil, la Corporación Brasileña de Investigación Agrícola (EMBRAPA) y la Agencia Indonesia de Investigación y Desarrollo Agrícolas (IAARD).</w:t>
      </w:r>
    </w:p>
    <w:p w:rsidR="00B43D13" w:rsidRPr="00C60FC3" w:rsidRDefault="00B43D13" w:rsidP="00BF2668">
      <w:pPr>
        <w:rPr>
          <w:snapToGrid w:val="0"/>
          <w:lang w:val="es-ES_tradnl"/>
        </w:rPr>
      </w:pPr>
    </w:p>
    <w:p w:rsidR="00B43D13" w:rsidRPr="00C60FC3" w:rsidRDefault="00B43D13" w:rsidP="00BF2668">
      <w:pPr>
        <w:rPr>
          <w:lang w:val="es-ES_tradnl"/>
        </w:rPr>
      </w:pPr>
      <w:r w:rsidRPr="00C60FC3">
        <w:rPr>
          <w:snapToGrid w:val="0"/>
          <w:lang w:val="es-ES_tradnl"/>
        </w:rPr>
        <w:fldChar w:fldCharType="begin"/>
      </w:r>
      <w:r w:rsidRPr="00C60FC3">
        <w:rPr>
          <w:snapToGrid w:val="0"/>
          <w:lang w:val="es-ES_tradnl"/>
        </w:rPr>
        <w:instrText xml:space="preserve"> AUTONUM  </w:instrText>
      </w:r>
      <w:r w:rsidRPr="00C60FC3">
        <w:rPr>
          <w:snapToGrid w:val="0"/>
          <w:lang w:val="es-ES_tradnl"/>
        </w:rPr>
        <w:fldChar w:fldCharType="end"/>
      </w:r>
      <w:r w:rsidRPr="00C60FC3">
        <w:rPr>
          <w:snapToGrid w:val="0"/>
          <w:lang w:val="es-ES_tradnl"/>
        </w:rPr>
        <w:tab/>
        <w:t>El 21 y el 22 de agosto, en Angers (Francia), el Sr. Sebastian Pérez del Castillo, Analista Programador de la Sección de la OMPI de Servicios de Internet, se reunió con expertos de la OCVV, en nombre de la Oficina, para obtener información sobre el sistema de la OCVV de presentación de solicitudes en Internet, en el contexto de los formularios electrónicos de solicitud.</w:t>
      </w:r>
    </w:p>
    <w:p w:rsidR="00B43D13" w:rsidRPr="00C60FC3" w:rsidRDefault="00B43D13" w:rsidP="00BF2668">
      <w:pPr>
        <w:rPr>
          <w:snapToGrid w:val="0"/>
          <w:lang w:val="es-ES_tradnl"/>
        </w:rPr>
      </w:pPr>
    </w:p>
    <w:p w:rsidR="00B43D13" w:rsidRPr="00C60FC3" w:rsidRDefault="00B43D13" w:rsidP="00BF2668">
      <w:pPr>
        <w:rPr>
          <w:snapToGrid w:val="0"/>
          <w:lang w:val="es-ES_tradnl"/>
        </w:rPr>
      </w:pPr>
      <w:r w:rsidRPr="00C60FC3">
        <w:rPr>
          <w:snapToGrid w:val="0"/>
          <w:lang w:val="es-ES_tradnl"/>
        </w:rPr>
        <w:fldChar w:fldCharType="begin"/>
      </w:r>
      <w:r w:rsidRPr="00C60FC3">
        <w:rPr>
          <w:snapToGrid w:val="0"/>
          <w:lang w:val="es-ES_tradnl"/>
        </w:rPr>
        <w:instrText xml:space="preserve"> AUTONUM  </w:instrText>
      </w:r>
      <w:r w:rsidRPr="00C60FC3">
        <w:rPr>
          <w:snapToGrid w:val="0"/>
          <w:lang w:val="es-ES_tradnl"/>
        </w:rPr>
        <w:fldChar w:fldCharType="end"/>
      </w:r>
      <w:r w:rsidRPr="00C60FC3">
        <w:rPr>
          <w:snapToGrid w:val="0"/>
          <w:lang w:val="es-ES_tradnl"/>
        </w:rPr>
        <w:tab/>
        <w:t>El 29 de agosto, en Ginebra, la Oficina participó en una conferencia telefónica con colegas y expertos de la OMPI en el contexto del Marco de la OMPI de Elaboración de Estrategias Nacionales de Propiedad Intelectual para el Desarrollo, con el fin de contribuir al módulo temático 2 “Agricultura, desarrollo rural y propiedad intelectual” (véase el párrafo 41).</w:t>
      </w:r>
    </w:p>
    <w:p w:rsidR="00B43D13" w:rsidRPr="00C60FC3" w:rsidRDefault="00B43D13" w:rsidP="00BF2668">
      <w:pPr>
        <w:rPr>
          <w:snapToGrid w:val="0"/>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29 al 31 de agosto, en Santa Cruz de la Sierra (Bolivia (Estado Plurinacional de)), la Oficina asistió al XXIII Congreso Panamericano de Semillas, organizado por la Federación Latinoamericana de Asociaciones de Semillas (FELAS).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5 de septiembre, la Oficina recibió una visita de cortesía del Sr. Luis Mayaute Vargas, quien asumió recientemente el cargo de Consejero en la Misión Permanente del Perú en Ginebra.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5 al 7 de septiembre, en Tsukuba (Japón), la Oficina pronunció conferencias sobre la protección de las variedades vegetales en virtud del Convenio de la UPOV en el curso de formación sobre la “Armonización Internacional del Sistema de Protección de las Variedades Vegetales” organizado por la Agencia Japonesa de Cooperación Internacional (JICA).  Asistieron al curso participantes de Camboya, Filipinas, Indonesia, Malasia, Myanmar, Tailandia y Viet Nam.  Los participantes en el curso de la JICA tuvieron la oportunidad de participar en el curso de enseñanza a distancia de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6 de septiembre, en Seattle, Washington (Estados Unidos de América), la Oficina y los otros miembros del Comité Ejecutivo del Proyecto Mundial de Semillas presentaron ponencias en la Fundación Bill y Melinda Gates.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11 de septiembre, la Oficina recibió la visita de la Sra. Caroline Dommen, Representante de la Esfera de Asuntos Económicos Mundiales de la Representación Cuáquera ante las Naciones Unidas (QUNO) en Ginebra, para discutir las novedades acaecidas en la QUNO y en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12 de septiembre, en Ginebra, la Oficina se reunió con una delegación de la Organización de Propiedad Intelectual de Pakistán, durante una visita de estudios a la OMPI.</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12 y el 13 de septiembre, en Yaundé (Camerún), la Oficina participó en las celebraciones del quincuagésimo aniversario de la Organización Africana de la Propiedad Intelectual (OAPI).</w:t>
      </w:r>
      <w:r w:rsidRPr="00C60FC3">
        <w:rPr>
          <w:szCs w:val="24"/>
          <w:lang w:val="es-ES_tradnl"/>
        </w:rPr>
        <w:t xml:space="preserve">  La Oficina pronunció una alocución de felicitación y expuso pósters de la UPOV durante el evento.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17 de septiembre, en Ginebra, por invitación de la Oficina de Enlace de la FAO en Ginebra, la Oficina asistió al Día de Información “Transferencia de tecnología en el marco del Tratado Internacional sobre los recursos fitogenéticos para la alimentación y la agricultura”, el cual incluía debates sobre la iniciativa relativa a la “Plataforma de Codesarrollo y Transferencia de Tecnología en el contexto del Tratado Internacional”.</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19 de septiembre, la Oficina presentó por Internet ponencias sobre la UPOV, la incidencia y las ventajas del sistema de la UPOV y la asociación entre sector público y privado en la sexta Conferencia Internacional sobre propiedad intelectual en el ámbito de la agricultura, celebrada en Ammán (Jordania).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20 y el 21 de septiembre, en Peradeniya (Sri Lanka), la Oficina pronunció una alocución sobre “La importancia de la protección de las obtenciones y las variedades vegetales en beneficio de la sociedad” en el Simposio Anual del Departamento de Agricultura de Sri Lanka.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24 de septiembre, en la sede de la OMC en Ginebra, la Oficina asistió a una sesión sobre “Innovación agrícola para el siglo XXI – Conjugar el marco de propiedad intelectual con las necesidades de los agricultores”, organizada durante el Foro Público de la OMC de 2012, por la QUNO y el Instituto Internacional para el Medio Ambiente y Desarrollo (IIED).</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26 de septiembre, en Uppsala (Suecia), la Oficina impartió una sesión de formación sobre protección de las variedad vegetales, de un día de duración, en el Programa Internacional Avanzado de Formación “Recursos Genéticos y Derechos de Propiedad Intelectual” (GRIP-12b), organizado por la Universidad de Ciencias Agrícolas de Suecia (SLU) y financiado por el Organismo Sueco de Desarrollo Internacional (Sida).  Asistieron al programa participantes de Bosnia y Herzegovina, Camerún, Colombia, Ecuador, Kenya, México, Montenegro, República Unida de Tanzanía, Serbia, Sudáfrica, Tailandia, Túnez, Turquía, Uganda y Viet Nam.</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26 de septiembre, la Oficina recibió la visita del Sr. Yoon Bae Kim, Presidente de la Asociación Internacional para la Protección de la Propiedad Intelectual (AIPPI).</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 de octubre, en Ginebra, la Oficina se reunió con la Sra. Jemima Oware, Procuradora Jefe, y la Sra. Grace Ama Issahaque, Procuradora Principal, Departamento del Registrador General, Ministerio de Justicia de Ghana, a quienes informó sobre el procedimiento que tendría lugar próximamente ante el Consejo, el 1 de noviembre, para</w:t>
      </w:r>
      <w:r w:rsidRPr="00C60FC3">
        <w:rPr>
          <w:rFonts w:cs="Arial"/>
          <w:lang w:val="es-ES_tradnl"/>
        </w:rPr>
        <w:t xml:space="preserve"> examinar </w:t>
      </w:r>
      <w:r w:rsidRPr="00C60FC3">
        <w:rPr>
          <w:lang w:val="es-ES_tradnl"/>
        </w:rPr>
        <w:t>el proyecto de Ley de</w:t>
      </w:r>
      <w:r w:rsidR="00C9140C">
        <w:rPr>
          <w:lang w:val="es-ES_tradnl"/>
        </w:rPr>
        <w:t xml:space="preserve"> Ghana sobre</w:t>
      </w:r>
      <w:r w:rsidRPr="00C60FC3">
        <w:rPr>
          <w:lang w:val="es-ES_tradnl"/>
        </w:rPr>
        <w:t xml:space="preserve"> </w:t>
      </w:r>
      <w:r w:rsidR="00C9140C">
        <w:rPr>
          <w:lang w:val="es-ES_tradnl"/>
        </w:rPr>
        <w:t xml:space="preserve">los </w:t>
      </w:r>
      <w:r w:rsidRPr="00C60FC3">
        <w:rPr>
          <w:lang w:val="es-ES_tradnl"/>
        </w:rPr>
        <w:t>Obtentor</w:t>
      </w:r>
      <w:r w:rsidR="00C9140C">
        <w:rPr>
          <w:lang w:val="es-ES_tradnl"/>
        </w:rPr>
        <w:t>es</w:t>
      </w:r>
      <w:r w:rsidRPr="00C60FC3">
        <w:rPr>
          <w:lang w:val="es-ES_tradnl"/>
        </w:rPr>
        <w:t xml:space="preserve"> (véase también el párrafo 102 </w:t>
      </w:r>
      <w:r w:rsidR="00C9140C">
        <w:rPr>
          <w:lang w:val="es-ES_tradnl"/>
        </w:rPr>
        <w:t>más abajo</w:t>
      </w:r>
      <w:r w:rsidRPr="00C60FC3">
        <w:rPr>
          <w:lang w:val="es-ES_tradnl"/>
        </w:rPr>
        <w:t>).</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 de octubre, en Ginebra, la Oficina se reunió con el Sr. Timothy Johnson, Presidente, y el Sr. Marcel Bruins, </w:t>
      </w:r>
      <w:r w:rsidRPr="00C60FC3">
        <w:rPr>
          <w:szCs w:val="24"/>
          <w:lang w:val="es-ES_tradnl"/>
        </w:rPr>
        <w:t xml:space="preserve">Secretario General de la ISF, para conocer las novedades </w:t>
      </w:r>
      <w:r w:rsidRPr="00C60FC3">
        <w:rPr>
          <w:lang w:val="es-ES_tradnl"/>
        </w:rPr>
        <w:t xml:space="preserve">de interés para la UPOV </w:t>
      </w:r>
      <w:r w:rsidRPr="00C60FC3">
        <w:rPr>
          <w:szCs w:val="24"/>
          <w:lang w:val="es-ES_tradnl"/>
        </w:rPr>
        <w:t xml:space="preserve">acaecidas en la </w:t>
      </w:r>
      <w:r w:rsidRPr="00C60FC3">
        <w:rPr>
          <w:lang w:val="es-ES_tradnl"/>
        </w:rPr>
        <w:t>ISF.</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Los días 2, 3 y 4 de octubre, en Ginebra, durante la quincuagésima serie de reuniones de las Asambleas de los Estados miembros de la OMPI, la Oficina organizó varias sesiones de información sobre la UPOV en inglés, francés y español.  Al margen de las Asambleas de la OMPI, la Oficina mantuvo reuniones con diversas delegaciones (véanse los párrafos 91, 94 a 100 y 102).</w:t>
      </w:r>
    </w:p>
    <w:p w:rsidR="00B43D13" w:rsidRPr="00C60FC3" w:rsidRDefault="00B43D13" w:rsidP="00BF2668">
      <w:pPr>
        <w:rPr>
          <w:lang w:val="es-ES_tradnl"/>
        </w:rPr>
      </w:pPr>
    </w:p>
    <w:p w:rsidR="00B43D13" w:rsidRPr="00C60FC3" w:rsidRDefault="00B43D13" w:rsidP="00BF2668">
      <w:pPr>
        <w:rPr>
          <w:rFonts w:cs="Arial"/>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3 de octubre, en Ginebra, la Oficina se reunió con la Sra. </w:t>
      </w:r>
      <w:r w:rsidRPr="00C60FC3">
        <w:rPr>
          <w:rFonts w:cs="Arial"/>
          <w:lang w:val="es-ES_tradnl"/>
        </w:rPr>
        <w:t xml:space="preserve">Lidia Álvarez Sagastume, Secretaria Ejecutiva del Instituto de la Propiedad de Honduras, para examinar el procedimiento de </w:t>
      </w:r>
      <w:r w:rsidR="009B050B">
        <w:rPr>
          <w:rFonts w:cs="Arial"/>
          <w:lang w:val="es-ES_tradnl"/>
        </w:rPr>
        <w:t>pasar a ser miembro de</w:t>
      </w:r>
      <w:r w:rsidRPr="00C60FC3">
        <w:rPr>
          <w:rFonts w:cs="Arial"/>
          <w:lang w:val="es-ES_tradnl"/>
        </w:rPr>
        <w:t xml:space="preserve"> la UPOV.  Se señaló que el Decreto Nº 21</w:t>
      </w:r>
      <w:r w:rsidRPr="00C60FC3">
        <w:rPr>
          <w:rFonts w:ascii="MS Gothic" w:eastAsia="MS Gothic" w:hAnsi="MS Gothic" w:cs="MS Gothic"/>
          <w:lang w:val="es-ES_tradnl"/>
        </w:rPr>
        <w:t>‑</w:t>
      </w:r>
      <w:r w:rsidRPr="00C60FC3">
        <w:rPr>
          <w:rFonts w:cs="Arial"/>
          <w:lang w:val="es-ES_tradnl"/>
        </w:rPr>
        <w:t xml:space="preserve">2012 “Ley de Protección de </w:t>
      </w:r>
      <w:r w:rsidR="00C9140C">
        <w:rPr>
          <w:rFonts w:cs="Arial"/>
          <w:lang w:val="es-ES_tradnl"/>
        </w:rPr>
        <w:t xml:space="preserve">las </w:t>
      </w:r>
      <w:r w:rsidRPr="00C60FC3">
        <w:rPr>
          <w:rFonts w:cs="Arial"/>
          <w:lang w:val="es-ES_tradnl"/>
        </w:rPr>
        <w:t>Obtenciones Vegetales”, que entró en vigor el 23 de mayo de 2012, constituye la versión aprobada del proyecto de ley que fue objeto de una decisión positiva por el Consejo.</w:t>
      </w:r>
    </w:p>
    <w:p w:rsidR="00B43D13" w:rsidRPr="00C60FC3" w:rsidRDefault="00B43D13" w:rsidP="00BF2668">
      <w:pPr>
        <w:rPr>
          <w:rFonts w:cs="Arial"/>
          <w:lang w:val="es-ES_tradnl"/>
        </w:rPr>
      </w:pPr>
    </w:p>
    <w:p w:rsidR="00B43D13" w:rsidRPr="00C60FC3" w:rsidRDefault="00B43D13" w:rsidP="00BF2668">
      <w:pPr>
        <w:rPr>
          <w:rFonts w:cs="Arial"/>
          <w:lang w:val="es-ES_tradnl"/>
        </w:rPr>
      </w:pPr>
      <w:r w:rsidRPr="00C60FC3">
        <w:rPr>
          <w:rFonts w:cs="Arial"/>
          <w:lang w:val="es-ES_tradnl"/>
        </w:rPr>
        <w:fldChar w:fldCharType="begin"/>
      </w:r>
      <w:r w:rsidRPr="00C60FC3">
        <w:rPr>
          <w:rFonts w:cs="Arial"/>
          <w:lang w:val="es-ES_tradnl"/>
        </w:rPr>
        <w:instrText xml:space="preserve"> AUTONUM  </w:instrText>
      </w:r>
      <w:r w:rsidRPr="00C60FC3">
        <w:rPr>
          <w:rFonts w:cs="Arial"/>
          <w:lang w:val="es-ES_tradnl"/>
        </w:rPr>
        <w:fldChar w:fldCharType="end"/>
      </w:r>
      <w:r w:rsidRPr="00C60FC3">
        <w:rPr>
          <w:rFonts w:cs="Arial"/>
          <w:lang w:val="es-ES_tradnl"/>
        </w:rPr>
        <w:tab/>
        <w:t xml:space="preserve">También el 3 de octubre, en Ginebra, la Oficina se reunió con el Sr. Sami Alsodais, Director General de la Dirección General de Propiedad Industrial, Ciudad “Rey Abdulaziz de la Ciencia y la Tecnología” (KACST), y el Sr. Abdulaziz Aiswailem, Vicepresidente de la entidad de Apoyo a la Investigación Científica, KACST, de la Delegación de Arabia Saudita, para conversar sobre la UPOV y la </w:t>
      </w:r>
      <w:r w:rsidRPr="00C60FC3">
        <w:rPr>
          <w:rFonts w:cs="Arial"/>
          <w:snapToGrid w:val="0"/>
          <w:lang w:val="es-ES_tradnl"/>
        </w:rPr>
        <w:t xml:space="preserve">protección de las variedades </w:t>
      </w:r>
      <w:r w:rsidRPr="00C60FC3">
        <w:rPr>
          <w:rFonts w:cs="Arial"/>
          <w:lang w:val="es-ES_tradnl"/>
        </w:rPr>
        <w:t>vegetales.</w:t>
      </w:r>
    </w:p>
    <w:p w:rsidR="00B43D13" w:rsidRPr="00C60FC3" w:rsidRDefault="00B43D13" w:rsidP="00BF2668">
      <w:pPr>
        <w:rPr>
          <w:rFonts w:cs="Arial"/>
          <w:lang w:val="es-ES_tradnl"/>
        </w:rPr>
      </w:pPr>
    </w:p>
    <w:p w:rsidR="00B43D13" w:rsidRPr="00C60FC3" w:rsidRDefault="00B43D13" w:rsidP="00BF2668">
      <w:pPr>
        <w:rPr>
          <w:rFonts w:cs="Arial"/>
          <w:lang w:val="es-ES_tradnl"/>
        </w:rPr>
      </w:pPr>
      <w:r w:rsidRPr="00C60FC3">
        <w:rPr>
          <w:rFonts w:cs="Arial"/>
          <w:lang w:val="es-ES_tradnl"/>
        </w:rPr>
        <w:fldChar w:fldCharType="begin"/>
      </w:r>
      <w:r w:rsidRPr="00C60FC3">
        <w:rPr>
          <w:rFonts w:cs="Arial"/>
          <w:lang w:val="es-ES_tradnl"/>
        </w:rPr>
        <w:instrText xml:space="preserve"> AUTONUM  </w:instrText>
      </w:r>
      <w:r w:rsidRPr="00C60FC3">
        <w:rPr>
          <w:rFonts w:cs="Arial"/>
          <w:lang w:val="es-ES_tradnl"/>
        </w:rPr>
        <w:fldChar w:fldCharType="end"/>
      </w:r>
      <w:r w:rsidRPr="00C60FC3">
        <w:rPr>
          <w:rFonts w:cs="Arial"/>
          <w:lang w:val="es-ES_tradnl"/>
        </w:rPr>
        <w:tab/>
        <w:t>También el 3 de octubre, en Ginebra, la Oficina se reunió con el Sr. Vibol Ngeth, Director del Departamento de Propiedad Industrial del Ministerio de Industria, Minería y Energía de Camboya, para examinar la traducción al jemer del Acta de 1991 del Convenio de la UPOV.</w:t>
      </w:r>
    </w:p>
    <w:p w:rsidR="00B43D13" w:rsidRPr="00C60FC3" w:rsidRDefault="00B43D13" w:rsidP="00BF2668">
      <w:pPr>
        <w:rPr>
          <w:rFonts w:cs="Arial"/>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4 de octubre, en Ginebra, la Oficina recibió la visita del Sr. Tejan-Cole, Consejero Jurídico de la </w:t>
      </w:r>
      <w:r w:rsidRPr="00C60FC3">
        <w:rPr>
          <w:i/>
          <w:lang w:val="es-ES_tradnl"/>
        </w:rPr>
        <w:t>African Agricultural Technology Foundation</w:t>
      </w:r>
      <w:r w:rsidRPr="00C60FC3">
        <w:rPr>
          <w:lang w:val="es-ES_tradnl"/>
        </w:rPr>
        <w:t xml:space="preserve"> (AATF).</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También el 4 de octubre, en Ginebra, la Oficina recibió la visita de una delegación de Bahrein, a la que proporcionó asesoramiento sobre el procedimiento de adhesión al Convenio de la UPOV.</w:t>
      </w:r>
    </w:p>
    <w:p w:rsidR="00B43D13" w:rsidRPr="00C60FC3" w:rsidRDefault="00B43D13" w:rsidP="00BF2668">
      <w:pPr>
        <w:rPr>
          <w:lang w:val="es-ES_tradnl"/>
        </w:rPr>
      </w:pPr>
    </w:p>
    <w:p w:rsidR="00B43D13" w:rsidRPr="00C60FC3" w:rsidRDefault="00B43D13" w:rsidP="00BF2668">
      <w:pPr>
        <w:rPr>
          <w:rFonts w:cs="Arial"/>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5 y el 9 de octubre, en Ginebra, la Oficina recibió la visita de una delegación de Brunei Darussalam para examinar las observaciones formuladas por la </w:t>
      </w:r>
      <w:r w:rsidRPr="00C60FC3">
        <w:rPr>
          <w:rFonts w:cs="Arial"/>
          <w:lang w:val="es-ES_tradnl"/>
        </w:rPr>
        <w:t xml:space="preserve">Oficina en relación con el proyecto de ley titulado “Proyecto de orden sobre la protección de las variedades vegetales”, la asistencia técnica y el </w:t>
      </w:r>
      <w:r w:rsidRPr="00C60FC3">
        <w:rPr>
          <w:lang w:val="es-ES_tradnl"/>
        </w:rPr>
        <w:t xml:space="preserve">procedimiento de </w:t>
      </w:r>
      <w:r w:rsidR="00C9140C">
        <w:rPr>
          <w:lang w:val="es-ES_tradnl"/>
        </w:rPr>
        <w:t xml:space="preserve">pasar a ser miembro de </w:t>
      </w:r>
      <w:r w:rsidRPr="00C60FC3">
        <w:rPr>
          <w:lang w:val="es-ES_tradnl"/>
        </w:rPr>
        <w:t>la UPOV.</w:t>
      </w:r>
    </w:p>
    <w:p w:rsidR="00B43D13" w:rsidRPr="00C60FC3" w:rsidRDefault="00B43D13" w:rsidP="00BF2668">
      <w:pPr>
        <w:rPr>
          <w:rFonts w:cs="Arial"/>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También el 5 de octubre, en Ginebra, la Oficina se reunió con el Sr. Richard Aching, Director de Exámenes Técnicos de la Oficina de Propiedad Intelectual del Ministerio de Justicia de Trinidad y Tabago, para examinar la posibilidad de organizar un evento sobre la </w:t>
      </w:r>
      <w:r w:rsidRPr="00C60FC3">
        <w:rPr>
          <w:snapToGrid w:val="0"/>
          <w:lang w:val="es-ES_tradnl"/>
        </w:rPr>
        <w:t>protección de las variedades vegetales en Trinidad y Tabago</w:t>
      </w:r>
      <w:r w:rsidRPr="00C60FC3">
        <w:rPr>
          <w:lang w:val="es-ES_tradnl"/>
        </w:rPr>
        <w:t>.</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8 de octubre, en Londres (Reino Unido), la Oficina se reunió con miembros de la Comisión Internacional para la Nomenclatura de Plantas Cultivadas de la Unión Internacional de Ciencias Biológicas (Comisión de la UICB) para estudiar posibles ámbitos de cooperación en materia de denominaciones de variedades entre la UPOV, la Comisión de la UICB y la Comisión de Nomenclatura y Registro de Cultivares de la Sociedad Internacional de la Ciencia Hortícola (Comisión de la ISHS).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9 de octubre, en Ginebra, la Oficina recibió la visita de la Sra. Grace Ama Issahaque, Procuradora Principal, Departamento del Registrador General, Ministerio de Justicia de Ghana, con quien conversó sobre los preparativos del procedimiento que tendría lugar ante el Consejo el 1 de noviembre para examinar el proyecto de Ley de </w:t>
      </w:r>
      <w:r w:rsidR="00D63ADC">
        <w:rPr>
          <w:lang w:val="es-ES_tradnl"/>
        </w:rPr>
        <w:t xml:space="preserve">Ghana sobre los </w:t>
      </w:r>
      <w:r w:rsidRPr="00C60FC3">
        <w:rPr>
          <w:lang w:val="es-ES_tradnl"/>
        </w:rPr>
        <w:t>Obtentor</w:t>
      </w:r>
      <w:r w:rsidR="00D63ADC">
        <w:rPr>
          <w:lang w:val="es-ES_tradnl"/>
        </w:rPr>
        <w:t>es</w:t>
      </w:r>
      <w:r w:rsidRPr="00C60FC3">
        <w:rPr>
          <w:lang w:val="es-ES_tradnl"/>
        </w:rPr>
        <w:t>.</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9 de octubre, en Tokio (Japón), la Oficina presentó, en el Simposio sobre la protección de las variedades vegetales en Asia, organizado conjuntamente por la CIOPORA y la Asociación Japonesa para la Innovación Tecnológica en Agricultura, Silvicultura y Pesca (JATAFF), una ponencia sobre las novedades más recientes acaecidas en la UPOV.  Asistieron al simposio participantes de Camboya, Japón, Filipinas, Malasia, Myanmar, República Democrática Popular Lao, Tailandia y Viet Nam.</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11 de octubre, en Ginebra, la Oficina recibió la visita del Sr. José Ntutumu Nzang, Secretario General, Presidencia del Gobierno, Consejo de Investigaciones Científicas y Tecnológicas</w:t>
      </w:r>
      <w:r w:rsidRPr="00C60FC3">
        <w:rPr>
          <w:i/>
          <w:lang w:val="es-ES_tradnl"/>
        </w:rPr>
        <w:t xml:space="preserve"> </w:t>
      </w:r>
      <w:r w:rsidRPr="00C60FC3">
        <w:rPr>
          <w:lang w:val="es-ES_tradnl"/>
        </w:rPr>
        <w:t xml:space="preserve">(CICTE) de Guinea Ecuatorial, para examinar el procedimiento de </w:t>
      </w:r>
      <w:r w:rsidR="00D63ADC">
        <w:rPr>
          <w:lang w:val="es-ES_tradnl"/>
        </w:rPr>
        <w:t xml:space="preserve">pasar a ser miembro de </w:t>
      </w:r>
      <w:r w:rsidRPr="00C60FC3">
        <w:rPr>
          <w:lang w:val="es-ES_tradnl"/>
        </w:rPr>
        <w:t>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11 de octubre, en Kasaoka, Prefectura de Okayama (Japón), la Oficina pronunció conferencias sobre la protección de las variedades vegetales en virtud del Convenio de la UPOV en un curso de formación sobre el examen DHE, dirigido a expertos del EAPVP y organizado por </w:t>
      </w:r>
      <w:r w:rsidR="00D63ADC">
        <w:rPr>
          <w:lang w:val="es-ES_tradnl"/>
        </w:rPr>
        <w:t xml:space="preserve">el </w:t>
      </w:r>
      <w:r w:rsidRPr="00C60FC3">
        <w:rPr>
          <w:lang w:val="es-ES_tradnl"/>
        </w:rPr>
        <w:t>Centro Nacional de Semillas y Plántulas (NCSS) del Japón, en colaboración con el Ministerio de Agricultura, Silvicultura y Pesca (MAFF) del Japón.  Asistieron al curso expertos de Filipinas, Malasia, República Democrática Popular Lao, Tailandia y Viet Nam, así como personal del NCSS.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15 y el 16 de octubre, en Bruselas (Bélgica), la Oficina participó, en calidad de observador, en la reunión anual de la </w:t>
      </w:r>
      <w:r w:rsidRPr="00C60FC3">
        <w:rPr>
          <w:i/>
          <w:lang w:val="es-ES_tradnl"/>
        </w:rPr>
        <w:t>European Seed Association</w:t>
      </w:r>
      <w:r w:rsidRPr="00C60FC3">
        <w:rPr>
          <w:lang w:val="es-ES_tradnl"/>
        </w:rPr>
        <w:t xml:space="preserve"> (ESA).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18 de octubre, en la sede de la UPOV, la Oficina acogió una reunión para examinar los formularios electrónicos de solicitud</w:t>
      </w:r>
      <w:r w:rsidR="00D63ADC">
        <w:rPr>
          <w:lang w:val="es-ES_tradnl"/>
        </w:rPr>
        <w:t xml:space="preserve">, incluyendo la participación </w:t>
      </w:r>
      <w:r w:rsidRPr="00C60FC3">
        <w:rPr>
          <w:lang w:val="es-ES_tradnl"/>
        </w:rPr>
        <w:t xml:space="preserve">por vía electrónica a través de Internet.  Asistieron a la reunión participantes de:  la Sección de Servicios de Internet y la Unidad de Bases de Datos de Marcas de la OMPI;  la OCVV, acompañada por expertos de la Oficina Federal de Variedades Vegetales de Alemania y el Naktuinbouw (Países Bajos);  la CIOPORA;  la ISF;  y la Oficina.  Al margen de esa reunión, la Oficina y la OCVV examinaron cuestiones relativas a la posible elaboración de un instrumento de la UPOV de búsqueda de </w:t>
      </w:r>
      <w:r w:rsidR="00D63ADC">
        <w:rPr>
          <w:lang w:val="es-ES_tradnl"/>
        </w:rPr>
        <w:t xml:space="preserve">similitud </w:t>
      </w:r>
      <w:r w:rsidRPr="00C60FC3">
        <w:rPr>
          <w:lang w:val="es-ES_tradnl"/>
        </w:rPr>
        <w:t>a los fines de la denominación de variedades</w:t>
      </w:r>
      <w:r w:rsidRPr="00C60FC3">
        <w:rPr>
          <w:kern w:val="28"/>
          <w:lang w:val="es-ES_tradnl"/>
        </w:rPr>
        <w:t>.</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También el 18 de octubre, en la sede de la OMPI en Ginebra, la Oficina asistió a un debate sobre “Cambios en la geografía de la innovación</w:t>
      </w:r>
      <w:proofErr w:type="gramStart"/>
      <w:r w:rsidRPr="00C60FC3">
        <w:rPr>
          <w:lang w:val="es-ES_tradnl"/>
        </w:rPr>
        <w:t>:  oportunidades</w:t>
      </w:r>
      <w:proofErr w:type="gramEnd"/>
      <w:r w:rsidRPr="00C60FC3">
        <w:rPr>
          <w:lang w:val="es-ES_tradnl"/>
        </w:rPr>
        <w:t xml:space="preserve"> y desafíos”, organizado por la OMPI y el Club Diplomático de Ginebra.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19 de octubre, en Ginebra, la Oficina se reunió con el Sr. Juan Manuel Escalante, Consejero de la Misión Permanente del Ecuador ante la Organización Mundial del Comercio (OMC).  El Sr. Escalante informó de las novedades en relación con el aumento de las tasas de concesión de derechos de obtentor en el Ecuador.</w:t>
      </w:r>
    </w:p>
    <w:p w:rsidR="00B43D13" w:rsidRPr="00C60FC3" w:rsidRDefault="00B43D13" w:rsidP="00BF2668">
      <w:pPr>
        <w:rPr>
          <w:rFonts w:cs="Arial"/>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22 de octubre, en Ginebra, la Oficina recibió la visita de su Excelencia el Sr. Alfredo Suescum, Embajador y Representante Permanente de Panamá, y la Sra. Zoraida Rodríguez Montenegro, Representante Permanente Suplente de Panamá. En esa ocasión, </w:t>
      </w:r>
      <w:r w:rsidRPr="00C60FC3">
        <w:rPr>
          <w:szCs w:val="24"/>
          <w:lang w:val="es-ES_tradnl"/>
        </w:rPr>
        <w:t>su Excelencia el Sr. </w:t>
      </w:r>
      <w:r w:rsidRPr="00C60FC3">
        <w:rPr>
          <w:lang w:val="es-ES_tradnl"/>
        </w:rPr>
        <w:t>Suescum depositó el instrumento de adhesión de Panamá al Acta de 1991 del Convenio de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22 de octubre, en París (Francia), la Oficina participó en una visita de estudio y asistió a una </w:t>
      </w:r>
      <w:r w:rsidR="00140292">
        <w:rPr>
          <w:lang w:val="es-ES_tradnl"/>
        </w:rPr>
        <w:t>reunión-</w:t>
      </w:r>
      <w:r w:rsidRPr="00C60FC3">
        <w:rPr>
          <w:lang w:val="es-ES_tradnl"/>
        </w:rPr>
        <w:t xml:space="preserve">cena para altos funcionarios de Filipinas, Malasia y Tailandia, organizadas por el </w:t>
      </w:r>
      <w:r w:rsidRPr="00C60FC3">
        <w:rPr>
          <w:i/>
          <w:lang w:val="es-ES_tradnl"/>
        </w:rPr>
        <w:t>Groupe National Interprofessionnel des Semences et Plants</w:t>
      </w:r>
      <w:r w:rsidRPr="00C60FC3">
        <w:rPr>
          <w:lang w:val="es-ES_tradnl"/>
        </w:rPr>
        <w:t xml:space="preserve"> (GNIS), para </w:t>
      </w:r>
      <w:r w:rsidR="00D63ADC">
        <w:rPr>
          <w:lang w:val="es-ES_tradnl"/>
        </w:rPr>
        <w:t xml:space="preserve">discutir sobre </w:t>
      </w:r>
      <w:r w:rsidRPr="00C60FC3">
        <w:rPr>
          <w:lang w:val="es-ES_tradnl"/>
        </w:rPr>
        <w:t>la elaboración de legislación en sus respectivos países.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23 de octubre, la Oficina participó en una conferencia por Internet con alumnos del curso de formación organizado por la JICA (véase el párrafo 80).</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También el 23 de octubre, en Maputo (Mozambique), la Oficina presentó una ponencia sobre los derechos de obtentor y el Convenio de la UPOV en el Seminario nacional de la OMPI sobre la incidencia del Tratado de Cooperación en materia de Patentes (PCT) en la investigación.</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24 de octubre, también en Maputo, la Oficina se reunió con representantes del Ministerio de Agricultura y del Instituto Nacional de Investigaciones Agrícolas de Mozambique.  Se realizaron presentaciones sobre el Convenio de la UPOV y la incidencia de la protección de las variedades vegetales, y se proporcionó orientación sobre el procedimiento de </w:t>
      </w:r>
      <w:r w:rsidR="009B050B">
        <w:rPr>
          <w:lang w:val="es-ES_tradnl"/>
        </w:rPr>
        <w:t>pasar a ser miembro de</w:t>
      </w:r>
      <w:r w:rsidRPr="00C60FC3">
        <w:rPr>
          <w:lang w:val="es-ES_tradnl"/>
        </w:rPr>
        <w:t xml:space="preserv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26 de octubre, en Ginebra, la Oficina se reunió con la Sra. Catherine Saez, periodista, en relación con un posible artículo sobre la UPOV en </w:t>
      </w:r>
      <w:r w:rsidRPr="00C60FC3">
        <w:rPr>
          <w:i/>
          <w:lang w:val="es-ES_tradnl"/>
        </w:rPr>
        <w:t>IP Watch</w:t>
      </w:r>
      <w:r w:rsidRPr="00C60FC3">
        <w:rPr>
          <w:lang w:val="es-ES_tradnl"/>
        </w:rPr>
        <w:t xml:space="preserve">. </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29 de octubre, en Ginebra, la Oficina se reunió con una delegación de la República Dominicana y fue informada de las modificaciones relativas al representante de la República Dominicana ante el Consejo de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2 de noviembre, en Ginebra, la Oficina organizó un Simposio sobre las ventajas de la protección de las obtenciones vegetales para los agricultores y los productores.  Asistieron al simposio 118 participantes (véase </w:t>
      </w:r>
      <w:hyperlink r:id="rId10" w:history="1">
        <w:r w:rsidRPr="00C60FC3">
          <w:rPr>
            <w:rStyle w:val="Hyperlink"/>
            <w:lang w:val="es-ES_tradnl"/>
          </w:rPr>
          <w:t>http://www.upov.int/meetings/es/details.jsp?meeting_id=26104</w:t>
        </w:r>
      </w:hyperlink>
      <w:r w:rsidRPr="00C60FC3">
        <w:rPr>
          <w:lang w:val="es-ES_tradnl"/>
        </w:rPr>
        <w:t>).</w:t>
      </w:r>
    </w:p>
    <w:p w:rsidR="00B43D13" w:rsidRPr="00C60FC3" w:rsidRDefault="00B43D13" w:rsidP="00BF2668">
      <w:pPr>
        <w:rPr>
          <w:lang w:val="es-ES_tradnl"/>
        </w:rPr>
      </w:pPr>
    </w:p>
    <w:p w:rsidR="00B43D13" w:rsidRPr="00C60FC3" w:rsidRDefault="00B43D13" w:rsidP="00BF2668">
      <w:pPr>
        <w:rPr>
          <w:szCs w:val="24"/>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r>
      <w:r w:rsidR="00140292">
        <w:rPr>
          <w:lang w:val="es-ES_tradnl"/>
        </w:rPr>
        <w:t xml:space="preserve">Los días </w:t>
      </w:r>
      <w:r w:rsidRPr="00C60FC3">
        <w:rPr>
          <w:lang w:val="es-ES_tradnl"/>
        </w:rPr>
        <w:t>6 y 7 de noviembre, la Oficina asistió a las sesiones pertinentes de la reunión del Consejo de los ADPIC.</w:t>
      </w:r>
    </w:p>
    <w:p w:rsidR="00B43D13" w:rsidRPr="00C60FC3" w:rsidRDefault="00B43D13" w:rsidP="00BF2668">
      <w:pPr>
        <w:rPr>
          <w:szCs w:val="24"/>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6 al 9 de noviembre, en Kuta, Bali (Indonesia), la Oficina participó en el Congreso de la </w:t>
      </w:r>
      <w:r w:rsidRPr="00C60FC3">
        <w:rPr>
          <w:i/>
          <w:lang w:val="es-ES_tradnl"/>
        </w:rPr>
        <w:t>Asia and Pacific Seed Association</w:t>
      </w:r>
      <w:r w:rsidRPr="00C60FC3">
        <w:rPr>
          <w:lang w:val="es-ES_tradnl"/>
        </w:rPr>
        <w:t xml:space="preserve"> (APSA) y presentó una ponencia sobre las novedades más recientes acaecidas en la UPOV ante el Comité Permanente sobre Derechos de Propiedad Intelectual.</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13 al 15 de noviembre, en Antalya (Turquía), la Oficina participó, en calidad de observador, en la quinta Reunión ministerial de la Organización de Cooperación Económica (OCE) sobre agricultura y la segunda Conferencia de donantes para la ejecución del Programa Regional de Seguridad Alimentaria (RPFS).  Asistieron a estos eventos participantes de Afganistán, Azerbaiyán, Chipre, Irán (República Islámica del), Kirguistán, Pakistán, Tayikistán y Turquía, así como de las siguientes organizaciones: Asociación de Semillas de la OCE (ECOSA), Banco de Comercio y Desarrollo de la OCE, Banco Europeo de Reconstrucción y Fomento (BERF), FAO, Centro Internacional de Investigaciones Agrícolas en Zonas Áridas </w:t>
      </w:r>
      <w:r w:rsidRPr="00C60FC3">
        <w:rPr>
          <w:rFonts w:cs="Arial"/>
          <w:lang w:val="es-ES_tradnl"/>
        </w:rPr>
        <w:t>(</w:t>
      </w:r>
      <w:r w:rsidRPr="00C60FC3">
        <w:rPr>
          <w:lang w:val="es-ES_tradnl"/>
        </w:rPr>
        <w:t>ICARDA), Banco Islámico de Desarrollo (BIsD), Programa de las Naciones Unidas para el Desarrollo (PNUD), Organización de las Naciones Unidas para el Desarrollo Industrial (ONUDI), UPOV, Banco Mundial y Organización Mundial de Sanidad Animal (OIE).</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14 al 16 de noviembre, en Roma (Italia), la Oficina asistió a la sexta sesión del Grupo de Trabajo Técnico Intergubernamental sobre Recursos Fitogenéticos para la Alimentación y la Agricultura (ITWG-PGRFA) de la Comisión sobre Recursos Genéticos para la Alimentación y la Agricultura (CGRFA) de la FAO, y presentó un informe sobre las novedades acaecidas en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16 de noviembre, en </w:t>
      </w:r>
      <w:r w:rsidR="00C60FC3" w:rsidRPr="00C60FC3">
        <w:rPr>
          <w:lang w:val="es-ES_tradnl"/>
        </w:rPr>
        <w:t>Múnich</w:t>
      </w:r>
      <w:r w:rsidRPr="00C60FC3">
        <w:rPr>
          <w:lang w:val="es-ES_tradnl"/>
        </w:rPr>
        <w:t xml:space="preserve"> (Alemania), la Oficina presentó una ponencia sobre las novedades más recientes acaecidas en la UPOV en una reunión del Comité de Expertos en Variedades Vegetales de la Asociación Alemana para la Protección de la Propiedad Intelectual (GRUR).</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16 de noviembre, en la sede de la OMPI en Ginebra, la Oficina asistió a la serie de Seminarios sobre Desafíos Mundiales</w:t>
      </w:r>
      <w:proofErr w:type="gramStart"/>
      <w:r w:rsidRPr="00C60FC3">
        <w:rPr>
          <w:lang w:val="es-ES_tradnl"/>
        </w:rPr>
        <w:t>:  La</w:t>
      </w:r>
      <w:proofErr w:type="gramEnd"/>
      <w:r w:rsidRPr="00C60FC3">
        <w:rPr>
          <w:lang w:val="es-ES_tradnl"/>
        </w:rPr>
        <w:t xml:space="preserve"> innovación, la seguridad alimentaria y el desarrollo rural:  colaboración y alianzas, en la cual presentó una ponencia el Dr. Ismail Serageldin, Director de la Biblioteca de Alejandría (Egipto).</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21 de noviembre, en Ginebra, la Oficina participó en una reunión con la OMPI para estudiar la posible participación de organizaciones internacionales con sede en Ginebra en la Exposición Universal EXPO 2015, que se celebrará en Milán (Italia) en 2015 (véase el párrafo 131 posterior).</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22 de noviembre, en Ginebra, la Oficina se reunió con el Sr. Kees van Ettekoven, Jefe del Departamento de Examen de Variedades del Naktuinbouw (Países Bajos), para examinar la cooperación entre el Naktuinbouw y la UPOV.</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28 al 30 de noviembre en Zanzíbar (República Unida de Tanzanía), la Oficina asistió a la parte de la trigésima sexta sesión del Consejo Administrativo de la ARIPO relativa al </w:t>
      </w:r>
      <w:r w:rsidRPr="00C60FC3">
        <w:rPr>
          <w:rFonts w:cs="Arial"/>
          <w:lang w:val="es-ES_tradnl"/>
        </w:rPr>
        <w:t>proyecto revisado de marco jurídico sobre la protección de las obtenciones vegetales</w:t>
      </w:r>
      <w:r w:rsidRPr="00C60FC3">
        <w:rPr>
          <w:lang w:val="es-ES_tradnl"/>
        </w:rPr>
        <w:t>.  Al margen de la sesión, la Oficina visitó el Ministerio de Agricultura y Recursos Naturales de Zanzíbar para examinar la elaboración de la legislación para la protección de las variedades vegetales de Zanzíbar.</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r>
      <w:r w:rsidRPr="00C60FC3">
        <w:rPr>
          <w:spacing w:val="-2"/>
          <w:lang w:val="es-ES_tradnl"/>
        </w:rPr>
        <w:t xml:space="preserve">El 30 de noviembre, en Ginebra, la Oficina se reunió con el Sr. Javad Mozafari Hashjin, Presidente del </w:t>
      </w:r>
      <w:r w:rsidRPr="00C60FC3">
        <w:rPr>
          <w:lang w:val="es-ES_tradnl"/>
        </w:rPr>
        <w:t>Órgano Rector del ITPGRFA, para examinar la cooperación entre la UPOV y el ITPGRFA.</w:t>
      </w:r>
    </w:p>
    <w:p w:rsidR="00B43D13" w:rsidRPr="00C60FC3" w:rsidRDefault="00B43D13" w:rsidP="00BF2668">
      <w:pPr>
        <w:rPr>
          <w:lang w:val="es-ES_tradnl"/>
        </w:rPr>
      </w:pPr>
    </w:p>
    <w:p w:rsidR="00B43D13" w:rsidRPr="00C60FC3" w:rsidRDefault="00B43D13" w:rsidP="00BF2668">
      <w:pPr>
        <w:rPr>
          <w:snapToGrid w:val="0"/>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3 de diciembre, en Ginebra, la Oficina recibió la visita de la Sra. Vesna Filipovi</w:t>
      </w:r>
      <w:r w:rsidRPr="00C60FC3">
        <w:rPr>
          <w:rFonts w:cs="Arial"/>
          <w:lang w:val="es-ES_tradnl"/>
        </w:rPr>
        <w:t>ć</w:t>
      </w:r>
      <w:r w:rsidRPr="00C60FC3">
        <w:rPr>
          <w:lang w:val="es-ES_tradnl"/>
        </w:rPr>
        <w:t>-Nikoli</w:t>
      </w:r>
      <w:r w:rsidRPr="00C60FC3">
        <w:rPr>
          <w:rFonts w:cs="Arial"/>
          <w:lang w:val="es-ES_tradnl"/>
        </w:rPr>
        <w:t>ć</w:t>
      </w:r>
      <w:r w:rsidRPr="00C60FC3">
        <w:rPr>
          <w:lang w:val="es-ES_tradnl"/>
        </w:rPr>
        <w:t>, Consejera de la Misión Permanente de Serbia, para conversar sobre el depósito del instrumento de adhesión de Serbia al Acta de 1991 del Convenio de la UPOV (véase el párrafo 130).</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r>
      <w:r w:rsidR="00140292">
        <w:rPr>
          <w:lang w:val="es-ES_tradnl"/>
        </w:rPr>
        <w:t xml:space="preserve">Los días </w:t>
      </w:r>
      <w:r w:rsidRPr="00C60FC3">
        <w:rPr>
          <w:lang w:val="es-ES_tradnl"/>
        </w:rPr>
        <w:t>4 y 5 de diciembre, en Angers (Francia), la Oficina asistió a la decimosexta reunión de la OCVV con sus oficinas de examen.</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5 de diciembre, en Ginebra, la Oficina recibió la visita de </w:t>
      </w:r>
      <w:r w:rsidRPr="00C60FC3">
        <w:rPr>
          <w:szCs w:val="24"/>
          <w:lang w:val="es-ES_tradnl"/>
        </w:rPr>
        <w:t>su Excelencia el Sr. </w:t>
      </w:r>
      <w:r w:rsidRPr="00C60FC3">
        <w:rPr>
          <w:lang w:val="es-ES_tradnl"/>
        </w:rPr>
        <w:t>Uglješa Zvekić, Embajador y Representante Permanente de Serbia, quien depositó el instrumento de adhesión de Serbia al Convenio de la UPOV, con lo que Serbia pasó a ser el septuagésimo primer miembro de la Unión el 5 de enero de 2013.</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10 de diciembre, en la Misión Permanente de Italia en Ginebra, la Oficina participó en una reunión entre organizaciones intergubernamentales con sede en Ginebra, la FAO y el equipo </w:t>
      </w:r>
      <w:r w:rsidR="00140292">
        <w:rPr>
          <w:lang w:val="es-ES_tradnl"/>
        </w:rPr>
        <w:t>Naciones Unidas-</w:t>
      </w:r>
      <w:r w:rsidRPr="00C60FC3">
        <w:rPr>
          <w:lang w:val="es-ES_tradnl"/>
        </w:rPr>
        <w:t xml:space="preserve"> EXPO 2015.</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Del 10 al 14 de diciembre, en Montevideo (Uruguay), la Oficina, en colaboración con el </w:t>
      </w:r>
      <w:r w:rsidRPr="00C60FC3">
        <w:rPr>
          <w:rFonts w:cs="Arial"/>
          <w:lang w:val="es-ES_tradnl"/>
        </w:rPr>
        <w:t>I</w:t>
      </w:r>
      <w:r w:rsidR="00140292">
        <w:rPr>
          <w:rFonts w:cs="Arial"/>
          <w:lang w:val="es-ES_tradnl"/>
        </w:rPr>
        <w:t>nstituto Nacional de Semillas (I</w:t>
      </w:r>
      <w:r w:rsidRPr="00C60FC3">
        <w:rPr>
          <w:rFonts w:cs="Arial"/>
          <w:lang w:val="es-ES_tradnl"/>
        </w:rPr>
        <w:t xml:space="preserve">NASE) (Uruguay), la Oficina Española de Variedades Vegetales (OEVV), la Agencia Española de Cooperación Internacional (AECID), la </w:t>
      </w:r>
      <w:r w:rsidRPr="00C60FC3">
        <w:rPr>
          <w:szCs w:val="24"/>
          <w:lang w:val="es-ES_tradnl"/>
        </w:rPr>
        <w:t>OMPI y la USPTO, organizó el XI Curso de formación para países iberoamericanos sobre la protección de las obtenciones vegetales</w:t>
      </w:r>
      <w:r w:rsidRPr="00C60FC3">
        <w:rPr>
          <w:lang w:val="es-ES_tradnl"/>
        </w:rPr>
        <w:t xml:space="preserve">.  </w:t>
      </w:r>
      <w:r w:rsidRPr="00C60FC3">
        <w:rPr>
          <w:szCs w:val="24"/>
          <w:lang w:val="es-ES_tradnl"/>
        </w:rPr>
        <w:t xml:space="preserve">Asistieron al curso 26 expertos que intervienen directamente en el examen DHE (o que se prevé que lo hagan en el futuro) procedentes de 18 países (Argentina, Bolivia (Estado Plurinacional de), Brasil, Chile, Colombia, Costa Rica, Ecuador, El Salvador, Guatemala, Honduras, México, Nicaragua, Países Bajos, Panamá, Paraguay, Perú, República Dominicana </w:t>
      </w:r>
      <w:r w:rsidRPr="00C60FC3">
        <w:rPr>
          <w:spacing w:val="-2"/>
          <w:szCs w:val="24"/>
          <w:lang w:val="es-ES_tradnl"/>
        </w:rPr>
        <w:t>y Uruguay).  Pronunciaron conferencias expertos de Argentina, Chile, Uruguay, la OCVV, la OEVV y la Oficina.</w:t>
      </w:r>
      <w:r w:rsidRPr="00C60FC3">
        <w:rPr>
          <w:szCs w:val="24"/>
          <w:lang w:val="es-ES_tradnl"/>
        </w:rPr>
        <w:t xml:space="preserve">  Antes del inicio del curso de formación, se invitó a los participantes a asistir al curso de la UPOV de enseñanza a distancia DL-205.</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12 de diciembre, la Oficina recibió la visita del Sr. Harry Miguel Peralta López, Director General y Registrador del Registro de la Propiedad Intelectual, Ministerio de Fomento, Industria y Comercio (MIFIC) de Nicaragua, para examinar la asistencia que podría prestar la UPOV en la instauración y el desarrollo de un sistema de protección de las obtenciones vegetales.</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El 13 de diciembre, en Ginebra, la Oficina presentó una ponencia sobre la UPOV en la vigésima séptima sesión de la Comisión Consultiva Independiente de Supervisión de la OMPI.</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 xml:space="preserve">El 19 de diciembre, en Nay Pyi Taw (Myanmar), la Oficina presentó ponencias sobre la UPOV y la incidencia de la protección de las variedades vegetales en un Seminario de sensibilización sobre la protección de las variedades vegetales, organizado por el Departamento de Investigaciones Agrícolas del Ministerio de Agricultura y Riego de Myanmar (MOAI) conjuntamente con el MAFF del Japón.  Asistieron al seminario alrededor de 120 funcionarios del MOAI y otros participantes.  Al margen del seminario, la Oficina se reunió con funcionarios de alto rango del MOAI para examinar el proyecto de ley de protección de las variedades vegetales de Myanmar y les explicó el procedimiento de </w:t>
      </w:r>
      <w:r w:rsidR="009B050B">
        <w:rPr>
          <w:lang w:val="es-ES_tradnl"/>
        </w:rPr>
        <w:t>pasar a ser miembro de</w:t>
      </w:r>
      <w:r w:rsidRPr="00C60FC3">
        <w:rPr>
          <w:lang w:val="es-ES_tradnl"/>
        </w:rPr>
        <w:t xml:space="preserve"> la UPOV.</w:t>
      </w:r>
    </w:p>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pStyle w:val="Heading2"/>
        <w:rPr>
          <w:lang w:val="es-ES_tradnl"/>
        </w:rPr>
      </w:pPr>
      <w:bookmarkStart w:id="13" w:name="_Toc367953264"/>
      <w:r w:rsidRPr="00C60FC3">
        <w:rPr>
          <w:lang w:val="es-ES_tradnl"/>
        </w:rPr>
        <w:t>Curso de enseñanza a distancia</w:t>
      </w:r>
      <w:bookmarkEnd w:id="13"/>
    </w:p>
    <w:p w:rsidR="00B43D13" w:rsidRPr="00C60FC3" w:rsidRDefault="00B43D13" w:rsidP="00BF2668">
      <w:pPr>
        <w:keepNext/>
        <w:rPr>
          <w:szCs w:val="24"/>
          <w:lang w:val="es-ES_tradnl"/>
        </w:rPr>
      </w:pPr>
    </w:p>
    <w:p w:rsidR="00BF2668" w:rsidRDefault="00BF2668"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Del 7 de mayo al 10 de junio de 2012 y del 5 de noviembre al 9 de diciembre de 2012, se celebraron dos sesiones del curso de la UPOV de enseñanza a distancia DL-205 en alemán, español, francés e inglés.  En el Anexo III, Subprograma UV.3, Indicador de rendimiento 4.a), “Participación en cursos de enseñanza a distancia”, se ofrece una relación de los estudiantes que participaron en dicho curso.</w:t>
      </w:r>
    </w:p>
    <w:p w:rsidR="00B43D13" w:rsidRPr="00C60FC3" w:rsidRDefault="00B43D13" w:rsidP="00BF2668">
      <w:pPr>
        <w:rPr>
          <w:szCs w:val="24"/>
          <w:lang w:val="es-ES_tradnl"/>
        </w:rPr>
      </w:pPr>
    </w:p>
    <w:p w:rsidR="00B43D13" w:rsidRPr="00C60FC3" w:rsidRDefault="00B43D13" w:rsidP="00BF2668">
      <w:pPr>
        <w:rPr>
          <w:szCs w:val="24"/>
          <w:lang w:val="es-ES_tradnl"/>
        </w:rPr>
      </w:pPr>
    </w:p>
    <w:p w:rsidR="00B43D13" w:rsidRPr="00C60FC3" w:rsidRDefault="00B43D13" w:rsidP="00BF2668">
      <w:pPr>
        <w:rPr>
          <w:szCs w:val="24"/>
          <w:lang w:val="es-ES_tradnl"/>
        </w:rPr>
      </w:pPr>
    </w:p>
    <w:p w:rsidR="00B43D13" w:rsidRPr="00C60FC3" w:rsidRDefault="00B43D13" w:rsidP="003D5165">
      <w:pPr>
        <w:pStyle w:val="Heading1"/>
        <w:rPr>
          <w:lang w:val="es-ES_tradnl"/>
        </w:rPr>
      </w:pPr>
      <w:bookmarkStart w:id="14" w:name="_Toc367953265"/>
      <w:r w:rsidRPr="00C60FC3">
        <w:rPr>
          <w:lang w:val="es-ES_tradnl"/>
        </w:rPr>
        <w:t>IV.</w:t>
      </w:r>
      <w:r w:rsidRPr="00C60FC3">
        <w:rPr>
          <w:lang w:val="es-ES_tradnl"/>
        </w:rPr>
        <w:tab/>
        <w:t>RELACIONES CON ESTADOS Y ORGANIZACIONES</w:t>
      </w:r>
      <w:bookmarkEnd w:id="14"/>
    </w:p>
    <w:p w:rsidR="00B43D13" w:rsidRPr="00C60FC3" w:rsidRDefault="00B43D13" w:rsidP="003D5165">
      <w:pPr>
        <w:pStyle w:val="BodyText"/>
        <w:keepNext/>
        <w:rPr>
          <w:lang w:val="es-ES_tradnl"/>
        </w:rPr>
      </w:pPr>
    </w:p>
    <w:p w:rsidR="00B43D13" w:rsidRPr="00C60FC3" w:rsidRDefault="00B43D13" w:rsidP="00BF2668">
      <w:pPr>
        <w:pStyle w:val="BodyText"/>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La Oficina prestó asistencia sobre legislación en materia de protección de las variedades vegetales a los miembros siguientes</w:t>
      </w:r>
      <w:proofErr w:type="gramStart"/>
      <w:r w:rsidRPr="00C60FC3">
        <w:rPr>
          <w:lang w:val="es-ES_tradnl"/>
        </w:rPr>
        <w:t>:  Canadá</w:t>
      </w:r>
      <w:proofErr w:type="gramEnd"/>
      <w:r w:rsidRPr="00C60FC3">
        <w:rPr>
          <w:lang w:val="es-ES_tradnl"/>
        </w:rPr>
        <w:t>, Colombia, Nicaragua y Panamá.</w:t>
      </w:r>
    </w:p>
    <w:p w:rsidR="00B43D13" w:rsidRPr="00C60FC3" w:rsidRDefault="00B43D13" w:rsidP="00BF2668">
      <w:pPr>
        <w:pStyle w:val="BodyText"/>
        <w:rPr>
          <w:lang w:val="es-ES_tradnl"/>
        </w:rPr>
      </w:pPr>
    </w:p>
    <w:p w:rsidR="00B43D13" w:rsidRPr="00C60FC3" w:rsidRDefault="00B43D13" w:rsidP="00BF2668">
      <w:pPr>
        <w:pStyle w:val="BodyText"/>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La Oficina facilitó a Bahrein, Camboya, Colombia, Francia, Honduras, Nicaragua, Panamá y Serbia información sobre los elementos necesarios para depositar un instrumento de adhesión al Acta de 1991 del Convenio de la UPOV o de ratificación de la misma.</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La Oficina proporcionó asesoramiento y asistencia en relación con la elaboración de legislación para la protección de las variedades vegetales de conformidad con el Acta de 1991 del Convenio de la UPOV y/o sobre el procedimiento de adhesión al Convenio de la UPOV a países que podrían formar parte de la Unión.  La Oficina formuló observaciones verbales o por escrito, realizó visitas a autoridades y recibió a representantes de los respectivos Estados y organizaciones para prestar el asesoramiento solicitado.  A ese respecto, la Oficina mantuvo contactos con Bosnia y Herzegovina, Brunei Darussalam, Filipinas, Ghana, Guinea Ecuatorial, Malasia, Myanmar, Pakistán, República Democrática Popular Lao, República Unida de Tanzanía, Tailandia y Zimbabwe.</w:t>
      </w:r>
    </w:p>
    <w:p w:rsidR="00B43D13" w:rsidRPr="00C60FC3" w:rsidRDefault="00B43D13" w:rsidP="00BF2668">
      <w:pPr>
        <w:pStyle w:val="BodyText"/>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La Oficina se reunió con representantes de varias organizaciones intergubernamentales para coordinar actividades u ofrecer información sobre la UPOV.  La Oficina participó en reuniones y debates de la ARIPO, la FAO, la IDLO, la ISTA, la OAPI, la OCDE, la OCE, la OMC y la OMPI.</w:t>
      </w:r>
    </w:p>
    <w:p w:rsidR="00B43D13" w:rsidRPr="00C60FC3" w:rsidRDefault="00B43D13" w:rsidP="00BF2668">
      <w:pPr>
        <w:rPr>
          <w:lang w:val="es-ES_tradnl"/>
        </w:rPr>
      </w:pPr>
    </w:p>
    <w:p w:rsidR="00B43D13" w:rsidRPr="00C60FC3" w:rsidRDefault="00B43D13" w:rsidP="00BF2668">
      <w:pPr>
        <w:pStyle w:val="BodyText"/>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La Oficina participó en eventos organizados por las siguientes asociaciones profesionales a fin de mantenerse al tanto de la aplicación práctica de la protección de las variedades vegetales a escala regional y mundial</w:t>
      </w:r>
      <w:proofErr w:type="gramStart"/>
      <w:r w:rsidRPr="00C60FC3">
        <w:rPr>
          <w:lang w:val="es-ES_tradnl"/>
        </w:rPr>
        <w:t>:  AFSTA</w:t>
      </w:r>
      <w:proofErr w:type="gramEnd"/>
      <w:r w:rsidRPr="00C60FC3">
        <w:rPr>
          <w:lang w:val="es-ES_tradnl"/>
        </w:rPr>
        <w:t>, APSA, CIOPORA, ESA, FELAS e ISF.</w:t>
      </w:r>
    </w:p>
    <w:p w:rsidR="00B43D13" w:rsidRPr="00C60FC3" w:rsidRDefault="00B43D13" w:rsidP="00BF2668">
      <w:pPr>
        <w:rPr>
          <w:strike/>
          <w:lang w:val="es-ES_tradnl"/>
        </w:rPr>
      </w:pPr>
    </w:p>
    <w:p w:rsidR="00B43D13" w:rsidRPr="00C60FC3" w:rsidRDefault="00B43D13" w:rsidP="00BF2668">
      <w:pPr>
        <w:rPr>
          <w:lang w:val="es-ES_tradnl"/>
        </w:rPr>
      </w:pPr>
    </w:p>
    <w:p w:rsidR="00B43D13" w:rsidRPr="00C60FC3" w:rsidRDefault="00B43D13" w:rsidP="00BF2668">
      <w:pPr>
        <w:pStyle w:val="Heading1"/>
        <w:keepNext w:val="0"/>
        <w:rPr>
          <w:lang w:val="es-ES_tradnl"/>
        </w:rPr>
      </w:pPr>
      <w:bookmarkStart w:id="15" w:name="_Toc367953266"/>
      <w:r w:rsidRPr="00C60FC3">
        <w:rPr>
          <w:lang w:val="es-ES_tradnl"/>
        </w:rPr>
        <w:t>V.</w:t>
      </w:r>
      <w:r w:rsidRPr="00C60FC3">
        <w:rPr>
          <w:lang w:val="es-ES_tradnl"/>
        </w:rPr>
        <w:tab/>
        <w:t>Publicaciones</w:t>
      </w:r>
      <w:bookmarkEnd w:id="15"/>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fldChar w:fldCharType="begin"/>
      </w:r>
      <w:r w:rsidRPr="00C60FC3">
        <w:rPr>
          <w:lang w:val="es-ES_tradnl"/>
        </w:rPr>
        <w:instrText xml:space="preserve"> AUTONUM  </w:instrText>
      </w:r>
      <w:r w:rsidRPr="00C60FC3">
        <w:rPr>
          <w:lang w:val="es-ES_tradnl"/>
        </w:rPr>
        <w:fldChar w:fldCharType="end"/>
      </w:r>
      <w:r w:rsidRPr="00C60FC3">
        <w:rPr>
          <w:lang w:val="es-ES_tradnl"/>
        </w:rPr>
        <w:tab/>
        <w:t>La Oficina publicó:</w:t>
      </w:r>
    </w:p>
    <w:p w:rsidR="00B43D13" w:rsidRPr="00C60FC3" w:rsidRDefault="00B43D13" w:rsidP="00BF2668">
      <w:pPr>
        <w:rPr>
          <w:lang w:val="es-ES_tradnl"/>
        </w:rPr>
      </w:pPr>
    </w:p>
    <w:p w:rsidR="00B43D13" w:rsidRPr="00C60FC3" w:rsidRDefault="00B43D13" w:rsidP="00BF2668">
      <w:pPr>
        <w:ind w:firstLine="567"/>
        <w:rPr>
          <w:lang w:val="es-ES_tradnl"/>
        </w:rPr>
      </w:pPr>
      <w:r w:rsidRPr="00C60FC3">
        <w:rPr>
          <w:lang w:val="es-ES_tradnl"/>
        </w:rPr>
        <w:t>a)</w:t>
      </w:r>
      <w:r w:rsidRPr="00C60FC3">
        <w:rPr>
          <w:lang w:val="es-ES_tradnl"/>
        </w:rPr>
        <w:tab/>
        <w:t>un número (nº 105) de “</w:t>
      </w:r>
      <w:r w:rsidRPr="00C60FC3">
        <w:rPr>
          <w:i/>
          <w:lang w:val="es-ES_tradnl"/>
        </w:rPr>
        <w:t>Plant Variety Protection</w:t>
      </w:r>
      <w:r w:rsidRPr="00C60FC3">
        <w:rPr>
          <w:lang w:val="es-ES_tradnl"/>
        </w:rPr>
        <w:t>”, la Gaceta y el Boletín de Noticias de la UPOV en formato electrónico;</w:t>
      </w:r>
    </w:p>
    <w:p w:rsidR="00B43D13" w:rsidRPr="00C60FC3" w:rsidRDefault="00B43D13" w:rsidP="00BF2668">
      <w:pPr>
        <w:rPr>
          <w:lang w:val="es-ES_tradnl"/>
        </w:rPr>
      </w:pPr>
    </w:p>
    <w:p w:rsidR="00B43D13" w:rsidRPr="00C60FC3" w:rsidRDefault="00B43D13" w:rsidP="00BF2668">
      <w:pPr>
        <w:ind w:firstLine="567"/>
        <w:rPr>
          <w:lang w:val="es-ES_tradnl"/>
        </w:rPr>
      </w:pPr>
      <w:r w:rsidRPr="00C60FC3">
        <w:rPr>
          <w:lang w:val="es-ES_tradnl"/>
        </w:rPr>
        <w:t>b)</w:t>
      </w:r>
      <w:r w:rsidRPr="00C60FC3">
        <w:rPr>
          <w:lang w:val="es-ES_tradnl"/>
        </w:rPr>
        <w:tab/>
        <w:t xml:space="preserve">siete discos actualizados de la “Base de datos UPOV-ROM sobre variedades vegetales” (incluidos dos discos actualizados del año 2011); </w:t>
      </w:r>
    </w:p>
    <w:p w:rsidR="00B43D13" w:rsidRPr="00C60FC3" w:rsidRDefault="00B43D13" w:rsidP="00BF2668">
      <w:pPr>
        <w:rPr>
          <w:lang w:val="es-ES_tradnl"/>
        </w:rPr>
      </w:pPr>
    </w:p>
    <w:p w:rsidR="00B43D13" w:rsidRPr="00C60FC3" w:rsidRDefault="00B43D13" w:rsidP="00BF2668">
      <w:pPr>
        <w:ind w:firstLine="567"/>
        <w:rPr>
          <w:lang w:val="es-ES_tradnl"/>
        </w:rPr>
      </w:pPr>
      <w:r w:rsidRPr="00C60FC3">
        <w:rPr>
          <w:lang w:val="es-ES_tradnl"/>
        </w:rPr>
        <w:t>c)</w:t>
      </w:r>
      <w:r w:rsidRPr="00C60FC3">
        <w:rPr>
          <w:lang w:val="es-ES_tradnl"/>
        </w:rPr>
        <w:tab/>
        <w:t>nueve documentos aprobados por el Consejo en su vigésima novena sesión extraordinaria, celebrada el 30 de marzo de 2012, y en su cuadragésima sexta</w:t>
      </w:r>
      <w:r w:rsidR="003D5165">
        <w:rPr>
          <w:lang w:val="es-ES_tradnl"/>
        </w:rPr>
        <w:t xml:space="preserve"> sesión ordinaria, celebrada el </w:t>
      </w:r>
      <w:r w:rsidR="003D5165">
        <w:rPr>
          <w:lang w:val="es-ES_tradnl"/>
        </w:rPr>
        <w:br/>
      </w:r>
      <w:r w:rsidRPr="00C60FC3">
        <w:rPr>
          <w:lang w:val="es-ES_tradnl"/>
        </w:rPr>
        <w:t>1 de noviembre de 2012, y publicados en el sitio Web de la UPOV:</w:t>
      </w:r>
    </w:p>
    <w:p w:rsidR="00B43D13" w:rsidRPr="00C60FC3" w:rsidRDefault="00B43D13" w:rsidP="00BF2668">
      <w:pPr>
        <w:rPr>
          <w:lang w:val="es-ES_tradnl"/>
        </w:rPr>
      </w:pPr>
    </w:p>
    <w:p w:rsidR="00B43D13" w:rsidRPr="00C60FC3" w:rsidRDefault="00B43D13" w:rsidP="00BF2668">
      <w:pPr>
        <w:tabs>
          <w:tab w:val="left" w:pos="1560"/>
        </w:tabs>
        <w:ind w:left="3261" w:hanging="2127"/>
        <w:rPr>
          <w:lang w:val="es-ES_tradnl"/>
        </w:rPr>
      </w:pPr>
      <w:r w:rsidRPr="00C60FC3">
        <w:rPr>
          <w:lang w:val="es-ES_tradnl"/>
        </w:rPr>
        <w:t>UPOV/INF/4/2</w:t>
      </w:r>
      <w:r w:rsidRPr="00C60FC3">
        <w:rPr>
          <w:lang w:val="es-ES_tradnl"/>
        </w:rPr>
        <w:tab/>
        <w:t xml:space="preserve">Reglamento Financiero y Reglamentación Financiera de la UPOV (revisión) </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UPOV/INF/12/4</w:t>
      </w:r>
      <w:r w:rsidRPr="00C60FC3">
        <w:rPr>
          <w:lang w:val="es-ES_tradnl"/>
        </w:rPr>
        <w:tab/>
        <w:t>Notas explicativas sobre las denominaciones de variedades con arreglo al Convenio de la UPOV (revisión)</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UPOV/INF/19/1</w:t>
      </w:r>
      <w:r w:rsidRPr="00C60FC3">
        <w:rPr>
          <w:lang w:val="es-ES_tradnl"/>
        </w:rPr>
        <w:tab/>
        <w:t>Reglas que rigen la concesión de la condición de observador ante los órganos de la UPOV a los Estados, las organizaciones intergubernamentales y las organizaciones internacionales no gubernamentales (revisión)</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UPOV/INF/20/1</w:t>
      </w:r>
      <w:r w:rsidRPr="00C60FC3">
        <w:rPr>
          <w:lang w:val="es-ES_tradnl"/>
        </w:rPr>
        <w:tab/>
        <w:t>Reglas que rigen el acceso a los documentos de la UPOV (revisión)</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UPOV/INF/21/1</w:t>
      </w:r>
      <w:r w:rsidRPr="00C60FC3">
        <w:rPr>
          <w:lang w:val="es-ES_tradnl"/>
        </w:rPr>
        <w:tab/>
        <w:t>Mecanismos alternativos de solución de controversias</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UPOV/INF-EXN/2</w:t>
      </w:r>
      <w:r w:rsidRPr="00C60FC3">
        <w:rPr>
          <w:lang w:val="es-ES_tradnl"/>
        </w:rPr>
        <w:tab/>
        <w:t xml:space="preserve">Lista de documentos INF-EXN y fechas de última publicación (revisión) </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UPOV/INF-EXN/3</w:t>
      </w:r>
      <w:r w:rsidRPr="00C60FC3">
        <w:rPr>
          <w:lang w:val="es-ES_tradnl"/>
        </w:rPr>
        <w:tab/>
        <w:t>Lista de documentos INF-EXN y fechas de última publicación (revisión)</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TGP/12/2</w:t>
      </w:r>
      <w:r w:rsidRPr="00C60FC3">
        <w:rPr>
          <w:lang w:val="es-ES_tradnl"/>
        </w:rPr>
        <w:tab/>
        <w:t>Orientación sobre ciertos caracteres fisiológicos (revisión)</w:t>
      </w:r>
    </w:p>
    <w:p w:rsidR="00B43D13" w:rsidRPr="00C60FC3" w:rsidRDefault="00B43D13" w:rsidP="00BF2668">
      <w:pPr>
        <w:tabs>
          <w:tab w:val="left" w:pos="1560"/>
        </w:tabs>
        <w:ind w:left="3261" w:hanging="2127"/>
        <w:rPr>
          <w:lang w:val="es-ES_tradnl"/>
        </w:rPr>
      </w:pPr>
    </w:p>
    <w:p w:rsidR="00B43D13" w:rsidRPr="00C60FC3" w:rsidRDefault="00B43D13" w:rsidP="00BF2668">
      <w:pPr>
        <w:tabs>
          <w:tab w:val="left" w:pos="1560"/>
        </w:tabs>
        <w:ind w:left="3261" w:hanging="2127"/>
        <w:rPr>
          <w:lang w:val="es-ES_tradnl"/>
        </w:rPr>
      </w:pPr>
      <w:r w:rsidRPr="00C60FC3">
        <w:rPr>
          <w:lang w:val="es-ES_tradnl"/>
        </w:rPr>
        <w:t>TGP/0/5</w:t>
      </w:r>
      <w:r w:rsidRPr="00C60FC3">
        <w:rPr>
          <w:lang w:val="es-ES_tradnl"/>
        </w:rPr>
        <w:tab/>
        <w:t>Lista de documentos TGP y fechas de última publicación (revisión)</w:t>
      </w:r>
    </w:p>
    <w:p w:rsidR="00B43D13" w:rsidRPr="00C60FC3" w:rsidRDefault="00B43D13" w:rsidP="00BF2668">
      <w:pPr>
        <w:ind w:firstLine="567"/>
        <w:rPr>
          <w:lang w:val="es-ES_tradnl"/>
        </w:rPr>
      </w:pPr>
      <w:r w:rsidRPr="00C60FC3">
        <w:rPr>
          <w:lang w:val="es-ES_tradnl"/>
        </w:rPr>
        <w:t>d)</w:t>
      </w:r>
      <w:r w:rsidRPr="00C60FC3">
        <w:rPr>
          <w:lang w:val="es-ES_tradnl"/>
        </w:rPr>
        <w:tab/>
        <w:t>las siguientes directrices de examen fueron aprobadas por el TC en su cuadragésima octava sesión:</w:t>
      </w:r>
    </w:p>
    <w:p w:rsidR="00B43D13" w:rsidRDefault="00B43D13" w:rsidP="00BF2668">
      <w:pPr>
        <w:rPr>
          <w:rFonts w:cs="Arial"/>
          <w:snapToGrid w:val="0"/>
          <w:lang w:val="es-ES_tradnl"/>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5"/>
        <w:gridCol w:w="1510"/>
        <w:gridCol w:w="1225"/>
        <w:gridCol w:w="1474"/>
        <w:gridCol w:w="1467"/>
        <w:gridCol w:w="2290"/>
      </w:tblGrid>
      <w:tr w:rsidR="00BF2668" w:rsidRPr="00950A5E" w:rsidTr="00894DAE">
        <w:trPr>
          <w:cantSplit/>
          <w:tblHeader/>
          <w:jc w:val="center"/>
        </w:trPr>
        <w:tc>
          <w:tcPr>
            <w:tcW w:w="1815" w:type="dxa"/>
            <w:tcBorders>
              <w:bottom w:val="single" w:sz="4" w:space="0" w:color="auto"/>
            </w:tcBorders>
            <w:shd w:val="clear" w:color="auto" w:fill="E6E6E6"/>
            <w:vAlign w:val="center"/>
          </w:tcPr>
          <w:p w:rsidR="00BF2668" w:rsidRPr="00950A5E" w:rsidRDefault="00BF2668" w:rsidP="00BF2668">
            <w:pPr>
              <w:keepNext/>
              <w:spacing w:before="60" w:after="60"/>
              <w:jc w:val="left"/>
              <w:rPr>
                <w:rFonts w:cs="Arial"/>
                <w:snapToGrid w:val="0"/>
                <w:sz w:val="16"/>
                <w:szCs w:val="16"/>
                <w:lang w:val="fr-FR"/>
              </w:rPr>
            </w:pPr>
            <w:r w:rsidRPr="00950A5E">
              <w:rPr>
                <w:rFonts w:cs="Arial"/>
                <w:snapToGrid w:val="0"/>
                <w:sz w:val="16"/>
                <w:szCs w:val="16"/>
                <w:lang w:val="fr-FR"/>
              </w:rPr>
              <w:t>Document No.</w:t>
            </w:r>
            <w:r w:rsidRPr="00950A5E">
              <w:rPr>
                <w:rFonts w:cs="Arial"/>
                <w:snapToGrid w:val="0"/>
                <w:sz w:val="16"/>
                <w:szCs w:val="16"/>
                <w:lang w:val="fr-FR"/>
              </w:rPr>
              <w:br/>
              <w:t>N</w:t>
            </w:r>
            <w:r w:rsidRPr="00950A5E">
              <w:rPr>
                <w:rFonts w:cs="Arial"/>
                <w:snapToGrid w:val="0"/>
                <w:sz w:val="16"/>
                <w:szCs w:val="16"/>
                <w:vertAlign w:val="superscript"/>
                <w:lang w:val="fr-FR"/>
              </w:rPr>
              <w:t>° </w:t>
            </w:r>
            <w:r w:rsidRPr="00950A5E">
              <w:rPr>
                <w:rFonts w:cs="Arial"/>
                <w:snapToGrid w:val="0"/>
                <w:sz w:val="16"/>
                <w:szCs w:val="16"/>
                <w:lang w:val="fr-FR"/>
              </w:rPr>
              <w:t>du document</w:t>
            </w:r>
            <w:r w:rsidRPr="00950A5E">
              <w:rPr>
                <w:rFonts w:cs="Arial"/>
                <w:snapToGrid w:val="0"/>
                <w:sz w:val="16"/>
                <w:szCs w:val="16"/>
                <w:lang w:val="fr-FR"/>
              </w:rPr>
              <w:br/>
              <w:t>Dokument-Nr</w:t>
            </w:r>
            <w:proofErr w:type="gramStart"/>
            <w:r w:rsidRPr="00950A5E">
              <w:rPr>
                <w:rFonts w:cs="Arial"/>
                <w:snapToGrid w:val="0"/>
                <w:sz w:val="16"/>
                <w:szCs w:val="16"/>
                <w:lang w:val="fr-FR"/>
              </w:rPr>
              <w:t>.</w:t>
            </w:r>
            <w:proofErr w:type="gramEnd"/>
            <w:r w:rsidRPr="00950A5E">
              <w:rPr>
                <w:rFonts w:cs="Arial"/>
                <w:snapToGrid w:val="0"/>
                <w:sz w:val="16"/>
                <w:szCs w:val="16"/>
                <w:lang w:val="fr-FR"/>
              </w:rPr>
              <w:br/>
              <w:t>No del documento</w:t>
            </w:r>
          </w:p>
        </w:tc>
        <w:tc>
          <w:tcPr>
            <w:tcW w:w="1510" w:type="dxa"/>
            <w:tcBorders>
              <w:bottom w:val="single" w:sz="4" w:space="0" w:color="auto"/>
            </w:tcBorders>
            <w:shd w:val="clear" w:color="auto" w:fill="E6E6E6"/>
            <w:vAlign w:val="center"/>
          </w:tcPr>
          <w:p w:rsidR="00BF2668" w:rsidRPr="00950A5E" w:rsidRDefault="00BF2668" w:rsidP="00BF2668">
            <w:pPr>
              <w:keepNext/>
              <w:spacing w:before="60" w:after="60"/>
              <w:jc w:val="left"/>
              <w:rPr>
                <w:rFonts w:cs="Arial"/>
                <w:snapToGrid w:val="0"/>
                <w:sz w:val="16"/>
                <w:szCs w:val="16"/>
                <w:lang w:val="fr-FR"/>
              </w:rPr>
            </w:pPr>
            <w:r w:rsidRPr="00950A5E">
              <w:rPr>
                <w:rFonts w:cs="Arial"/>
                <w:snapToGrid w:val="0"/>
                <w:sz w:val="16"/>
                <w:szCs w:val="16"/>
                <w:lang w:val="fr-FR"/>
              </w:rPr>
              <w:t>English</w:t>
            </w:r>
          </w:p>
        </w:tc>
        <w:tc>
          <w:tcPr>
            <w:tcW w:w="1225" w:type="dxa"/>
            <w:tcBorders>
              <w:bottom w:val="single" w:sz="4" w:space="0" w:color="auto"/>
            </w:tcBorders>
            <w:shd w:val="clear" w:color="auto" w:fill="E6E6E6"/>
            <w:vAlign w:val="center"/>
          </w:tcPr>
          <w:p w:rsidR="00BF2668" w:rsidRPr="00950A5E" w:rsidRDefault="00BF2668" w:rsidP="00BF2668">
            <w:pPr>
              <w:keepNext/>
              <w:spacing w:before="60" w:after="60"/>
              <w:jc w:val="left"/>
              <w:rPr>
                <w:rFonts w:cs="Arial"/>
                <w:snapToGrid w:val="0"/>
                <w:sz w:val="16"/>
                <w:szCs w:val="16"/>
                <w:lang w:val="fr-FR"/>
              </w:rPr>
            </w:pPr>
            <w:r w:rsidRPr="00950A5E">
              <w:rPr>
                <w:rFonts w:cs="Arial"/>
                <w:snapToGrid w:val="0"/>
                <w:sz w:val="16"/>
                <w:szCs w:val="16"/>
                <w:lang w:val="fr-FR"/>
              </w:rPr>
              <w:t>Français</w:t>
            </w:r>
          </w:p>
        </w:tc>
        <w:tc>
          <w:tcPr>
            <w:tcW w:w="1474" w:type="dxa"/>
            <w:tcBorders>
              <w:bottom w:val="single" w:sz="4" w:space="0" w:color="auto"/>
            </w:tcBorders>
            <w:shd w:val="clear" w:color="auto" w:fill="E6E6E6"/>
            <w:vAlign w:val="center"/>
          </w:tcPr>
          <w:p w:rsidR="00BF2668" w:rsidRPr="00950A5E" w:rsidRDefault="00BF2668" w:rsidP="00BF2668">
            <w:pPr>
              <w:keepNext/>
              <w:spacing w:before="60" w:after="60"/>
              <w:jc w:val="left"/>
              <w:rPr>
                <w:rFonts w:cs="Arial"/>
                <w:snapToGrid w:val="0"/>
                <w:sz w:val="16"/>
                <w:szCs w:val="16"/>
                <w:lang w:val="fr-FR"/>
              </w:rPr>
            </w:pPr>
            <w:r w:rsidRPr="00950A5E">
              <w:rPr>
                <w:rFonts w:cs="Arial"/>
                <w:snapToGrid w:val="0"/>
                <w:sz w:val="16"/>
                <w:szCs w:val="16"/>
                <w:lang w:val="fr-FR"/>
              </w:rPr>
              <w:t>Deutsch</w:t>
            </w:r>
          </w:p>
        </w:tc>
        <w:tc>
          <w:tcPr>
            <w:tcW w:w="1467" w:type="dxa"/>
            <w:tcBorders>
              <w:bottom w:val="single" w:sz="4" w:space="0" w:color="auto"/>
            </w:tcBorders>
            <w:shd w:val="clear" w:color="auto" w:fill="E6E6E6"/>
            <w:vAlign w:val="center"/>
          </w:tcPr>
          <w:p w:rsidR="00BF2668" w:rsidRPr="00950A5E" w:rsidRDefault="00BF2668" w:rsidP="00BF2668">
            <w:pPr>
              <w:keepNext/>
              <w:spacing w:before="60" w:after="60"/>
              <w:jc w:val="left"/>
              <w:rPr>
                <w:rFonts w:cs="Arial"/>
                <w:snapToGrid w:val="0"/>
                <w:sz w:val="16"/>
                <w:szCs w:val="16"/>
                <w:lang w:val="fr-FR"/>
              </w:rPr>
            </w:pPr>
            <w:r w:rsidRPr="00950A5E">
              <w:rPr>
                <w:rFonts w:cs="Arial"/>
                <w:snapToGrid w:val="0"/>
                <w:sz w:val="16"/>
                <w:szCs w:val="16"/>
                <w:lang w:val="fr-FR"/>
              </w:rPr>
              <w:t>Español</w:t>
            </w:r>
          </w:p>
        </w:tc>
        <w:tc>
          <w:tcPr>
            <w:tcW w:w="2290" w:type="dxa"/>
            <w:tcBorders>
              <w:bottom w:val="single" w:sz="4" w:space="0" w:color="auto"/>
            </w:tcBorders>
            <w:shd w:val="clear" w:color="auto" w:fill="E6E6E6"/>
            <w:vAlign w:val="center"/>
          </w:tcPr>
          <w:p w:rsidR="00BF2668" w:rsidRPr="00950A5E" w:rsidRDefault="00BF2668" w:rsidP="00BF2668">
            <w:pPr>
              <w:keepNext/>
              <w:spacing w:before="60" w:after="60"/>
              <w:jc w:val="left"/>
              <w:rPr>
                <w:rFonts w:cs="Arial"/>
                <w:snapToGrid w:val="0"/>
                <w:sz w:val="16"/>
                <w:szCs w:val="16"/>
                <w:lang w:val="fr-FR"/>
              </w:rPr>
            </w:pPr>
            <w:r w:rsidRPr="00950A5E">
              <w:rPr>
                <w:rFonts w:cs="Arial"/>
                <w:snapToGrid w:val="0"/>
                <w:sz w:val="16"/>
                <w:szCs w:val="16"/>
                <w:lang w:val="fr-FR"/>
              </w:rPr>
              <w:t>Botanical name</w:t>
            </w:r>
            <w:r w:rsidRPr="00950A5E">
              <w:rPr>
                <w:rFonts w:cs="Arial"/>
                <w:snapToGrid w:val="0"/>
                <w:sz w:val="16"/>
                <w:szCs w:val="16"/>
                <w:lang w:val="fr-FR"/>
              </w:rPr>
              <w:br/>
              <w:t>Nom botanique</w:t>
            </w:r>
            <w:r w:rsidRPr="00950A5E">
              <w:rPr>
                <w:rFonts w:cs="Arial"/>
                <w:snapToGrid w:val="0"/>
                <w:sz w:val="16"/>
                <w:szCs w:val="16"/>
                <w:lang w:val="fr-FR"/>
              </w:rPr>
              <w:br/>
              <w:t>Botanischer Name</w:t>
            </w:r>
            <w:r w:rsidRPr="00950A5E">
              <w:rPr>
                <w:rFonts w:cs="Arial"/>
                <w:snapToGrid w:val="0"/>
                <w:sz w:val="16"/>
                <w:szCs w:val="16"/>
                <w:lang w:val="fr-FR"/>
              </w:rPr>
              <w:br/>
              <w:t>Nombre botánico</w:t>
            </w:r>
          </w:p>
        </w:tc>
      </w:tr>
      <w:tr w:rsidR="00BF2668" w:rsidRPr="00950A5E" w:rsidTr="00894DAE">
        <w:trPr>
          <w:cantSplit/>
          <w:jc w:val="center"/>
        </w:trPr>
        <w:tc>
          <w:tcPr>
            <w:tcW w:w="9781" w:type="dxa"/>
            <w:gridSpan w:val="6"/>
            <w:tcBorders>
              <w:left w:val="nil"/>
              <w:right w:val="nil"/>
            </w:tcBorders>
          </w:tcPr>
          <w:p w:rsidR="00BF2668" w:rsidRPr="00950A5E" w:rsidRDefault="000B6074" w:rsidP="00BF2668">
            <w:pPr>
              <w:keepNext/>
              <w:spacing w:before="120" w:after="60"/>
              <w:jc w:val="left"/>
              <w:rPr>
                <w:rFonts w:cs="Arial"/>
                <w:sz w:val="16"/>
                <w:szCs w:val="16"/>
                <w:lang w:val="fr-FR"/>
              </w:rPr>
            </w:pPr>
            <w:r w:rsidRPr="00C60FC3">
              <w:rPr>
                <w:rFonts w:cs="Arial"/>
                <w:b/>
                <w:bCs/>
                <w:sz w:val="16"/>
                <w:szCs w:val="16"/>
                <w:u w:val="single"/>
                <w:lang w:val="es-ES_tradnl"/>
              </w:rPr>
              <w:t>NUEVAS DIRECTRICES DE EXAMEN</w:t>
            </w:r>
          </w:p>
        </w:tc>
      </w:tr>
      <w:tr w:rsidR="00BF2668" w:rsidRPr="00950A5E" w:rsidTr="00894DAE">
        <w:trPr>
          <w:cantSplit/>
          <w:jc w:val="center"/>
        </w:trPr>
        <w:tc>
          <w:tcPr>
            <w:tcW w:w="1815" w:type="dxa"/>
          </w:tcPr>
          <w:p w:rsidR="00BF2668" w:rsidRPr="00950A5E" w:rsidRDefault="00BF2668" w:rsidP="00BF2668">
            <w:pPr>
              <w:pStyle w:val="BodyText"/>
              <w:keepNext/>
              <w:spacing w:before="60" w:after="60"/>
              <w:jc w:val="left"/>
              <w:rPr>
                <w:snapToGrid w:val="0"/>
                <w:sz w:val="16"/>
                <w:szCs w:val="16"/>
                <w:lang w:val="fr-FR"/>
              </w:rPr>
            </w:pPr>
            <w:r w:rsidRPr="00950A5E">
              <w:rPr>
                <w:sz w:val="16"/>
                <w:szCs w:val="16"/>
                <w:lang w:val="fr-FR"/>
              </w:rPr>
              <w:t>TG/276/1</w:t>
            </w:r>
          </w:p>
        </w:tc>
        <w:tc>
          <w:tcPr>
            <w:tcW w:w="1510" w:type="dxa"/>
          </w:tcPr>
          <w:p w:rsidR="00BF2668" w:rsidRPr="00950A5E" w:rsidRDefault="00BF2668" w:rsidP="00BF2668">
            <w:pPr>
              <w:keepNext/>
              <w:spacing w:before="60" w:after="60"/>
              <w:jc w:val="left"/>
              <w:rPr>
                <w:snapToGrid w:val="0"/>
                <w:sz w:val="16"/>
                <w:szCs w:val="16"/>
                <w:lang w:val="fr-FR"/>
              </w:rPr>
            </w:pPr>
            <w:r w:rsidRPr="00950A5E">
              <w:rPr>
                <w:snapToGrid w:val="0"/>
                <w:sz w:val="16"/>
                <w:szCs w:val="16"/>
                <w:lang w:val="fr-FR"/>
              </w:rPr>
              <w:t xml:space="preserve">Hemp </w:t>
            </w:r>
          </w:p>
        </w:tc>
        <w:tc>
          <w:tcPr>
            <w:tcW w:w="1225" w:type="dxa"/>
          </w:tcPr>
          <w:p w:rsidR="00BF2668" w:rsidRPr="00950A5E" w:rsidRDefault="00BF2668" w:rsidP="00BF2668">
            <w:pPr>
              <w:keepNext/>
              <w:spacing w:before="60" w:after="60"/>
              <w:jc w:val="left"/>
              <w:rPr>
                <w:sz w:val="16"/>
                <w:szCs w:val="16"/>
                <w:lang w:val="fr-FR"/>
              </w:rPr>
            </w:pPr>
            <w:r w:rsidRPr="00950A5E">
              <w:rPr>
                <w:sz w:val="16"/>
                <w:szCs w:val="16"/>
                <w:lang w:val="fr-FR"/>
              </w:rPr>
              <w:t>Chanvre</w:t>
            </w:r>
          </w:p>
        </w:tc>
        <w:tc>
          <w:tcPr>
            <w:tcW w:w="1474" w:type="dxa"/>
          </w:tcPr>
          <w:p w:rsidR="00BF2668" w:rsidRPr="00950A5E" w:rsidRDefault="00BF2668" w:rsidP="00BF2668">
            <w:pPr>
              <w:keepNext/>
              <w:spacing w:before="60" w:after="60"/>
              <w:jc w:val="left"/>
              <w:rPr>
                <w:sz w:val="16"/>
                <w:szCs w:val="16"/>
                <w:lang w:val="fr-FR"/>
              </w:rPr>
            </w:pPr>
            <w:r w:rsidRPr="00950A5E">
              <w:rPr>
                <w:sz w:val="16"/>
                <w:szCs w:val="16"/>
                <w:lang w:val="fr-FR"/>
              </w:rPr>
              <w:t>Hanf</w:t>
            </w:r>
          </w:p>
        </w:tc>
        <w:tc>
          <w:tcPr>
            <w:tcW w:w="1467" w:type="dxa"/>
          </w:tcPr>
          <w:p w:rsidR="00BF2668" w:rsidRPr="00950A5E" w:rsidRDefault="00BF2668" w:rsidP="00BF2668">
            <w:pPr>
              <w:keepNext/>
              <w:spacing w:before="60" w:after="60"/>
              <w:jc w:val="left"/>
              <w:rPr>
                <w:sz w:val="16"/>
                <w:szCs w:val="16"/>
                <w:lang w:val="fr-FR"/>
              </w:rPr>
            </w:pPr>
            <w:r w:rsidRPr="00950A5E">
              <w:rPr>
                <w:sz w:val="16"/>
                <w:szCs w:val="16"/>
                <w:lang w:val="fr-FR"/>
              </w:rPr>
              <w:t>Cáñamo</w:t>
            </w:r>
          </w:p>
        </w:tc>
        <w:tc>
          <w:tcPr>
            <w:tcW w:w="2290" w:type="dxa"/>
          </w:tcPr>
          <w:p w:rsidR="00BF2668" w:rsidRPr="00950A5E" w:rsidRDefault="00BF2668" w:rsidP="00BF2668">
            <w:pPr>
              <w:keepNext/>
              <w:spacing w:before="60" w:after="60"/>
              <w:jc w:val="left"/>
              <w:rPr>
                <w:rFonts w:cs="Arial"/>
                <w:sz w:val="16"/>
                <w:szCs w:val="16"/>
                <w:lang w:val="fr-FR"/>
              </w:rPr>
            </w:pPr>
            <w:r w:rsidRPr="00950A5E">
              <w:rPr>
                <w:i/>
                <w:snapToGrid w:val="0"/>
                <w:sz w:val="16"/>
                <w:szCs w:val="16"/>
                <w:lang w:val="fr-FR"/>
              </w:rPr>
              <w:t>Cannabis sativa</w:t>
            </w:r>
            <w:r w:rsidRPr="00950A5E">
              <w:rPr>
                <w:snapToGrid w:val="0"/>
                <w:sz w:val="16"/>
                <w:szCs w:val="16"/>
                <w:lang w:val="fr-FR"/>
              </w:rPr>
              <w:t xml:space="preserve"> L.</w:t>
            </w:r>
          </w:p>
        </w:tc>
      </w:tr>
      <w:tr w:rsidR="00BF2668" w:rsidRPr="00950A5E" w:rsidTr="00894DAE">
        <w:trPr>
          <w:cantSplit/>
          <w:jc w:val="center"/>
        </w:trPr>
        <w:tc>
          <w:tcPr>
            <w:tcW w:w="1815" w:type="dxa"/>
          </w:tcPr>
          <w:p w:rsidR="00BF2668" w:rsidRPr="00950A5E" w:rsidRDefault="00BF2668" w:rsidP="00BF2668">
            <w:pPr>
              <w:pStyle w:val="BodyText"/>
              <w:spacing w:before="60" w:after="60"/>
              <w:jc w:val="left"/>
              <w:rPr>
                <w:sz w:val="16"/>
                <w:szCs w:val="16"/>
                <w:lang w:val="fr-FR"/>
              </w:rPr>
            </w:pPr>
            <w:r w:rsidRPr="00950A5E">
              <w:rPr>
                <w:sz w:val="16"/>
                <w:szCs w:val="16"/>
                <w:lang w:val="fr-FR"/>
              </w:rPr>
              <w:t>TG/277/1</w:t>
            </w:r>
          </w:p>
        </w:tc>
        <w:tc>
          <w:tcPr>
            <w:tcW w:w="1510" w:type="dxa"/>
          </w:tcPr>
          <w:p w:rsidR="00BF2668" w:rsidRPr="00950A5E" w:rsidRDefault="00BF2668" w:rsidP="00BF2668">
            <w:pPr>
              <w:spacing w:before="60" w:after="60"/>
              <w:jc w:val="left"/>
              <w:rPr>
                <w:sz w:val="16"/>
                <w:szCs w:val="16"/>
                <w:lang w:val="fr-FR"/>
              </w:rPr>
            </w:pPr>
            <w:r w:rsidRPr="00950A5E">
              <w:rPr>
                <w:sz w:val="16"/>
                <w:szCs w:val="16"/>
                <w:lang w:val="fr-FR"/>
              </w:rPr>
              <w:t>Blue Honeysuckle, Bush Honeysuckle;  Honeyberry</w:t>
            </w:r>
          </w:p>
        </w:tc>
        <w:tc>
          <w:tcPr>
            <w:tcW w:w="1225" w:type="dxa"/>
          </w:tcPr>
          <w:p w:rsidR="00BF2668" w:rsidRPr="00253A3D" w:rsidRDefault="00BF2668" w:rsidP="00BF2668">
            <w:pPr>
              <w:spacing w:before="60" w:after="60"/>
              <w:jc w:val="left"/>
              <w:rPr>
                <w:sz w:val="16"/>
                <w:szCs w:val="16"/>
                <w:lang w:val="fr-FR"/>
              </w:rPr>
            </w:pPr>
            <w:r w:rsidRPr="00253A3D">
              <w:rPr>
                <w:sz w:val="16"/>
                <w:szCs w:val="16"/>
                <w:lang w:val="fr-FR"/>
              </w:rPr>
              <w:t>Camérisier bleu</w:t>
            </w:r>
          </w:p>
        </w:tc>
        <w:tc>
          <w:tcPr>
            <w:tcW w:w="1474" w:type="dxa"/>
          </w:tcPr>
          <w:p w:rsidR="00BF2668" w:rsidRPr="00950A5E" w:rsidRDefault="00BF2668" w:rsidP="00BF2668">
            <w:pPr>
              <w:spacing w:before="60" w:after="60"/>
              <w:jc w:val="left"/>
              <w:rPr>
                <w:sz w:val="16"/>
                <w:szCs w:val="16"/>
                <w:lang w:val="fr-FR"/>
              </w:rPr>
            </w:pPr>
            <w:r w:rsidRPr="00950A5E">
              <w:rPr>
                <w:sz w:val="16"/>
                <w:szCs w:val="16"/>
                <w:lang w:val="fr-FR"/>
              </w:rPr>
              <w:t>Blaue Honigbeere</w:t>
            </w:r>
          </w:p>
        </w:tc>
        <w:tc>
          <w:tcPr>
            <w:tcW w:w="1467" w:type="dxa"/>
          </w:tcPr>
          <w:p w:rsidR="00BF2668" w:rsidRPr="00950A5E" w:rsidRDefault="00BF2668" w:rsidP="00BF2668">
            <w:pPr>
              <w:spacing w:before="60" w:after="60"/>
              <w:jc w:val="left"/>
              <w:rPr>
                <w:sz w:val="16"/>
                <w:szCs w:val="16"/>
                <w:lang w:val="fr-FR"/>
              </w:rPr>
            </w:pPr>
            <w:r>
              <w:rPr>
                <w:sz w:val="16"/>
                <w:szCs w:val="16"/>
                <w:lang w:val="fr-FR"/>
              </w:rPr>
              <w:t>Madreselva Azúl</w:t>
            </w:r>
          </w:p>
        </w:tc>
        <w:tc>
          <w:tcPr>
            <w:tcW w:w="2290" w:type="dxa"/>
          </w:tcPr>
          <w:p w:rsidR="00BF2668" w:rsidRPr="00950A5E" w:rsidRDefault="00BF2668" w:rsidP="00BF2668">
            <w:pPr>
              <w:spacing w:before="60" w:after="60"/>
              <w:jc w:val="left"/>
              <w:rPr>
                <w:rFonts w:cs="Arial"/>
                <w:sz w:val="16"/>
                <w:szCs w:val="16"/>
                <w:lang w:val="fr-FR"/>
              </w:rPr>
            </w:pPr>
            <w:r w:rsidRPr="00950A5E">
              <w:rPr>
                <w:i/>
                <w:sz w:val="16"/>
                <w:szCs w:val="16"/>
                <w:lang w:val="fr-FR"/>
              </w:rPr>
              <w:t>Lonicera caerulea</w:t>
            </w:r>
            <w:r w:rsidRPr="00950A5E">
              <w:rPr>
                <w:sz w:val="16"/>
                <w:szCs w:val="16"/>
                <w:lang w:val="fr-FR"/>
              </w:rPr>
              <w:t xml:space="preserve"> L</w:t>
            </w:r>
          </w:p>
        </w:tc>
      </w:tr>
      <w:tr w:rsidR="00BF2668" w:rsidRPr="00950A5E" w:rsidTr="00894DAE">
        <w:trPr>
          <w:cantSplit/>
          <w:jc w:val="center"/>
        </w:trPr>
        <w:tc>
          <w:tcPr>
            <w:tcW w:w="1815" w:type="dxa"/>
          </w:tcPr>
          <w:p w:rsidR="00BF2668" w:rsidRPr="00950A5E" w:rsidRDefault="00BF2668" w:rsidP="00BF2668">
            <w:pPr>
              <w:spacing w:before="60" w:after="60"/>
              <w:jc w:val="left"/>
              <w:rPr>
                <w:rFonts w:cs="Arial"/>
                <w:sz w:val="16"/>
                <w:szCs w:val="16"/>
                <w:lang w:val="fr-FR"/>
              </w:rPr>
            </w:pPr>
            <w:r w:rsidRPr="00950A5E">
              <w:rPr>
                <w:sz w:val="16"/>
                <w:szCs w:val="16"/>
                <w:lang w:val="fr-FR"/>
              </w:rPr>
              <w:t>TG/278/1</w:t>
            </w:r>
          </w:p>
        </w:tc>
        <w:tc>
          <w:tcPr>
            <w:tcW w:w="1510" w:type="dxa"/>
          </w:tcPr>
          <w:p w:rsidR="00BF2668" w:rsidRPr="00950A5E" w:rsidRDefault="00BF2668" w:rsidP="00BF2668">
            <w:pPr>
              <w:spacing w:before="60" w:after="60"/>
              <w:jc w:val="left"/>
              <w:rPr>
                <w:rFonts w:cs="Arial"/>
                <w:sz w:val="16"/>
                <w:szCs w:val="16"/>
                <w:lang w:val="fr-FR"/>
              </w:rPr>
            </w:pPr>
            <w:r w:rsidRPr="00950A5E">
              <w:rPr>
                <w:sz w:val="16"/>
                <w:szCs w:val="16"/>
                <w:lang w:val="fr-FR"/>
              </w:rPr>
              <w:t xml:space="preserve">Buckwheat </w:t>
            </w:r>
          </w:p>
        </w:tc>
        <w:tc>
          <w:tcPr>
            <w:tcW w:w="1225" w:type="dxa"/>
          </w:tcPr>
          <w:p w:rsidR="00BF2668" w:rsidRPr="00950A5E" w:rsidRDefault="00BF2668" w:rsidP="00BF2668">
            <w:pPr>
              <w:spacing w:before="60" w:after="60"/>
              <w:jc w:val="left"/>
              <w:rPr>
                <w:rFonts w:cs="Arial"/>
                <w:sz w:val="16"/>
                <w:szCs w:val="16"/>
                <w:lang w:val="fr-FR"/>
              </w:rPr>
            </w:pPr>
            <w:r w:rsidRPr="00950A5E">
              <w:rPr>
                <w:sz w:val="16"/>
                <w:szCs w:val="16"/>
                <w:lang w:val="fr-FR"/>
              </w:rPr>
              <w:t>Blé noir;  Sarrasin</w:t>
            </w:r>
          </w:p>
        </w:tc>
        <w:tc>
          <w:tcPr>
            <w:tcW w:w="1474" w:type="dxa"/>
          </w:tcPr>
          <w:p w:rsidR="00BF2668" w:rsidRPr="00950A5E" w:rsidRDefault="00BF2668" w:rsidP="00BF2668">
            <w:pPr>
              <w:spacing w:before="60" w:after="60"/>
              <w:jc w:val="left"/>
              <w:rPr>
                <w:rFonts w:cs="Arial"/>
                <w:sz w:val="16"/>
                <w:szCs w:val="16"/>
                <w:lang w:val="fr-FR"/>
              </w:rPr>
            </w:pPr>
            <w:r w:rsidRPr="00950A5E">
              <w:rPr>
                <w:sz w:val="16"/>
                <w:szCs w:val="16"/>
                <w:lang w:val="fr-FR"/>
              </w:rPr>
              <w:t>Buchweizen</w:t>
            </w:r>
          </w:p>
        </w:tc>
        <w:tc>
          <w:tcPr>
            <w:tcW w:w="1467" w:type="dxa"/>
          </w:tcPr>
          <w:p w:rsidR="00BF2668" w:rsidRPr="00950A5E" w:rsidRDefault="00BF2668" w:rsidP="00BF2668">
            <w:pPr>
              <w:spacing w:before="60" w:after="60"/>
              <w:jc w:val="left"/>
              <w:rPr>
                <w:rFonts w:cs="Arial"/>
                <w:sz w:val="16"/>
                <w:szCs w:val="16"/>
                <w:lang w:val="fr-FR"/>
              </w:rPr>
            </w:pPr>
            <w:r w:rsidRPr="00950A5E">
              <w:rPr>
                <w:sz w:val="16"/>
                <w:szCs w:val="16"/>
                <w:lang w:val="fr-FR"/>
              </w:rPr>
              <w:t>Alforfón</w:t>
            </w:r>
          </w:p>
        </w:tc>
        <w:tc>
          <w:tcPr>
            <w:tcW w:w="2290" w:type="dxa"/>
          </w:tcPr>
          <w:p w:rsidR="00BF2668" w:rsidRPr="00950A5E" w:rsidRDefault="00BF2668" w:rsidP="00BF2668">
            <w:pPr>
              <w:spacing w:before="60" w:after="60"/>
              <w:jc w:val="left"/>
              <w:rPr>
                <w:rFonts w:cs="Arial"/>
                <w:sz w:val="16"/>
                <w:szCs w:val="16"/>
                <w:lang w:val="fr-FR"/>
              </w:rPr>
            </w:pPr>
            <w:r w:rsidRPr="00950A5E">
              <w:rPr>
                <w:i/>
                <w:sz w:val="16"/>
                <w:szCs w:val="16"/>
                <w:lang w:val="fr-FR"/>
              </w:rPr>
              <w:t>Fagopyrum esculentum</w:t>
            </w:r>
            <w:r w:rsidRPr="00950A5E">
              <w:rPr>
                <w:sz w:val="16"/>
                <w:szCs w:val="16"/>
                <w:lang w:val="fr-FR"/>
              </w:rPr>
              <w:t xml:space="preserve"> Moench </w:t>
            </w:r>
            <w:r w:rsidRPr="00950A5E">
              <w:rPr>
                <w:rFonts w:cs="Arial"/>
                <w:sz w:val="16"/>
                <w:szCs w:val="16"/>
                <w:lang w:val="fr-FR"/>
              </w:rPr>
              <w:t>(</w:t>
            </w:r>
            <w:r w:rsidRPr="00950A5E">
              <w:rPr>
                <w:rFonts w:cs="Arial"/>
                <w:i/>
                <w:iCs/>
                <w:sz w:val="16"/>
                <w:szCs w:val="16"/>
                <w:lang w:val="fr-FR"/>
              </w:rPr>
              <w:t xml:space="preserve">Fagopyrum sagittatum </w:t>
            </w:r>
            <w:r w:rsidRPr="00950A5E">
              <w:rPr>
                <w:rFonts w:cs="Arial"/>
                <w:sz w:val="16"/>
                <w:szCs w:val="16"/>
                <w:lang w:val="fr-FR"/>
              </w:rPr>
              <w:t>Gilib.)</w:t>
            </w:r>
          </w:p>
        </w:tc>
      </w:tr>
      <w:tr w:rsidR="00BF2668" w:rsidRPr="00950A5E" w:rsidTr="00894DAE">
        <w:trPr>
          <w:cantSplit/>
          <w:jc w:val="center"/>
        </w:trPr>
        <w:tc>
          <w:tcPr>
            <w:tcW w:w="1815" w:type="dxa"/>
          </w:tcPr>
          <w:p w:rsidR="00BF2668" w:rsidRPr="00950A5E" w:rsidRDefault="00BF2668" w:rsidP="00BF2668">
            <w:pPr>
              <w:pStyle w:val="BodyText"/>
              <w:spacing w:before="60" w:after="60"/>
              <w:jc w:val="left"/>
              <w:rPr>
                <w:sz w:val="16"/>
                <w:szCs w:val="16"/>
                <w:lang w:val="fr-FR"/>
              </w:rPr>
            </w:pPr>
            <w:r w:rsidRPr="00950A5E">
              <w:rPr>
                <w:sz w:val="16"/>
                <w:szCs w:val="16"/>
                <w:lang w:val="fr-FR"/>
              </w:rPr>
              <w:t>TG/279/1</w:t>
            </w:r>
          </w:p>
        </w:tc>
        <w:tc>
          <w:tcPr>
            <w:tcW w:w="1510" w:type="dxa"/>
          </w:tcPr>
          <w:p w:rsidR="00BF2668" w:rsidRPr="00950A5E" w:rsidRDefault="00BF2668" w:rsidP="00BF2668">
            <w:pPr>
              <w:spacing w:before="60" w:after="60"/>
              <w:jc w:val="left"/>
              <w:rPr>
                <w:rFonts w:cs="Arial"/>
                <w:sz w:val="16"/>
                <w:szCs w:val="16"/>
                <w:lang w:val="fr-FR"/>
              </w:rPr>
            </w:pPr>
            <w:r w:rsidRPr="00950A5E">
              <w:rPr>
                <w:sz w:val="16"/>
                <w:szCs w:val="16"/>
                <w:lang w:val="fr-FR"/>
              </w:rPr>
              <w:t>Canna</w:t>
            </w:r>
          </w:p>
        </w:tc>
        <w:tc>
          <w:tcPr>
            <w:tcW w:w="1225" w:type="dxa"/>
          </w:tcPr>
          <w:p w:rsidR="00BF2668" w:rsidRPr="00950A5E" w:rsidRDefault="00BF2668" w:rsidP="00BF2668">
            <w:pPr>
              <w:spacing w:before="60" w:after="60"/>
              <w:jc w:val="left"/>
              <w:rPr>
                <w:rFonts w:cs="Arial"/>
                <w:sz w:val="16"/>
                <w:szCs w:val="16"/>
                <w:lang w:val="fr-FR"/>
              </w:rPr>
            </w:pPr>
            <w:r w:rsidRPr="00950A5E">
              <w:rPr>
                <w:sz w:val="16"/>
                <w:szCs w:val="16"/>
                <w:lang w:val="fr-FR"/>
              </w:rPr>
              <w:t>Balisier;  Canna</w:t>
            </w:r>
          </w:p>
        </w:tc>
        <w:tc>
          <w:tcPr>
            <w:tcW w:w="1474" w:type="dxa"/>
          </w:tcPr>
          <w:p w:rsidR="00BF2668" w:rsidRPr="00950A5E" w:rsidRDefault="00BF2668" w:rsidP="00BF2668">
            <w:pPr>
              <w:spacing w:before="60" w:after="60"/>
              <w:jc w:val="left"/>
              <w:rPr>
                <w:rFonts w:cs="Arial"/>
                <w:sz w:val="16"/>
                <w:szCs w:val="16"/>
                <w:lang w:val="fr-FR"/>
              </w:rPr>
            </w:pPr>
            <w:r w:rsidRPr="00950A5E">
              <w:rPr>
                <w:sz w:val="16"/>
                <w:szCs w:val="16"/>
                <w:lang w:val="fr-FR"/>
              </w:rPr>
              <w:t>Blumenrohr</w:t>
            </w:r>
          </w:p>
        </w:tc>
        <w:tc>
          <w:tcPr>
            <w:tcW w:w="1467" w:type="dxa"/>
          </w:tcPr>
          <w:p w:rsidR="00BF2668" w:rsidRPr="00950A5E" w:rsidRDefault="00BF2668" w:rsidP="00BF2668">
            <w:pPr>
              <w:spacing w:before="60" w:after="60"/>
              <w:jc w:val="left"/>
              <w:rPr>
                <w:rFonts w:cs="Arial"/>
                <w:sz w:val="16"/>
                <w:szCs w:val="16"/>
                <w:lang w:val="fr-FR"/>
              </w:rPr>
            </w:pPr>
            <w:r w:rsidRPr="00950A5E">
              <w:rPr>
                <w:rFonts w:cs="Arial"/>
                <w:sz w:val="16"/>
                <w:szCs w:val="16"/>
                <w:lang w:val="fr-FR"/>
              </w:rPr>
              <w:t>Platanillo</w:t>
            </w:r>
          </w:p>
        </w:tc>
        <w:tc>
          <w:tcPr>
            <w:tcW w:w="2290" w:type="dxa"/>
          </w:tcPr>
          <w:p w:rsidR="00BF2668" w:rsidRPr="00950A5E" w:rsidRDefault="00BF2668" w:rsidP="00BF2668">
            <w:pPr>
              <w:spacing w:before="60" w:after="60"/>
              <w:jc w:val="left"/>
              <w:rPr>
                <w:rFonts w:cs="Arial"/>
                <w:sz w:val="16"/>
                <w:szCs w:val="16"/>
                <w:lang w:val="fr-FR"/>
              </w:rPr>
            </w:pPr>
            <w:r w:rsidRPr="00950A5E">
              <w:rPr>
                <w:bCs/>
                <w:i/>
                <w:sz w:val="16"/>
                <w:szCs w:val="16"/>
                <w:lang w:val="fr-FR"/>
              </w:rPr>
              <w:t>Canna</w:t>
            </w:r>
            <w:r w:rsidRPr="00950A5E">
              <w:rPr>
                <w:bCs/>
                <w:sz w:val="16"/>
                <w:szCs w:val="16"/>
                <w:lang w:val="fr-FR"/>
              </w:rPr>
              <w:t xml:space="preserve"> L.</w:t>
            </w:r>
          </w:p>
        </w:tc>
      </w:tr>
      <w:tr w:rsidR="00BF2668" w:rsidRPr="00950A5E" w:rsidTr="00894DAE">
        <w:trPr>
          <w:cantSplit/>
          <w:jc w:val="center"/>
        </w:trPr>
        <w:tc>
          <w:tcPr>
            <w:tcW w:w="1815" w:type="dxa"/>
          </w:tcPr>
          <w:p w:rsidR="00BF2668" w:rsidRPr="00950A5E" w:rsidRDefault="00BF2668" w:rsidP="00BF2668">
            <w:pPr>
              <w:pStyle w:val="BodyText"/>
              <w:spacing w:before="60" w:after="60"/>
              <w:jc w:val="left"/>
              <w:rPr>
                <w:sz w:val="16"/>
                <w:szCs w:val="16"/>
                <w:lang w:val="fr-FR"/>
              </w:rPr>
            </w:pPr>
            <w:r w:rsidRPr="00950A5E">
              <w:rPr>
                <w:sz w:val="16"/>
                <w:szCs w:val="16"/>
                <w:lang w:val="fr-FR"/>
              </w:rPr>
              <w:t>TG/280/1</w:t>
            </w:r>
          </w:p>
        </w:tc>
        <w:tc>
          <w:tcPr>
            <w:tcW w:w="1510" w:type="dxa"/>
          </w:tcPr>
          <w:p w:rsidR="00BF2668" w:rsidRPr="00950A5E" w:rsidRDefault="00BF2668" w:rsidP="00BF2668">
            <w:pPr>
              <w:spacing w:before="60" w:after="60"/>
              <w:jc w:val="left"/>
              <w:rPr>
                <w:sz w:val="16"/>
                <w:szCs w:val="16"/>
                <w:lang w:val="fr-FR"/>
              </w:rPr>
            </w:pPr>
            <w:r w:rsidRPr="00950A5E">
              <w:rPr>
                <w:sz w:val="16"/>
                <w:szCs w:val="16"/>
                <w:lang w:val="fr-FR"/>
              </w:rPr>
              <w:t>Heuchera</w:t>
            </w:r>
            <w:proofErr w:type="gramStart"/>
            <w:r w:rsidRPr="00950A5E">
              <w:rPr>
                <w:sz w:val="16"/>
                <w:szCs w:val="16"/>
                <w:lang w:val="fr-FR"/>
              </w:rPr>
              <w:t>,</w:t>
            </w:r>
            <w:proofErr w:type="gramEnd"/>
            <w:r w:rsidRPr="00950A5E">
              <w:rPr>
                <w:sz w:val="16"/>
                <w:szCs w:val="16"/>
                <w:lang w:val="fr-FR"/>
              </w:rPr>
              <w:br/>
              <w:t>Coral Flower,</w:t>
            </w:r>
            <w:r w:rsidRPr="00950A5E">
              <w:rPr>
                <w:sz w:val="16"/>
                <w:szCs w:val="16"/>
                <w:lang w:val="fr-FR"/>
              </w:rPr>
              <w:br/>
              <w:t>Heucherella, Foamy Bells</w:t>
            </w:r>
          </w:p>
        </w:tc>
        <w:tc>
          <w:tcPr>
            <w:tcW w:w="1225" w:type="dxa"/>
          </w:tcPr>
          <w:p w:rsidR="00BF2668" w:rsidRPr="00950A5E" w:rsidRDefault="00BF2668" w:rsidP="00BF2668">
            <w:pPr>
              <w:spacing w:before="60" w:after="60"/>
              <w:jc w:val="left"/>
              <w:rPr>
                <w:sz w:val="16"/>
                <w:szCs w:val="16"/>
                <w:lang w:val="fr-FR"/>
              </w:rPr>
            </w:pPr>
            <w:r w:rsidRPr="00950A5E">
              <w:rPr>
                <w:sz w:val="16"/>
                <w:szCs w:val="16"/>
                <w:lang w:val="fr-FR"/>
              </w:rPr>
              <w:t>Heuchera</w:t>
            </w:r>
          </w:p>
        </w:tc>
        <w:tc>
          <w:tcPr>
            <w:tcW w:w="1474" w:type="dxa"/>
          </w:tcPr>
          <w:p w:rsidR="00BF2668" w:rsidRPr="00950A5E" w:rsidRDefault="00BF2668" w:rsidP="00BF2668">
            <w:pPr>
              <w:spacing w:before="60" w:after="60"/>
              <w:jc w:val="left"/>
              <w:rPr>
                <w:sz w:val="16"/>
                <w:szCs w:val="16"/>
                <w:lang w:val="fr-FR"/>
              </w:rPr>
            </w:pPr>
            <w:r w:rsidRPr="00950A5E">
              <w:rPr>
                <w:sz w:val="16"/>
                <w:szCs w:val="16"/>
                <w:lang w:val="fr-FR"/>
              </w:rPr>
              <w:t>Purpurglöckchen</w:t>
            </w:r>
          </w:p>
        </w:tc>
        <w:tc>
          <w:tcPr>
            <w:tcW w:w="1467" w:type="dxa"/>
          </w:tcPr>
          <w:p w:rsidR="00BF2668" w:rsidRPr="00950A5E" w:rsidRDefault="00BF2668" w:rsidP="00BF2668">
            <w:pPr>
              <w:spacing w:before="60" w:after="60"/>
              <w:jc w:val="left"/>
              <w:rPr>
                <w:sz w:val="16"/>
                <w:szCs w:val="16"/>
                <w:lang w:val="fr-FR"/>
              </w:rPr>
            </w:pPr>
          </w:p>
        </w:tc>
        <w:tc>
          <w:tcPr>
            <w:tcW w:w="2290" w:type="dxa"/>
          </w:tcPr>
          <w:p w:rsidR="00BF2668" w:rsidRPr="00950A5E" w:rsidRDefault="00BF2668" w:rsidP="00BF2668">
            <w:pPr>
              <w:spacing w:before="60" w:after="60"/>
              <w:jc w:val="left"/>
              <w:rPr>
                <w:rFonts w:cs="Arial"/>
                <w:i/>
                <w:sz w:val="16"/>
                <w:szCs w:val="16"/>
                <w:lang w:val="fr-FR"/>
              </w:rPr>
            </w:pPr>
            <w:r w:rsidRPr="00950A5E">
              <w:rPr>
                <w:bCs/>
                <w:i/>
                <w:sz w:val="16"/>
                <w:szCs w:val="16"/>
                <w:lang w:val="fr-FR"/>
              </w:rPr>
              <w:t xml:space="preserve">Heuchera </w:t>
            </w:r>
            <w:r w:rsidRPr="00950A5E">
              <w:rPr>
                <w:bCs/>
                <w:sz w:val="16"/>
                <w:szCs w:val="16"/>
                <w:lang w:val="fr-FR"/>
              </w:rPr>
              <w:t>L.</w:t>
            </w:r>
            <w:proofErr w:type="gramStart"/>
            <w:r w:rsidRPr="00950A5E">
              <w:rPr>
                <w:bCs/>
                <w:sz w:val="16"/>
                <w:szCs w:val="16"/>
                <w:lang w:val="fr-FR"/>
              </w:rPr>
              <w:t>,</w:t>
            </w:r>
            <w:proofErr w:type="gramEnd"/>
            <w:r w:rsidRPr="00950A5E">
              <w:rPr>
                <w:bCs/>
                <w:sz w:val="16"/>
                <w:szCs w:val="16"/>
                <w:lang w:val="fr-FR"/>
              </w:rPr>
              <w:br/>
            </w:r>
            <w:r w:rsidRPr="00950A5E">
              <w:rPr>
                <w:sz w:val="16"/>
                <w:szCs w:val="16"/>
                <w:lang w:val="fr-FR"/>
              </w:rPr>
              <w:t>x</w:t>
            </w:r>
            <w:r w:rsidRPr="00950A5E">
              <w:rPr>
                <w:i/>
                <w:sz w:val="16"/>
                <w:szCs w:val="16"/>
                <w:lang w:val="fr-FR"/>
              </w:rPr>
              <w:t>Heucherella</w:t>
            </w:r>
            <w:r w:rsidRPr="00950A5E">
              <w:rPr>
                <w:sz w:val="16"/>
                <w:szCs w:val="16"/>
                <w:lang w:val="fr-FR"/>
              </w:rPr>
              <w:t xml:space="preserve"> H. R. Wehrh., </w:t>
            </w:r>
            <w:r w:rsidRPr="00950A5E">
              <w:rPr>
                <w:i/>
                <w:sz w:val="16"/>
                <w:szCs w:val="16"/>
                <w:lang w:val="fr-FR"/>
              </w:rPr>
              <w:t>Heuchera</w:t>
            </w:r>
            <w:r w:rsidRPr="00950A5E">
              <w:rPr>
                <w:sz w:val="16"/>
                <w:szCs w:val="16"/>
                <w:lang w:val="fr-FR"/>
              </w:rPr>
              <w:t> </w:t>
            </w:r>
            <w:r w:rsidRPr="00950A5E">
              <w:rPr>
                <w:rFonts w:cs="Arial"/>
                <w:sz w:val="16"/>
                <w:szCs w:val="16"/>
                <w:lang w:val="fr-FR"/>
              </w:rPr>
              <w:t>x </w:t>
            </w:r>
            <w:r w:rsidRPr="00950A5E">
              <w:rPr>
                <w:i/>
                <w:sz w:val="16"/>
                <w:szCs w:val="16"/>
                <w:lang w:val="fr-FR"/>
              </w:rPr>
              <w:t>Tiarella</w:t>
            </w:r>
          </w:p>
        </w:tc>
      </w:tr>
      <w:tr w:rsidR="00BF2668" w:rsidRPr="00950A5E" w:rsidTr="00894DAE">
        <w:trPr>
          <w:cantSplit/>
          <w:jc w:val="center"/>
        </w:trPr>
        <w:tc>
          <w:tcPr>
            <w:tcW w:w="1815" w:type="dxa"/>
          </w:tcPr>
          <w:p w:rsidR="00BF2668" w:rsidRPr="00950A5E" w:rsidRDefault="00BF2668" w:rsidP="00BF2668">
            <w:pPr>
              <w:pStyle w:val="BodyText"/>
              <w:spacing w:before="60" w:after="60"/>
              <w:jc w:val="left"/>
              <w:rPr>
                <w:sz w:val="16"/>
                <w:szCs w:val="16"/>
                <w:lang w:val="fr-FR"/>
              </w:rPr>
            </w:pPr>
            <w:r w:rsidRPr="00950A5E">
              <w:rPr>
                <w:sz w:val="16"/>
                <w:szCs w:val="16"/>
                <w:lang w:val="fr-FR"/>
              </w:rPr>
              <w:t>TG/281/1</w:t>
            </w:r>
          </w:p>
        </w:tc>
        <w:tc>
          <w:tcPr>
            <w:tcW w:w="1510" w:type="dxa"/>
          </w:tcPr>
          <w:p w:rsidR="00BF2668" w:rsidRPr="00950A5E" w:rsidRDefault="00BF2668" w:rsidP="00BF2668">
            <w:pPr>
              <w:spacing w:before="60" w:after="60"/>
              <w:jc w:val="left"/>
              <w:rPr>
                <w:sz w:val="16"/>
                <w:szCs w:val="16"/>
                <w:lang w:val="fr-FR"/>
              </w:rPr>
            </w:pPr>
            <w:r w:rsidRPr="00950A5E">
              <w:rPr>
                <w:sz w:val="16"/>
                <w:szCs w:val="16"/>
                <w:lang w:val="fr-FR"/>
              </w:rPr>
              <w:t>Echinacea</w:t>
            </w:r>
            <w:proofErr w:type="gramStart"/>
            <w:r w:rsidRPr="00950A5E">
              <w:rPr>
                <w:sz w:val="16"/>
                <w:szCs w:val="16"/>
                <w:lang w:val="fr-FR"/>
              </w:rPr>
              <w:t>,</w:t>
            </w:r>
            <w:proofErr w:type="gramEnd"/>
            <w:r w:rsidRPr="00950A5E">
              <w:rPr>
                <w:sz w:val="16"/>
                <w:szCs w:val="16"/>
                <w:lang w:val="fr-FR"/>
              </w:rPr>
              <w:br/>
            </w:r>
            <w:r w:rsidRPr="00950A5E">
              <w:rPr>
                <w:rFonts w:cs="Arial"/>
                <w:sz w:val="16"/>
                <w:szCs w:val="16"/>
                <w:lang w:val="fr-FR"/>
              </w:rPr>
              <w:t>Cone flower</w:t>
            </w:r>
            <w:r w:rsidRPr="00950A5E">
              <w:rPr>
                <w:sz w:val="16"/>
                <w:szCs w:val="16"/>
                <w:lang w:val="fr-FR"/>
              </w:rPr>
              <w:t xml:space="preserve"> </w:t>
            </w:r>
          </w:p>
        </w:tc>
        <w:tc>
          <w:tcPr>
            <w:tcW w:w="1225" w:type="dxa"/>
          </w:tcPr>
          <w:p w:rsidR="00BF2668" w:rsidRPr="00950A5E" w:rsidRDefault="00BF2668" w:rsidP="00BF2668">
            <w:pPr>
              <w:spacing w:before="60" w:after="60"/>
              <w:jc w:val="left"/>
              <w:rPr>
                <w:sz w:val="16"/>
                <w:szCs w:val="16"/>
                <w:lang w:val="fr-FR"/>
              </w:rPr>
            </w:pPr>
            <w:r w:rsidRPr="00950A5E">
              <w:rPr>
                <w:sz w:val="16"/>
                <w:szCs w:val="16"/>
                <w:lang w:val="fr-FR"/>
              </w:rPr>
              <w:t>Échinacée</w:t>
            </w:r>
          </w:p>
        </w:tc>
        <w:tc>
          <w:tcPr>
            <w:tcW w:w="1474" w:type="dxa"/>
          </w:tcPr>
          <w:p w:rsidR="00BF2668" w:rsidRPr="00950A5E" w:rsidRDefault="00BF2668" w:rsidP="00BF2668">
            <w:pPr>
              <w:spacing w:before="60" w:after="60"/>
              <w:jc w:val="left"/>
              <w:rPr>
                <w:sz w:val="16"/>
                <w:szCs w:val="16"/>
                <w:lang w:val="fr-FR"/>
              </w:rPr>
            </w:pPr>
            <w:r w:rsidRPr="00950A5E">
              <w:rPr>
                <w:sz w:val="16"/>
                <w:szCs w:val="16"/>
                <w:lang w:val="fr-FR"/>
              </w:rPr>
              <w:t>Igelkopf</w:t>
            </w:r>
          </w:p>
        </w:tc>
        <w:tc>
          <w:tcPr>
            <w:tcW w:w="1467" w:type="dxa"/>
          </w:tcPr>
          <w:p w:rsidR="00BF2668" w:rsidRPr="00950A5E" w:rsidRDefault="00BF2668" w:rsidP="00BF2668">
            <w:pPr>
              <w:spacing w:before="60" w:after="60"/>
              <w:jc w:val="left"/>
              <w:rPr>
                <w:sz w:val="16"/>
                <w:szCs w:val="16"/>
                <w:lang w:val="fr-FR"/>
              </w:rPr>
            </w:pPr>
          </w:p>
        </w:tc>
        <w:tc>
          <w:tcPr>
            <w:tcW w:w="2290" w:type="dxa"/>
          </w:tcPr>
          <w:p w:rsidR="00BF2668" w:rsidRPr="00950A5E" w:rsidRDefault="00BF2668" w:rsidP="00BF2668">
            <w:pPr>
              <w:spacing w:before="60" w:after="60"/>
              <w:jc w:val="left"/>
              <w:rPr>
                <w:rFonts w:cs="Arial"/>
                <w:sz w:val="16"/>
                <w:szCs w:val="16"/>
                <w:lang w:val="fr-FR"/>
              </w:rPr>
            </w:pPr>
            <w:r w:rsidRPr="00950A5E">
              <w:rPr>
                <w:bCs/>
                <w:i/>
                <w:sz w:val="16"/>
                <w:szCs w:val="16"/>
                <w:lang w:val="fr-FR"/>
              </w:rPr>
              <w:t xml:space="preserve">Echinacea </w:t>
            </w:r>
            <w:r w:rsidRPr="00950A5E">
              <w:rPr>
                <w:bCs/>
                <w:sz w:val="16"/>
                <w:szCs w:val="16"/>
                <w:lang w:val="fr-FR"/>
              </w:rPr>
              <w:t>Moench.</w:t>
            </w:r>
          </w:p>
        </w:tc>
      </w:tr>
      <w:tr w:rsidR="00BF2668" w:rsidRPr="00950A5E" w:rsidTr="00894DAE">
        <w:trPr>
          <w:cantSplit/>
          <w:jc w:val="center"/>
        </w:trPr>
        <w:tc>
          <w:tcPr>
            <w:tcW w:w="1815" w:type="dxa"/>
          </w:tcPr>
          <w:p w:rsidR="00BF2668" w:rsidRPr="00950A5E" w:rsidRDefault="00BF2668" w:rsidP="00BF2668">
            <w:pPr>
              <w:pStyle w:val="preparedby"/>
              <w:spacing w:before="60" w:after="60"/>
              <w:jc w:val="left"/>
              <w:rPr>
                <w:i w:val="0"/>
                <w:sz w:val="16"/>
                <w:szCs w:val="16"/>
                <w:lang w:val="fr-FR"/>
              </w:rPr>
            </w:pPr>
            <w:r w:rsidRPr="00950A5E">
              <w:rPr>
                <w:i w:val="0"/>
                <w:sz w:val="16"/>
                <w:szCs w:val="16"/>
                <w:lang w:val="fr-FR"/>
              </w:rPr>
              <w:t>TG/282/1</w:t>
            </w:r>
          </w:p>
        </w:tc>
        <w:tc>
          <w:tcPr>
            <w:tcW w:w="1510" w:type="dxa"/>
          </w:tcPr>
          <w:p w:rsidR="00BF2668" w:rsidRPr="00950A5E" w:rsidRDefault="00BF2668" w:rsidP="00BF2668">
            <w:pPr>
              <w:spacing w:before="60" w:after="60"/>
              <w:jc w:val="left"/>
              <w:rPr>
                <w:sz w:val="16"/>
                <w:szCs w:val="16"/>
                <w:lang w:val="fr-FR"/>
              </w:rPr>
            </w:pPr>
            <w:r w:rsidRPr="00950A5E">
              <w:rPr>
                <w:sz w:val="16"/>
                <w:szCs w:val="16"/>
                <w:lang w:val="fr-FR"/>
              </w:rPr>
              <w:t xml:space="preserve">Shiitake </w:t>
            </w:r>
          </w:p>
        </w:tc>
        <w:tc>
          <w:tcPr>
            <w:tcW w:w="1225" w:type="dxa"/>
          </w:tcPr>
          <w:p w:rsidR="00BF2668" w:rsidRPr="00950A5E" w:rsidRDefault="00BF2668" w:rsidP="00BF2668">
            <w:pPr>
              <w:spacing w:before="60" w:after="60"/>
              <w:jc w:val="left"/>
              <w:rPr>
                <w:rFonts w:cs="Arial"/>
                <w:sz w:val="16"/>
                <w:szCs w:val="16"/>
                <w:lang w:val="fr-FR"/>
              </w:rPr>
            </w:pPr>
            <w:r w:rsidRPr="00950A5E">
              <w:rPr>
                <w:sz w:val="16"/>
                <w:szCs w:val="16"/>
                <w:lang w:val="fr-FR"/>
              </w:rPr>
              <w:t>Shiitake</w:t>
            </w:r>
          </w:p>
        </w:tc>
        <w:tc>
          <w:tcPr>
            <w:tcW w:w="1474" w:type="dxa"/>
          </w:tcPr>
          <w:p w:rsidR="00BF2668" w:rsidRPr="00950A5E" w:rsidRDefault="00BF2668" w:rsidP="00BF2668">
            <w:pPr>
              <w:spacing w:before="60" w:after="60"/>
              <w:jc w:val="left"/>
              <w:rPr>
                <w:rFonts w:cs="Arial"/>
                <w:sz w:val="16"/>
                <w:szCs w:val="16"/>
                <w:lang w:val="fr-FR"/>
              </w:rPr>
            </w:pPr>
            <w:r w:rsidRPr="00950A5E">
              <w:rPr>
                <w:sz w:val="16"/>
                <w:szCs w:val="16"/>
                <w:lang w:val="fr-FR"/>
              </w:rPr>
              <w:t>Pasaniapilz</w:t>
            </w:r>
          </w:p>
        </w:tc>
        <w:tc>
          <w:tcPr>
            <w:tcW w:w="1467" w:type="dxa"/>
          </w:tcPr>
          <w:p w:rsidR="00BF2668" w:rsidRPr="00950A5E" w:rsidRDefault="00BF2668" w:rsidP="00BF2668">
            <w:pPr>
              <w:spacing w:before="60" w:after="60"/>
              <w:jc w:val="left"/>
              <w:rPr>
                <w:rFonts w:cs="Arial"/>
                <w:sz w:val="16"/>
                <w:szCs w:val="16"/>
                <w:lang w:val="fr-FR"/>
              </w:rPr>
            </w:pPr>
            <w:r w:rsidRPr="00950A5E">
              <w:rPr>
                <w:rFonts w:cs="Arial"/>
                <w:sz w:val="16"/>
                <w:szCs w:val="16"/>
                <w:lang w:val="fr-FR"/>
              </w:rPr>
              <w:t>Shiitake</w:t>
            </w:r>
          </w:p>
        </w:tc>
        <w:tc>
          <w:tcPr>
            <w:tcW w:w="2290" w:type="dxa"/>
          </w:tcPr>
          <w:p w:rsidR="00BF2668" w:rsidRPr="00950A5E" w:rsidRDefault="00BF2668" w:rsidP="00BF2668">
            <w:pPr>
              <w:spacing w:before="60" w:after="60"/>
              <w:jc w:val="left"/>
              <w:rPr>
                <w:rFonts w:cs="Arial"/>
                <w:sz w:val="16"/>
                <w:szCs w:val="16"/>
                <w:lang w:val="fr-FR"/>
              </w:rPr>
            </w:pPr>
            <w:r w:rsidRPr="00950A5E">
              <w:rPr>
                <w:i/>
                <w:sz w:val="16"/>
                <w:szCs w:val="16"/>
                <w:lang w:val="fr-FR" w:eastAsia="ja-JP"/>
              </w:rPr>
              <w:t>Lentinula</w:t>
            </w:r>
            <w:r w:rsidRPr="00950A5E">
              <w:rPr>
                <w:i/>
                <w:sz w:val="16"/>
                <w:szCs w:val="16"/>
                <w:lang w:val="fr-FR"/>
              </w:rPr>
              <w:t xml:space="preserve"> </w:t>
            </w:r>
            <w:r w:rsidRPr="00950A5E">
              <w:rPr>
                <w:i/>
                <w:sz w:val="16"/>
                <w:szCs w:val="16"/>
                <w:lang w:val="fr-FR" w:eastAsia="ja-JP"/>
              </w:rPr>
              <w:t>edodes</w:t>
            </w:r>
            <w:r w:rsidRPr="00950A5E">
              <w:rPr>
                <w:sz w:val="16"/>
                <w:szCs w:val="16"/>
                <w:lang w:val="fr-FR"/>
              </w:rPr>
              <w:t xml:space="preserve"> </w:t>
            </w:r>
            <w:r w:rsidRPr="00950A5E">
              <w:rPr>
                <w:sz w:val="16"/>
                <w:szCs w:val="16"/>
                <w:lang w:val="fr-FR" w:eastAsia="ja-JP"/>
              </w:rPr>
              <w:t>(Berk.) Pegler</w:t>
            </w:r>
            <w:r w:rsidRPr="00950A5E">
              <w:rPr>
                <w:i/>
                <w:sz w:val="16"/>
                <w:szCs w:val="16"/>
                <w:lang w:val="fr-FR"/>
              </w:rPr>
              <w:br/>
            </w:r>
            <w:r w:rsidRPr="00950A5E">
              <w:rPr>
                <w:i/>
                <w:sz w:val="16"/>
                <w:szCs w:val="16"/>
                <w:lang w:val="fr-FR" w:eastAsia="ja-JP"/>
              </w:rPr>
              <w:t>Lentinus elodes</w:t>
            </w:r>
            <w:r w:rsidRPr="00950A5E">
              <w:rPr>
                <w:sz w:val="16"/>
                <w:szCs w:val="16"/>
                <w:lang w:val="fr-FR" w:eastAsia="ja-JP"/>
              </w:rPr>
              <w:t xml:space="preserve"> (Berk.) Sing.</w:t>
            </w:r>
          </w:p>
        </w:tc>
      </w:tr>
      <w:tr w:rsidR="00BF2668" w:rsidRPr="00950A5E" w:rsidTr="00894DAE">
        <w:trPr>
          <w:cantSplit/>
          <w:jc w:val="center"/>
        </w:trPr>
        <w:tc>
          <w:tcPr>
            <w:tcW w:w="1815" w:type="dxa"/>
            <w:tcBorders>
              <w:bottom w:val="single" w:sz="4" w:space="0" w:color="auto"/>
            </w:tcBorders>
          </w:tcPr>
          <w:p w:rsidR="00BF2668" w:rsidRPr="00950A5E" w:rsidRDefault="00BF2668" w:rsidP="00BF2668">
            <w:pPr>
              <w:pStyle w:val="preparedby"/>
              <w:spacing w:before="60" w:after="60"/>
              <w:jc w:val="left"/>
              <w:rPr>
                <w:i w:val="0"/>
                <w:sz w:val="16"/>
                <w:szCs w:val="16"/>
                <w:lang w:val="fr-FR"/>
              </w:rPr>
            </w:pPr>
            <w:r w:rsidRPr="00950A5E">
              <w:rPr>
                <w:i w:val="0"/>
                <w:sz w:val="16"/>
                <w:szCs w:val="16"/>
                <w:lang w:val="fr-FR"/>
              </w:rPr>
              <w:t>TG/283/1</w:t>
            </w:r>
          </w:p>
        </w:tc>
        <w:tc>
          <w:tcPr>
            <w:tcW w:w="1510" w:type="dxa"/>
            <w:tcBorders>
              <w:bottom w:val="single" w:sz="4" w:space="0" w:color="auto"/>
            </w:tcBorders>
          </w:tcPr>
          <w:p w:rsidR="00BF2668" w:rsidRPr="00950A5E" w:rsidRDefault="00BF2668" w:rsidP="00BF2668">
            <w:pPr>
              <w:spacing w:before="60" w:after="60"/>
              <w:jc w:val="left"/>
              <w:rPr>
                <w:sz w:val="16"/>
                <w:szCs w:val="16"/>
                <w:lang w:val="fr-FR"/>
              </w:rPr>
            </w:pPr>
            <w:r w:rsidRPr="00950A5E">
              <w:rPr>
                <w:sz w:val="16"/>
                <w:szCs w:val="16"/>
                <w:lang w:val="fr-FR"/>
              </w:rPr>
              <w:t>Oncidium</w:t>
            </w:r>
          </w:p>
        </w:tc>
        <w:tc>
          <w:tcPr>
            <w:tcW w:w="1225" w:type="dxa"/>
            <w:tcBorders>
              <w:bottom w:val="single" w:sz="4" w:space="0" w:color="auto"/>
            </w:tcBorders>
          </w:tcPr>
          <w:p w:rsidR="00BF2668" w:rsidRPr="00950A5E" w:rsidRDefault="00BF2668" w:rsidP="00BF2668">
            <w:pPr>
              <w:spacing w:before="60" w:after="60"/>
              <w:jc w:val="left"/>
              <w:rPr>
                <w:sz w:val="16"/>
                <w:szCs w:val="16"/>
                <w:lang w:val="fr-FR"/>
              </w:rPr>
            </w:pPr>
            <w:r w:rsidRPr="00950A5E">
              <w:rPr>
                <w:sz w:val="16"/>
                <w:szCs w:val="16"/>
                <w:lang w:val="fr-FR"/>
              </w:rPr>
              <w:t>Orchidée danseuse</w:t>
            </w:r>
            <w:proofErr w:type="gramStart"/>
            <w:r w:rsidRPr="00950A5E">
              <w:rPr>
                <w:sz w:val="16"/>
                <w:szCs w:val="16"/>
                <w:lang w:val="fr-FR"/>
              </w:rPr>
              <w:t>,</w:t>
            </w:r>
            <w:proofErr w:type="gramEnd"/>
            <w:r w:rsidRPr="00950A5E">
              <w:rPr>
                <w:sz w:val="16"/>
                <w:szCs w:val="16"/>
                <w:lang w:val="fr-FR"/>
              </w:rPr>
              <w:br/>
              <w:t>Oncidium</w:t>
            </w:r>
          </w:p>
        </w:tc>
        <w:tc>
          <w:tcPr>
            <w:tcW w:w="1474" w:type="dxa"/>
            <w:tcBorders>
              <w:bottom w:val="single" w:sz="4" w:space="0" w:color="auto"/>
            </w:tcBorders>
          </w:tcPr>
          <w:p w:rsidR="00BF2668" w:rsidRPr="00950A5E" w:rsidRDefault="00BF2668" w:rsidP="00BF2668">
            <w:pPr>
              <w:spacing w:before="60" w:after="60"/>
              <w:jc w:val="left"/>
              <w:rPr>
                <w:sz w:val="16"/>
                <w:szCs w:val="16"/>
                <w:lang w:val="fr-FR"/>
              </w:rPr>
            </w:pPr>
            <w:r w:rsidRPr="00950A5E">
              <w:rPr>
                <w:sz w:val="16"/>
                <w:szCs w:val="16"/>
                <w:lang w:val="fr-FR"/>
              </w:rPr>
              <w:t>Oncidium</w:t>
            </w:r>
          </w:p>
        </w:tc>
        <w:tc>
          <w:tcPr>
            <w:tcW w:w="1467" w:type="dxa"/>
            <w:tcBorders>
              <w:bottom w:val="single" w:sz="4" w:space="0" w:color="auto"/>
            </w:tcBorders>
          </w:tcPr>
          <w:p w:rsidR="00BF2668" w:rsidRPr="00950A5E" w:rsidRDefault="00BF2668" w:rsidP="00BF2668">
            <w:pPr>
              <w:spacing w:before="60" w:after="60"/>
              <w:jc w:val="left"/>
              <w:rPr>
                <w:sz w:val="16"/>
                <w:szCs w:val="16"/>
                <w:lang w:val="fr-FR"/>
              </w:rPr>
            </w:pPr>
            <w:r w:rsidRPr="00950A5E">
              <w:rPr>
                <w:sz w:val="16"/>
                <w:szCs w:val="16"/>
                <w:lang w:val="fr-FR"/>
              </w:rPr>
              <w:t>Oncidium</w:t>
            </w:r>
          </w:p>
        </w:tc>
        <w:tc>
          <w:tcPr>
            <w:tcW w:w="2290" w:type="dxa"/>
            <w:tcBorders>
              <w:bottom w:val="single" w:sz="4" w:space="0" w:color="auto"/>
            </w:tcBorders>
          </w:tcPr>
          <w:p w:rsidR="00BF2668" w:rsidRPr="00950A5E" w:rsidRDefault="00BF2668" w:rsidP="00BF2668">
            <w:pPr>
              <w:spacing w:before="60" w:after="60"/>
              <w:jc w:val="left"/>
              <w:rPr>
                <w:rFonts w:cs="Arial"/>
                <w:sz w:val="16"/>
                <w:szCs w:val="16"/>
                <w:lang w:val="fr-FR"/>
              </w:rPr>
            </w:pPr>
            <w:r w:rsidRPr="00950A5E">
              <w:rPr>
                <w:i/>
                <w:sz w:val="16"/>
                <w:szCs w:val="16"/>
                <w:lang w:val="fr-FR"/>
              </w:rPr>
              <w:t>Oncidium</w:t>
            </w:r>
            <w:r w:rsidRPr="00950A5E">
              <w:rPr>
                <w:sz w:val="16"/>
                <w:szCs w:val="16"/>
                <w:lang w:val="fr-FR"/>
              </w:rPr>
              <w:t xml:space="preserve"> Sw.</w:t>
            </w:r>
          </w:p>
        </w:tc>
      </w:tr>
      <w:tr w:rsidR="00894DAE" w:rsidRPr="00950A5E" w:rsidTr="00894DAE">
        <w:trPr>
          <w:cantSplit/>
          <w:jc w:val="center"/>
        </w:trPr>
        <w:tc>
          <w:tcPr>
            <w:tcW w:w="9781" w:type="dxa"/>
            <w:gridSpan w:val="6"/>
            <w:tcBorders>
              <w:left w:val="nil"/>
              <w:right w:val="nil"/>
            </w:tcBorders>
          </w:tcPr>
          <w:p w:rsidR="00894DAE" w:rsidRPr="00C60FC3" w:rsidRDefault="00894DAE" w:rsidP="003D5165">
            <w:pPr>
              <w:spacing w:before="120" w:after="60"/>
              <w:jc w:val="left"/>
              <w:rPr>
                <w:rFonts w:cs="Arial"/>
                <w:sz w:val="16"/>
                <w:szCs w:val="16"/>
                <w:lang w:val="es-ES_tradnl"/>
              </w:rPr>
            </w:pPr>
            <w:r w:rsidRPr="00C60FC3">
              <w:rPr>
                <w:rFonts w:cs="Arial"/>
                <w:b/>
                <w:bCs/>
                <w:sz w:val="16"/>
                <w:szCs w:val="16"/>
                <w:u w:val="single"/>
                <w:lang w:val="es-ES_tradnl"/>
              </w:rPr>
              <w:t>REVISIONES DE LAS DIRECTRICES DE EXAMEN</w:t>
            </w:r>
          </w:p>
        </w:tc>
      </w:tr>
      <w:tr w:rsidR="00894DAE" w:rsidRPr="00950A5E" w:rsidTr="00894DAE">
        <w:trPr>
          <w:cantSplit/>
          <w:jc w:val="center"/>
        </w:trPr>
        <w:tc>
          <w:tcPr>
            <w:tcW w:w="1815" w:type="dxa"/>
          </w:tcPr>
          <w:p w:rsidR="00894DAE" w:rsidRPr="00950A5E" w:rsidRDefault="00894DAE" w:rsidP="00BF2668">
            <w:pPr>
              <w:keepNext/>
              <w:keepLines/>
              <w:spacing w:before="60"/>
              <w:rPr>
                <w:sz w:val="16"/>
                <w:szCs w:val="16"/>
                <w:lang w:val="fr-FR"/>
              </w:rPr>
            </w:pPr>
            <w:r w:rsidRPr="00950A5E">
              <w:rPr>
                <w:sz w:val="16"/>
                <w:szCs w:val="16"/>
                <w:lang w:val="fr-FR"/>
              </w:rPr>
              <w:t>TG/98/7</w:t>
            </w:r>
          </w:p>
        </w:tc>
        <w:tc>
          <w:tcPr>
            <w:tcW w:w="1510" w:type="dxa"/>
          </w:tcPr>
          <w:p w:rsidR="00894DAE" w:rsidRPr="00950A5E" w:rsidRDefault="00894DAE" w:rsidP="00BF2668">
            <w:pPr>
              <w:keepNext/>
              <w:keepLines/>
              <w:spacing w:before="60" w:after="60"/>
              <w:jc w:val="left"/>
              <w:rPr>
                <w:rFonts w:cs="Arial"/>
                <w:sz w:val="16"/>
                <w:szCs w:val="16"/>
                <w:lang w:val="fr-FR"/>
              </w:rPr>
            </w:pPr>
            <w:r w:rsidRPr="00950A5E">
              <w:rPr>
                <w:rFonts w:cs="Arial"/>
                <w:sz w:val="16"/>
                <w:szCs w:val="16"/>
                <w:lang w:val="fr-FR"/>
              </w:rPr>
              <w:t>Actinidia, Kiwifruit</w:t>
            </w:r>
          </w:p>
        </w:tc>
        <w:tc>
          <w:tcPr>
            <w:tcW w:w="1225" w:type="dxa"/>
            <w:tcBorders>
              <w:bottom w:val="single" w:sz="4" w:space="0" w:color="auto"/>
            </w:tcBorders>
          </w:tcPr>
          <w:p w:rsidR="00894DAE" w:rsidRPr="00950A5E" w:rsidRDefault="00894DAE" w:rsidP="00BF2668">
            <w:pPr>
              <w:keepNext/>
              <w:keepLines/>
              <w:spacing w:before="60" w:after="60"/>
              <w:jc w:val="left"/>
              <w:rPr>
                <w:rFonts w:cs="Arial"/>
                <w:sz w:val="16"/>
                <w:szCs w:val="16"/>
                <w:lang w:val="fr-FR"/>
              </w:rPr>
            </w:pPr>
            <w:r w:rsidRPr="00950A5E">
              <w:rPr>
                <w:rFonts w:cs="Arial"/>
                <w:sz w:val="16"/>
                <w:szCs w:val="16"/>
                <w:lang w:val="fr-FR"/>
              </w:rPr>
              <w:t xml:space="preserve">Actinidia </w:t>
            </w:r>
          </w:p>
        </w:tc>
        <w:tc>
          <w:tcPr>
            <w:tcW w:w="1474" w:type="dxa"/>
          </w:tcPr>
          <w:p w:rsidR="00894DAE" w:rsidRPr="00950A5E" w:rsidRDefault="00894DAE" w:rsidP="00BF2668">
            <w:pPr>
              <w:keepNext/>
              <w:keepLines/>
              <w:spacing w:before="60" w:after="60"/>
              <w:jc w:val="left"/>
              <w:rPr>
                <w:rFonts w:cs="Arial"/>
                <w:sz w:val="16"/>
                <w:szCs w:val="16"/>
                <w:lang w:val="fr-FR"/>
              </w:rPr>
            </w:pPr>
            <w:r w:rsidRPr="00950A5E">
              <w:rPr>
                <w:rFonts w:cs="Arial"/>
                <w:sz w:val="16"/>
                <w:szCs w:val="16"/>
                <w:lang w:val="fr-FR"/>
              </w:rPr>
              <w:t xml:space="preserve">Actinidia </w:t>
            </w:r>
          </w:p>
        </w:tc>
        <w:tc>
          <w:tcPr>
            <w:tcW w:w="1467" w:type="dxa"/>
          </w:tcPr>
          <w:p w:rsidR="00894DAE" w:rsidRPr="00950A5E" w:rsidRDefault="00894DAE" w:rsidP="00BF2668">
            <w:pPr>
              <w:keepNext/>
              <w:keepLines/>
              <w:spacing w:before="60" w:after="60"/>
              <w:jc w:val="left"/>
              <w:rPr>
                <w:rFonts w:cs="Arial"/>
                <w:sz w:val="16"/>
                <w:szCs w:val="16"/>
                <w:lang w:val="fr-FR"/>
              </w:rPr>
            </w:pPr>
            <w:r w:rsidRPr="00950A5E">
              <w:rPr>
                <w:rFonts w:cs="Arial"/>
                <w:sz w:val="16"/>
                <w:szCs w:val="16"/>
                <w:lang w:val="fr-FR"/>
              </w:rPr>
              <w:t xml:space="preserve">Actinidia </w:t>
            </w:r>
          </w:p>
        </w:tc>
        <w:tc>
          <w:tcPr>
            <w:tcW w:w="2290" w:type="dxa"/>
          </w:tcPr>
          <w:p w:rsidR="00894DAE" w:rsidRPr="00950A5E" w:rsidRDefault="00894DAE" w:rsidP="00BF2668">
            <w:pPr>
              <w:keepNext/>
              <w:keepLines/>
              <w:spacing w:before="60" w:after="60"/>
              <w:jc w:val="left"/>
              <w:rPr>
                <w:rFonts w:cs="Arial"/>
                <w:sz w:val="16"/>
                <w:szCs w:val="16"/>
                <w:lang w:val="fr-FR"/>
              </w:rPr>
            </w:pPr>
            <w:r w:rsidRPr="00950A5E">
              <w:rPr>
                <w:i/>
                <w:sz w:val="16"/>
                <w:szCs w:val="16"/>
                <w:lang w:val="fr-FR"/>
              </w:rPr>
              <w:t xml:space="preserve">Actinidia </w:t>
            </w:r>
            <w:r w:rsidRPr="00950A5E">
              <w:rPr>
                <w:sz w:val="16"/>
                <w:szCs w:val="16"/>
                <w:lang w:val="fr-FR"/>
              </w:rPr>
              <w:t>Lindl</w:t>
            </w:r>
            <w:r w:rsidRPr="00950A5E">
              <w:rPr>
                <w:i/>
                <w:sz w:val="16"/>
                <w:szCs w:val="16"/>
                <w:lang w:val="fr-FR"/>
              </w:rPr>
              <w:t>.</w:t>
            </w:r>
          </w:p>
        </w:tc>
      </w:tr>
      <w:tr w:rsidR="00894DAE" w:rsidRPr="00950A5E" w:rsidTr="00894DAE">
        <w:trPr>
          <w:cantSplit/>
          <w:jc w:val="center"/>
        </w:trPr>
        <w:tc>
          <w:tcPr>
            <w:tcW w:w="1815" w:type="dxa"/>
          </w:tcPr>
          <w:p w:rsidR="00894DAE" w:rsidRPr="00950A5E" w:rsidRDefault="00894DAE" w:rsidP="00BF2668">
            <w:pPr>
              <w:pStyle w:val="BodyText"/>
              <w:keepNext/>
              <w:keepLines/>
              <w:spacing w:before="60" w:after="60"/>
              <w:jc w:val="left"/>
              <w:rPr>
                <w:sz w:val="16"/>
                <w:szCs w:val="16"/>
                <w:lang w:val="fr-FR"/>
              </w:rPr>
            </w:pPr>
            <w:r w:rsidRPr="00950A5E">
              <w:rPr>
                <w:sz w:val="16"/>
                <w:szCs w:val="16"/>
                <w:lang w:val="fr-FR"/>
              </w:rPr>
              <w:t>TG/120/4</w:t>
            </w:r>
          </w:p>
        </w:tc>
        <w:tc>
          <w:tcPr>
            <w:tcW w:w="1510" w:type="dxa"/>
            <w:tcBorders>
              <w:right w:val="single" w:sz="4" w:space="0" w:color="auto"/>
            </w:tcBorders>
          </w:tcPr>
          <w:p w:rsidR="00894DAE" w:rsidRPr="00950A5E" w:rsidRDefault="00894DAE" w:rsidP="00BF2668">
            <w:pPr>
              <w:keepNext/>
              <w:keepLines/>
              <w:spacing w:before="60" w:after="60"/>
              <w:jc w:val="left"/>
              <w:rPr>
                <w:sz w:val="16"/>
                <w:szCs w:val="16"/>
                <w:lang w:val="fr-FR"/>
              </w:rPr>
            </w:pPr>
            <w:r w:rsidRPr="00950A5E">
              <w:rPr>
                <w:sz w:val="16"/>
                <w:szCs w:val="16"/>
                <w:lang w:val="fr-FR"/>
              </w:rPr>
              <w:t xml:space="preserve">Durum wheat, </w:t>
            </w:r>
            <w:r w:rsidRPr="00950A5E">
              <w:rPr>
                <w:sz w:val="16"/>
                <w:szCs w:val="16"/>
                <w:lang w:val="fr-FR"/>
              </w:rPr>
              <w:br/>
              <w:t>Hard Wheat, Macaroni Wheat</w:t>
            </w:r>
          </w:p>
        </w:tc>
        <w:tc>
          <w:tcPr>
            <w:tcW w:w="1225" w:type="dxa"/>
            <w:tcBorders>
              <w:left w:val="single" w:sz="4" w:space="0" w:color="auto"/>
            </w:tcBorders>
          </w:tcPr>
          <w:p w:rsidR="00894DAE" w:rsidRPr="00950A5E" w:rsidRDefault="00894DAE" w:rsidP="00BF2668">
            <w:pPr>
              <w:keepNext/>
              <w:keepLines/>
              <w:spacing w:before="60" w:after="60"/>
              <w:jc w:val="left"/>
              <w:rPr>
                <w:rFonts w:cs="Arial"/>
                <w:sz w:val="16"/>
                <w:szCs w:val="16"/>
                <w:lang w:val="fr-FR"/>
              </w:rPr>
            </w:pPr>
            <w:r w:rsidRPr="00950A5E">
              <w:rPr>
                <w:sz w:val="16"/>
                <w:szCs w:val="16"/>
                <w:lang w:val="fr-FR"/>
              </w:rPr>
              <w:t>Blé dur</w:t>
            </w:r>
          </w:p>
        </w:tc>
        <w:tc>
          <w:tcPr>
            <w:tcW w:w="1474" w:type="dxa"/>
          </w:tcPr>
          <w:p w:rsidR="00894DAE" w:rsidRPr="00950A5E" w:rsidRDefault="00894DAE" w:rsidP="00BF2668">
            <w:pPr>
              <w:keepNext/>
              <w:keepLines/>
              <w:spacing w:before="60" w:after="60"/>
              <w:jc w:val="left"/>
              <w:rPr>
                <w:rFonts w:cs="Arial"/>
                <w:sz w:val="16"/>
                <w:szCs w:val="16"/>
                <w:lang w:val="fr-FR"/>
              </w:rPr>
            </w:pPr>
            <w:r w:rsidRPr="00950A5E">
              <w:rPr>
                <w:sz w:val="16"/>
                <w:szCs w:val="16"/>
                <w:lang w:val="fr-FR"/>
              </w:rPr>
              <w:t>Durumweizen;  Hartweizen</w:t>
            </w:r>
          </w:p>
        </w:tc>
        <w:tc>
          <w:tcPr>
            <w:tcW w:w="1467" w:type="dxa"/>
          </w:tcPr>
          <w:p w:rsidR="00894DAE" w:rsidRPr="00950A5E" w:rsidRDefault="00894DAE" w:rsidP="00BF2668">
            <w:pPr>
              <w:keepNext/>
              <w:keepLines/>
              <w:spacing w:before="60" w:after="60"/>
              <w:jc w:val="left"/>
              <w:rPr>
                <w:rFonts w:cs="Arial"/>
                <w:sz w:val="16"/>
                <w:szCs w:val="16"/>
                <w:lang w:val="fr-FR"/>
              </w:rPr>
            </w:pPr>
            <w:r w:rsidRPr="00950A5E">
              <w:rPr>
                <w:sz w:val="16"/>
                <w:szCs w:val="16"/>
                <w:lang w:val="fr-FR"/>
              </w:rPr>
              <w:t>Trigo duro</w:t>
            </w:r>
          </w:p>
        </w:tc>
        <w:tc>
          <w:tcPr>
            <w:tcW w:w="2290" w:type="dxa"/>
          </w:tcPr>
          <w:p w:rsidR="00894DAE" w:rsidRPr="00950A5E" w:rsidRDefault="00894DAE" w:rsidP="00BF2668">
            <w:pPr>
              <w:keepNext/>
              <w:keepLines/>
              <w:spacing w:before="60" w:after="60"/>
              <w:jc w:val="left"/>
              <w:rPr>
                <w:rFonts w:cs="Arial"/>
                <w:sz w:val="16"/>
                <w:szCs w:val="16"/>
                <w:lang w:val="fr-FR"/>
              </w:rPr>
            </w:pPr>
            <w:r w:rsidRPr="00950A5E">
              <w:rPr>
                <w:i/>
                <w:sz w:val="16"/>
                <w:szCs w:val="16"/>
                <w:lang w:val="fr-FR"/>
              </w:rPr>
              <w:t>Triticum turgidum</w:t>
            </w:r>
            <w:r w:rsidRPr="00950A5E">
              <w:rPr>
                <w:sz w:val="16"/>
                <w:szCs w:val="16"/>
                <w:lang w:val="fr-FR"/>
              </w:rPr>
              <w:t xml:space="preserve"> L. subsp.</w:t>
            </w:r>
            <w:r w:rsidRPr="00950A5E">
              <w:rPr>
                <w:sz w:val="16"/>
                <w:szCs w:val="16"/>
                <w:lang w:val="fr-FR"/>
              </w:rPr>
              <w:br/>
            </w:r>
            <w:r w:rsidRPr="00950A5E">
              <w:rPr>
                <w:i/>
                <w:sz w:val="16"/>
                <w:szCs w:val="16"/>
                <w:lang w:val="fr-FR"/>
              </w:rPr>
              <w:t>durum</w:t>
            </w:r>
            <w:r w:rsidRPr="00950A5E">
              <w:rPr>
                <w:sz w:val="16"/>
                <w:szCs w:val="16"/>
                <w:lang w:val="fr-FR"/>
              </w:rPr>
              <w:t xml:space="preserve"> (Desf.) Husn., </w:t>
            </w:r>
            <w:r w:rsidRPr="00950A5E">
              <w:rPr>
                <w:sz w:val="16"/>
                <w:szCs w:val="16"/>
                <w:lang w:val="fr-FR"/>
              </w:rPr>
              <w:br/>
            </w:r>
            <w:r w:rsidRPr="00950A5E">
              <w:rPr>
                <w:i/>
                <w:sz w:val="16"/>
                <w:szCs w:val="16"/>
                <w:lang w:val="fr-FR"/>
              </w:rPr>
              <w:t xml:space="preserve">Triticum durum </w:t>
            </w:r>
            <w:r w:rsidRPr="00950A5E">
              <w:rPr>
                <w:sz w:val="16"/>
                <w:szCs w:val="16"/>
                <w:lang w:val="fr-FR"/>
              </w:rPr>
              <w:t xml:space="preserve">Desf., </w:t>
            </w:r>
            <w:r w:rsidRPr="00950A5E">
              <w:rPr>
                <w:i/>
                <w:sz w:val="16"/>
                <w:szCs w:val="16"/>
                <w:lang w:val="fr-FR"/>
              </w:rPr>
              <w:t>Triticum turgidum</w:t>
            </w:r>
            <w:r w:rsidRPr="00950A5E">
              <w:rPr>
                <w:sz w:val="16"/>
                <w:szCs w:val="16"/>
                <w:lang w:val="fr-FR"/>
              </w:rPr>
              <w:t xml:space="preserve"> subsp.  </w:t>
            </w:r>
            <w:r w:rsidRPr="00950A5E">
              <w:rPr>
                <w:i/>
                <w:sz w:val="16"/>
                <w:szCs w:val="16"/>
                <w:lang w:val="fr-FR"/>
              </w:rPr>
              <w:t>turgidum</w:t>
            </w:r>
            <w:r w:rsidRPr="00950A5E">
              <w:rPr>
                <w:sz w:val="16"/>
                <w:szCs w:val="16"/>
                <w:lang w:val="fr-FR"/>
              </w:rPr>
              <w:t xml:space="preserve"> conv.  </w:t>
            </w:r>
            <w:r w:rsidRPr="00950A5E">
              <w:rPr>
                <w:i/>
                <w:sz w:val="16"/>
                <w:szCs w:val="16"/>
                <w:lang w:val="fr-FR"/>
              </w:rPr>
              <w:t>durum</w:t>
            </w:r>
            <w:r w:rsidRPr="00950A5E">
              <w:rPr>
                <w:sz w:val="16"/>
                <w:szCs w:val="16"/>
                <w:lang w:val="fr-FR"/>
              </w:rPr>
              <w:t xml:space="preserve"> (Desf.) MacKey, </w:t>
            </w:r>
            <w:r w:rsidRPr="00950A5E">
              <w:rPr>
                <w:i/>
                <w:sz w:val="16"/>
                <w:szCs w:val="16"/>
                <w:lang w:val="fr-FR"/>
              </w:rPr>
              <w:t>Triticum turgidum</w:t>
            </w:r>
            <w:r w:rsidRPr="00950A5E">
              <w:rPr>
                <w:sz w:val="16"/>
                <w:szCs w:val="16"/>
                <w:lang w:val="fr-FR"/>
              </w:rPr>
              <w:t xml:space="preserve"> L.</w:t>
            </w:r>
          </w:p>
        </w:tc>
      </w:tr>
      <w:tr w:rsidR="00894DAE" w:rsidRPr="00950A5E" w:rsidTr="00894DAE">
        <w:trPr>
          <w:cantSplit/>
          <w:jc w:val="center"/>
        </w:trPr>
        <w:tc>
          <w:tcPr>
            <w:tcW w:w="1815" w:type="dxa"/>
          </w:tcPr>
          <w:p w:rsidR="00894DAE" w:rsidRPr="00950A5E" w:rsidRDefault="00894DAE" w:rsidP="00BF2668">
            <w:pPr>
              <w:pStyle w:val="preparedby"/>
              <w:spacing w:before="60" w:after="60"/>
              <w:jc w:val="left"/>
              <w:rPr>
                <w:rFonts w:cs="Arial"/>
                <w:i w:val="0"/>
                <w:snapToGrid w:val="0"/>
                <w:sz w:val="16"/>
                <w:szCs w:val="16"/>
                <w:lang w:val="fr-FR"/>
              </w:rPr>
            </w:pPr>
            <w:r w:rsidRPr="00950A5E">
              <w:rPr>
                <w:rFonts w:cs="Arial"/>
                <w:i w:val="0"/>
                <w:sz w:val="16"/>
                <w:szCs w:val="16"/>
                <w:lang w:val="fr-FR"/>
              </w:rPr>
              <w:t>TG/218/2</w:t>
            </w:r>
          </w:p>
        </w:tc>
        <w:tc>
          <w:tcPr>
            <w:tcW w:w="1510" w:type="dxa"/>
          </w:tcPr>
          <w:p w:rsidR="00894DAE" w:rsidRPr="00950A5E" w:rsidRDefault="00894DAE" w:rsidP="00BF2668">
            <w:pPr>
              <w:spacing w:before="60" w:after="60"/>
              <w:jc w:val="left"/>
              <w:rPr>
                <w:rFonts w:cs="Arial"/>
                <w:snapToGrid w:val="0"/>
                <w:sz w:val="16"/>
                <w:szCs w:val="16"/>
                <w:lang w:val="fr-FR"/>
              </w:rPr>
            </w:pPr>
            <w:r w:rsidRPr="00950A5E">
              <w:rPr>
                <w:rFonts w:cs="Arial"/>
                <w:sz w:val="16"/>
                <w:szCs w:val="16"/>
                <w:lang w:val="fr-FR"/>
              </w:rPr>
              <w:t xml:space="preserve">Parsnip </w:t>
            </w:r>
          </w:p>
        </w:tc>
        <w:tc>
          <w:tcPr>
            <w:tcW w:w="1225" w:type="dxa"/>
          </w:tcPr>
          <w:p w:rsidR="00894DAE" w:rsidRPr="00950A5E" w:rsidRDefault="00894DAE" w:rsidP="00BF2668">
            <w:pPr>
              <w:spacing w:before="60" w:after="60"/>
              <w:jc w:val="left"/>
              <w:rPr>
                <w:rFonts w:cs="Arial"/>
                <w:sz w:val="16"/>
                <w:szCs w:val="16"/>
                <w:lang w:val="fr-FR"/>
              </w:rPr>
            </w:pPr>
            <w:r w:rsidRPr="00950A5E">
              <w:rPr>
                <w:sz w:val="16"/>
                <w:szCs w:val="16"/>
                <w:lang w:val="fr-FR"/>
              </w:rPr>
              <w:t>Panais</w:t>
            </w:r>
          </w:p>
        </w:tc>
        <w:tc>
          <w:tcPr>
            <w:tcW w:w="1474"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Pastinake</w:t>
            </w:r>
          </w:p>
        </w:tc>
        <w:tc>
          <w:tcPr>
            <w:tcW w:w="1467"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Chirivía</w:t>
            </w:r>
          </w:p>
        </w:tc>
        <w:tc>
          <w:tcPr>
            <w:tcW w:w="2290" w:type="dxa"/>
          </w:tcPr>
          <w:p w:rsidR="00894DAE" w:rsidRPr="00950A5E" w:rsidRDefault="00894DAE" w:rsidP="00BF2668">
            <w:pPr>
              <w:spacing w:before="60" w:after="60"/>
              <w:jc w:val="left"/>
              <w:rPr>
                <w:rFonts w:cs="Arial"/>
                <w:sz w:val="16"/>
                <w:szCs w:val="16"/>
                <w:lang w:val="fr-FR"/>
              </w:rPr>
            </w:pPr>
            <w:r w:rsidRPr="00950A5E">
              <w:rPr>
                <w:rFonts w:cs="Arial"/>
                <w:i/>
                <w:iCs/>
                <w:sz w:val="16"/>
                <w:szCs w:val="16"/>
                <w:lang w:val="fr-FR"/>
              </w:rPr>
              <w:t xml:space="preserve">Pastinaca sativa </w:t>
            </w:r>
            <w:r w:rsidRPr="00950A5E">
              <w:rPr>
                <w:rFonts w:cs="Arial"/>
                <w:sz w:val="16"/>
                <w:szCs w:val="16"/>
                <w:lang w:val="fr-FR"/>
              </w:rPr>
              <w:t>L.</w:t>
            </w:r>
          </w:p>
        </w:tc>
      </w:tr>
      <w:tr w:rsidR="00894DAE" w:rsidRPr="00950A5E" w:rsidTr="00894DAE">
        <w:trPr>
          <w:cantSplit/>
          <w:trHeight w:val="750"/>
          <w:jc w:val="center"/>
        </w:trPr>
        <w:tc>
          <w:tcPr>
            <w:tcW w:w="1815" w:type="dxa"/>
            <w:vMerge w:val="restart"/>
          </w:tcPr>
          <w:p w:rsidR="00894DAE" w:rsidRPr="00950A5E" w:rsidRDefault="00894DAE" w:rsidP="00BF2668">
            <w:pPr>
              <w:pStyle w:val="preparedby"/>
              <w:spacing w:before="60" w:after="60"/>
              <w:jc w:val="left"/>
              <w:rPr>
                <w:rFonts w:cs="Arial"/>
                <w:i w:val="0"/>
                <w:sz w:val="16"/>
                <w:szCs w:val="16"/>
                <w:lang w:val="fr-FR"/>
              </w:rPr>
            </w:pPr>
            <w:r w:rsidRPr="00950A5E">
              <w:rPr>
                <w:rFonts w:cs="Arial"/>
                <w:i w:val="0"/>
                <w:sz w:val="16"/>
                <w:szCs w:val="16"/>
                <w:lang w:val="fr-FR"/>
              </w:rPr>
              <w:t>TG/63/7-TG/64/7</w:t>
            </w:r>
          </w:p>
        </w:tc>
        <w:tc>
          <w:tcPr>
            <w:tcW w:w="1510" w:type="dxa"/>
          </w:tcPr>
          <w:p w:rsidR="00894DAE" w:rsidRPr="00950A5E" w:rsidRDefault="00894DAE" w:rsidP="00BF2668">
            <w:pPr>
              <w:spacing w:before="60" w:after="60"/>
              <w:jc w:val="left"/>
              <w:rPr>
                <w:rFonts w:cs="Arial"/>
                <w:sz w:val="16"/>
                <w:szCs w:val="16"/>
                <w:lang w:val="fr-FR"/>
              </w:rPr>
            </w:pPr>
            <w:r w:rsidRPr="00950A5E">
              <w:rPr>
                <w:sz w:val="16"/>
                <w:szCs w:val="16"/>
                <w:lang w:val="fr-FR"/>
              </w:rPr>
              <w:t>Black radish, Oriental radish</w:t>
            </w:r>
          </w:p>
        </w:tc>
        <w:tc>
          <w:tcPr>
            <w:tcW w:w="1225" w:type="dxa"/>
          </w:tcPr>
          <w:p w:rsidR="00894DAE" w:rsidRPr="00950A5E" w:rsidRDefault="00894DAE" w:rsidP="00BF2668">
            <w:pPr>
              <w:spacing w:before="60" w:after="60"/>
              <w:jc w:val="left"/>
              <w:rPr>
                <w:rFonts w:cs="Arial"/>
                <w:sz w:val="16"/>
                <w:szCs w:val="16"/>
                <w:lang w:val="fr-FR"/>
              </w:rPr>
            </w:pPr>
            <w:r w:rsidRPr="00950A5E">
              <w:rPr>
                <w:sz w:val="16"/>
                <w:szCs w:val="16"/>
                <w:lang w:val="fr-FR"/>
              </w:rPr>
              <w:t>Radis rave</w:t>
            </w:r>
          </w:p>
        </w:tc>
        <w:tc>
          <w:tcPr>
            <w:tcW w:w="1474" w:type="dxa"/>
          </w:tcPr>
          <w:p w:rsidR="00894DAE" w:rsidRPr="00950A5E" w:rsidRDefault="00894DAE" w:rsidP="00BF2668">
            <w:pPr>
              <w:spacing w:before="60" w:after="60"/>
              <w:jc w:val="left"/>
              <w:rPr>
                <w:rFonts w:cs="Arial"/>
                <w:sz w:val="16"/>
                <w:szCs w:val="16"/>
                <w:lang w:val="fr-FR"/>
              </w:rPr>
            </w:pPr>
            <w:r w:rsidRPr="00950A5E">
              <w:rPr>
                <w:sz w:val="16"/>
                <w:szCs w:val="16"/>
                <w:lang w:val="fr-FR"/>
              </w:rPr>
              <w:t>Rettich</w:t>
            </w:r>
          </w:p>
        </w:tc>
        <w:tc>
          <w:tcPr>
            <w:tcW w:w="1467" w:type="dxa"/>
          </w:tcPr>
          <w:p w:rsidR="00894DAE" w:rsidRPr="00950A5E" w:rsidRDefault="00894DAE" w:rsidP="00BF2668">
            <w:pPr>
              <w:spacing w:before="60" w:after="60"/>
              <w:jc w:val="left"/>
              <w:rPr>
                <w:rFonts w:cs="Arial"/>
                <w:sz w:val="16"/>
                <w:szCs w:val="16"/>
                <w:lang w:val="fr-FR"/>
              </w:rPr>
            </w:pPr>
            <w:r w:rsidRPr="00950A5E">
              <w:rPr>
                <w:sz w:val="16"/>
                <w:szCs w:val="16"/>
                <w:lang w:val="fr-FR"/>
              </w:rPr>
              <w:t xml:space="preserve">Rabano </w:t>
            </w:r>
            <w:proofErr w:type="gramStart"/>
            <w:r w:rsidRPr="00950A5E">
              <w:rPr>
                <w:sz w:val="16"/>
                <w:szCs w:val="16"/>
                <w:lang w:val="fr-FR"/>
              </w:rPr>
              <w:t>de invierno</w:t>
            </w:r>
            <w:proofErr w:type="gramEnd"/>
            <w:r w:rsidRPr="00950A5E">
              <w:rPr>
                <w:sz w:val="16"/>
                <w:szCs w:val="16"/>
                <w:lang w:val="fr-FR"/>
              </w:rPr>
              <w:t>, Rabano negro</w:t>
            </w:r>
          </w:p>
        </w:tc>
        <w:tc>
          <w:tcPr>
            <w:tcW w:w="2290" w:type="dxa"/>
          </w:tcPr>
          <w:p w:rsidR="00894DAE" w:rsidRPr="00950A5E" w:rsidRDefault="00894DAE" w:rsidP="00BF2668">
            <w:pPr>
              <w:spacing w:before="60" w:after="60"/>
              <w:jc w:val="left"/>
              <w:rPr>
                <w:rFonts w:cs="Arial"/>
                <w:sz w:val="16"/>
                <w:szCs w:val="16"/>
                <w:lang w:val="fr-FR"/>
              </w:rPr>
            </w:pPr>
            <w:r w:rsidRPr="00950A5E">
              <w:rPr>
                <w:i/>
                <w:sz w:val="16"/>
                <w:szCs w:val="16"/>
                <w:lang w:val="fr-FR"/>
              </w:rPr>
              <w:t>Raphanus sativus</w:t>
            </w:r>
            <w:r w:rsidRPr="00950A5E">
              <w:rPr>
                <w:sz w:val="16"/>
                <w:szCs w:val="16"/>
                <w:lang w:val="fr-FR"/>
              </w:rPr>
              <w:t xml:space="preserve"> L. var.  </w:t>
            </w:r>
            <w:r w:rsidRPr="00950A5E">
              <w:rPr>
                <w:i/>
                <w:sz w:val="16"/>
                <w:szCs w:val="16"/>
                <w:lang w:val="fr-FR"/>
              </w:rPr>
              <w:t>niger</w:t>
            </w:r>
            <w:r w:rsidRPr="00950A5E">
              <w:rPr>
                <w:sz w:val="16"/>
                <w:szCs w:val="16"/>
                <w:lang w:val="fr-FR"/>
              </w:rPr>
              <w:t xml:space="preserve"> (Mill.) S. Kerner</w:t>
            </w:r>
            <w:r w:rsidRPr="00950A5E">
              <w:rPr>
                <w:sz w:val="16"/>
                <w:szCs w:val="16"/>
                <w:shd w:val="clear" w:color="auto" w:fill="FFFFFF"/>
                <w:lang w:val="fr-FR"/>
              </w:rPr>
              <w:t xml:space="preserve">, = (N) </w:t>
            </w:r>
            <w:r w:rsidRPr="00950A5E">
              <w:rPr>
                <w:i/>
                <w:sz w:val="16"/>
                <w:szCs w:val="16"/>
                <w:lang w:val="fr-FR"/>
              </w:rPr>
              <w:t xml:space="preserve">Raphanus sativus </w:t>
            </w:r>
            <w:r w:rsidRPr="00950A5E">
              <w:rPr>
                <w:sz w:val="16"/>
                <w:szCs w:val="16"/>
                <w:lang w:val="fr-FR"/>
              </w:rPr>
              <w:t>L</w:t>
            </w:r>
            <w:r w:rsidRPr="00950A5E">
              <w:rPr>
                <w:i/>
                <w:sz w:val="16"/>
                <w:lang w:val="fr-FR"/>
              </w:rPr>
              <w:t>.</w:t>
            </w:r>
            <w:r w:rsidRPr="00950A5E">
              <w:rPr>
                <w:i/>
                <w:sz w:val="16"/>
                <w:szCs w:val="16"/>
                <w:lang w:val="fr-FR"/>
              </w:rPr>
              <w:t> </w:t>
            </w:r>
            <w:r w:rsidRPr="00950A5E">
              <w:rPr>
                <w:sz w:val="16"/>
                <w:szCs w:val="16"/>
                <w:lang w:val="fr-FR"/>
              </w:rPr>
              <w:t xml:space="preserve">var.  </w:t>
            </w:r>
            <w:r w:rsidRPr="00950A5E">
              <w:rPr>
                <w:i/>
                <w:sz w:val="16"/>
                <w:szCs w:val="16"/>
                <w:lang w:val="fr-FR"/>
              </w:rPr>
              <w:t>longipinnatus</w:t>
            </w:r>
            <w:r w:rsidRPr="00950A5E">
              <w:rPr>
                <w:sz w:val="16"/>
                <w:szCs w:val="16"/>
                <w:lang w:val="fr-FR"/>
              </w:rPr>
              <w:t xml:space="preserve"> L.H.  Bailey</w:t>
            </w:r>
          </w:p>
        </w:tc>
      </w:tr>
      <w:tr w:rsidR="00894DAE" w:rsidRPr="00950A5E" w:rsidTr="00894DAE">
        <w:trPr>
          <w:cantSplit/>
          <w:trHeight w:val="750"/>
          <w:jc w:val="center"/>
        </w:trPr>
        <w:tc>
          <w:tcPr>
            <w:tcW w:w="1815" w:type="dxa"/>
            <w:vMerge/>
            <w:tcBorders>
              <w:bottom w:val="single" w:sz="4" w:space="0" w:color="auto"/>
            </w:tcBorders>
          </w:tcPr>
          <w:p w:rsidR="00894DAE" w:rsidRPr="00950A5E" w:rsidRDefault="00894DAE" w:rsidP="00BF2668">
            <w:pPr>
              <w:pStyle w:val="preparedby"/>
              <w:spacing w:before="60" w:after="60"/>
              <w:jc w:val="left"/>
              <w:rPr>
                <w:rFonts w:cs="Arial"/>
                <w:i w:val="0"/>
                <w:sz w:val="16"/>
                <w:szCs w:val="16"/>
                <w:lang w:val="fr-FR"/>
              </w:rPr>
            </w:pPr>
          </w:p>
        </w:tc>
        <w:tc>
          <w:tcPr>
            <w:tcW w:w="1510" w:type="dxa"/>
            <w:tcBorders>
              <w:bottom w:val="single" w:sz="4" w:space="0" w:color="auto"/>
            </w:tcBorders>
          </w:tcPr>
          <w:p w:rsidR="00894DAE" w:rsidRPr="00950A5E" w:rsidRDefault="00894DAE" w:rsidP="00BF2668">
            <w:pPr>
              <w:spacing w:before="60" w:after="60"/>
              <w:jc w:val="left"/>
              <w:rPr>
                <w:sz w:val="16"/>
                <w:szCs w:val="16"/>
                <w:lang w:val="fr-FR"/>
              </w:rPr>
            </w:pPr>
            <w:r w:rsidRPr="00950A5E">
              <w:rPr>
                <w:sz w:val="16"/>
                <w:szCs w:val="16"/>
                <w:lang w:val="fr-FR"/>
              </w:rPr>
              <w:t>Radish, Garden Radish, European Radish, Chinese Small Radish, Western Radish</w:t>
            </w:r>
          </w:p>
        </w:tc>
        <w:tc>
          <w:tcPr>
            <w:tcW w:w="1225" w:type="dxa"/>
            <w:tcBorders>
              <w:bottom w:val="single" w:sz="4" w:space="0" w:color="auto"/>
            </w:tcBorders>
          </w:tcPr>
          <w:p w:rsidR="00894DAE" w:rsidRPr="00950A5E" w:rsidRDefault="00894DAE" w:rsidP="00BF2668">
            <w:pPr>
              <w:spacing w:before="60" w:after="60"/>
              <w:jc w:val="left"/>
              <w:rPr>
                <w:sz w:val="16"/>
                <w:szCs w:val="16"/>
                <w:lang w:val="fr-FR"/>
              </w:rPr>
            </w:pPr>
            <w:r w:rsidRPr="00950A5E">
              <w:rPr>
                <w:sz w:val="16"/>
                <w:szCs w:val="16"/>
                <w:lang w:val="fr-FR"/>
              </w:rPr>
              <w:t>Radis de tous les mois</w:t>
            </w:r>
          </w:p>
        </w:tc>
        <w:tc>
          <w:tcPr>
            <w:tcW w:w="1474" w:type="dxa"/>
            <w:tcBorders>
              <w:bottom w:val="single" w:sz="4" w:space="0" w:color="auto"/>
            </w:tcBorders>
          </w:tcPr>
          <w:p w:rsidR="00894DAE" w:rsidRPr="00950A5E" w:rsidRDefault="00894DAE" w:rsidP="00BF2668">
            <w:pPr>
              <w:spacing w:before="60" w:after="60"/>
              <w:jc w:val="left"/>
              <w:rPr>
                <w:sz w:val="16"/>
                <w:szCs w:val="16"/>
                <w:lang w:val="fr-FR"/>
              </w:rPr>
            </w:pPr>
            <w:r w:rsidRPr="00950A5E">
              <w:rPr>
                <w:sz w:val="16"/>
                <w:szCs w:val="16"/>
                <w:lang w:val="fr-FR"/>
              </w:rPr>
              <w:t>Radieschen</w:t>
            </w:r>
          </w:p>
        </w:tc>
        <w:tc>
          <w:tcPr>
            <w:tcW w:w="1467" w:type="dxa"/>
            <w:tcBorders>
              <w:bottom w:val="single" w:sz="4" w:space="0" w:color="auto"/>
            </w:tcBorders>
          </w:tcPr>
          <w:p w:rsidR="00894DAE" w:rsidRPr="00950A5E" w:rsidRDefault="00894DAE" w:rsidP="00BF2668">
            <w:pPr>
              <w:spacing w:before="60" w:after="60"/>
              <w:jc w:val="left"/>
              <w:rPr>
                <w:sz w:val="16"/>
                <w:szCs w:val="16"/>
                <w:lang w:val="fr-FR"/>
              </w:rPr>
            </w:pPr>
            <w:r w:rsidRPr="00950A5E">
              <w:rPr>
                <w:sz w:val="16"/>
                <w:szCs w:val="16"/>
                <w:lang w:val="fr-FR"/>
              </w:rPr>
              <w:t>Rabanito</w:t>
            </w:r>
          </w:p>
        </w:tc>
        <w:tc>
          <w:tcPr>
            <w:tcW w:w="2290" w:type="dxa"/>
            <w:tcBorders>
              <w:bottom w:val="single" w:sz="4" w:space="0" w:color="auto"/>
            </w:tcBorders>
          </w:tcPr>
          <w:p w:rsidR="00894DAE" w:rsidRPr="00950A5E" w:rsidRDefault="00894DAE" w:rsidP="00BF2668">
            <w:pPr>
              <w:spacing w:before="60" w:after="60"/>
              <w:jc w:val="left"/>
              <w:rPr>
                <w:i/>
                <w:sz w:val="16"/>
                <w:szCs w:val="16"/>
                <w:lang w:val="fr-FR"/>
              </w:rPr>
            </w:pPr>
            <w:r w:rsidRPr="00950A5E">
              <w:rPr>
                <w:i/>
                <w:sz w:val="16"/>
                <w:szCs w:val="16"/>
                <w:lang w:val="fr-FR"/>
              </w:rPr>
              <w:t>Raphanus sativus</w:t>
            </w:r>
            <w:r w:rsidRPr="00950A5E">
              <w:rPr>
                <w:sz w:val="16"/>
                <w:szCs w:val="16"/>
                <w:lang w:val="fr-FR"/>
              </w:rPr>
              <w:t xml:space="preserve"> L. var </w:t>
            </w:r>
            <w:r w:rsidRPr="00950A5E">
              <w:rPr>
                <w:i/>
                <w:sz w:val="16"/>
                <w:szCs w:val="16"/>
                <w:lang w:val="fr-FR"/>
              </w:rPr>
              <w:t>sativus</w:t>
            </w:r>
            <w:r w:rsidRPr="00950A5E">
              <w:rPr>
                <w:sz w:val="16"/>
                <w:szCs w:val="16"/>
                <w:lang w:val="fr-FR"/>
              </w:rPr>
              <w:t xml:space="preserve"> = (S)</w:t>
            </w:r>
          </w:p>
        </w:tc>
      </w:tr>
      <w:tr w:rsidR="00894DAE" w:rsidRPr="00950A5E" w:rsidTr="00894DAE">
        <w:trPr>
          <w:cantSplit/>
          <w:jc w:val="center"/>
        </w:trPr>
        <w:tc>
          <w:tcPr>
            <w:tcW w:w="9781" w:type="dxa"/>
            <w:gridSpan w:val="6"/>
            <w:tcBorders>
              <w:left w:val="nil"/>
              <w:right w:val="nil"/>
            </w:tcBorders>
          </w:tcPr>
          <w:p w:rsidR="00894DAE" w:rsidRPr="00950A5E" w:rsidRDefault="00894DAE" w:rsidP="00894DAE">
            <w:pPr>
              <w:keepNext/>
              <w:spacing w:before="120" w:after="60"/>
              <w:jc w:val="left"/>
              <w:rPr>
                <w:rFonts w:cs="Arial"/>
                <w:sz w:val="16"/>
                <w:szCs w:val="16"/>
                <w:lang w:val="fr-FR"/>
              </w:rPr>
            </w:pPr>
            <w:r w:rsidRPr="00C60FC3">
              <w:rPr>
                <w:rFonts w:cs="Arial"/>
                <w:b/>
                <w:bCs/>
                <w:sz w:val="16"/>
                <w:szCs w:val="16"/>
                <w:u w:val="single"/>
                <w:lang w:val="es-ES_tradnl"/>
              </w:rPr>
              <w:t>REVISIONES PARCIALES DE LAS DIRECTRICES DE EXAMEN</w:t>
            </w:r>
          </w:p>
        </w:tc>
      </w:tr>
      <w:tr w:rsidR="00894DAE" w:rsidRPr="00950A5E" w:rsidTr="00894DAE">
        <w:trPr>
          <w:cantSplit/>
          <w:jc w:val="center"/>
        </w:trPr>
        <w:tc>
          <w:tcPr>
            <w:tcW w:w="1815" w:type="dxa"/>
          </w:tcPr>
          <w:p w:rsidR="00894DAE" w:rsidRPr="00950A5E" w:rsidRDefault="00894DAE" w:rsidP="00BF2668">
            <w:pPr>
              <w:keepNext/>
              <w:spacing w:before="60" w:after="60"/>
              <w:jc w:val="left"/>
              <w:rPr>
                <w:rFonts w:cs="Arial"/>
                <w:sz w:val="16"/>
                <w:szCs w:val="16"/>
                <w:lang w:val="fr-FR"/>
              </w:rPr>
            </w:pPr>
            <w:r w:rsidRPr="00950A5E">
              <w:rPr>
                <w:rFonts w:cs="Arial"/>
                <w:sz w:val="16"/>
                <w:szCs w:val="16"/>
                <w:lang w:val="fr-FR"/>
              </w:rPr>
              <w:t>TG/12/9 Rev.</w:t>
            </w:r>
          </w:p>
        </w:tc>
        <w:tc>
          <w:tcPr>
            <w:tcW w:w="1510" w:type="dxa"/>
          </w:tcPr>
          <w:p w:rsidR="00894DAE" w:rsidRPr="00950A5E" w:rsidRDefault="00894DAE" w:rsidP="00BF2668">
            <w:pPr>
              <w:keepNext/>
              <w:spacing w:before="60" w:after="60"/>
              <w:jc w:val="left"/>
              <w:rPr>
                <w:rFonts w:cs="Arial"/>
                <w:sz w:val="16"/>
                <w:szCs w:val="16"/>
                <w:lang w:val="fr-FR"/>
              </w:rPr>
            </w:pPr>
            <w:r w:rsidRPr="00950A5E">
              <w:rPr>
                <w:rFonts w:cs="Arial"/>
                <w:sz w:val="16"/>
                <w:szCs w:val="16"/>
                <w:lang w:val="fr-FR"/>
              </w:rPr>
              <w:t>French Bean</w:t>
            </w:r>
          </w:p>
        </w:tc>
        <w:tc>
          <w:tcPr>
            <w:tcW w:w="1225" w:type="dxa"/>
          </w:tcPr>
          <w:p w:rsidR="00894DAE" w:rsidRPr="00950A5E" w:rsidRDefault="00894DAE" w:rsidP="00BF2668">
            <w:pPr>
              <w:keepNext/>
              <w:spacing w:before="60" w:after="60"/>
              <w:jc w:val="left"/>
              <w:rPr>
                <w:rFonts w:cs="Arial"/>
                <w:sz w:val="16"/>
                <w:szCs w:val="16"/>
                <w:lang w:val="fr-FR"/>
              </w:rPr>
            </w:pPr>
            <w:r w:rsidRPr="00950A5E">
              <w:rPr>
                <w:rFonts w:cs="Arial"/>
                <w:sz w:val="16"/>
                <w:szCs w:val="16"/>
                <w:lang w:val="fr-FR"/>
              </w:rPr>
              <w:t>Haricot</w:t>
            </w:r>
          </w:p>
        </w:tc>
        <w:tc>
          <w:tcPr>
            <w:tcW w:w="1474"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 xml:space="preserve">Gartenbohne </w:t>
            </w:r>
          </w:p>
        </w:tc>
        <w:tc>
          <w:tcPr>
            <w:tcW w:w="1467" w:type="dxa"/>
          </w:tcPr>
          <w:p w:rsidR="00894DAE" w:rsidRPr="00950A5E" w:rsidRDefault="00894DAE" w:rsidP="00BF2668">
            <w:pPr>
              <w:spacing w:before="60" w:after="60"/>
              <w:jc w:val="left"/>
              <w:rPr>
                <w:sz w:val="16"/>
                <w:szCs w:val="16"/>
                <w:lang w:val="fr-FR"/>
              </w:rPr>
            </w:pPr>
            <w:r w:rsidRPr="00950A5E">
              <w:rPr>
                <w:sz w:val="16"/>
                <w:szCs w:val="16"/>
                <w:lang w:val="fr-FR"/>
              </w:rPr>
              <w:t>Judía común, Alubia</w:t>
            </w:r>
          </w:p>
        </w:tc>
        <w:tc>
          <w:tcPr>
            <w:tcW w:w="2290" w:type="dxa"/>
          </w:tcPr>
          <w:p w:rsidR="00894DAE" w:rsidRPr="00950A5E" w:rsidRDefault="00894DAE" w:rsidP="00BF2668">
            <w:pPr>
              <w:spacing w:before="60" w:after="60"/>
              <w:jc w:val="left"/>
              <w:rPr>
                <w:sz w:val="16"/>
                <w:szCs w:val="16"/>
                <w:lang w:val="fr-FR"/>
              </w:rPr>
            </w:pPr>
            <w:r w:rsidRPr="00950A5E">
              <w:rPr>
                <w:sz w:val="16"/>
                <w:szCs w:val="16"/>
                <w:lang w:val="fr-FR"/>
              </w:rPr>
              <w:t>Phaseolus vulgaris L.</w:t>
            </w:r>
          </w:p>
        </w:tc>
      </w:tr>
      <w:tr w:rsidR="00894DAE" w:rsidRPr="00950A5E" w:rsidTr="00894DAE">
        <w:trPr>
          <w:cantSplit/>
          <w:jc w:val="center"/>
        </w:trPr>
        <w:tc>
          <w:tcPr>
            <w:tcW w:w="1815"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TG/78/4 Rev.</w:t>
            </w:r>
          </w:p>
        </w:tc>
        <w:tc>
          <w:tcPr>
            <w:tcW w:w="1510" w:type="dxa"/>
          </w:tcPr>
          <w:p w:rsidR="00894DAE" w:rsidRPr="00950A5E" w:rsidRDefault="00894DAE" w:rsidP="00BF2668">
            <w:pPr>
              <w:spacing w:before="60" w:after="60"/>
              <w:jc w:val="left"/>
              <w:rPr>
                <w:sz w:val="16"/>
                <w:szCs w:val="16"/>
                <w:lang w:val="fr-FR"/>
              </w:rPr>
            </w:pPr>
            <w:r w:rsidRPr="00950A5E">
              <w:rPr>
                <w:sz w:val="16"/>
                <w:szCs w:val="16"/>
                <w:lang w:val="fr-FR"/>
              </w:rPr>
              <w:t>Kalanchoe</w:t>
            </w:r>
          </w:p>
        </w:tc>
        <w:tc>
          <w:tcPr>
            <w:tcW w:w="1225"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Kalanchoe</w:t>
            </w:r>
          </w:p>
        </w:tc>
        <w:tc>
          <w:tcPr>
            <w:tcW w:w="1474" w:type="dxa"/>
          </w:tcPr>
          <w:p w:rsidR="00894DAE" w:rsidRPr="00950A5E" w:rsidRDefault="00894DAE" w:rsidP="00BF2668">
            <w:pPr>
              <w:autoSpaceDE w:val="0"/>
              <w:autoSpaceDN w:val="0"/>
              <w:adjustRightInd w:val="0"/>
              <w:spacing w:before="60" w:after="60"/>
              <w:jc w:val="left"/>
              <w:rPr>
                <w:rFonts w:cs="Arial"/>
                <w:sz w:val="16"/>
                <w:szCs w:val="16"/>
                <w:lang w:val="fr-FR"/>
              </w:rPr>
            </w:pPr>
            <w:r w:rsidRPr="00950A5E">
              <w:rPr>
                <w:rFonts w:cs="Arial"/>
                <w:sz w:val="16"/>
                <w:szCs w:val="16"/>
                <w:lang w:val="fr-FR"/>
              </w:rPr>
              <w:t xml:space="preserve">Kalanchoe, </w:t>
            </w:r>
            <w:r w:rsidRPr="00950A5E">
              <w:rPr>
                <w:rFonts w:cs="Arial"/>
                <w:sz w:val="16"/>
                <w:szCs w:val="16"/>
                <w:lang w:val="fr-FR"/>
              </w:rPr>
              <w:br/>
              <w:t>Flammendes</w:t>
            </w:r>
            <w:r w:rsidRPr="00950A5E">
              <w:rPr>
                <w:rFonts w:cs="Arial"/>
                <w:sz w:val="16"/>
                <w:szCs w:val="16"/>
                <w:lang w:val="fr-FR"/>
              </w:rPr>
              <w:br/>
              <w:t>Kätchen</w:t>
            </w:r>
          </w:p>
        </w:tc>
        <w:tc>
          <w:tcPr>
            <w:tcW w:w="1467"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Kalancho</w:t>
            </w:r>
          </w:p>
        </w:tc>
        <w:tc>
          <w:tcPr>
            <w:tcW w:w="2290" w:type="dxa"/>
          </w:tcPr>
          <w:p w:rsidR="00894DAE" w:rsidRPr="00950A5E" w:rsidRDefault="00894DAE" w:rsidP="00BF2668">
            <w:pPr>
              <w:autoSpaceDE w:val="0"/>
              <w:autoSpaceDN w:val="0"/>
              <w:adjustRightInd w:val="0"/>
              <w:spacing w:before="60" w:after="60"/>
              <w:jc w:val="left"/>
              <w:rPr>
                <w:rFonts w:cs="Arial"/>
                <w:i/>
                <w:iCs/>
                <w:sz w:val="16"/>
                <w:szCs w:val="16"/>
                <w:lang w:val="fr-FR"/>
              </w:rPr>
            </w:pPr>
            <w:r w:rsidRPr="00950A5E">
              <w:rPr>
                <w:rFonts w:cs="Arial"/>
                <w:i/>
                <w:iCs/>
                <w:sz w:val="16"/>
                <w:szCs w:val="16"/>
                <w:lang w:val="fr-FR"/>
              </w:rPr>
              <w:t>Kalanchoe blossfeldiana</w:t>
            </w:r>
            <w:r w:rsidRPr="00950A5E">
              <w:rPr>
                <w:rFonts w:cs="Arial"/>
                <w:i/>
                <w:iCs/>
                <w:sz w:val="16"/>
                <w:szCs w:val="16"/>
                <w:lang w:val="fr-FR"/>
              </w:rPr>
              <w:br/>
            </w:r>
            <w:r w:rsidRPr="00950A5E">
              <w:rPr>
                <w:rFonts w:cs="Arial"/>
                <w:sz w:val="16"/>
                <w:szCs w:val="16"/>
                <w:lang w:val="fr-FR"/>
              </w:rPr>
              <w:t>Poelln.  and its hybrids</w:t>
            </w:r>
          </w:p>
        </w:tc>
      </w:tr>
      <w:tr w:rsidR="00894DAE" w:rsidRPr="00950A5E" w:rsidTr="00894DAE">
        <w:trPr>
          <w:cantSplit/>
          <w:jc w:val="center"/>
        </w:trPr>
        <w:tc>
          <w:tcPr>
            <w:tcW w:w="1815"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TG/196/2 Rev.</w:t>
            </w:r>
          </w:p>
        </w:tc>
        <w:tc>
          <w:tcPr>
            <w:tcW w:w="1510" w:type="dxa"/>
          </w:tcPr>
          <w:p w:rsidR="00894DAE" w:rsidRPr="00950A5E" w:rsidRDefault="00894DAE" w:rsidP="00BF2668">
            <w:pPr>
              <w:spacing w:before="60" w:after="60"/>
              <w:jc w:val="left"/>
              <w:rPr>
                <w:sz w:val="16"/>
                <w:szCs w:val="16"/>
                <w:lang w:val="fr-FR"/>
              </w:rPr>
            </w:pPr>
            <w:r w:rsidRPr="00950A5E">
              <w:rPr>
                <w:sz w:val="16"/>
                <w:szCs w:val="16"/>
                <w:lang w:val="fr-FR"/>
              </w:rPr>
              <w:t>New Guinée Impatiens</w:t>
            </w:r>
          </w:p>
        </w:tc>
        <w:tc>
          <w:tcPr>
            <w:tcW w:w="1225" w:type="dxa"/>
          </w:tcPr>
          <w:p w:rsidR="00894DAE" w:rsidRPr="00950A5E" w:rsidRDefault="00894DAE" w:rsidP="00BF2668">
            <w:pPr>
              <w:spacing w:before="60" w:after="60"/>
              <w:jc w:val="left"/>
              <w:rPr>
                <w:rFonts w:cs="Arial"/>
                <w:sz w:val="16"/>
                <w:szCs w:val="16"/>
                <w:lang w:val="fr-FR"/>
              </w:rPr>
            </w:pPr>
            <w:r w:rsidRPr="00950A5E">
              <w:rPr>
                <w:sz w:val="16"/>
                <w:szCs w:val="16"/>
                <w:lang w:val="fr-FR"/>
              </w:rPr>
              <w:t>Impatiente de Nouvelle-Guinée</w:t>
            </w:r>
          </w:p>
        </w:tc>
        <w:tc>
          <w:tcPr>
            <w:tcW w:w="1474" w:type="dxa"/>
          </w:tcPr>
          <w:p w:rsidR="00894DAE" w:rsidRPr="00950A5E" w:rsidRDefault="00894DAE" w:rsidP="00BF2668">
            <w:pPr>
              <w:spacing w:before="60" w:after="60"/>
              <w:jc w:val="left"/>
              <w:rPr>
                <w:rFonts w:cs="Arial"/>
                <w:sz w:val="16"/>
                <w:szCs w:val="16"/>
                <w:lang w:val="fr-FR"/>
              </w:rPr>
            </w:pPr>
            <w:r w:rsidRPr="00950A5E">
              <w:rPr>
                <w:sz w:val="16"/>
                <w:szCs w:val="16"/>
                <w:lang w:val="fr-FR"/>
              </w:rPr>
              <w:t>Neu-Guinée-Impatiens</w:t>
            </w:r>
          </w:p>
        </w:tc>
        <w:tc>
          <w:tcPr>
            <w:tcW w:w="1467" w:type="dxa"/>
          </w:tcPr>
          <w:p w:rsidR="00894DAE" w:rsidRPr="00950A5E" w:rsidRDefault="00894DAE" w:rsidP="00BF2668">
            <w:pPr>
              <w:spacing w:before="60" w:after="60"/>
              <w:jc w:val="left"/>
              <w:rPr>
                <w:rFonts w:cs="Arial"/>
                <w:sz w:val="16"/>
                <w:szCs w:val="16"/>
                <w:lang w:val="fr-FR"/>
              </w:rPr>
            </w:pPr>
            <w:r w:rsidRPr="00950A5E">
              <w:rPr>
                <w:sz w:val="16"/>
                <w:szCs w:val="16"/>
                <w:lang w:val="fr-FR"/>
              </w:rPr>
              <w:t>Impatiens de Nueva Guinée</w:t>
            </w:r>
          </w:p>
        </w:tc>
        <w:tc>
          <w:tcPr>
            <w:tcW w:w="2290" w:type="dxa"/>
          </w:tcPr>
          <w:p w:rsidR="00894DAE" w:rsidRPr="00950A5E" w:rsidRDefault="00894DAE" w:rsidP="00BF2668">
            <w:pPr>
              <w:spacing w:before="60" w:after="60"/>
              <w:jc w:val="left"/>
              <w:rPr>
                <w:rFonts w:cs="Arial"/>
                <w:sz w:val="16"/>
                <w:szCs w:val="16"/>
                <w:lang w:val="fr-FR"/>
              </w:rPr>
            </w:pPr>
            <w:r w:rsidRPr="00950A5E">
              <w:rPr>
                <w:sz w:val="16"/>
                <w:szCs w:val="16"/>
                <w:lang w:val="fr-FR"/>
              </w:rPr>
              <w:t>New Guinée Impatiens Group</w:t>
            </w:r>
          </w:p>
        </w:tc>
      </w:tr>
      <w:tr w:rsidR="00894DAE" w:rsidRPr="00950A5E" w:rsidTr="00894DAE">
        <w:trPr>
          <w:cantSplit/>
          <w:jc w:val="center"/>
        </w:trPr>
        <w:tc>
          <w:tcPr>
            <w:tcW w:w="1815" w:type="dxa"/>
          </w:tcPr>
          <w:p w:rsidR="00894DAE" w:rsidRPr="00950A5E" w:rsidRDefault="00894DAE" w:rsidP="00BF2668">
            <w:pPr>
              <w:spacing w:before="60" w:after="60"/>
              <w:jc w:val="left"/>
              <w:rPr>
                <w:rFonts w:cs="Arial"/>
                <w:sz w:val="16"/>
                <w:szCs w:val="16"/>
                <w:lang w:val="fr-FR"/>
              </w:rPr>
            </w:pPr>
            <w:r w:rsidRPr="00950A5E">
              <w:rPr>
                <w:rFonts w:cs="Arial"/>
                <w:sz w:val="16"/>
                <w:szCs w:val="16"/>
                <w:lang w:val="fr-FR"/>
              </w:rPr>
              <w:t>TG/22/10 Rev.</w:t>
            </w:r>
          </w:p>
        </w:tc>
        <w:tc>
          <w:tcPr>
            <w:tcW w:w="1510" w:type="dxa"/>
          </w:tcPr>
          <w:p w:rsidR="00894DAE" w:rsidRPr="00950A5E" w:rsidRDefault="00894DAE" w:rsidP="00BF2668">
            <w:pPr>
              <w:spacing w:before="60" w:after="60"/>
              <w:jc w:val="left"/>
              <w:rPr>
                <w:sz w:val="16"/>
                <w:szCs w:val="16"/>
                <w:lang w:val="fr-FR"/>
              </w:rPr>
            </w:pPr>
            <w:r w:rsidRPr="00950A5E">
              <w:rPr>
                <w:sz w:val="16"/>
                <w:szCs w:val="16"/>
                <w:lang w:val="fr-FR"/>
              </w:rPr>
              <w:t>Strawberry</w:t>
            </w:r>
          </w:p>
        </w:tc>
        <w:tc>
          <w:tcPr>
            <w:tcW w:w="1225" w:type="dxa"/>
          </w:tcPr>
          <w:p w:rsidR="00894DAE" w:rsidRPr="00950A5E" w:rsidRDefault="00894DAE" w:rsidP="00BF2668">
            <w:pPr>
              <w:spacing w:before="60" w:after="60"/>
              <w:jc w:val="left"/>
              <w:rPr>
                <w:sz w:val="16"/>
                <w:szCs w:val="16"/>
                <w:lang w:val="fr-FR"/>
              </w:rPr>
            </w:pPr>
            <w:r w:rsidRPr="00950A5E">
              <w:rPr>
                <w:sz w:val="16"/>
                <w:szCs w:val="16"/>
                <w:lang w:val="fr-FR"/>
              </w:rPr>
              <w:t>Fraisier</w:t>
            </w:r>
          </w:p>
        </w:tc>
        <w:tc>
          <w:tcPr>
            <w:tcW w:w="1474" w:type="dxa"/>
          </w:tcPr>
          <w:p w:rsidR="00894DAE" w:rsidRPr="00950A5E" w:rsidRDefault="00894DAE" w:rsidP="00BF2668">
            <w:pPr>
              <w:spacing w:before="60" w:after="60"/>
              <w:jc w:val="left"/>
              <w:rPr>
                <w:sz w:val="16"/>
                <w:szCs w:val="16"/>
                <w:lang w:val="fr-FR"/>
              </w:rPr>
            </w:pPr>
            <w:r w:rsidRPr="00950A5E">
              <w:rPr>
                <w:sz w:val="16"/>
                <w:szCs w:val="16"/>
                <w:lang w:val="fr-FR"/>
              </w:rPr>
              <w:t>Erdbeere</w:t>
            </w:r>
          </w:p>
        </w:tc>
        <w:tc>
          <w:tcPr>
            <w:tcW w:w="1467" w:type="dxa"/>
          </w:tcPr>
          <w:p w:rsidR="00894DAE" w:rsidRPr="00950A5E" w:rsidRDefault="00894DAE" w:rsidP="00BF2668">
            <w:pPr>
              <w:spacing w:before="60" w:after="60"/>
              <w:jc w:val="left"/>
              <w:rPr>
                <w:sz w:val="16"/>
                <w:szCs w:val="16"/>
                <w:lang w:val="fr-FR"/>
              </w:rPr>
            </w:pPr>
            <w:r w:rsidRPr="00950A5E">
              <w:rPr>
                <w:sz w:val="16"/>
                <w:szCs w:val="16"/>
                <w:lang w:val="fr-FR"/>
              </w:rPr>
              <w:t>Fresa, Frutilla</w:t>
            </w:r>
          </w:p>
        </w:tc>
        <w:tc>
          <w:tcPr>
            <w:tcW w:w="2290" w:type="dxa"/>
          </w:tcPr>
          <w:p w:rsidR="00894DAE" w:rsidRPr="00950A5E" w:rsidRDefault="00894DAE" w:rsidP="00BF2668">
            <w:pPr>
              <w:spacing w:before="60" w:after="60"/>
              <w:jc w:val="left"/>
              <w:rPr>
                <w:sz w:val="16"/>
                <w:szCs w:val="16"/>
                <w:lang w:val="fr-FR"/>
              </w:rPr>
            </w:pPr>
            <w:r w:rsidRPr="00950A5E">
              <w:rPr>
                <w:sz w:val="16"/>
                <w:szCs w:val="16"/>
                <w:lang w:val="fr-FR"/>
              </w:rPr>
              <w:t>Fragaria L.</w:t>
            </w:r>
          </w:p>
        </w:tc>
      </w:tr>
    </w:tbl>
    <w:p w:rsidR="00B43D13" w:rsidRPr="00C60FC3" w:rsidRDefault="00B43D13" w:rsidP="00BF2668">
      <w:pPr>
        <w:rPr>
          <w:rFonts w:cs="Arial"/>
          <w:snapToGrid w:val="0"/>
          <w:u w:val="single"/>
          <w:lang w:val="es-ES_tradnl"/>
        </w:rPr>
      </w:pPr>
    </w:p>
    <w:p w:rsidR="00B43D13" w:rsidRPr="00C60FC3" w:rsidRDefault="00B43D13" w:rsidP="00BF2668">
      <w:pPr>
        <w:numPr>
          <w:ilvl w:val="12"/>
          <w:numId w:val="0"/>
        </w:numPr>
        <w:tabs>
          <w:tab w:val="left" w:pos="5103"/>
        </w:tabs>
        <w:ind w:left="4536"/>
        <w:rPr>
          <w:i/>
          <w:lang w:val="es-ES_tradnl"/>
        </w:rPr>
      </w:pPr>
      <w:r w:rsidRPr="00C60FC3">
        <w:rPr>
          <w:i/>
          <w:lang w:val="es-ES_tradnl"/>
        </w:rPr>
        <w:fldChar w:fldCharType="begin"/>
      </w:r>
      <w:r w:rsidRPr="00C60FC3">
        <w:rPr>
          <w:i/>
          <w:lang w:val="es-ES_tradnl"/>
        </w:rPr>
        <w:instrText xml:space="preserve"> AUTONUM  </w:instrText>
      </w:r>
      <w:r w:rsidRPr="00C60FC3">
        <w:rPr>
          <w:i/>
          <w:lang w:val="es-ES_tradnl"/>
        </w:rPr>
        <w:fldChar w:fldCharType="end"/>
      </w:r>
      <w:r w:rsidRPr="00C60FC3">
        <w:rPr>
          <w:i/>
          <w:lang w:val="es-ES_tradnl"/>
        </w:rPr>
        <w:tab/>
        <w:t xml:space="preserve">Se invita al Consejo a </w:t>
      </w:r>
      <w:r w:rsidR="005378DF">
        <w:rPr>
          <w:i/>
          <w:lang w:val="es-ES_tradnl"/>
        </w:rPr>
        <w:t>tomar nota del presente informe.</w:t>
      </w:r>
    </w:p>
    <w:p w:rsidR="00B43D13" w:rsidRPr="00C60FC3" w:rsidRDefault="00B43D13" w:rsidP="005378DF">
      <w:pPr>
        <w:numPr>
          <w:ilvl w:val="12"/>
          <w:numId w:val="0"/>
        </w:numPr>
        <w:tabs>
          <w:tab w:val="left" w:pos="5103"/>
        </w:tabs>
        <w:spacing w:before="120"/>
        <w:ind w:left="4536"/>
        <w:jc w:val="right"/>
        <w:rPr>
          <w:lang w:val="es-ES_tradnl"/>
        </w:rPr>
      </w:pPr>
      <w:r w:rsidRPr="00C60FC3">
        <w:rPr>
          <w:lang w:val="es-ES_tradnl"/>
        </w:rPr>
        <w:t>[Siguen los Anexos]</w:t>
      </w:r>
    </w:p>
    <w:p w:rsidR="00B43D13" w:rsidRPr="00C60FC3" w:rsidRDefault="00B43D13" w:rsidP="00BF2668">
      <w:pPr>
        <w:rPr>
          <w:lang w:val="es-ES_tradnl"/>
        </w:rPr>
        <w:sectPr w:rsidR="00B43D13" w:rsidRPr="00C60FC3" w:rsidSect="002548AA">
          <w:headerReference w:type="default" r:id="rId11"/>
          <w:pgSz w:w="11907" w:h="16840" w:code="9"/>
          <w:pgMar w:top="510" w:right="1134" w:bottom="1134" w:left="1134" w:header="510" w:footer="680" w:gutter="0"/>
          <w:cols w:space="720"/>
          <w:titlePg/>
        </w:sectPr>
      </w:pPr>
    </w:p>
    <w:p w:rsidR="00B43D13" w:rsidRPr="00C60FC3" w:rsidRDefault="00B43D13" w:rsidP="00BF2668">
      <w:pPr>
        <w:jc w:val="center"/>
        <w:rPr>
          <w:lang w:val="es-ES_tradnl"/>
        </w:rPr>
      </w:pPr>
      <w:r w:rsidRPr="00C60FC3">
        <w:rPr>
          <w:lang w:val="es-ES_tradnl"/>
        </w:rPr>
        <w:t>C/47/2</w:t>
      </w:r>
    </w:p>
    <w:p w:rsidR="00B43D13" w:rsidRPr="00C60FC3" w:rsidRDefault="00B43D13" w:rsidP="00BF2668">
      <w:pPr>
        <w:jc w:val="center"/>
        <w:rPr>
          <w:lang w:val="es-ES_tradnl"/>
        </w:rPr>
      </w:pPr>
    </w:p>
    <w:p w:rsidR="00B43D13" w:rsidRPr="00C60FC3" w:rsidRDefault="00B43D13" w:rsidP="00BF2668">
      <w:pPr>
        <w:jc w:val="center"/>
        <w:rPr>
          <w:lang w:val="es-ES_tradnl"/>
        </w:rPr>
      </w:pPr>
      <w:r w:rsidRPr="00C60FC3">
        <w:rPr>
          <w:lang w:val="es-ES_tradnl"/>
        </w:rPr>
        <w:t>ANEXO I</w:t>
      </w:r>
    </w:p>
    <w:p w:rsidR="00B43D13" w:rsidRPr="00C60FC3" w:rsidRDefault="00B43D13" w:rsidP="00BF2668">
      <w:pPr>
        <w:jc w:val="center"/>
        <w:rPr>
          <w:lang w:val="es-ES_tradnl"/>
        </w:rPr>
      </w:pPr>
    </w:p>
    <w:p w:rsidR="00B43D13" w:rsidRPr="00C60FC3" w:rsidRDefault="00B43D13" w:rsidP="00BF2668">
      <w:pPr>
        <w:jc w:val="center"/>
        <w:rPr>
          <w:lang w:val="es-ES_tradnl"/>
        </w:rPr>
      </w:pPr>
    </w:p>
    <w:p w:rsidR="00B43D13" w:rsidRPr="00C60FC3" w:rsidRDefault="00B43D13" w:rsidP="00BF2668">
      <w:pPr>
        <w:spacing w:line="360" w:lineRule="auto"/>
        <w:jc w:val="center"/>
        <w:rPr>
          <w:szCs w:val="24"/>
          <w:lang w:val="es-ES_tradnl"/>
        </w:rPr>
      </w:pPr>
      <w:r w:rsidRPr="00C60FC3">
        <w:rPr>
          <w:szCs w:val="24"/>
          <w:lang w:val="es-ES_tradnl"/>
        </w:rPr>
        <w:t>MIEMBROS DE LA UNIÓN</w:t>
      </w:r>
    </w:p>
    <w:p w:rsidR="00B43D13" w:rsidRPr="00C60FC3" w:rsidRDefault="00B43D13" w:rsidP="00BF2668">
      <w:pPr>
        <w:jc w:val="center"/>
        <w:rPr>
          <w:lang w:val="es-ES_tradnl"/>
        </w:rPr>
      </w:pPr>
      <w:r w:rsidRPr="00C60FC3">
        <w:rPr>
          <w:szCs w:val="24"/>
          <w:lang w:val="es-ES_tradnl"/>
        </w:rPr>
        <w:t>31 de diciembre de 2012</w:t>
      </w:r>
      <w:r w:rsidRPr="00C60FC3">
        <w:rPr>
          <w:szCs w:val="24"/>
          <w:lang w:val="es-ES_tradnl"/>
        </w:rPr>
        <w:br/>
      </w:r>
    </w:p>
    <w:p w:rsidR="00B43D13" w:rsidRPr="00C60FC3" w:rsidRDefault="00B43D13" w:rsidP="00BF2668">
      <w:pPr>
        <w:jc w:val="center"/>
        <w:rPr>
          <w:lang w:val="es-ES_tradnl"/>
        </w:rPr>
      </w:pPr>
    </w:p>
    <w:p w:rsidR="00B43D13" w:rsidRPr="00C60FC3" w:rsidRDefault="00B43D13" w:rsidP="00BF2668">
      <w:pPr>
        <w:rPr>
          <w:lang w:val="es-ES_tradnl"/>
        </w:rPr>
      </w:pPr>
      <w:r w:rsidRPr="00C60FC3">
        <w:rPr>
          <w:lang w:val="es-ES_tradnl"/>
        </w:rPr>
        <w:t>En el presente documento se da cuenta de la situación de los miembros de la Unión respecto de las distintas actas del Convenio, al 31 de diciembre de 2012 (véanse los artículos 31 y 32 del Convenio de 1961, el artículo 32.1) del Acta de 1978 y el artículo 34.2) del Acta de 1991).</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- 1ª línea:</w:t>
      </w:r>
      <w:r w:rsidRPr="00C60FC3">
        <w:rPr>
          <w:lang w:val="es-ES_tradnl"/>
        </w:rPr>
        <w:tab/>
        <w:t>Convenio Internacional para la Protección de las Obtenciones Vegetales de 2 de diciembre de 1961</w:t>
      </w:r>
    </w:p>
    <w:p w:rsidR="00B43D13" w:rsidRPr="00C60FC3" w:rsidRDefault="00B43D13" w:rsidP="00BF2668">
      <w:pPr>
        <w:rPr>
          <w:lang w:val="es-ES_tradnl"/>
        </w:rPr>
      </w:pPr>
      <w:r w:rsidRPr="00C60FC3">
        <w:rPr>
          <w:lang w:val="es-ES_tradnl"/>
        </w:rPr>
        <w:t>- 2ª línea:</w:t>
      </w:r>
      <w:r w:rsidRPr="00C60FC3">
        <w:rPr>
          <w:lang w:val="es-ES_tradnl"/>
        </w:rPr>
        <w:tab/>
        <w:t>Acta adicional de 10 de noviembre de 1972</w:t>
      </w:r>
    </w:p>
    <w:p w:rsidR="00B43D13" w:rsidRPr="00C60FC3" w:rsidRDefault="00B43D13" w:rsidP="00BF2668">
      <w:pPr>
        <w:rPr>
          <w:lang w:val="es-ES_tradnl"/>
        </w:rPr>
      </w:pPr>
      <w:r w:rsidRPr="00C60FC3">
        <w:rPr>
          <w:lang w:val="es-ES_tradnl"/>
        </w:rPr>
        <w:t>- 3ª línea:</w:t>
      </w:r>
      <w:r w:rsidRPr="00C60FC3">
        <w:rPr>
          <w:lang w:val="es-ES_tradnl"/>
        </w:rPr>
        <w:tab/>
        <w:t>Acta de 23 de octubre de 1978</w:t>
      </w:r>
    </w:p>
    <w:p w:rsidR="00B43D13" w:rsidRPr="00C60FC3" w:rsidRDefault="00B43D13" w:rsidP="00BF2668">
      <w:pPr>
        <w:rPr>
          <w:lang w:val="es-ES_tradnl"/>
        </w:rPr>
      </w:pPr>
      <w:r w:rsidRPr="00C60FC3">
        <w:rPr>
          <w:lang w:val="es-ES_tradnl"/>
        </w:rPr>
        <w:t>- 4ª línea:</w:t>
      </w:r>
      <w:r w:rsidRPr="00C60FC3">
        <w:rPr>
          <w:lang w:val="es-ES_tradnl"/>
        </w:rPr>
        <w:tab/>
        <w:t>Acta de 19 de marzo de 1991</w:t>
      </w:r>
    </w:p>
    <w:p w:rsidR="00B43D13" w:rsidRPr="00C60FC3" w:rsidRDefault="00B43D13" w:rsidP="00BF2668">
      <w:pPr>
        <w:rPr>
          <w:rFonts w:cs="Arial"/>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807"/>
        <w:gridCol w:w="2258"/>
        <w:gridCol w:w="2258"/>
        <w:gridCol w:w="2259"/>
      </w:tblGrid>
      <w:tr w:rsidR="00B43D13" w:rsidRPr="00C60FC3" w:rsidTr="00A9165A">
        <w:trPr>
          <w:cantSplit/>
          <w:tblHeader/>
          <w:jc w:val="center"/>
        </w:trPr>
        <w:tc>
          <w:tcPr>
            <w:tcW w:w="2807" w:type="dxa"/>
            <w:shd w:val="pct10" w:color="auto" w:fill="FFFFFF"/>
            <w:vAlign w:val="center"/>
          </w:tcPr>
          <w:p w:rsidR="00B43D13" w:rsidRPr="00C60FC3" w:rsidRDefault="00B43D13" w:rsidP="00BF2668">
            <w:pPr>
              <w:spacing w:before="80" w:after="80"/>
              <w:jc w:val="left"/>
              <w:rPr>
                <w:rFonts w:cs="Arial"/>
                <w:lang w:val="es-ES_tradnl"/>
              </w:rPr>
            </w:pPr>
            <w:r w:rsidRPr="00C60FC3">
              <w:rPr>
                <w:rFonts w:cs="Arial"/>
                <w:lang w:val="es-ES_tradnl"/>
              </w:rPr>
              <w:t>Miembro</w:t>
            </w:r>
          </w:p>
        </w:tc>
        <w:tc>
          <w:tcPr>
            <w:tcW w:w="2258" w:type="dxa"/>
            <w:shd w:val="pct10" w:color="auto" w:fill="FFFFFF"/>
            <w:vAlign w:val="center"/>
          </w:tcPr>
          <w:p w:rsidR="00B43D13" w:rsidRPr="00C60FC3" w:rsidRDefault="00B43D13" w:rsidP="00BF2668">
            <w:pPr>
              <w:spacing w:before="80" w:after="80"/>
              <w:jc w:val="left"/>
              <w:rPr>
                <w:rFonts w:cs="Arial"/>
                <w:sz w:val="18"/>
                <w:lang w:val="es-ES_tradnl"/>
              </w:rPr>
            </w:pPr>
            <w:r w:rsidRPr="00C60FC3">
              <w:rPr>
                <w:rFonts w:cs="Arial"/>
                <w:sz w:val="18"/>
                <w:lang w:val="es-ES_tradnl"/>
              </w:rPr>
              <w:t>Fecha de la firma</w:t>
            </w:r>
          </w:p>
        </w:tc>
        <w:tc>
          <w:tcPr>
            <w:tcW w:w="2258" w:type="dxa"/>
            <w:shd w:val="pct10" w:color="auto" w:fill="FFFFFF"/>
            <w:vAlign w:val="center"/>
          </w:tcPr>
          <w:p w:rsidR="00B43D13" w:rsidRPr="00C60FC3" w:rsidRDefault="00B43D13" w:rsidP="00BF2668">
            <w:pPr>
              <w:spacing w:before="80" w:after="80"/>
              <w:jc w:val="left"/>
              <w:rPr>
                <w:rFonts w:cs="Arial"/>
                <w:sz w:val="18"/>
                <w:lang w:val="es-ES_tradnl"/>
              </w:rPr>
            </w:pPr>
            <w:r w:rsidRPr="00C60FC3">
              <w:rPr>
                <w:rFonts w:cs="Arial"/>
                <w:sz w:val="18"/>
                <w:lang w:val="es-ES_tradnl"/>
              </w:rPr>
              <w:t>Fecha del depósito del instrumento de ratificación, aceptación, aprobación o adhesión</w:t>
            </w:r>
          </w:p>
        </w:tc>
        <w:tc>
          <w:tcPr>
            <w:tcW w:w="2259" w:type="dxa"/>
            <w:shd w:val="pct10" w:color="auto" w:fill="FFFFFF"/>
            <w:vAlign w:val="center"/>
          </w:tcPr>
          <w:p w:rsidR="00B43D13" w:rsidRPr="00C60FC3" w:rsidRDefault="00B43D13" w:rsidP="00BF2668">
            <w:pPr>
              <w:spacing w:before="80" w:after="80"/>
              <w:jc w:val="left"/>
              <w:rPr>
                <w:rFonts w:cs="Arial"/>
                <w:sz w:val="18"/>
                <w:lang w:val="es-ES_tradnl"/>
              </w:rPr>
            </w:pPr>
            <w:r w:rsidRPr="00C60FC3">
              <w:rPr>
                <w:rFonts w:cs="Arial"/>
                <w:sz w:val="18"/>
                <w:lang w:val="es-ES_tradnl"/>
              </w:rPr>
              <w:t>Fecha de entrada en vigor</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Albania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15 de septiembre de 2005</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15 de octubre de 2005</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Alemania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2 de diciembre de 1961</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11 de julio de 1968</w:t>
            </w:r>
            <w:r w:rsidRPr="00C60FC3">
              <w:rPr>
                <w:rFonts w:cs="Arial"/>
                <w:sz w:val="18"/>
                <w:lang w:val="es-ES_tradnl"/>
              </w:rPr>
              <w:br/>
              <w:t>23 de julio de 1976</w:t>
            </w:r>
            <w:r w:rsidRPr="00C60FC3">
              <w:rPr>
                <w:rFonts w:cs="Arial"/>
                <w:sz w:val="18"/>
                <w:lang w:val="es-ES_tradnl"/>
              </w:rPr>
              <w:br/>
              <w:t>12 de marzo de 1986</w:t>
            </w:r>
            <w:r w:rsidRPr="00C60FC3">
              <w:rPr>
                <w:rFonts w:cs="Arial"/>
                <w:sz w:val="18"/>
                <w:lang w:val="es-ES_tradnl"/>
              </w:rPr>
              <w:br/>
              <w:t>25 de junio de 1998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10 de agosto de 1968</w:t>
            </w:r>
            <w:r w:rsidRPr="00C60FC3">
              <w:rPr>
                <w:rFonts w:cs="Arial"/>
                <w:sz w:val="18"/>
                <w:lang w:val="es-ES_tradnl"/>
              </w:rPr>
              <w:br/>
              <w:t>11 de febrero de 1977</w:t>
            </w:r>
            <w:r w:rsidRPr="00C60FC3">
              <w:rPr>
                <w:rFonts w:cs="Arial"/>
                <w:sz w:val="18"/>
                <w:lang w:val="es-ES_tradnl"/>
              </w:rPr>
              <w:br/>
              <w:t>12 de abril de 1986</w:t>
            </w:r>
            <w:r w:rsidRPr="00C60FC3">
              <w:rPr>
                <w:rFonts w:cs="Arial"/>
                <w:sz w:val="18"/>
                <w:lang w:val="es-ES_tradnl"/>
              </w:rPr>
              <w:br/>
              <w:t>25 de julio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Argentina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25 de noviembre de 1994</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25 de diciembre de 1994</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Australia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 de febrero de 1989</w:t>
            </w:r>
            <w:r w:rsidRPr="00C60FC3">
              <w:rPr>
                <w:rFonts w:cs="Arial"/>
                <w:sz w:val="18"/>
                <w:lang w:val="es-ES_tradnl"/>
              </w:rPr>
              <w:br/>
              <w:t>20 de diciembre de 1999</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 de marzo de 1989</w:t>
            </w:r>
            <w:r w:rsidRPr="00C60FC3">
              <w:rPr>
                <w:rFonts w:cs="Arial"/>
                <w:sz w:val="18"/>
                <w:lang w:val="es-ES_tradnl"/>
              </w:rPr>
              <w:br/>
              <w:t>20 de enero de 2000</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Austria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14 de junio de 1994</w:t>
            </w:r>
            <w:r w:rsidRPr="00C60FC3">
              <w:rPr>
                <w:rFonts w:cs="Arial"/>
                <w:sz w:val="18"/>
                <w:lang w:val="es-ES_tradnl"/>
              </w:rPr>
              <w:br/>
              <w:t>1 de junio de 2004</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14 de julio de 1994</w:t>
            </w:r>
            <w:r w:rsidRPr="00C60FC3">
              <w:rPr>
                <w:rFonts w:cs="Arial"/>
                <w:sz w:val="18"/>
                <w:lang w:val="es-ES_tradnl"/>
              </w:rPr>
              <w:br/>
              <w:t>1 de julio de 2004</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Azerbaiyán</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9 de noviembre de 2004</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9 de diciembre de 2004</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Belarús</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5 de diciembre de 2002</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5 de enero de 2003</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Bélgica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2 de diciembre de 1961</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5 de noviembre de 1976</w:t>
            </w:r>
            <w:r w:rsidRPr="00C60FC3">
              <w:rPr>
                <w:rFonts w:cs="Arial"/>
                <w:sz w:val="18"/>
                <w:lang w:val="es-ES_tradnl"/>
              </w:rPr>
              <w:br/>
              <w:t>5 de noviembre de 1976</w:t>
            </w:r>
            <w:r w:rsidRPr="00C60FC3">
              <w:rPr>
                <w:rFonts w:cs="Arial"/>
                <w:sz w:val="18"/>
                <w:lang w:val="es-ES_tradnl"/>
              </w:rPr>
              <w:br/>
              <w:t>-</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5 de diciembre de 1976</w:t>
            </w:r>
            <w:r w:rsidRPr="00C60FC3">
              <w:rPr>
                <w:rFonts w:cs="Arial"/>
                <w:sz w:val="18"/>
                <w:lang w:val="es-ES_tradnl"/>
              </w:rPr>
              <w:br/>
              <w:t>11 de febrero de 1977</w:t>
            </w:r>
            <w:r w:rsidRPr="00C60FC3">
              <w:rPr>
                <w:rFonts w:cs="Arial"/>
                <w:sz w:val="18"/>
                <w:lang w:val="es-ES_tradnl"/>
              </w:rPr>
              <w:br/>
              <w:t>-</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Bolivia (Estado Plurinacional de)</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21 de abril de 1999</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21 de mayo de 1999</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Brasil</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abril de 1999</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mayo de 1999</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Bulgaria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marzo de 1998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abril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Canadá</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31 de octubre de 1979</w:t>
            </w:r>
            <w:r w:rsidRPr="00C60FC3">
              <w:rPr>
                <w:rFonts w:cs="Arial"/>
                <w:sz w:val="18"/>
                <w:lang w:val="es-ES_tradnl"/>
              </w:rPr>
              <w:br/>
              <w:t>9 de marzo de 1992</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4 de febrero de 1991</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4 de marzo de 1991</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Chile</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5 de diciembre de 1995</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5 de enero de 1996</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China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marzo de 1999</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abril de 1999</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pStyle w:val="CommentText"/>
              <w:spacing w:before="80" w:after="80"/>
              <w:rPr>
                <w:rFonts w:ascii="Arial" w:hAnsi="Arial" w:cs="Arial"/>
                <w:sz w:val="20"/>
                <w:lang w:val="es-ES_tradnl"/>
              </w:rPr>
            </w:pPr>
            <w:r w:rsidRPr="00C60FC3">
              <w:rPr>
                <w:rFonts w:ascii="Arial" w:hAnsi="Arial" w:cs="Arial"/>
                <w:sz w:val="20"/>
                <w:lang w:val="es-ES_tradnl"/>
              </w:rPr>
              <w:t>Colombia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agosto de 1996</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septiembre de 1996</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Costa Rica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12 de diciembre de 2008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12 de enero de 2009</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Croacia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 de agosto de 2001</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 de septiembre de 2001</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Dinamarca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26 de noviembre de 1962</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6 de septiembre de 1968</w:t>
            </w:r>
            <w:r w:rsidRPr="00C60FC3">
              <w:rPr>
                <w:rFonts w:cs="Arial"/>
                <w:sz w:val="18"/>
                <w:lang w:val="es-ES_tradnl"/>
              </w:rPr>
              <w:br/>
              <w:t>8 de febrero de 1974</w:t>
            </w:r>
            <w:r w:rsidRPr="00C60FC3">
              <w:rPr>
                <w:rFonts w:cs="Arial"/>
                <w:sz w:val="18"/>
                <w:lang w:val="es-ES_tradnl"/>
              </w:rPr>
              <w:br/>
              <w:t>8 de octubre de 1981</w:t>
            </w:r>
            <w:r w:rsidRPr="00C60FC3">
              <w:rPr>
                <w:rFonts w:cs="Arial"/>
                <w:sz w:val="18"/>
                <w:lang w:val="es-ES_tradnl"/>
              </w:rPr>
              <w:br/>
              <w:t>26 de abril de 1996</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6 de octubre de 1968</w:t>
            </w:r>
            <w:r w:rsidRPr="00C60FC3">
              <w:rPr>
                <w:rFonts w:cs="Arial"/>
                <w:sz w:val="18"/>
                <w:lang w:val="es-ES_tradnl"/>
              </w:rPr>
              <w:br/>
              <w:t>11 de febrero de 1977</w:t>
            </w:r>
            <w:r w:rsidRPr="00C60FC3">
              <w:rPr>
                <w:rFonts w:cs="Arial"/>
                <w:sz w:val="18"/>
                <w:lang w:val="es-ES_tradnl"/>
              </w:rPr>
              <w:br/>
              <w:t>8 de noviembre de 1981</w:t>
            </w:r>
            <w:r w:rsidRPr="00C60FC3">
              <w:rPr>
                <w:rFonts w:cs="Arial"/>
                <w:sz w:val="18"/>
                <w:lang w:val="es-ES_tradnl"/>
              </w:rPr>
              <w:br/>
              <w:t>24 de abril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Ecuador</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8 de julio de 1997</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8 de agosto de 1997</w:t>
            </w:r>
            <w:r w:rsidRPr="00C60FC3">
              <w:rPr>
                <w:rFonts w:cs="Arial"/>
                <w:sz w:val="18"/>
                <w:lang w:val="es-ES_tradnl"/>
              </w:rPr>
              <w:br/>
              <w:t>-</w:t>
            </w:r>
          </w:p>
        </w:tc>
      </w:tr>
      <w:tr w:rsidR="00B43D13" w:rsidRPr="00C60FC3" w:rsidTr="00171460">
        <w:trPr>
          <w:cantSplit/>
          <w:jc w:val="center"/>
        </w:trPr>
        <w:tc>
          <w:tcPr>
            <w:tcW w:w="2807" w:type="dxa"/>
          </w:tcPr>
          <w:p w:rsidR="00B43D13" w:rsidRPr="00C60FC3" w:rsidRDefault="00C60FC3" w:rsidP="00BF2668">
            <w:pPr>
              <w:spacing w:before="80" w:after="80"/>
              <w:jc w:val="left"/>
              <w:rPr>
                <w:rFonts w:cs="Arial"/>
                <w:lang w:val="es-ES_tradnl"/>
              </w:rPr>
            </w:pPr>
            <w:r w:rsidRPr="00C60FC3">
              <w:rPr>
                <w:rFonts w:cs="Arial"/>
                <w:lang w:val="es-ES_tradnl"/>
              </w:rPr>
              <w:t>Eslovaqu</w:t>
            </w:r>
            <w:r w:rsidRPr="00C60FC3">
              <w:rPr>
                <w:rStyle w:val="FootnoteReference"/>
                <w:rFonts w:cs="Arial"/>
                <w:lang w:val="es-ES_tradnl"/>
              </w:rPr>
              <w:t>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12 de mayo de 2009</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 de enero de 1993</w:t>
            </w:r>
            <w:r w:rsidRPr="00C60FC3">
              <w:rPr>
                <w:rFonts w:cs="Arial"/>
                <w:sz w:val="18"/>
                <w:lang w:val="es-ES_tradnl"/>
              </w:rPr>
              <w:br/>
              <w:t>12 de junio de 2009</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Eslovenia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29 de junio de 1999</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29 de julio de 1999</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España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18 de abril de 1980</w:t>
            </w:r>
            <w:r w:rsidRPr="00C60FC3">
              <w:rPr>
                <w:rFonts w:cs="Arial"/>
                <w:sz w:val="18"/>
                <w:lang w:val="es-ES_tradnl"/>
              </w:rPr>
              <w:br/>
              <w:t>18 de abril de 1980</w:t>
            </w:r>
            <w:r w:rsidRPr="00C60FC3">
              <w:rPr>
                <w:rFonts w:cs="Arial"/>
                <w:sz w:val="18"/>
                <w:lang w:val="es-ES_tradnl"/>
              </w:rPr>
              <w:br/>
              <w:t>-</w:t>
            </w:r>
            <w:r w:rsidRPr="00C60FC3">
              <w:rPr>
                <w:rFonts w:cs="Arial"/>
                <w:sz w:val="18"/>
                <w:lang w:val="es-ES_tradnl"/>
              </w:rPr>
              <w:br/>
              <w:t>18 de junio de 2007</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18 de mayo de 1980</w:t>
            </w:r>
            <w:r w:rsidRPr="00C60FC3">
              <w:rPr>
                <w:rFonts w:cs="Arial"/>
                <w:sz w:val="18"/>
                <w:lang w:val="es-ES_tradnl"/>
              </w:rPr>
              <w:br/>
              <w:t>18 de mayo de 1980</w:t>
            </w:r>
            <w:r w:rsidRPr="00C60FC3">
              <w:rPr>
                <w:rFonts w:cs="Arial"/>
                <w:sz w:val="18"/>
                <w:lang w:val="es-ES_tradnl"/>
              </w:rPr>
              <w:br/>
              <w:t>-</w:t>
            </w:r>
            <w:r w:rsidRPr="00C60FC3">
              <w:rPr>
                <w:rFonts w:cs="Arial"/>
                <w:sz w:val="18"/>
                <w:lang w:val="es-ES_tradnl"/>
              </w:rPr>
              <w:br/>
              <w:t>18 de julio de 2007</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Estados Unidos de América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octubre de 1978</w:t>
            </w:r>
            <w:r w:rsidRPr="00C60FC3">
              <w:rPr>
                <w:rFonts w:cs="Arial"/>
                <w:sz w:val="18"/>
                <w:lang w:val="es-ES_tradnl"/>
              </w:rPr>
              <w:br/>
              <w:t>25 de octubre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12 de noviembre de 1980</w:t>
            </w:r>
            <w:r w:rsidRPr="00C60FC3">
              <w:rPr>
                <w:rFonts w:cs="Arial"/>
                <w:sz w:val="18"/>
                <w:lang w:val="es-ES_tradnl"/>
              </w:rPr>
              <w:br/>
              <w:t>22 de enero de 1999</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8 de noviembre de 1981</w:t>
            </w:r>
            <w:r w:rsidRPr="00C60FC3">
              <w:rPr>
                <w:rFonts w:cs="Arial"/>
                <w:sz w:val="18"/>
                <w:lang w:val="es-ES_tradnl"/>
              </w:rPr>
              <w:br/>
              <w:t>22 de febrero de 1999</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Estonia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agosto de 2000</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septiembre de 2000</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kern w:val="2"/>
                <w:lang w:val="es-ES_tradnl"/>
              </w:rPr>
              <w:t>Federación de Rusia</w:t>
            </w:r>
          </w:p>
        </w:tc>
        <w:tc>
          <w:tcPr>
            <w:tcW w:w="2258" w:type="dxa"/>
          </w:tcPr>
          <w:p w:rsidR="00B43D13" w:rsidRPr="00C60FC3" w:rsidRDefault="00B43D13" w:rsidP="00BF2668">
            <w:pPr>
              <w:spacing w:before="80" w:after="80"/>
              <w:jc w:val="left"/>
              <w:rPr>
                <w:rFonts w:cs="Arial"/>
                <w:sz w:val="18"/>
                <w:lang w:val="es-ES_tradnl"/>
              </w:rPr>
            </w:pPr>
            <w:r w:rsidRPr="00C60FC3">
              <w:rPr>
                <w:rFonts w:cs="Arial"/>
                <w:kern w:val="2"/>
                <w:sz w:val="18"/>
                <w:lang w:val="es-ES_tradnl"/>
              </w:rPr>
              <w:t>-</w:t>
            </w:r>
            <w:r w:rsidRPr="00C60FC3">
              <w:rPr>
                <w:rFonts w:cs="Arial"/>
                <w:kern w:val="2"/>
                <w:sz w:val="18"/>
                <w:lang w:val="es-ES_tradnl"/>
              </w:rPr>
              <w:br/>
              <w:t>-</w:t>
            </w:r>
            <w:r w:rsidRPr="00C60FC3">
              <w:rPr>
                <w:rFonts w:cs="Arial"/>
                <w:kern w:val="2"/>
                <w:sz w:val="18"/>
                <w:lang w:val="es-ES_tradnl"/>
              </w:rPr>
              <w:br/>
              <w:t>-</w:t>
            </w:r>
            <w:r w:rsidRPr="00C60FC3">
              <w:rPr>
                <w:rFonts w:cs="Arial"/>
                <w:kern w:val="2"/>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kern w:val="2"/>
                <w:sz w:val="18"/>
                <w:lang w:val="es-ES_tradnl"/>
              </w:rPr>
              <w:t>-</w:t>
            </w:r>
            <w:r w:rsidRPr="00C60FC3">
              <w:rPr>
                <w:rFonts w:cs="Arial"/>
                <w:kern w:val="2"/>
                <w:sz w:val="18"/>
                <w:lang w:val="es-ES_tradnl"/>
              </w:rPr>
              <w:br/>
              <w:t>-</w:t>
            </w:r>
            <w:r w:rsidRPr="00C60FC3">
              <w:rPr>
                <w:rFonts w:cs="Arial"/>
                <w:kern w:val="2"/>
                <w:sz w:val="18"/>
                <w:lang w:val="es-ES_tradnl"/>
              </w:rPr>
              <w:br/>
              <w:t>-</w:t>
            </w:r>
            <w:r w:rsidRPr="00C60FC3">
              <w:rPr>
                <w:rFonts w:cs="Arial"/>
                <w:kern w:val="2"/>
                <w:sz w:val="18"/>
                <w:lang w:val="es-ES_tradnl"/>
              </w:rPr>
              <w:br/>
              <w:t>24 de marzo de 1998</w:t>
            </w:r>
          </w:p>
        </w:tc>
        <w:tc>
          <w:tcPr>
            <w:tcW w:w="2259" w:type="dxa"/>
          </w:tcPr>
          <w:p w:rsidR="00B43D13" w:rsidRPr="00C60FC3" w:rsidRDefault="00B43D13" w:rsidP="00BF2668">
            <w:pPr>
              <w:spacing w:before="80" w:after="80"/>
              <w:jc w:val="left"/>
              <w:rPr>
                <w:rFonts w:cs="Arial"/>
                <w:sz w:val="18"/>
                <w:lang w:val="es-ES_tradnl"/>
              </w:rPr>
            </w:pPr>
            <w:r w:rsidRPr="00C60FC3">
              <w:rPr>
                <w:rFonts w:cs="Arial"/>
                <w:kern w:val="2"/>
                <w:sz w:val="18"/>
                <w:lang w:val="es-ES_tradnl"/>
              </w:rPr>
              <w:t>-</w:t>
            </w:r>
            <w:r w:rsidRPr="00C60FC3">
              <w:rPr>
                <w:rFonts w:cs="Arial"/>
                <w:kern w:val="2"/>
                <w:sz w:val="18"/>
                <w:lang w:val="es-ES_tradnl"/>
              </w:rPr>
              <w:br/>
              <w:t>-</w:t>
            </w:r>
            <w:r w:rsidRPr="00C60FC3">
              <w:rPr>
                <w:rFonts w:cs="Arial"/>
                <w:kern w:val="2"/>
                <w:sz w:val="18"/>
                <w:lang w:val="es-ES_tradnl"/>
              </w:rPr>
              <w:br/>
              <w:t>-</w:t>
            </w:r>
            <w:r w:rsidRPr="00C60FC3">
              <w:rPr>
                <w:rFonts w:cs="Arial"/>
                <w:kern w:val="2"/>
                <w:sz w:val="18"/>
                <w:lang w:val="es-ES_tradnl"/>
              </w:rPr>
              <w:br/>
              <w:t>24 de abril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Finlandia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16 de marzo de 1993</w:t>
            </w:r>
            <w:r w:rsidRPr="00C60FC3">
              <w:rPr>
                <w:rFonts w:cs="Arial"/>
                <w:sz w:val="18"/>
                <w:lang w:val="es-ES_tradnl"/>
              </w:rPr>
              <w:br/>
              <w:t>20 de junio de 2001</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16 de abril de 1993</w:t>
            </w:r>
            <w:r w:rsidRPr="00C60FC3">
              <w:rPr>
                <w:rFonts w:cs="Arial"/>
                <w:sz w:val="18"/>
                <w:lang w:val="es-ES_tradnl"/>
              </w:rPr>
              <w:br/>
              <w:t>20 de julio de 2001</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Francia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2 de diciembre de 1961</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3 de septiembre de 1971</w:t>
            </w:r>
            <w:r w:rsidRPr="00C60FC3">
              <w:rPr>
                <w:rFonts w:cs="Arial"/>
                <w:sz w:val="18"/>
                <w:lang w:val="es-ES_tradnl"/>
              </w:rPr>
              <w:br/>
              <w:t>22 de enero de 1975</w:t>
            </w:r>
            <w:r w:rsidRPr="00C60FC3">
              <w:rPr>
                <w:rFonts w:cs="Arial"/>
                <w:sz w:val="18"/>
                <w:lang w:val="es-ES_tradnl"/>
              </w:rPr>
              <w:br/>
              <w:t>17 de febrero de 1983</w:t>
            </w:r>
            <w:r w:rsidRPr="00C60FC3">
              <w:rPr>
                <w:rFonts w:cs="Arial"/>
                <w:sz w:val="18"/>
                <w:lang w:val="es-ES_tradnl"/>
              </w:rPr>
              <w:br/>
              <w:t>27 de abril de 2012</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3 de octubre de 1971</w:t>
            </w:r>
            <w:r w:rsidRPr="00C60FC3">
              <w:rPr>
                <w:rFonts w:cs="Arial"/>
                <w:sz w:val="18"/>
                <w:lang w:val="es-ES_tradnl"/>
              </w:rPr>
              <w:br/>
              <w:t>11 de febrero de 1977</w:t>
            </w:r>
            <w:r w:rsidRPr="00C60FC3">
              <w:rPr>
                <w:rFonts w:cs="Arial"/>
                <w:sz w:val="18"/>
                <w:lang w:val="es-ES_tradnl"/>
              </w:rPr>
              <w:br/>
              <w:t>17 de marzo de 1983</w:t>
            </w:r>
            <w:r w:rsidRPr="00C60FC3">
              <w:rPr>
                <w:rFonts w:cs="Arial"/>
                <w:sz w:val="18"/>
                <w:lang w:val="es-ES_tradnl"/>
              </w:rPr>
              <w:br/>
              <w:t>27 de mayo de 2012</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Georgia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29 de octubre de 2008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29 de noviembre de 2008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Hungría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16 de marzo de 1983</w:t>
            </w:r>
            <w:r w:rsidRPr="00C60FC3">
              <w:rPr>
                <w:rFonts w:cs="Arial"/>
                <w:sz w:val="18"/>
                <w:lang w:val="es-ES_tradnl"/>
              </w:rPr>
              <w:br/>
              <w:t>1 de diciembre de 2002</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16 de abril de 1983</w:t>
            </w:r>
            <w:r w:rsidRPr="00C60FC3">
              <w:rPr>
                <w:rFonts w:cs="Arial"/>
                <w:sz w:val="18"/>
                <w:lang w:val="es-ES_tradnl"/>
              </w:rPr>
              <w:br/>
              <w:t>1 de enero de 2003</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Irlanda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27 de septiembre de 1979</w:t>
            </w:r>
            <w:r w:rsidRPr="00C60FC3">
              <w:rPr>
                <w:rFonts w:cs="Arial"/>
                <w:sz w:val="18"/>
                <w:lang w:val="es-ES_tradnl"/>
              </w:rPr>
              <w:br/>
              <w:t>21 de febrero de 1992</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19 de mayo de 1981</w:t>
            </w:r>
            <w:r w:rsidRPr="00C60FC3">
              <w:rPr>
                <w:rFonts w:cs="Arial"/>
                <w:sz w:val="18"/>
                <w:lang w:val="es-ES_tradnl"/>
              </w:rPr>
              <w:br/>
              <w:t>8 de diciembre de 2011</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8 de noviembre de 1981</w:t>
            </w:r>
            <w:r w:rsidRPr="00C60FC3">
              <w:rPr>
                <w:rFonts w:cs="Arial"/>
                <w:sz w:val="18"/>
                <w:lang w:val="es-ES_tradnl"/>
              </w:rPr>
              <w:br/>
              <w:t>8 de enero de 2012</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Islandia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3 de abril de 2006</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3 de mayo de 2006</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Israel</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23 de octubre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12 de noviembre de 1979</w:t>
            </w:r>
            <w:r w:rsidRPr="00C60FC3">
              <w:rPr>
                <w:rFonts w:cs="Arial"/>
                <w:sz w:val="18"/>
                <w:lang w:val="es-ES_tradnl"/>
              </w:rPr>
              <w:br/>
              <w:t>12 de noviembre de 1979</w:t>
            </w:r>
            <w:r w:rsidRPr="00C60FC3">
              <w:rPr>
                <w:rFonts w:cs="Arial"/>
                <w:sz w:val="18"/>
                <w:lang w:val="es-ES_tradnl"/>
              </w:rPr>
              <w:br/>
              <w:t>12 de abril de 1984</w:t>
            </w:r>
            <w:r w:rsidRPr="00C60FC3">
              <w:rPr>
                <w:rFonts w:cs="Arial"/>
                <w:sz w:val="18"/>
                <w:lang w:val="es-ES_tradnl"/>
              </w:rPr>
              <w:br/>
              <w:t>3 de junio de 1996</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12 de diciembre de 1979</w:t>
            </w:r>
            <w:r w:rsidRPr="00C60FC3">
              <w:rPr>
                <w:rFonts w:cs="Arial"/>
                <w:sz w:val="18"/>
                <w:lang w:val="es-ES_tradnl"/>
              </w:rPr>
              <w:br/>
              <w:t>12 de diciembre de 1979</w:t>
            </w:r>
            <w:r w:rsidRPr="00C60FC3">
              <w:rPr>
                <w:rFonts w:cs="Arial"/>
                <w:sz w:val="18"/>
                <w:lang w:val="es-ES_tradnl"/>
              </w:rPr>
              <w:br/>
              <w:t>12 de mayo de 1984</w:t>
            </w:r>
            <w:r w:rsidRPr="00C60FC3">
              <w:rPr>
                <w:rFonts w:cs="Arial"/>
                <w:sz w:val="18"/>
                <w:lang w:val="es-ES_tradnl"/>
              </w:rPr>
              <w:br/>
              <w:t>24 de abril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Italia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2 de diciembre de 1961</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 de junio de 1977</w:t>
            </w:r>
            <w:r w:rsidRPr="00C60FC3">
              <w:rPr>
                <w:rFonts w:cs="Arial"/>
                <w:sz w:val="18"/>
                <w:lang w:val="es-ES_tradnl"/>
              </w:rPr>
              <w:br/>
              <w:t>1 de junio de 1977</w:t>
            </w:r>
            <w:r w:rsidRPr="00C60FC3">
              <w:rPr>
                <w:rFonts w:cs="Arial"/>
                <w:sz w:val="18"/>
                <w:lang w:val="es-ES_tradnl"/>
              </w:rPr>
              <w:br/>
              <w:t>28 de abril de 1986</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 de julio de 1977</w:t>
            </w:r>
            <w:r w:rsidRPr="00C60FC3">
              <w:rPr>
                <w:rFonts w:cs="Arial"/>
                <w:sz w:val="18"/>
                <w:lang w:val="es-ES_tradnl"/>
              </w:rPr>
              <w:br/>
              <w:t>1 de julio de 1977</w:t>
            </w:r>
            <w:r w:rsidRPr="00C60FC3">
              <w:rPr>
                <w:rFonts w:cs="Arial"/>
                <w:sz w:val="18"/>
                <w:lang w:val="es-ES_tradnl"/>
              </w:rPr>
              <w:br/>
              <w:t>28 de mayo de 1986</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Japón</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17 de octubre de 1979</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 de agosto de 1982</w:t>
            </w:r>
            <w:r w:rsidRPr="00C60FC3">
              <w:rPr>
                <w:rFonts w:cs="Arial"/>
                <w:sz w:val="18"/>
                <w:lang w:val="es-ES_tradnl"/>
              </w:rPr>
              <w:br/>
              <w:t>24 de noviembre de 1998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 de septiembre de 1982</w:t>
            </w:r>
            <w:r w:rsidRPr="00C60FC3">
              <w:rPr>
                <w:rFonts w:cs="Arial"/>
                <w:sz w:val="18"/>
                <w:lang w:val="es-ES_tradnl"/>
              </w:rPr>
              <w:br/>
              <w:t>24 de diciembre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Jordania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septiembre de 2004</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octubre de 2004</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Kenya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abril de 1999</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mayo de 1999</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Kirguistán</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26 de mayo de 2000</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26 de junio de 2000</w:t>
            </w:r>
          </w:p>
        </w:tc>
      </w:tr>
      <w:tr w:rsidR="00B43D13" w:rsidRPr="00C60FC3" w:rsidTr="0028485F">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La ex República Yugoslava de Macedonia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4 de abril de 2011</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4 de mayo de 2011</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Letonia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br/>
              <w:t>-</w:t>
            </w:r>
            <w:r w:rsidRPr="00C60FC3">
              <w:rPr>
                <w:rFonts w:cs="Arial"/>
                <w:sz w:val="18"/>
                <w:lang w:val="es-ES_tradnl"/>
              </w:rPr>
              <w:br/>
              <w:t>-</w:t>
            </w:r>
            <w:r w:rsidRPr="00C60FC3">
              <w:rPr>
                <w:rFonts w:cs="Arial"/>
                <w:sz w:val="18"/>
                <w:lang w:val="es-ES_tradnl"/>
              </w:rPr>
              <w:br/>
              <w:t>30 de julio de 2002</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30 de agosto de 2002</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Lituania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br/>
              <w:t>-</w:t>
            </w:r>
            <w:r w:rsidRPr="00C60FC3">
              <w:rPr>
                <w:rFonts w:cs="Arial"/>
                <w:sz w:val="18"/>
                <w:lang w:val="es-ES_tradnl"/>
              </w:rPr>
              <w:br/>
              <w:t>-</w:t>
            </w:r>
            <w:r w:rsidRPr="00C60FC3">
              <w:rPr>
                <w:rFonts w:cs="Arial"/>
                <w:sz w:val="18"/>
                <w:lang w:val="es-ES_tradnl"/>
              </w:rPr>
              <w:br/>
              <w:t>10 de noviembre de 2003</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10 de diciembre de 2003</w:t>
            </w:r>
          </w:p>
        </w:tc>
      </w:tr>
      <w:tr w:rsidR="00B43D13" w:rsidRPr="00C60FC3" w:rsidTr="008F406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Marruecos</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br/>
              <w:t>-</w:t>
            </w:r>
            <w:r w:rsidRPr="00C60FC3">
              <w:rPr>
                <w:rFonts w:cs="Arial"/>
                <w:sz w:val="18"/>
                <w:lang w:val="es-ES_tradnl"/>
              </w:rPr>
              <w:br/>
              <w:t>-</w:t>
            </w:r>
            <w:r w:rsidRPr="00C60FC3">
              <w:rPr>
                <w:rFonts w:cs="Arial"/>
                <w:sz w:val="18"/>
                <w:lang w:val="es-ES_tradnl"/>
              </w:rPr>
              <w:br/>
              <w:t>8 de septiembre de 2006</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8 de octubre de 2006</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México</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25 de julio de 1979</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9 de julio de 1997</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9 de agosto de 1997</w:t>
            </w:r>
            <w:r w:rsidRPr="00C60FC3">
              <w:rPr>
                <w:rFonts w:cs="Arial"/>
                <w:sz w:val="18"/>
                <w:lang w:val="es-ES_tradnl"/>
              </w:rPr>
              <w:br/>
              <w:t>-</w:t>
            </w:r>
          </w:p>
        </w:tc>
      </w:tr>
      <w:tr w:rsidR="00B43D13" w:rsidRPr="00C60FC3" w:rsidTr="00E527FD">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Nicaragua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6 de agosto de 2001</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6 de septiembre de 2001</w:t>
            </w:r>
            <w:r w:rsidRPr="00C60FC3">
              <w:rPr>
                <w:rFonts w:cs="Arial"/>
                <w:sz w:val="18"/>
                <w:lang w:val="es-ES_tradnl"/>
              </w:rPr>
              <w:br/>
              <w:t>-</w:t>
            </w:r>
          </w:p>
        </w:tc>
      </w:tr>
      <w:tr w:rsidR="00B43D13" w:rsidRPr="00C60FC3" w:rsidTr="00E527FD">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Noruega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agosto de 1993</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septiembre de 1993</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Nueva Zelandia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25 de julio de 1979</w:t>
            </w:r>
            <w:r w:rsidRPr="00C60FC3">
              <w:rPr>
                <w:rFonts w:cs="Arial"/>
                <w:sz w:val="18"/>
                <w:lang w:val="es-ES_tradnl"/>
              </w:rPr>
              <w:br/>
              <w:t>19 de diciembre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 de noviembre de 1980</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8 de noviembre de 1981</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Omán</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22 de octubre de 2009</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22 de noviembre de 2009</w:t>
            </w:r>
          </w:p>
        </w:tc>
      </w:tr>
      <w:tr w:rsidR="00B43D13" w:rsidRPr="00C60FC3" w:rsidTr="0028485F">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Países Bajos</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2 de diciembre de 1961</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8 de agosto de 1967</w:t>
            </w:r>
            <w:r w:rsidRPr="00C60FC3">
              <w:rPr>
                <w:rFonts w:cs="Arial"/>
                <w:sz w:val="18"/>
                <w:lang w:val="es-ES_tradnl"/>
              </w:rPr>
              <w:br/>
              <w:t>12 de enero de 1977</w:t>
            </w:r>
            <w:r w:rsidRPr="00C60FC3">
              <w:rPr>
                <w:rFonts w:cs="Arial"/>
                <w:sz w:val="18"/>
                <w:lang w:val="es-ES_tradnl"/>
              </w:rPr>
              <w:br/>
              <w:t>2 de agosto de 1984</w:t>
            </w:r>
            <w:r w:rsidRPr="00C60FC3">
              <w:rPr>
                <w:rFonts w:cs="Arial"/>
                <w:sz w:val="18"/>
                <w:lang w:val="es-ES_tradnl"/>
              </w:rPr>
              <w:br/>
              <w:t>14 de octubre de 1996</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10 de agosto de 1968</w:t>
            </w:r>
            <w:r w:rsidRPr="00C60FC3">
              <w:rPr>
                <w:rFonts w:cs="Arial"/>
                <w:sz w:val="18"/>
                <w:lang w:val="es-ES_tradnl"/>
              </w:rPr>
              <w:br/>
              <w:t>11 de febrero de 1977</w:t>
            </w:r>
            <w:r w:rsidRPr="00C60FC3">
              <w:rPr>
                <w:rFonts w:cs="Arial"/>
                <w:sz w:val="18"/>
                <w:lang w:val="es-ES_tradnl"/>
              </w:rPr>
              <w:br/>
              <w:t>2 de septiembre de 1984</w:t>
            </w:r>
            <w:r w:rsidRPr="00C60FC3">
              <w:rPr>
                <w:rFonts w:cs="Arial"/>
                <w:sz w:val="18"/>
                <w:lang w:val="es-ES_tradnl"/>
              </w:rPr>
              <w:br/>
              <w:t>24 de abril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Panamá</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abril de 1999</w:t>
            </w:r>
            <w:r w:rsidRPr="00C60FC3">
              <w:rPr>
                <w:rFonts w:cs="Arial"/>
                <w:sz w:val="18"/>
                <w:lang w:val="es-ES_tradnl"/>
              </w:rPr>
              <w:br/>
              <w:t>22 de octubre de 2012</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mayo de 1999</w:t>
            </w:r>
            <w:r w:rsidRPr="00C60FC3">
              <w:rPr>
                <w:rFonts w:cs="Arial"/>
                <w:sz w:val="18"/>
                <w:lang w:val="es-ES_tradnl"/>
              </w:rPr>
              <w:br/>
              <w:t>22 de noviembre de 2012</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Paraguay</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8 de enero de 1997</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8 de febrero de 1997</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Perú</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8 de julio de 2011</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8 de agosto de 2011</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Polonia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11 de octubre de 1989</w:t>
            </w:r>
            <w:r w:rsidRPr="00C60FC3">
              <w:rPr>
                <w:rFonts w:cs="Arial"/>
                <w:sz w:val="18"/>
                <w:lang w:val="es-ES_tradnl"/>
              </w:rPr>
              <w:br/>
              <w:t>15 de julio de 2003</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11 de noviembre de 1989</w:t>
            </w:r>
            <w:r w:rsidRPr="00C60FC3">
              <w:rPr>
                <w:rFonts w:cs="Arial"/>
                <w:sz w:val="18"/>
                <w:lang w:val="es-ES_tradnl"/>
              </w:rPr>
              <w:br/>
              <w:t>15 de agosto de 2003</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Portugal</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14 de septiembre de 1995</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14 de octubre de 1995</w:t>
            </w:r>
            <w:r w:rsidRPr="00C60FC3">
              <w:rPr>
                <w:rFonts w:cs="Arial"/>
                <w:sz w:val="18"/>
                <w:lang w:val="es-ES_tradnl"/>
              </w:rPr>
              <w:br/>
              <w:t>-</w:t>
            </w:r>
          </w:p>
        </w:tc>
      </w:tr>
      <w:tr w:rsidR="00B43D13" w:rsidRPr="00C60FC3" w:rsidTr="0028485F">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Reino Unido</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26 de noviembre de 1962</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17 de septiembre de 1965</w:t>
            </w:r>
            <w:r w:rsidRPr="00C60FC3">
              <w:rPr>
                <w:rFonts w:cs="Arial"/>
                <w:sz w:val="18"/>
                <w:lang w:val="es-ES_tradnl"/>
              </w:rPr>
              <w:br/>
              <w:t>1 de julio de 1980</w:t>
            </w:r>
            <w:r w:rsidRPr="00C60FC3">
              <w:rPr>
                <w:rFonts w:cs="Arial"/>
                <w:sz w:val="18"/>
                <w:lang w:val="es-ES_tradnl"/>
              </w:rPr>
              <w:br/>
              <w:t>24 de agosto de 1983</w:t>
            </w:r>
            <w:r w:rsidRPr="00C60FC3">
              <w:rPr>
                <w:rFonts w:cs="Arial"/>
                <w:sz w:val="18"/>
                <w:lang w:val="es-ES_tradnl"/>
              </w:rPr>
              <w:br/>
              <w:t>3 de diciembre de 1998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10 de agosto de 1968</w:t>
            </w:r>
            <w:r w:rsidRPr="00C60FC3">
              <w:rPr>
                <w:rFonts w:cs="Arial"/>
                <w:sz w:val="18"/>
                <w:lang w:val="es-ES_tradnl"/>
              </w:rPr>
              <w:br/>
              <w:t>31 de julio de 1980</w:t>
            </w:r>
            <w:r w:rsidRPr="00C60FC3">
              <w:rPr>
                <w:rFonts w:cs="Arial"/>
                <w:sz w:val="18"/>
                <w:lang w:val="es-ES_tradnl"/>
              </w:rPr>
              <w:br/>
              <w:t>24 de septiembre de 1983</w:t>
            </w:r>
            <w:r w:rsidRPr="00C60FC3">
              <w:rPr>
                <w:rFonts w:cs="Arial"/>
                <w:sz w:val="18"/>
                <w:lang w:val="es-ES_tradnl"/>
              </w:rPr>
              <w:br/>
              <w:t>3 de enero de 1999</w:t>
            </w:r>
          </w:p>
        </w:tc>
      </w:tr>
      <w:tr w:rsidR="00B43D13" w:rsidRPr="00C60FC3" w:rsidTr="0028485F">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República Checa</w:t>
            </w:r>
            <w:r w:rsidRPr="00C60FC3">
              <w:rPr>
                <w:rStyle w:val="FootnoteReference"/>
                <w:rFonts w:cs="Arial"/>
                <w:lang w:val="es-ES_tradnl"/>
              </w:rPr>
              <w:footnoteReference w:id="2"/>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octubre de 2002</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 de enero de 1993</w:t>
            </w:r>
            <w:r w:rsidRPr="00C60FC3">
              <w:rPr>
                <w:rFonts w:cs="Arial"/>
                <w:sz w:val="18"/>
                <w:lang w:val="es-ES_tradnl"/>
              </w:rPr>
              <w:br/>
              <w:t>24 de noviembre de 2002</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República de Corea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7 de diciembre de 2001</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7 de enero de 2002</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República de Moldova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28 de septiembre de 1998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28 de octubre de 1998</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República Dominicana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16 de mayo de 2007</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16 de junio de 2007</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Rumania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16 de febrero de 2001</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16 de marzo de 2001</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Serbia</w:t>
            </w:r>
          </w:p>
        </w:tc>
        <w:tc>
          <w:tcPr>
            <w:tcW w:w="2258" w:type="dxa"/>
          </w:tcPr>
          <w:p w:rsidR="00B43D13" w:rsidRPr="00C60FC3" w:rsidRDefault="00B43D13" w:rsidP="00BF2668">
            <w:pPr>
              <w:spacing w:before="80" w:after="80"/>
              <w:jc w:val="left"/>
              <w:rPr>
                <w:rFonts w:cs="Arial"/>
                <w:sz w:val="18"/>
                <w:lang w:val="es-ES_tradnl"/>
              </w:rPr>
            </w:pPr>
            <w:r w:rsidRPr="00C60FC3">
              <w:rPr>
                <w:rFonts w:cs="Arial"/>
                <w:kern w:val="2"/>
                <w:sz w:val="18"/>
                <w:lang w:val="es-ES_tradnl"/>
              </w:rPr>
              <w:t>-</w:t>
            </w:r>
            <w:r w:rsidRPr="00C60FC3">
              <w:rPr>
                <w:rFonts w:cs="Arial"/>
                <w:kern w:val="2"/>
                <w:sz w:val="18"/>
                <w:lang w:val="es-ES_tradnl"/>
              </w:rPr>
              <w:br/>
              <w:t>-</w:t>
            </w:r>
            <w:r w:rsidRPr="00C60FC3">
              <w:rPr>
                <w:rFonts w:cs="Arial"/>
                <w:kern w:val="2"/>
                <w:sz w:val="18"/>
                <w:lang w:val="es-ES_tradnl"/>
              </w:rPr>
              <w:br/>
              <w:t>-</w:t>
            </w:r>
            <w:r w:rsidRPr="00C60FC3">
              <w:rPr>
                <w:rFonts w:cs="Arial"/>
                <w:kern w:val="2"/>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kern w:val="2"/>
                <w:sz w:val="18"/>
                <w:lang w:val="es-ES_tradnl"/>
              </w:rPr>
              <w:t>-</w:t>
            </w:r>
            <w:r w:rsidRPr="00C60FC3">
              <w:rPr>
                <w:rFonts w:cs="Arial"/>
                <w:kern w:val="2"/>
                <w:sz w:val="18"/>
                <w:lang w:val="es-ES_tradnl"/>
              </w:rPr>
              <w:br/>
              <w:t>-</w:t>
            </w:r>
            <w:r w:rsidRPr="00C60FC3">
              <w:rPr>
                <w:rFonts w:cs="Arial"/>
                <w:kern w:val="2"/>
                <w:sz w:val="18"/>
                <w:lang w:val="es-ES_tradnl"/>
              </w:rPr>
              <w:br/>
              <w:t>-</w:t>
            </w:r>
            <w:r w:rsidRPr="00C60FC3">
              <w:rPr>
                <w:rFonts w:cs="Arial"/>
                <w:kern w:val="2"/>
                <w:sz w:val="18"/>
                <w:lang w:val="es-ES_tradnl"/>
              </w:rPr>
              <w:br/>
              <w:t>5 de diciembre de 2012</w:t>
            </w:r>
          </w:p>
        </w:tc>
        <w:tc>
          <w:tcPr>
            <w:tcW w:w="2259" w:type="dxa"/>
          </w:tcPr>
          <w:p w:rsidR="00B43D13" w:rsidRPr="00C60FC3" w:rsidRDefault="00B43D13" w:rsidP="00BF2668">
            <w:pPr>
              <w:spacing w:before="80" w:after="80"/>
              <w:jc w:val="left"/>
              <w:rPr>
                <w:rFonts w:cs="Arial"/>
                <w:sz w:val="18"/>
                <w:lang w:val="es-ES_tradnl"/>
              </w:rPr>
            </w:pPr>
            <w:r w:rsidRPr="00C60FC3">
              <w:rPr>
                <w:rFonts w:cs="Arial"/>
                <w:kern w:val="2"/>
                <w:sz w:val="18"/>
                <w:lang w:val="es-ES_tradnl"/>
              </w:rPr>
              <w:t>-</w:t>
            </w:r>
            <w:r w:rsidRPr="00C60FC3">
              <w:rPr>
                <w:rFonts w:cs="Arial"/>
                <w:kern w:val="2"/>
                <w:sz w:val="18"/>
                <w:lang w:val="es-ES_tradnl"/>
              </w:rPr>
              <w:br/>
              <w:t>-</w:t>
            </w:r>
            <w:r w:rsidRPr="00C60FC3">
              <w:rPr>
                <w:rFonts w:cs="Arial"/>
                <w:kern w:val="2"/>
                <w:sz w:val="18"/>
                <w:lang w:val="es-ES_tradnl"/>
              </w:rPr>
              <w:br/>
              <w:t>-</w:t>
            </w:r>
            <w:r w:rsidRPr="00C60FC3">
              <w:rPr>
                <w:rFonts w:cs="Arial"/>
                <w:kern w:val="2"/>
                <w:sz w:val="18"/>
                <w:lang w:val="es-ES_tradnl"/>
              </w:rPr>
              <w:br/>
              <w:t>5 de enero de 2013</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Singapur</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30 de junio de 2004</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30 de julio de 2004</w:t>
            </w:r>
          </w:p>
        </w:tc>
      </w:tr>
      <w:tr w:rsidR="00B43D13" w:rsidRPr="00C60FC3" w:rsidTr="00A9165A">
        <w:trPr>
          <w:cantSplit/>
          <w:jc w:val="center"/>
        </w:trPr>
        <w:tc>
          <w:tcPr>
            <w:tcW w:w="2807" w:type="dxa"/>
          </w:tcPr>
          <w:p w:rsidR="00B43D13" w:rsidRPr="00C60FC3" w:rsidRDefault="00B43D13" w:rsidP="00BF2668">
            <w:pPr>
              <w:pStyle w:val="CommentText"/>
              <w:spacing w:before="80" w:after="80"/>
              <w:rPr>
                <w:rFonts w:ascii="Arial" w:hAnsi="Arial" w:cs="Arial"/>
                <w:sz w:val="20"/>
                <w:lang w:val="es-ES_tradnl"/>
              </w:rPr>
            </w:pPr>
            <w:r w:rsidRPr="00C60FC3">
              <w:rPr>
                <w:rFonts w:ascii="Arial" w:hAnsi="Arial" w:cs="Arial"/>
                <w:sz w:val="20"/>
                <w:lang w:val="es-ES_tradnl"/>
              </w:rPr>
              <w:t>Sudáfrica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7 de octubre de 1977</w:t>
            </w:r>
            <w:r w:rsidRPr="00C60FC3">
              <w:rPr>
                <w:rFonts w:cs="Arial"/>
                <w:sz w:val="18"/>
                <w:lang w:val="es-ES_tradnl"/>
              </w:rPr>
              <w:br/>
              <w:t>7 de octubre de 1977</w:t>
            </w:r>
            <w:r w:rsidRPr="00C60FC3">
              <w:rPr>
                <w:rFonts w:cs="Arial"/>
                <w:sz w:val="18"/>
                <w:lang w:val="es-ES_tradnl"/>
              </w:rPr>
              <w:br/>
              <w:t>21 de julio de 1981</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6 de noviembre de 1977</w:t>
            </w:r>
            <w:r w:rsidRPr="00C60FC3">
              <w:rPr>
                <w:rFonts w:cs="Arial"/>
                <w:sz w:val="18"/>
                <w:lang w:val="es-ES_tradnl"/>
              </w:rPr>
              <w:br/>
              <w:t>6 de noviembre de 1977</w:t>
            </w:r>
            <w:r w:rsidRPr="00C60FC3">
              <w:rPr>
                <w:rFonts w:cs="Arial"/>
                <w:sz w:val="18"/>
                <w:lang w:val="es-ES_tradnl"/>
              </w:rPr>
              <w:br/>
              <w:t>8 de noviembre de 1981</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Suecia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11 de enero de 1973</w:t>
            </w:r>
            <w:r w:rsidRPr="00C60FC3">
              <w:rPr>
                <w:rFonts w:cs="Arial"/>
                <w:sz w:val="18"/>
                <w:lang w:val="es-ES_tradnl"/>
              </w:rPr>
              <w:br/>
              <w:t>6 de diciembre de 1978</w:t>
            </w:r>
            <w:r w:rsidRPr="00C60FC3">
              <w:rPr>
                <w:rFonts w:cs="Arial"/>
                <w:sz w:val="18"/>
                <w:lang w:val="es-ES_tradnl"/>
              </w:rPr>
              <w:br/>
              <w:t>17 de diciembre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17 de noviembre de 1971</w:t>
            </w:r>
            <w:r w:rsidRPr="00C60FC3">
              <w:rPr>
                <w:rFonts w:cs="Arial"/>
                <w:sz w:val="18"/>
                <w:lang w:val="es-ES_tradnl"/>
              </w:rPr>
              <w:br/>
              <w:t>11 de enero de 1973</w:t>
            </w:r>
            <w:r w:rsidRPr="00C60FC3">
              <w:rPr>
                <w:rFonts w:cs="Arial"/>
                <w:sz w:val="18"/>
                <w:lang w:val="es-ES_tradnl"/>
              </w:rPr>
              <w:br/>
              <w:t>1 de diciembre de 1982</w:t>
            </w:r>
            <w:r w:rsidRPr="00C60FC3">
              <w:rPr>
                <w:rFonts w:cs="Arial"/>
                <w:sz w:val="18"/>
                <w:lang w:val="es-ES_tradnl"/>
              </w:rPr>
              <w:br/>
              <w:t>18 de diciembre de 1997</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17 de diciembre de 1971</w:t>
            </w:r>
            <w:r w:rsidRPr="00C60FC3">
              <w:rPr>
                <w:rFonts w:cs="Arial"/>
                <w:sz w:val="18"/>
                <w:lang w:val="es-ES_tradnl"/>
              </w:rPr>
              <w:br/>
              <w:t>11 de febrero de 1977</w:t>
            </w:r>
            <w:r w:rsidRPr="00C60FC3">
              <w:rPr>
                <w:rFonts w:cs="Arial"/>
                <w:sz w:val="18"/>
                <w:lang w:val="es-ES_tradnl"/>
              </w:rPr>
              <w:br/>
              <w:t>1 de enero de 1983</w:t>
            </w:r>
            <w:r w:rsidRPr="00C60FC3">
              <w:rPr>
                <w:rFonts w:cs="Arial"/>
                <w:sz w:val="18"/>
                <w:lang w:val="es-ES_tradnl"/>
              </w:rPr>
              <w:br/>
              <w:t>24 de abril de 1998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Suiza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30 de noviembre de 1962</w:t>
            </w:r>
            <w:r w:rsidRPr="00C60FC3">
              <w:rPr>
                <w:rFonts w:cs="Arial"/>
                <w:sz w:val="18"/>
                <w:lang w:val="es-ES_tradnl"/>
              </w:rPr>
              <w:br/>
              <w:t>10 de noviembre de 1972</w:t>
            </w:r>
            <w:r w:rsidRPr="00C60FC3">
              <w:rPr>
                <w:rFonts w:cs="Arial"/>
                <w:sz w:val="18"/>
                <w:lang w:val="es-ES_tradnl"/>
              </w:rPr>
              <w:br/>
              <w:t>23 de octubre de 1978</w:t>
            </w:r>
            <w:r w:rsidRPr="00C60FC3">
              <w:rPr>
                <w:rFonts w:cs="Arial"/>
                <w:sz w:val="18"/>
                <w:lang w:val="es-ES_tradnl"/>
              </w:rPr>
              <w:br/>
              <w:t>19 de marzo de 1991</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10 de junio de 1977</w:t>
            </w:r>
            <w:r w:rsidRPr="00C60FC3">
              <w:rPr>
                <w:rFonts w:cs="Arial"/>
                <w:sz w:val="18"/>
                <w:lang w:val="es-ES_tradnl"/>
              </w:rPr>
              <w:br/>
              <w:t>10 de junio de 1977</w:t>
            </w:r>
            <w:r w:rsidRPr="00C60FC3">
              <w:rPr>
                <w:rFonts w:cs="Arial"/>
                <w:sz w:val="18"/>
                <w:lang w:val="es-ES_tradnl"/>
              </w:rPr>
              <w:br/>
              <w:t>17 de junio de 1981</w:t>
            </w:r>
            <w:r w:rsidRPr="00C60FC3">
              <w:rPr>
                <w:rFonts w:cs="Arial"/>
                <w:sz w:val="18"/>
                <w:lang w:val="es-ES_tradnl"/>
              </w:rPr>
              <w:br/>
              <w:t>1 de agosto de 2008</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10 de julio de 1977</w:t>
            </w:r>
            <w:r w:rsidRPr="00C60FC3">
              <w:rPr>
                <w:rFonts w:cs="Arial"/>
                <w:sz w:val="18"/>
                <w:lang w:val="es-ES_tradnl"/>
              </w:rPr>
              <w:br/>
              <w:t>10 de julio de 1977</w:t>
            </w:r>
            <w:r w:rsidRPr="00C60FC3">
              <w:rPr>
                <w:rFonts w:cs="Arial"/>
                <w:sz w:val="18"/>
                <w:lang w:val="es-ES_tradnl"/>
              </w:rPr>
              <w:br/>
              <w:t>8 de noviembre de 1981</w:t>
            </w:r>
            <w:r w:rsidRPr="00C60FC3">
              <w:rPr>
                <w:rFonts w:cs="Arial"/>
                <w:sz w:val="18"/>
                <w:lang w:val="es-ES_tradnl"/>
              </w:rPr>
              <w:br/>
              <w:t>1 de septiembre de 2008</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Trinidad y Tabago</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30 de diciembre de 1997</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30 de enero de 1998</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Túnez</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31 de julio de 2003</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31 de agosto de 2003</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Turquía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18 de octubre de 2007</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18 de noviembre de 2007</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Ucrania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 de octubre de 1995</w:t>
            </w:r>
            <w:r w:rsidRPr="00C60FC3">
              <w:rPr>
                <w:rFonts w:cs="Arial"/>
                <w:sz w:val="18"/>
                <w:lang w:val="es-ES_tradnl"/>
              </w:rPr>
              <w:br/>
              <w:t>19 de diciembre de 2006</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3 de noviembre de 1995</w:t>
            </w:r>
            <w:r w:rsidRPr="00C60FC3">
              <w:rPr>
                <w:rFonts w:cs="Arial"/>
                <w:sz w:val="18"/>
                <w:lang w:val="es-ES_tradnl"/>
              </w:rPr>
              <w:br/>
              <w:t>19 de enero de 2007</w:t>
            </w:r>
          </w:p>
        </w:tc>
      </w:tr>
      <w:tr w:rsidR="00B43D13" w:rsidRPr="00C60FC3" w:rsidTr="00171460">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Unión Europea</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29 de junio de 2005</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29 de julio de 2005</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Uruguay</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octubre de 1994</w:t>
            </w:r>
            <w:r w:rsidRPr="00C60FC3">
              <w:rPr>
                <w:rFonts w:cs="Arial"/>
                <w:sz w:val="18"/>
                <w:lang w:val="es-ES_tradnl"/>
              </w:rPr>
              <w:br/>
              <w:t>-</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13 de noviembre de 1994</w:t>
            </w:r>
            <w:r w:rsidRPr="00C60FC3">
              <w:rPr>
                <w:rFonts w:cs="Arial"/>
                <w:sz w:val="18"/>
                <w:lang w:val="es-ES_tradnl"/>
              </w:rPr>
              <w:br/>
              <w:t>-</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Uzbekistán</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14 de octubre de 2004</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14 de noviembre de 2004</w:t>
            </w:r>
          </w:p>
        </w:tc>
      </w:tr>
      <w:tr w:rsidR="00B43D13" w:rsidRPr="00C60FC3" w:rsidTr="00A9165A">
        <w:trPr>
          <w:cantSplit/>
          <w:jc w:val="center"/>
        </w:trPr>
        <w:tc>
          <w:tcPr>
            <w:tcW w:w="2807" w:type="dxa"/>
          </w:tcPr>
          <w:p w:rsidR="00B43D13" w:rsidRPr="00C60FC3" w:rsidRDefault="00B43D13" w:rsidP="00BF2668">
            <w:pPr>
              <w:spacing w:before="80" w:after="80"/>
              <w:jc w:val="left"/>
              <w:rPr>
                <w:rFonts w:cs="Arial"/>
                <w:lang w:val="es-ES_tradnl"/>
              </w:rPr>
            </w:pPr>
            <w:r w:rsidRPr="00C60FC3">
              <w:rPr>
                <w:rFonts w:cs="Arial"/>
                <w:lang w:val="es-ES_tradnl"/>
              </w:rPr>
              <w:t>Viet Nam</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w:t>
            </w:r>
          </w:p>
        </w:tc>
        <w:tc>
          <w:tcPr>
            <w:tcW w:w="2258"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noviembre de 2006</w:t>
            </w:r>
          </w:p>
        </w:tc>
        <w:tc>
          <w:tcPr>
            <w:tcW w:w="2259" w:type="dxa"/>
          </w:tcPr>
          <w:p w:rsidR="00B43D13" w:rsidRPr="00C60FC3" w:rsidRDefault="00B43D13" w:rsidP="00BF2668">
            <w:pPr>
              <w:spacing w:before="80" w:after="80"/>
              <w:jc w:val="left"/>
              <w:rPr>
                <w:rFonts w:cs="Arial"/>
                <w:sz w:val="18"/>
                <w:lang w:val="es-ES_tradnl"/>
              </w:rPr>
            </w:pPr>
            <w:r w:rsidRPr="00C60FC3">
              <w:rPr>
                <w:rFonts w:cs="Arial"/>
                <w:sz w:val="18"/>
                <w:lang w:val="es-ES_tradnl"/>
              </w:rPr>
              <w:t>-</w:t>
            </w:r>
            <w:r w:rsidRPr="00C60FC3">
              <w:rPr>
                <w:rFonts w:cs="Arial"/>
                <w:sz w:val="18"/>
                <w:lang w:val="es-ES_tradnl"/>
              </w:rPr>
              <w:br/>
              <w:t>-</w:t>
            </w:r>
            <w:r w:rsidRPr="00C60FC3">
              <w:rPr>
                <w:rFonts w:cs="Arial"/>
                <w:sz w:val="18"/>
                <w:lang w:val="es-ES_tradnl"/>
              </w:rPr>
              <w:br/>
              <w:t>-</w:t>
            </w:r>
            <w:r w:rsidRPr="00C60FC3">
              <w:rPr>
                <w:rFonts w:cs="Arial"/>
                <w:sz w:val="18"/>
                <w:lang w:val="es-ES_tradnl"/>
              </w:rPr>
              <w:br/>
              <w:t>24 de diciembre de 2006</w:t>
            </w:r>
          </w:p>
        </w:tc>
      </w:tr>
    </w:tbl>
    <w:p w:rsidR="00B43D13" w:rsidRPr="00C60FC3" w:rsidRDefault="00B43D13" w:rsidP="00BF2668">
      <w:pPr>
        <w:rPr>
          <w:rFonts w:cs="Arial"/>
          <w:sz w:val="16"/>
          <w:szCs w:val="16"/>
          <w:lang w:val="es-ES_tradnl"/>
        </w:rPr>
      </w:pPr>
    </w:p>
    <w:p w:rsidR="00B43D13" w:rsidRPr="00C60FC3" w:rsidRDefault="003A430A" w:rsidP="00BF2668">
      <w:pPr>
        <w:rPr>
          <w:lang w:val="es-ES_tradnl"/>
        </w:rPr>
      </w:pPr>
      <w:r w:rsidRPr="00C60FC3">
        <w:rPr>
          <w:noProof/>
        </w:rPr>
        <mc:AlternateContent>
          <mc:Choice Requires="wps">
            <w:drawing>
              <wp:anchor distT="0" distB="0" distL="114300" distR="114300" simplePos="0" relativeHeight="251658240" behindDoc="0" locked="0" layoutInCell="1" allowOverlap="1" wp14:anchorId="476584C6" wp14:editId="1CA378A6">
                <wp:simplePos x="0" y="0"/>
                <wp:positionH relativeFrom="column">
                  <wp:posOffset>4973955</wp:posOffset>
                </wp:positionH>
                <wp:positionV relativeFrom="paragraph">
                  <wp:posOffset>812800</wp:posOffset>
                </wp:positionV>
                <wp:extent cx="1148715" cy="227330"/>
                <wp:effectExtent l="0" t="0" r="0" b="12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227330"/>
                        </a:xfrm>
                        <a:prstGeom prst="rect">
                          <a:avLst/>
                        </a:prstGeom>
                        <a:solidFill>
                          <a:srgbClr val="FFFFFF"/>
                        </a:solidFill>
                        <a:ln w="9525">
                          <a:noFill/>
                          <a:miter lim="800000"/>
                          <a:headEnd/>
                          <a:tailEnd/>
                        </a:ln>
                      </wps:spPr>
                      <wps:txbx>
                        <w:txbxContent>
                          <w:p w:rsidR="00CC201B" w:rsidRDefault="00CC201B" w:rsidP="0089473F">
                            <w:pPr>
                              <w:jc w:val="right"/>
                            </w:pPr>
                            <w:r w:rsidRPr="0068046C">
                              <w:t>[</w:t>
                            </w:r>
                            <w:r w:rsidRPr="00373B80">
                              <w:rPr>
                                <w:lang w:val="es-ES_tradnl"/>
                              </w:rPr>
                              <w:t>Sigue el Anexo II</w:t>
                            </w:r>
                            <w:r w:rsidRPr="0068046C">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1.65pt;margin-top:64pt;width:90.45pt;height:1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" stroked="f">
                <v:textbox inset="0,0,0,0">
                  <w:txbxContent>
                    <w:p w:rsidR="00CC201B" w:rsidRDefault="00CC201B" w:rsidP="0089473F">
                      <w:pPr>
                        <w:jc w:val="right"/>
                      </w:pPr>
                      <w:r w:rsidRPr="0068046C">
                        <w:t>[</w:t>
                      </w:r>
                      <w:r w:rsidRPr="00373B80">
                        <w:rPr>
                          <w:lang w:val="es-ES_tradnl"/>
                        </w:rPr>
                        <w:t>Sigue el Anexo II</w:t>
                      </w:r>
                      <w:r w:rsidRPr="0068046C">
                        <w:t>]</w:t>
                      </w:r>
                    </w:p>
                  </w:txbxContent>
                </v:textbox>
              </v:shape>
            </w:pict>
          </mc:Fallback>
        </mc:AlternateContent>
      </w:r>
      <w:r w:rsidR="00B43D13" w:rsidRPr="00C60FC3">
        <w:rPr>
          <w:rFonts w:cs="Arial"/>
          <w:lang w:val="es-ES_tradnl"/>
        </w:rPr>
        <w:t>Total</w:t>
      </w:r>
      <w:proofErr w:type="gramStart"/>
      <w:r w:rsidR="00B43D13" w:rsidRPr="00C60FC3">
        <w:rPr>
          <w:rFonts w:cs="Arial"/>
          <w:lang w:val="es-ES_tradnl"/>
        </w:rPr>
        <w:t>:  70</w:t>
      </w:r>
      <w:proofErr w:type="gramEnd"/>
      <w:r w:rsidR="00B43D13" w:rsidRPr="00C60FC3">
        <w:rPr>
          <w:rFonts w:cs="Arial"/>
          <w:lang w:val="es-ES_tradnl"/>
        </w:rPr>
        <w:t> miembros</w:t>
      </w:r>
      <w:r w:rsidR="00B43D13" w:rsidRPr="00C60FC3">
        <w:rPr>
          <w:rStyle w:val="FootnoteReference"/>
          <w:rFonts w:cs="Arial"/>
          <w:lang w:val="es-ES_tradnl"/>
        </w:rPr>
        <w:footnoteReference w:id="3"/>
      </w:r>
    </w:p>
    <w:p w:rsidR="00B43D13" w:rsidRPr="00C60FC3" w:rsidRDefault="00B43D13" w:rsidP="00BF2668">
      <w:pPr>
        <w:rPr>
          <w:lang w:val="es-ES_tradnl"/>
        </w:rPr>
        <w:sectPr w:rsidR="00B43D13" w:rsidRPr="00C60FC3" w:rsidSect="00C12930">
          <w:headerReference w:type="default" r:id="rId12"/>
          <w:footerReference w:type="first" r:id="rId13"/>
          <w:footnotePr>
            <w:numRestart w:val="eachSect"/>
          </w:footnotePr>
          <w:pgSz w:w="11907" w:h="16840" w:code="9"/>
          <w:pgMar w:top="510" w:right="1134" w:bottom="1134" w:left="1134" w:header="510" w:footer="680" w:gutter="0"/>
          <w:pgNumType w:start="1"/>
          <w:cols w:space="720"/>
          <w:titlePg/>
        </w:sectPr>
      </w:pPr>
    </w:p>
    <w:p w:rsidR="00B43D13" w:rsidRPr="00C60FC3" w:rsidRDefault="00B43D13" w:rsidP="00BF2668">
      <w:pPr>
        <w:jc w:val="center"/>
        <w:rPr>
          <w:lang w:val="es-ES_tradnl"/>
        </w:rPr>
      </w:pPr>
      <w:r w:rsidRPr="00C60FC3">
        <w:rPr>
          <w:lang w:val="es-ES_tradnl"/>
        </w:rPr>
        <w:t>C/47/2</w:t>
      </w:r>
    </w:p>
    <w:p w:rsidR="00B43D13" w:rsidRPr="00C60FC3" w:rsidRDefault="00B43D13" w:rsidP="00BF2668">
      <w:pPr>
        <w:jc w:val="center"/>
        <w:rPr>
          <w:lang w:val="es-ES_tradnl"/>
        </w:rPr>
      </w:pPr>
    </w:p>
    <w:p w:rsidR="00B43D13" w:rsidRPr="00C60FC3" w:rsidRDefault="00B43D13" w:rsidP="00BF2668">
      <w:pPr>
        <w:jc w:val="center"/>
        <w:rPr>
          <w:lang w:val="es-ES_tradnl"/>
        </w:rPr>
      </w:pPr>
      <w:r w:rsidRPr="00C60FC3">
        <w:rPr>
          <w:lang w:val="es-ES_tradnl"/>
        </w:rPr>
        <w:t>ANEXO II</w:t>
      </w:r>
      <w:r w:rsidRPr="00C60FC3">
        <w:rPr>
          <w:lang w:val="es-ES_tradnl"/>
        </w:rPr>
        <w:br/>
      </w:r>
      <w:r w:rsidRPr="00C60FC3">
        <w:rPr>
          <w:lang w:val="es-ES_tradnl"/>
        </w:rPr>
        <w:br/>
        <w:t>RESEÑA DE LAS MISIONES REALIZADAS EN 2012</w:t>
      </w:r>
    </w:p>
    <w:p w:rsidR="00B43D13" w:rsidRPr="00C60FC3" w:rsidRDefault="00B43D13" w:rsidP="00BF2668">
      <w:pPr>
        <w:ind w:right="-1"/>
        <w:jc w:val="center"/>
        <w:rPr>
          <w:lang w:val="es-ES_tradnl"/>
        </w:rPr>
      </w:pPr>
    </w:p>
    <w:p w:rsidR="00B43D13" w:rsidRPr="00C60FC3" w:rsidRDefault="00B43D13" w:rsidP="00BF2668">
      <w:pPr>
        <w:ind w:right="-1"/>
        <w:jc w:val="center"/>
        <w:rPr>
          <w:lang w:val="es-ES_tradnl"/>
        </w:rPr>
      </w:pPr>
    </w:p>
    <w:tbl>
      <w:tblPr>
        <w:tblW w:w="9847"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6"/>
        <w:gridCol w:w="3118"/>
        <w:gridCol w:w="2513"/>
      </w:tblGrid>
      <w:tr w:rsidR="00B43D13" w:rsidRPr="00C60FC3" w:rsidTr="00EF27E4">
        <w:trPr>
          <w:cantSplit/>
          <w:tblHeader/>
          <w:jc w:val="center"/>
        </w:trPr>
        <w:tc>
          <w:tcPr>
            <w:tcW w:w="4216" w:type="dxa"/>
          </w:tcPr>
          <w:p w:rsidR="00B43D13" w:rsidRPr="00C60FC3" w:rsidRDefault="00B43D13" w:rsidP="00BF2668">
            <w:pPr>
              <w:spacing w:before="60" w:after="60"/>
              <w:jc w:val="left"/>
              <w:rPr>
                <w:b/>
                <w:szCs w:val="24"/>
                <w:lang w:val="es-ES_tradnl"/>
              </w:rPr>
            </w:pPr>
            <w:r w:rsidRPr="00C60FC3">
              <w:rPr>
                <w:b/>
                <w:szCs w:val="24"/>
                <w:lang w:val="es-ES_tradnl"/>
              </w:rPr>
              <w:t>Misión</w:t>
            </w:r>
          </w:p>
        </w:tc>
        <w:tc>
          <w:tcPr>
            <w:tcW w:w="3118" w:type="dxa"/>
          </w:tcPr>
          <w:p w:rsidR="00B43D13" w:rsidRPr="00C60FC3" w:rsidRDefault="00B43D13" w:rsidP="00BF2668">
            <w:pPr>
              <w:spacing w:before="60" w:after="60"/>
              <w:jc w:val="left"/>
              <w:rPr>
                <w:b/>
                <w:szCs w:val="24"/>
                <w:lang w:val="es-ES_tradnl"/>
              </w:rPr>
            </w:pPr>
            <w:r w:rsidRPr="00C60FC3">
              <w:rPr>
                <w:b/>
                <w:szCs w:val="24"/>
                <w:lang w:val="es-ES_tradnl"/>
              </w:rPr>
              <w:t>Lugar/Mes</w:t>
            </w:r>
          </w:p>
        </w:tc>
        <w:tc>
          <w:tcPr>
            <w:tcW w:w="2513" w:type="dxa"/>
          </w:tcPr>
          <w:p w:rsidR="00B43D13" w:rsidRPr="00C60FC3" w:rsidRDefault="00B43D13" w:rsidP="00BF2668">
            <w:pPr>
              <w:spacing w:before="60" w:after="60"/>
              <w:jc w:val="left"/>
              <w:rPr>
                <w:b/>
                <w:szCs w:val="24"/>
                <w:lang w:val="es-ES_tradnl"/>
              </w:rPr>
            </w:pPr>
            <w:r w:rsidRPr="00C60FC3">
              <w:rPr>
                <w:b/>
                <w:szCs w:val="24"/>
                <w:lang w:val="es-ES_tradnl"/>
              </w:rPr>
              <w:t>Funcionario</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szCs w:val="24"/>
                <w:lang w:val="es-ES_tradnl"/>
              </w:rPr>
            </w:pPr>
            <w:r w:rsidRPr="00C60FC3">
              <w:rPr>
                <w:szCs w:val="24"/>
                <w:lang w:val="es-ES_tradnl"/>
              </w:rPr>
              <w:t xml:space="preserve">Reunión </w:t>
            </w:r>
            <w:r w:rsidRPr="00C60FC3">
              <w:rPr>
                <w:snapToGrid w:val="0"/>
                <w:szCs w:val="24"/>
                <w:lang w:val="es-ES_tradnl"/>
              </w:rPr>
              <w:t xml:space="preserve">del Comité Ejecutivo del Proyecto Mundial de Semillas </w:t>
            </w:r>
            <w:r w:rsidRPr="00C60FC3">
              <w:rPr>
                <w:szCs w:val="24"/>
                <w:lang w:val="es-ES_tradnl"/>
              </w:rPr>
              <w:t>(</w:t>
            </w:r>
            <w:r w:rsidRPr="00C60FC3">
              <w:rPr>
                <w:snapToGrid w:val="0"/>
                <w:szCs w:val="24"/>
                <w:lang w:val="es-ES_tradnl"/>
              </w:rPr>
              <w:t>FAO, ISF, ISTA, OCDE y UPOV)</w:t>
            </w:r>
          </w:p>
          <w:p w:rsidR="00B43D13" w:rsidRPr="00C60FC3" w:rsidRDefault="00B43D13" w:rsidP="00BF2668">
            <w:pPr>
              <w:spacing w:before="60" w:after="60"/>
              <w:jc w:val="left"/>
              <w:rPr>
                <w:szCs w:val="24"/>
                <w:lang w:val="es-ES_tradnl"/>
              </w:rPr>
            </w:pPr>
            <w:r w:rsidRPr="00C60FC3">
              <w:rPr>
                <w:snapToGrid w:val="0"/>
                <w:szCs w:val="24"/>
                <w:lang w:val="es-ES_tradnl"/>
              </w:rPr>
              <w:t xml:space="preserve">Reunión de </w:t>
            </w:r>
            <w:r w:rsidR="00FD232B">
              <w:rPr>
                <w:snapToGrid w:val="0"/>
                <w:szCs w:val="24"/>
                <w:lang w:val="es-ES_tradnl"/>
              </w:rPr>
              <w:t>asesoramiento legal</w:t>
            </w:r>
            <w:r w:rsidRPr="00C60FC3">
              <w:rPr>
                <w:snapToGrid w:val="0"/>
                <w:szCs w:val="24"/>
                <w:lang w:val="es-ES_tradnl"/>
              </w:rPr>
              <w:t xml:space="preserve"> en la Oficina de Derechos de Obtentor del MAFC</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Arusha (República Unida de Tanzanía) (enero)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w:t>
            </w:r>
          </w:p>
        </w:tc>
      </w:tr>
      <w:tr w:rsidR="00B43D13" w:rsidRPr="00C60FC3" w:rsidTr="00EF27E4">
        <w:trPr>
          <w:cantSplit/>
          <w:jc w:val="center"/>
        </w:trPr>
        <w:tc>
          <w:tcPr>
            <w:tcW w:w="4216" w:type="dxa"/>
            <w:tcBorders>
              <w:top w:val="nil"/>
              <w:right w:val="nil"/>
            </w:tcBorders>
          </w:tcPr>
          <w:p w:rsidR="00B43D13" w:rsidRPr="00C60FC3" w:rsidRDefault="00B43D13" w:rsidP="00BF2668">
            <w:pPr>
              <w:spacing w:before="60" w:after="60"/>
              <w:jc w:val="left"/>
              <w:rPr>
                <w:szCs w:val="24"/>
                <w:lang w:val="es-ES_tradnl"/>
              </w:rPr>
            </w:pPr>
            <w:r w:rsidRPr="00C60FC3">
              <w:rPr>
                <w:lang w:val="es-ES_tradnl"/>
              </w:rPr>
              <w:t>Seminarios sobre la protección de las obtenciones vegetales</w:t>
            </w:r>
          </w:p>
        </w:tc>
        <w:tc>
          <w:tcPr>
            <w:tcW w:w="3118" w:type="dxa"/>
            <w:tcBorders>
              <w:top w:val="nil"/>
            </w:tcBorders>
          </w:tcPr>
          <w:p w:rsidR="00B43D13" w:rsidRPr="00C60FC3" w:rsidRDefault="00B43D13" w:rsidP="00BF2668">
            <w:pPr>
              <w:spacing w:before="60" w:after="60"/>
              <w:jc w:val="left"/>
              <w:rPr>
                <w:szCs w:val="24"/>
                <w:lang w:val="es-ES_tradnl"/>
              </w:rPr>
            </w:pPr>
            <w:r w:rsidRPr="00C60FC3">
              <w:rPr>
                <w:lang w:val="es-ES_tradnl"/>
              </w:rPr>
              <w:t>Lima, Trujillo e Iquitos (Perú) (enero)</w:t>
            </w:r>
          </w:p>
        </w:tc>
        <w:tc>
          <w:tcPr>
            <w:tcW w:w="2513" w:type="dxa"/>
            <w:tcBorders>
              <w:top w:val="nil"/>
            </w:tcBorders>
          </w:tcPr>
          <w:p w:rsidR="00B43D13" w:rsidRPr="00C60FC3" w:rsidRDefault="00B43D13" w:rsidP="00BF2668">
            <w:pPr>
              <w:spacing w:before="60" w:after="60"/>
              <w:jc w:val="left"/>
              <w:rPr>
                <w:noProof/>
                <w:szCs w:val="24"/>
                <w:lang w:val="es-ES_tradnl"/>
              </w:rPr>
            </w:pPr>
            <w:r w:rsidRPr="00C60FC3">
              <w:rPr>
                <w:noProof/>
                <w:szCs w:val="24"/>
                <w:lang w:val="es-ES_tradnl"/>
              </w:rPr>
              <w:t>Button, Lavignolle (AR)</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Reuniones de los sistemas de semillas de la OCDE</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París (Francia) (enero)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Borys</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szCs w:val="24"/>
                <w:lang w:val="es-ES_tradnl"/>
              </w:rPr>
            </w:pPr>
            <w:r w:rsidRPr="00C60FC3">
              <w:rPr>
                <w:snapToGrid w:val="0"/>
                <w:color w:val="000000"/>
                <w:lang w:val="es-ES_tradnl"/>
              </w:rPr>
              <w:t>Visita de estudio y reuniones conexas para altos funcionarios encargados de la protección de las variedades vegetales</w:t>
            </w:r>
          </w:p>
        </w:tc>
        <w:tc>
          <w:tcPr>
            <w:tcW w:w="3118" w:type="dxa"/>
          </w:tcPr>
          <w:p w:rsidR="00B43D13" w:rsidRPr="00C60FC3" w:rsidRDefault="00B43D13" w:rsidP="00BF2668">
            <w:pPr>
              <w:spacing w:before="60" w:after="60"/>
              <w:jc w:val="left"/>
              <w:rPr>
                <w:snapToGrid w:val="0"/>
                <w:szCs w:val="24"/>
                <w:lang w:val="es-ES_tradnl"/>
              </w:rPr>
            </w:pPr>
            <w:r w:rsidRPr="00C60FC3">
              <w:rPr>
                <w:color w:val="000000"/>
                <w:lang w:val="es-ES_tradnl"/>
              </w:rPr>
              <w:t>Tokio, Chiba, Tsukuba y Hachimantai (Japón) (enero y febrero)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Aihara</w:t>
            </w:r>
          </w:p>
        </w:tc>
      </w:tr>
      <w:tr w:rsidR="00B43D13" w:rsidRPr="00C60FC3" w:rsidTr="00183CC2">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rFonts w:cs="Arial"/>
                <w:color w:val="000000"/>
                <w:lang w:val="es-ES_tradnl"/>
              </w:rPr>
              <w:t>Vigésima sesión del Comité Intergubernamental sobre Propiedad Intelectual y Recursos Genéticos, Conocimientos Tradicionales y Folclore (CIG) de la OMPI</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(febrero)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Aihara</w:t>
            </w:r>
          </w:p>
        </w:tc>
      </w:tr>
      <w:tr w:rsidR="00B43D13" w:rsidRPr="00C60FC3" w:rsidTr="00183CC2">
        <w:trPr>
          <w:cantSplit/>
          <w:jc w:val="center"/>
        </w:trPr>
        <w:tc>
          <w:tcPr>
            <w:tcW w:w="4216" w:type="dxa"/>
            <w:tcBorders>
              <w:bottom w:val="nil"/>
              <w:right w:val="nil"/>
            </w:tcBorders>
          </w:tcPr>
          <w:p w:rsidR="00B43D13" w:rsidRPr="00C60FC3" w:rsidRDefault="00B43D13" w:rsidP="00BF2668">
            <w:pPr>
              <w:spacing w:before="60" w:after="60"/>
              <w:jc w:val="left"/>
              <w:rPr>
                <w:szCs w:val="24"/>
                <w:lang w:val="es-ES_tradnl"/>
              </w:rPr>
            </w:pPr>
            <w:r w:rsidRPr="00C60FC3">
              <w:rPr>
                <w:szCs w:val="24"/>
                <w:lang w:val="es-ES_tradnl"/>
              </w:rPr>
              <w:t>Seminario de sensibilización sobre la protección de las variedades vegetales</w:t>
            </w:r>
          </w:p>
        </w:tc>
        <w:tc>
          <w:tcPr>
            <w:tcW w:w="3118" w:type="dxa"/>
            <w:tcBorders>
              <w:bottom w:val="nil"/>
            </w:tcBorders>
          </w:tcPr>
          <w:p w:rsidR="00B43D13" w:rsidRPr="00C60FC3" w:rsidRDefault="00B43D13" w:rsidP="00BF2668">
            <w:pPr>
              <w:spacing w:before="60" w:after="60"/>
              <w:jc w:val="left"/>
              <w:rPr>
                <w:szCs w:val="24"/>
                <w:lang w:val="es-ES_tradnl"/>
              </w:rPr>
            </w:pPr>
            <w:r w:rsidRPr="00C60FC3">
              <w:rPr>
                <w:color w:val="000000"/>
                <w:lang w:val="es-ES_tradnl" w:eastAsia="ja-JP"/>
              </w:rPr>
              <w:t>Phnom Penh (Camboya) (febrero)</w:t>
            </w:r>
          </w:p>
        </w:tc>
        <w:tc>
          <w:tcPr>
            <w:tcW w:w="2513" w:type="dxa"/>
            <w:tcBorders>
              <w:bottom w:val="nil"/>
            </w:tcBorders>
          </w:tcPr>
          <w:p w:rsidR="00B43D13" w:rsidRPr="00C60FC3" w:rsidRDefault="00B43D13" w:rsidP="00BF2668">
            <w:pPr>
              <w:spacing w:before="60" w:after="60"/>
              <w:jc w:val="left"/>
              <w:rPr>
                <w:noProof/>
                <w:szCs w:val="24"/>
                <w:lang w:val="es-ES_tradnl"/>
              </w:rPr>
            </w:pPr>
            <w:r w:rsidRPr="00C60FC3">
              <w:rPr>
                <w:noProof/>
                <w:szCs w:val="24"/>
                <w:lang w:val="es-ES_tradnl"/>
              </w:rPr>
              <w:t>Button, Aihara</w:t>
            </w:r>
          </w:p>
        </w:tc>
      </w:tr>
      <w:tr w:rsidR="00B43D13" w:rsidRPr="00C60FC3" w:rsidTr="00183CC2">
        <w:trPr>
          <w:cantSplit/>
          <w:jc w:val="center"/>
        </w:trPr>
        <w:tc>
          <w:tcPr>
            <w:tcW w:w="4216" w:type="dxa"/>
            <w:tcBorders>
              <w:top w:val="nil"/>
              <w:right w:val="nil"/>
            </w:tcBorders>
          </w:tcPr>
          <w:p w:rsidR="00B43D13" w:rsidRPr="00C60FC3" w:rsidRDefault="00B43D13" w:rsidP="00BF2668">
            <w:pPr>
              <w:spacing w:before="60" w:after="60"/>
              <w:jc w:val="left"/>
              <w:rPr>
                <w:snapToGrid w:val="0"/>
                <w:lang w:val="es-ES_tradnl" w:eastAsia="ja-JP"/>
              </w:rPr>
            </w:pPr>
            <w:r w:rsidRPr="00C60FC3">
              <w:rPr>
                <w:snapToGrid w:val="0"/>
                <w:lang w:val="es-ES_tradnl" w:eastAsia="ja-JP"/>
              </w:rPr>
              <w:t xml:space="preserve">Congreso de 2011 de la </w:t>
            </w:r>
            <w:r w:rsidRPr="00C60FC3">
              <w:rPr>
                <w:i/>
                <w:snapToGrid w:val="0"/>
                <w:lang w:val="es-ES_tradnl" w:eastAsia="ja-JP"/>
              </w:rPr>
              <w:t>Asia and Pacific Seed Association</w:t>
            </w:r>
            <w:r w:rsidRPr="00C60FC3">
              <w:rPr>
                <w:snapToGrid w:val="0"/>
                <w:lang w:val="es-ES_tradnl" w:eastAsia="ja-JP"/>
              </w:rPr>
              <w:t xml:space="preserve"> (APSA)</w:t>
            </w:r>
          </w:p>
          <w:p w:rsidR="00B43D13" w:rsidRPr="00C60FC3" w:rsidRDefault="00B43D13" w:rsidP="00BF2668">
            <w:pPr>
              <w:spacing w:before="60" w:after="60"/>
              <w:jc w:val="left"/>
              <w:rPr>
                <w:rFonts w:cs="Arial"/>
                <w:bCs/>
                <w:color w:val="000000"/>
                <w:lang w:val="es-ES_tradnl"/>
              </w:rPr>
            </w:pPr>
            <w:r w:rsidRPr="00C60FC3">
              <w:rPr>
                <w:rFonts w:cs="Arial"/>
                <w:bCs/>
                <w:color w:val="000000"/>
                <w:lang w:val="es-ES_tradnl"/>
              </w:rPr>
              <w:t>Taller sobre derechos de obtentor, patentes y acceso a la biodiversidad y los recursos genéticos, celebrado antes del Congreso</w:t>
            </w:r>
          </w:p>
          <w:p w:rsidR="00B43D13" w:rsidRPr="00C60FC3" w:rsidRDefault="00B43D13" w:rsidP="00BF2668">
            <w:pPr>
              <w:spacing w:before="60" w:after="60"/>
              <w:jc w:val="left"/>
              <w:rPr>
                <w:snapToGrid w:val="0"/>
                <w:szCs w:val="24"/>
                <w:lang w:val="es-ES_tradnl"/>
              </w:rPr>
            </w:pPr>
            <w:r w:rsidRPr="00C60FC3">
              <w:rPr>
                <w:szCs w:val="24"/>
                <w:lang w:val="es-ES_tradnl"/>
              </w:rPr>
              <w:t>Reunión del Comité Ejecutivo del Proyecto Mundial de Semillas (FAO, ISF, ISTA, OCDE y UPOV)</w:t>
            </w:r>
          </w:p>
        </w:tc>
        <w:tc>
          <w:tcPr>
            <w:tcW w:w="3118" w:type="dxa"/>
            <w:tcBorders>
              <w:top w:val="nil"/>
            </w:tcBorders>
          </w:tcPr>
          <w:p w:rsidR="00B43D13" w:rsidRPr="00C60FC3" w:rsidRDefault="00B43D13" w:rsidP="00BF2668">
            <w:pPr>
              <w:spacing w:before="60" w:after="60"/>
              <w:jc w:val="left"/>
              <w:rPr>
                <w:szCs w:val="24"/>
                <w:lang w:val="es-ES_tradnl"/>
              </w:rPr>
            </w:pPr>
            <w:r w:rsidRPr="00C60FC3">
              <w:rPr>
                <w:lang w:val="es-ES_tradnl" w:eastAsia="ja-JP"/>
              </w:rPr>
              <w:t>Pattaya (Tailandia) (febrero)</w:t>
            </w:r>
          </w:p>
        </w:tc>
        <w:tc>
          <w:tcPr>
            <w:tcW w:w="2513" w:type="dxa"/>
            <w:tcBorders>
              <w:top w:val="nil"/>
            </w:tcBorders>
          </w:tcPr>
          <w:p w:rsidR="00B43D13" w:rsidRPr="00C60FC3" w:rsidRDefault="00B43D13" w:rsidP="00BF2668">
            <w:pPr>
              <w:spacing w:before="60" w:after="60"/>
              <w:jc w:val="left"/>
              <w:rPr>
                <w:noProof/>
                <w:szCs w:val="24"/>
                <w:lang w:val="es-ES_tradnl"/>
              </w:rPr>
            </w:pP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napToGrid w:val="0"/>
                <w:szCs w:val="24"/>
                <w:lang w:val="es-ES_tradnl"/>
              </w:rPr>
              <w:t>Reunión del Consejo de los ADPIC (sede de la OMC)</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(febrero)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rFonts w:cs="Arial"/>
                <w:lang w:val="es-ES_tradnl"/>
              </w:rPr>
            </w:pPr>
            <w:r w:rsidRPr="00C60FC3">
              <w:rPr>
                <w:rFonts w:cs="Arial"/>
                <w:lang w:val="es-ES_tradnl"/>
              </w:rPr>
              <w:t xml:space="preserve">Duodécimo Congreso anual de la </w:t>
            </w:r>
            <w:r w:rsidRPr="00C60FC3">
              <w:rPr>
                <w:rFonts w:cs="Arial"/>
                <w:i/>
                <w:lang w:val="es-ES_tradnl"/>
              </w:rPr>
              <w:t>African Seed Trade Association</w:t>
            </w:r>
            <w:r w:rsidRPr="00C60FC3">
              <w:rPr>
                <w:rFonts w:cs="Arial"/>
                <w:lang w:val="es-ES_tradnl"/>
              </w:rPr>
              <w:t xml:space="preserve"> (AFSTA)</w:t>
            </w:r>
          </w:p>
          <w:p w:rsidR="00B43D13" w:rsidRPr="00C60FC3" w:rsidRDefault="00B43D13" w:rsidP="00BF2668">
            <w:pPr>
              <w:spacing w:before="60" w:after="60"/>
              <w:jc w:val="left"/>
              <w:rPr>
                <w:lang w:val="es-ES_tradnl"/>
              </w:rPr>
            </w:pPr>
            <w:r w:rsidRPr="00C60FC3">
              <w:rPr>
                <w:lang w:val="es-ES_tradnl"/>
              </w:rPr>
              <w:t>Taller sobre protección de las variedades vegetales, celebrado antes del Congreso</w:t>
            </w:r>
          </w:p>
          <w:p w:rsidR="00B43D13" w:rsidRPr="00C60FC3" w:rsidRDefault="00B43D13" w:rsidP="00BF2668">
            <w:pPr>
              <w:spacing w:before="60" w:after="60"/>
              <w:jc w:val="left"/>
              <w:rPr>
                <w:szCs w:val="24"/>
                <w:lang w:val="es-ES_tradnl"/>
              </w:rPr>
            </w:pPr>
            <w:r w:rsidRPr="00C60FC3">
              <w:rPr>
                <w:szCs w:val="24"/>
                <w:lang w:val="es-ES_tradnl"/>
              </w:rPr>
              <w:t>Reunión del Comité Ejecutivo del Proyecto Mundial de Semillas (FAO, ISF, ISTA, OCDE y UPOV)</w:t>
            </w:r>
          </w:p>
        </w:tc>
        <w:tc>
          <w:tcPr>
            <w:tcW w:w="3118" w:type="dxa"/>
          </w:tcPr>
          <w:p w:rsidR="00B43D13" w:rsidRPr="00C60FC3" w:rsidRDefault="00B43D13" w:rsidP="00BF2668">
            <w:pPr>
              <w:spacing w:before="60" w:after="60"/>
              <w:jc w:val="left"/>
              <w:rPr>
                <w:szCs w:val="24"/>
                <w:lang w:val="es-ES_tradnl"/>
              </w:rPr>
            </w:pPr>
            <w:r w:rsidRPr="00C60FC3">
              <w:rPr>
                <w:lang w:val="es-ES_tradnl"/>
              </w:rPr>
              <w:t>Zanzíbar (República Unida de Tanzanía) (marzo)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Curso avanzado OMPI-OMC sobre propiedad intelectual para funcionarios gubernamentales</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(marzo)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Reunión del Comité Ejecutivo del Proyecto Mundial de Semillas (FAO, ISF, ISTA, OCDE y UPOV)</w:t>
            </w:r>
          </w:p>
        </w:tc>
        <w:tc>
          <w:tcPr>
            <w:tcW w:w="3118" w:type="dxa"/>
          </w:tcPr>
          <w:p w:rsidR="00B43D13" w:rsidRPr="00C60FC3" w:rsidRDefault="00B43D13" w:rsidP="00BF2668">
            <w:pPr>
              <w:spacing w:before="60" w:after="60"/>
              <w:jc w:val="left"/>
              <w:rPr>
                <w:szCs w:val="24"/>
                <w:lang w:val="es-ES_tradnl"/>
              </w:rPr>
            </w:pPr>
            <w:r w:rsidRPr="00C60FC3">
              <w:rPr>
                <w:lang w:val="es-ES_tradnl"/>
              </w:rPr>
              <w:t>Accra (Ghana) (abril)</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rFonts w:cs="Arial"/>
                <w:lang w:val="es-ES_tradnl"/>
              </w:rPr>
              <w:t>Conferencia sobre derechos de obtentor y la condición de ser miembro de la UPOV</w:t>
            </w:r>
          </w:p>
        </w:tc>
        <w:tc>
          <w:tcPr>
            <w:tcW w:w="3118" w:type="dxa"/>
          </w:tcPr>
          <w:p w:rsidR="00B43D13" w:rsidRPr="00C60FC3" w:rsidRDefault="00B43D13" w:rsidP="00BF2668">
            <w:pPr>
              <w:spacing w:before="60" w:after="60"/>
              <w:jc w:val="left"/>
              <w:rPr>
                <w:szCs w:val="24"/>
                <w:lang w:val="es-ES_tradnl"/>
              </w:rPr>
            </w:pPr>
            <w:r w:rsidRPr="00C60FC3">
              <w:rPr>
                <w:rFonts w:cs="Arial"/>
                <w:lang w:val="es-ES_tradnl"/>
              </w:rPr>
              <w:t>Belgrado (Serbia) (abril)</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Curso de formación USPTO-UPOV sobre “Protección de las variedades vegetales en virtud del Convenio de la UPOV”</w:t>
            </w:r>
          </w:p>
        </w:tc>
        <w:tc>
          <w:tcPr>
            <w:tcW w:w="3118" w:type="dxa"/>
          </w:tcPr>
          <w:p w:rsidR="00B43D13" w:rsidRPr="00C60FC3" w:rsidRDefault="00B43D13" w:rsidP="00BF2668">
            <w:pPr>
              <w:spacing w:before="60" w:after="60"/>
              <w:jc w:val="left"/>
              <w:rPr>
                <w:szCs w:val="24"/>
                <w:lang w:val="es-ES_tradnl"/>
              </w:rPr>
            </w:pPr>
            <w:r w:rsidRPr="00C60FC3">
              <w:rPr>
                <w:lang w:val="es-ES_tradnl"/>
              </w:rPr>
              <w:t>Alexandria, Virginia (Estados Unidos de América) (abril)</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Huerta, Rovere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Reunión relativa al Marco de la OMPI de Elaboración de Estrategias Nacionales de Propiedad Intelectual para el Desarrollo</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(abril)</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Aihara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rFonts w:cs="Arial"/>
                <w:lang w:val="es-ES_tradnl"/>
              </w:rPr>
            </w:pPr>
            <w:r w:rsidRPr="00C60FC3">
              <w:rPr>
                <w:rFonts w:cs="Arial"/>
                <w:lang w:val="es-ES_tradnl"/>
              </w:rPr>
              <w:t>Reunión anual general de la Comunidad Internacional de Fitomejoradores de Plantas Ornamentales y Frutales de Reproducción Asexuada (CIOPORA)</w:t>
            </w:r>
          </w:p>
          <w:p w:rsidR="00B43D13" w:rsidRPr="00C60FC3" w:rsidRDefault="00B43D13" w:rsidP="00BF2668">
            <w:pPr>
              <w:spacing w:before="60" w:after="60"/>
              <w:jc w:val="left"/>
              <w:rPr>
                <w:szCs w:val="24"/>
                <w:lang w:val="es-ES_tradnl"/>
              </w:rPr>
            </w:pPr>
            <w:r w:rsidRPr="00C60FC3">
              <w:rPr>
                <w:rFonts w:cs="Arial"/>
                <w:lang w:val="es-ES_tradnl"/>
              </w:rPr>
              <w:t>Conferencia Internacional sobre Propiedad Intelectual (CIOPORA)</w:t>
            </w:r>
          </w:p>
        </w:tc>
        <w:tc>
          <w:tcPr>
            <w:tcW w:w="3118" w:type="dxa"/>
          </w:tcPr>
          <w:p w:rsidR="00B43D13" w:rsidRPr="00C60FC3" w:rsidRDefault="00B43D13" w:rsidP="00BF2668">
            <w:pPr>
              <w:spacing w:before="60" w:after="60"/>
              <w:jc w:val="left"/>
              <w:rPr>
                <w:szCs w:val="24"/>
                <w:lang w:val="es-ES_tradnl"/>
              </w:rPr>
            </w:pPr>
            <w:r w:rsidRPr="00C60FC3">
              <w:rPr>
                <w:rFonts w:cs="Arial"/>
                <w:lang w:val="es-ES_tradnl"/>
              </w:rPr>
              <w:t>Miami (Estados Unidos de América) (abril)</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6"/>
                <w:lang w:val="es-ES_tradnl"/>
              </w:rPr>
            </w:pPr>
            <w:r w:rsidRPr="00C60FC3">
              <w:rPr>
                <w:lang w:val="es-ES_tradnl"/>
              </w:rPr>
              <w:t>Taller sobre aplicación de un régimen de protección de las variedades vegetales y sensibilización</w:t>
            </w:r>
          </w:p>
        </w:tc>
        <w:tc>
          <w:tcPr>
            <w:tcW w:w="3118" w:type="dxa"/>
          </w:tcPr>
          <w:p w:rsidR="00B43D13" w:rsidRPr="00C60FC3" w:rsidRDefault="00B43D13" w:rsidP="00BF2668">
            <w:pPr>
              <w:spacing w:before="60" w:after="60"/>
              <w:jc w:val="left"/>
              <w:rPr>
                <w:szCs w:val="24"/>
                <w:lang w:val="es-ES_tradnl"/>
              </w:rPr>
            </w:pPr>
            <w:r w:rsidRPr="00C60FC3">
              <w:rPr>
                <w:lang w:val="es-ES_tradnl"/>
              </w:rPr>
              <w:t>Muscat (Omán) (mayo)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6"/>
                <w:lang w:val="es-ES_tradnl"/>
              </w:rPr>
            </w:pPr>
            <w:r w:rsidRPr="00C60FC3">
              <w:rPr>
                <w:szCs w:val="24"/>
                <w:lang w:val="es-ES_tradnl"/>
              </w:rPr>
              <w:t>Sesión de formación sobre protección de las variedades vegetales, en el marco del Curso sobre recursos genéticos y derechos de propiedad intelectual (Curso GRIP)</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Uppsala (Suecia) (mayo)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Aihara</w:t>
            </w:r>
          </w:p>
        </w:tc>
      </w:tr>
      <w:tr w:rsidR="00B43D13" w:rsidRPr="00C60FC3" w:rsidTr="00B555FC">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rFonts w:cs="Arial"/>
                <w:color w:val="000000"/>
                <w:lang w:val="es-ES_tradnl"/>
              </w:rPr>
              <w:t>Reunión sobre formularios electrónicos de solicitud</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(mayo)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Huerta, Aihara, Borys, Rivoire, Oertel</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“Propiedad Intelectual, Innovación y Seguridad Alimentaria:  Taller para la producción sostenible de trigo en África oriental – Estudio de caso sobre la función de la propiedad intelectual” (OMPI)</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(mayo)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Aihara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 xml:space="preserve">Cena anual de la </w:t>
            </w:r>
            <w:r w:rsidRPr="00C60FC3">
              <w:rPr>
                <w:i/>
                <w:lang w:val="es-ES_tradnl"/>
              </w:rPr>
              <w:t>British Society of Plant Breeders</w:t>
            </w:r>
            <w:r w:rsidRPr="00C60FC3">
              <w:rPr>
                <w:lang w:val="es-ES_tradnl"/>
              </w:rPr>
              <w:t xml:space="preserve"> (BSPB)</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Londres (Reino Unido) (mayo)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w:t>
            </w:r>
          </w:p>
        </w:tc>
      </w:tr>
      <w:tr w:rsidR="00B43D13" w:rsidRPr="00C60FC3" w:rsidTr="00307859">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Taller preparatorio y cuadragésima primera sesión del TWA</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Angers (Francia) (mayo)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Borys, Taveira, Oertel</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color w:val="000000"/>
                <w:lang w:val="es-ES_tradnl"/>
              </w:rPr>
            </w:pPr>
            <w:r w:rsidRPr="00C60FC3">
              <w:rPr>
                <w:snapToGrid w:val="0"/>
                <w:color w:val="000000"/>
                <w:lang w:val="es-ES_tradnl"/>
              </w:rPr>
              <w:t>Quinta reunión del Foro de Asia Oriental para la protección de las variedades vegetales (Foro EAPVP)</w:t>
            </w:r>
          </w:p>
          <w:p w:rsidR="00B43D13" w:rsidRPr="00C60FC3" w:rsidRDefault="00B43D13" w:rsidP="00BF2668">
            <w:pPr>
              <w:spacing w:before="60" w:after="60"/>
              <w:jc w:val="left"/>
              <w:rPr>
                <w:szCs w:val="24"/>
                <w:lang w:val="es-ES_tradnl"/>
              </w:rPr>
            </w:pPr>
            <w:r w:rsidRPr="00C60FC3">
              <w:rPr>
                <w:rFonts w:cs="Arial"/>
                <w:iCs/>
                <w:color w:val="000000"/>
                <w:lang w:val="es-ES_tradnl"/>
              </w:rPr>
              <w:t>Seminario internacional sobre la incidencia de la protección de las variedades vegetales</w:t>
            </w:r>
          </w:p>
        </w:tc>
        <w:tc>
          <w:tcPr>
            <w:tcW w:w="3118" w:type="dxa"/>
          </w:tcPr>
          <w:p w:rsidR="00B43D13" w:rsidRPr="00C60FC3" w:rsidRDefault="00B43D13" w:rsidP="00BF2668">
            <w:pPr>
              <w:spacing w:before="60" w:after="60"/>
              <w:jc w:val="left"/>
              <w:rPr>
                <w:szCs w:val="24"/>
                <w:lang w:val="es-ES_tradnl"/>
              </w:rPr>
            </w:pPr>
            <w:r w:rsidRPr="00C60FC3">
              <w:rPr>
                <w:snapToGrid w:val="0"/>
                <w:color w:val="000000"/>
                <w:lang w:val="es-ES_tradnl"/>
              </w:rPr>
              <w:t>Bangkok</w:t>
            </w:r>
            <w:r w:rsidRPr="00C60FC3">
              <w:rPr>
                <w:color w:val="000000"/>
                <w:lang w:val="es-ES_tradnl"/>
              </w:rPr>
              <w:t xml:space="preserve"> (Tailandia) (mayo)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Aihara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Curso de la OMPI de introducción al derecho internacional de la propiedad intelectual</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(junio)</w:t>
            </w:r>
          </w:p>
        </w:tc>
        <w:tc>
          <w:tcPr>
            <w:tcW w:w="2513" w:type="dxa"/>
          </w:tcPr>
          <w:p w:rsidR="00B43D13" w:rsidRPr="00C60FC3" w:rsidRDefault="00B43D13" w:rsidP="00BF2668">
            <w:pPr>
              <w:spacing w:before="60" w:after="60"/>
              <w:jc w:val="left"/>
              <w:rPr>
                <w:strike/>
                <w:noProof/>
                <w:szCs w:val="24"/>
                <w:lang w:val="es-ES_tradnl"/>
              </w:rPr>
            </w:pPr>
            <w:r w:rsidRPr="00C60FC3">
              <w:rPr>
                <w:noProof/>
                <w:szCs w:val="24"/>
                <w:lang w:val="es-ES_tradnl"/>
              </w:rPr>
              <w:t>Aihara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napToGrid w:val="0"/>
                <w:szCs w:val="24"/>
                <w:lang w:val="es-ES_tradnl"/>
              </w:rPr>
              <w:t>Reunión del Consejo de los ADPIC (sede de la OMC)</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(junio)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Huerta</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napToGrid w:val="0"/>
                <w:lang w:val="es-ES_tradnl"/>
              </w:rPr>
            </w:pPr>
            <w:r w:rsidRPr="00C60FC3">
              <w:rPr>
                <w:szCs w:val="24"/>
                <w:lang w:val="es-ES_tradnl"/>
              </w:rPr>
              <w:t>Taller preparatorio y cuadragésima sexta sesión del TWV</w:t>
            </w:r>
          </w:p>
        </w:tc>
        <w:tc>
          <w:tcPr>
            <w:tcW w:w="3118" w:type="dxa"/>
          </w:tcPr>
          <w:p w:rsidR="00B43D13" w:rsidRPr="00C60FC3" w:rsidRDefault="00B43D13" w:rsidP="00BF2668">
            <w:pPr>
              <w:spacing w:before="60" w:after="60"/>
              <w:jc w:val="left"/>
              <w:rPr>
                <w:lang w:val="es-ES_tradnl"/>
              </w:rPr>
            </w:pPr>
            <w:r w:rsidRPr="00C60FC3">
              <w:rPr>
                <w:lang w:val="es-ES_tradnl"/>
              </w:rPr>
              <w:t>Inmediaciones de la ciudad de Venlo (Países Bajos) (junio)</w:t>
            </w:r>
          </w:p>
        </w:tc>
        <w:tc>
          <w:tcPr>
            <w:tcW w:w="2513" w:type="dxa"/>
          </w:tcPr>
          <w:p w:rsidR="00B43D13" w:rsidRPr="00C60FC3" w:rsidRDefault="00B43D13" w:rsidP="00BF2668">
            <w:pPr>
              <w:spacing w:before="60" w:after="60"/>
              <w:jc w:val="left"/>
              <w:rPr>
                <w:noProof/>
                <w:lang w:val="es-ES_tradnl"/>
              </w:rPr>
            </w:pPr>
            <w:r w:rsidRPr="00C60FC3">
              <w:rPr>
                <w:noProof/>
                <w:szCs w:val="24"/>
                <w:lang w:val="es-ES_tradnl"/>
              </w:rPr>
              <w:t>Borys, Rivoire, Oertel</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Reunión de expertos para la revisión del proyecto de marco jurídico de la ARIPO sobre la protección de las obtenciones vegetales</w:t>
            </w:r>
          </w:p>
          <w:p w:rsidR="00B43D13" w:rsidRPr="00C60FC3" w:rsidRDefault="00B43D13" w:rsidP="00BF2668">
            <w:pPr>
              <w:spacing w:before="60" w:after="60"/>
              <w:jc w:val="left"/>
              <w:rPr>
                <w:szCs w:val="24"/>
                <w:lang w:val="es-ES_tradnl"/>
              </w:rPr>
            </w:pPr>
            <w:r w:rsidRPr="00C60FC3">
              <w:rPr>
                <w:lang w:val="es-ES_tradnl"/>
              </w:rPr>
              <w:t xml:space="preserve">Reuniones de </w:t>
            </w:r>
            <w:r w:rsidR="00FD232B">
              <w:rPr>
                <w:lang w:val="es-ES_tradnl"/>
              </w:rPr>
              <w:t>asesoramiento legal</w:t>
            </w:r>
          </w:p>
        </w:tc>
        <w:tc>
          <w:tcPr>
            <w:tcW w:w="3118" w:type="dxa"/>
          </w:tcPr>
          <w:p w:rsidR="00B43D13" w:rsidRPr="00C60FC3" w:rsidRDefault="00B43D13" w:rsidP="00BF2668">
            <w:pPr>
              <w:spacing w:before="60" w:after="60"/>
              <w:jc w:val="left"/>
              <w:rPr>
                <w:szCs w:val="24"/>
                <w:lang w:val="es-ES_tradnl"/>
              </w:rPr>
            </w:pPr>
            <w:r w:rsidRPr="00C60FC3">
              <w:rPr>
                <w:lang w:val="es-ES_tradnl"/>
              </w:rPr>
              <w:t>Harare (Zimbabwe) (junio)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Huerta</w:t>
            </w:r>
          </w:p>
        </w:tc>
      </w:tr>
      <w:tr w:rsidR="00B43D13" w:rsidRPr="00C60FC3" w:rsidTr="00307859">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Taller preparatorio y trigésima sesión del TWC</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Chisinau (República de Moldova) (junio)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Borys, Aihara, Taveira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rFonts w:cs="Arial"/>
                <w:szCs w:val="22"/>
                <w:lang w:val="es-ES_tradnl"/>
              </w:rPr>
              <w:t>XV Curso internacional sobre protección de las variedades vegetales (Naktuinbouw)</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Wageningen (Países Bajos) (junio)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Huerta, Rivoire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Coloquio OMPI-OMC para docentes de propiedad intelectual</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(junio)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Seminario Interregional de la OMPI de nivel intermedio sobre propiedad intelectual</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(junio)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Taveira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snapToGrid w:val="0"/>
                <w:lang w:val="es-ES_tradnl"/>
              </w:rPr>
              <w:t>Congreso Mundial de Semillas 2012 (ISF)</w:t>
            </w:r>
          </w:p>
        </w:tc>
        <w:tc>
          <w:tcPr>
            <w:tcW w:w="3118" w:type="dxa"/>
          </w:tcPr>
          <w:p w:rsidR="00B43D13" w:rsidRPr="00C60FC3" w:rsidRDefault="00B43D13" w:rsidP="00BF2668">
            <w:pPr>
              <w:spacing w:before="60" w:after="60"/>
              <w:jc w:val="left"/>
              <w:rPr>
                <w:lang w:val="es-ES_tradnl"/>
              </w:rPr>
            </w:pPr>
            <w:r w:rsidRPr="00C60FC3">
              <w:rPr>
                <w:snapToGrid w:val="0"/>
                <w:lang w:val="es-ES_tradnl"/>
              </w:rPr>
              <w:t>Río de Janeiro (Brasil) (junio)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napToGrid w:val="0"/>
                <w:color w:val="000000"/>
                <w:lang w:val="es-ES_tradnl" w:eastAsia="ja-JP"/>
              </w:rPr>
              <w:t>Segunda reunión del Comité Intergubernamental Especial de Composición Abierta sobre Acceso a los Recursos Genéticos y Participación Justa y Equitativa en los Beneficios que se Deriven de su Utilización al Convenio sobre la Diversidad Biológica (CIPE-2)</w:t>
            </w:r>
          </w:p>
        </w:tc>
        <w:tc>
          <w:tcPr>
            <w:tcW w:w="3118" w:type="dxa"/>
          </w:tcPr>
          <w:p w:rsidR="00B43D13" w:rsidRPr="00C60FC3" w:rsidRDefault="00B43D13" w:rsidP="00BF2668">
            <w:pPr>
              <w:spacing w:before="60" w:after="60"/>
              <w:jc w:val="left"/>
              <w:rPr>
                <w:szCs w:val="24"/>
                <w:lang w:val="es-ES_tradnl"/>
              </w:rPr>
            </w:pPr>
            <w:r w:rsidRPr="00C60FC3">
              <w:rPr>
                <w:lang w:val="es-ES_tradnl"/>
              </w:rPr>
              <w:t>Nueva Delhi (India) (julio)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Aihara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Curso “Licencias de tecnología para los países en desarrollo:  qué se aconseja y qué se desaconseja hacer”</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Roma (Italia) (julio)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Curso de verano de la OMPI sobre propiedad intelectual</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(julio)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Button, Rivoire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Vigésima segunda sesión del Comité Intergubernamental sobre Propiedad Intelectual y Recursos Genéticos, Conocimientos Tradicionales y Folclore (CIG) de la OMPI</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(julio)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Aihara</w:t>
            </w:r>
          </w:p>
        </w:tc>
      </w:tr>
      <w:tr w:rsidR="00B43D13" w:rsidRPr="00C60FC3" w:rsidTr="00DF5766">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szCs w:val="24"/>
                <w:lang w:val="es-ES_tradnl"/>
              </w:rPr>
              <w:t>Reuniones de los sistemas de semillas de la OCDE</w:t>
            </w:r>
          </w:p>
        </w:tc>
        <w:tc>
          <w:tcPr>
            <w:tcW w:w="3118" w:type="dxa"/>
          </w:tcPr>
          <w:p w:rsidR="00B43D13" w:rsidRPr="00C60FC3" w:rsidRDefault="00B43D13" w:rsidP="00BF2668">
            <w:pPr>
              <w:spacing w:before="60" w:after="60"/>
              <w:jc w:val="left"/>
              <w:rPr>
                <w:szCs w:val="24"/>
                <w:lang w:val="es-ES_tradnl"/>
              </w:rPr>
            </w:pPr>
            <w:r w:rsidRPr="00C60FC3">
              <w:rPr>
                <w:lang w:val="es-ES_tradnl"/>
              </w:rPr>
              <w:t>Helsinki (Finlandia) (julio)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Borys</w:t>
            </w:r>
          </w:p>
        </w:tc>
      </w:tr>
      <w:tr w:rsidR="00B43D13" w:rsidRPr="00C60FC3" w:rsidTr="00DF5766">
        <w:trPr>
          <w:cantSplit/>
          <w:jc w:val="center"/>
        </w:trPr>
        <w:tc>
          <w:tcPr>
            <w:tcW w:w="4216" w:type="dxa"/>
            <w:tcBorders>
              <w:bottom w:val="nil"/>
              <w:right w:val="nil"/>
            </w:tcBorders>
          </w:tcPr>
          <w:p w:rsidR="00B43D13" w:rsidRPr="00C60FC3" w:rsidRDefault="00B43D13" w:rsidP="00FD232B">
            <w:pPr>
              <w:spacing w:before="60" w:after="60"/>
              <w:jc w:val="left"/>
              <w:rPr>
                <w:szCs w:val="24"/>
                <w:lang w:val="es-ES_tradnl"/>
              </w:rPr>
            </w:pPr>
            <w:r w:rsidRPr="00C60FC3">
              <w:rPr>
                <w:szCs w:val="24"/>
                <w:lang w:val="es-ES_tradnl"/>
              </w:rPr>
              <w:t>Curso de formación</w:t>
            </w:r>
            <w:r w:rsidR="00FD232B">
              <w:rPr>
                <w:szCs w:val="24"/>
                <w:lang w:val="es-ES_tradnl"/>
              </w:rPr>
              <w:t xml:space="preserve"> de la </w:t>
            </w:r>
            <w:r w:rsidR="00FD232B" w:rsidRPr="00C60FC3">
              <w:rPr>
                <w:szCs w:val="24"/>
                <w:lang w:val="es-ES_tradnl"/>
              </w:rPr>
              <w:t>KSVS y KOICA</w:t>
            </w:r>
            <w:r w:rsidRPr="00C60FC3">
              <w:rPr>
                <w:szCs w:val="24"/>
                <w:lang w:val="es-ES_tradnl"/>
              </w:rPr>
              <w:t xml:space="preserve"> sobre “Protección de las var</w:t>
            </w:r>
            <w:r w:rsidR="00FD232B">
              <w:rPr>
                <w:szCs w:val="24"/>
                <w:lang w:val="es-ES_tradnl"/>
              </w:rPr>
              <w:t>iedades vegetales y examen DHE”</w:t>
            </w:r>
          </w:p>
        </w:tc>
        <w:tc>
          <w:tcPr>
            <w:tcW w:w="3118" w:type="dxa"/>
            <w:tcBorders>
              <w:bottom w:val="nil"/>
            </w:tcBorders>
          </w:tcPr>
          <w:p w:rsidR="00B43D13" w:rsidRPr="00C60FC3" w:rsidRDefault="00B43D13" w:rsidP="00BF2668">
            <w:pPr>
              <w:spacing w:before="60" w:after="60"/>
              <w:jc w:val="left"/>
              <w:rPr>
                <w:lang w:val="es-ES_tradnl"/>
              </w:rPr>
            </w:pPr>
            <w:r w:rsidRPr="00C60FC3">
              <w:rPr>
                <w:lang w:val="es-ES_tradnl"/>
              </w:rPr>
              <w:t>Seúl (República de Corea) (julio)</w:t>
            </w:r>
          </w:p>
        </w:tc>
        <w:tc>
          <w:tcPr>
            <w:tcW w:w="2513" w:type="dxa"/>
            <w:tcBorders>
              <w:bottom w:val="nil"/>
            </w:tcBorders>
          </w:tcPr>
          <w:p w:rsidR="00B43D13" w:rsidRPr="00C60FC3" w:rsidRDefault="00B43D13" w:rsidP="00BF2668">
            <w:pPr>
              <w:spacing w:before="60" w:after="60"/>
              <w:jc w:val="left"/>
              <w:rPr>
                <w:noProof/>
                <w:szCs w:val="24"/>
                <w:lang w:val="es-ES_tradnl"/>
              </w:rPr>
            </w:pPr>
            <w:r w:rsidRPr="00C60FC3">
              <w:rPr>
                <w:noProof/>
                <w:szCs w:val="24"/>
                <w:lang w:val="es-ES_tradnl"/>
              </w:rPr>
              <w:t>Huerta, Rivoire</w:t>
            </w:r>
          </w:p>
        </w:tc>
      </w:tr>
      <w:tr w:rsidR="00B43D13" w:rsidRPr="00C60FC3" w:rsidTr="00DF5766">
        <w:trPr>
          <w:cantSplit/>
          <w:jc w:val="center"/>
        </w:trPr>
        <w:tc>
          <w:tcPr>
            <w:tcW w:w="4216" w:type="dxa"/>
            <w:tcBorders>
              <w:top w:val="nil"/>
              <w:right w:val="nil"/>
            </w:tcBorders>
          </w:tcPr>
          <w:p w:rsidR="00B43D13" w:rsidRPr="00C60FC3" w:rsidRDefault="00B43D13" w:rsidP="00BF2668">
            <w:pPr>
              <w:spacing w:before="60" w:after="60"/>
              <w:jc w:val="left"/>
              <w:rPr>
                <w:szCs w:val="24"/>
                <w:lang w:val="es-ES_tradnl"/>
              </w:rPr>
            </w:pPr>
            <w:r w:rsidRPr="00C60FC3">
              <w:rPr>
                <w:szCs w:val="24"/>
                <w:lang w:val="es-ES_tradnl"/>
              </w:rPr>
              <w:t xml:space="preserve">Reunión de </w:t>
            </w:r>
            <w:r w:rsidR="00FD232B">
              <w:rPr>
                <w:szCs w:val="24"/>
                <w:lang w:val="es-ES_tradnl"/>
              </w:rPr>
              <w:t>asesoramiento legal</w:t>
            </w:r>
          </w:p>
        </w:tc>
        <w:tc>
          <w:tcPr>
            <w:tcW w:w="3118" w:type="dxa"/>
            <w:tcBorders>
              <w:top w:val="nil"/>
            </w:tcBorders>
          </w:tcPr>
          <w:p w:rsidR="00B43D13" w:rsidRPr="00C60FC3" w:rsidRDefault="00B43D13" w:rsidP="00BF2668">
            <w:pPr>
              <w:spacing w:before="60" w:after="60"/>
              <w:jc w:val="left"/>
              <w:rPr>
                <w:lang w:val="es-ES_tradnl"/>
              </w:rPr>
            </w:pPr>
            <w:r w:rsidRPr="00C60FC3">
              <w:rPr>
                <w:lang w:val="es-ES_tradnl"/>
              </w:rPr>
              <w:t>Bangkok (Tailandia) (julio)</w:t>
            </w:r>
          </w:p>
        </w:tc>
        <w:tc>
          <w:tcPr>
            <w:tcW w:w="2513" w:type="dxa"/>
            <w:tcBorders>
              <w:top w:val="nil"/>
            </w:tcBorders>
          </w:tcPr>
          <w:p w:rsidR="00B43D13" w:rsidRPr="00C60FC3" w:rsidRDefault="00B43D13" w:rsidP="00BF2668">
            <w:pPr>
              <w:spacing w:before="60" w:after="60"/>
              <w:jc w:val="left"/>
              <w:rPr>
                <w:noProof/>
                <w:szCs w:val="24"/>
                <w:lang w:val="es-ES_tradnl"/>
              </w:rPr>
            </w:pPr>
            <w:r w:rsidRPr="00C60FC3">
              <w:rPr>
                <w:noProof/>
                <w:szCs w:val="24"/>
                <w:lang w:val="es-ES_tradnl"/>
              </w:rPr>
              <w:t>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 xml:space="preserve">Programa de Licenciatura en Derecho de propiedad intelectual de la </w:t>
            </w:r>
            <w:r w:rsidRPr="00C60FC3">
              <w:rPr>
                <w:i/>
                <w:lang w:val="es-ES_tradnl"/>
              </w:rPr>
              <w:t>Queensland University of Technology</w:t>
            </w:r>
            <w:r w:rsidRPr="00C60FC3">
              <w:rPr>
                <w:lang w:val="es-ES_tradnl"/>
              </w:rPr>
              <w:t xml:space="preserve"> (QUT)</w:t>
            </w:r>
          </w:p>
        </w:tc>
        <w:tc>
          <w:tcPr>
            <w:tcW w:w="3118" w:type="dxa"/>
          </w:tcPr>
          <w:p w:rsidR="00B43D13" w:rsidRPr="00C60FC3" w:rsidRDefault="00B43D13" w:rsidP="00BF2668">
            <w:pPr>
              <w:spacing w:before="60" w:after="60"/>
              <w:jc w:val="left"/>
              <w:rPr>
                <w:lang w:val="es-ES_tradnl"/>
              </w:rPr>
            </w:pPr>
            <w:r w:rsidRPr="00C60FC3">
              <w:rPr>
                <w:lang w:val="es-ES_tradnl"/>
              </w:rPr>
              <w:t>Brisbane (Australia) (julio)</w:t>
            </w:r>
          </w:p>
        </w:tc>
        <w:tc>
          <w:tcPr>
            <w:tcW w:w="2513" w:type="dxa"/>
          </w:tcPr>
          <w:p w:rsidR="00B43D13" w:rsidRPr="00C60FC3" w:rsidRDefault="00B43D13" w:rsidP="00BF2668">
            <w:pPr>
              <w:spacing w:before="60" w:after="60"/>
              <w:jc w:val="left"/>
              <w:rPr>
                <w:noProof/>
                <w:szCs w:val="24"/>
                <w:lang w:val="es-ES_tradnl"/>
              </w:rPr>
            </w:pPr>
            <w:r w:rsidRPr="00C60FC3">
              <w:rPr>
                <w:noProof/>
                <w:lang w:val="es-ES_tradnl"/>
              </w:rPr>
              <w:t>Waterhouse (AU)</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Taller preparatorio y cuadragésima tercera sesión del TWF</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Beijing (China) (julio y agosto)</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Borys, Rivoire, Rovere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lang w:val="es-ES_tradnl"/>
              </w:rPr>
            </w:pPr>
            <w:r w:rsidRPr="00C60FC3">
              <w:rPr>
                <w:szCs w:val="24"/>
                <w:lang w:val="es-ES_tradnl"/>
              </w:rPr>
              <w:t>Taller preparatorio y cuadragésima quinta sesión del TWO</w:t>
            </w:r>
          </w:p>
        </w:tc>
        <w:tc>
          <w:tcPr>
            <w:tcW w:w="3118" w:type="dxa"/>
          </w:tcPr>
          <w:p w:rsidR="00B43D13" w:rsidRPr="00C60FC3" w:rsidRDefault="00B43D13" w:rsidP="00BF2668">
            <w:pPr>
              <w:spacing w:before="60" w:after="60"/>
              <w:jc w:val="left"/>
              <w:rPr>
                <w:lang w:val="es-ES_tradnl"/>
              </w:rPr>
            </w:pPr>
            <w:r w:rsidRPr="00C60FC3">
              <w:rPr>
                <w:lang w:val="es-ES_tradnl"/>
              </w:rPr>
              <w:t>Jeju (República de Corea) (agosto)</w:t>
            </w:r>
          </w:p>
        </w:tc>
        <w:tc>
          <w:tcPr>
            <w:tcW w:w="2513" w:type="dxa"/>
          </w:tcPr>
          <w:p w:rsidR="00B43D13" w:rsidRPr="00C60FC3" w:rsidRDefault="00B43D13" w:rsidP="00BF2668">
            <w:pPr>
              <w:spacing w:before="60" w:after="60"/>
              <w:jc w:val="left"/>
              <w:rPr>
                <w:noProof/>
                <w:lang w:val="es-ES_tradnl"/>
              </w:rPr>
            </w:pPr>
            <w:r w:rsidRPr="00C60FC3">
              <w:rPr>
                <w:noProof/>
                <w:szCs w:val="24"/>
                <w:lang w:val="es-ES_tradnl"/>
              </w:rPr>
              <w:t>Borys, Taveira, Rovere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snapToGrid w:val="0"/>
                <w:lang w:val="es-ES_tradnl"/>
              </w:rPr>
              <w:t>Reunión para examinar las opciones correspondientes a la creación de una “Plataforma de codesarrollo y transferencia de tecnologías” y las actividades conexas en el contexto del ITPGRFA</w:t>
            </w:r>
          </w:p>
        </w:tc>
        <w:tc>
          <w:tcPr>
            <w:tcW w:w="3118" w:type="dxa"/>
          </w:tcPr>
          <w:p w:rsidR="00B43D13" w:rsidRPr="00C60FC3" w:rsidRDefault="00B43D13" w:rsidP="00BF2668">
            <w:pPr>
              <w:spacing w:before="60" w:after="60"/>
              <w:jc w:val="left"/>
              <w:rPr>
                <w:lang w:val="es-ES_tradnl"/>
              </w:rPr>
            </w:pPr>
            <w:r w:rsidRPr="00C60FC3">
              <w:rPr>
                <w:lang w:val="es-ES_tradnl"/>
              </w:rPr>
              <w:t>Brasilia (Brasil) (agosto)</w:t>
            </w:r>
          </w:p>
        </w:tc>
        <w:tc>
          <w:tcPr>
            <w:tcW w:w="2513" w:type="dxa"/>
          </w:tcPr>
          <w:p w:rsidR="00B43D13" w:rsidRPr="00C60FC3" w:rsidRDefault="00B43D13" w:rsidP="00BF2668">
            <w:pPr>
              <w:spacing w:before="60" w:after="60"/>
              <w:jc w:val="left"/>
              <w:rPr>
                <w:noProof/>
                <w:lang w:val="es-ES_tradnl"/>
              </w:rPr>
            </w:pPr>
            <w:r w:rsidRPr="00C60FC3">
              <w:rPr>
                <w:noProof/>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lang w:val="es-ES_tradnl"/>
              </w:rPr>
            </w:pPr>
            <w:r w:rsidRPr="00C60FC3">
              <w:rPr>
                <w:snapToGrid w:val="0"/>
                <w:lang w:val="es-ES_tradnl"/>
              </w:rPr>
              <w:t>Reunión con expertos de la OCVV</w:t>
            </w:r>
          </w:p>
        </w:tc>
        <w:tc>
          <w:tcPr>
            <w:tcW w:w="3118" w:type="dxa"/>
          </w:tcPr>
          <w:p w:rsidR="00B43D13" w:rsidRPr="00C60FC3" w:rsidRDefault="00B43D13" w:rsidP="00BF2668">
            <w:pPr>
              <w:spacing w:before="60" w:after="60"/>
              <w:jc w:val="left"/>
              <w:rPr>
                <w:lang w:val="es-ES_tradnl"/>
              </w:rPr>
            </w:pPr>
            <w:r w:rsidRPr="00C60FC3">
              <w:rPr>
                <w:lang w:val="es-ES_tradnl"/>
              </w:rPr>
              <w:t>Angers (Francia) (agosto)</w:t>
            </w:r>
          </w:p>
        </w:tc>
        <w:tc>
          <w:tcPr>
            <w:tcW w:w="2513" w:type="dxa"/>
          </w:tcPr>
          <w:p w:rsidR="00B43D13" w:rsidRPr="00C60FC3" w:rsidRDefault="00B43D13" w:rsidP="00BF2668">
            <w:pPr>
              <w:spacing w:before="60" w:after="60"/>
              <w:jc w:val="left"/>
              <w:rPr>
                <w:noProof/>
                <w:lang w:val="es-ES_tradnl"/>
              </w:rPr>
            </w:pPr>
            <w:r w:rsidRPr="00C60FC3">
              <w:rPr>
                <w:noProof/>
                <w:snapToGrid w:val="0"/>
                <w:lang w:val="es-ES_tradnl"/>
              </w:rPr>
              <w:t xml:space="preserve">Pérez del Castillo </w:t>
            </w:r>
            <w:r w:rsidRPr="00C60FC3">
              <w:rPr>
                <w:snapToGrid w:val="0"/>
                <w:lang w:val="es-ES_tradnl"/>
              </w:rPr>
              <w:t>(OMPI)</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lang w:val="es-ES_tradnl"/>
              </w:rPr>
            </w:pPr>
            <w:r w:rsidRPr="00C60FC3">
              <w:rPr>
                <w:snapToGrid w:val="0"/>
                <w:lang w:val="es-ES_tradnl"/>
              </w:rPr>
              <w:t>XXIII Congreso Panamericano de Semillas</w:t>
            </w:r>
          </w:p>
        </w:tc>
        <w:tc>
          <w:tcPr>
            <w:tcW w:w="3118" w:type="dxa"/>
          </w:tcPr>
          <w:p w:rsidR="00B43D13" w:rsidRPr="00C60FC3" w:rsidRDefault="00B43D13" w:rsidP="00BF2668">
            <w:pPr>
              <w:spacing w:before="60" w:after="60"/>
              <w:jc w:val="left"/>
              <w:rPr>
                <w:lang w:val="es-ES_tradnl"/>
              </w:rPr>
            </w:pPr>
            <w:r w:rsidRPr="00C60FC3">
              <w:rPr>
                <w:lang w:val="es-ES_tradnl"/>
              </w:rPr>
              <w:t>Santa Cruz de la Sierra (Bolivia (Estado Plurinacional de)) (agosto)</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Taveira</w:t>
            </w:r>
          </w:p>
        </w:tc>
      </w:tr>
      <w:tr w:rsidR="00B43D13" w:rsidRPr="00C60FC3" w:rsidTr="00EF27E4">
        <w:trPr>
          <w:cantSplit/>
          <w:jc w:val="center"/>
        </w:trPr>
        <w:tc>
          <w:tcPr>
            <w:tcW w:w="4216" w:type="dxa"/>
            <w:tcBorders>
              <w:right w:val="nil"/>
            </w:tcBorders>
          </w:tcPr>
          <w:p w:rsidR="00B43D13" w:rsidRPr="00C60FC3" w:rsidRDefault="00B43D13" w:rsidP="00FD232B">
            <w:pPr>
              <w:spacing w:before="60" w:after="60"/>
              <w:jc w:val="left"/>
              <w:rPr>
                <w:snapToGrid w:val="0"/>
                <w:lang w:val="es-ES_tradnl"/>
              </w:rPr>
            </w:pPr>
            <w:r w:rsidRPr="00C60FC3">
              <w:rPr>
                <w:snapToGrid w:val="0"/>
                <w:lang w:val="es-ES_tradnl"/>
              </w:rPr>
              <w:t xml:space="preserve">Curso de formación </w:t>
            </w:r>
            <w:r w:rsidR="00FD232B">
              <w:rPr>
                <w:snapToGrid w:val="0"/>
                <w:lang w:val="es-ES_tradnl"/>
              </w:rPr>
              <w:t xml:space="preserve">de la JICA </w:t>
            </w:r>
            <w:r w:rsidRPr="00C60FC3">
              <w:rPr>
                <w:snapToGrid w:val="0"/>
                <w:lang w:val="es-ES_tradnl"/>
              </w:rPr>
              <w:t>sobre la “Armonización Internacional del Sistema de Protecci</w:t>
            </w:r>
            <w:r w:rsidR="00FD232B">
              <w:rPr>
                <w:snapToGrid w:val="0"/>
                <w:lang w:val="es-ES_tradnl"/>
              </w:rPr>
              <w:t>ón de las Variedades Vegetales”</w:t>
            </w:r>
          </w:p>
        </w:tc>
        <w:tc>
          <w:tcPr>
            <w:tcW w:w="3118" w:type="dxa"/>
          </w:tcPr>
          <w:p w:rsidR="00B43D13" w:rsidRPr="00C60FC3" w:rsidRDefault="00B43D13" w:rsidP="00BF2668">
            <w:pPr>
              <w:spacing w:before="60" w:after="60"/>
              <w:jc w:val="left"/>
              <w:rPr>
                <w:lang w:val="es-ES_tradnl"/>
              </w:rPr>
            </w:pPr>
            <w:r w:rsidRPr="00C60FC3">
              <w:rPr>
                <w:lang w:val="es-ES_tradnl"/>
              </w:rPr>
              <w:t>Tsukuba (Japón) (septiembre)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Aihara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lang w:val="es-ES_tradnl"/>
              </w:rPr>
            </w:pPr>
            <w:r w:rsidRPr="00C60FC3">
              <w:rPr>
                <w:snapToGrid w:val="0"/>
                <w:lang w:val="es-ES_tradnl"/>
              </w:rPr>
              <w:t>Reunión del Comité Ejecutivo del Proyecto Mundial de Semillas en la Fundación Bill y Melinda Gates</w:t>
            </w:r>
          </w:p>
        </w:tc>
        <w:tc>
          <w:tcPr>
            <w:tcW w:w="3118" w:type="dxa"/>
          </w:tcPr>
          <w:p w:rsidR="00B43D13" w:rsidRPr="00C60FC3" w:rsidRDefault="00B43D13" w:rsidP="00BF2668">
            <w:pPr>
              <w:spacing w:before="60" w:after="60"/>
              <w:jc w:val="left"/>
              <w:rPr>
                <w:lang w:val="es-ES_tradnl"/>
              </w:rPr>
            </w:pPr>
            <w:r w:rsidRPr="00C60FC3">
              <w:rPr>
                <w:lang w:val="es-ES_tradnl"/>
              </w:rPr>
              <w:t>Seattle, Washington (Estados Unidos de América) (septiembre)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napToGrid w:val="0"/>
                <w:lang w:val="es-ES_tradnl"/>
              </w:rPr>
            </w:pPr>
            <w:r w:rsidRPr="00C60FC3">
              <w:rPr>
                <w:lang w:val="es-ES_tradnl"/>
              </w:rPr>
              <w:t>Celebraciones del quincuagésimo aniversario de la Organización Africana de la Propiedad Intelectual (OAPI)</w:t>
            </w:r>
          </w:p>
        </w:tc>
        <w:tc>
          <w:tcPr>
            <w:tcW w:w="3118" w:type="dxa"/>
          </w:tcPr>
          <w:p w:rsidR="00B43D13" w:rsidRPr="00C60FC3" w:rsidRDefault="00B43D13" w:rsidP="00BF2668">
            <w:pPr>
              <w:spacing w:before="60" w:after="60"/>
              <w:jc w:val="left"/>
              <w:rPr>
                <w:lang w:val="es-ES_tradnl"/>
              </w:rPr>
            </w:pPr>
            <w:r w:rsidRPr="00C60FC3">
              <w:rPr>
                <w:lang w:val="es-ES_tradnl"/>
              </w:rPr>
              <w:t>Yaundé (Camerún) (septiembre)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Rivoire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Día de Información “Transferencia de tecnología en el marco del Tratado Internacional sobre los recursos fitogenéticos para la alimentación y la agricultura”</w:t>
            </w:r>
          </w:p>
        </w:tc>
        <w:tc>
          <w:tcPr>
            <w:tcW w:w="3118" w:type="dxa"/>
          </w:tcPr>
          <w:p w:rsidR="00B43D13" w:rsidRPr="00C60FC3" w:rsidRDefault="00B43D13" w:rsidP="00BF2668">
            <w:pPr>
              <w:spacing w:before="60" w:after="60"/>
              <w:jc w:val="left"/>
              <w:rPr>
                <w:lang w:val="es-ES_tradnl"/>
              </w:rPr>
            </w:pPr>
            <w:r w:rsidRPr="00C60FC3">
              <w:rPr>
                <w:lang w:val="es-ES_tradnl"/>
              </w:rPr>
              <w:t>Ginebra (Suiza) (septiembre)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Sexta Conferencia Internacional sobre propiedad intelectual en el ámbito de la agricultura</w:t>
            </w:r>
          </w:p>
        </w:tc>
        <w:tc>
          <w:tcPr>
            <w:tcW w:w="3118" w:type="dxa"/>
          </w:tcPr>
          <w:p w:rsidR="00B43D13" w:rsidRPr="00C60FC3" w:rsidRDefault="00B43D13" w:rsidP="00BF2668">
            <w:pPr>
              <w:spacing w:before="60" w:after="60"/>
              <w:jc w:val="left"/>
              <w:rPr>
                <w:lang w:val="es-ES_tradnl"/>
              </w:rPr>
            </w:pPr>
            <w:r w:rsidRPr="00C60FC3">
              <w:rPr>
                <w:lang w:val="es-ES_tradnl"/>
              </w:rPr>
              <w:t>Ammán (Jordania) (septiembre)</w:t>
            </w:r>
          </w:p>
          <w:p w:rsidR="00B43D13" w:rsidRPr="00C60FC3" w:rsidRDefault="00B43D13" w:rsidP="00BF2668">
            <w:pPr>
              <w:spacing w:before="60" w:after="60"/>
              <w:jc w:val="left"/>
              <w:rPr>
                <w:lang w:val="es-ES_tradnl"/>
              </w:rPr>
            </w:pPr>
            <w:r w:rsidRPr="00C60FC3">
              <w:rPr>
                <w:lang w:val="es-ES_tradnl"/>
              </w:rPr>
              <w:t>(participación desde Ginebra vía Internet)</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Rivoire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Simposio Anual del Departamento de Agricultura de Sri Lanka</w:t>
            </w:r>
          </w:p>
        </w:tc>
        <w:tc>
          <w:tcPr>
            <w:tcW w:w="3118" w:type="dxa"/>
          </w:tcPr>
          <w:p w:rsidR="00B43D13" w:rsidRPr="00C60FC3" w:rsidRDefault="00B43D13" w:rsidP="00BF2668">
            <w:pPr>
              <w:spacing w:before="60" w:after="60"/>
              <w:jc w:val="left"/>
              <w:rPr>
                <w:lang w:val="es-ES_tradnl"/>
              </w:rPr>
            </w:pPr>
            <w:r w:rsidRPr="00C60FC3">
              <w:rPr>
                <w:lang w:val="es-ES_tradnl"/>
              </w:rPr>
              <w:t>Peradeniya (Sri Lanka) (septiembre)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w:t>
            </w:r>
          </w:p>
        </w:tc>
      </w:tr>
      <w:tr w:rsidR="00B43D13" w:rsidRPr="00C60FC3" w:rsidTr="00EF27E4">
        <w:trPr>
          <w:cantSplit/>
          <w:jc w:val="center"/>
        </w:trPr>
        <w:tc>
          <w:tcPr>
            <w:tcW w:w="4216" w:type="dxa"/>
            <w:tcBorders>
              <w:right w:val="nil"/>
            </w:tcBorders>
          </w:tcPr>
          <w:p w:rsidR="00B43D13" w:rsidRPr="00C60FC3" w:rsidRDefault="00B43D13" w:rsidP="00FD232B">
            <w:pPr>
              <w:spacing w:before="60" w:after="60"/>
              <w:jc w:val="left"/>
              <w:rPr>
                <w:lang w:val="es-ES_tradnl"/>
              </w:rPr>
            </w:pPr>
            <w:r w:rsidRPr="00C60FC3">
              <w:rPr>
                <w:lang w:val="es-ES_tradnl"/>
              </w:rPr>
              <w:t xml:space="preserve">Sesión </w:t>
            </w:r>
            <w:r w:rsidR="00FD232B">
              <w:rPr>
                <w:lang w:val="es-ES_tradnl"/>
              </w:rPr>
              <w:t xml:space="preserve">de la </w:t>
            </w:r>
            <w:r w:rsidR="00FD232B" w:rsidRPr="00C60FC3">
              <w:rPr>
                <w:lang w:val="es-ES_tradnl"/>
              </w:rPr>
              <w:t xml:space="preserve">QUNO e IIED </w:t>
            </w:r>
            <w:r w:rsidRPr="00C60FC3">
              <w:rPr>
                <w:lang w:val="es-ES_tradnl"/>
              </w:rPr>
              <w:t>sobre “Innovación agrícola para el siglo XXI – Conjugar el marco de propiedad intelectual con las ne</w:t>
            </w:r>
            <w:r w:rsidR="00FD232B">
              <w:rPr>
                <w:lang w:val="es-ES_tradnl"/>
              </w:rPr>
              <w:t>cesidades de los agricultores”</w:t>
            </w:r>
          </w:p>
        </w:tc>
        <w:tc>
          <w:tcPr>
            <w:tcW w:w="3118" w:type="dxa"/>
          </w:tcPr>
          <w:p w:rsidR="00B43D13" w:rsidRPr="00C60FC3" w:rsidRDefault="00B43D13" w:rsidP="00BF2668">
            <w:pPr>
              <w:spacing w:before="60" w:after="60"/>
              <w:jc w:val="left"/>
              <w:rPr>
                <w:lang w:val="es-ES_tradnl"/>
              </w:rPr>
            </w:pPr>
            <w:r w:rsidRPr="00C60FC3">
              <w:rPr>
                <w:lang w:val="es-ES_tradnl"/>
              </w:rPr>
              <w:t>Ginebra (Suiza) (septiembre)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 Aihara, Rivoire, Taveira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szCs w:val="24"/>
                <w:lang w:val="es-ES_tradnl"/>
              </w:rPr>
              <w:t>Jornada de formación sobre protección de las variedades vegetales, en el marco del Curso sobre recursos genéticos y derechos de propiedad intelectual (Curso GRIP)</w:t>
            </w:r>
          </w:p>
        </w:tc>
        <w:tc>
          <w:tcPr>
            <w:tcW w:w="3118" w:type="dxa"/>
          </w:tcPr>
          <w:p w:rsidR="00B43D13" w:rsidRPr="00C60FC3" w:rsidRDefault="00B43D13" w:rsidP="00BF2668">
            <w:pPr>
              <w:spacing w:before="60" w:after="60"/>
              <w:jc w:val="left"/>
              <w:rPr>
                <w:lang w:val="es-ES_tradnl"/>
              </w:rPr>
            </w:pPr>
            <w:r w:rsidRPr="00C60FC3">
              <w:rPr>
                <w:lang w:val="es-ES_tradnl"/>
              </w:rPr>
              <w:t xml:space="preserve">Uppsala (Suecia) </w:t>
            </w:r>
            <w:r w:rsidRPr="00C60FC3">
              <w:rPr>
                <w:color w:val="008000"/>
                <w:lang w:val="es-ES_tradnl"/>
              </w:rPr>
              <w:t>(</w:t>
            </w:r>
            <w:r w:rsidRPr="00C60FC3">
              <w:rPr>
                <w:lang w:val="es-ES_tradnl"/>
              </w:rPr>
              <w:t>septiembre)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Aihara</w:t>
            </w:r>
          </w:p>
        </w:tc>
      </w:tr>
      <w:tr w:rsidR="00B43D13" w:rsidRPr="00C60FC3" w:rsidTr="003B2045">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Reunión con miembros de la Comisión de la UICB</w:t>
            </w:r>
          </w:p>
        </w:tc>
        <w:tc>
          <w:tcPr>
            <w:tcW w:w="3118" w:type="dxa"/>
          </w:tcPr>
          <w:p w:rsidR="00B43D13" w:rsidRPr="00C60FC3" w:rsidRDefault="00B43D13" w:rsidP="00BF2668">
            <w:pPr>
              <w:spacing w:before="60" w:after="60"/>
              <w:jc w:val="left"/>
              <w:rPr>
                <w:lang w:val="es-ES_tradnl"/>
              </w:rPr>
            </w:pPr>
            <w:r w:rsidRPr="00C60FC3">
              <w:rPr>
                <w:lang w:val="es-ES_tradnl"/>
              </w:rPr>
              <w:t>Londres (Reino Unido) (octubre)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 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Simposio conjunto CIOPORA-JATAFF sobre la protección de las variedades vegetales en Asia</w:t>
            </w:r>
          </w:p>
          <w:p w:rsidR="00B43D13" w:rsidRPr="00C60FC3" w:rsidRDefault="00B43D13" w:rsidP="00BF2668">
            <w:pPr>
              <w:spacing w:before="60" w:after="60"/>
              <w:jc w:val="left"/>
              <w:rPr>
                <w:szCs w:val="24"/>
                <w:lang w:val="es-ES_tradnl"/>
              </w:rPr>
            </w:pPr>
            <w:r w:rsidRPr="00C60FC3">
              <w:rPr>
                <w:lang w:val="es-ES_tradnl"/>
              </w:rPr>
              <w:t>Curso breve de formación sobre el examen DHE para expertos del EAPVP</w:t>
            </w:r>
          </w:p>
        </w:tc>
        <w:tc>
          <w:tcPr>
            <w:tcW w:w="3118" w:type="dxa"/>
          </w:tcPr>
          <w:p w:rsidR="00B43D13" w:rsidRPr="00C60FC3" w:rsidRDefault="00B43D13" w:rsidP="00BF2668">
            <w:pPr>
              <w:spacing w:before="60" w:after="60"/>
              <w:jc w:val="left"/>
              <w:rPr>
                <w:lang w:val="es-ES_tradnl"/>
              </w:rPr>
            </w:pPr>
            <w:r w:rsidRPr="00C60FC3">
              <w:rPr>
                <w:lang w:val="es-ES_tradnl"/>
              </w:rPr>
              <w:t>Tokio (Japón) (octubre)</w:t>
            </w:r>
            <w:r w:rsidRPr="00C60FC3">
              <w:rPr>
                <w:lang w:val="es-ES_tradnl"/>
              </w:rPr>
              <w:br/>
            </w:r>
          </w:p>
          <w:p w:rsidR="00B43D13" w:rsidRPr="00C60FC3" w:rsidRDefault="00B43D13" w:rsidP="00BF2668">
            <w:pPr>
              <w:spacing w:before="60" w:after="60"/>
              <w:jc w:val="left"/>
              <w:rPr>
                <w:lang w:val="es-ES_tradnl"/>
              </w:rPr>
            </w:pPr>
            <w:r w:rsidRPr="00C60FC3">
              <w:rPr>
                <w:lang w:val="es-ES_tradnl"/>
              </w:rPr>
              <w:t>Kasaoka, Prefectura de Okayama (Japón) (octubre)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Aihara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 xml:space="preserve">Reunión anual de la </w:t>
            </w:r>
            <w:r w:rsidRPr="00C60FC3">
              <w:rPr>
                <w:i/>
                <w:lang w:val="es-ES_tradnl"/>
              </w:rPr>
              <w:t>European Seed Association</w:t>
            </w:r>
            <w:r w:rsidRPr="00C60FC3">
              <w:rPr>
                <w:lang w:val="es-ES_tradnl"/>
              </w:rPr>
              <w:t xml:space="preserve"> (ESA) y asistencia a la Asamblea General de la ESA y a la cena de la Junta</w:t>
            </w:r>
          </w:p>
        </w:tc>
        <w:tc>
          <w:tcPr>
            <w:tcW w:w="3118" w:type="dxa"/>
          </w:tcPr>
          <w:p w:rsidR="00B43D13" w:rsidRPr="00C60FC3" w:rsidRDefault="00B43D13" w:rsidP="00BF2668">
            <w:pPr>
              <w:spacing w:before="60" w:after="60"/>
              <w:jc w:val="left"/>
              <w:rPr>
                <w:lang w:val="es-ES_tradnl"/>
              </w:rPr>
            </w:pPr>
            <w:r w:rsidRPr="00C60FC3">
              <w:rPr>
                <w:lang w:val="es-ES_tradnl"/>
              </w:rPr>
              <w:t>Bruselas (Bélgica) (octubre)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Huerta</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lang w:val="es-ES_tradnl"/>
              </w:rPr>
            </w:pPr>
            <w:r w:rsidRPr="00C60FC3">
              <w:rPr>
                <w:lang w:val="es-ES_tradnl"/>
              </w:rPr>
              <w:t>Reunión sobre formularios electrónicos de solicitud</w:t>
            </w:r>
          </w:p>
        </w:tc>
        <w:tc>
          <w:tcPr>
            <w:tcW w:w="3118" w:type="dxa"/>
          </w:tcPr>
          <w:p w:rsidR="00B43D13" w:rsidRPr="00C60FC3" w:rsidRDefault="00B43D13" w:rsidP="00BF2668">
            <w:pPr>
              <w:spacing w:before="60" w:after="60"/>
              <w:jc w:val="left"/>
              <w:rPr>
                <w:lang w:val="es-ES_tradnl"/>
              </w:rPr>
            </w:pPr>
            <w:r w:rsidRPr="00C60FC3">
              <w:rPr>
                <w:lang w:val="es-ES_tradnl"/>
              </w:rPr>
              <w:t>Ginebra (Suiza) (octubre)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 Huerta, Borys, Aihara, Taveira, Besse</w:t>
            </w:r>
          </w:p>
        </w:tc>
      </w:tr>
      <w:tr w:rsidR="00B43D13" w:rsidRPr="00C60FC3" w:rsidTr="00EF27E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lang w:val="es-ES_tradnl"/>
              </w:rPr>
              <w:t xml:space="preserve">Visita de estudio y </w:t>
            </w:r>
            <w:r w:rsidR="00FD232B">
              <w:rPr>
                <w:lang w:val="es-ES_tradnl"/>
              </w:rPr>
              <w:t>reunión-</w:t>
            </w:r>
            <w:r w:rsidRPr="00C60FC3">
              <w:rPr>
                <w:lang w:val="es-ES_tradnl"/>
              </w:rPr>
              <w:t>cena para altos funcionarios de Filipinas, Indonesia, Malasia y Tailandia</w:t>
            </w:r>
          </w:p>
        </w:tc>
        <w:tc>
          <w:tcPr>
            <w:tcW w:w="3118" w:type="dxa"/>
          </w:tcPr>
          <w:p w:rsidR="00B43D13" w:rsidRPr="00C60FC3" w:rsidRDefault="00B43D13" w:rsidP="00BF2668">
            <w:pPr>
              <w:spacing w:before="60" w:after="60"/>
              <w:jc w:val="left"/>
              <w:rPr>
                <w:lang w:val="es-ES_tradnl"/>
              </w:rPr>
            </w:pPr>
            <w:r w:rsidRPr="00C60FC3">
              <w:rPr>
                <w:lang w:val="es-ES_tradnl"/>
              </w:rPr>
              <w:t>París (Francia) (octubre)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Huerta, Aihara</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Seminario nacional de la OMPI sobre la incidencia del Tratado de Cooperación en materia de Patentes (PCT) en la investigación</w:t>
            </w:r>
          </w:p>
        </w:tc>
        <w:tc>
          <w:tcPr>
            <w:tcW w:w="3118" w:type="dxa"/>
          </w:tcPr>
          <w:p w:rsidR="00B43D13" w:rsidRPr="00C60FC3" w:rsidRDefault="00B43D13" w:rsidP="00BF2668">
            <w:pPr>
              <w:spacing w:before="60" w:after="60"/>
              <w:jc w:val="left"/>
              <w:rPr>
                <w:lang w:val="es-ES_tradnl"/>
              </w:rPr>
            </w:pPr>
            <w:r w:rsidRPr="00C60FC3">
              <w:rPr>
                <w:szCs w:val="24"/>
                <w:lang w:val="es-ES_tradnl"/>
              </w:rPr>
              <w:t>Maputo (Mozambique) (octubre)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Taveira</w:t>
            </w:r>
          </w:p>
        </w:tc>
      </w:tr>
      <w:tr w:rsidR="00B43D13" w:rsidRPr="00C60FC3" w:rsidTr="00E53414">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napToGrid w:val="0"/>
                <w:szCs w:val="24"/>
                <w:lang w:val="es-ES_tradnl"/>
              </w:rPr>
              <w:t>Reunión del Consejo de los ADPIC (sede de la OMC)</w:t>
            </w:r>
          </w:p>
        </w:tc>
        <w:tc>
          <w:tcPr>
            <w:tcW w:w="3118" w:type="dxa"/>
          </w:tcPr>
          <w:p w:rsidR="00B43D13" w:rsidRPr="00C60FC3" w:rsidRDefault="00B43D13" w:rsidP="00BF2668">
            <w:pPr>
              <w:spacing w:before="60" w:after="60"/>
              <w:jc w:val="left"/>
              <w:rPr>
                <w:szCs w:val="24"/>
                <w:lang w:val="es-ES_tradnl"/>
              </w:rPr>
            </w:pPr>
            <w:r w:rsidRPr="00C60FC3">
              <w:rPr>
                <w:szCs w:val="24"/>
                <w:lang w:val="es-ES_tradnl"/>
              </w:rPr>
              <w:t>Ginebra (Suiza) (octubre)</w:t>
            </w:r>
          </w:p>
        </w:tc>
        <w:tc>
          <w:tcPr>
            <w:tcW w:w="2513" w:type="dxa"/>
          </w:tcPr>
          <w:p w:rsidR="00B43D13" w:rsidRPr="00C60FC3" w:rsidRDefault="00B43D13" w:rsidP="00BF2668">
            <w:pPr>
              <w:spacing w:before="60" w:after="60"/>
              <w:jc w:val="left"/>
              <w:rPr>
                <w:noProof/>
                <w:szCs w:val="24"/>
                <w:lang w:val="es-ES_tradnl"/>
              </w:rPr>
            </w:pPr>
            <w:r w:rsidRPr="00C60FC3">
              <w:rPr>
                <w:noProof/>
                <w:szCs w:val="24"/>
                <w:lang w:val="es-ES_tradnl"/>
              </w:rPr>
              <w:t>Huerta</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Congreso Asiático de Semillas (APSA)</w:t>
            </w:r>
          </w:p>
        </w:tc>
        <w:tc>
          <w:tcPr>
            <w:tcW w:w="3118" w:type="dxa"/>
          </w:tcPr>
          <w:p w:rsidR="00B43D13" w:rsidRPr="00C60FC3" w:rsidRDefault="00B43D13" w:rsidP="00BF2668">
            <w:pPr>
              <w:spacing w:before="60" w:after="60"/>
              <w:jc w:val="left"/>
              <w:rPr>
                <w:lang w:val="es-ES_tradnl"/>
              </w:rPr>
            </w:pPr>
            <w:r w:rsidRPr="00C60FC3">
              <w:rPr>
                <w:lang w:val="es-ES_tradnl"/>
              </w:rPr>
              <w:t>Bali (Indonesia) (noviembre)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Aihara</w:t>
            </w:r>
          </w:p>
        </w:tc>
      </w:tr>
      <w:tr w:rsidR="00B43D13" w:rsidRPr="00C60FC3" w:rsidTr="00800D97">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Quinta Reunión ministerial de la Organización de Cooperación Económica (OCE) sobre agricultura y segunda Conferencia de donantes para la ejecución del Programa Regional de Seguridad Alimentaria (RPFS)</w:t>
            </w:r>
          </w:p>
        </w:tc>
        <w:tc>
          <w:tcPr>
            <w:tcW w:w="3118" w:type="dxa"/>
          </w:tcPr>
          <w:p w:rsidR="00B43D13" w:rsidRPr="00C60FC3" w:rsidRDefault="00B43D13" w:rsidP="00BF2668">
            <w:pPr>
              <w:spacing w:before="60" w:after="60"/>
              <w:jc w:val="left"/>
              <w:rPr>
                <w:lang w:val="es-ES_tradnl"/>
              </w:rPr>
            </w:pPr>
            <w:r w:rsidRPr="00C60FC3">
              <w:rPr>
                <w:lang w:val="es-ES_tradnl"/>
              </w:rPr>
              <w:t>Antalya (Turquía) (noviembre)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Rivoire</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Sexta sesión del Grupo de Trabajo Técnico Intergubernamental sobre Recursos Fitogenéticos para la Alimentación y la Agricultura (ITWG-PGRFA) de la Comisión sobre Recursos Genéticos para la Alimentación y la Agricultura (CGRFA) de la FAO</w:t>
            </w:r>
          </w:p>
        </w:tc>
        <w:tc>
          <w:tcPr>
            <w:tcW w:w="3118" w:type="dxa"/>
          </w:tcPr>
          <w:p w:rsidR="00B43D13" w:rsidRPr="00C60FC3" w:rsidRDefault="00B43D13" w:rsidP="00BF2668">
            <w:pPr>
              <w:spacing w:before="60" w:after="60"/>
              <w:jc w:val="left"/>
              <w:rPr>
                <w:lang w:val="es-ES_tradnl"/>
              </w:rPr>
            </w:pPr>
            <w:r w:rsidRPr="00C60FC3">
              <w:rPr>
                <w:lang w:val="es-ES_tradnl"/>
              </w:rPr>
              <w:t>Roma (Italia) (noviembre)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Taveira</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Reunión del Comité de Expertos en Protección de Variedades Vegetales de la GRUR</w:t>
            </w:r>
          </w:p>
        </w:tc>
        <w:tc>
          <w:tcPr>
            <w:tcW w:w="3118" w:type="dxa"/>
          </w:tcPr>
          <w:p w:rsidR="00B43D13" w:rsidRPr="00C60FC3" w:rsidRDefault="00C60FC3" w:rsidP="00BF2668">
            <w:pPr>
              <w:spacing w:before="60" w:after="60"/>
              <w:jc w:val="left"/>
              <w:rPr>
                <w:lang w:val="es-ES_tradnl"/>
              </w:rPr>
            </w:pPr>
            <w:r w:rsidRPr="00C60FC3">
              <w:rPr>
                <w:lang w:val="es-ES_tradnl"/>
              </w:rPr>
              <w:t>Múnich</w:t>
            </w:r>
            <w:r w:rsidR="00B43D13" w:rsidRPr="00C60FC3">
              <w:rPr>
                <w:lang w:val="es-ES_tradnl"/>
              </w:rPr>
              <w:t xml:space="preserve"> (Alemania) (noviembre)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Trigésima sexta sesión del Consejo Administrativo de la ARIPO</w:t>
            </w:r>
          </w:p>
        </w:tc>
        <w:tc>
          <w:tcPr>
            <w:tcW w:w="3118" w:type="dxa"/>
          </w:tcPr>
          <w:p w:rsidR="00B43D13" w:rsidRPr="00C60FC3" w:rsidRDefault="00B43D13" w:rsidP="00BF2668">
            <w:pPr>
              <w:spacing w:before="60" w:after="60"/>
              <w:jc w:val="left"/>
              <w:rPr>
                <w:lang w:val="es-ES_tradnl"/>
              </w:rPr>
            </w:pPr>
            <w:r w:rsidRPr="00C60FC3">
              <w:rPr>
                <w:lang w:val="es-ES_tradnl"/>
              </w:rPr>
              <w:t>Zanzíbar (República Unida de Tanzanía) (noviembre)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Decimosexta reunión de la OCVV con sus oficinas de examen</w:t>
            </w:r>
          </w:p>
        </w:tc>
        <w:tc>
          <w:tcPr>
            <w:tcW w:w="3118" w:type="dxa"/>
          </w:tcPr>
          <w:p w:rsidR="00B43D13" w:rsidRPr="00C60FC3" w:rsidRDefault="00B43D13" w:rsidP="00BF2668">
            <w:pPr>
              <w:spacing w:before="60" w:after="60"/>
              <w:jc w:val="left"/>
              <w:rPr>
                <w:lang w:val="es-ES_tradnl"/>
              </w:rPr>
            </w:pPr>
            <w:r w:rsidRPr="00C60FC3">
              <w:rPr>
                <w:lang w:val="es-ES_tradnl"/>
              </w:rPr>
              <w:t>Angers (Francia) (diciembre)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Borys, Taveira</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XI Curso de formación para países iberoamericanos sobre la protección de las obtenciones vegetales</w:t>
            </w:r>
          </w:p>
        </w:tc>
        <w:tc>
          <w:tcPr>
            <w:tcW w:w="3118" w:type="dxa"/>
          </w:tcPr>
          <w:p w:rsidR="00B43D13" w:rsidRPr="00C60FC3" w:rsidRDefault="00B43D13" w:rsidP="00BF2668">
            <w:pPr>
              <w:spacing w:before="60" w:after="60"/>
              <w:jc w:val="left"/>
              <w:rPr>
                <w:lang w:val="es-ES_tradnl"/>
              </w:rPr>
            </w:pPr>
            <w:r w:rsidRPr="00C60FC3">
              <w:rPr>
                <w:lang w:val="es-ES_tradnl"/>
              </w:rPr>
              <w:t>Montevideo (Uruguay) (diciembre)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Taveira</w:t>
            </w:r>
          </w:p>
        </w:tc>
      </w:tr>
      <w:tr w:rsidR="00B43D13" w:rsidRPr="00C60FC3" w:rsidTr="000469A3">
        <w:trPr>
          <w:cantSplit/>
          <w:jc w:val="center"/>
        </w:trPr>
        <w:tc>
          <w:tcPr>
            <w:tcW w:w="4216" w:type="dxa"/>
            <w:tcBorders>
              <w:right w:val="nil"/>
            </w:tcBorders>
          </w:tcPr>
          <w:p w:rsidR="00B43D13" w:rsidRPr="00C60FC3" w:rsidRDefault="00B43D13" w:rsidP="00BF2668">
            <w:pPr>
              <w:spacing w:before="60" w:after="60"/>
              <w:jc w:val="left"/>
              <w:rPr>
                <w:szCs w:val="24"/>
                <w:lang w:val="es-ES_tradnl"/>
              </w:rPr>
            </w:pPr>
            <w:r w:rsidRPr="00C60FC3">
              <w:rPr>
                <w:szCs w:val="24"/>
                <w:lang w:val="es-ES_tradnl"/>
              </w:rPr>
              <w:t>Seminario de sensibilización sobre la protección de las variedades vegetales</w:t>
            </w:r>
          </w:p>
        </w:tc>
        <w:tc>
          <w:tcPr>
            <w:tcW w:w="3118" w:type="dxa"/>
          </w:tcPr>
          <w:p w:rsidR="00B43D13" w:rsidRPr="00C60FC3" w:rsidRDefault="00B43D13" w:rsidP="00BF2668">
            <w:pPr>
              <w:spacing w:before="60" w:after="60"/>
              <w:jc w:val="left"/>
              <w:rPr>
                <w:lang w:val="es-ES_tradnl"/>
              </w:rPr>
            </w:pPr>
            <w:r w:rsidRPr="00C60FC3">
              <w:rPr>
                <w:lang w:val="es-ES_tradnl"/>
              </w:rPr>
              <w:t>Nay Pyi Taw (Myanmar) (diciembre)</w:t>
            </w:r>
          </w:p>
        </w:tc>
        <w:tc>
          <w:tcPr>
            <w:tcW w:w="2513" w:type="dxa"/>
          </w:tcPr>
          <w:p w:rsidR="00B43D13" w:rsidRPr="00C60FC3" w:rsidRDefault="00B43D13" w:rsidP="00BF2668">
            <w:pPr>
              <w:spacing w:before="60" w:after="60"/>
              <w:jc w:val="left"/>
              <w:rPr>
                <w:noProof/>
                <w:snapToGrid w:val="0"/>
                <w:lang w:val="es-ES_tradnl"/>
              </w:rPr>
            </w:pPr>
            <w:r w:rsidRPr="00C60FC3">
              <w:rPr>
                <w:noProof/>
                <w:snapToGrid w:val="0"/>
                <w:lang w:val="es-ES_tradnl"/>
              </w:rPr>
              <w:t>Button, Aihara</w:t>
            </w:r>
          </w:p>
        </w:tc>
      </w:tr>
    </w:tbl>
    <w:p w:rsidR="00B43D13" w:rsidRPr="00C60FC3" w:rsidRDefault="00B43D13" w:rsidP="00BF2668">
      <w:pPr>
        <w:jc w:val="right"/>
        <w:rPr>
          <w:lang w:val="es-ES_tradnl"/>
        </w:rPr>
      </w:pPr>
    </w:p>
    <w:p w:rsidR="00B43D13" w:rsidRPr="00C60FC3" w:rsidRDefault="00B43D13" w:rsidP="00BF2668">
      <w:pPr>
        <w:jc w:val="right"/>
        <w:rPr>
          <w:lang w:val="es-ES_tradnl"/>
        </w:rPr>
      </w:pPr>
      <w:r w:rsidRPr="00C60FC3">
        <w:rPr>
          <w:lang w:val="es-ES_tradnl"/>
        </w:rPr>
        <w:t>[Sigue el Anexo III]</w:t>
      </w:r>
    </w:p>
    <w:p w:rsidR="00B43D13" w:rsidRPr="00C60FC3" w:rsidRDefault="00B43D13" w:rsidP="00BF2668">
      <w:pPr>
        <w:rPr>
          <w:lang w:val="es-ES_tradnl"/>
        </w:rPr>
        <w:sectPr w:rsidR="00B43D13" w:rsidRPr="00C60FC3" w:rsidSect="00C74C0E">
          <w:headerReference w:type="default" r:id="rId14"/>
          <w:footerReference w:type="first" r:id="rId15"/>
          <w:pgSz w:w="11907" w:h="16840" w:code="9"/>
          <w:pgMar w:top="510" w:right="1134" w:bottom="1134" w:left="1134" w:header="510" w:footer="680" w:gutter="0"/>
          <w:pgNumType w:start="1"/>
          <w:cols w:space="720"/>
          <w:titlePg/>
        </w:sectPr>
      </w:pPr>
    </w:p>
    <w:p w:rsidR="00B43D13" w:rsidRPr="00C60FC3" w:rsidRDefault="00B43D13" w:rsidP="00BF2668">
      <w:pPr>
        <w:jc w:val="center"/>
        <w:rPr>
          <w:lang w:val="es-ES_tradnl"/>
        </w:rPr>
      </w:pPr>
      <w:r w:rsidRPr="00C60FC3">
        <w:rPr>
          <w:lang w:val="es-ES_tradnl"/>
        </w:rPr>
        <w:t>C/47/2</w:t>
      </w:r>
    </w:p>
    <w:p w:rsidR="00B43D13" w:rsidRPr="00C60FC3" w:rsidRDefault="00B43D13" w:rsidP="00BF2668">
      <w:pPr>
        <w:jc w:val="center"/>
        <w:rPr>
          <w:lang w:val="es-ES_tradnl"/>
        </w:rPr>
      </w:pPr>
    </w:p>
    <w:p w:rsidR="00B43D13" w:rsidRPr="00C60FC3" w:rsidRDefault="00B43D13" w:rsidP="00BF2668">
      <w:pPr>
        <w:jc w:val="center"/>
        <w:rPr>
          <w:lang w:val="es-ES_tradnl"/>
        </w:rPr>
      </w:pPr>
      <w:r w:rsidRPr="00C60FC3">
        <w:rPr>
          <w:lang w:val="es-ES_tradnl"/>
        </w:rPr>
        <w:t>ANEXO III</w:t>
      </w:r>
    </w:p>
    <w:p w:rsidR="00B43D13" w:rsidRPr="00C60FC3" w:rsidRDefault="00B43D13" w:rsidP="00BF2668">
      <w:pPr>
        <w:jc w:val="center"/>
        <w:rPr>
          <w:lang w:val="es-ES_tradnl"/>
        </w:rPr>
      </w:pPr>
    </w:p>
    <w:p w:rsidR="00B43D13" w:rsidRPr="00C60FC3" w:rsidRDefault="00B43D13" w:rsidP="00BF2668">
      <w:pPr>
        <w:jc w:val="center"/>
        <w:rPr>
          <w:lang w:val="es-ES_tradnl"/>
        </w:rPr>
      </w:pPr>
      <w:r w:rsidRPr="00C60FC3">
        <w:rPr>
          <w:lang w:val="es-ES_tradnl"/>
        </w:rPr>
        <w:t>CUADRO DE RESULTADOS DE 2012</w:t>
      </w:r>
    </w:p>
    <w:p w:rsidR="00B43D13" w:rsidRPr="00C60FC3" w:rsidRDefault="00B43D13" w:rsidP="00BF2668">
      <w:pPr>
        <w:jc w:val="center"/>
        <w:rPr>
          <w:lang w:val="es-ES_tradnl"/>
        </w:rPr>
      </w:pPr>
    </w:p>
    <w:p w:rsidR="00B43D13" w:rsidRPr="00C60FC3" w:rsidRDefault="00B43D13" w:rsidP="00765A39">
      <w:pPr>
        <w:spacing w:after="120"/>
        <w:jc w:val="center"/>
        <w:rPr>
          <w:u w:val="single"/>
          <w:lang w:val="es-ES_tradnl"/>
        </w:rPr>
      </w:pPr>
      <w:r w:rsidRPr="00C60FC3">
        <w:rPr>
          <w:u w:val="single"/>
          <w:lang w:val="es-ES_tradnl"/>
        </w:rPr>
        <w:t>Índice</w:t>
      </w:r>
    </w:p>
    <w:p w:rsidR="00BE1A20" w:rsidRDefault="00B43D13">
      <w:pPr>
        <w:pStyle w:val="TOC3"/>
        <w:rPr>
          <w:rFonts w:asciiTheme="minorHAnsi" w:eastAsiaTheme="minorEastAsia" w:hAnsiTheme="minorHAnsi" w:cstheme="minorBidi"/>
          <w:b w:val="0"/>
          <w:noProof/>
          <w:sz w:val="22"/>
          <w:szCs w:val="22"/>
          <w:lang w:val="en-US"/>
        </w:rPr>
      </w:pPr>
      <w:r w:rsidRPr="00C60FC3">
        <w:rPr>
          <w:caps/>
          <w:dstrike/>
          <w:lang w:val="es-ES_tradnl"/>
        </w:rPr>
        <w:fldChar w:fldCharType="begin"/>
      </w:r>
      <w:r w:rsidRPr="00C60FC3">
        <w:rPr>
          <w:caps/>
          <w:dstrike/>
          <w:lang w:val="es-ES_tradnl"/>
        </w:rPr>
        <w:instrText xml:space="preserve"> TOC \o "3-9" \u </w:instrText>
      </w:r>
      <w:r w:rsidRPr="00C60FC3">
        <w:rPr>
          <w:caps/>
          <w:dstrike/>
          <w:lang w:val="es-ES_tradnl"/>
        </w:rPr>
        <w:fldChar w:fldCharType="separate"/>
      </w:r>
      <w:r w:rsidR="00BE1A20" w:rsidRPr="00437B3D">
        <w:rPr>
          <w:noProof/>
          <w:lang w:val="es-ES_tradnl"/>
        </w:rPr>
        <w:t>Introducción</w:t>
      </w:r>
      <w:r w:rsidR="00BE1A20">
        <w:rPr>
          <w:noProof/>
        </w:rPr>
        <w:tab/>
      </w:r>
      <w:r w:rsidR="00BE1A20">
        <w:rPr>
          <w:noProof/>
        </w:rPr>
        <w:fldChar w:fldCharType="begin"/>
      </w:r>
      <w:r w:rsidR="00BE1A20">
        <w:rPr>
          <w:noProof/>
        </w:rPr>
        <w:instrText xml:space="preserve"> PAGEREF _Toc368060280 \h </w:instrText>
      </w:r>
      <w:r w:rsidR="00BE1A20">
        <w:rPr>
          <w:noProof/>
        </w:rPr>
      </w:r>
      <w:r w:rsidR="00BE1A20">
        <w:rPr>
          <w:noProof/>
        </w:rPr>
        <w:fldChar w:fldCharType="separate"/>
      </w:r>
      <w:r w:rsidR="00CA0EE8">
        <w:rPr>
          <w:noProof/>
        </w:rPr>
        <w:t>4</w:t>
      </w:r>
      <w:r w:rsidR="00BE1A20">
        <w:rPr>
          <w:noProof/>
        </w:rPr>
        <w:fldChar w:fldCharType="end"/>
      </w:r>
    </w:p>
    <w:p w:rsidR="00BE1A20" w:rsidRDefault="00BE1A20">
      <w:pPr>
        <w:pStyle w:val="TOC3"/>
        <w:rPr>
          <w:rFonts w:asciiTheme="minorHAnsi" w:eastAsiaTheme="minorEastAsia" w:hAnsiTheme="minorHAnsi" w:cstheme="minorBidi"/>
          <w:b w:val="0"/>
          <w:noProof/>
          <w:sz w:val="22"/>
          <w:szCs w:val="22"/>
          <w:lang w:val="en-US"/>
        </w:rPr>
      </w:pPr>
      <w:r>
        <w:rPr>
          <w:noProof/>
        </w:rPr>
        <w:t>Subprograma UV.1:  Política general sobre protección de las variedades vegetales</w:t>
      </w:r>
      <w:r>
        <w:rPr>
          <w:noProof/>
        </w:rPr>
        <w:tab/>
      </w:r>
      <w:r>
        <w:rPr>
          <w:noProof/>
        </w:rPr>
        <w:fldChar w:fldCharType="begin"/>
      </w:r>
      <w:r>
        <w:rPr>
          <w:noProof/>
        </w:rPr>
        <w:instrText xml:space="preserve"> PAGEREF _Toc368060281 \h </w:instrText>
      </w:r>
      <w:r>
        <w:rPr>
          <w:noProof/>
        </w:rPr>
      </w:r>
      <w:r>
        <w:rPr>
          <w:noProof/>
        </w:rPr>
        <w:fldChar w:fldCharType="separate"/>
      </w:r>
      <w:r w:rsidR="00CA0EE8">
        <w:rPr>
          <w:noProof/>
        </w:rPr>
        <w:t>5</w:t>
      </w:r>
      <w:r>
        <w:rPr>
          <w:noProof/>
        </w:rP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Objetivos:</w:t>
      </w:r>
      <w:r>
        <w:tab/>
      </w:r>
      <w:r>
        <w:fldChar w:fldCharType="begin"/>
      </w:r>
      <w:r>
        <w:instrText xml:space="preserve"> PAGEREF _Toc368060282 \h </w:instrText>
      </w:r>
      <w:r>
        <w:fldChar w:fldCharType="separate"/>
      </w:r>
      <w:r w:rsidR="00CA0EE8">
        <w:t>5</w:t>
      </w:r>
      <w: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Resultados previstos</w:t>
      </w:r>
      <w:r>
        <w:tab/>
      </w:r>
      <w:r>
        <w:fldChar w:fldCharType="begin"/>
      </w:r>
      <w:r>
        <w:instrText xml:space="preserve"> PAGEREF _Toc368060283 \h </w:instrText>
      </w:r>
      <w:r>
        <w:fldChar w:fldCharType="separate"/>
      </w:r>
      <w:r w:rsidR="00CA0EE8">
        <w:t>5</w:t>
      </w:r>
      <w:r>
        <w:fldChar w:fldCharType="end"/>
      </w:r>
    </w:p>
    <w:p w:rsidR="00BE1A20" w:rsidRDefault="00BE1A20">
      <w:pPr>
        <w:pStyle w:val="TOC7"/>
        <w:rPr>
          <w:rFonts w:asciiTheme="minorHAnsi" w:eastAsiaTheme="minorEastAsia" w:hAnsiTheme="minorHAnsi" w:cstheme="minorBidi"/>
          <w:i w:val="0"/>
          <w:sz w:val="22"/>
          <w:szCs w:val="22"/>
        </w:rPr>
      </w:pPr>
      <w:r w:rsidRPr="00437B3D">
        <w:rPr>
          <w:lang w:val="es-ES_tradnl"/>
        </w:rPr>
        <w:t>Resultados alcanzados:  indicadores de rendimiento</w:t>
      </w:r>
      <w:r>
        <w:tab/>
      </w:r>
      <w:r>
        <w:fldChar w:fldCharType="begin"/>
      </w:r>
      <w:r>
        <w:instrText xml:space="preserve"> PAGEREF _Toc368060284 \h </w:instrText>
      </w:r>
      <w:r>
        <w:fldChar w:fldCharType="separate"/>
      </w:r>
      <w:r w:rsidR="00CA0EE8">
        <w:t>5</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1.  Organización de las sesiones del Consejo y del Comité Consultivo</w:t>
      </w:r>
      <w:r>
        <w:tab/>
      </w:r>
      <w:r>
        <w:fldChar w:fldCharType="begin"/>
      </w:r>
      <w:r>
        <w:instrText xml:space="preserve"> PAGEREF _Toc368060285 \h </w:instrText>
      </w:r>
      <w:r>
        <w:fldChar w:fldCharType="separate"/>
      </w:r>
      <w:r w:rsidR="00CA0EE8">
        <w:t>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Participación en las sesiones del Consejo y del Comité Consultivo</w:t>
      </w:r>
      <w:r>
        <w:tab/>
      </w:r>
      <w:r>
        <w:fldChar w:fldCharType="begin"/>
      </w:r>
      <w:r>
        <w:instrText xml:space="preserve"> PAGEREF _Toc368060286 \h </w:instrText>
      </w:r>
      <w:r>
        <w:fldChar w:fldCharType="separate"/>
      </w:r>
      <w:r w:rsidR="00CA0EE8">
        <w:t>5</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2.  Coordinación, fiscalización y evaluación del rendimiento del programa y presupuesto para el bienio 2012</w:t>
      </w:r>
      <w:r w:rsidRPr="00437B3D">
        <w:rPr>
          <w:lang w:val="es-ES_tradnl"/>
        </w:rPr>
        <w:noBreakHyphen/>
        <w:t>2013</w:t>
      </w:r>
      <w:r>
        <w:tab/>
      </w:r>
      <w:r>
        <w:fldChar w:fldCharType="begin"/>
      </w:r>
      <w:r>
        <w:instrText xml:space="preserve"> PAGEREF _Toc368060287 \h </w:instrText>
      </w:r>
      <w:r>
        <w:fldChar w:fldCharType="separate"/>
      </w:r>
      <w:r w:rsidR="00CA0EE8">
        <w:t>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Ejecución del programa en el marco del presupuesto del bienio 2012</w:t>
      </w:r>
      <w:r w:rsidRPr="00437B3D">
        <w:rPr>
          <w:lang w:val="es-ES_tradnl"/>
        </w:rPr>
        <w:noBreakHyphen/>
        <w:t>2013</w:t>
      </w:r>
      <w:r>
        <w:tab/>
      </w:r>
      <w:r>
        <w:fldChar w:fldCharType="begin"/>
      </w:r>
      <w:r>
        <w:instrText xml:space="preserve"> PAGEREF _Toc368060288 \h </w:instrText>
      </w:r>
      <w:r>
        <w:fldChar w:fldCharType="separate"/>
      </w:r>
      <w:r w:rsidR="00CA0EE8">
        <w:t>5</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3.  Preparación y adopción del programa y presupuesto para el bienio 2014</w:t>
      </w:r>
      <w:r w:rsidRPr="00437B3D">
        <w:rPr>
          <w:lang w:val="es-ES_tradnl"/>
        </w:rPr>
        <w:noBreakHyphen/>
        <w:t>2015</w:t>
      </w:r>
      <w:r>
        <w:tab/>
      </w:r>
      <w:r>
        <w:fldChar w:fldCharType="begin"/>
      </w:r>
      <w:r>
        <w:instrText xml:space="preserve"> PAGEREF _Toc368060289 \h </w:instrText>
      </w:r>
      <w:r>
        <w:fldChar w:fldCharType="separate"/>
      </w:r>
      <w:r w:rsidR="00CA0EE8">
        <w:t>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Preparación y adopción del programa y presupuesto para el bienio 2014</w:t>
      </w:r>
      <w:r w:rsidRPr="00437B3D">
        <w:rPr>
          <w:lang w:val="es-ES_tradnl"/>
        </w:rPr>
        <w:noBreakHyphen/>
        <w:t>2015 con arreglo al “Reglamento Financiero y Reglamentación Financiera de la UPOV”</w:t>
      </w:r>
      <w:r>
        <w:tab/>
      </w:r>
      <w:r>
        <w:fldChar w:fldCharType="begin"/>
      </w:r>
      <w:r>
        <w:instrText xml:space="preserve"> PAGEREF _Toc368060290 \h </w:instrText>
      </w:r>
      <w:r>
        <w:fldChar w:fldCharType="separate"/>
      </w:r>
      <w:r w:rsidR="00CA0EE8">
        <w:t>5</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4.  Política del Consejo</w:t>
      </w:r>
      <w:r>
        <w:tab/>
      </w:r>
      <w:r>
        <w:fldChar w:fldCharType="begin"/>
      </w:r>
      <w:r>
        <w:instrText xml:space="preserve"> PAGEREF _Toc368060291 \h </w:instrText>
      </w:r>
      <w:r>
        <w:fldChar w:fldCharType="separate"/>
      </w:r>
      <w:r w:rsidR="00CA0EE8">
        <w:t>6</w:t>
      </w:r>
      <w:r>
        <w:fldChar w:fldCharType="end"/>
      </w:r>
    </w:p>
    <w:p w:rsidR="00BE1A20" w:rsidRDefault="00BE1A20">
      <w:pPr>
        <w:pStyle w:val="TOC8"/>
        <w:rPr>
          <w:rFonts w:asciiTheme="minorHAnsi" w:eastAsiaTheme="minorEastAsia" w:hAnsiTheme="minorHAnsi" w:cstheme="minorBidi"/>
          <w:i w:val="0"/>
          <w:sz w:val="22"/>
          <w:szCs w:val="22"/>
        </w:rPr>
      </w:pPr>
      <w:r w:rsidRPr="00437B3D">
        <w:rPr>
          <w:rFonts w:cs="Arial"/>
          <w:lang w:val="es-ES_tradnl"/>
        </w:rPr>
        <w:t>a)  Recomendaciones formuladas por el Comité Consultivo</w:t>
      </w:r>
      <w:r>
        <w:tab/>
      </w:r>
      <w:r>
        <w:fldChar w:fldCharType="begin"/>
      </w:r>
      <w:r>
        <w:instrText xml:space="preserve"> PAGEREF _Toc368060292 \h </w:instrText>
      </w:r>
      <w:r>
        <w:fldChar w:fldCharType="separate"/>
      </w:r>
      <w:r w:rsidR="00CA0EE8">
        <w:t>6</w:t>
      </w:r>
      <w:r>
        <w:fldChar w:fldCharType="end"/>
      </w:r>
    </w:p>
    <w:p w:rsidR="00BE1A20" w:rsidRDefault="00BE1A20">
      <w:pPr>
        <w:pStyle w:val="TOC8"/>
        <w:rPr>
          <w:rFonts w:asciiTheme="minorHAnsi" w:eastAsiaTheme="minorEastAsia" w:hAnsiTheme="minorHAnsi" w:cstheme="minorBidi"/>
          <w:i w:val="0"/>
          <w:sz w:val="22"/>
          <w:szCs w:val="22"/>
        </w:rPr>
      </w:pPr>
      <w:r w:rsidRPr="00437B3D">
        <w:rPr>
          <w:rFonts w:cs="Arial"/>
          <w:lang w:val="es-ES_tradnl"/>
        </w:rPr>
        <w:t>b)  Decisiones del Consejo</w:t>
      </w:r>
      <w:r>
        <w:tab/>
      </w:r>
      <w:r>
        <w:fldChar w:fldCharType="begin"/>
      </w:r>
      <w:r>
        <w:instrText xml:space="preserve"> PAGEREF _Toc368060293 \h </w:instrText>
      </w:r>
      <w:r>
        <w:fldChar w:fldCharType="separate"/>
      </w:r>
      <w:r w:rsidR="00CA0EE8">
        <w:t>7</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4.  Política del Consejo (continuación)</w:t>
      </w:r>
      <w:r>
        <w:tab/>
      </w:r>
      <w:r>
        <w:fldChar w:fldCharType="begin"/>
      </w:r>
      <w:r>
        <w:instrText xml:space="preserve"> PAGEREF _Toc368060294 \h </w:instrText>
      </w:r>
      <w:r>
        <w:fldChar w:fldCharType="separate"/>
      </w:r>
      <w:r w:rsidR="00CA0EE8">
        <w:t>8</w:t>
      </w:r>
      <w:r>
        <w:fldChar w:fldCharType="end"/>
      </w:r>
    </w:p>
    <w:p w:rsidR="00BE1A20" w:rsidRDefault="00BE1A20">
      <w:pPr>
        <w:pStyle w:val="TOC8"/>
        <w:rPr>
          <w:rFonts w:asciiTheme="minorHAnsi" w:eastAsiaTheme="minorEastAsia" w:hAnsiTheme="minorHAnsi" w:cstheme="minorBidi"/>
          <w:i w:val="0"/>
          <w:sz w:val="22"/>
          <w:szCs w:val="22"/>
        </w:rPr>
      </w:pPr>
      <w:r w:rsidRPr="00437B3D">
        <w:rPr>
          <w:rFonts w:cs="Arial"/>
          <w:lang w:val="es-ES_tradnl"/>
        </w:rPr>
        <w:t>c)  Aprobación por el Consejo de documentos de información y de posición</w:t>
      </w:r>
      <w:r>
        <w:tab/>
      </w:r>
      <w:r>
        <w:fldChar w:fldCharType="begin"/>
      </w:r>
      <w:r>
        <w:instrText xml:space="preserve"> PAGEREF _Toc368060295 \h </w:instrText>
      </w:r>
      <w:r>
        <w:fldChar w:fldCharType="separate"/>
      </w:r>
      <w:r w:rsidR="00CA0EE8">
        <w:t>8</w:t>
      </w:r>
      <w:r>
        <w:fldChar w:fldCharType="end"/>
      </w:r>
    </w:p>
    <w:p w:rsidR="00BE1A20" w:rsidRDefault="00BE1A20">
      <w:pPr>
        <w:pStyle w:val="TOC3"/>
        <w:rPr>
          <w:rFonts w:asciiTheme="minorHAnsi" w:eastAsiaTheme="minorEastAsia" w:hAnsiTheme="minorHAnsi" w:cstheme="minorBidi"/>
          <w:b w:val="0"/>
          <w:noProof/>
          <w:sz w:val="22"/>
          <w:szCs w:val="22"/>
          <w:lang w:val="en-US"/>
        </w:rPr>
      </w:pPr>
      <w:r w:rsidRPr="00437B3D">
        <w:rPr>
          <w:noProof/>
          <w:lang w:val="es-ES_tradnl"/>
        </w:rPr>
        <w:t>Subprograma UV.2:  Servicios prestados a la Unión para mejorar la eficacia del sistema de la UPOV</w:t>
      </w:r>
      <w:r>
        <w:rPr>
          <w:noProof/>
        </w:rPr>
        <w:tab/>
      </w:r>
      <w:r>
        <w:rPr>
          <w:noProof/>
        </w:rPr>
        <w:fldChar w:fldCharType="begin"/>
      </w:r>
      <w:r>
        <w:rPr>
          <w:noProof/>
        </w:rPr>
        <w:instrText xml:space="preserve"> PAGEREF _Toc368060296 \h </w:instrText>
      </w:r>
      <w:r>
        <w:rPr>
          <w:noProof/>
        </w:rPr>
      </w:r>
      <w:r>
        <w:rPr>
          <w:noProof/>
        </w:rPr>
        <w:fldChar w:fldCharType="separate"/>
      </w:r>
      <w:r w:rsidR="00CA0EE8">
        <w:rPr>
          <w:noProof/>
        </w:rPr>
        <w:t>9</w:t>
      </w:r>
      <w:r>
        <w:rPr>
          <w:noProof/>
        </w:rP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Objetivos:</w:t>
      </w:r>
      <w:r>
        <w:tab/>
      </w:r>
      <w:r>
        <w:fldChar w:fldCharType="begin"/>
      </w:r>
      <w:r>
        <w:instrText xml:space="preserve"> PAGEREF _Toc368060297 \h </w:instrText>
      </w:r>
      <w:r>
        <w:fldChar w:fldCharType="separate"/>
      </w:r>
      <w:r w:rsidR="00CA0EE8">
        <w:t>9</w:t>
      </w:r>
      <w: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Resultados previstos</w:t>
      </w:r>
      <w:r>
        <w:tab/>
      </w:r>
      <w:r>
        <w:fldChar w:fldCharType="begin"/>
      </w:r>
      <w:r>
        <w:instrText xml:space="preserve"> PAGEREF _Toc368060298 \h </w:instrText>
      </w:r>
      <w:r>
        <w:fldChar w:fldCharType="separate"/>
      </w:r>
      <w:r w:rsidR="00CA0EE8">
        <w:t>9</w:t>
      </w:r>
      <w:r>
        <w:fldChar w:fldCharType="end"/>
      </w:r>
    </w:p>
    <w:p w:rsidR="00BE1A20" w:rsidRDefault="00BE1A20">
      <w:pPr>
        <w:pStyle w:val="TOC7"/>
        <w:rPr>
          <w:rFonts w:asciiTheme="minorHAnsi" w:eastAsiaTheme="minorEastAsia" w:hAnsiTheme="minorHAnsi" w:cstheme="minorBidi"/>
          <w:i w:val="0"/>
          <w:sz w:val="22"/>
          <w:szCs w:val="22"/>
        </w:rPr>
      </w:pPr>
      <w:r w:rsidRPr="00437B3D">
        <w:rPr>
          <w:lang w:val="es-ES_tradnl"/>
        </w:rPr>
        <w:t>Resultados alcanzados:  indicadores de rendimiento</w:t>
      </w:r>
      <w:r>
        <w:tab/>
      </w:r>
      <w:r>
        <w:fldChar w:fldCharType="begin"/>
      </w:r>
      <w:r>
        <w:instrText xml:space="preserve"> PAGEREF _Toc368060299 \h </w:instrText>
      </w:r>
      <w:r>
        <w:fldChar w:fldCharType="separate"/>
      </w:r>
      <w:r w:rsidR="00CA0EE8">
        <w:t>9</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1.  Orientación sobre el Convenio de la UPOV e información sobre su aplicación</w:t>
      </w:r>
      <w:r>
        <w:tab/>
      </w:r>
      <w:r>
        <w:fldChar w:fldCharType="begin"/>
      </w:r>
      <w:r>
        <w:instrText xml:space="preserve"> PAGEREF _Toc368060300 \h </w:instrText>
      </w:r>
      <w:r>
        <w:fldChar w:fldCharType="separate"/>
      </w:r>
      <w:r w:rsidR="00CA0EE8">
        <w:t>9</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Aprobación de material de información nuevo o revisado sobre el Convenio de la UPOV</w:t>
      </w:r>
      <w:r>
        <w:tab/>
      </w:r>
      <w:r>
        <w:fldChar w:fldCharType="begin"/>
      </w:r>
      <w:r>
        <w:instrText xml:space="preserve"> PAGEREF _Toc368060301 \h </w:instrText>
      </w:r>
      <w:r>
        <w:fldChar w:fldCharType="separate"/>
      </w:r>
      <w:r w:rsidR="00CA0EE8">
        <w:t>9</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 xml:space="preserve">b)  Publicación de la </w:t>
      </w:r>
      <w:r w:rsidRPr="00437B3D">
        <w:rPr>
          <w:i w:val="0"/>
          <w:lang w:val="es-ES_tradnl"/>
        </w:rPr>
        <w:t xml:space="preserve">Gazette and Newsletter </w:t>
      </w:r>
      <w:r w:rsidRPr="00437B3D">
        <w:rPr>
          <w:lang w:val="es-ES_tradnl"/>
        </w:rPr>
        <w:t>de la UPOV</w:t>
      </w:r>
      <w:r>
        <w:tab/>
      </w:r>
      <w:r>
        <w:fldChar w:fldCharType="begin"/>
      </w:r>
      <w:r>
        <w:instrText xml:space="preserve"> PAGEREF _Toc368060302 \h </w:instrText>
      </w:r>
      <w:r>
        <w:fldChar w:fldCharType="separate"/>
      </w:r>
      <w:r w:rsidR="00CA0EE8">
        <w:t>9</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Inclusión de la legislación de los miembros de la Unión en la base de datos UPOV Lex</w:t>
      </w:r>
      <w:r>
        <w:tab/>
      </w:r>
      <w:r>
        <w:fldChar w:fldCharType="begin"/>
      </w:r>
      <w:r>
        <w:instrText xml:space="preserve"> PAGEREF _Toc368060303 \h </w:instrText>
      </w:r>
      <w:r>
        <w:fldChar w:fldCharType="separate"/>
      </w:r>
      <w:r w:rsidR="00CA0EE8">
        <w:t>10</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d)  Participación en seminarios y simposios celebrados en Ginebra en paralelo con las sesiones de los órganos de la UPOV</w:t>
      </w:r>
      <w:r>
        <w:tab/>
      </w:r>
      <w:r>
        <w:fldChar w:fldCharType="begin"/>
      </w:r>
      <w:r>
        <w:instrText xml:space="preserve"> PAGEREF _Toc368060304 \h </w:instrText>
      </w:r>
      <w:r>
        <w:fldChar w:fldCharType="separate"/>
      </w:r>
      <w:r w:rsidR="00CA0EE8">
        <w:t>10</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2.  Orientación sobre el examen de las variedades</w:t>
      </w:r>
      <w:r>
        <w:tab/>
      </w:r>
      <w:r>
        <w:fldChar w:fldCharType="begin"/>
      </w:r>
      <w:r>
        <w:instrText xml:space="preserve"> PAGEREF _Toc368060305 \h </w:instrText>
      </w:r>
      <w:r>
        <w:fldChar w:fldCharType="separate"/>
      </w:r>
      <w:r w:rsidR="00CA0EE8">
        <w:t>10</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Aprobación de documentos TGP nuevos o revisados y material de información</w:t>
      </w:r>
      <w:r>
        <w:tab/>
      </w:r>
      <w:r>
        <w:fldChar w:fldCharType="begin"/>
      </w:r>
      <w:r>
        <w:instrText xml:space="preserve"> PAGEREF _Toc368060306 \h </w:instrText>
      </w:r>
      <w:r>
        <w:fldChar w:fldCharType="separate"/>
      </w:r>
      <w:r w:rsidR="00CA0EE8">
        <w:t>10</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Adopción de directrices de examen nuevas o revisadas</w:t>
      </w:r>
      <w:r>
        <w:tab/>
      </w:r>
      <w:r>
        <w:fldChar w:fldCharType="begin"/>
      </w:r>
      <w:r>
        <w:instrText xml:space="preserve"> PAGEREF _Toc368060307 \h </w:instrText>
      </w:r>
      <w:r>
        <w:fldChar w:fldCharType="separate"/>
      </w:r>
      <w:r w:rsidR="00CA0EE8">
        <w:t>10</w:t>
      </w:r>
      <w:r>
        <w:fldChar w:fldCharType="end"/>
      </w:r>
    </w:p>
    <w:p w:rsidR="00BE1A20" w:rsidRDefault="00BE1A20">
      <w:pPr>
        <w:pStyle w:val="TOC9"/>
        <w:rPr>
          <w:rFonts w:asciiTheme="minorHAnsi" w:eastAsiaTheme="minorEastAsia" w:hAnsiTheme="minorHAnsi" w:cstheme="minorBidi"/>
          <w:sz w:val="22"/>
          <w:szCs w:val="22"/>
        </w:rPr>
      </w:pPr>
      <w:r w:rsidRPr="00437B3D">
        <w:rPr>
          <w:lang w:val="es-ES_tradnl"/>
        </w:rPr>
        <w:t>Figura 1.  Aprobación de directrices de examen</w:t>
      </w:r>
      <w:r>
        <w:tab/>
      </w:r>
      <w:r>
        <w:fldChar w:fldCharType="begin"/>
      </w:r>
      <w:r>
        <w:instrText xml:space="preserve"> PAGEREF _Toc368060308 \h </w:instrText>
      </w:r>
      <w:r>
        <w:fldChar w:fldCharType="separate"/>
      </w:r>
      <w:r w:rsidR="00CA0EE8">
        <w:t>11</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Participación en seminarios y simposios celebrados en Ginebra en paralelo con las sesiones de los órganos de la UPOV</w:t>
      </w:r>
      <w:r>
        <w:tab/>
      </w:r>
      <w:r>
        <w:fldChar w:fldCharType="begin"/>
      </w:r>
      <w:r>
        <w:instrText xml:space="preserve"> PAGEREF _Toc368060309 \h </w:instrText>
      </w:r>
      <w:r>
        <w:fldChar w:fldCharType="separate"/>
      </w:r>
      <w:r w:rsidR="00CA0EE8">
        <w:t>11</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3.  Cooperación en materia de examen de variedades vegetales para la obtención de derechos de obtentor</w:t>
      </w:r>
      <w:r>
        <w:tab/>
      </w:r>
      <w:r>
        <w:fldChar w:fldCharType="begin"/>
      </w:r>
      <w:r>
        <w:instrText xml:space="preserve"> PAGEREF _Toc368060310 \h </w:instrText>
      </w:r>
      <w:r>
        <w:fldChar w:fldCharType="separate"/>
      </w:r>
      <w:r w:rsidR="00CA0EE8">
        <w:t>11</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Géneros y especies vegetales respecto de los cuales los miembros de la Unión poseen experiencia práctica</w:t>
      </w:r>
      <w:r>
        <w:tab/>
      </w:r>
      <w:r>
        <w:fldChar w:fldCharType="begin"/>
      </w:r>
      <w:r>
        <w:instrText xml:space="preserve"> PAGEREF _Toc368060311 \h </w:instrText>
      </w:r>
      <w:r>
        <w:fldChar w:fldCharType="separate"/>
      </w:r>
      <w:r w:rsidR="00CA0EE8">
        <w:t>11</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Géneros y especies vegetales respecto de los cuales los miembros de la Unión cooperan en el examen DHE, según se indica en la base de datos GENIE</w:t>
      </w:r>
      <w:r>
        <w:tab/>
      </w:r>
      <w:r>
        <w:fldChar w:fldCharType="begin"/>
      </w:r>
      <w:r>
        <w:instrText xml:space="preserve"> PAGEREF _Toc368060312 \h </w:instrText>
      </w:r>
      <w:r>
        <w:fldChar w:fldCharType="separate"/>
      </w:r>
      <w:r w:rsidR="00CA0EE8">
        <w:t>12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  Cooperación general</w:t>
      </w:r>
      <w:r>
        <w:tab/>
      </w:r>
      <w:r>
        <w:fldChar w:fldCharType="begin"/>
      </w:r>
      <w:r>
        <w:instrText xml:space="preserve"> PAGEREF _Toc368060313 \h </w:instrText>
      </w:r>
      <w:r>
        <w:fldChar w:fldCharType="separate"/>
      </w:r>
      <w:r w:rsidR="00CA0EE8">
        <w:t>12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  Número de acuerdos bilaterales y regionales sobre protección de las variedades vegetales</w:t>
      </w:r>
      <w:r>
        <w:tab/>
      </w:r>
      <w:r>
        <w:fldChar w:fldCharType="begin"/>
      </w:r>
      <w:r>
        <w:instrText xml:space="preserve"> PAGEREF _Toc368060314 \h </w:instrText>
      </w:r>
      <w:r>
        <w:fldChar w:fldCharType="separate"/>
      </w:r>
      <w:r w:rsidR="00CA0EE8">
        <w:t>12</w:t>
      </w:r>
      <w:r>
        <w:fldChar w:fldCharType="end"/>
      </w:r>
    </w:p>
    <w:p w:rsidR="00BE1A20" w:rsidRDefault="00BE1A20">
      <w:pPr>
        <w:pStyle w:val="TOC9"/>
        <w:rPr>
          <w:rFonts w:asciiTheme="minorHAnsi" w:eastAsiaTheme="minorEastAsia" w:hAnsiTheme="minorHAnsi" w:cstheme="minorBidi"/>
          <w:sz w:val="22"/>
          <w:szCs w:val="22"/>
        </w:rPr>
      </w:pPr>
      <w:r w:rsidRPr="00437B3D">
        <w:rPr>
          <w:lang w:val="es-ES_tradnl"/>
        </w:rPr>
        <w:t>Figura 2.  Géneros y especies vegetales para los que existen acuerdos de cooperación, experiencia práctica y que figuran como protegidos por derecho de obtentor en la base de datos de variedades vegetales</w:t>
      </w:r>
      <w:r>
        <w:tab/>
      </w:r>
      <w:r>
        <w:fldChar w:fldCharType="begin"/>
      </w:r>
      <w:r>
        <w:instrText xml:space="preserve"> PAGEREF _Toc368060315 \h </w:instrText>
      </w:r>
      <w:r>
        <w:fldChar w:fldCharType="separate"/>
      </w:r>
      <w:r w:rsidR="00CA0EE8">
        <w:t>12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Participación en la elaboración de directrices de examen</w:t>
      </w:r>
      <w:r>
        <w:tab/>
      </w:r>
      <w:r>
        <w:fldChar w:fldCharType="begin"/>
      </w:r>
      <w:r>
        <w:instrText xml:space="preserve"> PAGEREF _Toc368060316 \h </w:instrText>
      </w:r>
      <w:r>
        <w:fldChar w:fldCharType="separate"/>
      </w:r>
      <w:r w:rsidR="00CA0EE8">
        <w:t>13</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d)  Calidad e integridad de los datos de la Base de datos sobre variedades vegetales y calidad del mecanismo de búsqueda;  mecanismos de acceso a otros datos pertinentes</w:t>
      </w:r>
      <w:r>
        <w:tab/>
      </w:r>
      <w:r>
        <w:fldChar w:fldCharType="begin"/>
      </w:r>
      <w:r>
        <w:instrText xml:space="preserve"> PAGEREF _Toc368060317 \h </w:instrText>
      </w:r>
      <w:r>
        <w:fldChar w:fldCharType="separate"/>
      </w:r>
      <w:r w:rsidR="00CA0EE8">
        <w:t>13</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e)  Programas informáticos para intercambio incluidos en el documento UPOV/INF/16 “Programas informáticos para intercambio”</w:t>
      </w:r>
      <w:r>
        <w:tab/>
      </w:r>
      <w:r>
        <w:fldChar w:fldCharType="begin"/>
      </w:r>
      <w:r>
        <w:instrText xml:space="preserve"> PAGEREF _Toc368060318 \h </w:instrText>
      </w:r>
      <w:r>
        <w:fldChar w:fldCharType="separate"/>
      </w:r>
      <w:r w:rsidR="00CA0EE8">
        <w:t>14</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4.  Participación de los miembros de la Unión y los sectores interesados en la labor de los órganos de la UPOV</w:t>
      </w:r>
      <w:r>
        <w:tab/>
      </w:r>
      <w:r>
        <w:fldChar w:fldCharType="begin"/>
      </w:r>
      <w:r>
        <w:instrText xml:space="preserve"> PAGEREF _Toc368060319 \h </w:instrText>
      </w:r>
      <w:r>
        <w:fldChar w:fldCharType="separate"/>
      </w:r>
      <w:r w:rsidR="00CA0EE8">
        <w:t>14</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Participación en el Comité Administrativo y Jurídico</w:t>
      </w:r>
      <w:r>
        <w:tab/>
      </w:r>
      <w:r>
        <w:fldChar w:fldCharType="begin"/>
      </w:r>
      <w:r>
        <w:instrText xml:space="preserve"> PAGEREF _Toc368060320 \h </w:instrText>
      </w:r>
      <w:r>
        <w:fldChar w:fldCharType="separate"/>
      </w:r>
      <w:r w:rsidR="00CA0EE8">
        <w:t>14</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Participación en el Comité Técnico</w:t>
      </w:r>
      <w:r>
        <w:tab/>
      </w:r>
      <w:r>
        <w:fldChar w:fldCharType="begin"/>
      </w:r>
      <w:r>
        <w:instrText xml:space="preserve"> PAGEREF _Toc368060321 \h </w:instrText>
      </w:r>
      <w:r>
        <w:fldChar w:fldCharType="separate"/>
      </w:r>
      <w:r w:rsidR="00CA0EE8">
        <w:t>14</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Participación en las sesiones de los Grupos de Trabajo Técnico</w:t>
      </w:r>
      <w:r>
        <w:tab/>
      </w:r>
      <w:r>
        <w:fldChar w:fldCharType="begin"/>
      </w:r>
      <w:r>
        <w:instrText xml:space="preserve"> PAGEREF _Toc368060322 \h </w:instrText>
      </w:r>
      <w:r>
        <w:fldChar w:fldCharType="separate"/>
      </w:r>
      <w:r w:rsidR="00CA0EE8">
        <w:t>15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d)  Participación en los talleres preparatorios de las sesiones de los Grupos de Trabajo Técnico</w:t>
      </w:r>
      <w:r>
        <w:tab/>
      </w:r>
      <w:r>
        <w:fldChar w:fldCharType="begin"/>
      </w:r>
      <w:r>
        <w:instrText xml:space="preserve"> PAGEREF _Toc368060323 \h </w:instrText>
      </w:r>
      <w:r>
        <w:fldChar w:fldCharType="separate"/>
      </w:r>
      <w:r w:rsidR="00CA0EE8">
        <w:t>15</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5.  Documentos y material de la UPOV en otros idiomas</w:t>
      </w:r>
      <w:r>
        <w:tab/>
      </w:r>
      <w:r>
        <w:fldChar w:fldCharType="begin"/>
      </w:r>
      <w:r>
        <w:instrText xml:space="preserve"> PAGEREF _Toc368060324 \h </w:instrText>
      </w:r>
      <w:r>
        <w:fldChar w:fldCharType="separate"/>
      </w:r>
      <w:r w:rsidR="00CA0EE8">
        <w:t>15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Disponibilidad de los documentos y del material de la UPOV en otros idiomas además de los de la UPOV (español, alemán, francés e inglés)</w:t>
      </w:r>
      <w:r>
        <w:tab/>
      </w:r>
      <w:r>
        <w:fldChar w:fldCharType="begin"/>
      </w:r>
      <w:r>
        <w:instrText xml:space="preserve"> PAGEREF _Toc368060325 \h </w:instrText>
      </w:r>
      <w:r>
        <w:fldChar w:fldCharType="separate"/>
      </w:r>
      <w:r w:rsidR="00CA0EE8">
        <w:t>15</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6. Simplificación de las solicitudes de derechos de obtentor</w:t>
      </w:r>
      <w:r>
        <w:tab/>
      </w:r>
      <w:r>
        <w:fldChar w:fldCharType="begin"/>
      </w:r>
      <w:r>
        <w:instrText xml:space="preserve"> PAGEREF _Toc368060326 \h </w:instrText>
      </w:r>
      <w:r>
        <w:fldChar w:fldCharType="separate"/>
      </w:r>
      <w:r w:rsidR="00CA0EE8">
        <w:t>15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Número de solicitudes de derechos de obtentor</w:t>
      </w:r>
      <w:r>
        <w:tab/>
      </w:r>
      <w:r>
        <w:fldChar w:fldCharType="begin"/>
      </w:r>
      <w:r>
        <w:instrText xml:space="preserve"> PAGEREF _Toc368060327 \h </w:instrText>
      </w:r>
      <w:r>
        <w:fldChar w:fldCharType="separate"/>
      </w:r>
      <w:r w:rsidR="00CA0EE8">
        <w:t>15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Número de títulos concedidos</w:t>
      </w:r>
      <w:r>
        <w:tab/>
      </w:r>
      <w:r>
        <w:fldChar w:fldCharType="begin"/>
      </w:r>
      <w:r>
        <w:instrText xml:space="preserve"> PAGEREF _Toc368060328 \h </w:instrText>
      </w:r>
      <w:r>
        <w:fldChar w:fldCharType="separate"/>
      </w:r>
      <w:r w:rsidR="00CA0EE8">
        <w:t>15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Número de títulos en vigor</w:t>
      </w:r>
      <w:r>
        <w:tab/>
      </w:r>
      <w:r>
        <w:fldChar w:fldCharType="begin"/>
      </w:r>
      <w:r>
        <w:instrText xml:space="preserve"> PAGEREF _Toc368060329 \h </w:instrText>
      </w:r>
      <w:r>
        <w:fldChar w:fldCharType="separate"/>
      </w:r>
      <w:r w:rsidR="00CA0EE8">
        <w:t>15</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d)  Número de géneros/especies protegidos por los miembros de la Unión</w:t>
      </w:r>
      <w:r>
        <w:tab/>
      </w:r>
      <w:r>
        <w:fldChar w:fldCharType="begin"/>
      </w:r>
      <w:r>
        <w:instrText xml:space="preserve"> PAGEREF _Toc368060330 \h </w:instrText>
      </w:r>
      <w:r>
        <w:fldChar w:fldCharType="separate"/>
      </w:r>
      <w:r w:rsidR="00CA0EE8">
        <w:t>16</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e)  Número de géneros/especies cuyas variedades se han protegido</w:t>
      </w:r>
      <w:r>
        <w:tab/>
      </w:r>
      <w:r>
        <w:fldChar w:fldCharType="begin"/>
      </w:r>
      <w:r>
        <w:instrText xml:space="preserve"> PAGEREF _Toc368060331 \h </w:instrText>
      </w:r>
      <w:r>
        <w:fldChar w:fldCharType="separate"/>
      </w:r>
      <w:r w:rsidR="00CA0EE8">
        <w:t>16</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f)  Utilización por los miembros de la Unión de las referencias estándar de la UPOV en los formularios de solicitud</w:t>
      </w:r>
      <w:r>
        <w:tab/>
      </w:r>
      <w:r>
        <w:fldChar w:fldCharType="begin"/>
      </w:r>
      <w:r>
        <w:instrText xml:space="preserve"> PAGEREF _Toc368060332 \h </w:instrText>
      </w:r>
      <w:r>
        <w:fldChar w:fldCharType="separate"/>
      </w:r>
      <w:r w:rsidR="00CA0EE8">
        <w:t>16</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g)  Utilización de formularios con casillas en blanco correspondientes al “Formulario tipo de la UPOV para las solicitudes de derecho de obtentor”</w:t>
      </w:r>
      <w:r>
        <w:tab/>
      </w:r>
      <w:r>
        <w:fldChar w:fldCharType="begin"/>
      </w:r>
      <w:r>
        <w:instrText xml:space="preserve"> PAGEREF _Toc368060333 \h </w:instrText>
      </w:r>
      <w:r>
        <w:fldChar w:fldCharType="separate"/>
      </w:r>
      <w:r w:rsidR="00CA0EE8">
        <w:t>16</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7. Suministro de información sobre el Convenio de la UPOV a los sectores interesados (obtentores, agricultores, cultivadores, comerciantes de semillas, etc.)</w:t>
      </w:r>
      <w:r>
        <w:tab/>
      </w:r>
      <w:r>
        <w:fldChar w:fldCharType="begin"/>
      </w:r>
      <w:r>
        <w:instrText xml:space="preserve"> PAGEREF _Toc368060334 \h </w:instrText>
      </w:r>
      <w:r>
        <w:fldChar w:fldCharType="separate"/>
      </w:r>
      <w:r w:rsidR="00CA0EE8">
        <w:t>16</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Información publicada en el sitio Web de la UPOV y dirigida a los sectores interesados</w:t>
      </w:r>
      <w:r>
        <w:tab/>
      </w:r>
      <w:r>
        <w:fldChar w:fldCharType="begin"/>
      </w:r>
      <w:r>
        <w:instrText xml:space="preserve"> PAGEREF _Toc368060335 \h </w:instrText>
      </w:r>
      <w:r>
        <w:fldChar w:fldCharType="separate"/>
      </w:r>
      <w:r w:rsidR="00CA0EE8">
        <w:t>16</w:t>
      </w:r>
      <w:r>
        <w:fldChar w:fldCharType="end"/>
      </w:r>
    </w:p>
    <w:p w:rsidR="00BE1A20" w:rsidRDefault="00BE1A20">
      <w:pPr>
        <w:pStyle w:val="TOC3"/>
        <w:rPr>
          <w:rFonts w:asciiTheme="minorHAnsi" w:eastAsiaTheme="minorEastAsia" w:hAnsiTheme="minorHAnsi" w:cstheme="minorBidi"/>
          <w:b w:val="0"/>
          <w:noProof/>
          <w:sz w:val="22"/>
          <w:szCs w:val="22"/>
          <w:lang w:val="en-US"/>
        </w:rPr>
      </w:pPr>
      <w:r w:rsidRPr="00437B3D">
        <w:rPr>
          <w:noProof/>
          <w:lang w:val="es-ES_tradnl"/>
        </w:rPr>
        <w:t>Subprograma UV.3:  Prestar asistencia para la introducción y aplicación del sistema de la UPOV</w:t>
      </w:r>
      <w:r>
        <w:rPr>
          <w:noProof/>
        </w:rPr>
        <w:tab/>
      </w:r>
      <w:r>
        <w:rPr>
          <w:noProof/>
        </w:rPr>
        <w:fldChar w:fldCharType="begin"/>
      </w:r>
      <w:r>
        <w:rPr>
          <w:noProof/>
        </w:rPr>
        <w:instrText xml:space="preserve"> PAGEREF _Toc368060336 \h </w:instrText>
      </w:r>
      <w:r>
        <w:rPr>
          <w:noProof/>
        </w:rPr>
      </w:r>
      <w:r>
        <w:rPr>
          <w:noProof/>
        </w:rPr>
        <w:fldChar w:fldCharType="separate"/>
      </w:r>
      <w:r w:rsidR="00CA0EE8">
        <w:rPr>
          <w:noProof/>
        </w:rPr>
        <w:t>17</w:t>
      </w:r>
      <w:r>
        <w:rPr>
          <w:noProof/>
        </w:rP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Objetivos:</w:t>
      </w:r>
      <w:r>
        <w:tab/>
      </w:r>
      <w:r>
        <w:fldChar w:fldCharType="begin"/>
      </w:r>
      <w:r>
        <w:instrText xml:space="preserve"> PAGEREF _Toc368060337 \h </w:instrText>
      </w:r>
      <w:r>
        <w:fldChar w:fldCharType="separate"/>
      </w:r>
      <w:r w:rsidR="00CA0EE8">
        <w:t>17</w:t>
      </w:r>
      <w: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Resultados previstos</w:t>
      </w:r>
      <w:r>
        <w:tab/>
      </w:r>
      <w:r>
        <w:fldChar w:fldCharType="begin"/>
      </w:r>
      <w:r>
        <w:instrText xml:space="preserve"> PAGEREF _Toc368060338 \h </w:instrText>
      </w:r>
      <w:r>
        <w:fldChar w:fldCharType="separate"/>
      </w:r>
      <w:r w:rsidR="00CA0EE8">
        <w:t>17</w:t>
      </w:r>
      <w:r>
        <w:fldChar w:fldCharType="end"/>
      </w:r>
    </w:p>
    <w:p w:rsidR="00BE1A20" w:rsidRDefault="00BE1A20">
      <w:pPr>
        <w:pStyle w:val="TOC7"/>
        <w:rPr>
          <w:rFonts w:asciiTheme="minorHAnsi" w:eastAsiaTheme="minorEastAsia" w:hAnsiTheme="minorHAnsi" w:cstheme="minorBidi"/>
          <w:i w:val="0"/>
          <w:sz w:val="22"/>
          <w:szCs w:val="22"/>
        </w:rPr>
      </w:pPr>
      <w:r w:rsidRPr="00437B3D">
        <w:rPr>
          <w:lang w:val="es-ES_tradnl"/>
        </w:rPr>
        <w:t>Resultados alcanzados:  indicadores de rendimiento</w:t>
      </w:r>
      <w:r>
        <w:tab/>
      </w:r>
      <w:r>
        <w:fldChar w:fldCharType="begin"/>
      </w:r>
      <w:r>
        <w:instrText xml:space="preserve"> PAGEREF _Toc368060339 \h </w:instrText>
      </w:r>
      <w:r>
        <w:fldChar w:fldCharType="separate"/>
      </w:r>
      <w:r w:rsidR="00CA0EE8">
        <w:t>17</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1.  Fomentar la sensibilización acerca de la función de la protección de las variedades vegetales con arreglo al Convenio de la UPOV</w:t>
      </w:r>
      <w:r>
        <w:tab/>
      </w:r>
      <w:r>
        <w:fldChar w:fldCharType="begin"/>
      </w:r>
      <w:r>
        <w:instrText xml:space="preserve"> PAGEREF _Toc368060340 \h </w:instrText>
      </w:r>
      <w:r>
        <w:fldChar w:fldCharType="separate"/>
      </w:r>
      <w:r w:rsidR="00CA0EE8">
        <w:t>17</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Publicaciones sobre la función de la protección de las variedades vegetales, incluidas las publicaciones del sitio Web de la UPOV</w:t>
      </w:r>
      <w:r>
        <w:tab/>
      </w:r>
      <w:r>
        <w:fldChar w:fldCharType="begin"/>
      </w:r>
      <w:r>
        <w:instrText xml:space="preserve"> PAGEREF _Toc368060341 \h </w:instrText>
      </w:r>
      <w:r>
        <w:fldChar w:fldCharType="separate"/>
      </w:r>
      <w:r w:rsidR="00CA0EE8">
        <w:t>17</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Estados y organizaciones que han recibido información en las actividades de la UPOV</w:t>
      </w:r>
      <w:r>
        <w:tab/>
      </w:r>
      <w:r>
        <w:fldChar w:fldCharType="begin"/>
      </w:r>
      <w:r>
        <w:instrText xml:space="preserve"> PAGEREF _Toc368060342 \h </w:instrText>
      </w:r>
      <w:r>
        <w:fldChar w:fldCharType="separate"/>
      </w:r>
      <w:r w:rsidR="00CA0EE8">
        <w:t>17</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Estados y organizaciones que han contactado con la Oficina de la Unión para recibir asistencia en la elaboración de legislación sobre la protección de las variedades vegetales</w:t>
      </w:r>
      <w:r>
        <w:tab/>
      </w:r>
      <w:r>
        <w:fldChar w:fldCharType="begin"/>
      </w:r>
      <w:r>
        <w:instrText xml:space="preserve"> PAGEREF _Toc368060343 \h </w:instrText>
      </w:r>
      <w:r>
        <w:fldChar w:fldCharType="separate"/>
      </w:r>
      <w:r w:rsidR="00CA0EE8">
        <w:t>17</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d)  Estados y organizaciones que han iniciado ante el Consejo de la UPOV el procedimiento para ser miembro de la Unión</w:t>
      </w:r>
      <w:r>
        <w:tab/>
      </w:r>
      <w:r>
        <w:fldChar w:fldCharType="begin"/>
      </w:r>
      <w:r>
        <w:instrText xml:space="preserve"> PAGEREF _Toc368060344 \h </w:instrText>
      </w:r>
      <w:r>
        <w:fldChar w:fldCharType="separate"/>
      </w:r>
      <w:r w:rsidR="00CA0EE8">
        <w:t>18</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e)  Participación en actividades de la UPOV de fomento de la sensibilización o actividades en las que toma parte el personal de la UPOV o formadores en nombre del personal de la UPOV</w:t>
      </w:r>
      <w:r>
        <w:tab/>
      </w:r>
      <w:r>
        <w:fldChar w:fldCharType="begin"/>
      </w:r>
      <w:r>
        <w:instrText xml:space="preserve"> PAGEREF _Toc368060345 \h </w:instrText>
      </w:r>
      <w:r>
        <w:fldChar w:fldCharType="separate"/>
      </w:r>
      <w:r w:rsidR="00CA0EE8">
        <w:t>18</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2.  Asistencia en la elaboración de legislación sobre la protección de las variedades vegetales de conformidad con el Acta de 1991 del Convenio de la UPOV</w:t>
      </w:r>
      <w:r>
        <w:tab/>
      </w:r>
      <w:r>
        <w:fldChar w:fldCharType="begin"/>
      </w:r>
      <w:r>
        <w:instrText xml:space="preserve"> PAGEREF _Toc368060346 \h </w:instrText>
      </w:r>
      <w:r>
        <w:fldChar w:fldCharType="separate"/>
      </w:r>
      <w:r w:rsidR="00CA0EE8">
        <w:t>19</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Estados y organizaciones que han recibido comentarios sobre la legislación</w:t>
      </w:r>
      <w:r>
        <w:tab/>
      </w:r>
      <w:r>
        <w:fldChar w:fldCharType="begin"/>
      </w:r>
      <w:r>
        <w:instrText xml:space="preserve"> PAGEREF _Toc368060347 \h </w:instrText>
      </w:r>
      <w:r>
        <w:fldChar w:fldCharType="separate"/>
      </w:r>
      <w:r w:rsidR="00CA0EE8">
        <w:t>19</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Estados y organizaciones respecto de cuya legislación el Consejo de la UPOV ha adoptado una decisión positiva</w:t>
      </w:r>
      <w:r>
        <w:tab/>
      </w:r>
      <w:r>
        <w:fldChar w:fldCharType="begin"/>
      </w:r>
      <w:r>
        <w:instrText xml:space="preserve"> PAGEREF _Toc368060348 \h </w:instrText>
      </w:r>
      <w:r>
        <w:fldChar w:fldCharType="separate"/>
      </w:r>
      <w:r w:rsidR="00CA0EE8">
        <w:t>19</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Reuniones con funcionarios gubernamentales</w:t>
      </w:r>
      <w:r>
        <w:tab/>
      </w:r>
      <w:r>
        <w:fldChar w:fldCharType="begin"/>
      </w:r>
      <w:r>
        <w:instrText xml:space="preserve"> PAGEREF _Toc368060349 \h </w:instrText>
      </w:r>
      <w:r>
        <w:fldChar w:fldCharType="separate"/>
      </w:r>
      <w:r w:rsidR="00CA0EE8">
        <w:t>19</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3.  Asistencia a Estados y organizaciones para la adhesión al Acta de 1991 del Convenio de la UPOV</w:t>
      </w:r>
      <w:r>
        <w:tab/>
      </w:r>
      <w:r>
        <w:fldChar w:fldCharType="begin"/>
      </w:r>
      <w:r>
        <w:instrText xml:space="preserve"> PAGEREF _Toc368060350 \h </w:instrText>
      </w:r>
      <w:r>
        <w:fldChar w:fldCharType="separate"/>
      </w:r>
      <w:r w:rsidR="00CA0EE8">
        <w:t>20</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Estados que se han adherido al Acta de 1991 del Convenio de la UPOV, o que han ratificado dicha Acta</w:t>
      </w:r>
      <w:r>
        <w:tab/>
      </w:r>
      <w:r>
        <w:fldChar w:fldCharType="begin"/>
      </w:r>
      <w:r>
        <w:instrText xml:space="preserve"> PAGEREF _Toc368060351 \h </w:instrText>
      </w:r>
      <w:r>
        <w:fldChar w:fldCharType="separate"/>
      </w:r>
      <w:r w:rsidR="00CA0EE8">
        <w:t>20</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Estados y organizaciones que han pasado a ser miembros de la Unión</w:t>
      </w:r>
      <w:r>
        <w:tab/>
      </w:r>
      <w:r>
        <w:fldChar w:fldCharType="begin"/>
      </w:r>
      <w:r>
        <w:instrText xml:space="preserve"> PAGEREF _Toc368060352 \h </w:instrText>
      </w:r>
      <w:r>
        <w:fldChar w:fldCharType="separate"/>
      </w:r>
      <w:r w:rsidR="00CA0EE8">
        <w:t>20</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4.  Asistencia para la aplicación de un sistema eficaz de derechos de obtentor de conformidad con el Acta de 1991 del Convenio de la UPOV</w:t>
      </w:r>
      <w:r>
        <w:tab/>
      </w:r>
      <w:r>
        <w:fldChar w:fldCharType="begin"/>
      </w:r>
      <w:r>
        <w:instrText xml:space="preserve"> PAGEREF _Toc368060353 \h </w:instrText>
      </w:r>
      <w:r>
        <w:fldChar w:fldCharType="separate"/>
      </w:r>
      <w:r w:rsidR="00CA0EE8">
        <w:t>20</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Participación en cursos de enseñanza a distancia</w:t>
      </w:r>
      <w:r>
        <w:tab/>
      </w:r>
      <w:r>
        <w:fldChar w:fldCharType="begin"/>
      </w:r>
      <w:r>
        <w:instrText xml:space="preserve"> PAGEREF _Toc368060354 \h </w:instrText>
      </w:r>
      <w:r>
        <w:fldChar w:fldCharType="separate"/>
      </w:r>
      <w:r w:rsidR="00CA0EE8">
        <w:t>20</w:t>
      </w:r>
      <w:r>
        <w:fldChar w:fldCharType="end"/>
      </w:r>
    </w:p>
    <w:p w:rsidR="00BE1A20" w:rsidRDefault="00BE1A20">
      <w:pPr>
        <w:pStyle w:val="TOC9"/>
        <w:rPr>
          <w:rFonts w:asciiTheme="minorHAnsi" w:eastAsiaTheme="minorEastAsia" w:hAnsiTheme="minorHAnsi" w:cstheme="minorBidi"/>
          <w:sz w:val="22"/>
          <w:szCs w:val="22"/>
        </w:rPr>
      </w:pPr>
      <w:r w:rsidRPr="00437B3D">
        <w:rPr>
          <w:lang w:val="es-ES_tradnl"/>
        </w:rPr>
        <w:t>Figura 8.  Distribución de los participantes en las sesiones principales del curso DL-205  por categoría de inscripción</w:t>
      </w:r>
      <w:r>
        <w:tab/>
      </w:r>
      <w:r>
        <w:fldChar w:fldCharType="begin"/>
      </w:r>
      <w:r>
        <w:instrText xml:space="preserve"> PAGEREF _Toc368060355 \h </w:instrText>
      </w:r>
      <w:r>
        <w:fldChar w:fldCharType="separate"/>
      </w:r>
      <w:r w:rsidR="00CA0EE8">
        <w:t>21</w:t>
      </w:r>
      <w:r>
        <w:fldChar w:fldCharType="end"/>
      </w:r>
    </w:p>
    <w:p w:rsidR="00BE1A20" w:rsidRDefault="00BE1A20">
      <w:pPr>
        <w:pStyle w:val="TOC9"/>
        <w:rPr>
          <w:rFonts w:asciiTheme="minorHAnsi" w:eastAsiaTheme="minorEastAsia" w:hAnsiTheme="minorHAnsi" w:cstheme="minorBidi"/>
          <w:sz w:val="22"/>
          <w:szCs w:val="22"/>
        </w:rPr>
      </w:pPr>
      <w:r w:rsidRPr="00437B3D">
        <w:rPr>
          <w:lang w:val="es-ES_tradnl"/>
        </w:rPr>
        <w:t>Figura 9.  Distribución de los participantes en las sesiones principales del curso DL-205  por idioma</w:t>
      </w:r>
      <w:r>
        <w:tab/>
      </w:r>
      <w:r>
        <w:fldChar w:fldCharType="begin"/>
      </w:r>
      <w:r>
        <w:instrText xml:space="preserve"> PAGEREF _Toc368060356 \h </w:instrText>
      </w:r>
      <w:r>
        <w:fldChar w:fldCharType="separate"/>
      </w:r>
      <w:r w:rsidR="00CA0EE8">
        <w:t>21</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Participación de Estados y organizaciones observadores en el CAJ, el TC, los TWP y los talleres preparatorios conexos</w:t>
      </w:r>
      <w:r>
        <w:tab/>
      </w:r>
      <w:r>
        <w:fldChar w:fldCharType="begin"/>
      </w:r>
      <w:r>
        <w:instrText xml:space="preserve"> PAGEREF _Toc368060357 \h </w:instrText>
      </w:r>
      <w:r>
        <w:fldChar w:fldCharType="separate"/>
      </w:r>
      <w:r w:rsidR="00CA0EE8">
        <w:t>22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c)  Participación en actividades de la UPOV;</w:t>
      </w:r>
      <w:r>
        <w:tab/>
      </w:r>
      <w:r>
        <w:fldChar w:fldCharType="begin"/>
      </w:r>
      <w:r>
        <w:instrText xml:space="preserve"> PAGEREF _Toc368060358 \h </w:instrText>
      </w:r>
      <w:r>
        <w:fldChar w:fldCharType="separate"/>
      </w:r>
      <w:r w:rsidR="00CA0EE8">
        <w:t>22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d)  Participación en actividades en las que toma parte el personal de la UPOV o formadores en nombre del personal de la UPOV;  y</w:t>
      </w:r>
      <w:r>
        <w:tab/>
      </w:r>
      <w:r>
        <w:fldChar w:fldCharType="begin"/>
      </w:r>
      <w:r>
        <w:instrText xml:space="preserve"> PAGEREF _Toc368060359 \h </w:instrText>
      </w:r>
      <w:r>
        <w:fldChar w:fldCharType="separate"/>
      </w:r>
      <w:r w:rsidR="00CA0EE8">
        <w:t>22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e)  Formación proporcionada por formadores de la UPOV en actividades no organizadas por la UPOV</w:t>
      </w:r>
      <w:r>
        <w:tab/>
      </w:r>
      <w:r>
        <w:fldChar w:fldCharType="begin"/>
      </w:r>
      <w:r>
        <w:instrText xml:space="preserve"> PAGEREF _Toc368060360 \h </w:instrText>
      </w:r>
      <w:r>
        <w:fldChar w:fldCharType="separate"/>
      </w:r>
      <w:r w:rsidR="00CA0EE8">
        <w:t>22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f)  Ejecución de proyectos con organizaciones asociadas y donantes</w:t>
      </w:r>
      <w:r>
        <w:tab/>
      </w:r>
      <w:r>
        <w:fldChar w:fldCharType="begin"/>
      </w:r>
      <w:r>
        <w:instrText xml:space="preserve"> PAGEREF _Toc368060361 \h </w:instrText>
      </w:r>
      <w:r>
        <w:fldChar w:fldCharType="separate"/>
      </w:r>
      <w:r w:rsidR="00CA0EE8">
        <w:t>22</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g)  Uso de la página de asistencia en Internet para obtener apoyo a los proyectos</w:t>
      </w:r>
      <w:r>
        <w:tab/>
      </w:r>
      <w:r>
        <w:fldChar w:fldCharType="begin"/>
      </w:r>
      <w:r>
        <w:instrText xml:space="preserve"> PAGEREF _Toc368060362 \h </w:instrText>
      </w:r>
      <w:r>
        <w:fldChar w:fldCharType="separate"/>
      </w:r>
      <w:r w:rsidR="00CA0EE8">
        <w:t>22</w:t>
      </w:r>
      <w:r>
        <w:fldChar w:fldCharType="end"/>
      </w:r>
    </w:p>
    <w:p w:rsidR="00BE1A20" w:rsidRDefault="00BE1A20">
      <w:pPr>
        <w:pStyle w:val="TOC3"/>
        <w:rPr>
          <w:rFonts w:asciiTheme="minorHAnsi" w:eastAsiaTheme="minorEastAsia" w:hAnsiTheme="minorHAnsi" w:cstheme="minorBidi"/>
          <w:b w:val="0"/>
          <w:noProof/>
          <w:sz w:val="22"/>
          <w:szCs w:val="22"/>
          <w:lang w:val="en-US"/>
        </w:rPr>
      </w:pPr>
      <w:r w:rsidRPr="00437B3D">
        <w:rPr>
          <w:noProof/>
          <w:lang w:val="es-ES_tradnl"/>
        </w:rPr>
        <w:t>Subprograma UV.4:  Relaciones exteriores</w:t>
      </w:r>
      <w:r>
        <w:rPr>
          <w:noProof/>
        </w:rPr>
        <w:tab/>
      </w:r>
      <w:r>
        <w:rPr>
          <w:noProof/>
        </w:rPr>
        <w:fldChar w:fldCharType="begin"/>
      </w:r>
      <w:r>
        <w:rPr>
          <w:noProof/>
        </w:rPr>
        <w:instrText xml:space="preserve"> PAGEREF _Toc368060363 \h </w:instrText>
      </w:r>
      <w:r>
        <w:rPr>
          <w:noProof/>
        </w:rPr>
      </w:r>
      <w:r>
        <w:rPr>
          <w:noProof/>
        </w:rPr>
        <w:fldChar w:fldCharType="separate"/>
      </w:r>
      <w:r w:rsidR="00CA0EE8">
        <w:rPr>
          <w:noProof/>
        </w:rPr>
        <w:t>23</w:t>
      </w:r>
      <w:r>
        <w:rPr>
          <w:noProof/>
        </w:rP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Objetivos:</w:t>
      </w:r>
      <w:r>
        <w:tab/>
      </w:r>
      <w:r>
        <w:fldChar w:fldCharType="begin"/>
      </w:r>
      <w:r>
        <w:instrText xml:space="preserve"> PAGEREF _Toc368060364 \h </w:instrText>
      </w:r>
      <w:r>
        <w:fldChar w:fldCharType="separate"/>
      </w:r>
      <w:r w:rsidR="00CA0EE8">
        <w:t>23</w:t>
      </w:r>
      <w:r>
        <w:fldChar w:fldCharType="end"/>
      </w:r>
    </w:p>
    <w:p w:rsidR="00BE1A20" w:rsidRDefault="00BE1A20">
      <w:pPr>
        <w:pStyle w:val="TOC5"/>
        <w:rPr>
          <w:rFonts w:asciiTheme="minorHAnsi" w:eastAsiaTheme="minorEastAsia" w:hAnsiTheme="minorHAnsi" w:cstheme="minorBidi"/>
          <w:sz w:val="22"/>
          <w:szCs w:val="22"/>
          <w:lang w:val="en-US"/>
        </w:rPr>
      </w:pPr>
      <w:r w:rsidRPr="00437B3D">
        <w:rPr>
          <w:lang w:val="es-ES_tradnl"/>
        </w:rPr>
        <w:t>Resultados previstos</w:t>
      </w:r>
      <w:r>
        <w:tab/>
      </w:r>
      <w:r>
        <w:fldChar w:fldCharType="begin"/>
      </w:r>
      <w:r>
        <w:instrText xml:space="preserve"> PAGEREF _Toc368060365 \h </w:instrText>
      </w:r>
      <w:r>
        <w:fldChar w:fldCharType="separate"/>
      </w:r>
      <w:r w:rsidR="00CA0EE8">
        <w:t>23</w:t>
      </w:r>
      <w:r>
        <w:fldChar w:fldCharType="end"/>
      </w:r>
    </w:p>
    <w:p w:rsidR="00BE1A20" w:rsidRDefault="00BE1A20">
      <w:pPr>
        <w:pStyle w:val="TOC7"/>
        <w:rPr>
          <w:rFonts w:asciiTheme="minorHAnsi" w:eastAsiaTheme="minorEastAsia" w:hAnsiTheme="minorHAnsi" w:cstheme="minorBidi"/>
          <w:i w:val="0"/>
          <w:sz w:val="22"/>
          <w:szCs w:val="22"/>
        </w:rPr>
      </w:pPr>
      <w:r w:rsidRPr="00437B3D">
        <w:rPr>
          <w:lang w:val="es-ES_tradnl"/>
        </w:rPr>
        <w:t>Resultados alcanzados:  indicadores de rendimiento</w:t>
      </w:r>
      <w:r>
        <w:tab/>
      </w:r>
      <w:r>
        <w:fldChar w:fldCharType="begin"/>
      </w:r>
      <w:r>
        <w:instrText xml:space="preserve"> PAGEREF _Toc368060366 \h </w:instrText>
      </w:r>
      <w:r>
        <w:fldChar w:fldCharType="separate"/>
      </w:r>
      <w:r w:rsidR="00CA0EE8">
        <w:t>23</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1.  Mejora de la comprensión del público acerca de la función y las actividades de la UPOV</w:t>
      </w:r>
      <w:r>
        <w:tab/>
      </w:r>
      <w:r>
        <w:fldChar w:fldCharType="begin"/>
      </w:r>
      <w:r>
        <w:instrText xml:space="preserve"> PAGEREF _Toc368060367 \h </w:instrText>
      </w:r>
      <w:r>
        <w:fldChar w:fldCharType="separate"/>
      </w:r>
      <w:r w:rsidR="00CA0EE8">
        <w:t>23</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Disponibilidad de información y material orientado al público en el sitio Web de la UPOV</w:t>
      </w:r>
      <w:r>
        <w:tab/>
      </w:r>
      <w:r>
        <w:fldChar w:fldCharType="begin"/>
      </w:r>
      <w:r>
        <w:instrText xml:space="preserve"> PAGEREF _Toc368060368 \h </w:instrText>
      </w:r>
      <w:r>
        <w:fldChar w:fldCharType="separate"/>
      </w:r>
      <w:r w:rsidR="00CA0EE8">
        <w:t>23</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Visitas al sitio Web</w:t>
      </w:r>
      <w:r>
        <w:tab/>
      </w:r>
      <w:r>
        <w:fldChar w:fldCharType="begin"/>
      </w:r>
      <w:r>
        <w:instrText xml:space="preserve"> PAGEREF _Toc368060369 \h </w:instrText>
      </w:r>
      <w:r>
        <w:fldChar w:fldCharType="separate"/>
      </w:r>
      <w:r w:rsidR="00CA0EE8">
        <w:t>23</w:t>
      </w:r>
      <w:r>
        <w:fldChar w:fldCharType="end"/>
      </w:r>
    </w:p>
    <w:p w:rsidR="00BE1A20" w:rsidRDefault="00BE1A20">
      <w:pPr>
        <w:pStyle w:val="TOC6"/>
        <w:rPr>
          <w:rFonts w:asciiTheme="minorHAnsi" w:eastAsiaTheme="minorEastAsia" w:hAnsiTheme="minorHAnsi" w:cstheme="minorBidi"/>
          <w:sz w:val="22"/>
          <w:szCs w:val="22"/>
        </w:rPr>
      </w:pPr>
      <w:r w:rsidRPr="00437B3D">
        <w:rPr>
          <w:lang w:val="es-ES_tradnl"/>
        </w:rPr>
        <w:t>2.  Suministro de información a otras organizaciones</w:t>
      </w:r>
      <w:r>
        <w:tab/>
      </w:r>
      <w:r>
        <w:fldChar w:fldCharType="begin"/>
      </w:r>
      <w:r>
        <w:instrText xml:space="preserve"> PAGEREF _Toc368060370 \h </w:instrText>
      </w:r>
      <w:r>
        <w:fldChar w:fldCharType="separate"/>
      </w:r>
      <w:r w:rsidR="00CA0EE8">
        <w:t>24</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a)  Participación en reuniones de organizaciones pertinentes, y con organizaciones pertinentes</w:t>
      </w:r>
      <w:r>
        <w:tab/>
      </w:r>
      <w:r>
        <w:fldChar w:fldCharType="begin"/>
      </w:r>
      <w:r>
        <w:instrText xml:space="preserve"> PAGEREF _Toc368060371 \h </w:instrText>
      </w:r>
      <w:r>
        <w:fldChar w:fldCharType="separate"/>
      </w:r>
      <w:r w:rsidR="00CA0EE8">
        <w:t>24</w:t>
      </w:r>
      <w:r>
        <w:fldChar w:fldCharType="end"/>
      </w:r>
    </w:p>
    <w:p w:rsidR="00BE1A20" w:rsidRDefault="00BE1A20">
      <w:pPr>
        <w:pStyle w:val="TOC8"/>
        <w:rPr>
          <w:rFonts w:asciiTheme="minorHAnsi" w:eastAsiaTheme="minorEastAsia" w:hAnsiTheme="minorHAnsi" w:cstheme="minorBidi"/>
          <w:i w:val="0"/>
          <w:sz w:val="22"/>
          <w:szCs w:val="22"/>
        </w:rPr>
      </w:pPr>
      <w:r w:rsidRPr="00437B3D">
        <w:rPr>
          <w:lang w:val="es-ES_tradnl"/>
        </w:rPr>
        <w:t>b)  Aportaciones efectuadas a organizaciones pertinentes</w:t>
      </w:r>
      <w:r>
        <w:tab/>
      </w:r>
      <w:r>
        <w:fldChar w:fldCharType="begin"/>
      </w:r>
      <w:r>
        <w:instrText xml:space="preserve"> PAGEREF _Toc368060372 \h </w:instrText>
      </w:r>
      <w:r>
        <w:fldChar w:fldCharType="separate"/>
      </w:r>
      <w:r w:rsidR="00CA0EE8">
        <w:t>24</w:t>
      </w:r>
      <w:r>
        <w:fldChar w:fldCharType="end"/>
      </w:r>
    </w:p>
    <w:p w:rsidR="00B43D13" w:rsidRPr="00C60FC3" w:rsidRDefault="00B43D13" w:rsidP="00BF2668">
      <w:pPr>
        <w:pStyle w:val="Heading3"/>
        <w:keepNext w:val="0"/>
        <w:rPr>
          <w:caps w:val="0"/>
          <w:lang w:val="es-ES_tradnl"/>
        </w:rPr>
      </w:pPr>
      <w:r w:rsidRPr="00C60FC3">
        <w:rPr>
          <w:caps w:val="0"/>
          <w:dstrike/>
          <w:lang w:val="es-ES_tradnl"/>
        </w:rPr>
        <w:fldChar w:fldCharType="end"/>
      </w:r>
    </w:p>
    <w:p w:rsidR="00B43D13" w:rsidRPr="00C60FC3" w:rsidRDefault="00B43D13" w:rsidP="00BF2668">
      <w:pPr>
        <w:pStyle w:val="Heading3"/>
        <w:keepNext w:val="0"/>
        <w:rPr>
          <w:lang w:val="es-ES_tradnl"/>
        </w:rPr>
      </w:pPr>
      <w:r w:rsidRPr="00C60FC3">
        <w:rPr>
          <w:lang w:val="es-ES_tradnl"/>
        </w:rPr>
        <w:br w:type="page"/>
      </w:r>
      <w:bookmarkStart w:id="16" w:name="_Toc368060280"/>
      <w:r w:rsidRPr="00C60FC3">
        <w:rPr>
          <w:lang w:val="es-ES_tradnl"/>
        </w:rPr>
        <w:t>Introducción</w:t>
      </w:r>
      <w:bookmarkEnd w:id="16"/>
    </w:p>
    <w:p w:rsidR="00B43D13" w:rsidRPr="00C60FC3" w:rsidRDefault="00B43D13" w:rsidP="00BF2668">
      <w:pPr>
        <w:rPr>
          <w:caps/>
          <w:lang w:val="es-ES_tradnl"/>
        </w:rPr>
      </w:pPr>
    </w:p>
    <w:p w:rsidR="00B43D13" w:rsidRPr="00C60FC3" w:rsidRDefault="00B43D13" w:rsidP="00BF2668">
      <w:pPr>
        <w:rPr>
          <w:lang w:val="es-ES_tradnl"/>
        </w:rPr>
      </w:pPr>
      <w:r w:rsidRPr="00C60FC3">
        <w:rPr>
          <w:lang w:val="es-ES_tradnl"/>
        </w:rPr>
        <w:t>1.</w:t>
      </w:r>
      <w:r w:rsidRPr="00C60FC3">
        <w:rPr>
          <w:lang w:val="es-ES_tradnl"/>
        </w:rPr>
        <w:tab/>
        <w:t xml:space="preserve">En el presente informe se resumen los logros alcanzados en 2012.  El informe se ha estructurado con arreglo al programa y presupuesto para el bienio </w:t>
      </w:r>
      <w:r w:rsidR="001257C0">
        <w:rPr>
          <w:lang w:val="es-ES_tradnl"/>
        </w:rPr>
        <w:t>2012</w:t>
      </w:r>
      <w:r w:rsidR="001257C0">
        <w:rPr>
          <w:lang w:val="es-ES_tradnl"/>
        </w:rPr>
        <w:noBreakHyphen/>
        <w:t>2013</w:t>
      </w:r>
      <w:r w:rsidRPr="00C60FC3">
        <w:rPr>
          <w:lang w:val="es-ES_tradnl"/>
        </w:rPr>
        <w:t xml:space="preserve"> (documento C/45/4 Rev.2), aprobado por el Consejo en su cuadragésima quinta sesión ordinaria, celebrada el 20 de octubre de 2011.</w:t>
      </w: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t>2.</w:t>
      </w:r>
      <w:r w:rsidRPr="00C60FC3">
        <w:rPr>
          <w:lang w:val="es-ES_tradnl"/>
        </w:rPr>
        <w:tab/>
        <w:t>En el documento se expone una breve reseña de los progresos realizados con miras a alcanzar los objetivos de los subprogramas, y a continuación figuran cuadros de rendimiento en los que se proporciona información sobre los objetivos, los resultados previstos y los indicadores de rendimiento.</w:t>
      </w:r>
    </w:p>
    <w:p w:rsidR="00B43D13" w:rsidRPr="00C60FC3" w:rsidRDefault="00B43D13" w:rsidP="00BF2668">
      <w:pPr>
        <w:rPr>
          <w:lang w:val="es-ES_tradnl"/>
        </w:rPr>
      </w:pPr>
    </w:p>
    <w:p w:rsidR="00B43D13" w:rsidRPr="00CD4848" w:rsidRDefault="00B43D13" w:rsidP="00CD4848">
      <w:pPr>
        <w:pStyle w:val="Heading3"/>
      </w:pPr>
      <w:r w:rsidRPr="00C60FC3">
        <w:rPr>
          <w:lang w:val="es-ES_tradnl"/>
        </w:rPr>
        <w:br w:type="page"/>
      </w:r>
      <w:bookmarkStart w:id="17" w:name="_Toc368060281"/>
      <w:bookmarkStart w:id="18" w:name="_Toc336331192"/>
      <w:bookmarkStart w:id="19" w:name="_Toc336339182"/>
      <w:r w:rsidR="00CD4848" w:rsidRPr="00CD4848">
        <w:t>Subprograma </w:t>
      </w:r>
      <w:r w:rsidRPr="00CD4848">
        <w:t>UV.1:  Política general sobre protección de las variedades vegetales</w:t>
      </w:r>
      <w:bookmarkEnd w:id="17"/>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r w:rsidRPr="00C60FC3">
        <w:rPr>
          <w:sz w:val="18"/>
          <w:szCs w:val="18"/>
          <w:lang w:val="es-ES_tradnl"/>
        </w:rPr>
        <w:t>En las sesiones del Consejo y el Comité Consultivo se han sentado las bases para la elaboración de políticas, la gestión y la coordinación de las actividades del programa general de la UPOV.</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5"/>
              <w:keepNext w:val="0"/>
              <w:rPr>
                <w:lang w:val="es-ES_tradnl"/>
              </w:rPr>
            </w:pPr>
            <w:bookmarkStart w:id="20" w:name="_Toc368060282"/>
            <w:r w:rsidRPr="00C60FC3">
              <w:rPr>
                <w:lang w:val="es-ES_tradnl"/>
              </w:rPr>
              <w:t>Objetivos:</w:t>
            </w:r>
            <w:bookmarkEnd w:id="20"/>
          </w:p>
        </w:tc>
        <w:tc>
          <w:tcPr>
            <w:tcW w:w="7796" w:type="dxa"/>
            <w:vAlign w:val="center"/>
          </w:tcPr>
          <w:p w:rsidR="00B43D13" w:rsidRPr="00C60FC3" w:rsidRDefault="00B43D13" w:rsidP="00BF2668">
            <w:pPr>
              <w:numPr>
                <w:ilvl w:val="0"/>
                <w:numId w:val="18"/>
              </w:numPr>
              <w:jc w:val="left"/>
              <w:rPr>
                <w:b/>
                <w:i/>
                <w:sz w:val="18"/>
                <w:szCs w:val="18"/>
                <w:lang w:val="es-ES_tradnl"/>
              </w:rPr>
            </w:pPr>
            <w:r w:rsidRPr="00C60FC3">
              <w:rPr>
                <w:sz w:val="18"/>
                <w:szCs w:val="18"/>
                <w:lang w:val="es-ES_tradnl"/>
              </w:rPr>
              <w:t>Dirección de política y gestión ejecutiva.</w:t>
            </w:r>
          </w:p>
          <w:p w:rsidR="00B43D13" w:rsidRPr="00C60FC3" w:rsidRDefault="00B43D13" w:rsidP="00BF2668">
            <w:pPr>
              <w:numPr>
                <w:ilvl w:val="0"/>
                <w:numId w:val="18"/>
              </w:numPr>
              <w:jc w:val="left"/>
              <w:rPr>
                <w:b/>
                <w:sz w:val="18"/>
                <w:szCs w:val="18"/>
                <w:lang w:val="es-ES_tradnl"/>
              </w:rPr>
            </w:pPr>
            <w:r w:rsidRPr="00C60FC3">
              <w:rPr>
                <w:sz w:val="18"/>
                <w:szCs w:val="18"/>
                <w:lang w:val="es-ES_tradnl"/>
              </w:rPr>
              <w:t>Planificación, ejecución y evaluación del programa y presupuesto.</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5"/>
              <w:keepNext w:val="0"/>
              <w:rPr>
                <w:lang w:val="es-ES_tradnl"/>
              </w:rPr>
            </w:pPr>
            <w:bookmarkStart w:id="21" w:name="_Toc368060283"/>
            <w:r w:rsidRPr="00C60FC3">
              <w:rPr>
                <w:lang w:val="es-ES_tradnl"/>
              </w:rPr>
              <w:t>Resultados previstos</w:t>
            </w:r>
            <w:bookmarkEnd w:id="21"/>
          </w:p>
        </w:tc>
        <w:tc>
          <w:tcPr>
            <w:tcW w:w="7796" w:type="dxa"/>
          </w:tcPr>
          <w:p w:rsidR="00B43D13" w:rsidRPr="00C60FC3" w:rsidRDefault="00B43D13" w:rsidP="00BF2668">
            <w:pPr>
              <w:pStyle w:val="Heading7"/>
              <w:rPr>
                <w:szCs w:val="18"/>
                <w:lang w:val="es-ES_tradnl"/>
              </w:rPr>
            </w:pPr>
            <w:bookmarkStart w:id="22" w:name="_Toc368060284"/>
            <w:r w:rsidRPr="00C60FC3">
              <w:rPr>
                <w:szCs w:val="18"/>
                <w:lang w:val="es-ES_tradnl"/>
              </w:rPr>
              <w:t>Resultados alcanzados</w:t>
            </w:r>
            <w:proofErr w:type="gramStart"/>
            <w:r w:rsidRPr="00C60FC3">
              <w:rPr>
                <w:szCs w:val="18"/>
                <w:lang w:val="es-ES_tradnl"/>
              </w:rPr>
              <w:t>:  indicadores</w:t>
            </w:r>
            <w:proofErr w:type="gramEnd"/>
            <w:r w:rsidRPr="00C60FC3">
              <w:rPr>
                <w:szCs w:val="18"/>
                <w:lang w:val="es-ES_tradnl"/>
              </w:rPr>
              <w:t xml:space="preserve"> de rendimiento</w:t>
            </w:r>
            <w:bookmarkEnd w:id="22"/>
          </w:p>
        </w:tc>
      </w:tr>
      <w:tr w:rsidR="00B43D13" w:rsidRPr="00C60FC3" w:rsidTr="0091418C">
        <w:tc>
          <w:tcPr>
            <w:tcW w:w="2093" w:type="dxa"/>
          </w:tcPr>
          <w:p w:rsidR="00B43D13" w:rsidRPr="00C60FC3" w:rsidRDefault="00B43D13" w:rsidP="00BF2668">
            <w:pPr>
              <w:pStyle w:val="Heading6"/>
              <w:rPr>
                <w:b/>
                <w:lang w:val="es-ES_tradnl"/>
              </w:rPr>
            </w:pPr>
            <w:bookmarkStart w:id="23" w:name="_Toc368060285"/>
            <w:r w:rsidRPr="00C60FC3">
              <w:rPr>
                <w:lang w:val="es-ES_tradnl"/>
              </w:rPr>
              <w:t>1.  Organización de las sesiones del Consejo y del Comité Consultivo</w:t>
            </w:r>
            <w:bookmarkEnd w:id="23"/>
          </w:p>
        </w:tc>
        <w:tc>
          <w:tcPr>
            <w:tcW w:w="7796" w:type="dxa"/>
          </w:tcPr>
          <w:p w:rsidR="00B43D13" w:rsidRPr="00C60FC3" w:rsidRDefault="00B43D13" w:rsidP="00BF2668">
            <w:pPr>
              <w:pStyle w:val="Heading8"/>
              <w:rPr>
                <w:szCs w:val="18"/>
                <w:lang w:val="es-ES_tradnl"/>
              </w:rPr>
            </w:pPr>
            <w:bookmarkStart w:id="24" w:name="_Toc368060286"/>
            <w:r w:rsidRPr="00C60FC3">
              <w:rPr>
                <w:szCs w:val="18"/>
                <w:lang w:val="es-ES_tradnl"/>
              </w:rPr>
              <w:t>a)  Participación en las sesiones del Consejo y del Comité Consultivo</w:t>
            </w:r>
            <w:bookmarkEnd w:id="24"/>
          </w:p>
          <w:p w:rsidR="00B43D13" w:rsidRPr="00C60FC3" w:rsidRDefault="00B43D13" w:rsidP="00BF2668">
            <w:pPr>
              <w:rPr>
                <w:i/>
                <w:sz w:val="18"/>
                <w:szCs w:val="18"/>
                <w:lang w:val="es-ES_tradnl"/>
              </w:rPr>
            </w:pPr>
            <w:r w:rsidRPr="00C60FC3">
              <w:rPr>
                <w:i/>
                <w:sz w:val="18"/>
                <w:szCs w:val="18"/>
                <w:lang w:val="es-ES_tradnl"/>
              </w:rPr>
              <w:t>Consejo</w:t>
            </w:r>
          </w:p>
          <w:p w:rsidR="00B43D13" w:rsidRPr="00C60FC3" w:rsidRDefault="00B43D13" w:rsidP="00BF2668">
            <w:pPr>
              <w:rPr>
                <w:sz w:val="18"/>
                <w:szCs w:val="18"/>
                <w:lang w:val="es-ES_tradnl"/>
              </w:rPr>
            </w:pPr>
          </w:p>
          <w:p w:rsidR="00B43D13" w:rsidRPr="00C60FC3" w:rsidRDefault="00B43D13" w:rsidP="00BF2668">
            <w:pPr>
              <w:rPr>
                <w:i/>
                <w:sz w:val="18"/>
                <w:szCs w:val="18"/>
                <w:lang w:val="es-ES_tradnl"/>
              </w:rPr>
            </w:pPr>
            <w:r w:rsidRPr="00C60FC3">
              <w:rPr>
                <w:i/>
                <w:sz w:val="18"/>
                <w:szCs w:val="18"/>
                <w:lang w:val="es-ES_tradnl"/>
              </w:rPr>
              <w:t>Cuadragésima sexta sesión ordinaria:</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r w:rsidRPr="00C60FC3">
              <w:rPr>
                <w:sz w:val="18"/>
                <w:szCs w:val="18"/>
                <w:lang w:val="es-ES_tradnl"/>
              </w:rPr>
              <w:t>123 participantes en representación de 47 miembros de la Unión, 8 Estados observadores y 10 organizaciones observadoras</w:t>
            </w:r>
          </w:p>
          <w:p w:rsidR="00B43D13" w:rsidRPr="00C60FC3" w:rsidRDefault="00B43D13" w:rsidP="00BF2668">
            <w:pPr>
              <w:rPr>
                <w:sz w:val="18"/>
                <w:szCs w:val="18"/>
                <w:lang w:val="es-ES_tradnl"/>
              </w:rPr>
            </w:pPr>
          </w:p>
          <w:p w:rsidR="00B43D13" w:rsidRPr="00C60FC3" w:rsidRDefault="00B43D13" w:rsidP="00BF2668">
            <w:pPr>
              <w:rPr>
                <w:i/>
                <w:sz w:val="18"/>
                <w:szCs w:val="18"/>
                <w:lang w:val="es-ES_tradnl"/>
              </w:rPr>
            </w:pPr>
            <w:r w:rsidRPr="00C60FC3">
              <w:rPr>
                <w:i/>
                <w:sz w:val="18"/>
                <w:szCs w:val="18"/>
                <w:lang w:val="es-ES_tradnl"/>
              </w:rPr>
              <w:t>Vigésima novena sesión extraordinaria:</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r w:rsidRPr="00C60FC3">
              <w:rPr>
                <w:sz w:val="18"/>
                <w:szCs w:val="18"/>
                <w:lang w:val="es-ES_tradnl"/>
              </w:rPr>
              <w:t>80 participantes en representación de 36 miembros de la Unión, 6 Estados observadores y 6 organizaciones observadoras</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p w:rsidR="00B43D13" w:rsidRPr="00C60FC3" w:rsidRDefault="00B43D13" w:rsidP="00BF2668">
            <w:pPr>
              <w:rPr>
                <w:i/>
                <w:sz w:val="18"/>
                <w:szCs w:val="18"/>
                <w:lang w:val="es-ES_tradnl"/>
              </w:rPr>
            </w:pPr>
            <w:r w:rsidRPr="00C60FC3">
              <w:rPr>
                <w:i/>
                <w:sz w:val="18"/>
                <w:szCs w:val="18"/>
                <w:lang w:val="es-ES_tradnl"/>
              </w:rPr>
              <w:t>Comité Consultivo</w:t>
            </w:r>
          </w:p>
          <w:p w:rsidR="00B43D13" w:rsidRPr="00C60FC3" w:rsidRDefault="00B43D13" w:rsidP="00BF2668">
            <w:pPr>
              <w:rPr>
                <w:sz w:val="18"/>
                <w:szCs w:val="18"/>
                <w:lang w:val="es-ES_tradnl"/>
              </w:rPr>
            </w:pPr>
          </w:p>
          <w:p w:rsidR="00B43D13" w:rsidRPr="00C60FC3" w:rsidRDefault="00B43D13" w:rsidP="00BF2668">
            <w:pPr>
              <w:rPr>
                <w:i/>
                <w:sz w:val="18"/>
                <w:szCs w:val="18"/>
                <w:lang w:val="es-ES_tradnl"/>
              </w:rPr>
            </w:pPr>
            <w:r w:rsidRPr="00C60FC3">
              <w:rPr>
                <w:i/>
                <w:sz w:val="18"/>
                <w:szCs w:val="18"/>
                <w:lang w:val="es-ES_tradnl"/>
              </w:rPr>
              <w:t>Octogésima cuarta sesión:</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r w:rsidRPr="00C60FC3">
              <w:rPr>
                <w:sz w:val="18"/>
                <w:szCs w:val="18"/>
                <w:lang w:val="es-ES_tradnl"/>
              </w:rPr>
              <w:t>83 participantes en representación de 44 miembros de la Unión</w:t>
            </w:r>
          </w:p>
          <w:p w:rsidR="00B43D13" w:rsidRPr="00C60FC3" w:rsidRDefault="00B43D13" w:rsidP="00BF2668">
            <w:pPr>
              <w:rPr>
                <w:sz w:val="18"/>
                <w:szCs w:val="18"/>
                <w:lang w:val="es-ES_tradnl"/>
              </w:rPr>
            </w:pPr>
          </w:p>
          <w:p w:rsidR="00B43D13" w:rsidRPr="00C60FC3" w:rsidRDefault="00B43D13" w:rsidP="00BF2668">
            <w:pPr>
              <w:rPr>
                <w:i/>
                <w:sz w:val="18"/>
                <w:szCs w:val="18"/>
                <w:lang w:val="es-ES_tradnl"/>
              </w:rPr>
            </w:pPr>
            <w:r w:rsidRPr="00C60FC3">
              <w:rPr>
                <w:i/>
                <w:sz w:val="18"/>
                <w:szCs w:val="18"/>
                <w:lang w:val="es-ES_tradnl"/>
              </w:rPr>
              <w:t>Octogésima tercera sesión:</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r w:rsidRPr="00C60FC3">
              <w:rPr>
                <w:sz w:val="18"/>
                <w:szCs w:val="18"/>
                <w:lang w:val="es-ES_tradnl"/>
              </w:rPr>
              <w:t>72 participantes en representación de 36 miembros de la Unión</w:t>
            </w:r>
          </w:p>
        </w:tc>
      </w:tr>
    </w:tbl>
    <w:p w:rsidR="00B43D13" w:rsidRPr="00C60FC3" w:rsidRDefault="00B43D13" w:rsidP="00BF2668">
      <w:pPr>
        <w:rPr>
          <w:lang w:val="es-ES_tradnl"/>
        </w:rPr>
      </w:pPr>
    </w:p>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765A39" w:rsidP="00BF2668">
            <w:pPr>
              <w:pStyle w:val="Heading6"/>
              <w:rPr>
                <w:lang w:val="es-ES_tradnl"/>
              </w:rPr>
            </w:pPr>
            <w:bookmarkStart w:id="25" w:name="_Toc368060287"/>
            <w:r>
              <w:rPr>
                <w:lang w:val="es-ES_tradnl"/>
              </w:rPr>
              <w:t>2.  </w:t>
            </w:r>
            <w:r w:rsidR="00B43D13" w:rsidRPr="00C60FC3">
              <w:rPr>
                <w:lang w:val="es-ES_tradnl"/>
              </w:rPr>
              <w:t>Coordinación, fiscalización y evaluación del rendimiento del programa y presupuesto para el bienio </w:t>
            </w:r>
            <w:r w:rsidR="001257C0">
              <w:rPr>
                <w:lang w:val="es-ES_tradnl"/>
              </w:rPr>
              <w:t>2012</w:t>
            </w:r>
            <w:r w:rsidR="001257C0">
              <w:rPr>
                <w:lang w:val="es-ES_tradnl"/>
              </w:rPr>
              <w:noBreakHyphen/>
              <w:t>2013</w:t>
            </w:r>
            <w:bookmarkEnd w:id="25"/>
          </w:p>
          <w:p w:rsidR="00B43D13" w:rsidRPr="00C60FC3" w:rsidRDefault="00B43D13" w:rsidP="00BF2668">
            <w:pPr>
              <w:rPr>
                <w:lang w:val="es-ES_tradnl"/>
              </w:rPr>
            </w:pPr>
          </w:p>
        </w:tc>
        <w:tc>
          <w:tcPr>
            <w:tcW w:w="7796" w:type="dxa"/>
          </w:tcPr>
          <w:p w:rsidR="00B43D13" w:rsidRPr="00C60FC3" w:rsidRDefault="00B43D13" w:rsidP="00BF2668">
            <w:pPr>
              <w:pStyle w:val="Heading8"/>
              <w:rPr>
                <w:szCs w:val="18"/>
                <w:lang w:val="es-ES_tradnl"/>
              </w:rPr>
            </w:pPr>
            <w:bookmarkStart w:id="26" w:name="_Toc368060288"/>
            <w:r w:rsidRPr="00C60FC3">
              <w:rPr>
                <w:szCs w:val="18"/>
                <w:lang w:val="es-ES_tradnl"/>
              </w:rPr>
              <w:t>a)  Ejecución del programa en el marco del presupuesto del bienio </w:t>
            </w:r>
            <w:r w:rsidR="001257C0">
              <w:rPr>
                <w:szCs w:val="18"/>
                <w:lang w:val="es-ES_tradnl"/>
              </w:rPr>
              <w:t>2012</w:t>
            </w:r>
            <w:r w:rsidR="001257C0">
              <w:rPr>
                <w:szCs w:val="18"/>
                <w:lang w:val="es-ES_tradnl"/>
              </w:rPr>
              <w:noBreakHyphen/>
              <w:t>2013</w:t>
            </w:r>
            <w:bookmarkEnd w:id="26"/>
          </w:p>
          <w:p w:rsidR="00B43D13" w:rsidRPr="00C60FC3" w:rsidRDefault="00B43D13" w:rsidP="00BF2668">
            <w:pPr>
              <w:rPr>
                <w:sz w:val="18"/>
                <w:szCs w:val="18"/>
                <w:lang w:val="es-ES_tradnl"/>
              </w:rPr>
            </w:pPr>
            <w:r w:rsidRPr="00C60FC3">
              <w:rPr>
                <w:sz w:val="18"/>
                <w:szCs w:val="18"/>
                <w:lang w:val="es-ES_tradnl"/>
              </w:rPr>
              <w:t>Resultados aún no disponibles</w:t>
            </w:r>
          </w:p>
        </w:tc>
      </w:tr>
    </w:tbl>
    <w:p w:rsidR="00B43D13" w:rsidRPr="00C60FC3" w:rsidRDefault="00B43D13" w:rsidP="00BF2668">
      <w:pPr>
        <w:rPr>
          <w:lang w:val="es-ES_tradnl"/>
        </w:rPr>
      </w:pPr>
    </w:p>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27" w:name="_Toc368060289"/>
            <w:r w:rsidRPr="00C60FC3">
              <w:rPr>
                <w:lang w:val="es-ES_tradnl"/>
              </w:rPr>
              <w:t>3.  Preparación y adopción del programa y presupuesto para el bienio </w:t>
            </w:r>
            <w:r w:rsidR="001257C0">
              <w:rPr>
                <w:lang w:val="es-ES_tradnl"/>
              </w:rPr>
              <w:t>2014</w:t>
            </w:r>
            <w:r w:rsidR="001257C0">
              <w:rPr>
                <w:lang w:val="es-ES_tradnl"/>
              </w:rPr>
              <w:noBreakHyphen/>
              <w:t>2015</w:t>
            </w:r>
            <w:bookmarkEnd w:id="27"/>
          </w:p>
          <w:p w:rsidR="00B43D13" w:rsidRPr="00C60FC3" w:rsidRDefault="00B43D13" w:rsidP="00BF2668">
            <w:pPr>
              <w:rPr>
                <w:lang w:val="es-ES_tradnl"/>
              </w:rPr>
            </w:pPr>
          </w:p>
        </w:tc>
        <w:tc>
          <w:tcPr>
            <w:tcW w:w="7796" w:type="dxa"/>
          </w:tcPr>
          <w:p w:rsidR="00B43D13" w:rsidRPr="00C60FC3" w:rsidRDefault="00B43D13" w:rsidP="00BF2668">
            <w:pPr>
              <w:pStyle w:val="Heading8"/>
              <w:rPr>
                <w:szCs w:val="18"/>
                <w:lang w:val="es-ES_tradnl"/>
              </w:rPr>
            </w:pPr>
            <w:bookmarkStart w:id="28" w:name="_Toc368060290"/>
            <w:r w:rsidRPr="00C60FC3">
              <w:rPr>
                <w:szCs w:val="18"/>
                <w:lang w:val="es-ES_tradnl"/>
              </w:rPr>
              <w:t>a)  Preparación y adopción del programa y presupuesto para el bienio </w:t>
            </w:r>
            <w:r w:rsidR="001257C0">
              <w:rPr>
                <w:szCs w:val="18"/>
                <w:lang w:val="es-ES_tradnl"/>
              </w:rPr>
              <w:t>2014</w:t>
            </w:r>
            <w:r w:rsidR="001257C0">
              <w:rPr>
                <w:szCs w:val="18"/>
                <w:lang w:val="es-ES_tradnl"/>
              </w:rPr>
              <w:noBreakHyphen/>
              <w:t>2015</w:t>
            </w:r>
            <w:r w:rsidRPr="00C60FC3">
              <w:rPr>
                <w:szCs w:val="18"/>
                <w:lang w:val="es-ES_tradnl"/>
              </w:rPr>
              <w:t xml:space="preserve"> con arreglo al “Reglamento Financiero y Reglamentación Financiera de la UPOV”</w:t>
            </w:r>
            <w:bookmarkEnd w:id="28"/>
          </w:p>
          <w:p w:rsidR="00B43D13" w:rsidRPr="00C60FC3" w:rsidRDefault="00B43D13" w:rsidP="00BF2668">
            <w:pPr>
              <w:rPr>
                <w:sz w:val="18"/>
                <w:szCs w:val="18"/>
                <w:lang w:val="es-ES_tradnl"/>
              </w:rPr>
            </w:pPr>
            <w:r w:rsidRPr="00C60FC3">
              <w:rPr>
                <w:sz w:val="18"/>
                <w:szCs w:val="18"/>
                <w:lang w:val="es-ES_tradnl"/>
              </w:rPr>
              <w:t>Resultados aún no disponibles</w:t>
            </w:r>
          </w:p>
        </w:tc>
      </w:tr>
    </w:tbl>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br w:type="page"/>
      </w: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BF2668">
            <w:pPr>
              <w:spacing w:after="24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rFonts w:cs="Arial"/>
                <w:b/>
                <w:sz w:val="18"/>
                <w:szCs w:val="18"/>
                <w:lang w:val="es-ES_tradnl"/>
              </w:rPr>
            </w:pPr>
            <w:r w:rsidRPr="00C60FC3">
              <w:rPr>
                <w:rFonts w:cs="Arial"/>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pStyle w:val="Heading6"/>
              <w:rPr>
                <w:lang w:val="es-ES_tradnl"/>
              </w:rPr>
            </w:pPr>
            <w:bookmarkStart w:id="29" w:name="_Toc368060291"/>
            <w:r w:rsidRPr="00C60FC3">
              <w:rPr>
                <w:lang w:val="es-ES_tradnl"/>
              </w:rPr>
              <w:t>4.  Política del Consejo</w:t>
            </w:r>
            <w:bookmarkEnd w:id="29"/>
          </w:p>
        </w:tc>
        <w:tc>
          <w:tcPr>
            <w:tcW w:w="7796" w:type="dxa"/>
          </w:tcPr>
          <w:p w:rsidR="00B43D13" w:rsidRPr="00C60FC3" w:rsidRDefault="00B43D13" w:rsidP="00BF2668">
            <w:pPr>
              <w:pStyle w:val="Heading8"/>
              <w:rPr>
                <w:rFonts w:cs="Arial"/>
                <w:szCs w:val="18"/>
                <w:lang w:val="es-ES_tradnl"/>
              </w:rPr>
            </w:pPr>
            <w:bookmarkStart w:id="30" w:name="_Toc368060292"/>
            <w:r w:rsidRPr="00C60FC3">
              <w:rPr>
                <w:rFonts w:cs="Arial"/>
                <w:szCs w:val="18"/>
                <w:lang w:val="es-ES_tradnl"/>
              </w:rPr>
              <w:t>a)  Recomendaciones formuladas por el Comité Consultivo</w:t>
            </w:r>
            <w:bookmarkEnd w:id="30"/>
          </w:p>
          <w:p w:rsidR="00B43D13" w:rsidRPr="00C60FC3" w:rsidRDefault="00B43D13" w:rsidP="00BF2668">
            <w:pPr>
              <w:spacing w:after="120"/>
              <w:rPr>
                <w:rFonts w:cs="Arial"/>
                <w:sz w:val="18"/>
                <w:szCs w:val="18"/>
                <w:lang w:val="es-ES_tradnl"/>
              </w:rPr>
            </w:pPr>
            <w:r w:rsidRPr="00C60FC3">
              <w:rPr>
                <w:rFonts w:cs="Arial"/>
                <w:sz w:val="18"/>
                <w:szCs w:val="18"/>
                <w:lang w:val="es-ES_tradnl"/>
              </w:rPr>
              <w:t>En su octogésima tercera sesión, celebrada en Ginebra el 30 de marzo de 2012 por la mañana, el Comité Consultivo formuló recomendaciones al Consejo en relación con:</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 xml:space="preserve">la aprobación de documentos; </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la prórroga del nombramiento del Secretario General Adjunto;</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un comunicado de prensa;</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la revisión de las Reglas que rigen la concesión de la condición de observador ante los órganos de la UPOV a los Estados, las organizaciones intergubernamentales y las organizaciones internacionales no gubernamentales;</w:t>
            </w:r>
          </w:p>
          <w:p w:rsidR="00B43D13" w:rsidRPr="00C60FC3" w:rsidRDefault="00B43D13" w:rsidP="00BF2668">
            <w:pPr>
              <w:pStyle w:val="ListParagraph"/>
              <w:numPr>
                <w:ilvl w:val="0"/>
                <w:numId w:val="37"/>
              </w:numPr>
              <w:spacing w:after="120"/>
              <w:ind w:left="714" w:hanging="357"/>
              <w:contextualSpacing w:val="0"/>
              <w:rPr>
                <w:rFonts w:cs="Arial"/>
                <w:sz w:val="18"/>
                <w:szCs w:val="18"/>
                <w:lang w:val="es-ES_tradnl"/>
              </w:rPr>
            </w:pPr>
            <w:r w:rsidRPr="00C60FC3">
              <w:rPr>
                <w:rFonts w:cs="Arial"/>
                <w:sz w:val="18"/>
                <w:szCs w:val="18"/>
                <w:lang w:val="es-ES_tradnl"/>
              </w:rPr>
              <w:t>la revisión de las Reglas que rigen el acceso a los documentos de la UPOV;</w:t>
            </w:r>
          </w:p>
          <w:p w:rsidR="00B43D13" w:rsidRPr="00C60FC3" w:rsidRDefault="00B43D13" w:rsidP="00BF2668">
            <w:pPr>
              <w:spacing w:before="60" w:after="120"/>
              <w:rPr>
                <w:rFonts w:cs="Arial"/>
                <w:sz w:val="18"/>
                <w:szCs w:val="18"/>
                <w:lang w:val="es-ES_tradnl"/>
              </w:rPr>
            </w:pPr>
            <w:r w:rsidRPr="00C60FC3">
              <w:rPr>
                <w:rFonts w:cs="Arial"/>
                <w:sz w:val="18"/>
                <w:szCs w:val="18"/>
                <w:lang w:val="es-ES_tradnl"/>
              </w:rPr>
              <w:t>y, asimismo:</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 xml:space="preserve">concedió la condición de observador a la </w:t>
            </w:r>
            <w:r w:rsidRPr="00C60FC3">
              <w:rPr>
                <w:rFonts w:cs="Arial"/>
                <w:i/>
                <w:sz w:val="18"/>
                <w:szCs w:val="18"/>
                <w:lang w:val="es-ES_tradnl"/>
              </w:rPr>
              <w:t>African Seed Trade Association</w:t>
            </w:r>
            <w:r w:rsidRPr="00C60FC3">
              <w:rPr>
                <w:rFonts w:cs="Arial"/>
                <w:sz w:val="18"/>
                <w:szCs w:val="18"/>
                <w:lang w:val="es-ES_tradnl"/>
              </w:rPr>
              <w:t xml:space="preserve"> (AFSTA) ante el Consejo, el Comité Administrativo y Jurídico (CAJ), el Comité Técnico (TC) y los Grupos de Trabajos Técnico (TWP);</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 xml:space="preserve">acordó lo siguiente en relación con el “Simposio sobre las ventajas de la protección de las obtenciones vegetales para los agricultores y los productores”, que se celebraría en Ginebra el 2 de noviembre de 2012: </w:t>
            </w:r>
          </w:p>
          <w:p w:rsidR="00B43D13" w:rsidRPr="00C60FC3" w:rsidRDefault="00B43D13" w:rsidP="00BF2668">
            <w:pPr>
              <w:pStyle w:val="ListParagraph"/>
              <w:numPr>
                <w:ilvl w:val="1"/>
                <w:numId w:val="38"/>
              </w:numPr>
              <w:rPr>
                <w:rFonts w:cs="Arial"/>
                <w:sz w:val="18"/>
                <w:szCs w:val="18"/>
                <w:lang w:val="es-ES_tradnl"/>
              </w:rPr>
            </w:pPr>
            <w:r w:rsidRPr="00C60FC3">
              <w:rPr>
                <w:rFonts w:cs="Arial"/>
                <w:sz w:val="18"/>
                <w:szCs w:val="18"/>
                <w:lang w:val="es-ES_tradnl"/>
              </w:rPr>
              <w:t xml:space="preserve">convino en que quedara abierto a la participación del público, en función del espacio disponible, dándose prioridad a los participantes procedentes de miembros de la Unión, y a los Estados y organizaciones que gozan de la condición de observador;  </w:t>
            </w:r>
          </w:p>
          <w:p w:rsidR="00B43D13" w:rsidRPr="00C60FC3" w:rsidRDefault="00B43D13" w:rsidP="00BF2668">
            <w:pPr>
              <w:pStyle w:val="ListParagraph"/>
              <w:numPr>
                <w:ilvl w:val="1"/>
                <w:numId w:val="38"/>
              </w:numPr>
              <w:rPr>
                <w:rFonts w:cs="Arial"/>
                <w:sz w:val="18"/>
                <w:szCs w:val="18"/>
                <w:lang w:val="es-ES_tradnl"/>
              </w:rPr>
            </w:pPr>
            <w:r w:rsidRPr="00C60FC3">
              <w:rPr>
                <w:rFonts w:cs="Arial"/>
                <w:sz w:val="18"/>
                <w:szCs w:val="18"/>
                <w:lang w:val="es-ES_tradnl"/>
              </w:rPr>
              <w:t>aprobó la difusión del Simposio por Internet;</w:t>
            </w:r>
          </w:p>
          <w:p w:rsidR="00B43D13" w:rsidRPr="00C60FC3" w:rsidRDefault="00B43D13" w:rsidP="00BF2668">
            <w:pPr>
              <w:pStyle w:val="ListParagraph"/>
              <w:numPr>
                <w:ilvl w:val="1"/>
                <w:numId w:val="38"/>
              </w:numPr>
              <w:rPr>
                <w:rFonts w:cs="Arial"/>
                <w:sz w:val="18"/>
                <w:szCs w:val="18"/>
                <w:lang w:val="es-ES_tradnl"/>
              </w:rPr>
            </w:pPr>
            <w:r w:rsidRPr="00C60FC3">
              <w:rPr>
                <w:rFonts w:cs="Arial"/>
                <w:sz w:val="18"/>
                <w:szCs w:val="18"/>
                <w:lang w:val="es-ES_tradnl"/>
              </w:rPr>
              <w:t>acordó el texto relativo al objetivo del Simposio;</w:t>
            </w:r>
          </w:p>
          <w:p w:rsidR="00B43D13" w:rsidRPr="00C60FC3" w:rsidRDefault="00B43D13" w:rsidP="00BF2668">
            <w:pPr>
              <w:pStyle w:val="ListParagraph"/>
              <w:numPr>
                <w:ilvl w:val="1"/>
                <w:numId w:val="38"/>
              </w:numPr>
              <w:spacing w:after="60"/>
              <w:ind w:left="1497" w:hanging="357"/>
              <w:contextualSpacing w:val="0"/>
              <w:rPr>
                <w:rFonts w:cs="Arial"/>
                <w:sz w:val="18"/>
                <w:szCs w:val="18"/>
                <w:lang w:val="es-ES_tradnl"/>
              </w:rPr>
            </w:pPr>
            <w:r w:rsidRPr="00C60FC3">
              <w:rPr>
                <w:rFonts w:cs="Arial"/>
                <w:sz w:val="18"/>
                <w:szCs w:val="18"/>
                <w:lang w:val="es-ES_tradnl"/>
              </w:rPr>
              <w:t xml:space="preserve">suscribió los planes relativos al proyecto de programa del Simposio y convino en que se incluyera a un orador de entre los que recomendó la </w:t>
            </w:r>
            <w:r w:rsidRPr="00C60FC3">
              <w:rPr>
                <w:rFonts w:cs="Arial"/>
                <w:i/>
                <w:sz w:val="18"/>
                <w:szCs w:val="18"/>
                <w:lang w:val="es-ES_tradnl"/>
              </w:rPr>
              <w:t>Association for Plant Breeding for the Benefit of Society</w:t>
            </w:r>
            <w:r w:rsidRPr="00C60FC3">
              <w:rPr>
                <w:rFonts w:cs="Arial"/>
                <w:sz w:val="18"/>
                <w:szCs w:val="18"/>
                <w:lang w:val="es-ES_tradnl"/>
              </w:rPr>
              <w:t xml:space="preserve"> (APBREBES) para que presentara una ponencia en relación con la finalidad del Simposio;</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aprobó la participación de la Oficina de la Unión en el Marco de la Organización Mundial de la Propiedad Intelectual (OMPI) de elaboración de estrategias nacionales de propiedad intelectual para el desarrollo;</w:t>
            </w:r>
          </w:p>
          <w:p w:rsidR="00B43D13" w:rsidRPr="00C60FC3" w:rsidRDefault="00B43D13" w:rsidP="00BF2668">
            <w:pPr>
              <w:pStyle w:val="ListParagraph"/>
              <w:numPr>
                <w:ilvl w:val="0"/>
                <w:numId w:val="37"/>
              </w:numPr>
              <w:spacing w:after="120"/>
              <w:ind w:left="714" w:hanging="357"/>
              <w:contextualSpacing w:val="0"/>
              <w:rPr>
                <w:rFonts w:cs="Arial"/>
                <w:sz w:val="18"/>
                <w:szCs w:val="18"/>
                <w:lang w:val="es-ES_tradnl"/>
              </w:rPr>
            </w:pPr>
            <w:r w:rsidRPr="00C60FC3">
              <w:rPr>
                <w:rFonts w:cs="Arial"/>
                <w:sz w:val="18"/>
                <w:szCs w:val="18"/>
                <w:lang w:val="es-ES_tradnl"/>
              </w:rPr>
              <w:t>aprobó la contribución de la Oficina de la Unión a la elaboración del cuestionario de la OMPI “Instrumento para evaluar la situación actual del sistema de propiedad intelectual, los objetivos estratégicos y las necesidades en el plano nacional conforme a las prioridades de desarrollo del país”.</w:t>
            </w:r>
          </w:p>
          <w:p w:rsidR="00B43D13" w:rsidRPr="00C60FC3" w:rsidRDefault="00B43D13" w:rsidP="00BF2668">
            <w:pPr>
              <w:spacing w:before="60" w:after="120"/>
              <w:rPr>
                <w:rFonts w:cs="Arial"/>
                <w:sz w:val="18"/>
                <w:szCs w:val="18"/>
                <w:lang w:val="es-ES_tradnl"/>
              </w:rPr>
            </w:pPr>
            <w:r w:rsidRPr="00C60FC3">
              <w:rPr>
                <w:rFonts w:cs="Arial"/>
                <w:sz w:val="18"/>
                <w:szCs w:val="18"/>
                <w:lang w:val="es-ES_tradnl"/>
              </w:rPr>
              <w:t>En su octogésima cuarta sesión, celebrada en Ginebra el 31 de octubre de 2012, el Comité Consultivo formuló recomendaciones al Consejo en relación con:</w:t>
            </w:r>
          </w:p>
          <w:p w:rsidR="00B43D13" w:rsidRPr="00C60FC3" w:rsidRDefault="00B43D13" w:rsidP="00BF2668">
            <w:pPr>
              <w:pStyle w:val="ListParagraph"/>
              <w:numPr>
                <w:ilvl w:val="0"/>
                <w:numId w:val="39"/>
              </w:numPr>
              <w:spacing w:after="60"/>
              <w:contextualSpacing w:val="0"/>
              <w:rPr>
                <w:rFonts w:cs="Arial"/>
                <w:sz w:val="18"/>
                <w:szCs w:val="18"/>
                <w:lang w:val="es-ES_tradnl"/>
              </w:rPr>
            </w:pPr>
            <w:r w:rsidRPr="00C60FC3">
              <w:rPr>
                <w:rFonts w:cs="Arial"/>
                <w:sz w:val="18"/>
                <w:szCs w:val="18"/>
                <w:lang w:val="es-ES_tradnl"/>
              </w:rPr>
              <w:t>el examen de la conformidad del proyecto de Ley de</w:t>
            </w:r>
            <w:r w:rsidR="0091418C">
              <w:rPr>
                <w:rFonts w:cs="Arial"/>
                <w:sz w:val="18"/>
                <w:szCs w:val="18"/>
                <w:lang w:val="es-ES_tradnl"/>
              </w:rPr>
              <w:t xml:space="preserve"> Ghana sobre los</w:t>
            </w:r>
            <w:r w:rsidRPr="00C60FC3">
              <w:rPr>
                <w:rFonts w:cs="Arial"/>
                <w:sz w:val="18"/>
                <w:szCs w:val="18"/>
                <w:lang w:val="es-ES_tradnl"/>
              </w:rPr>
              <w:t xml:space="preserve"> Obtentor</w:t>
            </w:r>
            <w:r w:rsidR="0091418C">
              <w:rPr>
                <w:rFonts w:cs="Arial"/>
                <w:sz w:val="18"/>
                <w:szCs w:val="18"/>
                <w:lang w:val="es-ES_tradnl"/>
              </w:rPr>
              <w:t>es</w:t>
            </w:r>
            <w:r w:rsidRPr="00C60FC3">
              <w:rPr>
                <w:rFonts w:cs="Arial"/>
                <w:sz w:val="18"/>
                <w:szCs w:val="18"/>
                <w:lang w:val="es-ES_tradnl"/>
              </w:rPr>
              <w:t xml:space="preserve"> con el Acta de 1991;</w:t>
            </w:r>
          </w:p>
          <w:p w:rsidR="00B43D13" w:rsidRPr="00C60FC3" w:rsidRDefault="00B43D13" w:rsidP="00BF2668">
            <w:pPr>
              <w:pStyle w:val="ListParagraph"/>
              <w:numPr>
                <w:ilvl w:val="0"/>
                <w:numId w:val="39"/>
              </w:numPr>
              <w:spacing w:after="60"/>
              <w:contextualSpacing w:val="0"/>
              <w:rPr>
                <w:rFonts w:cs="Arial"/>
                <w:sz w:val="18"/>
                <w:szCs w:val="18"/>
                <w:lang w:val="es-ES_tradnl"/>
              </w:rPr>
            </w:pPr>
            <w:r w:rsidRPr="00C60FC3">
              <w:rPr>
                <w:rFonts w:cs="Arial"/>
                <w:sz w:val="18"/>
                <w:szCs w:val="18"/>
                <w:lang w:val="es-ES_tradnl"/>
              </w:rPr>
              <w:t xml:space="preserve">el examen de la conformidad del proyecto de Ley </w:t>
            </w:r>
            <w:r w:rsidR="0091418C">
              <w:rPr>
                <w:rFonts w:cs="Arial"/>
                <w:sz w:val="18"/>
                <w:szCs w:val="18"/>
                <w:lang w:val="es-ES_tradnl"/>
              </w:rPr>
              <w:t xml:space="preserve">sobre los </w:t>
            </w:r>
            <w:r w:rsidRPr="00C60FC3">
              <w:rPr>
                <w:rFonts w:cs="Arial"/>
                <w:sz w:val="18"/>
                <w:szCs w:val="18"/>
                <w:lang w:val="es-ES_tradnl"/>
              </w:rPr>
              <w:t xml:space="preserve">Derechos de Obtentor </w:t>
            </w:r>
            <w:r w:rsidR="0091418C">
              <w:rPr>
                <w:rFonts w:cs="Arial"/>
                <w:sz w:val="18"/>
                <w:szCs w:val="18"/>
                <w:lang w:val="es-ES_tradnl"/>
              </w:rPr>
              <w:t xml:space="preserve">para Tanzanía </w:t>
            </w:r>
            <w:r w:rsidRPr="00C60FC3">
              <w:rPr>
                <w:rFonts w:cs="Arial"/>
                <w:sz w:val="18"/>
                <w:szCs w:val="18"/>
                <w:lang w:val="es-ES_tradnl"/>
              </w:rPr>
              <w:t xml:space="preserve">continental con el Acta de 1991; </w:t>
            </w:r>
          </w:p>
          <w:p w:rsidR="00B43D13" w:rsidRPr="00C60FC3" w:rsidRDefault="00B43D13" w:rsidP="00BF2668">
            <w:pPr>
              <w:pStyle w:val="ListParagraph"/>
              <w:numPr>
                <w:ilvl w:val="0"/>
                <w:numId w:val="39"/>
              </w:numPr>
              <w:spacing w:after="60"/>
              <w:contextualSpacing w:val="0"/>
              <w:rPr>
                <w:rFonts w:cs="Arial"/>
                <w:sz w:val="18"/>
                <w:szCs w:val="18"/>
                <w:lang w:val="es-ES_tradnl"/>
              </w:rPr>
            </w:pPr>
            <w:r w:rsidRPr="00C60FC3">
              <w:rPr>
                <w:rFonts w:cs="Arial"/>
                <w:sz w:val="18"/>
                <w:szCs w:val="18"/>
                <w:lang w:val="es-ES_tradnl"/>
              </w:rPr>
              <w:t>la aprobación de documentos;</w:t>
            </w:r>
          </w:p>
          <w:p w:rsidR="00B43D13" w:rsidRPr="00C60FC3" w:rsidRDefault="00B43D13" w:rsidP="00BF2668">
            <w:pPr>
              <w:pStyle w:val="ListParagraph"/>
              <w:numPr>
                <w:ilvl w:val="0"/>
                <w:numId w:val="39"/>
              </w:numPr>
              <w:spacing w:after="60"/>
              <w:contextualSpacing w:val="0"/>
              <w:rPr>
                <w:rFonts w:cs="Arial"/>
                <w:sz w:val="18"/>
                <w:szCs w:val="18"/>
                <w:lang w:val="es-ES_tradnl"/>
              </w:rPr>
            </w:pPr>
            <w:r w:rsidRPr="00C60FC3">
              <w:rPr>
                <w:rFonts w:cs="Arial"/>
                <w:sz w:val="18"/>
                <w:szCs w:val="18"/>
                <w:lang w:val="es-ES_tradnl"/>
              </w:rPr>
              <w:t>la situación financiera de la Unión Internacional para la Protección de las Obtenciones Vegetales al 31 de diciembre de 2011;</w:t>
            </w:r>
          </w:p>
          <w:p w:rsidR="00B43D13" w:rsidRPr="00C60FC3" w:rsidRDefault="00B43D13" w:rsidP="00BF2668">
            <w:pPr>
              <w:pStyle w:val="ListParagraph"/>
              <w:numPr>
                <w:ilvl w:val="0"/>
                <w:numId w:val="39"/>
              </w:numPr>
              <w:spacing w:after="60"/>
              <w:contextualSpacing w:val="0"/>
              <w:rPr>
                <w:rFonts w:cs="Arial"/>
                <w:sz w:val="18"/>
                <w:szCs w:val="18"/>
                <w:lang w:val="es-ES_tradnl"/>
              </w:rPr>
            </w:pPr>
            <w:r w:rsidRPr="00C60FC3">
              <w:rPr>
                <w:rFonts w:cs="Arial"/>
                <w:sz w:val="18"/>
                <w:szCs w:val="18"/>
                <w:lang w:val="es-ES_tradnl"/>
              </w:rPr>
              <w:t>los atrasos en el pago de las contribuciones al 30 de septiembre de 2012;</w:t>
            </w:r>
          </w:p>
          <w:p w:rsidR="00B43D13" w:rsidRPr="00C60FC3" w:rsidRDefault="00B43D13" w:rsidP="00BF2668">
            <w:pPr>
              <w:pStyle w:val="ListParagraph"/>
              <w:numPr>
                <w:ilvl w:val="0"/>
                <w:numId w:val="39"/>
              </w:numPr>
              <w:spacing w:after="60"/>
              <w:contextualSpacing w:val="0"/>
              <w:rPr>
                <w:rFonts w:cs="Arial"/>
                <w:sz w:val="18"/>
                <w:szCs w:val="18"/>
                <w:lang w:val="es-ES_tradnl"/>
              </w:rPr>
            </w:pPr>
            <w:r w:rsidRPr="00C60FC3">
              <w:rPr>
                <w:rFonts w:cs="Arial"/>
                <w:sz w:val="18"/>
                <w:szCs w:val="18"/>
                <w:lang w:val="es-ES_tradnl"/>
              </w:rPr>
              <w:t xml:space="preserve">el calendario de reuniones </w:t>
            </w:r>
            <w:r w:rsidR="0091418C">
              <w:rPr>
                <w:rFonts w:cs="Arial"/>
                <w:sz w:val="18"/>
                <w:szCs w:val="18"/>
                <w:lang w:val="es-ES_tradnl"/>
              </w:rPr>
              <w:t>en</w:t>
            </w:r>
            <w:r w:rsidRPr="00C60FC3">
              <w:rPr>
                <w:rFonts w:cs="Arial"/>
                <w:sz w:val="18"/>
                <w:szCs w:val="18"/>
                <w:lang w:val="es-ES_tradnl"/>
              </w:rPr>
              <w:t> 2013;</w:t>
            </w:r>
          </w:p>
          <w:p w:rsidR="00B43D13" w:rsidRPr="00C60FC3" w:rsidRDefault="00B43D13" w:rsidP="00BF2668">
            <w:pPr>
              <w:pStyle w:val="ListParagraph"/>
              <w:numPr>
                <w:ilvl w:val="0"/>
                <w:numId w:val="39"/>
              </w:numPr>
              <w:spacing w:after="60"/>
              <w:contextualSpacing w:val="0"/>
              <w:rPr>
                <w:rFonts w:cs="Arial"/>
                <w:sz w:val="18"/>
                <w:szCs w:val="18"/>
                <w:lang w:val="es-ES_tradnl"/>
              </w:rPr>
            </w:pPr>
            <w:r w:rsidRPr="00C60FC3">
              <w:rPr>
                <w:rFonts w:cs="Arial"/>
                <w:sz w:val="18"/>
                <w:szCs w:val="18"/>
                <w:lang w:val="es-ES_tradnl"/>
              </w:rPr>
              <w:t>un comunicado de prensa;</w:t>
            </w:r>
          </w:p>
          <w:p w:rsidR="00B43D13" w:rsidRPr="00C60FC3" w:rsidRDefault="00B43D13" w:rsidP="00BF2668">
            <w:pPr>
              <w:pStyle w:val="ListParagraph"/>
              <w:numPr>
                <w:ilvl w:val="0"/>
                <w:numId w:val="39"/>
              </w:numPr>
              <w:spacing w:after="120"/>
              <w:ind w:left="714" w:hanging="357"/>
              <w:contextualSpacing w:val="0"/>
              <w:rPr>
                <w:rFonts w:cs="Arial"/>
                <w:sz w:val="18"/>
                <w:szCs w:val="18"/>
                <w:lang w:val="es-ES_tradnl"/>
              </w:rPr>
            </w:pPr>
            <w:r w:rsidRPr="00C60FC3">
              <w:rPr>
                <w:rFonts w:cs="Arial"/>
                <w:sz w:val="18"/>
                <w:szCs w:val="18"/>
                <w:lang w:val="es-ES_tradnl"/>
              </w:rPr>
              <w:t xml:space="preserve">las cuentas del ejercicio </w:t>
            </w:r>
            <w:r w:rsidR="0091418C">
              <w:rPr>
                <w:rFonts w:cs="Arial"/>
                <w:sz w:val="18"/>
                <w:szCs w:val="18"/>
                <w:lang w:val="es-ES_tradnl"/>
              </w:rPr>
              <w:t xml:space="preserve">financiero </w:t>
            </w:r>
            <w:r w:rsidRPr="00C60FC3">
              <w:rPr>
                <w:rFonts w:cs="Arial"/>
                <w:sz w:val="18"/>
                <w:szCs w:val="18"/>
                <w:lang w:val="es-ES_tradnl"/>
              </w:rPr>
              <w:t>2010-2011;</w:t>
            </w:r>
          </w:p>
          <w:p w:rsidR="00B43D13" w:rsidRPr="00C60FC3" w:rsidRDefault="00B43D13" w:rsidP="00BF2668">
            <w:pPr>
              <w:spacing w:before="60" w:after="120"/>
              <w:rPr>
                <w:rFonts w:cs="Arial"/>
                <w:sz w:val="18"/>
                <w:szCs w:val="18"/>
                <w:lang w:val="es-ES_tradnl"/>
              </w:rPr>
            </w:pPr>
            <w:r w:rsidRPr="00C60FC3">
              <w:rPr>
                <w:rFonts w:cs="Arial"/>
                <w:sz w:val="18"/>
                <w:szCs w:val="18"/>
                <w:lang w:val="es-ES_tradnl"/>
              </w:rPr>
              <w:t>y, asimismo:</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utilización de la modalidad de conferencias por Internet por parte de los órganos de la UPOV, cuando el órgano correspondiente lo estime conveniente, para facilitar la participación de los miembros de la Unión y de los observadores de conformidad con los procedimientos vigentes;</w:t>
            </w:r>
          </w:p>
          <w:p w:rsidR="00B43D13" w:rsidRPr="00FA000A" w:rsidRDefault="00B43D13" w:rsidP="00FA000A">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utilización de la modalidad de conferencias por Internet por parte de la Oficina de la Unión, cuando lo considere oportuno, para facilitar la participación de quienes han sido invitados a sus reuniones;</w:t>
            </w: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BF2668">
            <w:pPr>
              <w:spacing w:after="24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rFonts w:cs="Arial"/>
                <w:b/>
                <w:sz w:val="18"/>
                <w:szCs w:val="18"/>
                <w:lang w:val="es-ES_tradnl"/>
              </w:rPr>
            </w:pPr>
            <w:r w:rsidRPr="00C60FC3">
              <w:rPr>
                <w:rFonts w:cs="Arial"/>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jc w:val="left"/>
              <w:rPr>
                <w:sz w:val="18"/>
                <w:szCs w:val="18"/>
                <w:lang w:val="es-ES_tradnl"/>
              </w:rPr>
            </w:pPr>
            <w:r w:rsidRPr="00C60FC3">
              <w:rPr>
                <w:i/>
                <w:sz w:val="18"/>
                <w:szCs w:val="18"/>
                <w:lang w:val="es-ES_tradnl"/>
              </w:rPr>
              <w:t xml:space="preserve">4.  Política del Consejo </w:t>
            </w:r>
            <w:r w:rsidRPr="00C60FC3">
              <w:rPr>
                <w:sz w:val="18"/>
                <w:szCs w:val="18"/>
                <w:lang w:val="es-ES_tradnl"/>
              </w:rPr>
              <w:t>(continuación)</w:t>
            </w:r>
          </w:p>
        </w:tc>
        <w:tc>
          <w:tcPr>
            <w:tcW w:w="7796" w:type="dxa"/>
          </w:tcPr>
          <w:p w:rsidR="00FA000A" w:rsidRDefault="00FA000A"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difusión por Internet de las sesiones de los órganos de la UPOV, dirigida únicamente a miembros de la Unión y observadores de conformidad con los procedimientos vigentes, cuando el correspondiente órgano de la UPOV lo estime conveniente y acordó que, en todos los demás casos de difusión por Internet, se invitará al Comité Consultivo a que apruebe los preparativos necesarios para que ésta pueda llevarse a cabo;</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 xml:space="preserve">aprobó la difusión por Internet del “Simposio sobre las ventajas de la protección de las obtenciones vegetales para los agricultores y los productores”, que se celebraría en Ginebra el 2 de noviembre de 2012, a través del sitio Web de la UPOV, previa </w:t>
            </w:r>
            <w:r w:rsidR="00FA000A">
              <w:rPr>
                <w:rFonts w:cs="Arial"/>
                <w:sz w:val="18"/>
                <w:szCs w:val="18"/>
                <w:lang w:val="es-ES_tradnl"/>
              </w:rPr>
              <w:t xml:space="preserve">tras </w:t>
            </w:r>
            <w:r w:rsidRPr="00C60FC3">
              <w:rPr>
                <w:rFonts w:cs="Arial"/>
                <w:sz w:val="18"/>
                <w:szCs w:val="18"/>
                <w:lang w:val="es-ES_tradnl"/>
              </w:rPr>
              <w:t xml:space="preserve">el oportuno </w:t>
            </w:r>
            <w:r w:rsidR="00FA000A">
              <w:rPr>
                <w:rFonts w:cs="Arial"/>
                <w:sz w:val="18"/>
                <w:szCs w:val="18"/>
                <w:lang w:val="es-ES_tradnl"/>
              </w:rPr>
              <w:t xml:space="preserve">periodo de retraso de la </w:t>
            </w:r>
            <w:r w:rsidRPr="00C60FC3">
              <w:rPr>
                <w:rFonts w:cs="Arial"/>
                <w:sz w:val="18"/>
                <w:szCs w:val="18"/>
                <w:lang w:val="es-ES_tradnl"/>
              </w:rPr>
              <w:t>transmisión;</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puesta en marcha de la página Web sobre asistencia, sobre la base del prototipo y en una zona del sitio Web de la UPOV que fuera accesible por conducto de la zona restringida, y por medio de un enlace separado y una contraseña que será transmitida al representante y al suplente de cada miembro de la Unión ante el Consejo;</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publicación de un documento en el sitio Web de la UPOV que contenga la lista de los miembros de la UPOV, la lista de los Estados y organizaciones intergubernamentales que han iniciado el procedimiento de adhesión al Convenio de la UPOV, y la lista de los Estados y organizaciones intergubernamentales que han entrado en contacto con la Oficina de la Unión para solicitar asistencia en la elaboración de leyes basadas en el Convenio de la UPOV;</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invitación a Georgia para la presentación de una ponencia en la octogésima sexta sesión del Comité Consultivo, que se celebrará en octubre de 2013;</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participación de la Oficina de la Unión en la plataforma de codesarrollo y transferencia de tecnologías del Tratado Internacional sobre los Recursos Fitogenéticos para la Alimentación y la Agricultura (ITPGRFA);</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tomó nota del informe presentando por la Oficina de la Unión en la sexta sesión del Grupo de Trabajo Técnico Intergubernamental sobre Recursos Fitogenéticos para la Alimentación y la Agricultura (ITWG-PGRFA) de la Comisión sobre Recursos Genéticos para la Alimentación y la Agricultura (CGRFA) y aprobó la presentación de informes similares en futuras sesiones, que se relacionarán con todas las Actas del Convenio de la UPOV;</w:t>
            </w:r>
          </w:p>
          <w:p w:rsidR="00B43D13" w:rsidRPr="00C60FC3" w:rsidRDefault="00B43D13" w:rsidP="00BF2668">
            <w:pPr>
              <w:pStyle w:val="ListParagraph"/>
              <w:numPr>
                <w:ilvl w:val="0"/>
                <w:numId w:val="40"/>
              </w:numPr>
              <w:spacing w:after="60"/>
              <w:contextualSpacing w:val="0"/>
              <w:rPr>
                <w:rFonts w:cs="Arial"/>
                <w:sz w:val="18"/>
                <w:szCs w:val="18"/>
                <w:lang w:val="es-ES_tradnl"/>
              </w:rPr>
            </w:pPr>
            <w:r w:rsidRPr="00C60FC3">
              <w:rPr>
                <w:rFonts w:cs="Arial"/>
                <w:sz w:val="18"/>
                <w:szCs w:val="18"/>
                <w:lang w:val="es-ES_tradnl"/>
              </w:rPr>
              <w:t>aprobó la participación de la UPOV en la iniciativa de la OMPI sobre producción sostenible del trigo en la República Unida de Tanzanía;</w:t>
            </w:r>
          </w:p>
          <w:p w:rsidR="00B43D13" w:rsidRPr="00C60FC3" w:rsidRDefault="00B43D13" w:rsidP="00BF2668">
            <w:pPr>
              <w:pStyle w:val="Heading8"/>
              <w:spacing w:after="0"/>
              <w:rPr>
                <w:rFonts w:cs="Arial"/>
                <w:szCs w:val="18"/>
                <w:lang w:val="es-ES_tradnl"/>
              </w:rPr>
            </w:pPr>
          </w:p>
        </w:tc>
      </w:tr>
      <w:tr w:rsidR="00B43D13" w:rsidRPr="00C60FC3" w:rsidTr="0091418C">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rFonts w:cs="Arial"/>
                <w:szCs w:val="18"/>
                <w:lang w:val="es-ES_tradnl"/>
              </w:rPr>
            </w:pPr>
            <w:bookmarkStart w:id="31" w:name="_Toc368060293"/>
            <w:r w:rsidRPr="00C60FC3">
              <w:rPr>
                <w:rFonts w:cs="Arial"/>
                <w:szCs w:val="18"/>
                <w:lang w:val="es-ES_tradnl"/>
              </w:rPr>
              <w:t>b)  Decisiones del Consejo</w:t>
            </w:r>
            <w:bookmarkEnd w:id="31"/>
          </w:p>
          <w:p w:rsidR="00B43D13" w:rsidRPr="00C60FC3" w:rsidRDefault="00B43D13" w:rsidP="00BF2668">
            <w:pPr>
              <w:spacing w:after="120"/>
              <w:rPr>
                <w:rFonts w:cs="Arial"/>
                <w:sz w:val="18"/>
                <w:szCs w:val="18"/>
                <w:lang w:val="es-ES_tradnl"/>
              </w:rPr>
            </w:pPr>
            <w:r w:rsidRPr="00C60FC3">
              <w:rPr>
                <w:rFonts w:cs="Arial"/>
                <w:sz w:val="18"/>
                <w:szCs w:val="18"/>
                <w:lang w:val="es-ES_tradnl"/>
              </w:rPr>
              <w:t>En su vigésima novena sesión extraordinaria, celebrada en Ginebra el 30 de marzo de 2012, el Consejo:</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prorrogó el nombramiento del Secretario General Adjunto, del 1 de diciembre de 2012 hasta el 30 de noviembre de 2015;</w:t>
            </w:r>
          </w:p>
          <w:p w:rsidR="00B43D13" w:rsidRPr="00C60FC3" w:rsidRDefault="00B43D13" w:rsidP="00BF2668">
            <w:pPr>
              <w:pStyle w:val="ListParagraph"/>
              <w:numPr>
                <w:ilvl w:val="0"/>
                <w:numId w:val="37"/>
              </w:numPr>
              <w:spacing w:after="120"/>
              <w:ind w:left="714" w:hanging="357"/>
              <w:contextualSpacing w:val="0"/>
              <w:rPr>
                <w:rFonts w:cs="Arial"/>
                <w:sz w:val="18"/>
                <w:szCs w:val="18"/>
                <w:lang w:val="es-ES_tradnl"/>
              </w:rPr>
            </w:pPr>
            <w:r w:rsidRPr="00C60FC3">
              <w:rPr>
                <w:rFonts w:cs="Arial"/>
                <w:sz w:val="18"/>
                <w:szCs w:val="18"/>
                <w:lang w:val="es-ES_tradnl"/>
              </w:rPr>
              <w:t>aprobó un comunicado de prensa.</w:t>
            </w:r>
          </w:p>
          <w:p w:rsidR="00B43D13" w:rsidRPr="00C60FC3" w:rsidRDefault="00B43D13" w:rsidP="00BF2668">
            <w:pPr>
              <w:spacing w:after="120"/>
              <w:rPr>
                <w:rFonts w:cs="Arial"/>
                <w:sz w:val="18"/>
                <w:szCs w:val="18"/>
                <w:lang w:val="es-ES_tradnl"/>
              </w:rPr>
            </w:pPr>
            <w:r w:rsidRPr="00C60FC3">
              <w:rPr>
                <w:rFonts w:cs="Arial"/>
                <w:sz w:val="18"/>
                <w:szCs w:val="18"/>
                <w:lang w:val="es-ES_tradnl"/>
              </w:rPr>
              <w:t>En su cuadragésima sexta sesión ordinaria, celebrada en Ginebra el 1 de noviembre de 2012, el Consejo:</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napToGrid w:val="0"/>
                <w:sz w:val="18"/>
                <w:szCs w:val="18"/>
                <w:lang w:val="es-ES_tradnl"/>
              </w:rPr>
              <w:t xml:space="preserve">decidió tomar una decisión positiva sobre la conformidad del proyecto de Ley de </w:t>
            </w:r>
            <w:r w:rsidR="00C75F43">
              <w:rPr>
                <w:rFonts w:cs="Arial"/>
                <w:snapToGrid w:val="0"/>
                <w:sz w:val="18"/>
                <w:szCs w:val="18"/>
                <w:lang w:val="es-ES_tradnl"/>
              </w:rPr>
              <w:t xml:space="preserve">Ghana sobre los </w:t>
            </w:r>
            <w:r w:rsidRPr="00C60FC3">
              <w:rPr>
                <w:rFonts w:cs="Arial"/>
                <w:snapToGrid w:val="0"/>
                <w:sz w:val="18"/>
                <w:szCs w:val="18"/>
                <w:lang w:val="es-ES_tradnl"/>
              </w:rPr>
              <w:t>Obtentor</w:t>
            </w:r>
            <w:r w:rsidR="00C75F43">
              <w:rPr>
                <w:rFonts w:cs="Arial"/>
                <w:snapToGrid w:val="0"/>
                <w:sz w:val="18"/>
                <w:szCs w:val="18"/>
                <w:lang w:val="es-ES_tradnl"/>
              </w:rPr>
              <w:t>es</w:t>
            </w:r>
            <w:r w:rsidRPr="00C60FC3">
              <w:rPr>
                <w:rFonts w:cs="Arial"/>
                <w:snapToGrid w:val="0"/>
                <w:sz w:val="18"/>
                <w:szCs w:val="18"/>
                <w:lang w:val="es-ES_tradnl"/>
              </w:rPr>
              <w:t xml:space="preserve"> con las disposiciones del Acta de 1991 del Convenio Internacional para la Protección de las Obtenciones Vegetales;</w:t>
            </w:r>
          </w:p>
          <w:p w:rsidR="00B43D13" w:rsidRPr="00C60FC3" w:rsidRDefault="00B43D13" w:rsidP="007A5038">
            <w:pPr>
              <w:pStyle w:val="ListParagraph"/>
              <w:numPr>
                <w:ilvl w:val="0"/>
                <w:numId w:val="37"/>
              </w:numPr>
              <w:spacing w:after="60"/>
              <w:contextualSpacing w:val="0"/>
              <w:rPr>
                <w:rFonts w:cs="Arial"/>
                <w:sz w:val="18"/>
                <w:szCs w:val="18"/>
                <w:lang w:val="es-ES_tradnl"/>
              </w:rPr>
            </w:pPr>
            <w:r w:rsidRPr="00C60FC3">
              <w:rPr>
                <w:rFonts w:cs="Arial"/>
                <w:sz w:val="18"/>
                <w:szCs w:val="18"/>
                <w:lang w:val="es-ES_tradnl"/>
              </w:rPr>
              <w:t xml:space="preserve">decidió, </w:t>
            </w:r>
            <w:r w:rsidR="007A5038" w:rsidRPr="007A5038">
              <w:rPr>
                <w:rFonts w:cs="Arial"/>
                <w:sz w:val="18"/>
                <w:szCs w:val="18"/>
                <w:lang w:val="es-ES_tradnl"/>
              </w:rPr>
              <w:t xml:space="preserve">con sujeción a la incorporación en el proyecto de Ley </w:t>
            </w:r>
            <w:r w:rsidR="007A5038">
              <w:rPr>
                <w:rFonts w:cs="Arial"/>
                <w:sz w:val="18"/>
                <w:szCs w:val="18"/>
                <w:lang w:val="es-ES_tradnl"/>
              </w:rPr>
              <w:t xml:space="preserve">sobre los </w:t>
            </w:r>
            <w:r w:rsidRPr="00C60FC3">
              <w:rPr>
                <w:rFonts w:cs="Arial"/>
                <w:sz w:val="18"/>
                <w:szCs w:val="18"/>
                <w:lang w:val="es-ES_tradnl"/>
              </w:rPr>
              <w:t xml:space="preserve">Derechos de Obtentor </w:t>
            </w:r>
            <w:r w:rsidR="007A5038">
              <w:rPr>
                <w:rFonts w:cs="Arial"/>
                <w:sz w:val="18"/>
                <w:szCs w:val="18"/>
                <w:lang w:val="es-ES_tradnl"/>
              </w:rPr>
              <w:t xml:space="preserve">para Tanzanía </w:t>
            </w:r>
            <w:r w:rsidRPr="00C60FC3">
              <w:rPr>
                <w:rFonts w:cs="Arial"/>
                <w:sz w:val="18"/>
                <w:szCs w:val="18"/>
                <w:lang w:val="es-ES_tradnl"/>
              </w:rPr>
              <w:t xml:space="preserve">continental de las modificaciones </w:t>
            </w:r>
            <w:r w:rsidR="007A5038">
              <w:rPr>
                <w:rFonts w:cs="Arial"/>
                <w:sz w:val="18"/>
                <w:szCs w:val="18"/>
                <w:lang w:val="es-ES_tradnl"/>
              </w:rPr>
              <w:t xml:space="preserve">propuestas por </w:t>
            </w:r>
            <w:r w:rsidRPr="00C60FC3">
              <w:rPr>
                <w:rFonts w:cs="Arial"/>
                <w:sz w:val="18"/>
                <w:szCs w:val="18"/>
                <w:lang w:val="es-ES_tradnl"/>
              </w:rPr>
              <w:t xml:space="preserve">el Ministro y de las propuestas </w:t>
            </w:r>
            <w:r w:rsidR="007A5038" w:rsidRPr="007A5038">
              <w:rPr>
                <w:rFonts w:cs="Arial"/>
                <w:sz w:val="18"/>
                <w:szCs w:val="18"/>
                <w:lang w:val="es-ES_tradnl"/>
              </w:rPr>
              <w:t xml:space="preserve">convenidas </w:t>
            </w:r>
            <w:r w:rsidRPr="00C60FC3">
              <w:rPr>
                <w:rFonts w:cs="Arial"/>
                <w:sz w:val="18"/>
                <w:szCs w:val="18"/>
                <w:lang w:val="es-ES_tradnl"/>
              </w:rPr>
              <w:t xml:space="preserve">con la Delegación de la República de Tanzanía, </w:t>
            </w:r>
            <w:r w:rsidR="007A5038" w:rsidRPr="007A5038">
              <w:rPr>
                <w:rFonts w:cs="Arial"/>
                <w:sz w:val="18"/>
                <w:szCs w:val="18"/>
                <w:lang w:val="es-ES_tradnl"/>
              </w:rPr>
              <w:t>y sin ninguna otra modificación adicional, tomar una decisión positiva sobre la conformidad del proyecto de Ley sobre los Derechos de Obtentor para Tanzanía continental con las disposiciones del Acta de 1991 del Convenio Internacional para la Protección de las Obtenciones Vegetales</w:t>
            </w:r>
            <w:r w:rsidRPr="00C60FC3">
              <w:rPr>
                <w:rFonts w:cs="Arial"/>
                <w:sz w:val="18"/>
                <w:szCs w:val="18"/>
                <w:lang w:val="es-ES_tradnl"/>
              </w:rPr>
              <w:t>;</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 xml:space="preserve">aprobó las cuentas relativas al ejercicio </w:t>
            </w:r>
            <w:r w:rsidR="00794E62">
              <w:rPr>
                <w:rFonts w:cs="Arial"/>
                <w:sz w:val="18"/>
                <w:szCs w:val="18"/>
                <w:lang w:val="es-ES_tradnl"/>
              </w:rPr>
              <w:t xml:space="preserve">financiero </w:t>
            </w:r>
            <w:r w:rsidRPr="00C60FC3">
              <w:rPr>
                <w:rFonts w:cs="Arial"/>
                <w:sz w:val="18"/>
                <w:szCs w:val="18"/>
                <w:lang w:val="es-ES_tradnl"/>
              </w:rPr>
              <w:t xml:space="preserve">2010-2011; </w:t>
            </w:r>
          </w:p>
          <w:p w:rsidR="00B43D13" w:rsidRPr="00C60FC3" w:rsidRDefault="00B43D13" w:rsidP="00BF2668">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aprobó el programa de trabajo de la sexagésima séptima sesión del CAJ;</w:t>
            </w:r>
          </w:p>
          <w:p w:rsidR="00B43D13" w:rsidRPr="00DE1422" w:rsidRDefault="00B43D13" w:rsidP="00DE1422">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aprobó los programas de trabajo del Comité Técnico, de los Grupos de Trabajo Técnico y del Grupo de Trabajo sobre Técnicas Bioquímicas y Moleculares, y Perfiles de ADN en particular;</w:t>
            </w:r>
          </w:p>
        </w:tc>
      </w:tr>
    </w:tbl>
    <w:p w:rsidR="00DE1422" w:rsidRDefault="00DE1422"/>
    <w:tbl>
      <w:tblPr>
        <w:tblW w:w="9889" w:type="dxa"/>
        <w:tblLayout w:type="fixed"/>
        <w:tblLook w:val="0000" w:firstRow="0" w:lastRow="0" w:firstColumn="0" w:lastColumn="0" w:noHBand="0" w:noVBand="0"/>
      </w:tblPr>
      <w:tblGrid>
        <w:gridCol w:w="2093"/>
        <w:gridCol w:w="7796"/>
      </w:tblGrid>
      <w:tr w:rsidR="00DE1422" w:rsidRPr="00C60FC3" w:rsidTr="00CC201B">
        <w:trPr>
          <w:tblHeader/>
        </w:trPr>
        <w:tc>
          <w:tcPr>
            <w:tcW w:w="2093" w:type="dxa"/>
          </w:tcPr>
          <w:p w:rsidR="00DE1422" w:rsidRPr="00C60FC3" w:rsidRDefault="00DE1422" w:rsidP="00CC201B">
            <w:pPr>
              <w:spacing w:after="240"/>
              <w:rPr>
                <w:b/>
                <w:sz w:val="18"/>
                <w:szCs w:val="18"/>
                <w:lang w:val="es-ES_tradnl"/>
              </w:rPr>
            </w:pPr>
            <w:r w:rsidRPr="00C60FC3">
              <w:rPr>
                <w:b/>
                <w:sz w:val="18"/>
                <w:szCs w:val="18"/>
                <w:lang w:val="es-ES_tradnl"/>
              </w:rPr>
              <w:t>Resultados previstos</w:t>
            </w:r>
          </w:p>
        </w:tc>
        <w:tc>
          <w:tcPr>
            <w:tcW w:w="7796" w:type="dxa"/>
          </w:tcPr>
          <w:p w:rsidR="00DE1422" w:rsidRPr="00C60FC3" w:rsidRDefault="00DE1422" w:rsidP="00CC201B">
            <w:pPr>
              <w:spacing w:after="240"/>
              <w:rPr>
                <w:rFonts w:cs="Arial"/>
                <w:b/>
                <w:sz w:val="18"/>
                <w:szCs w:val="18"/>
                <w:lang w:val="es-ES_tradnl"/>
              </w:rPr>
            </w:pPr>
            <w:r w:rsidRPr="00C60FC3">
              <w:rPr>
                <w:rFonts w:cs="Arial"/>
                <w:b/>
                <w:sz w:val="18"/>
                <w:szCs w:val="18"/>
                <w:lang w:val="es-ES_tradnl"/>
              </w:rPr>
              <w:t>Resultados alcanzados:  indicadores de rendimiento</w:t>
            </w:r>
          </w:p>
        </w:tc>
      </w:tr>
      <w:tr w:rsidR="00DE1422" w:rsidRPr="00C60FC3" w:rsidTr="0091418C">
        <w:tc>
          <w:tcPr>
            <w:tcW w:w="2093" w:type="dxa"/>
          </w:tcPr>
          <w:p w:rsidR="00DE1422" w:rsidRPr="00C60FC3" w:rsidRDefault="00256D1C" w:rsidP="00BF2668">
            <w:pPr>
              <w:pStyle w:val="Heading6"/>
              <w:rPr>
                <w:lang w:val="es-ES_tradnl"/>
              </w:rPr>
            </w:pPr>
            <w:bookmarkStart w:id="32" w:name="_Toc368060294"/>
            <w:r w:rsidRPr="00C60FC3">
              <w:rPr>
                <w:i w:val="0"/>
                <w:szCs w:val="18"/>
                <w:lang w:val="es-ES_tradnl"/>
              </w:rPr>
              <w:t xml:space="preserve">4.  Política del Consejo </w:t>
            </w:r>
            <w:r w:rsidRPr="00C60FC3">
              <w:rPr>
                <w:szCs w:val="18"/>
                <w:lang w:val="es-ES_tradnl"/>
              </w:rPr>
              <w:t>(continuación)</w:t>
            </w:r>
            <w:bookmarkEnd w:id="32"/>
          </w:p>
        </w:tc>
        <w:tc>
          <w:tcPr>
            <w:tcW w:w="7796" w:type="dxa"/>
          </w:tcPr>
          <w:p w:rsidR="00DE1422" w:rsidRPr="00C60FC3" w:rsidRDefault="00DE1422" w:rsidP="00DE1422">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 xml:space="preserve">aprobó el </w:t>
            </w:r>
            <w:r>
              <w:rPr>
                <w:rFonts w:cs="Arial"/>
                <w:sz w:val="18"/>
                <w:szCs w:val="18"/>
                <w:lang w:val="es-ES_tradnl"/>
              </w:rPr>
              <w:t>“</w:t>
            </w:r>
            <w:r w:rsidRPr="00C60FC3">
              <w:rPr>
                <w:rFonts w:cs="Arial"/>
                <w:sz w:val="18"/>
                <w:szCs w:val="18"/>
                <w:lang w:val="es-ES_tradnl"/>
              </w:rPr>
              <w:t xml:space="preserve">Calendario de reuniones </w:t>
            </w:r>
            <w:r>
              <w:rPr>
                <w:rFonts w:cs="Arial"/>
                <w:sz w:val="18"/>
                <w:szCs w:val="18"/>
                <w:lang w:val="es-ES_tradnl"/>
              </w:rPr>
              <w:t>en</w:t>
            </w:r>
            <w:r w:rsidRPr="00C60FC3">
              <w:rPr>
                <w:rFonts w:cs="Arial"/>
                <w:sz w:val="18"/>
                <w:szCs w:val="18"/>
                <w:lang w:val="es-ES_tradnl"/>
              </w:rPr>
              <w:t> 2013</w:t>
            </w:r>
            <w:r>
              <w:rPr>
                <w:rFonts w:cs="Arial"/>
                <w:sz w:val="18"/>
                <w:szCs w:val="18"/>
                <w:lang w:val="es-ES_tradnl"/>
              </w:rPr>
              <w:t>”</w:t>
            </w:r>
            <w:r w:rsidRPr="00C60FC3">
              <w:rPr>
                <w:rFonts w:cs="Arial"/>
                <w:sz w:val="18"/>
                <w:szCs w:val="18"/>
                <w:lang w:val="es-ES_tradnl"/>
              </w:rPr>
              <w:t>;</w:t>
            </w:r>
          </w:p>
          <w:p w:rsidR="00DE1422" w:rsidRPr="00C60FC3" w:rsidRDefault="00DE1422" w:rsidP="00DE1422">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eligió a las personas siguientes, en cada caso por un mandato de tres años, que concluirá con la cuadragésima novena sesión ordinaria del Consejo en 2015:</w:t>
            </w:r>
          </w:p>
          <w:p w:rsidR="00DE1422" w:rsidRPr="00C60FC3" w:rsidRDefault="00DE1422" w:rsidP="00DE1422">
            <w:pPr>
              <w:ind w:left="743"/>
              <w:rPr>
                <w:rFonts w:cs="Arial"/>
                <w:sz w:val="18"/>
                <w:szCs w:val="18"/>
                <w:lang w:val="es-ES_tradnl"/>
              </w:rPr>
            </w:pPr>
            <w:r w:rsidRPr="00C60FC3">
              <w:rPr>
                <w:rFonts w:cs="Arial"/>
                <w:sz w:val="18"/>
                <w:szCs w:val="18"/>
                <w:lang w:val="es-ES_tradnl"/>
              </w:rPr>
              <w:t>–</w:t>
            </w:r>
            <w:r w:rsidRPr="00C60FC3">
              <w:rPr>
                <w:rFonts w:cs="Arial"/>
                <w:sz w:val="18"/>
                <w:szCs w:val="18"/>
                <w:lang w:val="es-ES_tradnl"/>
              </w:rPr>
              <w:tab/>
              <w:t>Sra. Kitisri Sukhapinda (Estados Unidos de América), Presidenta del Consejo;</w:t>
            </w:r>
          </w:p>
          <w:p w:rsidR="00DE1422" w:rsidRPr="00C60FC3" w:rsidRDefault="00DE1422" w:rsidP="00DE1422">
            <w:pPr>
              <w:spacing w:after="60"/>
              <w:ind w:left="743"/>
              <w:rPr>
                <w:rFonts w:cs="Arial"/>
                <w:sz w:val="18"/>
                <w:szCs w:val="18"/>
                <w:lang w:val="es-ES_tradnl"/>
              </w:rPr>
            </w:pPr>
            <w:r w:rsidRPr="00C60FC3">
              <w:rPr>
                <w:rFonts w:cs="Arial"/>
                <w:sz w:val="18"/>
                <w:szCs w:val="18"/>
                <w:lang w:val="es-ES_tradnl"/>
              </w:rPr>
              <w:t>–</w:t>
            </w:r>
            <w:r w:rsidRPr="00C60FC3">
              <w:rPr>
                <w:rFonts w:cs="Arial"/>
                <w:sz w:val="18"/>
                <w:szCs w:val="18"/>
                <w:lang w:val="es-ES_tradnl"/>
              </w:rPr>
              <w:tab/>
              <w:t>Sr. Luis Salaices (España), Vicepresidente del Consejo;</w:t>
            </w:r>
          </w:p>
          <w:p w:rsidR="00DE1422" w:rsidRPr="00DE1422" w:rsidRDefault="00DE1422" w:rsidP="00DE1422">
            <w:pPr>
              <w:pStyle w:val="ListParagraph"/>
              <w:numPr>
                <w:ilvl w:val="0"/>
                <w:numId w:val="37"/>
              </w:numPr>
              <w:spacing w:after="60"/>
              <w:ind w:left="714" w:hanging="357"/>
              <w:contextualSpacing w:val="0"/>
              <w:rPr>
                <w:rFonts w:cs="Arial"/>
                <w:sz w:val="18"/>
                <w:szCs w:val="18"/>
                <w:lang w:val="es-ES_tradnl"/>
              </w:rPr>
            </w:pPr>
            <w:r w:rsidRPr="00C60FC3">
              <w:rPr>
                <w:rFonts w:cs="Arial"/>
                <w:sz w:val="18"/>
                <w:szCs w:val="18"/>
                <w:lang w:val="es-ES_tradnl"/>
              </w:rPr>
              <w:t>aprobó un comunicado de prensa.</w:t>
            </w:r>
          </w:p>
        </w:tc>
      </w:tr>
    </w:tbl>
    <w:p w:rsidR="00DE1422" w:rsidRDefault="00DE1422"/>
    <w:p w:rsidR="00DE1422" w:rsidRDefault="00DE1422"/>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rFonts w:cs="Arial"/>
                <w:szCs w:val="18"/>
                <w:lang w:val="es-ES_tradnl"/>
              </w:rPr>
            </w:pPr>
            <w:bookmarkStart w:id="33" w:name="_Toc368060295"/>
            <w:r w:rsidRPr="00C60FC3">
              <w:rPr>
                <w:rFonts w:cs="Arial"/>
                <w:szCs w:val="18"/>
                <w:lang w:val="es-ES_tradnl"/>
              </w:rPr>
              <w:t>c)  Aprobación por el Consejo de documentos de información y de posición</w:t>
            </w:r>
            <w:bookmarkEnd w:id="33"/>
          </w:p>
          <w:p w:rsidR="00B43D13" w:rsidRPr="00C60FC3" w:rsidRDefault="00B43D13" w:rsidP="00BF2668">
            <w:pPr>
              <w:rPr>
                <w:rFonts w:cs="Arial"/>
                <w:sz w:val="18"/>
                <w:szCs w:val="18"/>
                <w:lang w:val="es-ES_tradnl"/>
              </w:rPr>
            </w:pPr>
            <w:r w:rsidRPr="00C60FC3">
              <w:rPr>
                <w:rFonts w:cs="Arial"/>
                <w:sz w:val="18"/>
                <w:szCs w:val="18"/>
                <w:lang w:val="es-ES_tradnl"/>
              </w:rPr>
              <w:t>La aprobación por el Consejo de documentos de información se expone en el Subprograma UV.2.</w:t>
            </w:r>
          </w:p>
          <w:p w:rsidR="00B43D13" w:rsidRPr="00C60FC3" w:rsidRDefault="00B43D13" w:rsidP="00BF2668">
            <w:pPr>
              <w:rPr>
                <w:rFonts w:cs="Arial"/>
                <w:sz w:val="18"/>
                <w:szCs w:val="18"/>
                <w:lang w:val="es-ES_tradnl"/>
              </w:rPr>
            </w:pPr>
          </w:p>
        </w:tc>
      </w:tr>
    </w:tbl>
    <w:p w:rsidR="00B43D13" w:rsidRPr="00C60FC3" w:rsidRDefault="00B43D13" w:rsidP="00BF2668">
      <w:pPr>
        <w:rPr>
          <w:sz w:val="18"/>
          <w:szCs w:val="18"/>
          <w:lang w:val="es-ES_tradnl"/>
        </w:rPr>
      </w:pPr>
    </w:p>
    <w:p w:rsidR="00B43D13" w:rsidRPr="00C60FC3" w:rsidRDefault="00B43D13" w:rsidP="00BF2668">
      <w:pPr>
        <w:jc w:val="left"/>
        <w:rPr>
          <w:b/>
          <w:caps/>
          <w:sz w:val="18"/>
          <w:lang w:val="es-ES_tradnl"/>
        </w:rPr>
      </w:pPr>
      <w:r w:rsidRPr="00C60FC3">
        <w:rPr>
          <w:lang w:val="es-ES_tradnl"/>
        </w:rPr>
        <w:br w:type="page"/>
      </w:r>
    </w:p>
    <w:p w:rsidR="00B43D13" w:rsidRPr="00C60FC3" w:rsidRDefault="00CD4848" w:rsidP="00CD4848">
      <w:pPr>
        <w:pStyle w:val="Heading3"/>
        <w:rPr>
          <w:lang w:val="es-ES_tradnl"/>
        </w:rPr>
      </w:pPr>
      <w:bookmarkStart w:id="34" w:name="_Toc368060296"/>
      <w:r w:rsidRPr="00C60FC3">
        <w:rPr>
          <w:lang w:val="es-ES_tradnl"/>
        </w:rPr>
        <w:t>Subprograma </w:t>
      </w:r>
      <w:r w:rsidR="00B43D13" w:rsidRPr="00C60FC3">
        <w:rPr>
          <w:lang w:val="es-ES_tradnl"/>
        </w:rPr>
        <w:t>UV.2</w:t>
      </w:r>
      <w:proofErr w:type="gramStart"/>
      <w:r w:rsidR="00B43D13" w:rsidRPr="00C60FC3">
        <w:rPr>
          <w:lang w:val="es-ES_tradnl"/>
        </w:rPr>
        <w:t xml:space="preserve">:  </w:t>
      </w:r>
      <w:bookmarkEnd w:id="18"/>
      <w:bookmarkEnd w:id="19"/>
      <w:r w:rsidR="00B43D13" w:rsidRPr="00C60FC3">
        <w:rPr>
          <w:lang w:val="es-ES_tradnl"/>
        </w:rPr>
        <w:t>Servicios</w:t>
      </w:r>
      <w:proofErr w:type="gramEnd"/>
      <w:r w:rsidR="00B43D13" w:rsidRPr="00C60FC3">
        <w:rPr>
          <w:lang w:val="es-ES_tradnl"/>
        </w:rPr>
        <w:t xml:space="preserve"> prestados a la Unión para mejorar la eficacia del sistema de la UPOV</w:t>
      </w:r>
      <w:bookmarkEnd w:id="34"/>
    </w:p>
    <w:p w:rsidR="00B43D13" w:rsidRPr="00C60FC3" w:rsidRDefault="00B43D13" w:rsidP="00BF2668">
      <w:pPr>
        <w:rPr>
          <w:sz w:val="18"/>
          <w:szCs w:val="18"/>
          <w:lang w:val="es-ES_tradnl"/>
        </w:rPr>
      </w:pPr>
    </w:p>
    <w:p w:rsidR="00B43D13" w:rsidRPr="00C60FC3" w:rsidRDefault="00B43D13" w:rsidP="00BF2668">
      <w:pPr>
        <w:tabs>
          <w:tab w:val="left" w:pos="2410"/>
          <w:tab w:val="left" w:pos="4536"/>
          <w:tab w:val="left" w:pos="9072"/>
        </w:tabs>
        <w:rPr>
          <w:sz w:val="18"/>
          <w:szCs w:val="18"/>
          <w:lang w:val="es-ES_tradnl"/>
        </w:rPr>
      </w:pPr>
      <w:r w:rsidRPr="00C60FC3">
        <w:rPr>
          <w:sz w:val="18"/>
          <w:szCs w:val="18"/>
          <w:lang w:val="es-ES_tradnl"/>
        </w:rPr>
        <w:t>La UPOV ha seguido aprobando un número considerable de documentos de información y orientación que han ampliado la comprensión y la aplicación de las disposiciones del Convenio de un modo armonizado y eficaz</w:t>
      </w:r>
      <w:r w:rsidR="00CB05D4">
        <w:rPr>
          <w:sz w:val="18"/>
          <w:szCs w:val="18"/>
          <w:lang w:val="es-ES_tradnl"/>
        </w:rPr>
        <w:t xml:space="preserve"> a nivel </w:t>
      </w:r>
      <w:r w:rsidR="00CB05D4" w:rsidRPr="00C60FC3">
        <w:rPr>
          <w:sz w:val="18"/>
          <w:szCs w:val="18"/>
          <w:lang w:val="es-ES_tradnl"/>
        </w:rPr>
        <w:t>internacional</w:t>
      </w:r>
      <w:r w:rsidRPr="00C60FC3">
        <w:rPr>
          <w:sz w:val="18"/>
          <w:szCs w:val="18"/>
          <w:lang w:val="es-ES_tradnl"/>
        </w:rPr>
        <w:t xml:space="preserve">, contribuyendo con ello a mejorar la calidad de la protección y reducir el costo de obtener protección.  En 2012, las directrices de examen aprobadas abarcaban el 90% de los géneros y especies vegetales que figuran como protegidos por derecho de obtentor en la </w:t>
      </w:r>
      <w:r w:rsidR="00CB05D4" w:rsidRPr="00C60FC3">
        <w:rPr>
          <w:sz w:val="18"/>
          <w:szCs w:val="18"/>
          <w:lang w:val="es-ES_tradnl"/>
        </w:rPr>
        <w:t xml:space="preserve">Base </w:t>
      </w:r>
      <w:r w:rsidRPr="00C60FC3">
        <w:rPr>
          <w:sz w:val="18"/>
          <w:szCs w:val="18"/>
          <w:lang w:val="es-ES_tradnl"/>
        </w:rPr>
        <w:t xml:space="preserve">de datos </w:t>
      </w:r>
      <w:r w:rsidR="00CB05D4">
        <w:rPr>
          <w:sz w:val="18"/>
          <w:szCs w:val="18"/>
          <w:lang w:val="es-ES_tradnl"/>
        </w:rPr>
        <w:t xml:space="preserve">sobre </w:t>
      </w:r>
      <w:r w:rsidRPr="00C60FC3">
        <w:rPr>
          <w:sz w:val="18"/>
          <w:szCs w:val="18"/>
          <w:lang w:val="es-ES_tradnl"/>
        </w:rPr>
        <w:t>variedades vegetales.  Con el fin de estimular la cooperación entre los miembros de la Unión, se ha ampliado la información que suministran la base de datos GENIE, la Base de datos sobre variedades vegetales (base de datos PLUTO) y la Base de datos de legislación de miembros de la UPOV (UPOV Lex), y se han adoptado diversas medidas relativas al programa de mejoras de la Base de datos PLUTO</w:t>
      </w:r>
      <w:r w:rsidRPr="00C60FC3">
        <w:rPr>
          <w:color w:val="000000"/>
          <w:sz w:val="18"/>
          <w:szCs w:val="18"/>
          <w:lang w:val="es-ES_tradnl"/>
        </w:rPr>
        <w:t>.  En una nueva iniciativa, el CAJ ha apoyado la elaboración de un prototipo de formulario electrónico para los miembros de la Unión interesados.</w:t>
      </w:r>
    </w:p>
    <w:p w:rsidR="00B43D13" w:rsidRPr="00C60FC3" w:rsidRDefault="00B43D13" w:rsidP="00BF2668">
      <w:pPr>
        <w:tabs>
          <w:tab w:val="left" w:pos="2410"/>
          <w:tab w:val="left" w:pos="4536"/>
          <w:tab w:val="left" w:pos="9072"/>
        </w:tabs>
        <w:rPr>
          <w:sz w:val="18"/>
          <w:szCs w:val="18"/>
          <w:lang w:val="es-ES_tradnl"/>
        </w:rPr>
      </w:pPr>
    </w:p>
    <w:p w:rsidR="00B43D13" w:rsidRPr="00C60FC3" w:rsidRDefault="00B43D13" w:rsidP="00BF2668">
      <w:pPr>
        <w:tabs>
          <w:tab w:val="left" w:pos="2410"/>
          <w:tab w:val="left" w:pos="4536"/>
          <w:tab w:val="left" w:pos="9072"/>
        </w:tabs>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5"/>
              <w:keepNext w:val="0"/>
              <w:rPr>
                <w:lang w:val="es-ES_tradnl"/>
              </w:rPr>
            </w:pPr>
            <w:bookmarkStart w:id="35" w:name="_Toc368060297"/>
            <w:r w:rsidRPr="00C60FC3">
              <w:rPr>
                <w:lang w:val="es-ES_tradnl"/>
              </w:rPr>
              <w:t>Objetivos:</w:t>
            </w:r>
            <w:bookmarkEnd w:id="35"/>
          </w:p>
        </w:tc>
        <w:tc>
          <w:tcPr>
            <w:tcW w:w="7796" w:type="dxa"/>
            <w:vAlign w:val="center"/>
          </w:tcPr>
          <w:p w:rsidR="00B43D13" w:rsidRPr="00C60FC3" w:rsidRDefault="00B43D13" w:rsidP="00BF2668">
            <w:pPr>
              <w:numPr>
                <w:ilvl w:val="0"/>
                <w:numId w:val="18"/>
              </w:numPr>
              <w:jc w:val="left"/>
              <w:rPr>
                <w:b/>
                <w:i/>
                <w:sz w:val="18"/>
                <w:szCs w:val="18"/>
                <w:lang w:val="es-ES_tradnl"/>
              </w:rPr>
            </w:pPr>
            <w:r w:rsidRPr="00C60FC3">
              <w:rPr>
                <w:sz w:val="18"/>
                <w:szCs w:val="18"/>
                <w:lang w:val="es-ES_tradnl"/>
              </w:rPr>
              <w:t>Mantener y mejorar la eficacia del sistema de la UPOV.</w:t>
            </w:r>
          </w:p>
          <w:p w:rsidR="00B43D13" w:rsidRPr="00C60FC3" w:rsidRDefault="00B43D13" w:rsidP="00BF2668">
            <w:pPr>
              <w:numPr>
                <w:ilvl w:val="0"/>
                <w:numId w:val="18"/>
              </w:numPr>
              <w:jc w:val="left"/>
              <w:rPr>
                <w:b/>
                <w:sz w:val="18"/>
                <w:szCs w:val="18"/>
                <w:lang w:val="es-ES_tradnl"/>
              </w:rPr>
            </w:pPr>
            <w:r w:rsidRPr="00C60FC3">
              <w:rPr>
                <w:sz w:val="18"/>
                <w:szCs w:val="18"/>
                <w:lang w:val="es-ES_tradnl"/>
              </w:rPr>
              <w:t>Proporcionar y desarrollar las bases jurídicas, administrativas y técnicas para la cooperación internacional en materia de protección de las variedades vegetales, de conformidad con el Convenio de la UPOV.</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5"/>
              <w:keepNext w:val="0"/>
              <w:rPr>
                <w:lang w:val="es-ES_tradnl"/>
              </w:rPr>
            </w:pPr>
            <w:bookmarkStart w:id="36" w:name="_Toc368060298"/>
            <w:r w:rsidRPr="00C60FC3">
              <w:rPr>
                <w:lang w:val="es-ES_tradnl"/>
              </w:rPr>
              <w:t>Resultados previstos</w:t>
            </w:r>
            <w:bookmarkEnd w:id="36"/>
          </w:p>
        </w:tc>
        <w:tc>
          <w:tcPr>
            <w:tcW w:w="7796" w:type="dxa"/>
          </w:tcPr>
          <w:p w:rsidR="00B43D13" w:rsidRPr="00C60FC3" w:rsidRDefault="00B43D13" w:rsidP="00BF2668">
            <w:pPr>
              <w:pStyle w:val="Heading7"/>
              <w:rPr>
                <w:lang w:val="es-ES_tradnl"/>
              </w:rPr>
            </w:pPr>
            <w:bookmarkStart w:id="37" w:name="_Toc336331195"/>
            <w:bookmarkStart w:id="38" w:name="_Toc336339185"/>
            <w:bookmarkStart w:id="39" w:name="_Toc368060299"/>
            <w:r w:rsidRPr="00C60FC3">
              <w:rPr>
                <w:lang w:val="es-ES_tradnl"/>
              </w:rPr>
              <w:t>Resultados alcanzados</w:t>
            </w:r>
            <w:proofErr w:type="gramStart"/>
            <w:r w:rsidRPr="00C60FC3">
              <w:rPr>
                <w:lang w:val="es-ES_tradnl"/>
              </w:rPr>
              <w:t xml:space="preserve">:  </w:t>
            </w:r>
            <w:bookmarkEnd w:id="37"/>
            <w:bookmarkEnd w:id="38"/>
            <w:r w:rsidRPr="00C60FC3">
              <w:rPr>
                <w:lang w:val="es-ES_tradnl"/>
              </w:rPr>
              <w:t>indicadores</w:t>
            </w:r>
            <w:proofErr w:type="gramEnd"/>
            <w:r w:rsidRPr="00C60FC3">
              <w:rPr>
                <w:lang w:val="es-ES_tradnl"/>
              </w:rPr>
              <w:t xml:space="preserve"> de rendimiento</w:t>
            </w:r>
            <w:bookmarkEnd w:id="39"/>
          </w:p>
        </w:tc>
      </w:tr>
      <w:tr w:rsidR="00B43D13" w:rsidRPr="00C60FC3" w:rsidTr="0091418C">
        <w:tc>
          <w:tcPr>
            <w:tcW w:w="2093" w:type="dxa"/>
          </w:tcPr>
          <w:p w:rsidR="00B43D13" w:rsidRPr="00C60FC3" w:rsidRDefault="00B43D13" w:rsidP="00BF2668">
            <w:pPr>
              <w:pStyle w:val="Heading6"/>
              <w:rPr>
                <w:b/>
                <w:lang w:val="es-ES_tradnl"/>
              </w:rPr>
            </w:pPr>
            <w:bookmarkStart w:id="40" w:name="_Toc336331196"/>
            <w:bookmarkStart w:id="41" w:name="_Toc336339186"/>
            <w:bookmarkStart w:id="42" w:name="_Toc368060300"/>
            <w:r w:rsidRPr="00C60FC3">
              <w:rPr>
                <w:lang w:val="es-ES_tradnl"/>
              </w:rPr>
              <w:t xml:space="preserve">1.  </w:t>
            </w:r>
            <w:bookmarkEnd w:id="40"/>
            <w:bookmarkEnd w:id="41"/>
            <w:r w:rsidRPr="00C60FC3">
              <w:rPr>
                <w:lang w:val="es-ES_tradnl"/>
              </w:rPr>
              <w:t>Orientación sobre el Convenio de la UPOV e información sobre su aplicación</w:t>
            </w:r>
            <w:bookmarkEnd w:id="42"/>
          </w:p>
        </w:tc>
        <w:tc>
          <w:tcPr>
            <w:tcW w:w="7796" w:type="dxa"/>
          </w:tcPr>
          <w:p w:rsidR="00B43D13" w:rsidRPr="00C60FC3" w:rsidRDefault="00B43D13" w:rsidP="00BF2668">
            <w:pPr>
              <w:pStyle w:val="Heading8"/>
              <w:rPr>
                <w:lang w:val="es-ES_tradnl"/>
              </w:rPr>
            </w:pPr>
            <w:bookmarkStart w:id="43" w:name="_Toc336331197"/>
            <w:bookmarkStart w:id="44" w:name="_Toc336339187"/>
            <w:bookmarkStart w:id="45" w:name="_Toc368060301"/>
            <w:r w:rsidRPr="00C60FC3">
              <w:rPr>
                <w:lang w:val="es-ES_tradnl"/>
              </w:rPr>
              <w:t xml:space="preserve">a)  </w:t>
            </w:r>
            <w:bookmarkEnd w:id="43"/>
            <w:bookmarkEnd w:id="44"/>
            <w:r w:rsidRPr="00C60FC3">
              <w:rPr>
                <w:lang w:val="es-ES_tradnl"/>
              </w:rPr>
              <w:t>Aprobación de material de información nuevo o revisado sobre el Convenio de la UPOV</w:t>
            </w:r>
            <w:bookmarkEnd w:id="45"/>
          </w:p>
          <w:p w:rsidR="00B43D13" w:rsidRPr="00C60FC3" w:rsidRDefault="00B43D13" w:rsidP="00BF2668">
            <w:pPr>
              <w:numPr>
                <w:ilvl w:val="0"/>
                <w:numId w:val="19"/>
              </w:numPr>
              <w:spacing w:after="120"/>
              <w:ind w:left="357" w:right="176" w:hanging="357"/>
              <w:jc w:val="left"/>
              <w:rPr>
                <w:color w:val="000000"/>
                <w:sz w:val="18"/>
                <w:szCs w:val="18"/>
                <w:lang w:val="es-ES_tradnl"/>
              </w:rPr>
            </w:pPr>
            <w:r w:rsidRPr="00C60FC3">
              <w:rPr>
                <w:color w:val="000000"/>
                <w:sz w:val="18"/>
                <w:szCs w:val="18"/>
                <w:lang w:val="es-ES_tradnl"/>
              </w:rPr>
              <w:t>Documentos de información sobre el Convenio de la UPOV aprobados por el Consejo en 2012</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UPOV/INF/4/2</w:t>
            </w:r>
            <w:r w:rsidRPr="00C60FC3">
              <w:rPr>
                <w:sz w:val="18"/>
                <w:szCs w:val="18"/>
                <w:lang w:val="es-ES_tradnl"/>
              </w:rPr>
              <w:tab/>
              <w:t xml:space="preserve">Reglamento Financiero y Reglamentación Financiera de la UPOV (revisión) </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UPOV/INF/12/4</w:t>
            </w:r>
            <w:r w:rsidRPr="00C60FC3">
              <w:rPr>
                <w:sz w:val="18"/>
                <w:szCs w:val="18"/>
                <w:lang w:val="es-ES_tradnl"/>
              </w:rPr>
              <w:tab/>
              <w:t>Notas explicativas sobre las denominaciones de variedades con arreglo al Convenio de la UPOV (revisión)</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UPOV/INF/19/1</w:t>
            </w:r>
            <w:r w:rsidRPr="00C60FC3">
              <w:rPr>
                <w:sz w:val="18"/>
                <w:szCs w:val="18"/>
                <w:lang w:val="es-ES_tradnl"/>
              </w:rPr>
              <w:tab/>
              <w:t>Reglas que rigen la concesión de la condición de observador ante los órganos de la UPOV a los Estados, las organizaciones intergubernamentales y las organizaciones internacionales no gubernamentales (revisión)</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UPOV/INF/20/1</w:t>
            </w:r>
            <w:r w:rsidRPr="00C60FC3">
              <w:rPr>
                <w:sz w:val="18"/>
                <w:szCs w:val="18"/>
                <w:lang w:val="es-ES_tradnl"/>
              </w:rPr>
              <w:tab/>
              <w:t>Reglas que rigen el acceso a los documentos de la UPOV (revisión)</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UPOV/INF/21/1</w:t>
            </w:r>
            <w:r w:rsidRPr="00C60FC3">
              <w:rPr>
                <w:sz w:val="18"/>
                <w:szCs w:val="18"/>
                <w:lang w:val="es-ES_tradnl"/>
              </w:rPr>
              <w:tab/>
              <w:t>Mecanismos alternativos de solución de controversias</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UPOV/INF-EXN/2</w:t>
            </w:r>
            <w:r w:rsidRPr="00C60FC3">
              <w:rPr>
                <w:sz w:val="18"/>
                <w:szCs w:val="18"/>
                <w:lang w:val="es-ES_tradnl"/>
              </w:rPr>
              <w:tab/>
              <w:t xml:space="preserve">Lista de documentos INF-EXN y fechas de última publicación (revisión) </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UPOV/INF-EXN/3</w:t>
            </w:r>
            <w:r w:rsidRPr="00C60FC3">
              <w:rPr>
                <w:sz w:val="18"/>
                <w:szCs w:val="18"/>
                <w:lang w:val="es-ES_tradnl"/>
              </w:rPr>
              <w:tab/>
              <w:t>Lista de documentos INF-EXN y fechas de última publicación (revisión)</w:t>
            </w:r>
          </w:p>
          <w:p w:rsidR="00B43D13" w:rsidRPr="00C60FC3" w:rsidRDefault="00B43D13" w:rsidP="00BF2668">
            <w:pPr>
              <w:numPr>
                <w:ilvl w:val="0"/>
                <w:numId w:val="19"/>
              </w:numPr>
              <w:spacing w:before="120" w:after="120"/>
              <w:ind w:left="357" w:right="176" w:hanging="357"/>
              <w:jc w:val="left"/>
              <w:rPr>
                <w:color w:val="000000"/>
                <w:sz w:val="18"/>
                <w:szCs w:val="18"/>
                <w:lang w:val="es-ES_tradnl"/>
              </w:rPr>
            </w:pPr>
            <w:r w:rsidRPr="00C60FC3">
              <w:rPr>
                <w:color w:val="000000"/>
                <w:sz w:val="18"/>
                <w:szCs w:val="18"/>
                <w:lang w:val="es-ES_tradnl"/>
              </w:rPr>
              <w:t>El CAJ examinó lo</w:t>
            </w:r>
            <w:r w:rsidR="00CB05D4">
              <w:rPr>
                <w:color w:val="000000"/>
                <w:sz w:val="18"/>
                <w:szCs w:val="18"/>
                <w:lang w:val="es-ES_tradnl"/>
              </w:rPr>
              <w:t xml:space="preserve"> siguiente</w:t>
            </w:r>
            <w:r w:rsidRPr="00C60FC3">
              <w:rPr>
                <w:color w:val="000000"/>
                <w:sz w:val="18"/>
                <w:szCs w:val="18"/>
                <w:lang w:val="es-ES_tradnl"/>
              </w:rPr>
              <w:t xml:space="preserve"> en 2012:</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UPOV/INF/15</w:t>
            </w:r>
            <w:r w:rsidRPr="00C60FC3">
              <w:rPr>
                <w:sz w:val="18"/>
                <w:szCs w:val="18"/>
                <w:lang w:val="es-ES_tradnl"/>
              </w:rPr>
              <w:tab/>
              <w:t>Orientación para los miembros de la UPOV sobre las obligaciones actuales y las notificaciones conexas y sobre el suministro de información para facilitar la cooperación</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UPOV/INF/ADS</w:t>
            </w:r>
            <w:r w:rsidRPr="00C60FC3">
              <w:rPr>
                <w:sz w:val="18"/>
                <w:szCs w:val="18"/>
                <w:lang w:val="es-ES_tradnl"/>
              </w:rPr>
              <w:tab/>
              <w:t>Mecanismos alternativos de solución de controversias</w:t>
            </w:r>
          </w:p>
          <w:p w:rsidR="00B43D13" w:rsidRPr="00C60FC3" w:rsidRDefault="00B43D13" w:rsidP="00BF2668">
            <w:pPr>
              <w:numPr>
                <w:ilvl w:val="0"/>
                <w:numId w:val="19"/>
              </w:numPr>
              <w:spacing w:after="120"/>
              <w:ind w:left="357" w:right="176" w:hanging="357"/>
              <w:jc w:val="left"/>
              <w:rPr>
                <w:color w:val="000000"/>
                <w:sz w:val="18"/>
                <w:szCs w:val="18"/>
                <w:lang w:val="es-ES_tradnl"/>
              </w:rPr>
            </w:pPr>
            <w:r w:rsidRPr="00C60FC3">
              <w:rPr>
                <w:color w:val="000000"/>
                <w:sz w:val="18"/>
                <w:szCs w:val="18"/>
                <w:lang w:val="es-ES_tradnl"/>
              </w:rPr>
              <w:t>El CAJ-AG examinó lo</w:t>
            </w:r>
            <w:r w:rsidR="00CB05D4">
              <w:rPr>
                <w:color w:val="000000"/>
                <w:sz w:val="18"/>
                <w:szCs w:val="18"/>
                <w:lang w:val="es-ES_tradnl"/>
              </w:rPr>
              <w:t xml:space="preserve"> siguiente</w:t>
            </w:r>
            <w:r w:rsidRPr="00C60FC3">
              <w:rPr>
                <w:color w:val="000000"/>
                <w:sz w:val="18"/>
                <w:szCs w:val="18"/>
                <w:lang w:val="es-ES_tradnl"/>
              </w:rPr>
              <w:t xml:space="preserve"> en 2012: </w:t>
            </w:r>
          </w:p>
          <w:p w:rsidR="00B43D13" w:rsidRPr="00C60FC3" w:rsidRDefault="00B43D13" w:rsidP="00BF2668">
            <w:pPr>
              <w:tabs>
                <w:tab w:val="num" w:pos="2302"/>
              </w:tabs>
              <w:spacing w:after="120"/>
              <w:ind w:left="2302" w:hanging="1735"/>
              <w:jc w:val="left"/>
              <w:rPr>
                <w:iCs/>
                <w:sz w:val="18"/>
                <w:szCs w:val="18"/>
                <w:lang w:val="es-ES_tradnl"/>
              </w:rPr>
            </w:pPr>
            <w:r w:rsidRPr="00C60FC3">
              <w:rPr>
                <w:iCs/>
                <w:sz w:val="18"/>
                <w:szCs w:val="18"/>
                <w:lang w:val="es-ES_tradnl"/>
              </w:rPr>
              <w:t>UPOV/EXN/BRD</w:t>
            </w:r>
            <w:r w:rsidRPr="00C60FC3">
              <w:rPr>
                <w:iCs/>
                <w:sz w:val="18"/>
                <w:szCs w:val="18"/>
                <w:lang w:val="es-ES_tradnl"/>
              </w:rPr>
              <w:tab/>
            </w:r>
            <w:r w:rsidRPr="00C60FC3">
              <w:rPr>
                <w:sz w:val="18"/>
                <w:szCs w:val="18"/>
                <w:lang w:val="es-ES_tradnl"/>
              </w:rPr>
              <w:t>Notas explicativas sobre la definición de obtentor con arreglo al Acta de 1991 del Convenio de la UPOV</w:t>
            </w:r>
            <w:r w:rsidRPr="00C60FC3">
              <w:rPr>
                <w:iCs/>
                <w:sz w:val="18"/>
                <w:szCs w:val="18"/>
                <w:lang w:val="es-ES_tradnl"/>
              </w:rPr>
              <w:t xml:space="preserve"> </w:t>
            </w:r>
          </w:p>
          <w:p w:rsidR="00B43D13" w:rsidRPr="00C60FC3" w:rsidRDefault="00B43D13" w:rsidP="00BF2668">
            <w:pPr>
              <w:tabs>
                <w:tab w:val="num" w:pos="2302"/>
              </w:tabs>
              <w:spacing w:after="120"/>
              <w:ind w:left="2302" w:hanging="1735"/>
              <w:jc w:val="left"/>
              <w:rPr>
                <w:iCs/>
                <w:sz w:val="18"/>
                <w:szCs w:val="18"/>
                <w:lang w:val="es-ES_tradnl"/>
              </w:rPr>
            </w:pPr>
            <w:r w:rsidRPr="00C60FC3">
              <w:rPr>
                <w:iCs/>
                <w:sz w:val="18"/>
                <w:szCs w:val="18"/>
                <w:lang w:val="es-ES_tradnl"/>
              </w:rPr>
              <w:t>UPOV/EXN/EDV</w:t>
            </w:r>
            <w:r w:rsidRPr="00C60FC3">
              <w:rPr>
                <w:iCs/>
                <w:sz w:val="18"/>
                <w:szCs w:val="18"/>
                <w:lang w:val="es-ES_tradnl"/>
              </w:rPr>
              <w:tab/>
              <w:t xml:space="preserve">Notas explicativas sobre las variedades esencialmente derivadas con arreglo al Acta de 1991 del Convenio de la UPOV (revisión) </w:t>
            </w:r>
          </w:p>
          <w:p w:rsidR="00B43D13" w:rsidRPr="00C60FC3" w:rsidRDefault="00B43D13" w:rsidP="00BF2668">
            <w:pPr>
              <w:tabs>
                <w:tab w:val="num" w:pos="2302"/>
              </w:tabs>
              <w:spacing w:after="120"/>
              <w:ind w:left="2302" w:hanging="1735"/>
              <w:jc w:val="left"/>
              <w:rPr>
                <w:iCs/>
                <w:sz w:val="18"/>
                <w:szCs w:val="18"/>
                <w:lang w:val="es-ES_tradnl"/>
              </w:rPr>
            </w:pPr>
            <w:r w:rsidRPr="00C60FC3">
              <w:rPr>
                <w:iCs/>
                <w:sz w:val="18"/>
                <w:szCs w:val="18"/>
                <w:lang w:val="es-ES_tradnl"/>
              </w:rPr>
              <w:t>UPOV/EXN/HRV</w:t>
            </w:r>
            <w:r w:rsidRPr="00C60FC3">
              <w:rPr>
                <w:iCs/>
                <w:sz w:val="18"/>
                <w:szCs w:val="18"/>
                <w:lang w:val="es-ES_tradnl"/>
              </w:rPr>
              <w:tab/>
              <w:t>Notas explicativas sobre los actos respecto del producto de la cosecha con arreglo al Acta de 1991 del Convenio de la UPOV</w:t>
            </w:r>
          </w:p>
        </w:tc>
      </w:tr>
      <w:tr w:rsidR="00B43D13" w:rsidRPr="00C60FC3" w:rsidTr="0091418C">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lang w:val="es-ES_tradnl"/>
              </w:rPr>
            </w:pPr>
            <w:bookmarkStart w:id="46" w:name="_Toc368060302"/>
            <w:r w:rsidRPr="00C60FC3">
              <w:rPr>
                <w:lang w:val="es-ES_tradnl"/>
              </w:rPr>
              <w:t xml:space="preserve">b)  Publicación de la </w:t>
            </w:r>
            <w:r w:rsidRPr="00C60FC3">
              <w:rPr>
                <w:i w:val="0"/>
                <w:lang w:val="es-ES_tradnl"/>
              </w:rPr>
              <w:t xml:space="preserve">Gazette and Newsletter </w:t>
            </w:r>
            <w:r w:rsidRPr="00C60FC3">
              <w:rPr>
                <w:lang w:val="es-ES_tradnl"/>
              </w:rPr>
              <w:t>de la UPOV</w:t>
            </w:r>
            <w:bookmarkEnd w:id="46"/>
          </w:p>
          <w:p w:rsidR="00B43D13" w:rsidRPr="00C60FC3" w:rsidRDefault="00CB05D4" w:rsidP="00CB05D4">
            <w:pPr>
              <w:numPr>
                <w:ilvl w:val="0"/>
                <w:numId w:val="19"/>
              </w:numPr>
              <w:spacing w:after="120"/>
              <w:ind w:right="176"/>
              <w:jc w:val="left"/>
              <w:rPr>
                <w:color w:val="000000"/>
                <w:sz w:val="18"/>
                <w:szCs w:val="18"/>
                <w:lang w:val="es-ES_tradnl"/>
              </w:rPr>
            </w:pPr>
            <w:r w:rsidRPr="00C60FC3">
              <w:rPr>
                <w:color w:val="000000"/>
                <w:sz w:val="18"/>
                <w:szCs w:val="18"/>
                <w:lang w:val="es-ES_tradnl"/>
              </w:rPr>
              <w:t>Publicación de la UPOV Nº 438 (E)</w:t>
            </w:r>
            <w:r>
              <w:rPr>
                <w:color w:val="000000"/>
                <w:sz w:val="18"/>
                <w:szCs w:val="18"/>
                <w:lang w:val="es-ES_tradnl"/>
              </w:rPr>
              <w:t>, edición Nº 105 (agosto de 2012).</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rHeight w:val="502"/>
        </w:trPr>
        <w:tc>
          <w:tcPr>
            <w:tcW w:w="2093" w:type="dxa"/>
          </w:tcPr>
          <w:p w:rsidR="00B43D13" w:rsidRPr="00C60FC3" w:rsidRDefault="00B43D13" w:rsidP="00BF2668">
            <w:pPr>
              <w:spacing w:after="24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jc w:val="left"/>
              <w:rPr>
                <w:i/>
                <w:sz w:val="18"/>
                <w:szCs w:val="18"/>
                <w:lang w:val="es-ES_tradnl"/>
              </w:rPr>
            </w:pPr>
            <w:r w:rsidRPr="00C60FC3">
              <w:rPr>
                <w:i/>
                <w:sz w:val="18"/>
                <w:szCs w:val="18"/>
                <w:lang w:val="es-ES_tradnl"/>
              </w:rPr>
              <w:t>1.  Orientación sobre el Convenio de la UPOV e información sobre su aplicación</w:t>
            </w:r>
            <w:r w:rsidRPr="00C60FC3">
              <w:rPr>
                <w:sz w:val="18"/>
                <w:szCs w:val="18"/>
                <w:lang w:val="es-ES_tradnl"/>
              </w:rPr>
              <w:t xml:space="preserve"> (continuación)</w:t>
            </w:r>
          </w:p>
        </w:tc>
        <w:tc>
          <w:tcPr>
            <w:tcW w:w="7796" w:type="dxa"/>
          </w:tcPr>
          <w:p w:rsidR="00B43D13" w:rsidRPr="00C60FC3" w:rsidRDefault="00B43D13" w:rsidP="00BF2668">
            <w:pPr>
              <w:pStyle w:val="Heading8"/>
              <w:rPr>
                <w:szCs w:val="18"/>
                <w:lang w:val="es-ES_tradnl"/>
              </w:rPr>
            </w:pPr>
            <w:bookmarkStart w:id="47" w:name="_Toc368060303"/>
            <w:r w:rsidRPr="00C60FC3">
              <w:rPr>
                <w:szCs w:val="18"/>
                <w:lang w:val="es-ES_tradnl"/>
              </w:rPr>
              <w:t>c)  Inclusión de la legislación de los miembros de la Unión en la base de datos UPOV Lex</w:t>
            </w:r>
            <w:bookmarkEnd w:id="47"/>
          </w:p>
          <w:p w:rsidR="00B43D13" w:rsidRPr="00C60FC3" w:rsidRDefault="00B43D13" w:rsidP="00BF2668">
            <w:pPr>
              <w:numPr>
                <w:ilvl w:val="0"/>
                <w:numId w:val="19"/>
              </w:numPr>
              <w:spacing w:after="120"/>
              <w:ind w:right="176"/>
              <w:jc w:val="left"/>
              <w:rPr>
                <w:sz w:val="18"/>
                <w:szCs w:val="18"/>
                <w:lang w:val="es-ES_tradnl"/>
              </w:rPr>
            </w:pPr>
            <w:r w:rsidRPr="00C60FC3">
              <w:rPr>
                <w:sz w:val="18"/>
                <w:szCs w:val="18"/>
                <w:lang w:val="es-ES_tradnl"/>
              </w:rPr>
              <w:t>Croacia</w:t>
            </w:r>
          </w:p>
          <w:p w:rsidR="00564014" w:rsidRPr="00C60FC3" w:rsidRDefault="00564014" w:rsidP="00564014">
            <w:pPr>
              <w:numPr>
                <w:ilvl w:val="0"/>
                <w:numId w:val="19"/>
              </w:numPr>
              <w:spacing w:after="120"/>
              <w:ind w:right="176"/>
              <w:jc w:val="left"/>
              <w:rPr>
                <w:sz w:val="18"/>
                <w:szCs w:val="18"/>
                <w:lang w:val="es-ES_tradnl"/>
              </w:rPr>
            </w:pPr>
            <w:r w:rsidRPr="00C60FC3">
              <w:rPr>
                <w:sz w:val="18"/>
                <w:szCs w:val="18"/>
                <w:lang w:val="es-ES_tradnl"/>
              </w:rPr>
              <w:t>Estados Unidos de América</w:t>
            </w:r>
          </w:p>
          <w:p w:rsidR="00B43D13" w:rsidRPr="00C60FC3" w:rsidRDefault="00B43D13" w:rsidP="00BF2668">
            <w:pPr>
              <w:numPr>
                <w:ilvl w:val="0"/>
                <w:numId w:val="19"/>
              </w:numPr>
              <w:spacing w:after="120"/>
              <w:ind w:right="176"/>
              <w:jc w:val="left"/>
              <w:rPr>
                <w:sz w:val="18"/>
                <w:szCs w:val="18"/>
                <w:lang w:val="es-ES_tradnl"/>
              </w:rPr>
            </w:pPr>
            <w:r w:rsidRPr="00C60FC3">
              <w:rPr>
                <w:sz w:val="18"/>
                <w:szCs w:val="18"/>
                <w:lang w:val="es-ES_tradnl"/>
              </w:rPr>
              <w:t>Francia</w:t>
            </w:r>
          </w:p>
          <w:p w:rsidR="00B43D13" w:rsidRPr="00C60FC3" w:rsidRDefault="00B43D13" w:rsidP="00BF2668">
            <w:pPr>
              <w:numPr>
                <w:ilvl w:val="0"/>
                <w:numId w:val="19"/>
              </w:numPr>
              <w:spacing w:after="120"/>
              <w:ind w:right="176"/>
              <w:jc w:val="left"/>
              <w:rPr>
                <w:sz w:val="18"/>
                <w:szCs w:val="18"/>
                <w:lang w:val="es-ES_tradnl"/>
              </w:rPr>
            </w:pPr>
            <w:r w:rsidRPr="00C60FC3">
              <w:rPr>
                <w:sz w:val="18"/>
                <w:szCs w:val="18"/>
                <w:lang w:val="es-ES_tradnl"/>
              </w:rPr>
              <w:t>Irlanda</w:t>
            </w:r>
          </w:p>
          <w:p w:rsidR="00B43D13" w:rsidRPr="00C60FC3" w:rsidRDefault="00B43D13" w:rsidP="00BF2668">
            <w:pPr>
              <w:numPr>
                <w:ilvl w:val="0"/>
                <w:numId w:val="19"/>
              </w:numPr>
              <w:spacing w:after="120"/>
              <w:ind w:right="176"/>
              <w:jc w:val="left"/>
              <w:rPr>
                <w:sz w:val="18"/>
                <w:szCs w:val="18"/>
                <w:lang w:val="es-ES_tradnl"/>
              </w:rPr>
            </w:pPr>
            <w:r w:rsidRPr="00C60FC3">
              <w:rPr>
                <w:sz w:val="18"/>
                <w:szCs w:val="18"/>
                <w:lang w:val="es-ES_tradnl"/>
              </w:rPr>
              <w:t>Viet Nam</w:t>
            </w: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i w:val="0"/>
                <w:szCs w:val="18"/>
                <w:lang w:val="es-ES_tradnl"/>
              </w:rPr>
            </w:pPr>
            <w:bookmarkStart w:id="48" w:name="_Toc368060304"/>
            <w:r w:rsidRPr="00C60FC3">
              <w:rPr>
                <w:szCs w:val="18"/>
                <w:lang w:val="es-ES_tradnl"/>
              </w:rPr>
              <w:t>d)  Participación en seminarios y simposios celebrados en Ginebra en paralelo con las sesiones de los órganos de la UPOV</w:t>
            </w:r>
            <w:bookmarkEnd w:id="48"/>
          </w:p>
          <w:p w:rsidR="00B43D13" w:rsidRPr="00C60FC3" w:rsidRDefault="00B43D13" w:rsidP="00BF2668">
            <w:pPr>
              <w:numPr>
                <w:ilvl w:val="0"/>
                <w:numId w:val="19"/>
              </w:numPr>
              <w:spacing w:after="120"/>
              <w:ind w:right="176"/>
              <w:jc w:val="left"/>
              <w:rPr>
                <w:sz w:val="18"/>
                <w:szCs w:val="18"/>
                <w:lang w:val="es-ES_tradnl"/>
              </w:rPr>
            </w:pPr>
            <w:r w:rsidRPr="00C60FC3">
              <w:rPr>
                <w:sz w:val="18"/>
                <w:szCs w:val="18"/>
                <w:lang w:val="es-ES_tradnl"/>
              </w:rPr>
              <w:t>Simposio sobre las ventajas de la protección de las obtenciones vegetales para los agricultores y los productores (2 de noviembre de 2012)</w:t>
            </w:r>
          </w:p>
          <w:p w:rsidR="00B43D13" w:rsidRPr="00C60FC3" w:rsidRDefault="00B43D13" w:rsidP="00594E16">
            <w:pPr>
              <w:ind w:left="360"/>
              <w:jc w:val="left"/>
              <w:rPr>
                <w:lang w:val="es-ES_tradnl"/>
              </w:rPr>
            </w:pPr>
            <w:r w:rsidRPr="00C60FC3">
              <w:rPr>
                <w:sz w:val="18"/>
                <w:szCs w:val="18"/>
                <w:lang w:val="es-ES_tradnl"/>
              </w:rPr>
              <w:t xml:space="preserve">118 participantes en representación de 36 miembros de la Unión, 6 Estados observadores, </w:t>
            </w:r>
            <w:r w:rsidR="00594E16">
              <w:rPr>
                <w:sz w:val="18"/>
                <w:szCs w:val="18"/>
                <w:lang w:val="es-ES_tradnl"/>
              </w:rPr>
              <w:t xml:space="preserve"> </w:t>
            </w:r>
            <w:r w:rsidRPr="00C60FC3">
              <w:rPr>
                <w:sz w:val="18"/>
                <w:szCs w:val="18"/>
                <w:lang w:val="es-ES_tradnl"/>
              </w:rPr>
              <w:t>8 organizaciones observadoras, otros 6 participantes y 10 ponentes externos</w:t>
            </w:r>
          </w:p>
        </w:tc>
      </w:tr>
    </w:tbl>
    <w:p w:rsidR="00B43D13" w:rsidRPr="00C60FC3" w:rsidRDefault="00B43D13" w:rsidP="00BF2668">
      <w:pPr>
        <w:rPr>
          <w:lang w:val="es-ES_tradnl"/>
        </w:rPr>
      </w:pPr>
    </w:p>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49" w:name="OLE_LINK1"/>
            <w:bookmarkStart w:id="50" w:name="OLE_LINK2"/>
            <w:bookmarkStart w:id="51" w:name="_Toc336331199"/>
            <w:bookmarkStart w:id="52" w:name="_Toc336339190"/>
            <w:bookmarkStart w:id="53" w:name="_Toc368060305"/>
            <w:r w:rsidRPr="00C60FC3">
              <w:rPr>
                <w:lang w:val="es-ES_tradnl"/>
              </w:rPr>
              <w:t xml:space="preserve">2.  </w:t>
            </w:r>
            <w:bookmarkEnd w:id="49"/>
            <w:bookmarkEnd w:id="50"/>
            <w:bookmarkEnd w:id="51"/>
            <w:bookmarkEnd w:id="52"/>
            <w:r w:rsidRPr="00C60FC3">
              <w:rPr>
                <w:lang w:val="es-ES_tradnl"/>
              </w:rPr>
              <w:t>Orientación sobre el examen de las variedades</w:t>
            </w:r>
            <w:bookmarkEnd w:id="53"/>
          </w:p>
        </w:tc>
        <w:tc>
          <w:tcPr>
            <w:tcW w:w="7796" w:type="dxa"/>
          </w:tcPr>
          <w:p w:rsidR="00B43D13" w:rsidRPr="00C60FC3" w:rsidRDefault="00B43D13" w:rsidP="00BF2668">
            <w:pPr>
              <w:pStyle w:val="Heading8"/>
              <w:rPr>
                <w:lang w:val="es-ES_tradnl"/>
              </w:rPr>
            </w:pPr>
            <w:bookmarkStart w:id="54" w:name="_Toc336331200"/>
            <w:bookmarkStart w:id="55" w:name="_Toc336339191"/>
            <w:bookmarkStart w:id="56" w:name="_Toc368060306"/>
            <w:r w:rsidRPr="00C60FC3">
              <w:rPr>
                <w:lang w:val="es-ES_tradnl"/>
              </w:rPr>
              <w:t xml:space="preserve">a)  </w:t>
            </w:r>
            <w:bookmarkEnd w:id="54"/>
            <w:bookmarkEnd w:id="55"/>
            <w:r w:rsidRPr="00C60FC3">
              <w:rPr>
                <w:lang w:val="es-ES_tradnl"/>
              </w:rPr>
              <w:t>Aprobación de documentos TGP nuevos o revisados y material de información</w:t>
            </w:r>
            <w:bookmarkEnd w:id="56"/>
          </w:p>
          <w:p w:rsidR="00B43D13" w:rsidRPr="00C60FC3" w:rsidRDefault="00B43D13" w:rsidP="00BF2668">
            <w:pPr>
              <w:numPr>
                <w:ilvl w:val="0"/>
                <w:numId w:val="19"/>
              </w:numPr>
              <w:spacing w:after="120"/>
              <w:ind w:left="357" w:right="176" w:hanging="357"/>
              <w:jc w:val="left"/>
              <w:rPr>
                <w:i/>
                <w:color w:val="000000"/>
                <w:sz w:val="18"/>
                <w:szCs w:val="18"/>
                <w:lang w:val="es-ES_tradnl"/>
              </w:rPr>
            </w:pPr>
            <w:r w:rsidRPr="00C60FC3">
              <w:rPr>
                <w:color w:val="000000"/>
                <w:sz w:val="18"/>
                <w:szCs w:val="18"/>
                <w:lang w:val="es-ES_tradnl"/>
              </w:rPr>
              <w:t>Documentos TGP aprobados y publicados en el sitio Web de la UPOV en 2012:</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TGP/12/2</w:t>
            </w:r>
            <w:r w:rsidRPr="00C60FC3">
              <w:rPr>
                <w:sz w:val="18"/>
                <w:szCs w:val="18"/>
                <w:lang w:val="es-ES_tradnl"/>
              </w:rPr>
              <w:tab/>
              <w:t>Orientación sobre ciertos caracteres fisiológicos (revisión)</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TGP/0/5</w:t>
            </w:r>
            <w:r w:rsidRPr="00C60FC3">
              <w:rPr>
                <w:sz w:val="18"/>
                <w:szCs w:val="18"/>
                <w:lang w:val="es-ES_tradnl"/>
              </w:rPr>
              <w:tab/>
              <w:t>Lista de documentos TGP y fechas de última publicación (revisión)</w:t>
            </w:r>
          </w:p>
          <w:p w:rsidR="00B43D13" w:rsidRPr="00C60FC3" w:rsidRDefault="00B43D13" w:rsidP="00BF2668">
            <w:pPr>
              <w:numPr>
                <w:ilvl w:val="0"/>
                <w:numId w:val="19"/>
              </w:numPr>
              <w:spacing w:before="120" w:after="120"/>
              <w:ind w:left="357" w:right="176" w:hanging="357"/>
              <w:jc w:val="left"/>
              <w:rPr>
                <w:i/>
                <w:color w:val="000000"/>
                <w:sz w:val="18"/>
                <w:szCs w:val="18"/>
                <w:lang w:val="es-ES_tradnl"/>
              </w:rPr>
            </w:pPr>
            <w:r w:rsidRPr="00C60FC3">
              <w:rPr>
                <w:color w:val="000000"/>
                <w:sz w:val="18"/>
                <w:szCs w:val="18"/>
                <w:lang w:val="es-ES_tradnl"/>
              </w:rPr>
              <w:t>Proyectos de los siguientes documentos TGP cuya elaboración avanz</w:t>
            </w:r>
            <w:r w:rsidR="00594E16">
              <w:rPr>
                <w:color w:val="000000"/>
                <w:sz w:val="18"/>
                <w:szCs w:val="18"/>
                <w:lang w:val="es-ES_tradnl"/>
              </w:rPr>
              <w:t>ó</w:t>
            </w:r>
            <w:r w:rsidRPr="00C60FC3">
              <w:rPr>
                <w:color w:val="000000"/>
                <w:sz w:val="18"/>
                <w:szCs w:val="18"/>
                <w:lang w:val="es-ES_tradnl"/>
              </w:rPr>
              <w:t xml:space="preserve"> en el CAJ, el TC </w:t>
            </w:r>
            <w:r w:rsidR="00594E16">
              <w:rPr>
                <w:color w:val="000000"/>
                <w:sz w:val="18"/>
                <w:szCs w:val="18"/>
                <w:lang w:val="es-ES_tradnl"/>
              </w:rPr>
              <w:t>y/</w:t>
            </w:r>
            <w:r w:rsidRPr="00C60FC3">
              <w:rPr>
                <w:color w:val="000000"/>
                <w:sz w:val="18"/>
                <w:szCs w:val="18"/>
                <w:lang w:val="es-ES_tradnl"/>
              </w:rPr>
              <w:t>o los Grupos de Trabajo Técnico en 2012:</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TGP/7</w:t>
            </w:r>
            <w:r w:rsidRPr="00C60FC3">
              <w:rPr>
                <w:sz w:val="18"/>
                <w:szCs w:val="18"/>
                <w:lang w:val="es-ES_tradnl"/>
              </w:rPr>
              <w:tab/>
              <w:t>Elaboración de las directrices de examen (revisión)</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TGP/8</w:t>
            </w:r>
            <w:r w:rsidRPr="00C60FC3">
              <w:rPr>
                <w:sz w:val="18"/>
                <w:szCs w:val="18"/>
                <w:lang w:val="es-ES_tradnl"/>
              </w:rPr>
              <w:tab/>
              <w:t>Diseño de ensayos y técnicas utilizados en el examen de la distinción, la homogeneidad y la estabilidad (revisión)</w:t>
            </w:r>
          </w:p>
          <w:p w:rsidR="00B43D13" w:rsidRPr="00C60FC3" w:rsidRDefault="00B43D13" w:rsidP="00BF2668">
            <w:pPr>
              <w:tabs>
                <w:tab w:val="num" w:pos="2160"/>
              </w:tabs>
              <w:spacing w:after="120"/>
              <w:ind w:left="2160" w:hanging="1593"/>
              <w:jc w:val="left"/>
              <w:rPr>
                <w:sz w:val="18"/>
                <w:szCs w:val="18"/>
                <w:lang w:val="es-ES_tradnl"/>
              </w:rPr>
            </w:pPr>
            <w:r w:rsidRPr="00C60FC3">
              <w:rPr>
                <w:sz w:val="18"/>
                <w:szCs w:val="18"/>
                <w:lang w:val="es-ES_tradnl"/>
              </w:rPr>
              <w:t>TGP/14</w:t>
            </w:r>
            <w:r w:rsidRPr="00C60FC3">
              <w:rPr>
                <w:sz w:val="18"/>
                <w:szCs w:val="18"/>
                <w:lang w:val="es-ES_tradnl"/>
              </w:rPr>
              <w:tab/>
              <w:t>Glosario de términos utilizados en los documentos de la UPOV (revisión)</w:t>
            </w:r>
          </w:p>
          <w:p w:rsidR="00B43D13" w:rsidRPr="00C60FC3" w:rsidRDefault="00B43D13" w:rsidP="00BF2668">
            <w:pPr>
              <w:tabs>
                <w:tab w:val="num" w:pos="2160"/>
              </w:tabs>
              <w:ind w:left="2160" w:hanging="1593"/>
              <w:jc w:val="left"/>
              <w:rPr>
                <w:sz w:val="18"/>
                <w:szCs w:val="18"/>
                <w:lang w:val="es-ES_tradnl"/>
              </w:rPr>
            </w:pPr>
            <w:r w:rsidRPr="00C60FC3">
              <w:rPr>
                <w:sz w:val="18"/>
                <w:szCs w:val="18"/>
                <w:lang w:val="es-ES_tradnl"/>
              </w:rPr>
              <w:t>TGP/15</w:t>
            </w:r>
            <w:r w:rsidRPr="00C60FC3">
              <w:rPr>
                <w:sz w:val="18"/>
                <w:szCs w:val="18"/>
                <w:lang w:val="es-ES_tradnl"/>
              </w:rPr>
              <w:tab/>
            </w:r>
            <w:r w:rsidRPr="00C60FC3">
              <w:rPr>
                <w:strike/>
                <w:sz w:val="18"/>
                <w:szCs w:val="18"/>
                <w:lang w:val="es-ES_tradnl"/>
              </w:rPr>
              <w:t>[Nuevos tipos de caracteres]</w:t>
            </w:r>
            <w:r w:rsidRPr="00C60FC3">
              <w:rPr>
                <w:sz w:val="18"/>
                <w:szCs w:val="18"/>
                <w:lang w:val="es-ES_tradnl"/>
              </w:rPr>
              <w:t xml:space="preserve"> [Orientación sobre el uso de marcadores bioquímicos y moleculares en el examen de la distinción, la homogeneidad y la estabilidad (DHE)]</w:t>
            </w:r>
          </w:p>
          <w:p w:rsidR="00B43D13" w:rsidRPr="00C60FC3" w:rsidRDefault="00B43D13" w:rsidP="00BF2668">
            <w:pPr>
              <w:numPr>
                <w:ilvl w:val="0"/>
                <w:numId w:val="19"/>
              </w:numPr>
              <w:tabs>
                <w:tab w:val="num" w:pos="2160"/>
              </w:tabs>
              <w:spacing w:before="120" w:after="120"/>
              <w:ind w:left="357" w:right="176" w:hanging="357"/>
              <w:jc w:val="left"/>
              <w:rPr>
                <w:i/>
                <w:color w:val="000000"/>
                <w:sz w:val="18"/>
                <w:szCs w:val="18"/>
                <w:lang w:val="es-ES_tradnl"/>
              </w:rPr>
            </w:pPr>
            <w:r w:rsidRPr="00C60FC3">
              <w:rPr>
                <w:color w:val="000000"/>
                <w:sz w:val="18"/>
                <w:szCs w:val="18"/>
                <w:lang w:val="es-ES_tradnl"/>
              </w:rPr>
              <w:t>Proyectos de los siguientes documentos de inf</w:t>
            </w:r>
            <w:r w:rsidR="00594E16">
              <w:rPr>
                <w:color w:val="000000"/>
                <w:sz w:val="18"/>
                <w:szCs w:val="18"/>
                <w:lang w:val="es-ES_tradnl"/>
              </w:rPr>
              <w:t>ormación cuya elaboración avanzó</w:t>
            </w:r>
            <w:r w:rsidRPr="00C60FC3">
              <w:rPr>
                <w:color w:val="000000"/>
                <w:sz w:val="18"/>
                <w:szCs w:val="18"/>
                <w:lang w:val="es-ES_tradnl"/>
              </w:rPr>
              <w:t xml:space="preserve"> en el CAJ, el TC </w:t>
            </w:r>
            <w:r w:rsidR="00594E16">
              <w:rPr>
                <w:color w:val="000000"/>
                <w:sz w:val="18"/>
                <w:szCs w:val="18"/>
                <w:lang w:val="es-ES_tradnl"/>
              </w:rPr>
              <w:t>y/</w:t>
            </w:r>
            <w:r w:rsidRPr="00C60FC3">
              <w:rPr>
                <w:color w:val="000000"/>
                <w:sz w:val="18"/>
                <w:szCs w:val="18"/>
                <w:lang w:val="es-ES_tradnl"/>
              </w:rPr>
              <w:t>o los Grupos de Trabajo Técnico en 2012:</w:t>
            </w:r>
          </w:p>
          <w:p w:rsidR="00B43D13" w:rsidRPr="00C60FC3" w:rsidRDefault="00B43D13" w:rsidP="00BF2668">
            <w:pPr>
              <w:tabs>
                <w:tab w:val="num" w:pos="2160"/>
              </w:tabs>
              <w:spacing w:after="120"/>
              <w:ind w:left="2160" w:hanging="1593"/>
              <w:jc w:val="left"/>
              <w:rPr>
                <w:color w:val="000000"/>
                <w:sz w:val="18"/>
                <w:szCs w:val="18"/>
                <w:lang w:val="es-ES_tradnl"/>
              </w:rPr>
            </w:pPr>
            <w:r w:rsidRPr="00C60FC3">
              <w:rPr>
                <w:color w:val="000000"/>
                <w:sz w:val="18"/>
                <w:szCs w:val="18"/>
                <w:lang w:val="es-ES_tradnl"/>
              </w:rPr>
              <w:t>UPOV/INF/12</w:t>
            </w:r>
            <w:r w:rsidRPr="00C60FC3">
              <w:rPr>
                <w:color w:val="000000"/>
                <w:sz w:val="18"/>
                <w:szCs w:val="18"/>
                <w:lang w:val="es-ES_tradnl"/>
              </w:rPr>
              <w:tab/>
            </w:r>
            <w:r w:rsidRPr="00C60FC3">
              <w:rPr>
                <w:sz w:val="18"/>
                <w:szCs w:val="18"/>
                <w:lang w:val="es-ES_tradnl"/>
              </w:rPr>
              <w:t>Notas explicativas sobre las denominaciones de variedades con arreglo al Convenio de la UPOV (revisión)</w:t>
            </w:r>
          </w:p>
          <w:p w:rsidR="00B43D13" w:rsidRPr="00C60FC3" w:rsidRDefault="00B43D13" w:rsidP="00BF2668">
            <w:pPr>
              <w:tabs>
                <w:tab w:val="num" w:pos="2160"/>
              </w:tabs>
              <w:spacing w:after="120"/>
              <w:ind w:left="2160" w:hanging="1593"/>
              <w:jc w:val="left"/>
              <w:rPr>
                <w:color w:val="000000"/>
                <w:sz w:val="18"/>
                <w:szCs w:val="18"/>
                <w:lang w:val="es-ES_tradnl"/>
              </w:rPr>
            </w:pPr>
            <w:r w:rsidRPr="00C60FC3">
              <w:rPr>
                <w:color w:val="000000"/>
                <w:sz w:val="18"/>
                <w:szCs w:val="18"/>
                <w:lang w:val="es-ES_tradnl"/>
              </w:rPr>
              <w:t>UPOV/INF/16</w:t>
            </w:r>
            <w:r w:rsidRPr="00C60FC3">
              <w:rPr>
                <w:color w:val="000000"/>
                <w:sz w:val="18"/>
                <w:szCs w:val="18"/>
                <w:lang w:val="es-ES_tradnl"/>
              </w:rPr>
              <w:tab/>
              <w:t xml:space="preserve">Programas informáticos para intercambio </w:t>
            </w:r>
            <w:r w:rsidRPr="00C60FC3">
              <w:rPr>
                <w:sz w:val="18"/>
                <w:szCs w:val="18"/>
                <w:lang w:val="es-ES_tradnl"/>
              </w:rPr>
              <w:t>(</w:t>
            </w:r>
            <w:r w:rsidRPr="00C60FC3">
              <w:rPr>
                <w:color w:val="000000"/>
                <w:sz w:val="18"/>
                <w:szCs w:val="18"/>
                <w:lang w:val="es-ES_tradnl"/>
              </w:rPr>
              <w:t>revisión)</w:t>
            </w: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lang w:val="es-ES_tradnl"/>
              </w:rPr>
            </w:pPr>
            <w:bookmarkStart w:id="57" w:name="_Toc368060307"/>
            <w:r w:rsidRPr="00C60FC3">
              <w:rPr>
                <w:lang w:val="es-ES_tradnl"/>
              </w:rPr>
              <w:t>b)  Adopción de directrices de examen nuevas o revisadas</w:t>
            </w:r>
            <w:bookmarkEnd w:id="57"/>
          </w:p>
          <w:p w:rsidR="00B43D13" w:rsidRPr="00C60FC3" w:rsidRDefault="00B43D13" w:rsidP="00BF2668">
            <w:pPr>
              <w:spacing w:after="120"/>
              <w:jc w:val="left"/>
              <w:rPr>
                <w:i/>
                <w:sz w:val="18"/>
                <w:szCs w:val="18"/>
                <w:lang w:val="es-ES_tradnl"/>
              </w:rPr>
            </w:pPr>
            <w:r w:rsidRPr="00C60FC3">
              <w:rPr>
                <w:i/>
                <w:sz w:val="18"/>
                <w:szCs w:val="18"/>
                <w:lang w:val="es-ES_tradnl"/>
              </w:rPr>
              <w:t>Directrices de examen aprobadas</w:t>
            </w:r>
          </w:p>
          <w:p w:rsidR="00B43D13" w:rsidRPr="00C60FC3" w:rsidRDefault="00B43D13" w:rsidP="00BF2668">
            <w:pPr>
              <w:spacing w:after="120"/>
              <w:jc w:val="left"/>
              <w:rPr>
                <w:sz w:val="18"/>
                <w:szCs w:val="18"/>
                <w:lang w:val="es-ES_tradnl"/>
              </w:rPr>
            </w:pPr>
            <w:r w:rsidRPr="00C60FC3">
              <w:rPr>
                <w:sz w:val="18"/>
                <w:szCs w:val="18"/>
                <w:lang w:val="es-ES_tradnl"/>
              </w:rPr>
              <w:t xml:space="preserve">En 2012, las directrices de examen aprobadas abarcaban el 90% de los géneros y especies vegetales que figuran como protegidos por derecho de obtentor en la </w:t>
            </w:r>
            <w:r w:rsidR="00594E16" w:rsidRPr="00C60FC3">
              <w:rPr>
                <w:sz w:val="18"/>
                <w:szCs w:val="18"/>
                <w:lang w:val="es-ES_tradnl"/>
              </w:rPr>
              <w:t xml:space="preserve">Base </w:t>
            </w:r>
            <w:r w:rsidRPr="00C60FC3">
              <w:rPr>
                <w:sz w:val="18"/>
                <w:szCs w:val="18"/>
                <w:lang w:val="es-ES_tradnl"/>
              </w:rPr>
              <w:t xml:space="preserve">de datos </w:t>
            </w:r>
            <w:r w:rsidR="00594E16">
              <w:rPr>
                <w:sz w:val="18"/>
                <w:szCs w:val="18"/>
                <w:lang w:val="es-ES_tradnl"/>
              </w:rPr>
              <w:t xml:space="preserve">sobre </w:t>
            </w:r>
            <w:r w:rsidRPr="00C60FC3">
              <w:rPr>
                <w:sz w:val="18"/>
                <w:szCs w:val="18"/>
                <w:lang w:val="es-ES_tradnl"/>
              </w:rPr>
              <w:t>variedades vegetales (207.235 de 236.107).</w:t>
            </w:r>
          </w:p>
          <w:p w:rsidR="00B43D13" w:rsidRPr="00C60FC3" w:rsidRDefault="00B43D13" w:rsidP="00BF2668">
            <w:pPr>
              <w:numPr>
                <w:ilvl w:val="0"/>
                <w:numId w:val="21"/>
              </w:numPr>
              <w:tabs>
                <w:tab w:val="num" w:pos="318"/>
              </w:tabs>
              <w:spacing w:after="120"/>
              <w:ind w:left="357" w:hanging="357"/>
              <w:jc w:val="left"/>
              <w:rPr>
                <w:i/>
                <w:color w:val="000000"/>
                <w:sz w:val="18"/>
                <w:szCs w:val="18"/>
                <w:lang w:val="es-ES_tradnl"/>
              </w:rPr>
            </w:pPr>
            <w:r w:rsidRPr="00C60FC3">
              <w:rPr>
                <w:color w:val="000000"/>
                <w:sz w:val="18"/>
                <w:szCs w:val="18"/>
                <w:lang w:val="es-ES_tradnl"/>
              </w:rPr>
              <w:t xml:space="preserve">16 directrices de examen aprobadas por el Comité Técnico, a saber: </w:t>
            </w:r>
          </w:p>
          <w:p w:rsidR="00B43D13" w:rsidRPr="00C60FC3" w:rsidRDefault="00B43D13" w:rsidP="00BF2668">
            <w:pPr>
              <w:spacing w:after="60"/>
              <w:ind w:left="743" w:hanging="386"/>
              <w:jc w:val="left"/>
              <w:rPr>
                <w:i/>
                <w:color w:val="000000"/>
                <w:sz w:val="18"/>
                <w:szCs w:val="18"/>
                <w:lang w:val="es-ES_tradnl"/>
              </w:rPr>
            </w:pPr>
            <w:r w:rsidRPr="00C60FC3">
              <w:rPr>
                <w:color w:val="000000"/>
                <w:sz w:val="18"/>
                <w:szCs w:val="18"/>
                <w:lang w:val="es-ES_tradnl"/>
              </w:rPr>
              <w:t>–</w:t>
            </w:r>
            <w:r w:rsidRPr="00C60FC3">
              <w:rPr>
                <w:color w:val="000000"/>
                <w:sz w:val="18"/>
                <w:szCs w:val="18"/>
                <w:lang w:val="es-ES_tradnl"/>
              </w:rPr>
              <w:tab/>
              <w:t>8 nuevas directrices de examen:  TWA (2),  TWF</w:t>
            </w:r>
            <w:r w:rsidR="00594E16">
              <w:rPr>
                <w:color w:val="000000"/>
                <w:sz w:val="18"/>
                <w:szCs w:val="18"/>
                <w:lang w:val="es-ES_tradnl"/>
              </w:rPr>
              <w:t xml:space="preserve"> (1), TWO (3), TWO/TWV (1), TWV (1) </w:t>
            </w:r>
            <w:r w:rsidRPr="00C60FC3">
              <w:rPr>
                <w:color w:val="000000"/>
                <w:sz w:val="18"/>
                <w:szCs w:val="18"/>
                <w:lang w:val="es-ES_tradnl"/>
              </w:rPr>
              <w:t>elaboradas por expertos principales de:  DE (1), FR (1), GB (1), GB/PL (1), JP (3), NL (1)</w:t>
            </w:r>
          </w:p>
          <w:p w:rsidR="00B43D13" w:rsidRPr="00C60FC3" w:rsidRDefault="00B43D13" w:rsidP="00BF2668">
            <w:pPr>
              <w:spacing w:after="120"/>
              <w:ind w:left="743" w:hanging="386"/>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t>4 revisiones de directrices de examen:  TWA (1), TWF (1), TWV (2)</w:t>
            </w:r>
          </w:p>
          <w:p w:rsidR="00B43D13" w:rsidRPr="00C60FC3" w:rsidRDefault="00B43D13" w:rsidP="00594E16">
            <w:pPr>
              <w:spacing w:after="120"/>
              <w:ind w:left="743" w:hanging="386"/>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t>4 revisiones parciales de directrices de examen:</w:t>
            </w:r>
            <w:r w:rsidR="00594E16">
              <w:rPr>
                <w:color w:val="000000"/>
                <w:sz w:val="18"/>
                <w:szCs w:val="18"/>
                <w:lang w:val="es-ES_tradnl"/>
              </w:rPr>
              <w:t xml:space="preserve">  TWF (1), TWO (2), TWV/TWA (1)</w:t>
            </w:r>
          </w:p>
        </w:tc>
      </w:tr>
    </w:tbl>
    <w:p w:rsidR="00B43D13" w:rsidRPr="00C60FC3" w:rsidRDefault="00B43D13" w:rsidP="00BF2668">
      <w:pPr>
        <w:rPr>
          <w:lang w:val="es-ES_tradnl"/>
        </w:rPr>
      </w:pPr>
    </w:p>
    <w:p w:rsidR="00B43D13" w:rsidRDefault="00B43D13" w:rsidP="00BF2668">
      <w:pPr>
        <w:pStyle w:val="Heading9"/>
        <w:keepNext w:val="0"/>
        <w:rPr>
          <w:lang w:val="es-ES_tradnl"/>
        </w:rPr>
      </w:pPr>
      <w:bookmarkStart w:id="58" w:name="_Toc336331201"/>
      <w:bookmarkStart w:id="59" w:name="_Toc336339192"/>
      <w:bookmarkStart w:id="60" w:name="_Toc368060308"/>
      <w:r w:rsidRPr="00C60FC3">
        <w:rPr>
          <w:lang w:val="es-ES_tradnl"/>
        </w:rPr>
        <w:t xml:space="preserve">Figura 1.  </w:t>
      </w:r>
      <w:bookmarkEnd w:id="58"/>
      <w:bookmarkEnd w:id="59"/>
      <w:r w:rsidRPr="00C60FC3">
        <w:rPr>
          <w:lang w:val="es-ES_tradnl"/>
        </w:rPr>
        <w:t>Aprobación de directrices de examen</w:t>
      </w:r>
      <w:bookmarkEnd w:id="60"/>
    </w:p>
    <w:p w:rsidR="00715588" w:rsidRPr="00715588" w:rsidRDefault="00C03801" w:rsidP="00C03801">
      <w:pPr>
        <w:jc w:val="center"/>
        <w:rPr>
          <w:lang w:val="es-ES_tradnl"/>
        </w:rPr>
      </w:pPr>
      <w:r>
        <w:rPr>
          <w:noProof/>
        </w:rPr>
        <w:drawing>
          <wp:inline distT="0" distB="0" distL="0" distR="0" wp14:anchorId="3BC89A69" wp14:editId="1FF5F214">
            <wp:extent cx="5895975" cy="39528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43D13" w:rsidRPr="00C60FC3" w:rsidRDefault="00B43D13" w:rsidP="00BF2668">
      <w:pPr>
        <w:jc w:val="center"/>
        <w:rPr>
          <w:sz w:val="18"/>
          <w:szCs w:val="18"/>
          <w:lang w:val="es-ES_tradnl"/>
        </w:rPr>
      </w:pPr>
      <w:bookmarkStart w:id="61" w:name="_MON_1408341730"/>
      <w:bookmarkStart w:id="62" w:name="_MON_1408341808"/>
      <w:bookmarkStart w:id="63" w:name="_MON_1408341824"/>
      <w:bookmarkStart w:id="64" w:name="_MON_1408341843"/>
      <w:bookmarkStart w:id="65" w:name="_MON_1408343081"/>
      <w:bookmarkStart w:id="66" w:name="_MON_1410072216"/>
      <w:bookmarkStart w:id="67" w:name="_MON_1410072320"/>
      <w:bookmarkStart w:id="68" w:name="_MON_1408286331"/>
      <w:bookmarkStart w:id="69" w:name="_MON_1408286359"/>
      <w:bookmarkStart w:id="70" w:name="_MON_1408286405"/>
      <w:bookmarkStart w:id="71" w:name="_MON_1408340787"/>
      <w:bookmarkStart w:id="72" w:name="_MON_1408340820"/>
      <w:bookmarkEnd w:id="61"/>
      <w:bookmarkEnd w:id="62"/>
      <w:bookmarkEnd w:id="63"/>
      <w:bookmarkEnd w:id="64"/>
      <w:bookmarkEnd w:id="65"/>
      <w:bookmarkEnd w:id="66"/>
      <w:bookmarkEnd w:id="67"/>
      <w:bookmarkEnd w:id="68"/>
      <w:bookmarkEnd w:id="69"/>
      <w:bookmarkEnd w:id="70"/>
      <w:bookmarkEnd w:id="71"/>
      <w:bookmarkEnd w:id="72"/>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spacing w:after="24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jc w:val="left"/>
              <w:rPr>
                <w:i/>
                <w:lang w:val="es-ES_tradnl"/>
              </w:rPr>
            </w:pPr>
            <w:r w:rsidRPr="00C60FC3">
              <w:rPr>
                <w:i/>
                <w:sz w:val="18"/>
                <w:szCs w:val="18"/>
                <w:lang w:val="es-ES_tradnl"/>
              </w:rPr>
              <w:t>2.  Orientación sobre el examen de las variedades</w:t>
            </w:r>
            <w:r w:rsidRPr="00C60FC3">
              <w:rPr>
                <w:sz w:val="18"/>
                <w:szCs w:val="18"/>
                <w:lang w:val="es-ES_tradnl"/>
              </w:rPr>
              <w:t xml:space="preserve"> (continuación)</w:t>
            </w:r>
          </w:p>
        </w:tc>
        <w:tc>
          <w:tcPr>
            <w:tcW w:w="7796" w:type="dxa"/>
          </w:tcPr>
          <w:p w:rsidR="00B43D13" w:rsidRPr="00C60FC3" w:rsidRDefault="00B43D13" w:rsidP="00BF2668">
            <w:pPr>
              <w:spacing w:after="120"/>
              <w:jc w:val="left"/>
              <w:rPr>
                <w:i/>
                <w:color w:val="000000"/>
                <w:sz w:val="18"/>
                <w:szCs w:val="18"/>
                <w:lang w:val="es-ES_tradnl"/>
              </w:rPr>
            </w:pPr>
            <w:r w:rsidRPr="00C60FC3">
              <w:rPr>
                <w:i/>
                <w:color w:val="000000"/>
                <w:sz w:val="18"/>
                <w:szCs w:val="18"/>
                <w:lang w:val="es-ES_tradnl"/>
              </w:rPr>
              <w:t>Directrices de examen cuya elaboración avanza en los Grupos de Trabajo Técnico</w:t>
            </w:r>
          </w:p>
          <w:p w:rsidR="00B43D13" w:rsidRPr="00C60FC3" w:rsidRDefault="00B43D13" w:rsidP="00BF2668">
            <w:pPr>
              <w:numPr>
                <w:ilvl w:val="0"/>
                <w:numId w:val="21"/>
              </w:numPr>
              <w:tabs>
                <w:tab w:val="num" w:pos="318"/>
              </w:tabs>
              <w:spacing w:after="120"/>
              <w:ind w:left="357" w:hanging="357"/>
              <w:jc w:val="left"/>
              <w:rPr>
                <w:i/>
                <w:color w:val="000000"/>
                <w:sz w:val="18"/>
                <w:szCs w:val="18"/>
                <w:lang w:val="es-ES_tradnl"/>
              </w:rPr>
            </w:pPr>
            <w:r w:rsidRPr="00C60FC3">
              <w:rPr>
                <w:color w:val="000000"/>
                <w:sz w:val="18"/>
                <w:szCs w:val="18"/>
                <w:lang w:val="es-ES_tradnl"/>
              </w:rPr>
              <w:t>59 proyectos de directrices de examen cuya elaboración avanzó en los Grupos de Trabajo Técnico, a saber:</w:t>
            </w:r>
          </w:p>
          <w:p w:rsidR="00B43D13" w:rsidRPr="00C60FC3" w:rsidRDefault="00B43D13" w:rsidP="00BF2668">
            <w:pPr>
              <w:spacing w:after="60"/>
              <w:ind w:left="743" w:hanging="386"/>
              <w:jc w:val="left"/>
              <w:rPr>
                <w:i/>
                <w:color w:val="000000"/>
                <w:sz w:val="18"/>
                <w:szCs w:val="18"/>
                <w:lang w:val="es-ES_tradnl"/>
              </w:rPr>
            </w:pPr>
            <w:r w:rsidRPr="00C60FC3">
              <w:rPr>
                <w:color w:val="000000"/>
                <w:sz w:val="18"/>
                <w:szCs w:val="18"/>
                <w:lang w:val="es-ES_tradnl"/>
              </w:rPr>
              <w:t>–</w:t>
            </w:r>
            <w:r w:rsidRPr="00C60FC3">
              <w:rPr>
                <w:color w:val="000000"/>
                <w:sz w:val="18"/>
                <w:szCs w:val="18"/>
                <w:lang w:val="es-ES_tradnl"/>
              </w:rPr>
              <w:tab/>
            </w:r>
            <w:r w:rsidRPr="00C60FC3">
              <w:rPr>
                <w:sz w:val="18"/>
                <w:szCs w:val="18"/>
                <w:lang w:val="es-ES_tradnl"/>
              </w:rPr>
              <w:t>36 nuevas directrices de examen:</w:t>
            </w:r>
            <w:r w:rsidRPr="00C60FC3">
              <w:rPr>
                <w:color w:val="000000"/>
                <w:sz w:val="18"/>
                <w:szCs w:val="18"/>
                <w:lang w:val="es-ES_tradnl"/>
              </w:rPr>
              <w:t xml:space="preserve">  TWA (8), TWA/TWV (1), TWF (8), TWO (15), TWV (4)</w:t>
            </w:r>
          </w:p>
          <w:p w:rsidR="00B43D13" w:rsidRPr="00C60FC3" w:rsidRDefault="00B43D13" w:rsidP="00BF2668">
            <w:pPr>
              <w:tabs>
                <w:tab w:val="left" w:pos="756"/>
                <w:tab w:val="left" w:pos="2444"/>
              </w:tabs>
              <w:spacing w:after="60"/>
              <w:ind w:left="2444" w:hanging="2087"/>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t>16 revisiones:  TWA (5), TWF (2), TWO (4), TWV (5)</w:t>
            </w:r>
          </w:p>
          <w:p w:rsidR="00B43D13" w:rsidRPr="00C60FC3" w:rsidRDefault="00B43D13" w:rsidP="00BF2668">
            <w:pPr>
              <w:tabs>
                <w:tab w:val="left" w:pos="756"/>
                <w:tab w:val="left" w:pos="2444"/>
              </w:tabs>
              <w:spacing w:after="120"/>
              <w:ind w:left="2444" w:hanging="2087"/>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t xml:space="preserve">7 revisiones parciales:  TWF (3), TWO (1), TWV (3) </w:t>
            </w:r>
          </w:p>
        </w:tc>
      </w:tr>
      <w:tr w:rsidR="00B43D13" w:rsidRPr="00C60FC3" w:rsidTr="0091418C">
        <w:trPr>
          <w:cantSplit/>
        </w:trPr>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i w:val="0"/>
                <w:szCs w:val="18"/>
                <w:lang w:val="es-ES_tradnl"/>
              </w:rPr>
            </w:pPr>
            <w:bookmarkStart w:id="73" w:name="_Toc368060309"/>
            <w:r w:rsidRPr="00C60FC3">
              <w:rPr>
                <w:szCs w:val="18"/>
                <w:lang w:val="es-ES_tradnl"/>
              </w:rPr>
              <w:t>c)  Participación en seminarios y simposios celebrados en Ginebra en paralelo con las sesiones de los órganos de la UPOV</w:t>
            </w:r>
            <w:bookmarkEnd w:id="73"/>
          </w:p>
          <w:p w:rsidR="00B43D13" w:rsidRPr="00C60FC3" w:rsidRDefault="00B43D13" w:rsidP="00BF2668">
            <w:pPr>
              <w:numPr>
                <w:ilvl w:val="0"/>
                <w:numId w:val="19"/>
              </w:numPr>
              <w:spacing w:after="120"/>
              <w:ind w:right="176"/>
              <w:jc w:val="left"/>
              <w:rPr>
                <w:sz w:val="18"/>
                <w:szCs w:val="18"/>
                <w:lang w:val="es-ES_tradnl"/>
              </w:rPr>
            </w:pPr>
            <w:r w:rsidRPr="00C60FC3">
              <w:rPr>
                <w:sz w:val="18"/>
                <w:szCs w:val="18"/>
                <w:lang w:val="es-ES_tradnl"/>
              </w:rPr>
              <w:t>Debate sobre experiencias de miembros de la Unión en torno a las medidas adoptadas para mejorar la eficiencia y la eficacia del examen DHE</w:t>
            </w:r>
          </w:p>
          <w:p w:rsidR="00B43D13" w:rsidRPr="00C60FC3" w:rsidRDefault="00B43D13" w:rsidP="00BF2668">
            <w:pPr>
              <w:ind w:left="360"/>
              <w:jc w:val="left"/>
              <w:rPr>
                <w:sz w:val="18"/>
                <w:szCs w:val="18"/>
                <w:lang w:val="es-ES_tradnl"/>
              </w:rPr>
            </w:pPr>
            <w:r w:rsidRPr="00C60FC3">
              <w:rPr>
                <w:sz w:val="18"/>
                <w:szCs w:val="18"/>
                <w:lang w:val="es-ES_tradnl"/>
              </w:rPr>
              <w:t>89 participantes en representación de 42 miembros de la Unión, 4 Estados observadores y 5 organizaciones observadoras</w:t>
            </w:r>
          </w:p>
          <w:p w:rsidR="00B43D13" w:rsidRPr="00C60FC3" w:rsidRDefault="00B43D13" w:rsidP="00BF2668">
            <w:pPr>
              <w:ind w:left="360"/>
              <w:jc w:val="left"/>
              <w:rPr>
                <w:sz w:val="18"/>
                <w:szCs w:val="18"/>
                <w:lang w:val="es-ES_tradnl"/>
              </w:rPr>
            </w:pPr>
          </w:p>
        </w:tc>
      </w:tr>
    </w:tbl>
    <w:p w:rsidR="00B43D13" w:rsidRPr="00C60FC3" w:rsidRDefault="00B43D13" w:rsidP="00BF2668">
      <w:pPr>
        <w:rPr>
          <w:lang w:val="es-ES_tradnl"/>
        </w:rPr>
      </w:pPr>
    </w:p>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74" w:name="_Toc368060310"/>
            <w:r w:rsidRPr="00C60FC3">
              <w:rPr>
                <w:lang w:val="es-ES_tradnl"/>
              </w:rPr>
              <w:t>3.  Cooperación en materia de examen de variedades vegetales para la obtención de derechos de obtentor</w:t>
            </w:r>
            <w:bookmarkEnd w:id="74"/>
          </w:p>
        </w:tc>
        <w:tc>
          <w:tcPr>
            <w:tcW w:w="7796" w:type="dxa"/>
          </w:tcPr>
          <w:p w:rsidR="00B43D13" w:rsidRPr="00C60FC3" w:rsidRDefault="00B43D13" w:rsidP="00BF2668">
            <w:pPr>
              <w:pStyle w:val="Heading8"/>
              <w:rPr>
                <w:lang w:val="es-ES_tradnl"/>
              </w:rPr>
            </w:pPr>
            <w:bookmarkStart w:id="75" w:name="_Toc368060311"/>
            <w:r w:rsidRPr="00C60FC3">
              <w:rPr>
                <w:lang w:val="es-ES_tradnl"/>
              </w:rPr>
              <w:t>a)  Géneros y especies vegetales respecto de los cuales los miembros de la Unión poseen experiencia práctica</w:t>
            </w:r>
            <w:bookmarkEnd w:id="75"/>
          </w:p>
          <w:p w:rsidR="00B43D13" w:rsidRPr="00C60FC3" w:rsidRDefault="00B43D13" w:rsidP="00BF2668">
            <w:pPr>
              <w:jc w:val="left"/>
              <w:rPr>
                <w:sz w:val="18"/>
                <w:szCs w:val="18"/>
                <w:lang w:val="es-ES_tradnl"/>
              </w:rPr>
            </w:pPr>
            <w:r w:rsidRPr="00C60FC3">
              <w:rPr>
                <w:sz w:val="18"/>
                <w:szCs w:val="18"/>
                <w:lang w:val="es-ES_tradnl"/>
              </w:rPr>
              <w:t>La experiencia práctica en el examen DHE cubría aproximadamente 2.726 géneros o especies en 2012 (2.679 en 2011;  2.254 en 2010) (véase el documento TC/48/4).</w:t>
            </w:r>
          </w:p>
          <w:p w:rsidR="00B43D13" w:rsidRPr="00C60FC3" w:rsidRDefault="00B43D13" w:rsidP="00BF2668">
            <w:pPr>
              <w:jc w:val="left"/>
              <w:rPr>
                <w:sz w:val="18"/>
                <w:szCs w:val="18"/>
                <w:lang w:val="es-ES_tradnl"/>
              </w:rPr>
            </w:pP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rHeight w:val="584"/>
        </w:trPr>
        <w:tc>
          <w:tcPr>
            <w:tcW w:w="2093" w:type="dxa"/>
          </w:tcPr>
          <w:p w:rsidR="00B43D13" w:rsidRPr="00C60FC3" w:rsidRDefault="00B43D13" w:rsidP="00936D47">
            <w:pPr>
              <w:keepNext/>
              <w:jc w:val="left"/>
              <w:rPr>
                <w:sz w:val="18"/>
                <w:szCs w:val="18"/>
                <w:lang w:val="es-ES_tradnl"/>
              </w:rPr>
            </w:pPr>
            <w:bookmarkStart w:id="76" w:name="OLE_LINK6"/>
            <w:bookmarkStart w:id="77" w:name="OLE_LINK7"/>
            <w:r w:rsidRPr="00C60FC3">
              <w:rPr>
                <w:b/>
                <w:sz w:val="18"/>
                <w:szCs w:val="18"/>
                <w:lang w:val="es-ES_tradnl"/>
              </w:rPr>
              <w:t>Resultados previstos</w:t>
            </w:r>
          </w:p>
        </w:tc>
        <w:tc>
          <w:tcPr>
            <w:tcW w:w="7796" w:type="dxa"/>
          </w:tcPr>
          <w:p w:rsidR="00B43D13" w:rsidRPr="00C60FC3" w:rsidRDefault="00B43D13" w:rsidP="00936D47">
            <w:pPr>
              <w:keepNext/>
              <w:jc w:val="left"/>
              <w:rPr>
                <w:b/>
                <w:sz w:val="18"/>
                <w:szCs w:val="18"/>
                <w:lang w:val="es-ES_tradnl"/>
              </w:rPr>
            </w:pPr>
            <w:r w:rsidRPr="00C60FC3">
              <w:rPr>
                <w:b/>
                <w:sz w:val="18"/>
                <w:szCs w:val="18"/>
                <w:lang w:val="es-ES_tradnl"/>
              </w:rPr>
              <w:t>Resultados alcanzados:  indicadores de rendimiento</w:t>
            </w:r>
          </w:p>
          <w:p w:rsidR="00B43D13" w:rsidRPr="00C60FC3" w:rsidRDefault="00B43D13" w:rsidP="00936D47">
            <w:pPr>
              <w:keepNext/>
              <w:jc w:val="left"/>
              <w:rPr>
                <w:b/>
                <w:sz w:val="18"/>
                <w:szCs w:val="18"/>
                <w:lang w:val="es-ES_tradnl"/>
              </w:rPr>
            </w:pPr>
          </w:p>
        </w:tc>
      </w:tr>
      <w:bookmarkEnd w:id="76"/>
      <w:bookmarkEnd w:id="77"/>
      <w:tr w:rsidR="00B43D13" w:rsidRPr="00C60FC3" w:rsidTr="0091418C">
        <w:trPr>
          <w:cantSplit/>
        </w:trPr>
        <w:tc>
          <w:tcPr>
            <w:tcW w:w="2093" w:type="dxa"/>
          </w:tcPr>
          <w:p w:rsidR="00B43D13" w:rsidRPr="00C60FC3" w:rsidRDefault="00B43D13" w:rsidP="00BF2668">
            <w:pPr>
              <w:jc w:val="left"/>
              <w:rPr>
                <w:sz w:val="18"/>
                <w:szCs w:val="18"/>
                <w:lang w:val="es-ES_tradnl"/>
              </w:rPr>
            </w:pPr>
            <w:r w:rsidRPr="00C60FC3">
              <w:rPr>
                <w:i/>
                <w:sz w:val="18"/>
                <w:szCs w:val="18"/>
                <w:lang w:val="es-ES_tradnl"/>
              </w:rPr>
              <w:t xml:space="preserve">3.  Cooperación en materia de examen de variedades vegetales para la obtención de derechos de obtentor </w:t>
            </w:r>
            <w:r w:rsidRPr="00C60FC3">
              <w:rPr>
                <w:sz w:val="18"/>
                <w:szCs w:val="18"/>
                <w:lang w:val="es-ES_tradnl"/>
              </w:rPr>
              <w:t>(continuación)</w:t>
            </w:r>
          </w:p>
        </w:tc>
        <w:tc>
          <w:tcPr>
            <w:tcW w:w="7796" w:type="dxa"/>
          </w:tcPr>
          <w:p w:rsidR="00B43D13" w:rsidRPr="00C60FC3" w:rsidRDefault="00B43D13" w:rsidP="00BF2668">
            <w:pPr>
              <w:pStyle w:val="Heading8"/>
              <w:rPr>
                <w:lang w:val="es-ES_tradnl"/>
              </w:rPr>
            </w:pPr>
            <w:bookmarkStart w:id="78" w:name="_Toc368060312"/>
            <w:r w:rsidRPr="00C60FC3">
              <w:rPr>
                <w:lang w:val="es-ES_tradnl"/>
              </w:rPr>
              <w:t>b)  Géneros y especies vegetales respecto de los cuales los miembros de la Unión cooperan en el examen DHE, según se indica en la base de datos GENIE</w:t>
            </w:r>
            <w:bookmarkEnd w:id="78"/>
          </w:p>
          <w:p w:rsidR="00B43D13" w:rsidRPr="00C60FC3" w:rsidRDefault="00B43D13" w:rsidP="00BF2668">
            <w:pPr>
              <w:pStyle w:val="Heading8"/>
              <w:rPr>
                <w:lang w:val="es-ES_tradnl"/>
              </w:rPr>
            </w:pPr>
            <w:bookmarkStart w:id="79" w:name="_Toc336339236"/>
            <w:bookmarkStart w:id="80" w:name="_Toc336613838"/>
            <w:bookmarkStart w:id="81" w:name="_Toc368060313"/>
            <w:r w:rsidRPr="00C60FC3">
              <w:rPr>
                <w:lang w:val="es-ES_tradnl"/>
              </w:rPr>
              <w:t xml:space="preserve">-  </w:t>
            </w:r>
            <w:bookmarkEnd w:id="79"/>
            <w:bookmarkEnd w:id="80"/>
            <w:r w:rsidRPr="00C60FC3">
              <w:rPr>
                <w:lang w:val="es-ES_tradnl"/>
              </w:rPr>
              <w:t>Cooperación general</w:t>
            </w:r>
            <w:bookmarkEnd w:id="81"/>
            <w:r w:rsidRPr="00C60FC3">
              <w:rPr>
                <w:lang w:val="es-ES_tradnl"/>
              </w:rPr>
              <w:t xml:space="preserve"> </w:t>
            </w:r>
          </w:p>
          <w:p w:rsidR="00B43D13" w:rsidRPr="00C60FC3" w:rsidRDefault="00B43D13" w:rsidP="00BF2668">
            <w:pPr>
              <w:spacing w:after="120"/>
              <w:jc w:val="left"/>
              <w:rPr>
                <w:color w:val="000000"/>
                <w:sz w:val="18"/>
                <w:szCs w:val="18"/>
                <w:lang w:val="es-ES_tradnl"/>
              </w:rPr>
            </w:pPr>
            <w:r w:rsidRPr="00C60FC3">
              <w:rPr>
                <w:color w:val="000000"/>
                <w:sz w:val="18"/>
                <w:szCs w:val="18"/>
                <w:lang w:val="es-ES_tradnl"/>
              </w:rPr>
              <w:t>Autoridades que proporcionarán los informes DHE existentes a cualquier miembro de la Unión:</w:t>
            </w:r>
          </w:p>
          <w:p w:rsidR="00B43D13" w:rsidRPr="00C60FC3" w:rsidRDefault="00B43D13" w:rsidP="00BF2668">
            <w:pPr>
              <w:jc w:val="left"/>
              <w:rPr>
                <w:color w:val="000000"/>
                <w:sz w:val="18"/>
                <w:szCs w:val="18"/>
                <w:lang w:val="es-ES_tradnl"/>
              </w:rPr>
            </w:pPr>
            <w:r w:rsidRPr="00C60FC3">
              <w:rPr>
                <w:color w:val="000000"/>
                <w:sz w:val="18"/>
                <w:szCs w:val="18"/>
                <w:lang w:val="es-ES_tradnl"/>
              </w:rPr>
              <w:tab/>
            </w:r>
            <w:r w:rsidRPr="00C60FC3">
              <w:rPr>
                <w:sz w:val="18"/>
                <w:szCs w:val="18"/>
                <w:lang w:val="es-ES_tradnl"/>
              </w:rPr>
              <w:t>Australia</w:t>
            </w:r>
          </w:p>
          <w:p w:rsidR="00B43D13" w:rsidRPr="00C60FC3" w:rsidRDefault="00B43D13" w:rsidP="00BF2668">
            <w:pPr>
              <w:jc w:val="left"/>
              <w:rPr>
                <w:color w:val="000000"/>
                <w:sz w:val="18"/>
                <w:szCs w:val="18"/>
                <w:lang w:val="es-ES_tradnl"/>
              </w:rPr>
            </w:pPr>
          </w:p>
          <w:p w:rsidR="00B43D13" w:rsidRPr="00C60FC3" w:rsidRDefault="00B43D13" w:rsidP="00BF2668">
            <w:pPr>
              <w:spacing w:after="120"/>
              <w:jc w:val="left"/>
              <w:rPr>
                <w:color w:val="000000"/>
                <w:sz w:val="18"/>
                <w:szCs w:val="18"/>
                <w:lang w:val="es-ES_tradnl"/>
              </w:rPr>
            </w:pPr>
            <w:r w:rsidRPr="00C60FC3">
              <w:rPr>
                <w:color w:val="000000"/>
                <w:sz w:val="18"/>
                <w:szCs w:val="18"/>
                <w:lang w:val="es-ES_tradnl"/>
              </w:rPr>
              <w:t xml:space="preserve">Autoridades que proporcionarán, para toda especie respecto de la cual tengan experiencia en el examen DHE, los informes DHE existentes a cualquier miembro de la Unión:  </w:t>
            </w:r>
          </w:p>
          <w:p w:rsidR="00B43D13" w:rsidRPr="00C60FC3" w:rsidRDefault="00B43D13" w:rsidP="00BF2668">
            <w:pPr>
              <w:jc w:val="left"/>
              <w:rPr>
                <w:color w:val="000000"/>
                <w:sz w:val="18"/>
                <w:szCs w:val="18"/>
                <w:lang w:val="es-ES_tradnl"/>
              </w:rPr>
            </w:pPr>
            <w:r w:rsidRPr="00C60FC3">
              <w:rPr>
                <w:color w:val="000000"/>
                <w:sz w:val="18"/>
                <w:szCs w:val="18"/>
                <w:lang w:val="es-ES_tradnl"/>
              </w:rPr>
              <w:tab/>
              <w:t>Alemania, Canadá, Nueva Zelandia, Unión Europea, Uruguay</w:t>
            </w:r>
          </w:p>
          <w:p w:rsidR="00B43D13" w:rsidRPr="00C60FC3" w:rsidRDefault="00B43D13" w:rsidP="00BF2668">
            <w:pPr>
              <w:jc w:val="left"/>
              <w:rPr>
                <w:color w:val="000000"/>
                <w:sz w:val="18"/>
                <w:szCs w:val="18"/>
                <w:lang w:val="es-ES_tradnl"/>
              </w:rPr>
            </w:pPr>
          </w:p>
          <w:p w:rsidR="00B43D13" w:rsidRPr="00C60FC3" w:rsidRDefault="00B43D13" w:rsidP="00BF2668">
            <w:pPr>
              <w:spacing w:after="120"/>
              <w:jc w:val="left"/>
              <w:rPr>
                <w:color w:val="000000"/>
                <w:sz w:val="18"/>
                <w:szCs w:val="18"/>
                <w:lang w:val="es-ES_tradnl"/>
              </w:rPr>
            </w:pPr>
            <w:r w:rsidRPr="00C60FC3">
              <w:rPr>
                <w:color w:val="000000"/>
                <w:sz w:val="18"/>
                <w:szCs w:val="18"/>
                <w:lang w:val="es-ES_tradnl"/>
              </w:rPr>
              <w:t xml:space="preserve">Autoridades que aceptarán los informes DHE de cualquier otro miembro de la Unión: </w:t>
            </w:r>
          </w:p>
          <w:p w:rsidR="00B43D13" w:rsidRPr="00C60FC3" w:rsidRDefault="00B43D13" w:rsidP="00BF2668">
            <w:pPr>
              <w:jc w:val="left"/>
              <w:rPr>
                <w:color w:val="000000"/>
                <w:sz w:val="18"/>
                <w:szCs w:val="18"/>
                <w:lang w:val="es-ES_tradnl"/>
              </w:rPr>
            </w:pPr>
            <w:r w:rsidRPr="00C60FC3">
              <w:rPr>
                <w:color w:val="000000"/>
                <w:sz w:val="18"/>
                <w:szCs w:val="18"/>
                <w:lang w:val="es-ES_tradnl"/>
              </w:rPr>
              <w:tab/>
              <w:t xml:space="preserve">Australia (salvo </w:t>
            </w:r>
            <w:r w:rsidRPr="00C60FC3">
              <w:rPr>
                <w:i/>
                <w:color w:val="000000"/>
                <w:sz w:val="18"/>
                <w:szCs w:val="18"/>
                <w:lang w:val="es-ES_tradnl"/>
              </w:rPr>
              <w:t xml:space="preserve">Solanum tuberosum </w:t>
            </w:r>
            <w:r w:rsidRPr="00C60FC3">
              <w:rPr>
                <w:color w:val="000000"/>
                <w:sz w:val="18"/>
                <w:szCs w:val="18"/>
                <w:lang w:val="es-ES_tradnl"/>
              </w:rPr>
              <w:t xml:space="preserve">L.) </w:t>
            </w:r>
          </w:p>
          <w:p w:rsidR="00B43D13" w:rsidRPr="00C60FC3" w:rsidRDefault="00B43D13" w:rsidP="00BF2668">
            <w:pPr>
              <w:jc w:val="left"/>
              <w:rPr>
                <w:color w:val="000000"/>
                <w:sz w:val="18"/>
                <w:szCs w:val="18"/>
                <w:lang w:val="es-ES_tradnl"/>
              </w:rPr>
            </w:pPr>
          </w:p>
          <w:p w:rsidR="00B43D13" w:rsidRPr="00C60FC3" w:rsidRDefault="00B43D13" w:rsidP="00BF2668">
            <w:pPr>
              <w:jc w:val="left"/>
              <w:rPr>
                <w:color w:val="000000"/>
                <w:sz w:val="18"/>
                <w:szCs w:val="18"/>
                <w:lang w:val="es-ES_tradnl"/>
              </w:rPr>
            </w:pPr>
            <w:r w:rsidRPr="00C60FC3">
              <w:rPr>
                <w:color w:val="000000"/>
                <w:sz w:val="18"/>
                <w:szCs w:val="18"/>
                <w:lang w:val="es-ES_tradnl"/>
              </w:rPr>
              <w:t xml:space="preserve">Por lo general, Suiza utilizará los informes DHE existentes facilitados por cualquier miembro de la Unión.  En Suiza no se llevan a cabo exámenes DHE.  En aquellos casos en los que no se dispone de un informe de examen DHE de un miembro de la Unión, la Oficina de Protección de Variedades Vegetales invitará a la autoridad apropiada o al centro de examen de un miembro de la Unión a llevar a cabo el examen DHE en su nombre. </w:t>
            </w:r>
          </w:p>
          <w:p w:rsidR="00B43D13" w:rsidRPr="00C60FC3" w:rsidRDefault="00B43D13" w:rsidP="00BF2668">
            <w:pPr>
              <w:jc w:val="left"/>
              <w:rPr>
                <w:color w:val="000000"/>
                <w:sz w:val="18"/>
                <w:szCs w:val="18"/>
                <w:lang w:val="es-ES_tradnl"/>
              </w:rPr>
            </w:pPr>
          </w:p>
          <w:p w:rsidR="00B43D13" w:rsidRPr="00C60FC3" w:rsidRDefault="00B43D13" w:rsidP="00BF2668">
            <w:pPr>
              <w:jc w:val="left"/>
              <w:rPr>
                <w:color w:val="000000"/>
                <w:sz w:val="18"/>
                <w:szCs w:val="18"/>
                <w:lang w:val="es-ES_tradnl"/>
              </w:rPr>
            </w:pPr>
            <w:r w:rsidRPr="00C60FC3">
              <w:rPr>
                <w:color w:val="000000"/>
                <w:sz w:val="18"/>
                <w:szCs w:val="18"/>
                <w:lang w:val="es-ES_tradnl"/>
              </w:rPr>
              <w:t>Canadá generalmente acepta los informes DHE existentes de otros miembros de la Unión para variedades de cualquier taxón de multiplicación vegetativa cuyos exámenes DHE se hayan realizado en un invernadero de ambiente controlado.</w:t>
            </w:r>
          </w:p>
          <w:p w:rsidR="00B43D13" w:rsidRPr="00C60FC3" w:rsidRDefault="00B43D13" w:rsidP="00BF2668">
            <w:pPr>
              <w:jc w:val="left"/>
              <w:rPr>
                <w:color w:val="000000"/>
                <w:sz w:val="18"/>
                <w:szCs w:val="18"/>
                <w:lang w:val="es-ES_tradnl"/>
              </w:rPr>
            </w:pPr>
          </w:p>
          <w:p w:rsidR="00B43D13" w:rsidRPr="00C60FC3" w:rsidRDefault="00B43D13" w:rsidP="00BF2668">
            <w:pPr>
              <w:pStyle w:val="Heading8"/>
              <w:rPr>
                <w:lang w:val="es-ES_tradnl"/>
              </w:rPr>
            </w:pPr>
            <w:bookmarkStart w:id="82" w:name="_Toc336339237"/>
            <w:bookmarkStart w:id="83" w:name="_Toc336613839"/>
            <w:bookmarkStart w:id="84" w:name="_Toc368060314"/>
            <w:r w:rsidRPr="00C60FC3">
              <w:rPr>
                <w:lang w:val="es-ES_tradnl"/>
              </w:rPr>
              <w:t xml:space="preserve">-  </w:t>
            </w:r>
            <w:bookmarkEnd w:id="82"/>
            <w:bookmarkEnd w:id="83"/>
            <w:r w:rsidRPr="00C60FC3">
              <w:rPr>
                <w:lang w:val="es-ES_tradnl"/>
              </w:rPr>
              <w:t>Número de acuerdos bilaterales y regionales sobre protección de las variedades vegetales</w:t>
            </w:r>
            <w:bookmarkEnd w:id="84"/>
          </w:p>
          <w:p w:rsidR="00B43D13" w:rsidRPr="00C60FC3" w:rsidRDefault="00B43D13" w:rsidP="00BF2668">
            <w:pPr>
              <w:jc w:val="left"/>
              <w:rPr>
                <w:color w:val="000000"/>
                <w:sz w:val="18"/>
                <w:szCs w:val="18"/>
                <w:lang w:val="es-ES_tradnl"/>
              </w:rPr>
            </w:pPr>
            <w:r w:rsidRPr="00C60FC3">
              <w:rPr>
                <w:color w:val="000000"/>
                <w:sz w:val="18"/>
                <w:szCs w:val="18"/>
                <w:lang w:val="es-ES_tradnl"/>
              </w:rPr>
              <w:t>Los acuerdos de cooperación en materia de examen de variedades abarcaban aproximadamente 1.991 géneros o especies (1.990 en 2011;  1.417 en 2010), excluida la cooperación general (véase el documento C/46/5).</w:t>
            </w:r>
          </w:p>
          <w:p w:rsidR="00B43D13" w:rsidRPr="00C60FC3" w:rsidRDefault="00B43D13" w:rsidP="00BF2668">
            <w:pPr>
              <w:jc w:val="left"/>
              <w:rPr>
                <w:i/>
                <w:sz w:val="18"/>
                <w:szCs w:val="18"/>
                <w:lang w:val="es-ES_tradnl"/>
              </w:rPr>
            </w:pPr>
          </w:p>
        </w:tc>
      </w:tr>
    </w:tbl>
    <w:p w:rsidR="00B43D13" w:rsidRDefault="00B43D13" w:rsidP="00BF2668">
      <w:pPr>
        <w:pStyle w:val="Heading9"/>
        <w:keepNext w:val="0"/>
        <w:spacing w:before="120" w:after="120"/>
        <w:rPr>
          <w:lang w:val="es-ES_tradnl"/>
        </w:rPr>
      </w:pPr>
      <w:bookmarkStart w:id="85" w:name="_Toc368060315"/>
      <w:r w:rsidRPr="00C60FC3">
        <w:rPr>
          <w:lang w:val="es-ES_tradnl"/>
        </w:rPr>
        <w:t>Figura 2.  Géneros y especies vegetales para los que existen acuerdos de cooperación, experiencia práctica y</w:t>
      </w:r>
      <w:r w:rsidRPr="00C60FC3">
        <w:rPr>
          <w:lang w:val="es-ES_tradnl"/>
        </w:rPr>
        <w:br/>
        <w:t>que figuran como protegidos por derecho de obtentor en la base de datos de variedades vegetales</w:t>
      </w:r>
      <w:bookmarkEnd w:id="85"/>
    </w:p>
    <w:p w:rsidR="00715588" w:rsidRPr="00715588" w:rsidRDefault="00A6021B" w:rsidP="00A6021B">
      <w:pPr>
        <w:jc w:val="center"/>
        <w:rPr>
          <w:lang w:val="es-ES_tradnl"/>
        </w:rPr>
      </w:pPr>
      <w:r w:rsidRPr="00A6021B">
        <w:rPr>
          <w:noProof/>
        </w:rPr>
        <w:drawing>
          <wp:inline distT="0" distB="0" distL="0" distR="0">
            <wp:extent cx="5391150" cy="395409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3954090"/>
                    </a:xfrm>
                    <a:prstGeom prst="rect">
                      <a:avLst/>
                    </a:prstGeom>
                    <a:noFill/>
                    <a:ln>
                      <a:noFill/>
                    </a:ln>
                  </pic:spPr>
                </pic:pic>
              </a:graphicData>
            </a:graphic>
          </wp:inline>
        </w:drawing>
      </w:r>
    </w:p>
    <w:tbl>
      <w:tblPr>
        <w:tblW w:w="9889" w:type="dxa"/>
        <w:tblLayout w:type="fixed"/>
        <w:tblLook w:val="0000" w:firstRow="0" w:lastRow="0" w:firstColumn="0" w:lastColumn="0" w:noHBand="0" w:noVBand="0"/>
      </w:tblPr>
      <w:tblGrid>
        <w:gridCol w:w="2093"/>
        <w:gridCol w:w="7796"/>
      </w:tblGrid>
      <w:tr w:rsidR="00B43D13" w:rsidRPr="00C60FC3" w:rsidTr="0091418C">
        <w:trPr>
          <w:trHeight w:val="604"/>
        </w:trPr>
        <w:tc>
          <w:tcPr>
            <w:tcW w:w="2093" w:type="dxa"/>
          </w:tcPr>
          <w:p w:rsidR="00B43D13" w:rsidRPr="00C60FC3" w:rsidRDefault="00B43D13" w:rsidP="00BF2668">
            <w:pPr>
              <w:jc w:val="left"/>
              <w:rPr>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b/>
                <w:i/>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jc w:val="left"/>
              <w:rPr>
                <w:sz w:val="18"/>
                <w:szCs w:val="18"/>
                <w:lang w:val="es-ES_tradnl"/>
              </w:rPr>
            </w:pPr>
            <w:r w:rsidRPr="00C60FC3">
              <w:rPr>
                <w:i/>
                <w:sz w:val="18"/>
                <w:szCs w:val="18"/>
                <w:lang w:val="es-ES_tradnl"/>
              </w:rPr>
              <w:t xml:space="preserve">3.  Cooperación en materia de examen de variedades vegetales para la obtención de derechos de obtentor </w:t>
            </w:r>
            <w:r w:rsidRPr="00C60FC3">
              <w:rPr>
                <w:sz w:val="18"/>
                <w:szCs w:val="18"/>
                <w:lang w:val="es-ES_tradnl"/>
              </w:rPr>
              <w:t>(continuación)</w:t>
            </w:r>
          </w:p>
        </w:tc>
        <w:tc>
          <w:tcPr>
            <w:tcW w:w="7796" w:type="dxa"/>
          </w:tcPr>
          <w:p w:rsidR="00B43D13" w:rsidRPr="00C60FC3" w:rsidRDefault="00B43D13" w:rsidP="00BF2668">
            <w:pPr>
              <w:pStyle w:val="Heading8"/>
              <w:rPr>
                <w:szCs w:val="18"/>
                <w:lang w:val="es-ES_tradnl"/>
              </w:rPr>
            </w:pPr>
            <w:bookmarkStart w:id="86" w:name="_Toc368060316"/>
            <w:r w:rsidRPr="00C60FC3">
              <w:rPr>
                <w:szCs w:val="18"/>
                <w:lang w:val="es-ES_tradnl"/>
              </w:rPr>
              <w:t>c)  Participación en la elaboración de directrices de examen</w:t>
            </w:r>
            <w:bookmarkEnd w:id="86"/>
          </w:p>
          <w:p w:rsidR="00B43D13" w:rsidRPr="00C60FC3" w:rsidRDefault="00B43D13" w:rsidP="00BF2668">
            <w:pPr>
              <w:rPr>
                <w:sz w:val="18"/>
                <w:szCs w:val="18"/>
                <w:lang w:val="es-ES_tradnl"/>
              </w:rPr>
            </w:pPr>
            <w:r w:rsidRPr="00C60FC3">
              <w:rPr>
                <w:sz w:val="18"/>
                <w:szCs w:val="18"/>
                <w:lang w:val="es-ES_tradnl"/>
              </w:rPr>
              <w:t>Directrices de examen aprobadas en 2012:</w:t>
            </w:r>
          </w:p>
          <w:p w:rsidR="00B43D13" w:rsidRPr="00C60FC3" w:rsidRDefault="00B43D13" w:rsidP="00BF2668">
            <w:pPr>
              <w:rPr>
                <w:sz w:val="18"/>
                <w:szCs w:val="18"/>
                <w:lang w:val="es-ES_tradnl"/>
              </w:rPr>
            </w:pPr>
          </w:p>
          <w:p w:rsidR="00B43D13" w:rsidRPr="00C60FC3" w:rsidRDefault="00B43D13" w:rsidP="00BF2668">
            <w:pPr>
              <w:spacing w:after="60"/>
              <w:ind w:left="743" w:hanging="386"/>
              <w:jc w:val="left"/>
              <w:rPr>
                <w:i/>
                <w:color w:val="000000"/>
                <w:sz w:val="18"/>
                <w:szCs w:val="18"/>
                <w:lang w:val="es-ES_tradnl"/>
              </w:rPr>
            </w:pPr>
            <w:r w:rsidRPr="00C60FC3">
              <w:rPr>
                <w:color w:val="000000"/>
                <w:sz w:val="18"/>
                <w:szCs w:val="18"/>
                <w:lang w:val="es-ES_tradnl"/>
              </w:rPr>
              <w:t>–</w:t>
            </w:r>
            <w:r w:rsidRPr="00C60FC3">
              <w:rPr>
                <w:color w:val="000000"/>
                <w:sz w:val="18"/>
                <w:szCs w:val="18"/>
                <w:lang w:val="es-ES_tradnl"/>
              </w:rPr>
              <w:tab/>
            </w:r>
            <w:r w:rsidRPr="00C60FC3">
              <w:rPr>
                <w:sz w:val="18"/>
                <w:szCs w:val="18"/>
                <w:lang w:val="es-ES_tradnl"/>
              </w:rPr>
              <w:t>8 nuevas directrices de examen:</w:t>
            </w:r>
            <w:r w:rsidRPr="00C60FC3">
              <w:rPr>
                <w:color w:val="000000"/>
                <w:sz w:val="18"/>
                <w:szCs w:val="18"/>
                <w:lang w:val="es-ES_tradnl"/>
              </w:rPr>
              <w:t xml:space="preserve">  TWA (2),  TWF (1), TWO (3), TWO/TWV (1), TWV (1)</w:t>
            </w:r>
            <w:r w:rsidRPr="00C60FC3">
              <w:rPr>
                <w:color w:val="000000"/>
                <w:sz w:val="18"/>
                <w:szCs w:val="18"/>
                <w:lang w:val="es-ES_tradnl"/>
              </w:rPr>
              <w:br/>
            </w:r>
            <w:r w:rsidRPr="00C60FC3">
              <w:rPr>
                <w:sz w:val="18"/>
                <w:szCs w:val="18"/>
                <w:lang w:val="es-ES_tradnl"/>
              </w:rPr>
              <w:t>elaboradas por expertos principales de:</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 xml:space="preserve">Asia/Pacífico:  </w:t>
            </w:r>
            <w:r w:rsidRPr="00C60FC3">
              <w:rPr>
                <w:color w:val="000000"/>
                <w:sz w:val="18"/>
                <w:szCs w:val="18"/>
                <w:lang w:val="es-ES_tradnl"/>
              </w:rPr>
              <w:tab/>
              <w:t>JP (3)</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 xml:space="preserve">Europa:  </w:t>
            </w:r>
            <w:r w:rsidRPr="00C60FC3">
              <w:rPr>
                <w:color w:val="000000"/>
                <w:sz w:val="18"/>
                <w:szCs w:val="18"/>
                <w:lang w:val="es-ES_tradnl"/>
              </w:rPr>
              <w:tab/>
              <w:t>DE (1), GB(1), FR (1), PL/GB (1), NL (1)</w:t>
            </w:r>
          </w:p>
          <w:p w:rsidR="00B43D13" w:rsidRPr="00C60FC3" w:rsidRDefault="00B43D13" w:rsidP="00BF2668">
            <w:pPr>
              <w:tabs>
                <w:tab w:val="left" w:pos="601"/>
              </w:tabs>
              <w:jc w:val="left"/>
              <w:rPr>
                <w:color w:val="000000"/>
                <w:sz w:val="18"/>
                <w:szCs w:val="18"/>
                <w:lang w:val="es-ES_tradnl"/>
              </w:rPr>
            </w:pPr>
          </w:p>
          <w:p w:rsidR="00B43D13" w:rsidRPr="00C60FC3" w:rsidRDefault="00B43D13" w:rsidP="00BF2668">
            <w:pPr>
              <w:spacing w:after="120"/>
              <w:ind w:left="743" w:hanging="386"/>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r>
            <w:r w:rsidRPr="00C60FC3">
              <w:rPr>
                <w:sz w:val="18"/>
                <w:szCs w:val="18"/>
                <w:lang w:val="es-ES_tradnl"/>
              </w:rPr>
              <w:t>4 revisiones de directrices de examen:</w:t>
            </w:r>
            <w:r w:rsidRPr="00C60FC3">
              <w:rPr>
                <w:color w:val="000000"/>
                <w:sz w:val="18"/>
                <w:szCs w:val="18"/>
                <w:lang w:val="es-ES_tradnl"/>
              </w:rPr>
              <w:t xml:space="preserve">  TWA (1), TWF (1), TWV (2)</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Asia/Pacífico:</w:t>
            </w:r>
            <w:r w:rsidRPr="00C60FC3">
              <w:rPr>
                <w:color w:val="000000"/>
                <w:sz w:val="18"/>
                <w:szCs w:val="18"/>
                <w:lang w:val="es-ES_tradnl"/>
              </w:rPr>
              <w:t xml:space="preserve">  </w:t>
            </w:r>
            <w:r w:rsidRPr="00C60FC3">
              <w:rPr>
                <w:color w:val="000000"/>
                <w:sz w:val="18"/>
                <w:szCs w:val="18"/>
                <w:lang w:val="es-ES_tradnl"/>
              </w:rPr>
              <w:tab/>
              <w:t>NZ (1)</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Asia/Pacífico - Europa:</w:t>
            </w:r>
            <w:r w:rsidRPr="00C60FC3">
              <w:rPr>
                <w:color w:val="000000"/>
                <w:sz w:val="18"/>
                <w:szCs w:val="18"/>
                <w:lang w:val="es-ES_tradnl"/>
              </w:rPr>
              <w:tab/>
              <w:t>AU/ES (1)</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Europa:</w:t>
            </w:r>
            <w:r w:rsidRPr="00C60FC3">
              <w:rPr>
                <w:color w:val="000000"/>
                <w:sz w:val="18"/>
                <w:szCs w:val="18"/>
                <w:lang w:val="es-ES_tradnl"/>
              </w:rPr>
              <w:t xml:space="preserve">  </w:t>
            </w:r>
            <w:r w:rsidRPr="00C60FC3">
              <w:rPr>
                <w:color w:val="000000"/>
                <w:sz w:val="18"/>
                <w:szCs w:val="18"/>
                <w:lang w:val="es-ES_tradnl"/>
              </w:rPr>
              <w:tab/>
              <w:t>D</w:t>
            </w:r>
            <w:r w:rsidRPr="00C60FC3">
              <w:rPr>
                <w:sz w:val="18"/>
                <w:szCs w:val="18"/>
                <w:lang w:val="es-ES_tradnl"/>
              </w:rPr>
              <w:t>E</w:t>
            </w:r>
            <w:r w:rsidRPr="00C60FC3">
              <w:rPr>
                <w:color w:val="000000"/>
                <w:sz w:val="18"/>
                <w:szCs w:val="18"/>
                <w:lang w:val="es-ES_tradnl"/>
              </w:rPr>
              <w:t xml:space="preserve"> (1), GB (1)</w:t>
            </w:r>
          </w:p>
          <w:p w:rsidR="00B43D13" w:rsidRPr="00C60FC3" w:rsidRDefault="00B43D13" w:rsidP="00BF2668">
            <w:pPr>
              <w:tabs>
                <w:tab w:val="left" w:pos="601"/>
              </w:tabs>
              <w:jc w:val="left"/>
              <w:rPr>
                <w:color w:val="000000"/>
                <w:sz w:val="18"/>
                <w:szCs w:val="18"/>
                <w:lang w:val="es-ES_tradnl"/>
              </w:rPr>
            </w:pPr>
          </w:p>
          <w:p w:rsidR="00B43D13" w:rsidRPr="00C60FC3" w:rsidRDefault="00B43D13" w:rsidP="00BF2668">
            <w:pPr>
              <w:spacing w:after="120"/>
              <w:ind w:left="743" w:hanging="386"/>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r>
            <w:r w:rsidRPr="00C60FC3">
              <w:rPr>
                <w:sz w:val="18"/>
                <w:szCs w:val="18"/>
                <w:lang w:val="es-ES_tradnl"/>
              </w:rPr>
              <w:t>4 revisiones parciales de directrices de examen:</w:t>
            </w:r>
            <w:r w:rsidRPr="00C60FC3">
              <w:rPr>
                <w:color w:val="000000"/>
                <w:sz w:val="18"/>
                <w:szCs w:val="18"/>
                <w:lang w:val="es-ES_tradnl"/>
              </w:rPr>
              <w:t xml:space="preserve">  TWF (1), TWO (2), TWV/TWA (1)</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Europa:</w:t>
            </w:r>
            <w:r w:rsidRPr="00C60FC3">
              <w:rPr>
                <w:color w:val="000000"/>
                <w:sz w:val="18"/>
                <w:szCs w:val="18"/>
                <w:lang w:val="es-ES_tradnl"/>
              </w:rPr>
              <w:t xml:space="preserve">  </w:t>
            </w:r>
            <w:r w:rsidRPr="00C60FC3">
              <w:rPr>
                <w:color w:val="000000"/>
                <w:sz w:val="18"/>
                <w:szCs w:val="18"/>
                <w:lang w:val="es-ES_tradnl"/>
              </w:rPr>
              <w:tab/>
              <w:t>FR (1), DE (3)</w:t>
            </w:r>
          </w:p>
          <w:p w:rsidR="00B43D13" w:rsidRPr="00C60FC3" w:rsidRDefault="00B43D13" w:rsidP="00BF2668">
            <w:pPr>
              <w:rPr>
                <w:sz w:val="18"/>
                <w:szCs w:val="18"/>
                <w:lang w:val="es-ES_tradnl"/>
              </w:rPr>
            </w:pPr>
          </w:p>
          <w:p w:rsidR="00B43D13" w:rsidRPr="00C60FC3" w:rsidRDefault="00B43D13" w:rsidP="00BF2668">
            <w:pPr>
              <w:rPr>
                <w:sz w:val="18"/>
                <w:lang w:val="es-ES_tradnl"/>
              </w:rPr>
            </w:pPr>
            <w:r w:rsidRPr="00C60FC3">
              <w:rPr>
                <w:sz w:val="18"/>
                <w:lang w:val="es-ES_tradnl"/>
              </w:rPr>
              <w:t>Directrices de examen en proceso de elaboración en 2012:</w:t>
            </w:r>
          </w:p>
          <w:p w:rsidR="00B43D13" w:rsidRPr="00C60FC3" w:rsidRDefault="00B43D13" w:rsidP="00BF2668">
            <w:pPr>
              <w:rPr>
                <w:sz w:val="18"/>
                <w:lang w:val="es-ES_tradnl"/>
              </w:rPr>
            </w:pPr>
          </w:p>
          <w:p w:rsidR="00B43D13" w:rsidRPr="00C60FC3" w:rsidRDefault="00B43D13" w:rsidP="00BF2668">
            <w:pPr>
              <w:spacing w:after="60"/>
              <w:ind w:left="743" w:hanging="386"/>
              <w:jc w:val="left"/>
              <w:rPr>
                <w:i/>
                <w:color w:val="000000"/>
                <w:sz w:val="18"/>
                <w:szCs w:val="18"/>
                <w:lang w:val="es-ES_tradnl"/>
              </w:rPr>
            </w:pPr>
            <w:r w:rsidRPr="00C60FC3">
              <w:rPr>
                <w:color w:val="000000"/>
                <w:sz w:val="18"/>
                <w:szCs w:val="18"/>
                <w:lang w:val="es-ES_tradnl"/>
              </w:rPr>
              <w:t>–</w:t>
            </w:r>
            <w:r w:rsidRPr="00C60FC3">
              <w:rPr>
                <w:color w:val="000000"/>
                <w:sz w:val="18"/>
                <w:szCs w:val="18"/>
                <w:lang w:val="es-ES_tradnl"/>
              </w:rPr>
              <w:tab/>
            </w:r>
            <w:r w:rsidRPr="00C60FC3">
              <w:rPr>
                <w:sz w:val="18"/>
                <w:szCs w:val="18"/>
                <w:lang w:val="es-ES_tradnl"/>
              </w:rPr>
              <w:t>36 nuevas directrices de examen:</w:t>
            </w:r>
            <w:r w:rsidRPr="00C60FC3">
              <w:rPr>
                <w:color w:val="000000"/>
                <w:sz w:val="18"/>
                <w:szCs w:val="18"/>
                <w:lang w:val="es-ES_tradnl"/>
              </w:rPr>
              <w:t xml:space="preserve">  TWA (8), TWA/TWV (1), TWF (8), TWO (15), TWV (4)</w:t>
            </w:r>
            <w:r w:rsidR="00800C19">
              <w:rPr>
                <w:color w:val="000000"/>
                <w:sz w:val="18"/>
                <w:szCs w:val="18"/>
                <w:lang w:val="es-ES_tradnl"/>
              </w:rPr>
              <w:t xml:space="preserve"> </w:t>
            </w:r>
            <w:r w:rsidRPr="00C60FC3">
              <w:rPr>
                <w:sz w:val="18"/>
                <w:szCs w:val="18"/>
                <w:lang w:val="es-ES_tradnl"/>
              </w:rPr>
              <w:t>elaboradas por expertos principales de:</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 xml:space="preserve">África/América:  </w:t>
            </w:r>
            <w:r w:rsidRPr="00C60FC3">
              <w:rPr>
                <w:color w:val="000000"/>
                <w:sz w:val="18"/>
                <w:szCs w:val="18"/>
                <w:lang w:val="es-ES_tradnl"/>
              </w:rPr>
              <w:tab/>
              <w:t>KE/BR (1)</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 xml:space="preserve">América:  </w:t>
            </w:r>
            <w:r w:rsidRPr="00C60FC3">
              <w:rPr>
                <w:color w:val="000000"/>
                <w:sz w:val="18"/>
                <w:szCs w:val="18"/>
                <w:lang w:val="es-ES_tradnl"/>
              </w:rPr>
              <w:tab/>
              <w:t>AR (1), BR (3), CA (1), MX (3)</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América - Asia/Pacífico:</w:t>
            </w:r>
            <w:r w:rsidRPr="00C60FC3">
              <w:rPr>
                <w:color w:val="000000"/>
                <w:sz w:val="18"/>
                <w:szCs w:val="18"/>
                <w:lang w:val="es-ES_tradnl"/>
              </w:rPr>
              <w:tab/>
              <w:t>BR/CN (1)</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Asia/Pacífico:</w:t>
            </w:r>
            <w:r w:rsidRPr="00C60FC3">
              <w:rPr>
                <w:color w:val="000000"/>
                <w:sz w:val="18"/>
                <w:szCs w:val="18"/>
                <w:lang w:val="es-ES_tradnl"/>
              </w:rPr>
              <w:t xml:space="preserve">  </w:t>
            </w:r>
            <w:r w:rsidRPr="00C60FC3">
              <w:rPr>
                <w:color w:val="000000"/>
                <w:sz w:val="18"/>
                <w:szCs w:val="18"/>
                <w:lang w:val="es-ES_tradnl"/>
              </w:rPr>
              <w:tab/>
              <w:t>AU (3), CN (5), JP (6), KR (1), NZ (2)</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Europa:</w:t>
            </w:r>
            <w:r w:rsidRPr="00C60FC3">
              <w:rPr>
                <w:color w:val="000000"/>
                <w:sz w:val="18"/>
                <w:szCs w:val="18"/>
                <w:lang w:val="es-ES_tradnl"/>
              </w:rPr>
              <w:t xml:space="preserve">  </w:t>
            </w:r>
            <w:r w:rsidRPr="00C60FC3">
              <w:rPr>
                <w:color w:val="000000"/>
                <w:sz w:val="18"/>
                <w:szCs w:val="18"/>
                <w:lang w:val="es-ES_tradnl"/>
              </w:rPr>
              <w:tab/>
              <w:t>ES (1), FR (2), GB (1), NL (3), PL (1)</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Cercano Oriente/Oriente Medio - Asia/Pacífico:</w:t>
            </w:r>
            <w:r w:rsidRPr="00C60FC3">
              <w:rPr>
                <w:color w:val="000000"/>
                <w:sz w:val="18"/>
                <w:szCs w:val="18"/>
                <w:lang w:val="es-ES_tradnl"/>
              </w:rPr>
              <w:tab/>
              <w:t>IL/KR (1)</w:t>
            </w:r>
          </w:p>
          <w:p w:rsidR="00B43D13" w:rsidRPr="00C60FC3" w:rsidRDefault="00B43D13" w:rsidP="00BF2668">
            <w:pPr>
              <w:tabs>
                <w:tab w:val="left" w:pos="601"/>
              </w:tabs>
              <w:jc w:val="left"/>
              <w:rPr>
                <w:color w:val="000000"/>
                <w:sz w:val="18"/>
                <w:szCs w:val="18"/>
                <w:lang w:val="es-ES_tradnl"/>
              </w:rPr>
            </w:pPr>
          </w:p>
          <w:p w:rsidR="00B43D13" w:rsidRPr="00C60FC3" w:rsidRDefault="00B43D13" w:rsidP="00BF2668">
            <w:pPr>
              <w:tabs>
                <w:tab w:val="left" w:pos="756"/>
                <w:tab w:val="left" w:pos="2444"/>
              </w:tabs>
              <w:spacing w:after="120"/>
              <w:ind w:left="2444" w:hanging="2087"/>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t>16 revisiones:  TWA (5), TWF (2), TWO (4), TWV (5)</w:t>
            </w:r>
          </w:p>
          <w:p w:rsidR="00B43D13" w:rsidRPr="00C60FC3" w:rsidRDefault="00B43D13" w:rsidP="00BF2668">
            <w:pPr>
              <w:ind w:left="3861" w:hanging="2694"/>
              <w:jc w:val="left"/>
              <w:rPr>
                <w:color w:val="000000"/>
                <w:sz w:val="18"/>
                <w:szCs w:val="18"/>
                <w:lang w:val="es-ES_tradnl"/>
              </w:rPr>
            </w:pPr>
            <w:r w:rsidRPr="00C60FC3">
              <w:rPr>
                <w:color w:val="000000"/>
                <w:sz w:val="18"/>
                <w:szCs w:val="18"/>
                <w:lang w:val="es-ES_tradnl"/>
              </w:rPr>
              <w:t xml:space="preserve">África:  </w:t>
            </w:r>
            <w:r w:rsidRPr="00C60FC3">
              <w:rPr>
                <w:color w:val="000000"/>
                <w:sz w:val="18"/>
                <w:szCs w:val="18"/>
                <w:lang w:val="es-ES_tradnl"/>
              </w:rPr>
              <w:tab/>
              <w:t>ZA (1)</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Europa:</w:t>
            </w:r>
            <w:r w:rsidRPr="00C60FC3">
              <w:rPr>
                <w:color w:val="000000"/>
                <w:sz w:val="18"/>
                <w:szCs w:val="18"/>
                <w:lang w:val="es-ES_tradnl"/>
              </w:rPr>
              <w:t xml:space="preserve">  </w:t>
            </w:r>
            <w:r w:rsidRPr="00C60FC3">
              <w:rPr>
                <w:color w:val="000000"/>
                <w:sz w:val="18"/>
                <w:szCs w:val="18"/>
                <w:lang w:val="es-ES_tradnl"/>
              </w:rPr>
              <w:tab/>
              <w:t>DE (3), ES (2), FR (2), GB (1), HU (1), NL (6)</w:t>
            </w:r>
          </w:p>
          <w:p w:rsidR="00B43D13" w:rsidRPr="00C60FC3" w:rsidRDefault="00B43D13" w:rsidP="00BF2668">
            <w:pPr>
              <w:tabs>
                <w:tab w:val="left" w:pos="601"/>
              </w:tabs>
              <w:jc w:val="left"/>
              <w:rPr>
                <w:color w:val="000000"/>
                <w:sz w:val="18"/>
                <w:szCs w:val="18"/>
                <w:lang w:val="es-ES_tradnl"/>
              </w:rPr>
            </w:pPr>
          </w:p>
          <w:p w:rsidR="00B43D13" w:rsidRPr="00C60FC3" w:rsidRDefault="00B43D13" w:rsidP="00BF2668">
            <w:pPr>
              <w:tabs>
                <w:tab w:val="left" w:pos="756"/>
                <w:tab w:val="left" w:pos="2444"/>
              </w:tabs>
              <w:spacing w:after="120"/>
              <w:ind w:left="2444" w:hanging="2087"/>
              <w:jc w:val="left"/>
              <w:rPr>
                <w:color w:val="000000"/>
                <w:sz w:val="18"/>
                <w:szCs w:val="18"/>
                <w:lang w:val="es-ES_tradnl"/>
              </w:rPr>
            </w:pPr>
            <w:r w:rsidRPr="00C60FC3">
              <w:rPr>
                <w:color w:val="000000"/>
                <w:sz w:val="18"/>
                <w:szCs w:val="18"/>
                <w:lang w:val="es-ES_tradnl"/>
              </w:rPr>
              <w:t>–</w:t>
            </w:r>
            <w:r w:rsidRPr="00C60FC3">
              <w:rPr>
                <w:color w:val="000000"/>
                <w:sz w:val="18"/>
                <w:szCs w:val="18"/>
                <w:lang w:val="es-ES_tradnl"/>
              </w:rPr>
              <w:tab/>
            </w:r>
            <w:r w:rsidRPr="00C60FC3">
              <w:rPr>
                <w:sz w:val="18"/>
                <w:szCs w:val="18"/>
                <w:lang w:val="es-ES_tradnl"/>
              </w:rPr>
              <w:t>7 revisiones parciales</w:t>
            </w:r>
            <w:r w:rsidRPr="00C60FC3">
              <w:rPr>
                <w:color w:val="000000"/>
                <w:sz w:val="18"/>
                <w:szCs w:val="18"/>
                <w:lang w:val="es-ES_tradnl"/>
              </w:rPr>
              <w:t xml:space="preserve">  TWF (3), TWO (1), TWV (3) </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África:</w:t>
            </w:r>
            <w:r w:rsidRPr="00C60FC3">
              <w:rPr>
                <w:color w:val="000000"/>
                <w:sz w:val="18"/>
                <w:szCs w:val="18"/>
                <w:lang w:val="es-ES_tradnl"/>
              </w:rPr>
              <w:t xml:space="preserve">  </w:t>
            </w:r>
            <w:r w:rsidRPr="00C60FC3">
              <w:rPr>
                <w:color w:val="000000"/>
                <w:sz w:val="18"/>
                <w:szCs w:val="18"/>
                <w:lang w:val="es-ES_tradnl"/>
              </w:rPr>
              <w:tab/>
              <w:t>ZA (1)</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América</w:t>
            </w:r>
            <w:r w:rsidR="00800C19">
              <w:rPr>
                <w:sz w:val="18"/>
                <w:szCs w:val="18"/>
                <w:lang w:val="es-ES_tradnl"/>
              </w:rPr>
              <w:t>s</w:t>
            </w:r>
            <w:r w:rsidRPr="00C60FC3">
              <w:rPr>
                <w:sz w:val="18"/>
                <w:szCs w:val="18"/>
                <w:lang w:val="es-ES_tradnl"/>
              </w:rPr>
              <w:t>:</w:t>
            </w:r>
            <w:r w:rsidRPr="00C60FC3">
              <w:rPr>
                <w:color w:val="000000"/>
                <w:sz w:val="18"/>
                <w:szCs w:val="18"/>
                <w:lang w:val="es-ES_tradnl"/>
              </w:rPr>
              <w:t xml:space="preserve">  </w:t>
            </w:r>
            <w:r w:rsidRPr="00C60FC3">
              <w:rPr>
                <w:color w:val="000000"/>
                <w:sz w:val="18"/>
                <w:szCs w:val="18"/>
                <w:lang w:val="es-ES_tradnl"/>
              </w:rPr>
              <w:tab/>
              <w:t>MX (1)</w:t>
            </w:r>
          </w:p>
          <w:p w:rsidR="00B43D13" w:rsidRPr="00C60FC3" w:rsidRDefault="00B43D13" w:rsidP="00BF2668">
            <w:pPr>
              <w:ind w:left="3861" w:hanging="2694"/>
              <w:jc w:val="left"/>
              <w:rPr>
                <w:color w:val="000000"/>
                <w:sz w:val="18"/>
                <w:szCs w:val="18"/>
                <w:lang w:val="es-ES_tradnl"/>
              </w:rPr>
            </w:pPr>
            <w:r w:rsidRPr="00C60FC3">
              <w:rPr>
                <w:sz w:val="18"/>
                <w:szCs w:val="18"/>
                <w:lang w:val="es-ES_tradnl"/>
              </w:rPr>
              <w:t>Europa:</w:t>
            </w:r>
            <w:r w:rsidRPr="00C60FC3">
              <w:rPr>
                <w:color w:val="000000"/>
                <w:sz w:val="18"/>
                <w:szCs w:val="18"/>
                <w:lang w:val="es-ES_tradnl"/>
              </w:rPr>
              <w:t xml:space="preserve">  </w:t>
            </w:r>
            <w:r w:rsidRPr="00C60FC3">
              <w:rPr>
                <w:color w:val="000000"/>
                <w:sz w:val="18"/>
                <w:szCs w:val="18"/>
                <w:lang w:val="es-ES_tradnl"/>
              </w:rPr>
              <w:tab/>
              <w:t xml:space="preserve">ES (1), FR (1), FR/NL (1), NL (1), QZ (1) </w:t>
            </w:r>
          </w:p>
          <w:p w:rsidR="00B43D13" w:rsidRPr="00C60FC3" w:rsidRDefault="00B43D13" w:rsidP="00BF2668">
            <w:pPr>
              <w:ind w:left="3861" w:hanging="2694"/>
              <w:jc w:val="left"/>
              <w:rPr>
                <w:color w:val="000000"/>
                <w:sz w:val="18"/>
                <w:szCs w:val="18"/>
                <w:lang w:val="es-ES_tradnl"/>
              </w:rPr>
            </w:pPr>
          </w:p>
          <w:p w:rsidR="00B43D13" w:rsidRPr="00C60FC3" w:rsidRDefault="00B43D13" w:rsidP="00BF2668">
            <w:pPr>
              <w:rPr>
                <w:sz w:val="18"/>
                <w:szCs w:val="18"/>
                <w:lang w:val="es-ES_tradnl"/>
              </w:rPr>
            </w:pPr>
            <w:r w:rsidRPr="00C60FC3">
              <w:rPr>
                <w:sz w:val="18"/>
                <w:szCs w:val="18"/>
                <w:lang w:val="es-ES_tradnl"/>
              </w:rPr>
              <w:t>En la redacción de las directrices de examen participó un total de 19 miembros de la Unión (AR, AU, BR, CA, CN, DE, ES, FR, GB, IL, JP, KE, KR, MX, NL, NZ, PL, QZ, ZA).</w:t>
            </w:r>
          </w:p>
        </w:tc>
      </w:tr>
    </w:tbl>
    <w:p w:rsidR="00B43D13" w:rsidRPr="00C60FC3" w:rsidRDefault="00B43D13" w:rsidP="00BF2668">
      <w:pPr>
        <w:rPr>
          <w:lang w:val="es-ES_tradnl"/>
        </w:rPr>
      </w:pPr>
    </w:p>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lang w:val="es-ES_tradnl"/>
              </w:rPr>
            </w:pPr>
            <w:bookmarkStart w:id="87" w:name="_Toc368060317"/>
            <w:r w:rsidRPr="00C60FC3">
              <w:rPr>
                <w:lang w:val="es-ES_tradnl"/>
              </w:rPr>
              <w:t>d)  Calidad e integridad de los datos de la Base de datos sobre variedades vegetales y calidad del mecanismo de búsqueda;  mecanismos de acceso a otros datos pertinentes</w:t>
            </w:r>
            <w:bookmarkEnd w:id="87"/>
          </w:p>
          <w:p w:rsidR="00B43D13" w:rsidRPr="00C60FC3" w:rsidRDefault="00B43D13" w:rsidP="00BF2668">
            <w:pPr>
              <w:tabs>
                <w:tab w:val="left" w:pos="176"/>
                <w:tab w:val="left" w:pos="2302"/>
              </w:tabs>
              <w:spacing w:after="120"/>
              <w:ind w:left="459" w:hanging="459"/>
              <w:jc w:val="left"/>
              <w:rPr>
                <w:sz w:val="18"/>
                <w:szCs w:val="18"/>
                <w:lang w:val="es-ES_tradnl"/>
              </w:rPr>
            </w:pPr>
            <w:r w:rsidRPr="00C60FC3">
              <w:rPr>
                <w:sz w:val="18"/>
                <w:szCs w:val="18"/>
                <w:lang w:val="es-ES_tradnl"/>
              </w:rPr>
              <w:t xml:space="preserve">- </w:t>
            </w:r>
            <w:r w:rsidRPr="00C60FC3">
              <w:rPr>
                <w:sz w:val="18"/>
                <w:szCs w:val="18"/>
                <w:lang w:val="es-ES_tradnl"/>
              </w:rPr>
              <w:tab/>
              <w:t>Número total de registros existentes en la base de datos PLUTO al final de 2012:</w:t>
            </w:r>
            <w:r w:rsidRPr="00C60FC3">
              <w:rPr>
                <w:sz w:val="18"/>
                <w:szCs w:val="18"/>
                <w:lang w:val="es-ES_tradnl"/>
              </w:rPr>
              <w:br/>
              <w:t>620.517   (575.378 en 2011)</w:t>
            </w:r>
          </w:p>
          <w:p w:rsidR="00B43D13" w:rsidRPr="00C60FC3" w:rsidRDefault="00B43D13" w:rsidP="00BF2668">
            <w:pPr>
              <w:tabs>
                <w:tab w:val="left" w:pos="176"/>
              </w:tabs>
              <w:ind w:left="176" w:hanging="176"/>
              <w:jc w:val="left"/>
              <w:rPr>
                <w:sz w:val="18"/>
                <w:szCs w:val="18"/>
                <w:lang w:val="es-ES_tradnl"/>
              </w:rPr>
            </w:pPr>
            <w:r w:rsidRPr="00C60FC3">
              <w:rPr>
                <w:sz w:val="18"/>
                <w:szCs w:val="18"/>
                <w:lang w:val="es-ES_tradnl"/>
              </w:rPr>
              <w:t xml:space="preserve">- </w:t>
            </w:r>
            <w:r w:rsidRPr="00C60FC3">
              <w:rPr>
                <w:sz w:val="18"/>
                <w:szCs w:val="18"/>
                <w:lang w:val="es-ES_tradnl"/>
              </w:rPr>
              <w:tab/>
              <w:t>Número de aportaciones de nuevos datos efectuadas en 2012 (se invitó a cada contribuyente a realizar 6 aportaciones en 2012):</w:t>
            </w:r>
          </w:p>
          <w:p w:rsidR="00B43D13" w:rsidRPr="00C60FC3" w:rsidRDefault="00B43D13" w:rsidP="00BF2668">
            <w:pPr>
              <w:spacing w:after="120"/>
              <w:ind w:left="459" w:hanging="459"/>
              <w:jc w:val="left"/>
              <w:rPr>
                <w:sz w:val="18"/>
                <w:szCs w:val="18"/>
                <w:lang w:val="es-ES_tradnl"/>
              </w:rPr>
            </w:pPr>
            <w:r w:rsidRPr="00C60FC3">
              <w:rPr>
                <w:sz w:val="18"/>
                <w:szCs w:val="18"/>
                <w:lang w:val="es-ES_tradnl"/>
              </w:rPr>
              <w:tab/>
              <w:t>167   (164 en 2011)</w:t>
            </w:r>
          </w:p>
          <w:p w:rsidR="00B43D13" w:rsidRPr="00C60FC3" w:rsidRDefault="00B43D13" w:rsidP="00BF2668">
            <w:pPr>
              <w:tabs>
                <w:tab w:val="left" w:pos="176"/>
              </w:tabs>
              <w:spacing w:after="120"/>
              <w:ind w:left="459" w:hanging="459"/>
              <w:jc w:val="left"/>
              <w:rPr>
                <w:sz w:val="18"/>
                <w:szCs w:val="18"/>
                <w:lang w:val="es-ES_tradnl"/>
              </w:rPr>
            </w:pPr>
            <w:r w:rsidRPr="00C60FC3">
              <w:rPr>
                <w:sz w:val="18"/>
                <w:szCs w:val="18"/>
                <w:lang w:val="es-ES_tradnl"/>
              </w:rPr>
              <w:t xml:space="preserve">- </w:t>
            </w:r>
            <w:r w:rsidRPr="00C60FC3">
              <w:rPr>
                <w:sz w:val="18"/>
                <w:szCs w:val="18"/>
                <w:lang w:val="es-ES_tradnl"/>
              </w:rPr>
              <w:tab/>
              <w:t>Número de contribuyentes de datos presentes en la base de datos PLUTO al final de 2012:</w:t>
            </w:r>
            <w:r w:rsidRPr="00C60FC3">
              <w:rPr>
                <w:sz w:val="18"/>
                <w:szCs w:val="18"/>
                <w:lang w:val="es-ES_tradnl"/>
              </w:rPr>
              <w:br/>
              <w:t>52   (48 en 2011)</w:t>
            </w:r>
          </w:p>
          <w:p w:rsidR="00B43D13" w:rsidRPr="00C60FC3" w:rsidRDefault="00B43D13" w:rsidP="00BF2668">
            <w:pPr>
              <w:tabs>
                <w:tab w:val="left" w:pos="176"/>
                <w:tab w:val="left" w:pos="2302"/>
              </w:tabs>
              <w:spacing w:after="120"/>
              <w:ind w:left="459" w:hanging="459"/>
              <w:jc w:val="left"/>
              <w:rPr>
                <w:sz w:val="18"/>
                <w:szCs w:val="18"/>
                <w:lang w:val="es-ES_tradnl"/>
              </w:rPr>
            </w:pPr>
            <w:r w:rsidRPr="00C60FC3">
              <w:rPr>
                <w:sz w:val="18"/>
                <w:szCs w:val="18"/>
                <w:lang w:val="es-ES_tradnl"/>
              </w:rPr>
              <w:t xml:space="preserve">- </w:t>
            </w:r>
            <w:r w:rsidRPr="00C60FC3">
              <w:rPr>
                <w:sz w:val="18"/>
                <w:szCs w:val="18"/>
                <w:lang w:val="es-ES_tradnl"/>
              </w:rPr>
              <w:tab/>
              <w:t>Número de miembros de la Unión que aportaron datos en 2012:</w:t>
            </w:r>
            <w:r w:rsidRPr="00C60FC3">
              <w:rPr>
                <w:sz w:val="18"/>
                <w:szCs w:val="18"/>
                <w:lang w:val="es-ES_tradnl"/>
              </w:rPr>
              <w:br/>
              <w:t>45   (41 en 2011)</w:t>
            </w:r>
          </w:p>
          <w:p w:rsidR="00B43D13" w:rsidRPr="00C60FC3" w:rsidRDefault="00B43D13" w:rsidP="00BF2668">
            <w:pPr>
              <w:tabs>
                <w:tab w:val="left" w:pos="176"/>
              </w:tabs>
              <w:spacing w:after="120"/>
              <w:ind w:left="459" w:hanging="459"/>
              <w:jc w:val="left"/>
              <w:rPr>
                <w:sz w:val="18"/>
                <w:szCs w:val="18"/>
                <w:lang w:val="es-ES_tradnl"/>
              </w:rPr>
            </w:pPr>
            <w:r w:rsidRPr="00C60FC3">
              <w:rPr>
                <w:sz w:val="18"/>
                <w:szCs w:val="18"/>
                <w:lang w:val="es-ES_tradnl"/>
              </w:rPr>
              <w:t xml:space="preserve">- </w:t>
            </w:r>
            <w:r w:rsidRPr="00C60FC3">
              <w:rPr>
                <w:sz w:val="18"/>
                <w:szCs w:val="18"/>
                <w:lang w:val="es-ES_tradnl"/>
              </w:rPr>
              <w:tab/>
              <w:t>Número de miembros de la Unión que aportaron datos por primera vez en 2012:</w:t>
            </w:r>
            <w:r w:rsidRPr="00C60FC3">
              <w:rPr>
                <w:sz w:val="18"/>
                <w:szCs w:val="18"/>
                <w:lang w:val="es-ES_tradnl"/>
              </w:rPr>
              <w:br/>
              <w:t>4 (BY, CN, MA, MX)   (3 en 2011 (HR, IL, IS))</w:t>
            </w:r>
          </w:p>
          <w:p w:rsidR="00B43D13" w:rsidRPr="00C60FC3" w:rsidRDefault="00B43D13" w:rsidP="00BF2668">
            <w:pPr>
              <w:tabs>
                <w:tab w:val="left" w:pos="176"/>
              </w:tabs>
              <w:spacing w:after="120"/>
              <w:ind w:left="459" w:hanging="459"/>
              <w:jc w:val="left"/>
              <w:rPr>
                <w:sz w:val="18"/>
                <w:szCs w:val="18"/>
                <w:lang w:val="es-ES_tradnl"/>
              </w:rPr>
            </w:pPr>
            <w:r w:rsidRPr="00C60FC3">
              <w:rPr>
                <w:sz w:val="18"/>
                <w:szCs w:val="18"/>
                <w:lang w:val="es-ES_tradnl"/>
              </w:rPr>
              <w:t xml:space="preserve">- </w:t>
            </w:r>
            <w:r w:rsidRPr="00C60FC3">
              <w:rPr>
                <w:sz w:val="18"/>
                <w:szCs w:val="18"/>
                <w:lang w:val="es-ES_tradnl"/>
              </w:rPr>
              <w:tab/>
              <w:t>Otros contribuyentes de datos en 2012:</w:t>
            </w:r>
            <w:r w:rsidRPr="00C60FC3">
              <w:rPr>
                <w:sz w:val="18"/>
                <w:szCs w:val="18"/>
                <w:lang w:val="es-ES_tradnl"/>
              </w:rPr>
              <w:br/>
              <w:t>1 (OCDE)   (1 en 2011 (OCDE))</w:t>
            </w: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jc w:val="left"/>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jc w:val="left"/>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18384D" w:rsidRDefault="00B43D13" w:rsidP="0018384D">
            <w:pPr>
              <w:jc w:val="left"/>
              <w:rPr>
                <w:sz w:val="18"/>
                <w:szCs w:val="18"/>
              </w:rPr>
            </w:pPr>
            <w:r w:rsidRPr="0018384D">
              <w:rPr>
                <w:i/>
                <w:sz w:val="18"/>
                <w:szCs w:val="18"/>
              </w:rPr>
              <w:t xml:space="preserve">3.  Cooperación en materia de examen de variedades vegetales para la obtención de derechos de obtentor </w:t>
            </w:r>
            <w:r w:rsidRPr="0018384D">
              <w:rPr>
                <w:sz w:val="18"/>
                <w:szCs w:val="18"/>
              </w:rPr>
              <w:t>(continuación)</w:t>
            </w:r>
          </w:p>
        </w:tc>
        <w:tc>
          <w:tcPr>
            <w:tcW w:w="7796" w:type="dxa"/>
          </w:tcPr>
          <w:p w:rsidR="00B43D13" w:rsidRPr="00C60FC3" w:rsidRDefault="00B43D13" w:rsidP="00BF2668">
            <w:pPr>
              <w:jc w:val="left"/>
              <w:rPr>
                <w:sz w:val="18"/>
                <w:szCs w:val="18"/>
                <w:lang w:val="es-ES_tradnl"/>
              </w:rPr>
            </w:pPr>
            <w:r w:rsidRPr="00C60FC3">
              <w:rPr>
                <w:i/>
                <w:sz w:val="18"/>
                <w:szCs w:val="18"/>
                <w:lang w:val="es-ES_tradnl"/>
              </w:rPr>
              <w:t>d)  Calidad e integridad de los datos de la Base de datos sobre variedades vegetales y calidad del mecanismo de búsqueda;  mecanismos de acceso a otros datos pertinentes</w:t>
            </w:r>
            <w:r w:rsidRPr="00C60FC3">
              <w:rPr>
                <w:sz w:val="18"/>
                <w:szCs w:val="18"/>
                <w:lang w:val="es-ES_tradnl"/>
              </w:rPr>
              <w:t xml:space="preserve"> (continuación)</w:t>
            </w:r>
          </w:p>
          <w:p w:rsidR="00B43D13" w:rsidRPr="00C60FC3" w:rsidRDefault="00B43D13" w:rsidP="00BF2668">
            <w:pPr>
              <w:jc w:val="left"/>
              <w:rPr>
                <w:sz w:val="18"/>
                <w:szCs w:val="18"/>
                <w:lang w:val="es-ES_tradnl"/>
              </w:rPr>
            </w:pPr>
          </w:p>
          <w:p w:rsidR="00B43D13" w:rsidRPr="00C60FC3" w:rsidRDefault="00B43D13" w:rsidP="00BF2668">
            <w:pPr>
              <w:jc w:val="left"/>
              <w:rPr>
                <w:sz w:val="18"/>
                <w:szCs w:val="18"/>
                <w:lang w:val="es-ES_tradnl"/>
              </w:rPr>
            </w:pPr>
            <w:r w:rsidRPr="00C60FC3">
              <w:rPr>
                <w:sz w:val="18"/>
                <w:szCs w:val="18"/>
                <w:lang w:val="es-ES_tradnl"/>
              </w:rPr>
              <w:t>Se han efectuado las siguientes mejoras en relación con la Base de datos sobre variedades vegetales (base de datos PLUTO):</w:t>
            </w:r>
          </w:p>
          <w:p w:rsidR="00B43D13" w:rsidRPr="00C60FC3" w:rsidRDefault="00B43D13" w:rsidP="00BF2668">
            <w:pPr>
              <w:jc w:val="left"/>
              <w:rPr>
                <w:sz w:val="18"/>
                <w:szCs w:val="18"/>
                <w:lang w:val="es-ES_tradnl"/>
              </w:rPr>
            </w:pPr>
          </w:p>
          <w:p w:rsidR="00B43D13" w:rsidRPr="00C60FC3" w:rsidRDefault="00B43D13" w:rsidP="00BF2668">
            <w:pPr>
              <w:pStyle w:val="ListParagraph"/>
              <w:numPr>
                <w:ilvl w:val="0"/>
                <w:numId w:val="21"/>
              </w:numPr>
              <w:jc w:val="left"/>
              <w:rPr>
                <w:sz w:val="18"/>
                <w:szCs w:val="18"/>
                <w:lang w:val="es-ES_tradnl"/>
              </w:rPr>
            </w:pPr>
            <w:r w:rsidRPr="00C60FC3">
              <w:rPr>
                <w:sz w:val="18"/>
                <w:szCs w:val="18"/>
                <w:lang w:val="es-ES_tradnl"/>
              </w:rPr>
              <w:t>Nuevas funciones:</w:t>
            </w:r>
          </w:p>
          <w:p w:rsidR="00B43D13" w:rsidRPr="00C60FC3" w:rsidRDefault="00B43D13" w:rsidP="00BF2668">
            <w:pPr>
              <w:jc w:val="left"/>
              <w:rPr>
                <w:sz w:val="18"/>
                <w:szCs w:val="18"/>
                <w:lang w:val="es-ES_tradnl"/>
              </w:rPr>
            </w:pPr>
          </w:p>
          <w:p w:rsidR="00B43D13" w:rsidRPr="00C60FC3" w:rsidRDefault="00B43D13" w:rsidP="00BF2668">
            <w:pPr>
              <w:pStyle w:val="ListParagraph"/>
              <w:numPr>
                <w:ilvl w:val="0"/>
                <w:numId w:val="42"/>
              </w:numPr>
              <w:spacing w:after="60"/>
              <w:ind w:left="1162" w:hanging="357"/>
              <w:contextualSpacing w:val="0"/>
              <w:jc w:val="left"/>
              <w:rPr>
                <w:sz w:val="18"/>
                <w:szCs w:val="18"/>
                <w:lang w:val="es-ES_tradnl"/>
              </w:rPr>
            </w:pPr>
            <w:r w:rsidRPr="00C60FC3">
              <w:rPr>
                <w:sz w:val="18"/>
                <w:szCs w:val="18"/>
                <w:lang w:val="es-ES_tradnl"/>
              </w:rPr>
              <w:t>una página para la búsqueda de denominaciones de variedades;</w:t>
            </w:r>
          </w:p>
          <w:p w:rsidR="00B43D13" w:rsidRPr="00C60FC3" w:rsidRDefault="00B43D13" w:rsidP="00BF2668">
            <w:pPr>
              <w:pStyle w:val="ListParagraph"/>
              <w:numPr>
                <w:ilvl w:val="0"/>
                <w:numId w:val="42"/>
              </w:numPr>
              <w:spacing w:after="60"/>
              <w:ind w:left="1162" w:hanging="357"/>
              <w:contextualSpacing w:val="0"/>
              <w:jc w:val="left"/>
              <w:rPr>
                <w:sz w:val="18"/>
                <w:szCs w:val="18"/>
                <w:lang w:val="es-ES_tradnl"/>
              </w:rPr>
            </w:pPr>
            <w:r w:rsidRPr="00C60FC3">
              <w:rPr>
                <w:sz w:val="18"/>
                <w:szCs w:val="18"/>
                <w:lang w:val="es-ES_tradnl"/>
              </w:rPr>
              <w:t>posibilidad de guardar las configuraciones de búsqueda en la base de datos PLUTO;</w:t>
            </w:r>
          </w:p>
          <w:p w:rsidR="00B43D13" w:rsidRPr="00C60FC3" w:rsidRDefault="00B43D13" w:rsidP="00BF2668">
            <w:pPr>
              <w:pStyle w:val="ListParagraph"/>
              <w:numPr>
                <w:ilvl w:val="0"/>
                <w:numId w:val="42"/>
              </w:numPr>
              <w:spacing w:after="60"/>
              <w:ind w:left="1162" w:hanging="357"/>
              <w:contextualSpacing w:val="0"/>
              <w:jc w:val="left"/>
              <w:rPr>
                <w:sz w:val="18"/>
                <w:szCs w:val="18"/>
                <w:lang w:val="es-ES_tradnl"/>
              </w:rPr>
            </w:pPr>
            <w:r w:rsidRPr="00C60FC3">
              <w:rPr>
                <w:sz w:val="18"/>
                <w:szCs w:val="18"/>
                <w:lang w:val="es-ES_tradnl"/>
              </w:rPr>
              <w:t xml:space="preserve">los usuarios de la base de datos PLUTO deben registrarse para poder utilizarla, de modo que esa información pueda emplearse en subsiguientes mejoras; </w:t>
            </w:r>
          </w:p>
          <w:p w:rsidR="00B43D13" w:rsidRPr="00C60FC3" w:rsidRDefault="00B43D13" w:rsidP="00BF2668">
            <w:pPr>
              <w:pStyle w:val="ListParagraph"/>
              <w:numPr>
                <w:ilvl w:val="0"/>
                <w:numId w:val="42"/>
              </w:numPr>
              <w:spacing w:after="60"/>
              <w:ind w:left="1162" w:hanging="357"/>
              <w:contextualSpacing w:val="0"/>
              <w:jc w:val="left"/>
              <w:rPr>
                <w:sz w:val="18"/>
                <w:szCs w:val="18"/>
                <w:lang w:val="es-ES_tradnl"/>
              </w:rPr>
            </w:pPr>
            <w:r w:rsidRPr="00C60FC3">
              <w:rPr>
                <w:sz w:val="18"/>
                <w:szCs w:val="18"/>
                <w:lang w:val="es-ES_tradnl"/>
              </w:rPr>
              <w:t>adopción de medidas para permitir la introducción de datos en el alfabeto original, además del alfabeto latino;  e</w:t>
            </w:r>
          </w:p>
          <w:p w:rsidR="00B43D13" w:rsidRPr="00C60FC3" w:rsidRDefault="00B43D13" w:rsidP="00BF2668">
            <w:pPr>
              <w:pStyle w:val="ListParagraph"/>
              <w:numPr>
                <w:ilvl w:val="0"/>
                <w:numId w:val="42"/>
              </w:numPr>
              <w:ind w:left="1168"/>
              <w:jc w:val="left"/>
              <w:rPr>
                <w:sz w:val="18"/>
                <w:szCs w:val="18"/>
                <w:lang w:val="es-ES_tradnl"/>
              </w:rPr>
            </w:pPr>
            <w:r w:rsidRPr="00C60FC3">
              <w:rPr>
                <w:sz w:val="18"/>
                <w:szCs w:val="18"/>
                <w:lang w:val="es-ES_tradnl"/>
              </w:rPr>
              <w:t>introducción de la posibilidad de que quienes aportan datos a la Base de datos sobre variedades vegetales proporcionen información sobre las fechas en las que se haya comercializado por primera vez la variedad en el territorio de la solicitud y en otros territorios.</w:t>
            </w:r>
          </w:p>
          <w:p w:rsidR="00B43D13" w:rsidRPr="00C60FC3" w:rsidRDefault="00B43D13" w:rsidP="00BF2668">
            <w:pPr>
              <w:jc w:val="left"/>
              <w:rPr>
                <w:sz w:val="18"/>
                <w:szCs w:val="18"/>
                <w:lang w:val="es-ES_tradnl"/>
              </w:rPr>
            </w:pPr>
          </w:p>
          <w:p w:rsidR="00B43D13" w:rsidRPr="00C60FC3" w:rsidRDefault="00B43D13" w:rsidP="00BF2668">
            <w:pPr>
              <w:pStyle w:val="ListParagraph"/>
              <w:numPr>
                <w:ilvl w:val="0"/>
                <w:numId w:val="21"/>
              </w:numPr>
              <w:jc w:val="left"/>
              <w:rPr>
                <w:sz w:val="18"/>
                <w:szCs w:val="18"/>
                <w:lang w:val="es-ES_tradnl"/>
              </w:rPr>
            </w:pPr>
            <w:r w:rsidRPr="00C60FC3">
              <w:rPr>
                <w:sz w:val="18"/>
                <w:szCs w:val="18"/>
                <w:lang w:val="es-ES_tradnl"/>
              </w:rPr>
              <w:t>Se han elaborado soluciones para que Kenya y Sudáfrica puedan introducir datos sin usar el formato de etiquetas.</w:t>
            </w:r>
          </w:p>
          <w:p w:rsidR="00B43D13" w:rsidRPr="00C60FC3" w:rsidRDefault="00B43D13" w:rsidP="00BF2668">
            <w:pPr>
              <w:jc w:val="left"/>
              <w:rPr>
                <w:sz w:val="18"/>
                <w:szCs w:val="18"/>
                <w:lang w:val="es-ES_tradnl"/>
              </w:rPr>
            </w:pPr>
          </w:p>
          <w:p w:rsidR="00B43D13" w:rsidRPr="00C60FC3" w:rsidRDefault="00B43D13" w:rsidP="00BF2668">
            <w:pPr>
              <w:pStyle w:val="ListParagraph"/>
              <w:numPr>
                <w:ilvl w:val="0"/>
                <w:numId w:val="21"/>
              </w:numPr>
              <w:jc w:val="left"/>
              <w:rPr>
                <w:sz w:val="18"/>
                <w:szCs w:val="18"/>
                <w:lang w:val="es-ES_tradnl"/>
              </w:rPr>
            </w:pPr>
            <w:r w:rsidRPr="00C60FC3">
              <w:rPr>
                <w:sz w:val="18"/>
                <w:szCs w:val="18"/>
                <w:lang w:val="es-ES_tradnl"/>
              </w:rPr>
              <w:t xml:space="preserve">La Unidad de Bases de Datos de Marcas de la OMPI ha elaborado un método para proporcionar los códigos UPOV que falten con respecto a la información presentada para la Base de datos sobre variedades vegetales.  Sobre esa base, se han asignado códigos UPOV para prácticamente todas las entradas de la Base de datos sobre variedades vegetales.    </w:t>
            </w:r>
          </w:p>
          <w:p w:rsidR="00B43D13" w:rsidRPr="00C60FC3" w:rsidRDefault="00B43D13" w:rsidP="00BF2668">
            <w:pPr>
              <w:jc w:val="left"/>
              <w:rPr>
                <w:sz w:val="18"/>
                <w:szCs w:val="18"/>
                <w:lang w:val="es-ES_tradnl"/>
              </w:rPr>
            </w:pPr>
          </w:p>
          <w:p w:rsidR="00B43D13" w:rsidRPr="00C60FC3" w:rsidRDefault="00800C19" w:rsidP="00BF2668">
            <w:pPr>
              <w:pStyle w:val="ListParagraph"/>
              <w:numPr>
                <w:ilvl w:val="0"/>
                <w:numId w:val="21"/>
              </w:numPr>
              <w:jc w:val="left"/>
              <w:rPr>
                <w:sz w:val="18"/>
                <w:szCs w:val="18"/>
                <w:lang w:val="es-ES_tradnl"/>
              </w:rPr>
            </w:pPr>
            <w:r>
              <w:rPr>
                <w:sz w:val="18"/>
                <w:szCs w:val="18"/>
                <w:lang w:val="es-ES_tradnl"/>
              </w:rPr>
              <w:t>Elaboración de</w:t>
            </w:r>
            <w:r w:rsidR="00B43D13" w:rsidRPr="00C60FC3">
              <w:rPr>
                <w:sz w:val="18"/>
                <w:szCs w:val="18"/>
                <w:lang w:val="es-ES_tradnl"/>
              </w:rPr>
              <w:t xml:space="preserve"> la versión de la UPOV de la UPOV-ROM.  </w:t>
            </w:r>
          </w:p>
        </w:tc>
      </w:tr>
    </w:tbl>
    <w:p w:rsidR="00B43D13" w:rsidRPr="00C60FC3" w:rsidRDefault="00B43D13" w:rsidP="00BF2668">
      <w:pPr>
        <w:rPr>
          <w:lang w:val="es-ES_tradnl"/>
        </w:rPr>
      </w:pPr>
    </w:p>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cantSplit/>
        </w:trPr>
        <w:tc>
          <w:tcPr>
            <w:tcW w:w="2093" w:type="dxa"/>
          </w:tcPr>
          <w:p w:rsidR="00B43D13" w:rsidRPr="00C60FC3" w:rsidRDefault="00B43D13" w:rsidP="00BF2668">
            <w:pPr>
              <w:pStyle w:val="Heading6"/>
              <w:rPr>
                <w:lang w:val="es-ES_tradnl"/>
              </w:rPr>
            </w:pPr>
          </w:p>
        </w:tc>
        <w:tc>
          <w:tcPr>
            <w:tcW w:w="7796" w:type="dxa"/>
          </w:tcPr>
          <w:p w:rsidR="00B43D13" w:rsidRPr="00C60FC3" w:rsidRDefault="00B43D13" w:rsidP="00BF2668">
            <w:pPr>
              <w:pStyle w:val="Heading8"/>
              <w:rPr>
                <w:lang w:val="es-ES_tradnl"/>
              </w:rPr>
            </w:pPr>
            <w:bookmarkStart w:id="88" w:name="_Toc368060318"/>
            <w:r w:rsidRPr="00C60FC3">
              <w:rPr>
                <w:lang w:val="es-ES_tradnl"/>
              </w:rPr>
              <w:t>e)  Programas informáticos para intercambio incluidos en el documento UPOV/INF/16 “Programas informáticos para intercambio”</w:t>
            </w:r>
            <w:bookmarkEnd w:id="88"/>
          </w:p>
          <w:p w:rsidR="00B43D13" w:rsidRPr="00C60FC3" w:rsidRDefault="00B43D13" w:rsidP="00BF2668">
            <w:pPr>
              <w:rPr>
                <w:sz w:val="18"/>
                <w:szCs w:val="18"/>
                <w:lang w:val="es-ES_tradnl"/>
              </w:rPr>
            </w:pPr>
            <w:r w:rsidRPr="00C60FC3">
              <w:rPr>
                <w:sz w:val="18"/>
                <w:szCs w:val="18"/>
                <w:lang w:val="es-ES_tradnl"/>
              </w:rPr>
              <w:t xml:space="preserve">En 2012 se propuso incluir los dos programas informáticos siguientes en el documento UPOV/INF/16: </w:t>
            </w:r>
          </w:p>
          <w:p w:rsidR="00B43D13" w:rsidRPr="00C60FC3" w:rsidRDefault="00B43D13" w:rsidP="00BF2668">
            <w:pPr>
              <w:rPr>
                <w:sz w:val="18"/>
                <w:szCs w:val="18"/>
                <w:lang w:val="es-ES_tradnl"/>
              </w:rPr>
            </w:pPr>
          </w:p>
          <w:tbl>
            <w:tblPr>
              <w:tblW w:w="7849" w:type="dxa"/>
              <w:tblLayout w:type="fixed"/>
              <w:tblLook w:val="00A0" w:firstRow="1" w:lastRow="0" w:firstColumn="1" w:lastColumn="0" w:noHBand="0" w:noVBand="0"/>
            </w:tblPr>
            <w:tblGrid>
              <w:gridCol w:w="2018"/>
              <w:gridCol w:w="2977"/>
              <w:gridCol w:w="2854"/>
            </w:tblGrid>
            <w:tr w:rsidR="00B43D13" w:rsidRPr="00C60FC3" w:rsidTr="00025F76">
              <w:tc>
                <w:tcPr>
                  <w:tcW w:w="2018" w:type="dxa"/>
                </w:tcPr>
                <w:p w:rsidR="00B43D13" w:rsidRPr="00C60FC3" w:rsidRDefault="00B43D13" w:rsidP="00BF2668">
                  <w:pPr>
                    <w:spacing w:after="120"/>
                    <w:rPr>
                      <w:sz w:val="18"/>
                      <w:szCs w:val="18"/>
                      <w:u w:val="single"/>
                      <w:lang w:val="es-ES_tradnl"/>
                    </w:rPr>
                  </w:pPr>
                  <w:r w:rsidRPr="00C60FC3">
                    <w:rPr>
                      <w:sz w:val="18"/>
                      <w:szCs w:val="18"/>
                      <w:u w:val="single"/>
                      <w:lang w:val="es-ES_tradnl"/>
                    </w:rPr>
                    <w:t>Nombre del programa</w:t>
                  </w:r>
                </w:p>
              </w:tc>
              <w:tc>
                <w:tcPr>
                  <w:tcW w:w="2977" w:type="dxa"/>
                </w:tcPr>
                <w:p w:rsidR="00B43D13" w:rsidRPr="00C60FC3" w:rsidRDefault="00B43D13" w:rsidP="00BF2668">
                  <w:pPr>
                    <w:spacing w:after="120"/>
                    <w:rPr>
                      <w:sz w:val="18"/>
                      <w:szCs w:val="18"/>
                      <w:u w:val="single"/>
                      <w:lang w:val="es-ES_tradnl"/>
                    </w:rPr>
                  </w:pPr>
                  <w:r w:rsidRPr="00C60FC3">
                    <w:rPr>
                      <w:sz w:val="18"/>
                      <w:szCs w:val="18"/>
                      <w:u w:val="single"/>
                      <w:lang w:val="es-ES_tradnl"/>
                    </w:rPr>
                    <w:t>Categoría</w:t>
                  </w:r>
                </w:p>
              </w:tc>
              <w:tc>
                <w:tcPr>
                  <w:tcW w:w="2854" w:type="dxa"/>
                </w:tcPr>
                <w:p w:rsidR="00B43D13" w:rsidRPr="00C60FC3" w:rsidRDefault="00B43D13" w:rsidP="00BF2668">
                  <w:pPr>
                    <w:spacing w:after="120"/>
                    <w:rPr>
                      <w:sz w:val="18"/>
                      <w:szCs w:val="18"/>
                      <w:u w:val="single"/>
                      <w:lang w:val="es-ES_tradnl"/>
                    </w:rPr>
                  </w:pPr>
                  <w:r w:rsidRPr="00C60FC3">
                    <w:rPr>
                      <w:sz w:val="18"/>
                      <w:szCs w:val="18"/>
                      <w:u w:val="single"/>
                      <w:lang w:val="es-ES_tradnl"/>
                    </w:rPr>
                    <w:t>País que formuló la propuesta</w:t>
                  </w:r>
                </w:p>
              </w:tc>
            </w:tr>
            <w:tr w:rsidR="00B43D13" w:rsidRPr="00C60FC3" w:rsidTr="00025F76">
              <w:tc>
                <w:tcPr>
                  <w:tcW w:w="2018" w:type="dxa"/>
                </w:tcPr>
                <w:p w:rsidR="00B43D13" w:rsidRPr="00C60FC3" w:rsidRDefault="00B43D13" w:rsidP="00BF2668">
                  <w:pPr>
                    <w:rPr>
                      <w:sz w:val="18"/>
                      <w:szCs w:val="18"/>
                      <w:lang w:val="es-ES_tradnl"/>
                    </w:rPr>
                  </w:pPr>
                  <w:r w:rsidRPr="00C60FC3">
                    <w:rPr>
                      <w:sz w:val="18"/>
                      <w:szCs w:val="18"/>
                      <w:lang w:val="es-ES_tradnl"/>
                    </w:rPr>
                    <w:t>ZAJVKA</w:t>
                  </w:r>
                </w:p>
              </w:tc>
              <w:tc>
                <w:tcPr>
                  <w:tcW w:w="2977" w:type="dxa"/>
                </w:tcPr>
                <w:p w:rsidR="00B43D13" w:rsidRPr="00C60FC3" w:rsidRDefault="00B43D13" w:rsidP="00BF2668">
                  <w:pPr>
                    <w:rPr>
                      <w:sz w:val="18"/>
                      <w:szCs w:val="18"/>
                      <w:lang w:val="es-ES_tradnl"/>
                    </w:rPr>
                  </w:pPr>
                  <w:r w:rsidRPr="00C60FC3">
                    <w:rPr>
                      <w:sz w:val="18"/>
                      <w:szCs w:val="18"/>
                      <w:lang w:val="es-ES_tradnl"/>
                    </w:rPr>
                    <w:t>Diseño de ensayos DHE y análisis de datos</w:t>
                  </w:r>
                </w:p>
              </w:tc>
              <w:tc>
                <w:tcPr>
                  <w:tcW w:w="2854" w:type="dxa"/>
                </w:tcPr>
                <w:p w:rsidR="00B43D13" w:rsidRPr="00C60FC3" w:rsidRDefault="00B43D13" w:rsidP="00BF2668">
                  <w:pPr>
                    <w:rPr>
                      <w:sz w:val="18"/>
                      <w:szCs w:val="18"/>
                      <w:lang w:val="es-ES_tradnl"/>
                    </w:rPr>
                  </w:pPr>
                  <w:r w:rsidRPr="00C60FC3">
                    <w:rPr>
                      <w:sz w:val="18"/>
                      <w:szCs w:val="18"/>
                      <w:lang w:val="es-ES_tradnl"/>
                    </w:rPr>
                    <w:t>Federación de Rusia</w:t>
                  </w:r>
                </w:p>
              </w:tc>
            </w:tr>
            <w:tr w:rsidR="00B43D13" w:rsidRPr="00C60FC3" w:rsidTr="00025F76">
              <w:tc>
                <w:tcPr>
                  <w:tcW w:w="2018" w:type="dxa"/>
                </w:tcPr>
                <w:p w:rsidR="00B43D13" w:rsidRPr="00C60FC3" w:rsidRDefault="00B43D13" w:rsidP="00BF2668">
                  <w:pPr>
                    <w:rPr>
                      <w:sz w:val="18"/>
                      <w:szCs w:val="18"/>
                      <w:lang w:val="es-ES_tradnl"/>
                    </w:rPr>
                  </w:pPr>
                  <w:r w:rsidRPr="00C60FC3">
                    <w:rPr>
                      <w:sz w:val="18"/>
                      <w:szCs w:val="18"/>
                      <w:lang w:val="es-ES_tradnl"/>
                    </w:rPr>
                    <w:t>AIM</w:t>
                  </w:r>
                </w:p>
              </w:tc>
              <w:tc>
                <w:tcPr>
                  <w:tcW w:w="2977" w:type="dxa"/>
                </w:tcPr>
                <w:p w:rsidR="00B43D13" w:rsidRPr="00C60FC3" w:rsidRDefault="00B43D13" w:rsidP="00BF2668">
                  <w:pPr>
                    <w:rPr>
                      <w:sz w:val="18"/>
                      <w:szCs w:val="18"/>
                      <w:lang w:val="es-ES_tradnl"/>
                    </w:rPr>
                  </w:pPr>
                  <w:r w:rsidRPr="00C60FC3">
                    <w:rPr>
                      <w:sz w:val="18"/>
                      <w:szCs w:val="18"/>
                      <w:lang w:val="es-ES_tradnl"/>
                    </w:rPr>
                    <w:t>Análisis de imágenes</w:t>
                  </w:r>
                </w:p>
              </w:tc>
              <w:tc>
                <w:tcPr>
                  <w:tcW w:w="2854" w:type="dxa"/>
                </w:tcPr>
                <w:p w:rsidR="00B43D13" w:rsidRPr="00C60FC3" w:rsidRDefault="00B43D13" w:rsidP="00BF2668">
                  <w:pPr>
                    <w:rPr>
                      <w:sz w:val="18"/>
                      <w:szCs w:val="18"/>
                      <w:lang w:val="es-ES_tradnl"/>
                    </w:rPr>
                  </w:pPr>
                  <w:r w:rsidRPr="00C60FC3">
                    <w:rPr>
                      <w:sz w:val="18"/>
                      <w:szCs w:val="18"/>
                      <w:lang w:val="es-ES_tradnl"/>
                    </w:rPr>
                    <w:t>Francia</w:t>
                  </w:r>
                </w:p>
              </w:tc>
            </w:tr>
          </w:tbl>
          <w:p w:rsidR="00B43D13" w:rsidRPr="00C60FC3" w:rsidRDefault="00B43D13" w:rsidP="00BF2668">
            <w:pPr>
              <w:rPr>
                <w:sz w:val="18"/>
                <w:szCs w:val="18"/>
                <w:lang w:val="es-ES_tradnl"/>
              </w:rPr>
            </w:pP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89" w:name="_Toc368060319"/>
            <w:r w:rsidRPr="00C60FC3">
              <w:rPr>
                <w:lang w:val="es-ES_tradnl"/>
              </w:rPr>
              <w:t>4.  Participación de los miembros de la Unión y los sectores interesados e</w:t>
            </w:r>
            <w:r w:rsidR="001257C0">
              <w:rPr>
                <w:lang w:val="es-ES_tradnl"/>
              </w:rPr>
              <w:t>n la labor de los órganos de la </w:t>
            </w:r>
            <w:r w:rsidRPr="00C60FC3">
              <w:rPr>
                <w:lang w:val="es-ES_tradnl"/>
              </w:rPr>
              <w:t>UPOV</w:t>
            </w:r>
            <w:bookmarkEnd w:id="89"/>
          </w:p>
        </w:tc>
        <w:tc>
          <w:tcPr>
            <w:tcW w:w="7796" w:type="dxa"/>
          </w:tcPr>
          <w:p w:rsidR="00B43D13" w:rsidRPr="00C60FC3" w:rsidRDefault="00B43D13" w:rsidP="00BF2668">
            <w:pPr>
              <w:pStyle w:val="Heading8"/>
              <w:rPr>
                <w:lang w:val="es-ES_tradnl"/>
              </w:rPr>
            </w:pPr>
            <w:bookmarkStart w:id="90" w:name="_Toc368060320"/>
            <w:r w:rsidRPr="00C60FC3">
              <w:rPr>
                <w:lang w:val="es-ES_tradnl"/>
              </w:rPr>
              <w:t>a)  Participación en el Comité Administrativo y Jurídico</w:t>
            </w:r>
            <w:bookmarkEnd w:id="90"/>
          </w:p>
          <w:p w:rsidR="00B43D13" w:rsidRPr="00C60FC3" w:rsidRDefault="00B43D13" w:rsidP="00BF2668">
            <w:pPr>
              <w:tabs>
                <w:tab w:val="left" w:pos="885"/>
              </w:tabs>
              <w:ind w:left="885" w:hanging="885"/>
              <w:jc w:val="left"/>
              <w:rPr>
                <w:sz w:val="18"/>
                <w:szCs w:val="18"/>
                <w:lang w:val="es-ES_tradnl"/>
              </w:rPr>
            </w:pPr>
            <w:r w:rsidRPr="00C60FC3">
              <w:rPr>
                <w:sz w:val="18"/>
                <w:szCs w:val="18"/>
                <w:lang w:val="es-ES_tradnl"/>
              </w:rPr>
              <w:t>CAJ/65</w:t>
            </w:r>
            <w:r w:rsidRPr="00C60FC3">
              <w:rPr>
                <w:sz w:val="18"/>
                <w:szCs w:val="18"/>
                <w:lang w:val="es-ES_tradnl"/>
              </w:rPr>
              <w:tab/>
              <w:t>96 participantes en representación de 39 miembros de la Unión, 4 Estados observadores y 7 organizaciones observadoras</w:t>
            </w:r>
          </w:p>
          <w:p w:rsidR="00B43D13" w:rsidRPr="00C60FC3" w:rsidRDefault="00B43D13" w:rsidP="00BF2668">
            <w:pPr>
              <w:tabs>
                <w:tab w:val="left" w:pos="885"/>
              </w:tabs>
              <w:ind w:left="885" w:hanging="885"/>
              <w:jc w:val="left"/>
              <w:rPr>
                <w:sz w:val="18"/>
                <w:szCs w:val="18"/>
                <w:lang w:val="es-ES_tradnl"/>
              </w:rPr>
            </w:pPr>
            <w:r w:rsidRPr="00C60FC3">
              <w:rPr>
                <w:sz w:val="18"/>
                <w:szCs w:val="18"/>
                <w:lang w:val="es-ES_tradnl"/>
              </w:rPr>
              <w:t>CAJ/66</w:t>
            </w:r>
            <w:r w:rsidRPr="00C60FC3">
              <w:rPr>
                <w:sz w:val="18"/>
                <w:szCs w:val="18"/>
                <w:lang w:val="es-ES_tradnl"/>
              </w:rPr>
              <w:tab/>
              <w:t>85 participantes en representación de 36 miembros de la Unión, 3 Estados observadores y 7 organizaciones observadoras</w:t>
            </w:r>
          </w:p>
          <w:p w:rsidR="00B43D13" w:rsidRPr="00C60FC3" w:rsidRDefault="00B43D13" w:rsidP="00BF2668">
            <w:pPr>
              <w:tabs>
                <w:tab w:val="left" w:pos="885"/>
              </w:tabs>
              <w:ind w:left="885" w:hanging="885"/>
              <w:jc w:val="left"/>
              <w:rPr>
                <w:sz w:val="18"/>
                <w:szCs w:val="18"/>
                <w:lang w:val="es-ES_tradnl"/>
              </w:rPr>
            </w:pPr>
          </w:p>
        </w:tc>
      </w:tr>
      <w:tr w:rsidR="00B43D13" w:rsidRPr="00C60FC3" w:rsidTr="0091418C">
        <w:tc>
          <w:tcPr>
            <w:tcW w:w="2093" w:type="dxa"/>
          </w:tcPr>
          <w:p w:rsidR="00B43D13" w:rsidRPr="00C60FC3" w:rsidRDefault="00B43D13" w:rsidP="00BF2668">
            <w:pPr>
              <w:jc w:val="left"/>
              <w:rPr>
                <w:i/>
                <w:color w:val="000000"/>
                <w:sz w:val="18"/>
                <w:szCs w:val="18"/>
                <w:lang w:val="es-ES_tradnl"/>
              </w:rPr>
            </w:pPr>
          </w:p>
        </w:tc>
        <w:tc>
          <w:tcPr>
            <w:tcW w:w="7796" w:type="dxa"/>
          </w:tcPr>
          <w:p w:rsidR="00B43D13" w:rsidRPr="00C60FC3" w:rsidRDefault="00B43D13" w:rsidP="00BF2668">
            <w:pPr>
              <w:pStyle w:val="Heading8"/>
              <w:rPr>
                <w:lang w:val="es-ES_tradnl"/>
              </w:rPr>
            </w:pPr>
            <w:bookmarkStart w:id="91" w:name="_Toc368060321"/>
            <w:r w:rsidRPr="00C60FC3">
              <w:rPr>
                <w:lang w:val="es-ES_tradnl"/>
              </w:rPr>
              <w:t>b)  Participación en el Comité Técnico</w:t>
            </w:r>
            <w:bookmarkEnd w:id="91"/>
          </w:p>
          <w:p w:rsidR="00B43D13" w:rsidRPr="00C60FC3" w:rsidRDefault="00B43D13" w:rsidP="00BF2668">
            <w:pPr>
              <w:tabs>
                <w:tab w:val="left" w:pos="885"/>
              </w:tabs>
              <w:ind w:left="885" w:hanging="885"/>
              <w:jc w:val="left"/>
              <w:rPr>
                <w:sz w:val="18"/>
                <w:szCs w:val="18"/>
                <w:lang w:val="es-ES_tradnl"/>
              </w:rPr>
            </w:pPr>
            <w:r w:rsidRPr="00C60FC3">
              <w:rPr>
                <w:sz w:val="18"/>
                <w:szCs w:val="18"/>
                <w:lang w:val="es-ES_tradnl"/>
              </w:rPr>
              <w:t>TC/48</w:t>
            </w:r>
            <w:r w:rsidRPr="00C60FC3">
              <w:rPr>
                <w:sz w:val="18"/>
                <w:szCs w:val="18"/>
                <w:lang w:val="es-ES_tradnl"/>
              </w:rPr>
              <w:tab/>
              <w:t>94 participantes en representación de 42 miembros de la Unión, 4 Estados observadores, 6 organizaciones observadoras</w:t>
            </w:r>
          </w:p>
          <w:p w:rsidR="00B43D13" w:rsidRPr="00C60FC3" w:rsidRDefault="00B43D13" w:rsidP="00BF2668">
            <w:pPr>
              <w:tabs>
                <w:tab w:val="left" w:pos="885"/>
              </w:tabs>
              <w:ind w:left="885" w:hanging="885"/>
              <w:jc w:val="left"/>
              <w:rPr>
                <w:i/>
                <w:color w:val="000000"/>
                <w:sz w:val="18"/>
                <w:szCs w:val="18"/>
                <w:lang w:val="es-ES_tradnl"/>
              </w:rPr>
            </w:pPr>
          </w:p>
        </w:tc>
      </w:tr>
    </w:tbl>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br w:type="page"/>
      </w: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jc w:val="left"/>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jc w:val="left"/>
              <w:rPr>
                <w:color w:val="000000"/>
                <w:sz w:val="18"/>
                <w:szCs w:val="18"/>
                <w:lang w:val="es-ES_tradnl"/>
              </w:rPr>
            </w:pPr>
            <w:r w:rsidRPr="00C60FC3">
              <w:rPr>
                <w:i/>
                <w:color w:val="000000"/>
                <w:sz w:val="18"/>
                <w:szCs w:val="18"/>
                <w:lang w:val="es-ES_tradnl"/>
              </w:rPr>
              <w:t>4.  Participación de los miembros de la Unión y los sectores interesados en la labor de los órganos de la UPOV</w:t>
            </w:r>
            <w:r w:rsidRPr="00C60FC3">
              <w:rPr>
                <w:color w:val="000000"/>
                <w:sz w:val="18"/>
                <w:szCs w:val="18"/>
                <w:lang w:val="es-ES_tradnl"/>
              </w:rPr>
              <w:t xml:space="preserve"> (continuación)</w:t>
            </w:r>
          </w:p>
        </w:tc>
        <w:tc>
          <w:tcPr>
            <w:tcW w:w="7796" w:type="dxa"/>
          </w:tcPr>
          <w:p w:rsidR="00B43D13" w:rsidRPr="00C60FC3" w:rsidRDefault="00B43D13" w:rsidP="00BF2668">
            <w:pPr>
              <w:pStyle w:val="Heading8"/>
              <w:rPr>
                <w:lang w:val="es-ES_tradnl"/>
              </w:rPr>
            </w:pPr>
            <w:bookmarkStart w:id="92" w:name="_Toc368060322"/>
            <w:r w:rsidRPr="00C60FC3">
              <w:rPr>
                <w:lang w:val="es-ES_tradnl"/>
              </w:rPr>
              <w:t xml:space="preserve">c)  </w:t>
            </w:r>
            <w:r w:rsidRPr="00C60FC3">
              <w:rPr>
                <w:szCs w:val="18"/>
                <w:lang w:val="es-ES_tradnl"/>
              </w:rPr>
              <w:t>Participación en las sesiones de los Grupos de Trabajo Técnico</w:t>
            </w:r>
            <w:bookmarkEnd w:id="92"/>
          </w:p>
          <w:p w:rsidR="00B43D13" w:rsidRPr="00C60FC3" w:rsidRDefault="00B43D13" w:rsidP="00BF2668">
            <w:pPr>
              <w:numPr>
                <w:ilvl w:val="0"/>
                <w:numId w:val="19"/>
              </w:numPr>
              <w:spacing w:after="120"/>
              <w:ind w:left="357" w:hanging="357"/>
              <w:jc w:val="left"/>
              <w:rPr>
                <w:i/>
                <w:color w:val="000000"/>
                <w:sz w:val="18"/>
                <w:szCs w:val="18"/>
                <w:lang w:val="es-ES_tradnl"/>
              </w:rPr>
            </w:pPr>
            <w:r w:rsidRPr="00C60FC3">
              <w:rPr>
                <w:color w:val="000000"/>
                <w:sz w:val="18"/>
                <w:szCs w:val="18"/>
                <w:lang w:val="es-ES_tradnl"/>
              </w:rPr>
              <w:t>Participaron en los Grupos de Trabajo Técnico 260 expertos en representación de 36 miembros de la Unión (miembros), 4 Estados observadores (obs) y 3 organizaciones observadoras (orgs), a saber:</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 xml:space="preserve">TWA (Francia):  </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ab/>
              <w:t>26 miembros (50 participantes) / 1 obs (2) / 2 org (1)</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 xml:space="preserve">TWC (República de Moldova):  </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ab/>
            </w:r>
            <w:r w:rsidRPr="00C60FC3">
              <w:rPr>
                <w:sz w:val="18"/>
                <w:szCs w:val="18"/>
                <w:lang w:val="es-ES_tradnl"/>
              </w:rPr>
              <w:t>20 miembros (51 participantes) / 0 obs (0) / 0 org (0)</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 xml:space="preserve">TWF (China):  </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ab/>
            </w:r>
            <w:r w:rsidRPr="00C60FC3">
              <w:rPr>
                <w:sz w:val="18"/>
                <w:szCs w:val="18"/>
                <w:lang w:val="es-ES_tradnl"/>
              </w:rPr>
              <w:t>16 miembros (49 participantes) / 3 obs (3) / 1 org (1)</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 xml:space="preserve">TWO (República de Corea):  </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ab/>
            </w:r>
            <w:r w:rsidRPr="00C60FC3">
              <w:rPr>
                <w:sz w:val="18"/>
                <w:szCs w:val="18"/>
                <w:lang w:val="es-ES_tradnl"/>
              </w:rPr>
              <w:t>15 miembros (53 participantes) / 4 obs (5) / 2 org (2)</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 xml:space="preserve">TWV (Países Bajos):  </w:t>
            </w:r>
          </w:p>
          <w:p w:rsidR="00B43D13" w:rsidRPr="00C60FC3" w:rsidRDefault="00B43D13" w:rsidP="00BF2668">
            <w:pPr>
              <w:ind w:left="567"/>
              <w:jc w:val="left"/>
              <w:rPr>
                <w:color w:val="000000"/>
                <w:sz w:val="18"/>
                <w:szCs w:val="18"/>
                <w:lang w:val="es-ES_tradnl"/>
              </w:rPr>
            </w:pPr>
            <w:r w:rsidRPr="00C60FC3">
              <w:rPr>
                <w:color w:val="000000"/>
                <w:sz w:val="18"/>
                <w:szCs w:val="18"/>
                <w:lang w:val="es-ES_tradnl"/>
              </w:rPr>
              <w:tab/>
            </w:r>
            <w:r w:rsidRPr="00C60FC3">
              <w:rPr>
                <w:sz w:val="18"/>
                <w:szCs w:val="18"/>
                <w:lang w:val="es-ES_tradnl"/>
              </w:rPr>
              <w:t>16 miembros (38 participantes) / 0 obs (0) / 2 org (5)</w:t>
            </w:r>
          </w:p>
          <w:p w:rsidR="00B43D13" w:rsidRPr="00C60FC3" w:rsidRDefault="00B43D13" w:rsidP="00BF2668">
            <w:pPr>
              <w:tabs>
                <w:tab w:val="left" w:pos="885"/>
              </w:tabs>
              <w:ind w:left="885" w:hanging="885"/>
              <w:jc w:val="left"/>
              <w:rPr>
                <w:color w:val="000000"/>
                <w:sz w:val="18"/>
                <w:szCs w:val="18"/>
                <w:lang w:val="es-ES_tradnl"/>
              </w:rPr>
            </w:pPr>
          </w:p>
        </w:tc>
      </w:tr>
      <w:tr w:rsidR="00B43D13" w:rsidRPr="00C60FC3" w:rsidTr="0091418C">
        <w:tc>
          <w:tcPr>
            <w:tcW w:w="2093" w:type="dxa"/>
          </w:tcPr>
          <w:p w:rsidR="00B43D13" w:rsidRPr="00C60FC3" w:rsidRDefault="00B43D13" w:rsidP="00BF2668">
            <w:pPr>
              <w:jc w:val="left"/>
              <w:rPr>
                <w:i/>
                <w:color w:val="000000"/>
                <w:sz w:val="18"/>
                <w:szCs w:val="18"/>
                <w:lang w:val="es-ES_tradnl"/>
              </w:rPr>
            </w:pPr>
          </w:p>
        </w:tc>
        <w:tc>
          <w:tcPr>
            <w:tcW w:w="7796" w:type="dxa"/>
          </w:tcPr>
          <w:p w:rsidR="00B43D13" w:rsidRPr="00C60FC3" w:rsidRDefault="00B43D13" w:rsidP="00BF2668">
            <w:pPr>
              <w:pStyle w:val="Heading8"/>
              <w:rPr>
                <w:lang w:val="es-ES_tradnl"/>
              </w:rPr>
            </w:pPr>
            <w:bookmarkStart w:id="93" w:name="_Toc368060323"/>
            <w:r w:rsidRPr="00C60FC3">
              <w:rPr>
                <w:lang w:val="es-ES_tradnl"/>
              </w:rPr>
              <w:t>d)  Participación en los talleres preparatorios de las sesiones de los Grupos de Trabajo Técnico</w:t>
            </w:r>
            <w:bookmarkEnd w:id="93"/>
          </w:p>
          <w:p w:rsidR="00B43D13" w:rsidRPr="00C60FC3" w:rsidRDefault="00B43D13" w:rsidP="00BF2668">
            <w:pPr>
              <w:numPr>
                <w:ilvl w:val="0"/>
                <w:numId w:val="19"/>
              </w:numPr>
              <w:spacing w:after="120"/>
              <w:ind w:left="357" w:hanging="357"/>
              <w:jc w:val="left"/>
              <w:rPr>
                <w:color w:val="000000"/>
                <w:sz w:val="18"/>
                <w:szCs w:val="18"/>
                <w:lang w:val="es-ES_tradnl"/>
              </w:rPr>
            </w:pPr>
            <w:r w:rsidRPr="00C60FC3">
              <w:rPr>
                <w:color w:val="000000"/>
                <w:sz w:val="18"/>
                <w:szCs w:val="18"/>
                <w:lang w:val="es-ES_tradnl"/>
              </w:rPr>
              <w:t>Participaron en los talleres preparatorios de los Grupos de Trabajo Técnico 121 expertos en representación de 26 miembros de la Unión (miembros), 4 Estados observadores (obs) y 2 organizaciones observadoras (orgs), a saber:</w:t>
            </w:r>
          </w:p>
          <w:p w:rsidR="00B43D13" w:rsidRPr="00C60FC3" w:rsidRDefault="00B43D13" w:rsidP="00BF2668">
            <w:pPr>
              <w:ind w:left="1168" w:hanging="601"/>
              <w:jc w:val="left"/>
              <w:rPr>
                <w:color w:val="000000"/>
                <w:sz w:val="18"/>
                <w:szCs w:val="18"/>
                <w:lang w:val="es-ES_tradnl"/>
              </w:rPr>
            </w:pPr>
            <w:r w:rsidRPr="00C60FC3">
              <w:rPr>
                <w:color w:val="000000"/>
                <w:sz w:val="18"/>
                <w:szCs w:val="18"/>
                <w:lang w:val="es-ES_tradnl"/>
              </w:rPr>
              <w:t>TWA:</w:t>
            </w:r>
            <w:r w:rsidRPr="00C60FC3">
              <w:rPr>
                <w:color w:val="000000"/>
                <w:sz w:val="18"/>
                <w:szCs w:val="18"/>
                <w:lang w:val="es-ES_tradnl"/>
              </w:rPr>
              <w:tab/>
            </w:r>
            <w:r w:rsidRPr="00C60FC3">
              <w:rPr>
                <w:sz w:val="18"/>
                <w:szCs w:val="18"/>
                <w:lang w:val="es-ES_tradnl"/>
              </w:rPr>
              <w:t>14 miembros (20 participantes) / 0 obs (0) / 0 org (0)</w:t>
            </w:r>
          </w:p>
          <w:p w:rsidR="00B43D13" w:rsidRPr="00C60FC3" w:rsidRDefault="00B43D13" w:rsidP="00BF2668">
            <w:pPr>
              <w:ind w:left="1168" w:hanging="601"/>
              <w:jc w:val="left"/>
              <w:rPr>
                <w:color w:val="000000"/>
                <w:sz w:val="18"/>
                <w:szCs w:val="18"/>
                <w:lang w:val="es-ES_tradnl"/>
              </w:rPr>
            </w:pPr>
            <w:r w:rsidRPr="00C60FC3">
              <w:rPr>
                <w:color w:val="000000"/>
                <w:sz w:val="18"/>
                <w:szCs w:val="18"/>
                <w:lang w:val="es-ES_tradnl"/>
              </w:rPr>
              <w:t>TWC:</w:t>
            </w:r>
            <w:r w:rsidRPr="00C60FC3">
              <w:rPr>
                <w:color w:val="000000"/>
                <w:sz w:val="18"/>
                <w:szCs w:val="18"/>
                <w:lang w:val="es-ES_tradnl"/>
              </w:rPr>
              <w:tab/>
              <w:t xml:space="preserve">  </w:t>
            </w:r>
            <w:r w:rsidRPr="00C60FC3">
              <w:rPr>
                <w:sz w:val="18"/>
                <w:szCs w:val="18"/>
                <w:lang w:val="es-ES_tradnl"/>
              </w:rPr>
              <w:t>7 miembros (24 participantes) / 0 obs (0) / 0 org (0)</w:t>
            </w:r>
          </w:p>
          <w:p w:rsidR="00B43D13" w:rsidRPr="00C60FC3" w:rsidRDefault="00B43D13" w:rsidP="00BF2668">
            <w:pPr>
              <w:ind w:left="1168" w:hanging="601"/>
              <w:jc w:val="left"/>
              <w:rPr>
                <w:color w:val="000000"/>
                <w:sz w:val="18"/>
                <w:szCs w:val="18"/>
                <w:lang w:val="es-ES_tradnl"/>
              </w:rPr>
            </w:pPr>
            <w:r w:rsidRPr="00C60FC3">
              <w:rPr>
                <w:color w:val="000000"/>
                <w:sz w:val="18"/>
                <w:szCs w:val="18"/>
                <w:lang w:val="es-ES_tradnl"/>
              </w:rPr>
              <w:t>TWF:</w:t>
            </w:r>
            <w:r w:rsidRPr="00C60FC3">
              <w:rPr>
                <w:color w:val="000000"/>
                <w:sz w:val="18"/>
                <w:szCs w:val="18"/>
                <w:lang w:val="es-ES_tradnl"/>
              </w:rPr>
              <w:tab/>
              <w:t xml:space="preserve">  </w:t>
            </w:r>
            <w:r w:rsidRPr="00C60FC3">
              <w:rPr>
                <w:sz w:val="18"/>
                <w:szCs w:val="18"/>
                <w:lang w:val="es-ES_tradnl"/>
              </w:rPr>
              <w:t>9 miembros (25 participantes) / 3 obs (3) / 0 org (0)</w:t>
            </w:r>
          </w:p>
          <w:p w:rsidR="00B43D13" w:rsidRPr="00C60FC3" w:rsidRDefault="00B43D13" w:rsidP="00BF2668">
            <w:pPr>
              <w:ind w:left="1168" w:hanging="601"/>
              <w:jc w:val="left"/>
              <w:rPr>
                <w:color w:val="000000"/>
                <w:sz w:val="18"/>
                <w:szCs w:val="18"/>
                <w:lang w:val="es-ES_tradnl"/>
              </w:rPr>
            </w:pPr>
            <w:r w:rsidRPr="00C60FC3">
              <w:rPr>
                <w:color w:val="000000"/>
                <w:sz w:val="18"/>
                <w:szCs w:val="18"/>
                <w:lang w:val="es-ES_tradnl"/>
              </w:rPr>
              <w:t>TWO:</w:t>
            </w:r>
            <w:r w:rsidRPr="00C60FC3">
              <w:rPr>
                <w:color w:val="000000"/>
                <w:sz w:val="18"/>
                <w:szCs w:val="18"/>
                <w:lang w:val="es-ES_tradnl"/>
              </w:rPr>
              <w:tab/>
            </w:r>
            <w:r w:rsidRPr="00C60FC3">
              <w:rPr>
                <w:sz w:val="18"/>
                <w:szCs w:val="18"/>
                <w:lang w:val="es-ES_tradnl"/>
              </w:rPr>
              <w:t>11 miembros (28 participantes) / 4 obs (5) / 1 org (1)</w:t>
            </w:r>
          </w:p>
          <w:p w:rsidR="00B43D13" w:rsidRPr="00C60FC3" w:rsidRDefault="00B43D13" w:rsidP="00BF2668">
            <w:pPr>
              <w:ind w:left="1168" w:hanging="601"/>
              <w:jc w:val="left"/>
              <w:rPr>
                <w:color w:val="000000"/>
                <w:sz w:val="18"/>
                <w:szCs w:val="18"/>
                <w:lang w:val="es-ES_tradnl"/>
              </w:rPr>
            </w:pPr>
            <w:r w:rsidRPr="00C60FC3">
              <w:rPr>
                <w:color w:val="000000"/>
                <w:sz w:val="18"/>
                <w:szCs w:val="18"/>
                <w:lang w:val="es-ES_tradnl"/>
              </w:rPr>
              <w:t>TWV:</w:t>
            </w:r>
            <w:r w:rsidRPr="00C60FC3">
              <w:rPr>
                <w:color w:val="000000"/>
                <w:sz w:val="18"/>
                <w:szCs w:val="18"/>
                <w:lang w:val="es-ES_tradnl"/>
              </w:rPr>
              <w:tab/>
              <w:t xml:space="preserve">  </w:t>
            </w:r>
            <w:r w:rsidRPr="00C60FC3">
              <w:rPr>
                <w:sz w:val="18"/>
                <w:szCs w:val="18"/>
                <w:lang w:val="es-ES_tradnl"/>
              </w:rPr>
              <w:t>7 miembros (14 participantes) / 0 obs (0) / 1 org (1)</w:t>
            </w:r>
          </w:p>
        </w:tc>
      </w:tr>
    </w:tbl>
    <w:p w:rsidR="00B43D13" w:rsidRPr="00C60FC3" w:rsidRDefault="00B43D13" w:rsidP="00BF2668">
      <w:pPr>
        <w:rPr>
          <w:lang w:val="es-ES_tradnl"/>
        </w:rPr>
      </w:pPr>
    </w:p>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94" w:name="_Toc368060324"/>
            <w:r w:rsidRPr="00C60FC3">
              <w:rPr>
                <w:lang w:val="es-ES_tradnl"/>
              </w:rPr>
              <w:t>5.  Documentos y material de la UPOV en otros idiomas</w:t>
            </w:r>
            <w:bookmarkEnd w:id="94"/>
          </w:p>
        </w:tc>
        <w:tc>
          <w:tcPr>
            <w:tcW w:w="7796" w:type="dxa"/>
          </w:tcPr>
          <w:p w:rsidR="00B43D13" w:rsidRPr="00C60FC3" w:rsidRDefault="00B43D13" w:rsidP="00BF2668">
            <w:pPr>
              <w:pStyle w:val="Heading8"/>
              <w:rPr>
                <w:szCs w:val="18"/>
                <w:lang w:val="es-ES_tradnl"/>
              </w:rPr>
            </w:pPr>
            <w:bookmarkStart w:id="95" w:name="_Toc368060325"/>
            <w:r w:rsidRPr="00C60FC3">
              <w:rPr>
                <w:szCs w:val="18"/>
                <w:lang w:val="es-ES_tradnl"/>
              </w:rPr>
              <w:t>a)  Disponibilidad de los documentos y del material de la UPOV en otros idiomas además de los de la UPOV (español, alemán, francés e inglés)</w:t>
            </w:r>
            <w:bookmarkEnd w:id="95"/>
          </w:p>
          <w:p w:rsidR="00B43D13" w:rsidRPr="00C60FC3" w:rsidRDefault="00B43D13" w:rsidP="00BF2668">
            <w:pPr>
              <w:pStyle w:val="ListParagraph"/>
              <w:numPr>
                <w:ilvl w:val="0"/>
                <w:numId w:val="44"/>
              </w:numPr>
              <w:rPr>
                <w:sz w:val="18"/>
                <w:szCs w:val="18"/>
                <w:lang w:val="es-ES_tradnl"/>
              </w:rPr>
            </w:pPr>
            <w:r w:rsidRPr="00C60FC3">
              <w:rPr>
                <w:sz w:val="18"/>
                <w:szCs w:val="18"/>
                <w:lang w:val="es-ES_tradnl"/>
              </w:rPr>
              <w:t>El Acta de 1991 del Convenio de la UPOV se tradujo al jemer y al serbio.  Dichas traducciones se publicarán en el sitio Web de la UPOV en 2013.</w:t>
            </w:r>
          </w:p>
          <w:p w:rsidR="00B43D13" w:rsidRPr="00C60FC3" w:rsidRDefault="00B43D13" w:rsidP="00BF2668">
            <w:pPr>
              <w:rPr>
                <w:sz w:val="18"/>
                <w:szCs w:val="18"/>
                <w:lang w:val="es-ES_tradnl"/>
              </w:rPr>
            </w:pP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96" w:name="_Toc336339195"/>
            <w:bookmarkStart w:id="97" w:name="_Toc368060326"/>
            <w:r w:rsidRPr="00C60FC3">
              <w:rPr>
                <w:lang w:val="es-ES_tradnl"/>
              </w:rPr>
              <w:t xml:space="preserve">6. </w:t>
            </w:r>
            <w:bookmarkEnd w:id="96"/>
            <w:r w:rsidRPr="00C60FC3">
              <w:rPr>
                <w:lang w:val="es-ES_tradnl"/>
              </w:rPr>
              <w:t>Simplificación de las solicitudes de derechos de obtentor</w:t>
            </w:r>
            <w:bookmarkEnd w:id="97"/>
          </w:p>
        </w:tc>
        <w:tc>
          <w:tcPr>
            <w:tcW w:w="7796" w:type="dxa"/>
          </w:tcPr>
          <w:p w:rsidR="00B43D13" w:rsidRPr="00C60FC3" w:rsidRDefault="00B43D13" w:rsidP="00BF2668">
            <w:pPr>
              <w:pStyle w:val="Heading8"/>
              <w:rPr>
                <w:lang w:val="es-ES_tradnl"/>
              </w:rPr>
            </w:pPr>
            <w:bookmarkStart w:id="98" w:name="_Toc336339243"/>
            <w:bookmarkStart w:id="99" w:name="_Toc368060327"/>
            <w:r w:rsidRPr="00C60FC3">
              <w:rPr>
                <w:lang w:val="es-ES_tradnl"/>
              </w:rPr>
              <w:t xml:space="preserve">a)  </w:t>
            </w:r>
            <w:bookmarkEnd w:id="98"/>
            <w:r w:rsidRPr="00C60FC3">
              <w:rPr>
                <w:lang w:val="es-ES_tradnl"/>
              </w:rPr>
              <w:t>Número de solicitudes de derechos de obtentor</w:t>
            </w:r>
            <w:bookmarkEnd w:id="99"/>
            <w:r w:rsidRPr="00C60FC3">
              <w:rPr>
                <w:lang w:val="es-ES_tradnl"/>
              </w:rPr>
              <w:t xml:space="preserve"> </w:t>
            </w:r>
          </w:p>
          <w:p w:rsidR="00B43D13" w:rsidRPr="00C60FC3" w:rsidRDefault="00B43D13" w:rsidP="00BF2668">
            <w:pPr>
              <w:tabs>
                <w:tab w:val="left" w:pos="2410"/>
                <w:tab w:val="left" w:pos="4536"/>
                <w:tab w:val="left" w:pos="9072"/>
              </w:tabs>
              <w:jc w:val="left"/>
              <w:rPr>
                <w:color w:val="000000"/>
                <w:sz w:val="18"/>
                <w:szCs w:val="18"/>
                <w:lang w:val="es-ES_tradnl"/>
              </w:rPr>
            </w:pPr>
            <w:r w:rsidRPr="00C60FC3">
              <w:rPr>
                <w:color w:val="000000"/>
                <w:sz w:val="18"/>
                <w:szCs w:val="18"/>
                <w:lang w:val="es-ES_tradnl"/>
              </w:rPr>
              <w:t xml:space="preserve">13.714 solicitudes presentadas ante miembros de la Unión en 2011 (13.038 en 2010;  </w:t>
            </w:r>
            <w:r w:rsidR="00800C19">
              <w:rPr>
                <w:color w:val="000000"/>
                <w:sz w:val="18"/>
                <w:szCs w:val="18"/>
                <w:lang w:val="es-ES_tradnl"/>
              </w:rPr>
              <w:br/>
            </w:r>
            <w:r w:rsidRPr="00C60FC3">
              <w:rPr>
                <w:color w:val="000000"/>
                <w:sz w:val="18"/>
                <w:szCs w:val="18"/>
                <w:lang w:val="es-ES_tradnl"/>
              </w:rPr>
              <w:t>13.022 en 2009) (véase el documento C/46/7)</w:t>
            </w:r>
          </w:p>
          <w:p w:rsidR="00B43D13" w:rsidRPr="00C60FC3" w:rsidRDefault="00B43D13" w:rsidP="00BF2668">
            <w:pPr>
              <w:tabs>
                <w:tab w:val="left" w:pos="2410"/>
                <w:tab w:val="left" w:pos="4536"/>
                <w:tab w:val="left" w:pos="9072"/>
              </w:tabs>
              <w:jc w:val="left"/>
              <w:rPr>
                <w:i/>
                <w:color w:val="000000"/>
                <w:sz w:val="18"/>
                <w:szCs w:val="18"/>
                <w:lang w:val="es-ES_tradnl"/>
              </w:rPr>
            </w:pPr>
          </w:p>
          <w:p w:rsidR="00B43D13" w:rsidRPr="00C60FC3" w:rsidRDefault="00B43D13" w:rsidP="00BF2668">
            <w:pPr>
              <w:tabs>
                <w:tab w:val="left" w:pos="2410"/>
                <w:tab w:val="left" w:pos="4536"/>
                <w:tab w:val="left" w:pos="9072"/>
              </w:tabs>
              <w:jc w:val="left"/>
              <w:rPr>
                <w:color w:val="000000"/>
                <w:sz w:val="18"/>
                <w:szCs w:val="18"/>
                <w:lang w:val="es-ES_tradnl"/>
              </w:rPr>
            </w:pPr>
          </w:p>
        </w:tc>
      </w:tr>
      <w:tr w:rsidR="00B43D13" w:rsidRPr="00C60FC3" w:rsidTr="0091418C">
        <w:trPr>
          <w:cantSplit/>
        </w:trPr>
        <w:tc>
          <w:tcPr>
            <w:tcW w:w="2093" w:type="dxa"/>
          </w:tcPr>
          <w:p w:rsidR="00B43D13" w:rsidRPr="00C60FC3" w:rsidRDefault="00B43D13" w:rsidP="00BF2668">
            <w:pPr>
              <w:rPr>
                <w:sz w:val="18"/>
                <w:szCs w:val="18"/>
                <w:lang w:val="es-ES_tradnl"/>
              </w:rPr>
            </w:pPr>
          </w:p>
        </w:tc>
        <w:tc>
          <w:tcPr>
            <w:tcW w:w="7796" w:type="dxa"/>
          </w:tcPr>
          <w:p w:rsidR="00B43D13" w:rsidRPr="00C60FC3" w:rsidRDefault="00B43D13" w:rsidP="00BF2668">
            <w:pPr>
              <w:pStyle w:val="Heading8"/>
              <w:rPr>
                <w:szCs w:val="18"/>
                <w:lang w:val="es-ES_tradnl"/>
              </w:rPr>
            </w:pPr>
            <w:bookmarkStart w:id="100" w:name="_Toc368060328"/>
            <w:r w:rsidRPr="00C60FC3">
              <w:rPr>
                <w:szCs w:val="18"/>
                <w:lang w:val="es-ES_tradnl"/>
              </w:rPr>
              <w:t>b)  Número de títulos concedidos</w:t>
            </w:r>
            <w:bookmarkEnd w:id="100"/>
          </w:p>
          <w:p w:rsidR="00B43D13" w:rsidRPr="00C60FC3" w:rsidRDefault="00B43D13" w:rsidP="00BF2668">
            <w:pPr>
              <w:tabs>
                <w:tab w:val="left" w:pos="2410"/>
                <w:tab w:val="left" w:pos="4536"/>
                <w:tab w:val="left" w:pos="9072"/>
              </w:tabs>
              <w:jc w:val="left"/>
              <w:rPr>
                <w:color w:val="000000"/>
                <w:sz w:val="18"/>
                <w:szCs w:val="18"/>
                <w:lang w:val="es-ES_tradnl"/>
              </w:rPr>
            </w:pPr>
            <w:r w:rsidRPr="00C60FC3">
              <w:rPr>
                <w:color w:val="000000"/>
                <w:sz w:val="18"/>
                <w:szCs w:val="18"/>
                <w:lang w:val="es-ES_tradnl"/>
              </w:rPr>
              <w:t>10.065 títulos concedidos por miembros de la Unión en 2011 (11.115 en 2010;  10.730 en 2009)</w:t>
            </w:r>
          </w:p>
          <w:p w:rsidR="00B43D13" w:rsidRPr="00C60FC3" w:rsidRDefault="00B43D13" w:rsidP="00BF2668">
            <w:pPr>
              <w:tabs>
                <w:tab w:val="left" w:pos="2410"/>
                <w:tab w:val="left" w:pos="4536"/>
                <w:tab w:val="left" w:pos="9072"/>
              </w:tabs>
              <w:jc w:val="left"/>
              <w:rPr>
                <w:color w:val="000000"/>
                <w:sz w:val="18"/>
                <w:szCs w:val="18"/>
                <w:lang w:val="es-ES_tradnl"/>
              </w:rPr>
            </w:pPr>
            <w:r w:rsidRPr="00C60FC3">
              <w:rPr>
                <w:color w:val="000000"/>
                <w:sz w:val="18"/>
                <w:szCs w:val="18"/>
                <w:lang w:val="es-ES_tradnl"/>
              </w:rPr>
              <w:t>(véase el documento C/46/7)</w:t>
            </w:r>
          </w:p>
          <w:p w:rsidR="00B43D13" w:rsidRPr="00C60FC3" w:rsidRDefault="00B43D13" w:rsidP="00BF2668">
            <w:pPr>
              <w:tabs>
                <w:tab w:val="left" w:pos="2410"/>
                <w:tab w:val="left" w:pos="4536"/>
                <w:tab w:val="left" w:pos="9072"/>
              </w:tabs>
              <w:jc w:val="left"/>
              <w:rPr>
                <w:color w:val="000000"/>
                <w:sz w:val="18"/>
                <w:szCs w:val="18"/>
                <w:lang w:val="es-ES_tradnl"/>
              </w:rPr>
            </w:pPr>
          </w:p>
          <w:p w:rsidR="00B43D13" w:rsidRPr="00C60FC3" w:rsidRDefault="00B43D13" w:rsidP="00BF2668">
            <w:pPr>
              <w:rPr>
                <w:sz w:val="18"/>
                <w:szCs w:val="18"/>
                <w:lang w:val="es-ES_tradnl"/>
              </w:rPr>
            </w:pPr>
          </w:p>
        </w:tc>
      </w:tr>
      <w:tr w:rsidR="00B43D13" w:rsidRPr="00C60FC3" w:rsidTr="0091418C">
        <w:trPr>
          <w:cantSplit/>
        </w:trPr>
        <w:tc>
          <w:tcPr>
            <w:tcW w:w="2093" w:type="dxa"/>
          </w:tcPr>
          <w:p w:rsidR="00B43D13" w:rsidRPr="00C60FC3" w:rsidRDefault="00B43D13" w:rsidP="00BF2668">
            <w:pPr>
              <w:rPr>
                <w:sz w:val="18"/>
                <w:szCs w:val="18"/>
                <w:lang w:val="es-ES_tradnl"/>
              </w:rPr>
            </w:pPr>
          </w:p>
        </w:tc>
        <w:tc>
          <w:tcPr>
            <w:tcW w:w="7796" w:type="dxa"/>
          </w:tcPr>
          <w:p w:rsidR="00B43D13" w:rsidRPr="00C60FC3" w:rsidRDefault="00B43D13" w:rsidP="00BF2668">
            <w:pPr>
              <w:pStyle w:val="Heading8"/>
              <w:rPr>
                <w:szCs w:val="18"/>
                <w:lang w:val="es-ES_tradnl"/>
              </w:rPr>
            </w:pPr>
            <w:bookmarkStart w:id="101" w:name="_Toc368060329"/>
            <w:r w:rsidRPr="00C60FC3">
              <w:rPr>
                <w:szCs w:val="18"/>
                <w:lang w:val="es-ES_tradnl"/>
              </w:rPr>
              <w:t>c)  Número de títulos en vigor</w:t>
            </w:r>
            <w:bookmarkEnd w:id="101"/>
          </w:p>
          <w:p w:rsidR="00B43D13" w:rsidRPr="00C60FC3" w:rsidRDefault="00B43D13" w:rsidP="00BF2668">
            <w:pPr>
              <w:jc w:val="left"/>
              <w:rPr>
                <w:color w:val="000000"/>
                <w:sz w:val="18"/>
                <w:szCs w:val="18"/>
                <w:lang w:val="es-ES_tradnl"/>
              </w:rPr>
            </w:pPr>
            <w:r w:rsidRPr="00C60FC3">
              <w:rPr>
                <w:color w:val="000000"/>
                <w:sz w:val="18"/>
                <w:szCs w:val="18"/>
                <w:lang w:val="es-ES_tradnl"/>
              </w:rPr>
              <w:t xml:space="preserve">94.413 títulos en vigor en los miembros de la Unión al final de 2011 (90.344 en 2010;  </w:t>
            </w:r>
            <w:r w:rsidRPr="00C60FC3">
              <w:rPr>
                <w:color w:val="000000"/>
                <w:sz w:val="18"/>
                <w:szCs w:val="18"/>
                <w:lang w:val="es-ES_tradnl"/>
              </w:rPr>
              <w:br/>
              <w:t>86.378 en 2009) (véase el documento C/46/7)</w:t>
            </w:r>
          </w:p>
          <w:p w:rsidR="00B43D13" w:rsidRPr="00C60FC3" w:rsidRDefault="00B43D13" w:rsidP="00BF2668">
            <w:pPr>
              <w:jc w:val="left"/>
              <w:rPr>
                <w:color w:val="000000"/>
                <w:sz w:val="18"/>
                <w:szCs w:val="18"/>
                <w:lang w:val="es-ES_tradnl"/>
              </w:rPr>
            </w:pPr>
          </w:p>
          <w:p w:rsidR="00B43D13" w:rsidRPr="00C60FC3" w:rsidRDefault="00B43D13" w:rsidP="00BF2668">
            <w:pPr>
              <w:jc w:val="left"/>
              <w:rPr>
                <w:color w:val="000000"/>
                <w:sz w:val="18"/>
                <w:szCs w:val="18"/>
                <w:lang w:val="es-ES_tradnl"/>
              </w:rPr>
            </w:pP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800C19">
            <w:pPr>
              <w:keepNext/>
              <w:spacing w:after="12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800C19">
            <w:pPr>
              <w:keepNext/>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rPr>
          <w:cantSplit/>
        </w:trPr>
        <w:tc>
          <w:tcPr>
            <w:tcW w:w="2093" w:type="dxa"/>
          </w:tcPr>
          <w:p w:rsidR="00B43D13" w:rsidRPr="00C60FC3" w:rsidRDefault="00B43D13" w:rsidP="00BF2668">
            <w:pPr>
              <w:jc w:val="left"/>
              <w:rPr>
                <w:sz w:val="18"/>
                <w:szCs w:val="18"/>
                <w:lang w:val="es-ES_tradnl"/>
              </w:rPr>
            </w:pPr>
            <w:r w:rsidRPr="00C60FC3">
              <w:rPr>
                <w:i/>
                <w:sz w:val="18"/>
                <w:szCs w:val="18"/>
                <w:lang w:val="es-ES_tradnl"/>
              </w:rPr>
              <w:t>6.  Simplificación de las solicitudes de derechos de obtentor</w:t>
            </w:r>
            <w:r w:rsidRPr="00C60FC3">
              <w:rPr>
                <w:sz w:val="18"/>
                <w:szCs w:val="18"/>
                <w:lang w:val="es-ES_tradnl"/>
              </w:rPr>
              <w:t xml:space="preserve"> (continuación)</w:t>
            </w:r>
          </w:p>
        </w:tc>
        <w:tc>
          <w:tcPr>
            <w:tcW w:w="7796" w:type="dxa"/>
          </w:tcPr>
          <w:p w:rsidR="00B43D13" w:rsidRPr="00C60FC3" w:rsidRDefault="00B43D13" w:rsidP="00BF2668">
            <w:pPr>
              <w:pStyle w:val="Heading8"/>
              <w:rPr>
                <w:szCs w:val="18"/>
                <w:lang w:val="es-ES_tradnl"/>
              </w:rPr>
            </w:pPr>
            <w:bookmarkStart w:id="102" w:name="_Toc368060330"/>
            <w:r w:rsidRPr="00C60FC3">
              <w:rPr>
                <w:szCs w:val="18"/>
                <w:lang w:val="es-ES_tradnl"/>
              </w:rPr>
              <w:t>d)  Número de géneros/especies protegidos por los miembros de la Unión</w:t>
            </w:r>
            <w:bookmarkEnd w:id="102"/>
          </w:p>
          <w:p w:rsidR="00B43D13" w:rsidRPr="00C60FC3" w:rsidRDefault="00B43D13" w:rsidP="00BF2668">
            <w:pPr>
              <w:tabs>
                <w:tab w:val="left" w:pos="2410"/>
                <w:tab w:val="left" w:pos="4536"/>
                <w:tab w:val="left" w:pos="9072"/>
              </w:tabs>
              <w:jc w:val="left"/>
              <w:rPr>
                <w:sz w:val="18"/>
                <w:szCs w:val="18"/>
                <w:lang w:val="es-ES_tradnl"/>
              </w:rPr>
            </w:pPr>
            <w:r w:rsidRPr="00C60FC3">
              <w:rPr>
                <w:sz w:val="18"/>
                <w:szCs w:val="18"/>
                <w:lang w:val="es-ES_tradnl"/>
              </w:rPr>
              <w:t>Al final de 2012, 53 miembros de la Unión brindaban protección a todos los géneros y especies vegetales (49 en 2011;  45 en 2010) y 17 miembros de la Unión brindaban protección a un número limitado de géneros y especies vegetales (22 en 2010) (véase el documento C/46/6).</w:t>
            </w:r>
          </w:p>
          <w:p w:rsidR="00B43D13" w:rsidRPr="00C60FC3" w:rsidRDefault="00B43D13" w:rsidP="00BF2668">
            <w:pPr>
              <w:tabs>
                <w:tab w:val="left" w:pos="2410"/>
                <w:tab w:val="left" w:pos="4536"/>
                <w:tab w:val="left" w:pos="9072"/>
              </w:tabs>
              <w:jc w:val="left"/>
              <w:rPr>
                <w:sz w:val="18"/>
                <w:szCs w:val="18"/>
                <w:lang w:val="es-ES_tradnl"/>
              </w:rPr>
            </w:pPr>
          </w:p>
          <w:p w:rsidR="00B43D13" w:rsidRPr="00C60FC3" w:rsidRDefault="00B43D13" w:rsidP="00BF2668">
            <w:pPr>
              <w:tabs>
                <w:tab w:val="left" w:pos="1735"/>
                <w:tab w:val="left" w:pos="2410"/>
                <w:tab w:val="left" w:pos="9072"/>
              </w:tabs>
              <w:jc w:val="left"/>
              <w:rPr>
                <w:sz w:val="18"/>
                <w:szCs w:val="18"/>
                <w:lang w:val="es-ES_tradnl"/>
              </w:rPr>
            </w:pPr>
            <w:r w:rsidRPr="00C60FC3">
              <w:rPr>
                <w:sz w:val="18"/>
                <w:szCs w:val="18"/>
                <w:lang w:val="es-ES_tradnl"/>
              </w:rPr>
              <w:t xml:space="preserve">Los siguientes miembros de la Unión notificaron la ampliación de la protección a géneros y especies vegetales adicionales en 2012:  </w:t>
            </w:r>
          </w:p>
          <w:p w:rsidR="00B43D13" w:rsidRPr="00C60FC3" w:rsidRDefault="00B43D13" w:rsidP="00BF2668">
            <w:pPr>
              <w:tabs>
                <w:tab w:val="left" w:pos="1735"/>
                <w:tab w:val="left" w:pos="2410"/>
                <w:tab w:val="left" w:pos="9072"/>
              </w:tabs>
              <w:jc w:val="left"/>
              <w:rPr>
                <w:sz w:val="18"/>
                <w:szCs w:val="18"/>
                <w:lang w:val="es-ES_tradnl"/>
              </w:rPr>
            </w:pPr>
          </w:p>
          <w:p w:rsidR="00B43D13" w:rsidRPr="00C60FC3" w:rsidRDefault="00B43D13" w:rsidP="00BF2668">
            <w:pPr>
              <w:tabs>
                <w:tab w:val="left" w:pos="1735"/>
                <w:tab w:val="left" w:pos="2410"/>
                <w:tab w:val="left" w:pos="9072"/>
              </w:tabs>
              <w:jc w:val="left"/>
              <w:rPr>
                <w:sz w:val="18"/>
                <w:szCs w:val="18"/>
                <w:lang w:val="es-ES_tradnl"/>
              </w:rPr>
            </w:pPr>
            <w:r w:rsidRPr="00C60FC3">
              <w:rPr>
                <w:sz w:val="18"/>
                <w:szCs w:val="18"/>
                <w:lang w:val="es-ES_tradnl"/>
              </w:rPr>
              <w:t>Albania, Bélgica, Brasil, Irlanda, Marruecos, República de Corea, Sudáfrica, Turquía y Viet Nam</w:t>
            </w:r>
          </w:p>
          <w:p w:rsidR="00B43D13" w:rsidRPr="00C60FC3" w:rsidRDefault="00B43D13" w:rsidP="00BF2668">
            <w:pPr>
              <w:tabs>
                <w:tab w:val="left" w:pos="1735"/>
                <w:tab w:val="left" w:pos="2410"/>
                <w:tab w:val="left" w:pos="9072"/>
              </w:tabs>
              <w:jc w:val="left"/>
              <w:rPr>
                <w:sz w:val="18"/>
                <w:szCs w:val="18"/>
                <w:lang w:val="es-ES_tradnl"/>
              </w:rPr>
            </w:pPr>
          </w:p>
          <w:p w:rsidR="00B43D13" w:rsidRPr="00C60FC3" w:rsidRDefault="00B43D13" w:rsidP="00BF2668">
            <w:pPr>
              <w:tabs>
                <w:tab w:val="left" w:pos="1735"/>
                <w:tab w:val="left" w:pos="2410"/>
                <w:tab w:val="left" w:pos="9072"/>
              </w:tabs>
              <w:jc w:val="left"/>
              <w:rPr>
                <w:sz w:val="18"/>
                <w:szCs w:val="18"/>
                <w:lang w:val="es-ES_tradnl"/>
              </w:rPr>
            </w:pPr>
          </w:p>
        </w:tc>
      </w:tr>
      <w:tr w:rsidR="00B43D13" w:rsidRPr="00C60FC3" w:rsidTr="0091418C">
        <w:trPr>
          <w:cantSplit/>
        </w:trPr>
        <w:tc>
          <w:tcPr>
            <w:tcW w:w="2093" w:type="dxa"/>
          </w:tcPr>
          <w:p w:rsidR="00B43D13" w:rsidRPr="00C60FC3" w:rsidRDefault="00B43D13" w:rsidP="00BF2668">
            <w:pPr>
              <w:rPr>
                <w:sz w:val="18"/>
                <w:szCs w:val="18"/>
                <w:lang w:val="es-ES_tradnl"/>
              </w:rPr>
            </w:pPr>
          </w:p>
        </w:tc>
        <w:tc>
          <w:tcPr>
            <w:tcW w:w="7796" w:type="dxa"/>
          </w:tcPr>
          <w:p w:rsidR="00B43D13" w:rsidRPr="00C60FC3" w:rsidRDefault="00B43D13" w:rsidP="00BF2668">
            <w:pPr>
              <w:pStyle w:val="Heading8"/>
              <w:rPr>
                <w:szCs w:val="18"/>
                <w:lang w:val="es-ES_tradnl"/>
              </w:rPr>
            </w:pPr>
            <w:bookmarkStart w:id="103" w:name="_Toc368060331"/>
            <w:r w:rsidRPr="00C60FC3">
              <w:rPr>
                <w:szCs w:val="18"/>
                <w:lang w:val="es-ES_tradnl"/>
              </w:rPr>
              <w:t>e)  Número de géneros/especies cuyas variedades se han protegido</w:t>
            </w:r>
            <w:bookmarkEnd w:id="103"/>
          </w:p>
          <w:p w:rsidR="00B43D13" w:rsidRPr="00C60FC3" w:rsidRDefault="00B43D13" w:rsidP="00BF2668">
            <w:pPr>
              <w:tabs>
                <w:tab w:val="left" w:pos="2410"/>
                <w:tab w:val="left" w:pos="4536"/>
                <w:tab w:val="left" w:pos="9072"/>
              </w:tabs>
              <w:jc w:val="left"/>
              <w:rPr>
                <w:sz w:val="18"/>
                <w:szCs w:val="18"/>
                <w:lang w:val="es-ES_tradnl"/>
              </w:rPr>
            </w:pPr>
            <w:r w:rsidRPr="00C60FC3">
              <w:rPr>
                <w:sz w:val="18"/>
                <w:szCs w:val="18"/>
                <w:lang w:val="es-ES_tradnl"/>
              </w:rPr>
              <w:t xml:space="preserve">Número de géneros y especies vegetales que figuran como protegidos por derecho de obtentor en la Base de datos de variedades vegetales (PLUTO):  3.144 </w:t>
            </w:r>
            <w:r w:rsidR="009C3190">
              <w:rPr>
                <w:sz w:val="18"/>
                <w:szCs w:val="18"/>
                <w:lang w:val="es-ES_tradnl"/>
              </w:rPr>
              <w:br/>
              <w:t xml:space="preserve">(3.042 en agosto de 2011;  </w:t>
            </w:r>
            <w:r w:rsidRPr="00C60FC3">
              <w:rPr>
                <w:sz w:val="18"/>
                <w:szCs w:val="18"/>
                <w:lang w:val="es-ES_tradnl"/>
              </w:rPr>
              <w:t>2.940 en agosto de 2010)</w:t>
            </w:r>
          </w:p>
          <w:p w:rsidR="00B43D13" w:rsidRPr="00C60FC3" w:rsidRDefault="00B43D13" w:rsidP="00BF2668">
            <w:pPr>
              <w:tabs>
                <w:tab w:val="left" w:pos="1735"/>
                <w:tab w:val="left" w:pos="2410"/>
                <w:tab w:val="left" w:pos="9072"/>
              </w:tabs>
              <w:jc w:val="left"/>
              <w:rPr>
                <w:sz w:val="18"/>
                <w:szCs w:val="18"/>
                <w:lang w:val="es-ES_tradnl"/>
              </w:rPr>
            </w:pPr>
          </w:p>
          <w:p w:rsidR="00B43D13" w:rsidRPr="00C60FC3" w:rsidRDefault="00B43D13" w:rsidP="00BF2668">
            <w:pPr>
              <w:tabs>
                <w:tab w:val="left" w:pos="1735"/>
                <w:tab w:val="left" w:pos="2410"/>
                <w:tab w:val="left" w:pos="9072"/>
              </w:tabs>
              <w:jc w:val="left"/>
              <w:rPr>
                <w:sz w:val="18"/>
                <w:szCs w:val="18"/>
                <w:lang w:val="es-ES_tradnl"/>
              </w:rPr>
            </w:pPr>
          </w:p>
        </w:tc>
      </w:tr>
      <w:tr w:rsidR="00B43D13" w:rsidRPr="00C60FC3" w:rsidTr="0091418C">
        <w:trPr>
          <w:cantSplit/>
        </w:trPr>
        <w:tc>
          <w:tcPr>
            <w:tcW w:w="2093" w:type="dxa"/>
          </w:tcPr>
          <w:p w:rsidR="00B43D13" w:rsidRPr="00C60FC3" w:rsidRDefault="00B43D13" w:rsidP="00BF2668">
            <w:pPr>
              <w:rPr>
                <w:sz w:val="18"/>
                <w:szCs w:val="18"/>
                <w:lang w:val="es-ES_tradnl"/>
              </w:rPr>
            </w:pPr>
          </w:p>
        </w:tc>
        <w:tc>
          <w:tcPr>
            <w:tcW w:w="7796" w:type="dxa"/>
          </w:tcPr>
          <w:p w:rsidR="00B43D13" w:rsidRPr="00C60FC3" w:rsidRDefault="00B43D13" w:rsidP="00BF2668">
            <w:pPr>
              <w:pStyle w:val="Heading8"/>
              <w:rPr>
                <w:szCs w:val="18"/>
                <w:lang w:val="es-ES_tradnl"/>
              </w:rPr>
            </w:pPr>
            <w:bookmarkStart w:id="104" w:name="_Toc368060332"/>
            <w:r w:rsidRPr="00C60FC3">
              <w:rPr>
                <w:szCs w:val="18"/>
                <w:lang w:val="es-ES_tradnl"/>
              </w:rPr>
              <w:t>f)  Utilización por los miembros de la Unión de las referencias estándar de la UPOV en los formularios de solicitud</w:t>
            </w:r>
            <w:bookmarkEnd w:id="104"/>
          </w:p>
          <w:p w:rsidR="00B43D13" w:rsidRPr="00C60FC3" w:rsidRDefault="00B43D13" w:rsidP="00BF2668">
            <w:pPr>
              <w:autoSpaceDE w:val="0"/>
              <w:autoSpaceDN w:val="0"/>
              <w:adjustRightInd w:val="0"/>
              <w:rPr>
                <w:sz w:val="18"/>
                <w:szCs w:val="18"/>
                <w:lang w:val="es-ES_tradnl"/>
              </w:rPr>
            </w:pPr>
            <w:r w:rsidRPr="00C60FC3">
              <w:rPr>
                <w:sz w:val="18"/>
                <w:szCs w:val="18"/>
                <w:lang w:val="es-ES_tradnl"/>
              </w:rPr>
              <w:t>En 2012, 13 miembros de la Unión indicaron que en sus respectivos formularios de solicitud se incluyen las referencias estándar relativas al formulario tipo de solicitud de la UPOV</w:t>
            </w:r>
            <w:r w:rsidRPr="00C60FC3">
              <w:rPr>
                <w:rFonts w:ascii="ArialMT" w:hAnsi="ArialMT" w:cs="ArialMT"/>
                <w:sz w:val="18"/>
                <w:szCs w:val="18"/>
                <w:lang w:val="es-ES_tradnl"/>
              </w:rPr>
              <w:t>.</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c>
      </w:tr>
      <w:tr w:rsidR="00B43D13" w:rsidRPr="00C60FC3" w:rsidTr="0091418C">
        <w:trPr>
          <w:cantSplit/>
        </w:trPr>
        <w:tc>
          <w:tcPr>
            <w:tcW w:w="2093" w:type="dxa"/>
          </w:tcPr>
          <w:p w:rsidR="00B43D13" w:rsidRPr="00C60FC3" w:rsidRDefault="00B43D13" w:rsidP="00BF2668">
            <w:pPr>
              <w:rPr>
                <w:sz w:val="18"/>
                <w:szCs w:val="18"/>
                <w:lang w:val="es-ES_tradnl"/>
              </w:rPr>
            </w:pPr>
          </w:p>
        </w:tc>
        <w:tc>
          <w:tcPr>
            <w:tcW w:w="7796" w:type="dxa"/>
          </w:tcPr>
          <w:p w:rsidR="00B43D13" w:rsidRPr="00C60FC3" w:rsidRDefault="00B43D13" w:rsidP="00BF2668">
            <w:pPr>
              <w:pStyle w:val="Heading8"/>
              <w:rPr>
                <w:szCs w:val="18"/>
                <w:lang w:val="es-ES_tradnl"/>
              </w:rPr>
            </w:pPr>
            <w:bookmarkStart w:id="105" w:name="_Toc368060333"/>
            <w:r w:rsidRPr="00C60FC3">
              <w:rPr>
                <w:szCs w:val="18"/>
                <w:lang w:val="es-ES_tradnl"/>
              </w:rPr>
              <w:t>g)  Utilización de formularios con casillas en blanco correspondientes al “Formulario tipo de la UPOV para las solicitudes de derecho de obtentor”</w:t>
            </w:r>
            <w:bookmarkEnd w:id="105"/>
          </w:p>
          <w:p w:rsidR="00B43D13" w:rsidRPr="00C60FC3" w:rsidRDefault="00B43D13" w:rsidP="00BF2668">
            <w:pPr>
              <w:rPr>
                <w:sz w:val="18"/>
                <w:szCs w:val="18"/>
                <w:lang w:val="es-ES_tradnl"/>
              </w:rPr>
            </w:pPr>
            <w:r w:rsidRPr="00C60FC3">
              <w:rPr>
                <w:sz w:val="18"/>
                <w:szCs w:val="18"/>
                <w:lang w:val="es-ES_tradnl"/>
              </w:rPr>
              <w:t>El CAJ apoyó la elaboración de un prototipo de formulario electrónico para los miembros de la Unión interesados.  Los siguientes miembros de la Unión, además de la Unión Europea, que colabora de forma constante, indicaron su interés por participar en el prototipo: Australia, Brasil, Canadá, Colombia, Estados Unidos de América, México, Nueva Zelandia, Paraguay, República Dominicana, República de Corea y Viet Nam (véase el documento CAJ/66/9 “</w:t>
            </w:r>
            <w:r w:rsidR="004C545E">
              <w:rPr>
                <w:sz w:val="18"/>
                <w:szCs w:val="18"/>
                <w:lang w:val="es-ES_tradnl"/>
              </w:rPr>
              <w:t>Informe</w:t>
            </w:r>
            <w:r w:rsidRPr="00C60FC3">
              <w:rPr>
                <w:sz w:val="18"/>
                <w:szCs w:val="18"/>
                <w:lang w:val="es-ES_tradnl"/>
              </w:rPr>
              <w:t>”).</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cantSplit/>
        </w:trPr>
        <w:tc>
          <w:tcPr>
            <w:tcW w:w="2093" w:type="dxa"/>
          </w:tcPr>
          <w:p w:rsidR="00B43D13" w:rsidRPr="00C60FC3" w:rsidRDefault="00B43D13" w:rsidP="00BF2668">
            <w:pPr>
              <w:pStyle w:val="Heading6"/>
              <w:rPr>
                <w:lang w:val="es-ES_tradnl"/>
              </w:rPr>
            </w:pPr>
            <w:bookmarkStart w:id="106" w:name="_Toc368060334"/>
            <w:r w:rsidRPr="00C60FC3">
              <w:rPr>
                <w:lang w:val="es-ES_tradnl"/>
              </w:rPr>
              <w:t>7. Suministro de información sobre el Convenio de la UPOV a los sectores interesados (obtentores, agricultores, cultivadores, comerciantes de semillas, etc.)</w:t>
            </w:r>
            <w:bookmarkEnd w:id="106"/>
          </w:p>
        </w:tc>
        <w:tc>
          <w:tcPr>
            <w:tcW w:w="7796" w:type="dxa"/>
          </w:tcPr>
          <w:p w:rsidR="00B43D13" w:rsidRPr="00C60FC3" w:rsidRDefault="00B43D13" w:rsidP="00BF2668">
            <w:pPr>
              <w:pStyle w:val="Heading8"/>
              <w:rPr>
                <w:szCs w:val="18"/>
                <w:lang w:val="es-ES_tradnl"/>
              </w:rPr>
            </w:pPr>
            <w:bookmarkStart w:id="107" w:name="_Toc368060335"/>
            <w:r w:rsidRPr="00C60FC3">
              <w:rPr>
                <w:szCs w:val="18"/>
                <w:lang w:val="es-ES_tradnl"/>
              </w:rPr>
              <w:t>a)  Información publicada en el sitio Web de la UPOV y dirigida a los sectores interesados</w:t>
            </w:r>
            <w:bookmarkEnd w:id="107"/>
          </w:p>
          <w:p w:rsidR="00B43D13" w:rsidRPr="00C60FC3" w:rsidRDefault="00B43D13" w:rsidP="00BF2668">
            <w:pPr>
              <w:rPr>
                <w:szCs w:val="18"/>
                <w:lang w:val="es-ES_tradnl"/>
              </w:rPr>
            </w:pPr>
            <w:r w:rsidRPr="00C60FC3">
              <w:rPr>
                <w:sz w:val="18"/>
                <w:szCs w:val="18"/>
                <w:lang w:val="es-ES_tradnl"/>
              </w:rPr>
              <w:t>Las ponencias y las observaciones de clausura del Simposio sobre las ventajas de la protección de las obtenciones vegetales para los agricultores y los productores, que se celebró en Ginebra el 2 de noviembre de 2012, se han publicado en el sitio Web de la UPOV.</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p w:rsidR="00B43D13" w:rsidRPr="00C60FC3" w:rsidRDefault="00B43D13" w:rsidP="00CD4848">
      <w:pPr>
        <w:pStyle w:val="Heading3"/>
        <w:rPr>
          <w:lang w:val="es-ES_tradnl"/>
        </w:rPr>
      </w:pPr>
      <w:r w:rsidRPr="00C60FC3">
        <w:rPr>
          <w:lang w:val="es-ES_tradnl"/>
        </w:rPr>
        <w:br w:type="page"/>
      </w:r>
      <w:bookmarkStart w:id="108" w:name="_Toc336339204"/>
      <w:bookmarkStart w:id="109" w:name="_Toc368060336"/>
      <w:r w:rsidR="00CD4848" w:rsidRPr="00C60FC3">
        <w:rPr>
          <w:lang w:val="es-ES_tradnl"/>
        </w:rPr>
        <w:t>Subprograma </w:t>
      </w:r>
      <w:r w:rsidRPr="00C60FC3">
        <w:rPr>
          <w:lang w:val="es-ES_tradnl"/>
        </w:rPr>
        <w:t>UV.3</w:t>
      </w:r>
      <w:proofErr w:type="gramStart"/>
      <w:r w:rsidRPr="00C60FC3">
        <w:rPr>
          <w:lang w:val="es-ES_tradnl"/>
        </w:rPr>
        <w:t xml:space="preserve">:  </w:t>
      </w:r>
      <w:bookmarkEnd w:id="108"/>
      <w:r w:rsidRPr="00C60FC3">
        <w:rPr>
          <w:lang w:val="es-ES_tradnl"/>
        </w:rPr>
        <w:t>Prestar</w:t>
      </w:r>
      <w:proofErr w:type="gramEnd"/>
      <w:r w:rsidRPr="00C60FC3">
        <w:rPr>
          <w:lang w:val="es-ES_tradnl"/>
        </w:rPr>
        <w:t xml:space="preserve"> asistencia para la introducción y aplicación del sistema de la UPOV</w:t>
      </w:r>
      <w:bookmarkEnd w:id="109"/>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r w:rsidRPr="00C60FC3">
        <w:rPr>
          <w:sz w:val="18"/>
          <w:szCs w:val="18"/>
          <w:lang w:val="es-ES_tradnl"/>
        </w:rPr>
        <w:t xml:space="preserve">La Unión ha prestado asistencia a varios Estados para hacer efectiva la protección de las variedades vegetales sobre la base del Convenio de la UPOV y ha proporcionado asesoramiento a los gobiernos sobre la elaboración de legislación.  La cooperación con los miembros de la Unión, particularmente en lo que respecta a los cursos de formación, ha resultado sumamente provechosa para las labores de divulgación.  El curso de enseñanza a distancia por Internet “Introducción al sistema de la UPOV de protección de las variedades vegetales en virtud del Convenio de la UPOV” y la formación de formadores han cumplido una función fundamental en lo que se refiere a brindar asistencia a un amplio abanico de expertos.  </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5"/>
              <w:keepNext w:val="0"/>
              <w:rPr>
                <w:lang w:val="es-ES_tradnl"/>
              </w:rPr>
            </w:pPr>
            <w:bookmarkStart w:id="110" w:name="_Toc368060337"/>
            <w:r w:rsidRPr="00C60FC3">
              <w:rPr>
                <w:lang w:val="es-ES_tradnl"/>
              </w:rPr>
              <w:t>Objetivos:</w:t>
            </w:r>
            <w:bookmarkEnd w:id="110"/>
          </w:p>
        </w:tc>
        <w:tc>
          <w:tcPr>
            <w:tcW w:w="7796" w:type="dxa"/>
          </w:tcPr>
          <w:p w:rsidR="00B43D13" w:rsidRPr="00C60FC3" w:rsidRDefault="00B43D13" w:rsidP="00BF2668">
            <w:pPr>
              <w:numPr>
                <w:ilvl w:val="0"/>
                <w:numId w:val="18"/>
              </w:numPr>
              <w:jc w:val="left"/>
              <w:rPr>
                <w:spacing w:val="-1"/>
                <w:sz w:val="18"/>
                <w:szCs w:val="18"/>
                <w:lang w:val="es-ES_tradnl"/>
              </w:rPr>
            </w:pPr>
            <w:r w:rsidRPr="00C60FC3">
              <w:rPr>
                <w:spacing w:val="-1"/>
                <w:sz w:val="18"/>
                <w:szCs w:val="18"/>
                <w:lang w:val="es-ES_tradnl"/>
              </w:rPr>
              <w:t>Fomentar la sensibilización acerca de</w:t>
            </w:r>
            <w:r w:rsidR="004C545E">
              <w:rPr>
                <w:spacing w:val="-1"/>
                <w:sz w:val="18"/>
                <w:szCs w:val="18"/>
                <w:lang w:val="es-ES_tradnl"/>
              </w:rPr>
              <w:t xml:space="preserve"> </w:t>
            </w:r>
            <w:r w:rsidRPr="00C60FC3">
              <w:rPr>
                <w:spacing w:val="-1"/>
                <w:sz w:val="18"/>
                <w:szCs w:val="18"/>
                <w:lang w:val="es-ES_tradnl"/>
              </w:rPr>
              <w:t>l</w:t>
            </w:r>
            <w:r w:rsidR="004C545E">
              <w:rPr>
                <w:spacing w:val="-1"/>
                <w:sz w:val="18"/>
                <w:szCs w:val="18"/>
                <w:lang w:val="es-ES_tradnl"/>
              </w:rPr>
              <w:t>a función</w:t>
            </w:r>
            <w:r w:rsidRPr="00C60FC3">
              <w:rPr>
                <w:spacing w:val="-1"/>
                <w:sz w:val="18"/>
                <w:szCs w:val="18"/>
                <w:lang w:val="es-ES_tradnl"/>
              </w:rPr>
              <w:t xml:space="preserve"> de la protección de las variedades vegetales con arreglo al Convenio de la UPOV.</w:t>
            </w:r>
          </w:p>
          <w:p w:rsidR="00B43D13" w:rsidRPr="00C60FC3" w:rsidRDefault="00B43D13" w:rsidP="00BF2668">
            <w:pPr>
              <w:numPr>
                <w:ilvl w:val="0"/>
                <w:numId w:val="18"/>
              </w:numPr>
              <w:jc w:val="left"/>
              <w:rPr>
                <w:sz w:val="18"/>
                <w:szCs w:val="18"/>
                <w:lang w:val="es-ES_tradnl"/>
              </w:rPr>
            </w:pPr>
            <w:r w:rsidRPr="00C60FC3">
              <w:rPr>
                <w:sz w:val="18"/>
                <w:szCs w:val="18"/>
                <w:lang w:val="es-ES_tradnl"/>
              </w:rPr>
              <w:t>Prestar asistencia a los Estados y las organizaciones, en particular a los gobiernos de países en desarrollo y de países en transición a una economía de mercado, en la elaboración de legislación conforme al Acta de 1991 del Convenio de la UPOV.</w:t>
            </w:r>
          </w:p>
          <w:p w:rsidR="00B43D13" w:rsidRPr="00C60FC3" w:rsidRDefault="00B43D13" w:rsidP="00BF2668">
            <w:pPr>
              <w:numPr>
                <w:ilvl w:val="0"/>
                <w:numId w:val="18"/>
              </w:numPr>
              <w:jc w:val="left"/>
              <w:rPr>
                <w:sz w:val="18"/>
                <w:szCs w:val="18"/>
                <w:lang w:val="es-ES_tradnl"/>
              </w:rPr>
            </w:pPr>
            <w:r w:rsidRPr="00C60FC3">
              <w:rPr>
                <w:sz w:val="18"/>
                <w:szCs w:val="18"/>
                <w:lang w:val="es-ES_tradnl"/>
              </w:rPr>
              <w:t>Prestar asistencia a los Estados y las organizaciones para la adhesión al Acta de 1991 del Convenio de la UPOV.</w:t>
            </w:r>
          </w:p>
          <w:p w:rsidR="00B43D13" w:rsidRPr="00C60FC3" w:rsidRDefault="00B43D13" w:rsidP="00BF2668">
            <w:pPr>
              <w:numPr>
                <w:ilvl w:val="0"/>
                <w:numId w:val="18"/>
              </w:numPr>
              <w:jc w:val="left"/>
              <w:rPr>
                <w:sz w:val="18"/>
                <w:szCs w:val="18"/>
                <w:lang w:val="es-ES_tradnl"/>
              </w:rPr>
            </w:pPr>
            <w:r w:rsidRPr="00C60FC3">
              <w:rPr>
                <w:sz w:val="18"/>
                <w:szCs w:val="18"/>
                <w:lang w:val="es-ES_tradnl"/>
              </w:rPr>
              <w:t>Prestar asistencia a los Estados y las organizaciones para la aplicación de un sistema eficaz de protección de las variedades vegetales de conformidad con el Acta de 1991 del Convenio de la UPOV.</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BF2668">
            <w:pPr>
              <w:pStyle w:val="Heading5"/>
              <w:keepNext w:val="0"/>
              <w:rPr>
                <w:lang w:val="es-ES_tradnl"/>
              </w:rPr>
            </w:pPr>
            <w:bookmarkStart w:id="111" w:name="_Toc368060338"/>
            <w:r w:rsidRPr="00C60FC3">
              <w:rPr>
                <w:lang w:val="es-ES_tradnl"/>
              </w:rPr>
              <w:t>Resultados previstos</w:t>
            </w:r>
            <w:bookmarkEnd w:id="111"/>
          </w:p>
        </w:tc>
        <w:tc>
          <w:tcPr>
            <w:tcW w:w="7796" w:type="dxa"/>
          </w:tcPr>
          <w:p w:rsidR="00B43D13" w:rsidRPr="00C60FC3" w:rsidRDefault="00B43D13" w:rsidP="00BF2668">
            <w:pPr>
              <w:pStyle w:val="Heading7"/>
              <w:rPr>
                <w:lang w:val="es-ES_tradnl"/>
              </w:rPr>
            </w:pPr>
            <w:bookmarkStart w:id="112" w:name="_Toc336331205"/>
            <w:bookmarkStart w:id="113" w:name="_Toc336339207"/>
            <w:bookmarkStart w:id="114" w:name="_Toc368060339"/>
            <w:r w:rsidRPr="00C60FC3">
              <w:rPr>
                <w:lang w:val="es-ES_tradnl"/>
              </w:rPr>
              <w:t>Resultados alcanzados</w:t>
            </w:r>
            <w:proofErr w:type="gramStart"/>
            <w:r w:rsidRPr="00C60FC3">
              <w:rPr>
                <w:lang w:val="es-ES_tradnl"/>
              </w:rPr>
              <w:t xml:space="preserve">:  </w:t>
            </w:r>
            <w:bookmarkEnd w:id="112"/>
            <w:bookmarkEnd w:id="113"/>
            <w:r w:rsidRPr="00C60FC3">
              <w:rPr>
                <w:lang w:val="es-ES_tradnl"/>
              </w:rPr>
              <w:t>indicadores</w:t>
            </w:r>
            <w:proofErr w:type="gramEnd"/>
            <w:r w:rsidRPr="00C60FC3">
              <w:rPr>
                <w:lang w:val="es-ES_tradnl"/>
              </w:rPr>
              <w:t xml:space="preserve"> de rendimiento</w:t>
            </w:r>
            <w:bookmarkEnd w:id="114"/>
          </w:p>
        </w:tc>
      </w:tr>
      <w:tr w:rsidR="00B43D13" w:rsidRPr="00C60FC3" w:rsidTr="0091418C">
        <w:tc>
          <w:tcPr>
            <w:tcW w:w="2093" w:type="dxa"/>
          </w:tcPr>
          <w:p w:rsidR="00B43D13" w:rsidRPr="00C60FC3" w:rsidRDefault="00B43D13" w:rsidP="0018384D">
            <w:pPr>
              <w:pStyle w:val="Heading6"/>
              <w:rPr>
                <w:lang w:val="es-ES_tradnl"/>
              </w:rPr>
            </w:pPr>
            <w:bookmarkStart w:id="115" w:name="_Toc368060340"/>
            <w:r w:rsidRPr="00C60FC3">
              <w:rPr>
                <w:lang w:val="es-ES_tradnl"/>
              </w:rPr>
              <w:t>1.  Foment</w:t>
            </w:r>
            <w:r w:rsidR="0018384D">
              <w:rPr>
                <w:lang w:val="es-ES_tradnl"/>
              </w:rPr>
              <w:t>ar</w:t>
            </w:r>
            <w:r w:rsidRPr="00C60FC3">
              <w:rPr>
                <w:lang w:val="es-ES_tradnl"/>
              </w:rPr>
              <w:t xml:space="preserve"> la sensibilización acerca </w:t>
            </w:r>
            <w:r w:rsidR="0018384D">
              <w:rPr>
                <w:lang w:val="es-ES_tradnl"/>
              </w:rPr>
              <w:t xml:space="preserve">de la función </w:t>
            </w:r>
            <w:r w:rsidRPr="00C60FC3">
              <w:rPr>
                <w:lang w:val="es-ES_tradnl"/>
              </w:rPr>
              <w:t>de la protección de las variedades vegetale</w:t>
            </w:r>
            <w:r w:rsidR="0018384D">
              <w:rPr>
                <w:lang w:val="es-ES_tradnl"/>
              </w:rPr>
              <w:t>s con arreglo al Convenio de la </w:t>
            </w:r>
            <w:r w:rsidRPr="00C60FC3">
              <w:rPr>
                <w:lang w:val="es-ES_tradnl"/>
              </w:rPr>
              <w:t>UPOV</w:t>
            </w:r>
            <w:bookmarkEnd w:id="115"/>
          </w:p>
        </w:tc>
        <w:tc>
          <w:tcPr>
            <w:tcW w:w="7796" w:type="dxa"/>
          </w:tcPr>
          <w:p w:rsidR="00B43D13" w:rsidRPr="00C60FC3" w:rsidRDefault="00B43D13" w:rsidP="00BF2668">
            <w:pPr>
              <w:pStyle w:val="Heading8"/>
              <w:rPr>
                <w:szCs w:val="18"/>
                <w:lang w:val="es-ES_tradnl"/>
              </w:rPr>
            </w:pPr>
            <w:bookmarkStart w:id="116" w:name="_Toc368060341"/>
            <w:r w:rsidRPr="00C60FC3">
              <w:rPr>
                <w:szCs w:val="18"/>
                <w:lang w:val="es-ES_tradnl"/>
              </w:rPr>
              <w:t>a)  Publicaciones sobre la función de la protección de las variedades vegetales, incluidas las publicaciones del sitio Web de la UPOV</w:t>
            </w:r>
            <w:bookmarkEnd w:id="116"/>
          </w:p>
          <w:p w:rsidR="00B43D13" w:rsidRPr="00C60FC3" w:rsidRDefault="00B43D13" w:rsidP="00BF2668">
            <w:pPr>
              <w:pStyle w:val="ListParagraph"/>
              <w:numPr>
                <w:ilvl w:val="0"/>
                <w:numId w:val="21"/>
              </w:numPr>
              <w:tabs>
                <w:tab w:val="left" w:pos="743"/>
              </w:tabs>
              <w:jc w:val="left"/>
              <w:rPr>
                <w:sz w:val="18"/>
                <w:szCs w:val="18"/>
                <w:lang w:val="es-ES_tradnl"/>
              </w:rPr>
            </w:pPr>
            <w:r w:rsidRPr="00C60FC3">
              <w:rPr>
                <w:sz w:val="18"/>
                <w:szCs w:val="18"/>
                <w:lang w:val="es-ES_tradnl"/>
              </w:rPr>
              <w:t>Simposio sobre las ventajas de la protección de las obtenciones vegetales para los agricultores y los productores</w:t>
            </w:r>
            <w:r w:rsidRPr="00C60FC3">
              <w:rPr>
                <w:sz w:val="18"/>
                <w:szCs w:val="18"/>
                <w:lang w:val="es-ES_tradnl"/>
              </w:rPr>
              <w:br/>
              <w:t>(</w:t>
            </w:r>
            <w:hyperlink r:id="rId18" w:history="1">
              <w:r w:rsidRPr="00C60FC3">
                <w:rPr>
                  <w:rStyle w:val="Hyperlink"/>
                  <w:sz w:val="18"/>
                  <w:szCs w:val="18"/>
                  <w:lang w:val="es-ES_tradnl"/>
                </w:rPr>
                <w:t>http://www.upov.int/meetings/es/details.jsp?meeting_id=26104</w:t>
              </w:r>
            </w:hyperlink>
            <w:r w:rsidRPr="00C60FC3">
              <w:rPr>
                <w:sz w:val="18"/>
                <w:szCs w:val="18"/>
                <w:lang w:val="es-ES_tradnl"/>
              </w:rPr>
              <w:t xml:space="preserve">) </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p w:rsidR="00B43D13" w:rsidRPr="00C60FC3" w:rsidRDefault="00B43D13" w:rsidP="00BF2668">
            <w:pPr>
              <w:pStyle w:val="Heading8"/>
              <w:rPr>
                <w:szCs w:val="18"/>
                <w:lang w:val="es-ES_tradnl"/>
              </w:rPr>
            </w:pPr>
            <w:bookmarkStart w:id="117" w:name="_Toc368060342"/>
            <w:r w:rsidRPr="00C60FC3">
              <w:rPr>
                <w:szCs w:val="18"/>
                <w:lang w:val="es-ES_tradnl"/>
              </w:rPr>
              <w:t>b)  Estados y organizaciones que han recibido información en las actividades de la UPOV</w:t>
            </w:r>
            <w:bookmarkEnd w:id="117"/>
          </w:p>
          <w:p w:rsidR="00B43D13" w:rsidRPr="00C60FC3" w:rsidRDefault="00B43D13" w:rsidP="00BF2668">
            <w:pPr>
              <w:rPr>
                <w:strike/>
                <w:sz w:val="18"/>
                <w:szCs w:val="18"/>
                <w:lang w:val="es-ES_tradnl"/>
              </w:rPr>
            </w:pPr>
            <w:r w:rsidRPr="00C60FC3">
              <w:rPr>
                <w:sz w:val="18"/>
                <w:szCs w:val="18"/>
                <w:lang w:val="es-ES_tradnl"/>
              </w:rPr>
              <w:t xml:space="preserve">Afganistán, Alemania, Argelia, Argentina, Australia, Austria, Azerbaiyán, Bahamas, Bangladesh, Belarús, Bélgica, Bolivia, Bosnia y Herzegovina, Botswana, Brasil, Brunei Darussalam, Bulgaria, Burkina Faso, Camboya, Camerún, Canadá, </w:t>
            </w:r>
            <w:r w:rsidR="004C545E" w:rsidRPr="00C60FC3">
              <w:rPr>
                <w:sz w:val="18"/>
                <w:szCs w:val="18"/>
                <w:lang w:val="es-ES_tradnl"/>
              </w:rPr>
              <w:t xml:space="preserve">Chile, China, Chipre, </w:t>
            </w:r>
            <w:r w:rsidRPr="00C60FC3">
              <w:rPr>
                <w:sz w:val="18"/>
                <w:szCs w:val="18"/>
                <w:lang w:val="es-ES_tradnl"/>
              </w:rPr>
              <w:t xml:space="preserve">Colombia, Costa Rica, Côte d'Ivoire, Croacia, Cuba, Dinamarca, Ecuador, Egipto, El Salvador, España, Estados Unidos de América, Etiopía, ex República Yugoslava de Macedonia, Federación de Rusia, Filipinas, Francia, Georgia, Ghana, Grecia, Guatemala, Honduras, Hungría, India, Indonesia, Irán (República Islámica del), Iraq, Irlanda, Israel, Italia, Japón, Jordania, Kenya, Kirguistán, Lesotho, Líbano, Libia, Lituania, Madagascar, Malasia, Malawi, Malí, Marruecos, Mauricio, México, Mongolia, Montenegro, Mozambique, Myanmar, Namibia, Nepal, Nicaragua, Níger, Nigeria, Noruega, Nueva Zelandia, Omán, Países Bajos, Pakistán, Panamá, Paraguay, Perú, Polonia, Portugal, Qatar, Reino Unido, República Árabe Siria, República Centroafricana, República Checa, República de Corea, República de Moldova, República Democrática del Congo, República Democrática Popular Lao, República Dominicana, República Popular Democrática de Corea, República Unida de Tanzanía, Rumania, Santo Tomé y Príncipe, Senegal, Serbia, Singapur, Sri Lanka, Sudáfrica, Sudán, Suecia, Suiza, Tailandia, Tayikistán, Togo, Túnez, Turquía, Ucrania, Uganda, Unión Europea, Uruguay, Uzbekistán, Venezuela, Viet Nam, Yemen, Zambia, Zimbabwe, AATF, AFSTA, APSA, ARIPO, CGIAR, CIOPORA, </w:t>
            </w:r>
            <w:r w:rsidRPr="00C60FC3">
              <w:rPr>
                <w:i/>
                <w:sz w:val="18"/>
                <w:szCs w:val="18"/>
                <w:lang w:val="es-ES_tradnl"/>
              </w:rPr>
              <w:t>CropLife</w:t>
            </w:r>
            <w:r w:rsidRPr="00C60FC3">
              <w:rPr>
                <w:sz w:val="18"/>
                <w:szCs w:val="18"/>
                <w:lang w:val="es-ES_tradnl"/>
              </w:rPr>
              <w:t>, ESA, FAO, ISF, ISTA, OAPI, Oficina de Patentes del Consejo de Cooperación de los Estados Árabes del Golfo</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r w:rsidRPr="00C60FC3">
              <w:rPr>
                <w:sz w:val="18"/>
                <w:szCs w:val="18"/>
                <w:lang w:val="es-ES_tradnl"/>
              </w:rPr>
              <w:t xml:space="preserve">Véase también el apartado e) </w:t>
            </w:r>
            <w:r w:rsidR="005A712A">
              <w:rPr>
                <w:sz w:val="18"/>
                <w:szCs w:val="18"/>
                <w:lang w:val="es-ES_tradnl"/>
              </w:rPr>
              <w:t>más abajo</w:t>
            </w:r>
            <w:r w:rsidRPr="00C60FC3">
              <w:rPr>
                <w:sz w:val="18"/>
                <w:szCs w:val="18"/>
                <w:lang w:val="es-ES_tradnl"/>
              </w:rPr>
              <w:t>.</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p w:rsidR="00B43D13" w:rsidRPr="00C60FC3" w:rsidRDefault="00B43D13" w:rsidP="00BF2668">
            <w:pPr>
              <w:pStyle w:val="Heading8"/>
              <w:rPr>
                <w:szCs w:val="18"/>
                <w:lang w:val="es-ES_tradnl"/>
              </w:rPr>
            </w:pPr>
            <w:bookmarkStart w:id="118" w:name="_Toc368060343"/>
            <w:r w:rsidRPr="00C60FC3">
              <w:rPr>
                <w:szCs w:val="18"/>
                <w:lang w:val="es-ES_tradnl"/>
              </w:rPr>
              <w:t>c)  Estados y organizaciones que han contactado con la Oficina de la Unión para recibir asistencia en la elaboración de legislación sobre la protección de las variedades vegetales</w:t>
            </w:r>
            <w:bookmarkEnd w:id="118"/>
          </w:p>
          <w:p w:rsidR="00B43D13" w:rsidRPr="00C60FC3" w:rsidRDefault="00B43D13" w:rsidP="00BF2668">
            <w:pPr>
              <w:tabs>
                <w:tab w:val="left" w:pos="2410"/>
              </w:tabs>
              <w:jc w:val="left"/>
              <w:rPr>
                <w:sz w:val="18"/>
                <w:szCs w:val="18"/>
                <w:lang w:val="es-ES_tradnl"/>
              </w:rPr>
            </w:pPr>
            <w:r w:rsidRPr="00C60FC3">
              <w:rPr>
                <w:sz w:val="18"/>
                <w:szCs w:val="18"/>
                <w:lang w:val="es-ES_tradnl"/>
              </w:rPr>
              <w:t>Bahrein, Bosnia y Herzegovina, Brunei Darussalam, Canadá, Colombia, Filipinas, Ghana, Malasia, Myanmar, Nicaragua, Panamá, Pakistán, República Democrática Popular Lao, República Unida de Tanzanía, Tailandia y Zimbabwe</w:t>
            </w:r>
          </w:p>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5A712A">
            <w:pPr>
              <w:keepNext/>
              <w:spacing w:after="12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5A712A">
            <w:pPr>
              <w:keepNext/>
              <w:spacing w:after="240"/>
              <w:rPr>
                <w:b/>
                <w:sz w:val="18"/>
                <w:szCs w:val="18"/>
                <w:lang w:val="es-ES_tradnl"/>
              </w:rPr>
            </w:pPr>
            <w:r w:rsidRPr="00C60FC3">
              <w:rPr>
                <w:b/>
                <w:sz w:val="18"/>
                <w:szCs w:val="18"/>
                <w:lang w:val="es-ES_tradnl"/>
              </w:rPr>
              <w:t>Resultados alcanzados:  indicadores de rendimiento</w:t>
            </w:r>
          </w:p>
        </w:tc>
      </w:tr>
      <w:tr w:rsidR="005A712A" w:rsidRPr="00C60FC3" w:rsidTr="0091418C">
        <w:tc>
          <w:tcPr>
            <w:tcW w:w="2093" w:type="dxa"/>
          </w:tcPr>
          <w:p w:rsidR="005A712A" w:rsidRPr="00C60FC3" w:rsidRDefault="005A712A" w:rsidP="00BF2668">
            <w:pPr>
              <w:jc w:val="left"/>
              <w:rPr>
                <w:i/>
                <w:sz w:val="18"/>
                <w:szCs w:val="18"/>
                <w:lang w:val="es-ES_tradnl"/>
              </w:rPr>
            </w:pPr>
            <w:r w:rsidRPr="00C60FC3">
              <w:rPr>
                <w:i/>
                <w:sz w:val="18"/>
                <w:szCs w:val="18"/>
                <w:lang w:val="es-ES_tradnl"/>
              </w:rPr>
              <w:t xml:space="preserve">1.  </w:t>
            </w:r>
            <w:r w:rsidRPr="0018384D">
              <w:rPr>
                <w:i/>
                <w:sz w:val="18"/>
                <w:szCs w:val="18"/>
                <w:lang w:val="es-ES_tradnl"/>
              </w:rPr>
              <w:t>Fomentar la sensibilización acerca de la función de la protección de las variedades vegetale</w:t>
            </w:r>
            <w:r>
              <w:rPr>
                <w:i/>
                <w:sz w:val="18"/>
                <w:szCs w:val="18"/>
                <w:lang w:val="es-ES_tradnl"/>
              </w:rPr>
              <w:t>s con arreglo al Convenio de la </w:t>
            </w:r>
            <w:r w:rsidRPr="0018384D">
              <w:rPr>
                <w:i/>
                <w:sz w:val="18"/>
                <w:szCs w:val="18"/>
                <w:lang w:val="es-ES_tradnl"/>
              </w:rPr>
              <w:t>UPOV</w:t>
            </w:r>
            <w:r w:rsidRPr="00C60FC3">
              <w:rPr>
                <w:sz w:val="18"/>
                <w:szCs w:val="18"/>
                <w:lang w:val="es-ES_tradnl"/>
              </w:rPr>
              <w:t xml:space="preserve"> (continuación)</w:t>
            </w:r>
          </w:p>
        </w:tc>
        <w:tc>
          <w:tcPr>
            <w:tcW w:w="7796" w:type="dxa"/>
          </w:tcPr>
          <w:p w:rsidR="005A712A" w:rsidRPr="00C60FC3" w:rsidRDefault="005A712A" w:rsidP="005A712A">
            <w:pPr>
              <w:pStyle w:val="Heading8"/>
              <w:rPr>
                <w:szCs w:val="18"/>
                <w:lang w:val="es-ES_tradnl"/>
              </w:rPr>
            </w:pPr>
            <w:bookmarkStart w:id="119" w:name="_Toc368060344"/>
            <w:r w:rsidRPr="00C60FC3">
              <w:rPr>
                <w:szCs w:val="18"/>
                <w:lang w:val="es-ES_tradnl"/>
              </w:rPr>
              <w:t>d)  Estados y organizaciones que han iniciado ante el Consejo de la UPOV el procedimiento para ser miembro de la Unión</w:t>
            </w:r>
            <w:bookmarkEnd w:id="119"/>
          </w:p>
          <w:p w:rsidR="005A712A" w:rsidRDefault="005A712A" w:rsidP="005A712A">
            <w:pPr>
              <w:rPr>
                <w:sz w:val="18"/>
                <w:szCs w:val="18"/>
                <w:lang w:val="es-ES_tradnl"/>
              </w:rPr>
            </w:pPr>
            <w:r w:rsidRPr="00C60FC3">
              <w:rPr>
                <w:sz w:val="18"/>
                <w:szCs w:val="18"/>
                <w:lang w:val="es-ES_tradnl"/>
              </w:rPr>
              <w:t>Ghana, República</w:t>
            </w:r>
            <w:r w:rsidRPr="00C60FC3">
              <w:rPr>
                <w:lang w:val="es-ES_tradnl"/>
              </w:rPr>
              <w:t xml:space="preserve"> </w:t>
            </w:r>
            <w:r>
              <w:rPr>
                <w:sz w:val="18"/>
                <w:szCs w:val="18"/>
                <w:lang w:val="es-ES_tradnl"/>
              </w:rPr>
              <w:t>Unida de Tanzanía</w:t>
            </w:r>
          </w:p>
          <w:p w:rsidR="005A712A" w:rsidRDefault="005A712A" w:rsidP="005A712A">
            <w:pPr>
              <w:rPr>
                <w:sz w:val="18"/>
                <w:szCs w:val="18"/>
                <w:lang w:val="es-ES_tradnl"/>
              </w:rPr>
            </w:pPr>
          </w:p>
          <w:p w:rsidR="005A712A" w:rsidRDefault="005A712A" w:rsidP="005A712A">
            <w:pPr>
              <w:rPr>
                <w:sz w:val="18"/>
                <w:szCs w:val="18"/>
                <w:lang w:val="es-ES_tradnl"/>
              </w:rPr>
            </w:pPr>
          </w:p>
          <w:p w:rsidR="005A712A" w:rsidRPr="00C60FC3" w:rsidRDefault="005A712A" w:rsidP="005A712A">
            <w:pPr>
              <w:pStyle w:val="Heading8"/>
              <w:rPr>
                <w:szCs w:val="18"/>
                <w:lang w:val="es-ES_tradnl"/>
              </w:rPr>
            </w:pPr>
            <w:bookmarkStart w:id="120" w:name="_Toc368060345"/>
            <w:r w:rsidRPr="00C60FC3">
              <w:rPr>
                <w:szCs w:val="18"/>
                <w:lang w:val="es-ES_tradnl"/>
              </w:rPr>
              <w:t>e)  Participación en actividades de la UPOV de fomento de la sensibilización o actividades en las que toma parte el personal de la UPOV o formadores en nombre del personal de la UPOV</w:t>
            </w:r>
            <w:bookmarkEnd w:id="120"/>
            <w:r w:rsidRPr="00C60FC3">
              <w:rPr>
                <w:szCs w:val="18"/>
                <w:lang w:val="es-ES_tradnl"/>
              </w:rPr>
              <w:t xml:space="preserve"> </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color w:val="000000"/>
                <w:sz w:val="18"/>
                <w:szCs w:val="18"/>
                <w:lang w:val="es-ES_tradnl"/>
              </w:rPr>
              <w:t>Seminarios sobre la protección de las obtenciones vegetales</w:t>
            </w:r>
            <w:r w:rsidR="00CC201B">
              <w:rPr>
                <w:color w:val="000000"/>
                <w:sz w:val="18"/>
                <w:szCs w:val="18"/>
                <w:lang w:val="es-ES_tradnl"/>
              </w:rPr>
              <w:t xml:space="preserve">, </w:t>
            </w:r>
            <w:r w:rsidRPr="00C60FC3">
              <w:rPr>
                <w:color w:val="000000"/>
                <w:sz w:val="18"/>
                <w:szCs w:val="18"/>
                <w:lang w:val="es-ES_tradnl"/>
              </w:rPr>
              <w:t>Lima, Trujillo e Iquitos</w:t>
            </w:r>
            <w:r w:rsidRPr="00C60FC3">
              <w:rPr>
                <w:sz w:val="18"/>
                <w:szCs w:val="18"/>
                <w:lang w:val="es-ES_tradnl"/>
              </w:rPr>
              <w:t xml:space="preserve"> (Perú), enero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napToGrid w:val="0"/>
                <w:color w:val="000000"/>
                <w:sz w:val="18"/>
                <w:szCs w:val="18"/>
                <w:lang w:val="es-ES_tradnl"/>
              </w:rPr>
              <w:t>Visita de estudio y reuniones conexas para altos funcionarios encargados de la protección de las variedades vegetales</w:t>
            </w:r>
            <w:r w:rsidR="00CC201B">
              <w:rPr>
                <w:snapToGrid w:val="0"/>
                <w:color w:val="000000"/>
                <w:sz w:val="18"/>
                <w:szCs w:val="18"/>
                <w:lang w:val="es-ES_tradnl"/>
              </w:rPr>
              <w:t xml:space="preserve">, </w:t>
            </w:r>
            <w:r w:rsidRPr="00C60FC3">
              <w:rPr>
                <w:snapToGrid w:val="0"/>
                <w:color w:val="000000"/>
                <w:sz w:val="18"/>
                <w:szCs w:val="18"/>
                <w:lang w:val="es-ES_tradnl"/>
              </w:rPr>
              <w:t>Tokio,</w:t>
            </w:r>
            <w:r w:rsidRPr="00C60FC3">
              <w:rPr>
                <w:color w:val="000000"/>
                <w:sz w:val="18"/>
                <w:szCs w:val="18"/>
                <w:lang w:val="es-ES_tradnl"/>
              </w:rPr>
              <w:t xml:space="preserve"> Chiba, Tsukuba y Hachimantai (Japón), enero y febrero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Seminario de sensibilización sobre la protección de las variedades vegetales</w:t>
            </w:r>
            <w:r w:rsidR="00CC201B">
              <w:rPr>
                <w:sz w:val="18"/>
                <w:szCs w:val="18"/>
                <w:lang w:val="es-ES_tradnl"/>
              </w:rPr>
              <w:t xml:space="preserve">, </w:t>
            </w:r>
            <w:r w:rsidRPr="00C60FC3">
              <w:rPr>
                <w:color w:val="000000"/>
                <w:sz w:val="18"/>
                <w:szCs w:val="18"/>
                <w:lang w:val="es-ES_tradnl" w:eastAsia="ja-JP"/>
              </w:rPr>
              <w:t>Phnom Penh (Camboya), febrero de 2012.</w:t>
            </w:r>
          </w:p>
          <w:p w:rsidR="005A712A" w:rsidRPr="00C60FC3" w:rsidRDefault="005A712A" w:rsidP="005A712A">
            <w:pPr>
              <w:numPr>
                <w:ilvl w:val="0"/>
                <w:numId w:val="28"/>
              </w:numPr>
              <w:tabs>
                <w:tab w:val="left" w:pos="459"/>
              </w:tabs>
              <w:spacing w:after="60"/>
              <w:ind w:left="357" w:hanging="357"/>
              <w:jc w:val="left"/>
              <w:rPr>
                <w:color w:val="000000"/>
                <w:sz w:val="18"/>
                <w:szCs w:val="18"/>
                <w:lang w:val="es-ES_tradnl"/>
              </w:rPr>
            </w:pPr>
            <w:r w:rsidRPr="00C60FC3">
              <w:rPr>
                <w:rFonts w:cs="Arial"/>
                <w:bCs/>
                <w:color w:val="000000"/>
                <w:sz w:val="18"/>
                <w:szCs w:val="18"/>
                <w:lang w:val="es-ES_tradnl"/>
              </w:rPr>
              <w:t>Taller sobre derechos de obtentor, patentes y acceso a la biodiversidad y los recursos genéticos</w:t>
            </w:r>
            <w:r w:rsidR="00CC201B">
              <w:rPr>
                <w:rFonts w:cs="Arial"/>
                <w:bCs/>
                <w:color w:val="000000"/>
                <w:sz w:val="18"/>
                <w:szCs w:val="18"/>
                <w:lang w:val="es-ES_tradnl"/>
              </w:rPr>
              <w:t xml:space="preserve">, </w:t>
            </w:r>
            <w:r w:rsidRPr="00C60FC3">
              <w:rPr>
                <w:rFonts w:cs="Arial"/>
                <w:bCs/>
                <w:color w:val="000000"/>
                <w:sz w:val="18"/>
                <w:szCs w:val="18"/>
                <w:lang w:val="es-ES_tradnl"/>
              </w:rPr>
              <w:t xml:space="preserve">Pattaya (Tailandia), </w:t>
            </w:r>
            <w:r w:rsidRPr="00C60FC3">
              <w:rPr>
                <w:sz w:val="18"/>
                <w:szCs w:val="18"/>
                <w:lang w:val="es-ES_tradnl" w:eastAsia="ja-JP"/>
              </w:rPr>
              <w:t>febrero de 2012.</w:t>
            </w:r>
          </w:p>
          <w:p w:rsidR="005A712A" w:rsidRPr="00C60FC3" w:rsidRDefault="005A712A" w:rsidP="005A712A">
            <w:pPr>
              <w:numPr>
                <w:ilvl w:val="0"/>
                <w:numId w:val="28"/>
              </w:numPr>
              <w:tabs>
                <w:tab w:val="left" w:pos="459"/>
              </w:tabs>
              <w:spacing w:after="60"/>
              <w:ind w:left="357" w:hanging="357"/>
              <w:jc w:val="left"/>
              <w:rPr>
                <w:color w:val="000000"/>
                <w:sz w:val="18"/>
                <w:szCs w:val="18"/>
                <w:lang w:val="es-ES_tradnl"/>
              </w:rPr>
            </w:pPr>
            <w:r w:rsidRPr="00C60FC3">
              <w:rPr>
                <w:sz w:val="18"/>
                <w:szCs w:val="18"/>
                <w:lang w:val="es-ES_tradnl"/>
              </w:rPr>
              <w:t>Taller sobre protección de las variedades vegetales, celebrado antes del Congreso de la AFSTA</w:t>
            </w:r>
            <w:r w:rsidR="00CC201B">
              <w:rPr>
                <w:sz w:val="18"/>
                <w:szCs w:val="18"/>
                <w:lang w:val="es-ES_tradnl"/>
              </w:rPr>
              <w:t xml:space="preserve">, </w:t>
            </w:r>
            <w:r w:rsidRPr="00C60FC3">
              <w:rPr>
                <w:sz w:val="18"/>
                <w:szCs w:val="18"/>
                <w:lang w:val="es-ES_tradnl"/>
              </w:rPr>
              <w:t>Zanzíbar (República Unida de Tanzanía), marzo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rFonts w:cs="Arial"/>
                <w:sz w:val="18"/>
                <w:szCs w:val="18"/>
                <w:lang w:val="es-ES_tradnl"/>
              </w:rPr>
              <w:t>Congreso anual de la AFSTA</w:t>
            </w:r>
            <w:r w:rsidR="00CC201B">
              <w:rPr>
                <w:rFonts w:cs="Arial"/>
                <w:sz w:val="18"/>
                <w:szCs w:val="18"/>
                <w:lang w:val="es-ES_tradnl"/>
              </w:rPr>
              <w:t xml:space="preserve">, </w:t>
            </w:r>
            <w:r w:rsidRPr="00C60FC3">
              <w:rPr>
                <w:rFonts w:cs="Arial"/>
                <w:sz w:val="18"/>
                <w:szCs w:val="18"/>
                <w:lang w:val="es-ES_tradnl"/>
              </w:rPr>
              <w:t>Zanzíbar (República Unida de Tanzanía), marzo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Curso avanzado OMPI-OMC sobre propiedad intelectual para funcionarios gubernamentales</w:t>
            </w:r>
            <w:r w:rsidR="00CC201B">
              <w:rPr>
                <w:sz w:val="18"/>
                <w:szCs w:val="18"/>
                <w:lang w:val="es-ES_tradnl"/>
              </w:rPr>
              <w:t xml:space="preserve">, </w:t>
            </w:r>
            <w:r w:rsidRPr="00C60FC3">
              <w:rPr>
                <w:sz w:val="18"/>
                <w:szCs w:val="18"/>
                <w:lang w:val="es-ES_tradnl"/>
              </w:rPr>
              <w:t>Ginebra (Suiza), marzo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rFonts w:cs="Arial"/>
                <w:sz w:val="18"/>
                <w:szCs w:val="18"/>
                <w:lang w:val="es-ES_tradnl"/>
              </w:rPr>
              <w:t>Conferencia sobre derechos de obtentor y la condición de ser miembro de la UPOV</w:t>
            </w:r>
            <w:r w:rsidR="00CC201B">
              <w:rPr>
                <w:rFonts w:cs="Arial"/>
                <w:sz w:val="18"/>
                <w:szCs w:val="18"/>
                <w:lang w:val="es-ES_tradnl"/>
              </w:rPr>
              <w:t xml:space="preserve">, </w:t>
            </w:r>
            <w:r w:rsidRPr="00C60FC3">
              <w:rPr>
                <w:rFonts w:cs="Arial"/>
                <w:sz w:val="18"/>
                <w:szCs w:val="18"/>
                <w:lang w:val="es-ES_tradnl"/>
              </w:rPr>
              <w:t>Belgrado (Serbia), abril de 2012.</w:t>
            </w:r>
          </w:p>
          <w:p w:rsidR="005A712A" w:rsidRPr="00C60FC3" w:rsidRDefault="005A712A" w:rsidP="005A712A">
            <w:pPr>
              <w:numPr>
                <w:ilvl w:val="0"/>
                <w:numId w:val="28"/>
              </w:numPr>
              <w:tabs>
                <w:tab w:val="left" w:pos="459"/>
              </w:tabs>
              <w:spacing w:after="60"/>
              <w:ind w:left="357" w:hanging="357"/>
              <w:jc w:val="left"/>
              <w:rPr>
                <w:color w:val="000000"/>
                <w:sz w:val="18"/>
                <w:szCs w:val="18"/>
                <w:lang w:val="es-ES_tradnl"/>
              </w:rPr>
            </w:pPr>
            <w:r w:rsidRPr="00C60FC3">
              <w:rPr>
                <w:sz w:val="18"/>
                <w:szCs w:val="18"/>
                <w:lang w:val="es-ES_tradnl"/>
              </w:rPr>
              <w:t>Curso de formación USPTO-UPOV sobre “Protección de las variedades vegetales en virtud del Convenio de la UPOV”</w:t>
            </w:r>
            <w:r w:rsidR="00CC201B">
              <w:rPr>
                <w:sz w:val="18"/>
                <w:szCs w:val="18"/>
                <w:lang w:val="es-ES_tradnl"/>
              </w:rPr>
              <w:t xml:space="preserve">, </w:t>
            </w:r>
            <w:r w:rsidRPr="00C60FC3">
              <w:rPr>
                <w:sz w:val="18"/>
                <w:szCs w:val="18"/>
                <w:lang w:val="es-ES_tradnl"/>
              </w:rPr>
              <w:t>Alexandria, Virginia (Estados Unidos de América), abril de 2012.</w:t>
            </w:r>
          </w:p>
          <w:p w:rsidR="005A712A" w:rsidRPr="00C60FC3" w:rsidRDefault="005A712A" w:rsidP="005A712A">
            <w:pPr>
              <w:numPr>
                <w:ilvl w:val="0"/>
                <w:numId w:val="28"/>
              </w:numPr>
              <w:tabs>
                <w:tab w:val="left" w:pos="459"/>
              </w:tabs>
              <w:spacing w:after="60"/>
              <w:jc w:val="left"/>
              <w:rPr>
                <w:rFonts w:cs="Arial"/>
                <w:sz w:val="18"/>
                <w:szCs w:val="18"/>
                <w:lang w:val="es-ES_tradnl"/>
              </w:rPr>
            </w:pPr>
            <w:r w:rsidRPr="00C60FC3">
              <w:rPr>
                <w:rFonts w:cs="Arial"/>
                <w:sz w:val="18"/>
                <w:szCs w:val="18"/>
                <w:lang w:val="es-ES_tradnl"/>
              </w:rPr>
              <w:t>Reunión anual general de la Comunidad Internacional de Fitomejoradores de Plantas Ornamentales y Frutales de Reproducción Asexuada (CIOPORA)</w:t>
            </w:r>
            <w:r w:rsidR="00CC201B">
              <w:rPr>
                <w:rFonts w:cs="Arial"/>
                <w:sz w:val="18"/>
                <w:szCs w:val="18"/>
                <w:lang w:val="es-ES_tradnl"/>
              </w:rPr>
              <w:t xml:space="preserve">, </w:t>
            </w:r>
            <w:r w:rsidRPr="00C60FC3">
              <w:rPr>
                <w:rFonts w:cs="Arial"/>
                <w:sz w:val="18"/>
                <w:szCs w:val="18"/>
                <w:lang w:val="es-ES_tradnl"/>
              </w:rPr>
              <w:t>Miami (Estados Unidos de América), abril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rFonts w:cs="Arial"/>
                <w:sz w:val="18"/>
                <w:szCs w:val="18"/>
                <w:lang w:val="es-ES_tradnl"/>
              </w:rPr>
              <w:t>Conferencia Internacional sobre Propiedad Intelectual (CIOPORA)</w:t>
            </w:r>
            <w:r w:rsidR="00CC201B">
              <w:rPr>
                <w:rFonts w:cs="Arial"/>
                <w:sz w:val="18"/>
                <w:szCs w:val="18"/>
                <w:lang w:val="es-ES_tradnl"/>
              </w:rPr>
              <w:t xml:space="preserve">, </w:t>
            </w:r>
            <w:r w:rsidRPr="00C60FC3">
              <w:rPr>
                <w:rFonts w:cs="Arial"/>
                <w:sz w:val="18"/>
                <w:szCs w:val="18"/>
                <w:lang w:val="es-ES_tradnl"/>
              </w:rPr>
              <w:t>Miami (Estados Unidos de América), abril de 2012.</w:t>
            </w:r>
          </w:p>
          <w:p w:rsidR="005A712A" w:rsidRPr="00C60FC3" w:rsidRDefault="005A712A" w:rsidP="005A712A">
            <w:pPr>
              <w:numPr>
                <w:ilvl w:val="0"/>
                <w:numId w:val="28"/>
              </w:numPr>
              <w:tabs>
                <w:tab w:val="left" w:pos="459"/>
              </w:tabs>
              <w:spacing w:after="60"/>
              <w:ind w:left="357" w:hanging="357"/>
              <w:jc w:val="left"/>
              <w:rPr>
                <w:color w:val="000000"/>
                <w:sz w:val="18"/>
                <w:szCs w:val="18"/>
                <w:lang w:val="es-ES_tradnl"/>
              </w:rPr>
            </w:pPr>
            <w:r w:rsidRPr="00C60FC3">
              <w:rPr>
                <w:sz w:val="18"/>
                <w:szCs w:val="18"/>
                <w:lang w:val="es-ES_tradnl"/>
              </w:rPr>
              <w:t>Taller sobre aplicación de un régimen de protección de las variedades vegetales y sensibilización</w:t>
            </w:r>
            <w:r w:rsidR="00CC201B">
              <w:rPr>
                <w:sz w:val="18"/>
                <w:szCs w:val="18"/>
                <w:lang w:val="es-ES_tradnl"/>
              </w:rPr>
              <w:t xml:space="preserve">, </w:t>
            </w:r>
            <w:r w:rsidRPr="00C60FC3">
              <w:rPr>
                <w:sz w:val="18"/>
                <w:szCs w:val="18"/>
                <w:lang w:val="es-ES_tradnl"/>
              </w:rPr>
              <w:t>Muscat (Omán), mayo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Sesión de formación sobre protección de las variedades vegetales, en el marco del Curso sobre recursos genéticos y derechos de propiedad intelectual (Curso GRIP) (SLU-Sida)</w:t>
            </w:r>
            <w:r w:rsidR="00CC201B">
              <w:rPr>
                <w:sz w:val="18"/>
                <w:szCs w:val="18"/>
                <w:lang w:val="es-ES_tradnl"/>
              </w:rPr>
              <w:t xml:space="preserve">, </w:t>
            </w:r>
            <w:r w:rsidRPr="00C60FC3">
              <w:rPr>
                <w:sz w:val="18"/>
                <w:szCs w:val="18"/>
                <w:lang w:val="es-ES_tradnl"/>
              </w:rPr>
              <w:t>Uppsala (Suecia), mayo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Propiedad Intelectual, Innovación y Seguridad Alimentaria: Taller para la producción sostenible de trigo en África oriental – Estudio de caso sobre la función de la propiedad intelectual” (OMPI)</w:t>
            </w:r>
            <w:r w:rsidR="00CC201B">
              <w:rPr>
                <w:sz w:val="18"/>
                <w:szCs w:val="18"/>
                <w:lang w:val="es-ES_tradnl"/>
              </w:rPr>
              <w:t xml:space="preserve">, </w:t>
            </w:r>
            <w:r w:rsidRPr="00C60FC3">
              <w:rPr>
                <w:sz w:val="18"/>
                <w:szCs w:val="18"/>
                <w:lang w:val="es-ES_tradnl"/>
              </w:rPr>
              <w:t>Ginebra (Suiza), mayo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napToGrid w:val="0"/>
                <w:color w:val="000000"/>
                <w:sz w:val="18"/>
                <w:szCs w:val="18"/>
                <w:lang w:val="es-ES_tradnl"/>
              </w:rPr>
              <w:t>Quinta reunión del Foro de Asia Oriental para la protección de las variedades vegetales (Foro EAPVP)</w:t>
            </w:r>
            <w:r w:rsidR="00CC201B">
              <w:rPr>
                <w:snapToGrid w:val="0"/>
                <w:color w:val="000000"/>
                <w:sz w:val="18"/>
                <w:szCs w:val="18"/>
                <w:lang w:val="es-ES_tradnl"/>
              </w:rPr>
              <w:t xml:space="preserve">, </w:t>
            </w:r>
            <w:r w:rsidRPr="00C60FC3">
              <w:rPr>
                <w:snapToGrid w:val="0"/>
                <w:color w:val="000000"/>
                <w:sz w:val="18"/>
                <w:szCs w:val="18"/>
                <w:lang w:val="es-ES_tradnl"/>
              </w:rPr>
              <w:t>Bangkok</w:t>
            </w:r>
            <w:r w:rsidRPr="00C60FC3">
              <w:rPr>
                <w:color w:val="000000"/>
                <w:sz w:val="18"/>
                <w:szCs w:val="18"/>
                <w:lang w:val="es-ES_tradnl"/>
              </w:rPr>
              <w:t xml:space="preserve"> (Tailandia), mayo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rFonts w:cs="Arial"/>
                <w:iCs/>
                <w:color w:val="000000"/>
                <w:sz w:val="18"/>
                <w:szCs w:val="18"/>
                <w:lang w:val="es-ES_tradnl"/>
              </w:rPr>
              <w:t>Seminario internacional sobre la incidencia de la protección de las variedades vegetales (EAPVP)</w:t>
            </w:r>
            <w:r w:rsidR="00CC201B">
              <w:rPr>
                <w:rFonts w:cs="Arial"/>
                <w:iCs/>
                <w:color w:val="000000"/>
                <w:sz w:val="18"/>
                <w:szCs w:val="18"/>
                <w:lang w:val="es-ES_tradnl"/>
              </w:rPr>
              <w:t xml:space="preserve">, </w:t>
            </w:r>
            <w:r w:rsidRPr="00C60FC3">
              <w:rPr>
                <w:snapToGrid w:val="0"/>
                <w:color w:val="000000"/>
                <w:sz w:val="18"/>
                <w:szCs w:val="18"/>
                <w:lang w:val="es-ES_tradnl"/>
              </w:rPr>
              <w:t>Bangkok (</w:t>
            </w:r>
            <w:r w:rsidRPr="00C60FC3">
              <w:rPr>
                <w:color w:val="000000"/>
                <w:sz w:val="18"/>
                <w:szCs w:val="18"/>
                <w:lang w:val="es-ES_tradnl"/>
              </w:rPr>
              <w:t>Tailandia</w:t>
            </w:r>
            <w:r w:rsidRPr="00C60FC3">
              <w:rPr>
                <w:snapToGrid w:val="0"/>
                <w:color w:val="000000"/>
                <w:sz w:val="18"/>
                <w:szCs w:val="18"/>
                <w:lang w:val="es-ES_tradnl"/>
              </w:rPr>
              <w:t xml:space="preserve">), </w:t>
            </w:r>
            <w:r w:rsidRPr="00C60FC3">
              <w:rPr>
                <w:color w:val="000000"/>
                <w:sz w:val="18"/>
                <w:szCs w:val="18"/>
                <w:lang w:val="es-ES_tradnl"/>
              </w:rPr>
              <w:t>mayo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Curso de la OMPI de introducción al derecho internacional de la propiedad intelectual</w:t>
            </w:r>
            <w:r w:rsidR="00CC201B">
              <w:rPr>
                <w:sz w:val="18"/>
                <w:szCs w:val="18"/>
                <w:lang w:val="es-ES_tradnl"/>
              </w:rPr>
              <w:t xml:space="preserve">, </w:t>
            </w:r>
            <w:r w:rsidRPr="00C60FC3">
              <w:rPr>
                <w:sz w:val="18"/>
                <w:szCs w:val="18"/>
                <w:lang w:val="es-ES_tradnl"/>
              </w:rPr>
              <w:t>Ginebra (Suiza), junio de 2012.</w:t>
            </w:r>
          </w:p>
          <w:p w:rsidR="005A712A" w:rsidRPr="00C60FC3" w:rsidRDefault="005A712A" w:rsidP="005A712A">
            <w:pPr>
              <w:numPr>
                <w:ilvl w:val="0"/>
                <w:numId w:val="28"/>
              </w:numPr>
              <w:tabs>
                <w:tab w:val="left" w:pos="459"/>
              </w:tabs>
              <w:spacing w:after="60"/>
              <w:ind w:left="357" w:hanging="357"/>
              <w:jc w:val="left"/>
              <w:rPr>
                <w:color w:val="000000"/>
                <w:sz w:val="18"/>
                <w:szCs w:val="18"/>
                <w:lang w:val="es-ES_tradnl"/>
              </w:rPr>
            </w:pPr>
            <w:r w:rsidRPr="00C60FC3">
              <w:rPr>
                <w:sz w:val="18"/>
                <w:szCs w:val="18"/>
                <w:lang w:val="es-ES_tradnl"/>
              </w:rPr>
              <w:t>Reunión de expertos para la revisión del proyecto de marco jurídico de la ARIPO sobre la protección de las obtenciones vegetales</w:t>
            </w:r>
            <w:r w:rsidR="00CC201B">
              <w:rPr>
                <w:sz w:val="18"/>
                <w:szCs w:val="18"/>
                <w:lang w:val="es-ES_tradnl"/>
              </w:rPr>
              <w:t xml:space="preserve">, </w:t>
            </w:r>
            <w:r w:rsidRPr="00C60FC3">
              <w:rPr>
                <w:sz w:val="18"/>
                <w:szCs w:val="18"/>
                <w:lang w:val="es-ES_tradnl"/>
              </w:rPr>
              <w:t>Harare (Zimbabwe), junio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rFonts w:cs="Arial"/>
                <w:sz w:val="18"/>
                <w:szCs w:val="18"/>
                <w:lang w:val="es-ES_tradnl"/>
              </w:rPr>
              <w:t>XV Curso internacional sobre protección de las variedades vegetales (Naktuinbouw)</w:t>
            </w:r>
            <w:r w:rsidR="00CC201B">
              <w:rPr>
                <w:rFonts w:cs="Arial"/>
                <w:sz w:val="18"/>
                <w:szCs w:val="18"/>
                <w:lang w:val="es-ES_tradnl"/>
              </w:rPr>
              <w:t xml:space="preserve">, </w:t>
            </w:r>
            <w:r w:rsidRPr="00C60FC3">
              <w:rPr>
                <w:sz w:val="18"/>
                <w:szCs w:val="18"/>
                <w:lang w:val="es-ES_tradnl"/>
              </w:rPr>
              <w:t>Wageningen (Países Bajos), junio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Coloquio OMPI-OMC para docentes de propiedad intelectual</w:t>
            </w:r>
            <w:r w:rsidR="00CC201B">
              <w:rPr>
                <w:sz w:val="18"/>
                <w:szCs w:val="18"/>
                <w:lang w:val="es-ES_tradnl"/>
              </w:rPr>
              <w:t xml:space="preserve">, </w:t>
            </w:r>
            <w:r w:rsidRPr="00C60FC3">
              <w:rPr>
                <w:sz w:val="18"/>
                <w:szCs w:val="18"/>
                <w:lang w:val="es-ES_tradnl"/>
              </w:rPr>
              <w:t>Ginebra (Suiza), junio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napToGrid w:val="0"/>
                <w:sz w:val="18"/>
                <w:szCs w:val="18"/>
                <w:lang w:val="es-ES_tradnl"/>
              </w:rPr>
              <w:t>Seminario Interregional de la OMPI de nivel intermedio sobre propiedad intelectual</w:t>
            </w:r>
            <w:r w:rsidR="00CC201B">
              <w:rPr>
                <w:snapToGrid w:val="0"/>
                <w:sz w:val="18"/>
                <w:szCs w:val="18"/>
                <w:lang w:val="es-ES_tradnl"/>
              </w:rPr>
              <w:t xml:space="preserve">, </w:t>
            </w:r>
            <w:r w:rsidRPr="00C60FC3">
              <w:rPr>
                <w:snapToGrid w:val="0"/>
                <w:sz w:val="18"/>
                <w:szCs w:val="18"/>
                <w:lang w:val="es-ES_tradnl"/>
              </w:rPr>
              <w:t>Ginebra (Suiza), junio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napToGrid w:val="0"/>
                <w:sz w:val="18"/>
                <w:szCs w:val="18"/>
                <w:lang w:val="es-ES_tradnl"/>
              </w:rPr>
              <w:t>Congreso Mundial de Semillas 2012 (ISF)</w:t>
            </w:r>
            <w:r w:rsidR="00CC201B">
              <w:rPr>
                <w:snapToGrid w:val="0"/>
                <w:sz w:val="18"/>
                <w:szCs w:val="18"/>
                <w:lang w:val="es-ES_tradnl"/>
              </w:rPr>
              <w:t xml:space="preserve">, </w:t>
            </w:r>
            <w:r w:rsidRPr="00C60FC3">
              <w:rPr>
                <w:snapToGrid w:val="0"/>
                <w:sz w:val="18"/>
                <w:szCs w:val="18"/>
                <w:lang w:val="es-ES_tradnl"/>
              </w:rPr>
              <w:t>Río de Janeiro (Brasil), junio de 2012.</w:t>
            </w:r>
          </w:p>
          <w:p w:rsidR="005A712A" w:rsidRPr="005A712A"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Curso “Licencias de tecnología para los países en desarrollo</w:t>
            </w:r>
            <w:proofErr w:type="gramStart"/>
            <w:r w:rsidRPr="00C60FC3">
              <w:rPr>
                <w:sz w:val="18"/>
                <w:szCs w:val="18"/>
                <w:lang w:val="es-ES_tradnl"/>
              </w:rPr>
              <w:t>:  qué</w:t>
            </w:r>
            <w:proofErr w:type="gramEnd"/>
            <w:r w:rsidRPr="00C60FC3">
              <w:rPr>
                <w:sz w:val="18"/>
                <w:szCs w:val="18"/>
                <w:lang w:val="es-ES_tradnl"/>
              </w:rPr>
              <w:t xml:space="preserve"> se aconseja y qué se desaconseja hacer” (IDLO)</w:t>
            </w:r>
            <w:r w:rsidR="00CC201B">
              <w:rPr>
                <w:sz w:val="18"/>
                <w:szCs w:val="18"/>
                <w:lang w:val="es-ES_tradnl"/>
              </w:rPr>
              <w:t xml:space="preserve">, </w:t>
            </w:r>
            <w:r w:rsidRPr="00C60FC3">
              <w:rPr>
                <w:sz w:val="18"/>
                <w:szCs w:val="18"/>
                <w:lang w:val="es-ES_tradnl"/>
              </w:rPr>
              <w:t>Roma (Italia), julio de 2012.</w:t>
            </w:r>
          </w:p>
        </w:tc>
      </w:tr>
    </w:tbl>
    <w:p w:rsidR="00B43D13" w:rsidRPr="00C60FC3" w:rsidRDefault="00B43D13" w:rsidP="00BF2668">
      <w:pPr>
        <w:rPr>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5A712A">
            <w:pPr>
              <w:keepNext/>
              <w:spacing w:after="12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5A712A">
            <w:pPr>
              <w:keepNext/>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jc w:val="left"/>
              <w:rPr>
                <w:i/>
                <w:sz w:val="18"/>
                <w:szCs w:val="18"/>
                <w:lang w:val="es-ES_tradnl"/>
              </w:rPr>
            </w:pPr>
            <w:r w:rsidRPr="00C60FC3">
              <w:rPr>
                <w:i/>
                <w:sz w:val="18"/>
                <w:szCs w:val="18"/>
                <w:lang w:val="es-ES_tradnl"/>
              </w:rPr>
              <w:t xml:space="preserve">1.  </w:t>
            </w:r>
            <w:r w:rsidR="0018384D" w:rsidRPr="0018384D">
              <w:rPr>
                <w:i/>
                <w:sz w:val="18"/>
                <w:szCs w:val="18"/>
                <w:lang w:val="es-ES_tradnl"/>
              </w:rPr>
              <w:t>Fomentar la sensibilización acerca de la función de la protección de las variedades vegetales con arreg</w:t>
            </w:r>
            <w:r w:rsidR="0018384D">
              <w:rPr>
                <w:i/>
                <w:sz w:val="18"/>
                <w:szCs w:val="18"/>
                <w:lang w:val="es-ES_tradnl"/>
              </w:rPr>
              <w:t>lo al Convenio de la </w:t>
            </w:r>
            <w:r w:rsidR="0018384D" w:rsidRPr="0018384D">
              <w:rPr>
                <w:i/>
                <w:sz w:val="18"/>
                <w:szCs w:val="18"/>
                <w:lang w:val="es-ES_tradnl"/>
              </w:rPr>
              <w:t>UPOV</w:t>
            </w:r>
            <w:r w:rsidRPr="00C60FC3">
              <w:rPr>
                <w:i/>
                <w:sz w:val="18"/>
                <w:szCs w:val="18"/>
                <w:lang w:val="es-ES_tradnl"/>
              </w:rPr>
              <w:t xml:space="preserve"> </w:t>
            </w:r>
            <w:r w:rsidRPr="00C60FC3">
              <w:rPr>
                <w:sz w:val="18"/>
                <w:szCs w:val="18"/>
                <w:lang w:val="es-ES_tradnl"/>
              </w:rPr>
              <w:t>(continuación)</w:t>
            </w:r>
          </w:p>
        </w:tc>
        <w:tc>
          <w:tcPr>
            <w:tcW w:w="7796" w:type="dxa"/>
          </w:tcPr>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Curso de verano de la OMPI sobre propiedad intelectual</w:t>
            </w:r>
            <w:r w:rsidR="00CC201B">
              <w:rPr>
                <w:sz w:val="18"/>
                <w:szCs w:val="18"/>
                <w:lang w:val="es-ES_tradnl"/>
              </w:rPr>
              <w:t xml:space="preserve">, </w:t>
            </w:r>
            <w:r w:rsidRPr="00C60FC3">
              <w:rPr>
                <w:sz w:val="18"/>
                <w:szCs w:val="18"/>
                <w:lang w:val="es-ES_tradnl"/>
              </w:rPr>
              <w:t>Ginebra (Suiza), julio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Curso de formación sobre “Protección de las variedades vegetales y examen DHE” (KSVS-KOICA)</w:t>
            </w:r>
            <w:r w:rsidR="00D61F2D">
              <w:rPr>
                <w:sz w:val="18"/>
                <w:szCs w:val="18"/>
                <w:lang w:val="es-ES_tradnl"/>
              </w:rPr>
              <w:t xml:space="preserve">, </w:t>
            </w:r>
            <w:r w:rsidRPr="00C60FC3">
              <w:rPr>
                <w:sz w:val="18"/>
                <w:szCs w:val="18"/>
                <w:lang w:val="es-ES_tradnl"/>
              </w:rPr>
              <w:t>Seúl (República de Corea), julio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 xml:space="preserve">Programa de Licenciatura en Derecho de propiedad intelectual de la </w:t>
            </w:r>
            <w:r w:rsidRPr="00C60FC3">
              <w:rPr>
                <w:i/>
                <w:sz w:val="18"/>
                <w:szCs w:val="18"/>
                <w:lang w:val="es-ES_tradnl"/>
              </w:rPr>
              <w:t>Queensland University of Technology</w:t>
            </w:r>
            <w:r w:rsidRPr="00C60FC3">
              <w:rPr>
                <w:sz w:val="18"/>
                <w:szCs w:val="18"/>
                <w:lang w:val="es-ES_tradnl"/>
              </w:rPr>
              <w:t xml:space="preserve"> (QUT)</w:t>
            </w:r>
            <w:r w:rsidR="00D61F2D">
              <w:rPr>
                <w:sz w:val="18"/>
                <w:szCs w:val="18"/>
                <w:lang w:val="es-ES_tradnl"/>
              </w:rPr>
              <w:t xml:space="preserve">, </w:t>
            </w:r>
            <w:r w:rsidRPr="00C60FC3">
              <w:rPr>
                <w:sz w:val="18"/>
                <w:szCs w:val="18"/>
                <w:lang w:val="es-ES_tradnl"/>
              </w:rPr>
              <w:t>Brisbane (Australia), julio de 2012.</w:t>
            </w:r>
          </w:p>
          <w:p w:rsidR="005A712A" w:rsidRPr="00C60FC3" w:rsidRDefault="005A712A" w:rsidP="005A712A">
            <w:pPr>
              <w:numPr>
                <w:ilvl w:val="0"/>
                <w:numId w:val="28"/>
              </w:numPr>
              <w:tabs>
                <w:tab w:val="left" w:pos="459"/>
              </w:tabs>
              <w:spacing w:after="60"/>
              <w:jc w:val="left"/>
              <w:rPr>
                <w:color w:val="000000"/>
                <w:sz w:val="18"/>
                <w:szCs w:val="18"/>
                <w:lang w:val="es-ES_tradnl"/>
              </w:rPr>
            </w:pPr>
            <w:r w:rsidRPr="00C60FC3">
              <w:rPr>
                <w:snapToGrid w:val="0"/>
                <w:sz w:val="18"/>
                <w:szCs w:val="18"/>
                <w:lang w:val="es-ES_tradnl"/>
              </w:rPr>
              <w:t>XXIII Congreso Panamericano de Semillas</w:t>
            </w:r>
            <w:r w:rsidR="00D61F2D">
              <w:rPr>
                <w:snapToGrid w:val="0"/>
                <w:sz w:val="18"/>
                <w:szCs w:val="18"/>
                <w:lang w:val="es-ES_tradnl"/>
              </w:rPr>
              <w:t xml:space="preserve">, </w:t>
            </w:r>
            <w:r w:rsidRPr="00C60FC3">
              <w:rPr>
                <w:sz w:val="18"/>
                <w:szCs w:val="18"/>
                <w:lang w:val="es-ES_tradnl"/>
              </w:rPr>
              <w:t xml:space="preserve">Santa Cruz de la Sierra, </w:t>
            </w:r>
            <w:r w:rsidRPr="00C60FC3">
              <w:rPr>
                <w:snapToGrid w:val="0"/>
                <w:sz w:val="18"/>
                <w:szCs w:val="18"/>
                <w:lang w:val="es-ES_tradnl"/>
              </w:rPr>
              <w:t xml:space="preserve">(Bolivia (Estado Plurinacional de)), </w:t>
            </w:r>
            <w:r w:rsidRPr="00C60FC3">
              <w:rPr>
                <w:sz w:val="18"/>
                <w:szCs w:val="18"/>
                <w:lang w:val="es-ES_tradnl"/>
              </w:rPr>
              <w:t>agosto de 2012</w:t>
            </w:r>
            <w:r w:rsidRPr="00C60FC3">
              <w:rPr>
                <w:snapToGrid w:val="0"/>
                <w:sz w:val="18"/>
                <w:szCs w:val="18"/>
                <w:lang w:val="es-ES_tradnl"/>
              </w:rPr>
              <w:t>.</w:t>
            </w:r>
          </w:p>
          <w:p w:rsidR="005A712A" w:rsidRPr="005A712A" w:rsidRDefault="005A712A" w:rsidP="005A712A">
            <w:pPr>
              <w:numPr>
                <w:ilvl w:val="0"/>
                <w:numId w:val="28"/>
              </w:numPr>
              <w:tabs>
                <w:tab w:val="left" w:pos="459"/>
              </w:tabs>
              <w:spacing w:after="60"/>
              <w:jc w:val="left"/>
              <w:rPr>
                <w:color w:val="000000"/>
                <w:sz w:val="18"/>
                <w:szCs w:val="18"/>
                <w:lang w:val="es-ES_tradnl"/>
              </w:rPr>
            </w:pPr>
            <w:r w:rsidRPr="00C60FC3">
              <w:rPr>
                <w:snapToGrid w:val="0"/>
                <w:sz w:val="18"/>
                <w:szCs w:val="18"/>
                <w:lang w:val="es-ES_tradnl"/>
              </w:rPr>
              <w:t>Curso de formación sobre la “Armonización Internacional del Sistema de Protección de las Variedades Vegetales” (JICA)</w:t>
            </w:r>
            <w:r w:rsidR="00D61F2D">
              <w:rPr>
                <w:snapToGrid w:val="0"/>
                <w:sz w:val="18"/>
                <w:szCs w:val="18"/>
                <w:lang w:val="es-ES_tradnl"/>
              </w:rPr>
              <w:t xml:space="preserve">, </w:t>
            </w:r>
            <w:r w:rsidRPr="00C60FC3">
              <w:rPr>
                <w:sz w:val="18"/>
                <w:szCs w:val="18"/>
                <w:lang w:val="es-ES_tradnl"/>
              </w:rPr>
              <w:t>Tsukuba (Japón), septiembre de 2012.</w:t>
            </w:r>
          </w:p>
          <w:p w:rsidR="00B43D13" w:rsidRPr="00C60FC3" w:rsidRDefault="00B43D13" w:rsidP="005A712A">
            <w:pPr>
              <w:numPr>
                <w:ilvl w:val="0"/>
                <w:numId w:val="28"/>
              </w:numPr>
              <w:tabs>
                <w:tab w:val="left" w:pos="459"/>
              </w:tabs>
              <w:spacing w:after="60"/>
              <w:jc w:val="left"/>
              <w:rPr>
                <w:color w:val="000000"/>
                <w:sz w:val="18"/>
                <w:szCs w:val="18"/>
                <w:lang w:val="es-ES_tradnl"/>
              </w:rPr>
            </w:pPr>
            <w:r w:rsidRPr="00C60FC3">
              <w:rPr>
                <w:sz w:val="18"/>
                <w:szCs w:val="18"/>
                <w:lang w:val="es-ES_tradnl"/>
              </w:rPr>
              <w:t>Sexta Conferencia Internacional sobre propiedad intelectual en el ámbito de la agricultura</w:t>
            </w:r>
            <w:r w:rsidR="00D61F2D">
              <w:rPr>
                <w:sz w:val="18"/>
                <w:szCs w:val="18"/>
                <w:lang w:val="es-ES_tradnl"/>
              </w:rPr>
              <w:t xml:space="preserve">, </w:t>
            </w:r>
            <w:r w:rsidRPr="00C60FC3">
              <w:rPr>
                <w:sz w:val="18"/>
                <w:szCs w:val="18"/>
                <w:lang w:val="es-ES_tradnl"/>
              </w:rPr>
              <w:t>Ammán (Jordania), septiembre de 2012.</w:t>
            </w:r>
          </w:p>
          <w:p w:rsidR="00B43D13" w:rsidRPr="00C60FC3" w:rsidRDefault="00B43D13" w:rsidP="00BF2668">
            <w:pPr>
              <w:numPr>
                <w:ilvl w:val="0"/>
                <w:numId w:val="28"/>
              </w:numPr>
              <w:tabs>
                <w:tab w:val="left" w:pos="459"/>
              </w:tabs>
              <w:spacing w:after="60"/>
              <w:jc w:val="left"/>
              <w:rPr>
                <w:color w:val="000000"/>
                <w:sz w:val="18"/>
                <w:szCs w:val="18"/>
                <w:lang w:val="es-ES_tradnl"/>
              </w:rPr>
            </w:pPr>
            <w:r w:rsidRPr="00C60FC3">
              <w:rPr>
                <w:sz w:val="18"/>
                <w:szCs w:val="18"/>
                <w:lang w:val="es-ES_tradnl"/>
              </w:rPr>
              <w:t>Simposio Anual del Departamento de Agricultura de Sri Lanka</w:t>
            </w:r>
            <w:r w:rsidR="00D61F2D">
              <w:rPr>
                <w:sz w:val="18"/>
                <w:szCs w:val="18"/>
                <w:lang w:val="es-ES_tradnl"/>
              </w:rPr>
              <w:t xml:space="preserve">, </w:t>
            </w:r>
            <w:r w:rsidRPr="00C60FC3">
              <w:rPr>
                <w:sz w:val="18"/>
                <w:szCs w:val="18"/>
                <w:lang w:val="es-ES_tradnl"/>
              </w:rPr>
              <w:t>Peradeniya (Sri Lanka), septiembre de 2012.</w:t>
            </w:r>
          </w:p>
          <w:p w:rsidR="00B43D13" w:rsidRPr="00C60FC3" w:rsidRDefault="00B43D13" w:rsidP="00BF2668">
            <w:pPr>
              <w:numPr>
                <w:ilvl w:val="0"/>
                <w:numId w:val="28"/>
              </w:numPr>
              <w:tabs>
                <w:tab w:val="left" w:pos="459"/>
              </w:tabs>
              <w:spacing w:after="60"/>
              <w:jc w:val="left"/>
              <w:rPr>
                <w:color w:val="000000"/>
                <w:sz w:val="18"/>
                <w:szCs w:val="18"/>
                <w:lang w:val="es-ES_tradnl"/>
              </w:rPr>
            </w:pPr>
            <w:r w:rsidRPr="00C60FC3">
              <w:rPr>
                <w:sz w:val="18"/>
                <w:szCs w:val="18"/>
                <w:lang w:val="es-ES_tradnl"/>
              </w:rPr>
              <w:t>Sesión de formación sobre protección de las variedades vegetales, en el marco del Curso sobre recursos genéticos y derechos de propiedad intelectual (Curso GRIP) (SLU-Sida)</w:t>
            </w:r>
            <w:r w:rsidR="00D61F2D">
              <w:rPr>
                <w:sz w:val="18"/>
                <w:szCs w:val="18"/>
                <w:lang w:val="es-ES_tradnl"/>
              </w:rPr>
              <w:t xml:space="preserve">, </w:t>
            </w:r>
            <w:r w:rsidRPr="00C60FC3">
              <w:rPr>
                <w:sz w:val="18"/>
                <w:szCs w:val="18"/>
                <w:lang w:val="es-ES_tradnl"/>
              </w:rPr>
              <w:t>Uppsala (Suecia), septiembre de 2012.</w:t>
            </w:r>
          </w:p>
          <w:p w:rsidR="00B43D13" w:rsidRPr="00C60FC3" w:rsidRDefault="00B43D13" w:rsidP="00BF2668">
            <w:pPr>
              <w:numPr>
                <w:ilvl w:val="0"/>
                <w:numId w:val="28"/>
              </w:numPr>
              <w:tabs>
                <w:tab w:val="left" w:pos="459"/>
              </w:tabs>
              <w:spacing w:after="60"/>
              <w:jc w:val="left"/>
              <w:rPr>
                <w:color w:val="000000"/>
                <w:sz w:val="18"/>
                <w:szCs w:val="18"/>
                <w:lang w:val="es-ES_tradnl"/>
              </w:rPr>
            </w:pPr>
            <w:r w:rsidRPr="00C60FC3">
              <w:rPr>
                <w:sz w:val="18"/>
                <w:szCs w:val="18"/>
                <w:lang w:val="es-ES_tradnl"/>
              </w:rPr>
              <w:t>Simposio conjunto CIOPORA-JATAFF sobre la protección de las variedades vegetales en Asia</w:t>
            </w:r>
            <w:r w:rsidR="00D61F2D">
              <w:rPr>
                <w:sz w:val="18"/>
                <w:szCs w:val="18"/>
                <w:lang w:val="es-ES_tradnl"/>
              </w:rPr>
              <w:t xml:space="preserve">, </w:t>
            </w:r>
            <w:r w:rsidRPr="00C60FC3">
              <w:rPr>
                <w:sz w:val="18"/>
                <w:szCs w:val="18"/>
                <w:lang w:val="es-ES_tradnl"/>
              </w:rPr>
              <w:t>Tokio (Japón), octubre de 2012.</w:t>
            </w:r>
          </w:p>
          <w:p w:rsidR="00B43D13" w:rsidRPr="00C60FC3" w:rsidRDefault="00B43D13" w:rsidP="00BF2668">
            <w:pPr>
              <w:numPr>
                <w:ilvl w:val="0"/>
                <w:numId w:val="28"/>
              </w:numPr>
              <w:tabs>
                <w:tab w:val="left" w:pos="459"/>
              </w:tabs>
              <w:spacing w:after="60"/>
              <w:jc w:val="left"/>
              <w:rPr>
                <w:color w:val="000000"/>
                <w:sz w:val="18"/>
                <w:szCs w:val="18"/>
                <w:lang w:val="es-ES_tradnl"/>
              </w:rPr>
            </w:pPr>
            <w:r w:rsidRPr="00C60FC3">
              <w:rPr>
                <w:sz w:val="18"/>
                <w:szCs w:val="18"/>
                <w:lang w:val="es-ES_tradnl"/>
              </w:rPr>
              <w:t>Curso de formación sobre el examen DHE para expertos del EAPVP (NCSS-MAFF)</w:t>
            </w:r>
            <w:r w:rsidR="00D61F2D">
              <w:rPr>
                <w:sz w:val="18"/>
                <w:szCs w:val="18"/>
                <w:lang w:val="es-ES_tradnl"/>
              </w:rPr>
              <w:t xml:space="preserve">, </w:t>
            </w:r>
            <w:r w:rsidRPr="00C60FC3">
              <w:rPr>
                <w:sz w:val="18"/>
                <w:szCs w:val="18"/>
                <w:lang w:val="es-ES_tradnl"/>
              </w:rPr>
              <w:t>Kasaoka, Prefectura de Okayama (Japón), octubre de 2012.</w:t>
            </w:r>
          </w:p>
          <w:p w:rsidR="00B43D13" w:rsidRPr="00C60FC3" w:rsidRDefault="00B43D13" w:rsidP="00BF2668">
            <w:pPr>
              <w:numPr>
                <w:ilvl w:val="0"/>
                <w:numId w:val="28"/>
              </w:numPr>
              <w:tabs>
                <w:tab w:val="left" w:pos="459"/>
              </w:tabs>
              <w:spacing w:after="60"/>
              <w:jc w:val="left"/>
              <w:rPr>
                <w:sz w:val="18"/>
                <w:szCs w:val="18"/>
                <w:lang w:val="es-ES_tradnl"/>
              </w:rPr>
            </w:pPr>
            <w:r w:rsidRPr="00C60FC3">
              <w:rPr>
                <w:sz w:val="18"/>
                <w:szCs w:val="18"/>
                <w:lang w:val="es-ES_tradnl"/>
              </w:rPr>
              <w:t>Visita de estudio y cena para altos funcionarios de Filipinas, Indonesia, Malasia y Tailandia (GNIS)</w:t>
            </w:r>
            <w:r w:rsidR="00D61F2D">
              <w:rPr>
                <w:sz w:val="18"/>
                <w:szCs w:val="18"/>
                <w:lang w:val="es-ES_tradnl"/>
              </w:rPr>
              <w:t xml:space="preserve">, </w:t>
            </w:r>
            <w:r w:rsidRPr="00C60FC3">
              <w:rPr>
                <w:sz w:val="18"/>
                <w:szCs w:val="18"/>
                <w:lang w:val="es-ES_tradnl"/>
              </w:rPr>
              <w:t>París (Francia), octubre de 2012.</w:t>
            </w:r>
          </w:p>
          <w:p w:rsidR="00B43D13" w:rsidRPr="00C60FC3" w:rsidRDefault="00B43D13" w:rsidP="00BF2668">
            <w:pPr>
              <w:numPr>
                <w:ilvl w:val="0"/>
                <w:numId w:val="28"/>
              </w:numPr>
              <w:tabs>
                <w:tab w:val="left" w:pos="459"/>
              </w:tabs>
              <w:spacing w:after="60"/>
              <w:jc w:val="left"/>
              <w:rPr>
                <w:color w:val="000000"/>
                <w:sz w:val="18"/>
                <w:szCs w:val="18"/>
                <w:lang w:val="es-ES_tradnl"/>
              </w:rPr>
            </w:pPr>
            <w:r w:rsidRPr="00C60FC3">
              <w:rPr>
                <w:sz w:val="18"/>
                <w:szCs w:val="18"/>
                <w:lang w:val="es-ES_tradnl"/>
              </w:rPr>
              <w:t>Seminario nacional de la OMPI sobre la incidencia del Tratado de Cooperación en materia de Patentes (PCT) en la investigación</w:t>
            </w:r>
            <w:r w:rsidR="00D61F2D">
              <w:rPr>
                <w:sz w:val="18"/>
                <w:szCs w:val="18"/>
                <w:lang w:val="es-ES_tradnl"/>
              </w:rPr>
              <w:t xml:space="preserve">, </w:t>
            </w:r>
            <w:r w:rsidRPr="00C60FC3">
              <w:rPr>
                <w:sz w:val="18"/>
                <w:szCs w:val="18"/>
                <w:lang w:val="es-ES_tradnl"/>
              </w:rPr>
              <w:t>Maputo (Mozambique), octubre de 2012.</w:t>
            </w:r>
          </w:p>
          <w:p w:rsidR="00B43D13" w:rsidRPr="00C60FC3" w:rsidRDefault="00B43D13" w:rsidP="00BF2668">
            <w:pPr>
              <w:numPr>
                <w:ilvl w:val="0"/>
                <w:numId w:val="28"/>
              </w:numPr>
              <w:tabs>
                <w:tab w:val="left" w:pos="459"/>
              </w:tabs>
              <w:spacing w:after="60"/>
              <w:jc w:val="left"/>
              <w:rPr>
                <w:color w:val="000000"/>
                <w:sz w:val="18"/>
                <w:szCs w:val="18"/>
                <w:lang w:val="es-ES_tradnl"/>
              </w:rPr>
            </w:pPr>
            <w:r w:rsidRPr="00C60FC3">
              <w:rPr>
                <w:sz w:val="18"/>
                <w:szCs w:val="18"/>
                <w:lang w:val="es-ES_tradnl"/>
              </w:rPr>
              <w:t>Congreso Asiático de Semillas (APSA)</w:t>
            </w:r>
            <w:r w:rsidR="00D61F2D">
              <w:rPr>
                <w:sz w:val="18"/>
                <w:szCs w:val="18"/>
                <w:lang w:val="es-ES_tradnl"/>
              </w:rPr>
              <w:t xml:space="preserve">, </w:t>
            </w:r>
            <w:r w:rsidRPr="00C60FC3">
              <w:rPr>
                <w:sz w:val="18"/>
                <w:szCs w:val="18"/>
                <w:lang w:val="es-ES_tradnl"/>
              </w:rPr>
              <w:t>Bali (Indonesia), noviembre de 2012.</w:t>
            </w:r>
          </w:p>
          <w:p w:rsidR="00B43D13" w:rsidRPr="00C60FC3" w:rsidRDefault="00B43D13" w:rsidP="00BF2668">
            <w:pPr>
              <w:numPr>
                <w:ilvl w:val="0"/>
                <w:numId w:val="28"/>
              </w:numPr>
              <w:tabs>
                <w:tab w:val="left" w:pos="459"/>
              </w:tabs>
              <w:spacing w:after="60"/>
              <w:jc w:val="left"/>
              <w:rPr>
                <w:color w:val="000000"/>
                <w:sz w:val="18"/>
                <w:szCs w:val="18"/>
                <w:lang w:val="es-ES_tradnl"/>
              </w:rPr>
            </w:pPr>
            <w:r w:rsidRPr="00C60FC3">
              <w:rPr>
                <w:sz w:val="18"/>
                <w:szCs w:val="18"/>
                <w:lang w:val="es-ES_tradnl"/>
              </w:rPr>
              <w:t>Quinta Reunión ministerial de la Organización de Cooperación Económica (OCE) sobre agricultura y segunda Conferencia de donantes para la ejecución del Programa Regional de Seguridad Alimentaria (RPFS)</w:t>
            </w:r>
            <w:r w:rsidR="00D61F2D">
              <w:rPr>
                <w:sz w:val="18"/>
                <w:szCs w:val="18"/>
                <w:lang w:val="es-ES_tradnl"/>
              </w:rPr>
              <w:t xml:space="preserve">, </w:t>
            </w:r>
            <w:r w:rsidRPr="00C60FC3">
              <w:rPr>
                <w:sz w:val="18"/>
                <w:szCs w:val="18"/>
                <w:lang w:val="es-ES_tradnl"/>
              </w:rPr>
              <w:t>Antalya (Turquía), noviembre de 2012.</w:t>
            </w:r>
          </w:p>
          <w:p w:rsidR="00B43D13" w:rsidRPr="00C60FC3" w:rsidRDefault="00B43D13" w:rsidP="00BF2668">
            <w:pPr>
              <w:numPr>
                <w:ilvl w:val="0"/>
                <w:numId w:val="28"/>
              </w:numPr>
              <w:tabs>
                <w:tab w:val="left" w:pos="459"/>
              </w:tabs>
              <w:spacing w:after="60"/>
              <w:ind w:left="357" w:hanging="357"/>
              <w:jc w:val="left"/>
              <w:rPr>
                <w:color w:val="000000"/>
                <w:sz w:val="18"/>
                <w:szCs w:val="18"/>
                <w:lang w:val="es-ES_tradnl"/>
              </w:rPr>
            </w:pPr>
            <w:r w:rsidRPr="00C60FC3">
              <w:rPr>
                <w:sz w:val="18"/>
                <w:szCs w:val="18"/>
                <w:lang w:val="es-ES_tradnl"/>
              </w:rPr>
              <w:t>Reunión del Comité de Expertos en Protección de Variedades Vegetales de la GRUR</w:t>
            </w:r>
            <w:r w:rsidR="00D61F2D">
              <w:rPr>
                <w:sz w:val="18"/>
                <w:szCs w:val="18"/>
                <w:lang w:val="es-ES_tradnl"/>
              </w:rPr>
              <w:t xml:space="preserve">, </w:t>
            </w:r>
            <w:r w:rsidR="00C60FC3" w:rsidRPr="00C60FC3">
              <w:rPr>
                <w:sz w:val="18"/>
                <w:szCs w:val="18"/>
                <w:lang w:val="es-ES_tradnl"/>
              </w:rPr>
              <w:t>Múnich</w:t>
            </w:r>
            <w:r w:rsidRPr="00C60FC3">
              <w:rPr>
                <w:sz w:val="18"/>
                <w:szCs w:val="18"/>
                <w:lang w:val="es-ES_tradnl"/>
              </w:rPr>
              <w:t xml:space="preserve"> (Alemania), noviembre de 2012.</w:t>
            </w:r>
          </w:p>
          <w:p w:rsidR="00B43D13" w:rsidRPr="00C60FC3" w:rsidRDefault="00B43D13" w:rsidP="00BF2668">
            <w:pPr>
              <w:numPr>
                <w:ilvl w:val="0"/>
                <w:numId w:val="28"/>
              </w:numPr>
              <w:tabs>
                <w:tab w:val="left" w:pos="459"/>
              </w:tabs>
              <w:spacing w:after="60"/>
              <w:ind w:left="357" w:hanging="357"/>
              <w:jc w:val="left"/>
              <w:rPr>
                <w:color w:val="000000"/>
                <w:sz w:val="18"/>
                <w:szCs w:val="18"/>
                <w:lang w:val="es-ES_tradnl"/>
              </w:rPr>
            </w:pPr>
            <w:r w:rsidRPr="00C60FC3">
              <w:rPr>
                <w:sz w:val="18"/>
                <w:szCs w:val="18"/>
                <w:lang w:val="es-ES_tradnl"/>
              </w:rPr>
              <w:t>XI Curso de formación para países iberoamericanos sobre la protección de las obtenciones vegetales</w:t>
            </w:r>
            <w:r w:rsidR="00D61F2D">
              <w:rPr>
                <w:sz w:val="18"/>
                <w:szCs w:val="18"/>
                <w:lang w:val="es-ES_tradnl"/>
              </w:rPr>
              <w:t xml:space="preserve">, </w:t>
            </w:r>
            <w:r w:rsidRPr="00C60FC3">
              <w:rPr>
                <w:sz w:val="18"/>
                <w:szCs w:val="18"/>
                <w:lang w:val="es-ES_tradnl"/>
              </w:rPr>
              <w:t>Montevideo (Uruguay), diciembre de 2012.</w:t>
            </w:r>
          </w:p>
          <w:p w:rsidR="00B43D13" w:rsidRPr="00C60FC3" w:rsidRDefault="00B43D13" w:rsidP="00BF2668">
            <w:pPr>
              <w:numPr>
                <w:ilvl w:val="0"/>
                <w:numId w:val="28"/>
              </w:numPr>
              <w:tabs>
                <w:tab w:val="left" w:pos="459"/>
              </w:tabs>
              <w:spacing w:after="60"/>
              <w:ind w:left="357" w:hanging="357"/>
              <w:jc w:val="left"/>
              <w:rPr>
                <w:szCs w:val="18"/>
                <w:lang w:val="es-ES_tradnl"/>
              </w:rPr>
            </w:pPr>
            <w:r w:rsidRPr="00C60FC3">
              <w:rPr>
                <w:sz w:val="18"/>
                <w:szCs w:val="18"/>
                <w:lang w:val="es-ES_tradnl"/>
              </w:rPr>
              <w:t>Seminario de sensibilización sobre la protección de las variedades vegetales</w:t>
            </w:r>
            <w:r w:rsidR="00D61F2D">
              <w:rPr>
                <w:sz w:val="18"/>
                <w:szCs w:val="18"/>
                <w:lang w:val="es-ES_tradnl"/>
              </w:rPr>
              <w:t xml:space="preserve">, </w:t>
            </w:r>
            <w:r w:rsidRPr="00C60FC3">
              <w:rPr>
                <w:sz w:val="18"/>
                <w:szCs w:val="18"/>
                <w:lang w:val="es-ES_tradnl"/>
              </w:rPr>
              <w:t>Nay Pyi Taw (Myanmar), diciembre de 2012.</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121" w:name="_Toc336339208"/>
            <w:bookmarkStart w:id="122" w:name="_Toc368060346"/>
            <w:r w:rsidRPr="00C60FC3">
              <w:rPr>
                <w:lang w:val="es-ES_tradnl"/>
              </w:rPr>
              <w:t xml:space="preserve">2.  </w:t>
            </w:r>
            <w:bookmarkEnd w:id="121"/>
            <w:r w:rsidRPr="00C60FC3">
              <w:rPr>
                <w:lang w:val="es-ES_tradnl"/>
              </w:rPr>
              <w:t>Asistencia en la elaboración de legislación sobre la protección de las variedades vegetales de conformidad con el Acta de 1991 del Convenio de la UPOV</w:t>
            </w:r>
            <w:bookmarkEnd w:id="122"/>
          </w:p>
        </w:tc>
        <w:tc>
          <w:tcPr>
            <w:tcW w:w="7796" w:type="dxa"/>
          </w:tcPr>
          <w:p w:rsidR="00B43D13" w:rsidRPr="00C60FC3" w:rsidRDefault="00B43D13" w:rsidP="00BF2668">
            <w:pPr>
              <w:pStyle w:val="Heading8"/>
              <w:rPr>
                <w:lang w:val="es-ES_tradnl"/>
              </w:rPr>
            </w:pPr>
            <w:bookmarkStart w:id="123" w:name="_Toc336339209"/>
            <w:bookmarkStart w:id="124" w:name="_Toc368060347"/>
            <w:r w:rsidRPr="00C60FC3">
              <w:rPr>
                <w:lang w:val="es-ES_tradnl"/>
              </w:rPr>
              <w:t xml:space="preserve">a)  </w:t>
            </w:r>
            <w:bookmarkEnd w:id="123"/>
            <w:r w:rsidRPr="00C60FC3">
              <w:rPr>
                <w:lang w:val="es-ES_tradnl"/>
              </w:rPr>
              <w:t>Estados y organizaciones que han recibido comentarios sobre la legislación</w:t>
            </w:r>
            <w:bookmarkEnd w:id="124"/>
          </w:p>
          <w:p w:rsidR="00B43D13" w:rsidRPr="00C60FC3" w:rsidRDefault="00B43D13" w:rsidP="00BF2668">
            <w:pPr>
              <w:tabs>
                <w:tab w:val="left" w:pos="2410"/>
              </w:tabs>
              <w:jc w:val="left"/>
              <w:rPr>
                <w:sz w:val="18"/>
                <w:szCs w:val="18"/>
                <w:lang w:val="es-ES_tradnl"/>
              </w:rPr>
            </w:pPr>
            <w:r w:rsidRPr="00C60FC3">
              <w:rPr>
                <w:sz w:val="18"/>
                <w:szCs w:val="18"/>
                <w:lang w:val="es-ES_tradnl"/>
              </w:rPr>
              <w:t>Bosnia y Herzegovina, Brunei Darussalam, Ghana, Malasia, Myanmar, Pakistán, República Democrática Popular Lao, República Unida de Tanzanía, Tailandia y Zimbabwe</w:t>
            </w:r>
          </w:p>
          <w:p w:rsidR="00B43D13" w:rsidRPr="00C60FC3" w:rsidRDefault="00B43D13" w:rsidP="00BF2668">
            <w:pPr>
              <w:tabs>
                <w:tab w:val="left" w:pos="2410"/>
              </w:tabs>
              <w:jc w:val="left"/>
              <w:rPr>
                <w:color w:val="000000"/>
                <w:sz w:val="18"/>
                <w:szCs w:val="18"/>
                <w:lang w:val="es-ES_tradnl"/>
              </w:rPr>
            </w:pPr>
          </w:p>
          <w:p w:rsidR="00B43D13" w:rsidRPr="00C60FC3" w:rsidRDefault="00B43D13" w:rsidP="00BF2668">
            <w:pPr>
              <w:tabs>
                <w:tab w:val="left" w:pos="2410"/>
              </w:tabs>
              <w:jc w:val="left"/>
              <w:rPr>
                <w:i/>
                <w:color w:val="000000"/>
                <w:sz w:val="18"/>
                <w:szCs w:val="18"/>
                <w:lang w:val="es-ES_tradnl"/>
              </w:rPr>
            </w:pPr>
          </w:p>
          <w:p w:rsidR="00B43D13" w:rsidRPr="00C60FC3" w:rsidRDefault="00B43D13" w:rsidP="00BF2668">
            <w:pPr>
              <w:pStyle w:val="Heading8"/>
              <w:rPr>
                <w:lang w:val="es-ES_tradnl"/>
              </w:rPr>
            </w:pPr>
            <w:bookmarkStart w:id="125" w:name="_Toc368060348"/>
            <w:r w:rsidRPr="00C60FC3">
              <w:rPr>
                <w:lang w:val="es-ES_tradnl"/>
              </w:rPr>
              <w:t>b)  Estados y organizaciones respecto de cuya legislación el Consejo de la UPOV ha adoptado una decisión positiva</w:t>
            </w:r>
            <w:bookmarkEnd w:id="125"/>
          </w:p>
          <w:p w:rsidR="00B43D13" w:rsidRPr="00C60FC3" w:rsidRDefault="00B43D13" w:rsidP="00BF2668">
            <w:pPr>
              <w:tabs>
                <w:tab w:val="left" w:pos="2410"/>
              </w:tabs>
              <w:jc w:val="left"/>
              <w:rPr>
                <w:sz w:val="18"/>
                <w:szCs w:val="18"/>
                <w:lang w:val="es-ES_tradnl"/>
              </w:rPr>
            </w:pPr>
            <w:r w:rsidRPr="00C60FC3">
              <w:rPr>
                <w:sz w:val="18"/>
                <w:szCs w:val="18"/>
                <w:lang w:val="es-ES_tradnl"/>
              </w:rPr>
              <w:t>Ghana, República Unida de Tanzanía (</w:t>
            </w:r>
            <w:r w:rsidR="00161668">
              <w:rPr>
                <w:sz w:val="18"/>
                <w:szCs w:val="18"/>
                <w:lang w:val="es-ES_tradnl"/>
              </w:rPr>
              <w:t xml:space="preserve">proyecto de </w:t>
            </w:r>
            <w:r w:rsidRPr="00C60FC3">
              <w:rPr>
                <w:sz w:val="18"/>
                <w:szCs w:val="18"/>
                <w:lang w:val="es-ES_tradnl"/>
              </w:rPr>
              <w:t xml:space="preserve">Ley </w:t>
            </w:r>
            <w:r w:rsidR="00161668">
              <w:rPr>
                <w:sz w:val="18"/>
                <w:szCs w:val="18"/>
                <w:lang w:val="es-ES_tradnl"/>
              </w:rPr>
              <w:t xml:space="preserve">sobre los </w:t>
            </w:r>
            <w:r w:rsidRPr="00C60FC3">
              <w:rPr>
                <w:sz w:val="18"/>
                <w:szCs w:val="18"/>
                <w:lang w:val="es-ES_tradnl"/>
              </w:rPr>
              <w:t xml:space="preserve">Derechos de Obtentor </w:t>
            </w:r>
            <w:r w:rsidR="00161668">
              <w:rPr>
                <w:sz w:val="18"/>
                <w:szCs w:val="18"/>
                <w:lang w:val="es-ES_tradnl"/>
              </w:rPr>
              <w:t xml:space="preserve">para Tanzanía </w:t>
            </w:r>
            <w:r w:rsidRPr="00C60FC3">
              <w:rPr>
                <w:sz w:val="18"/>
                <w:szCs w:val="18"/>
                <w:lang w:val="es-ES_tradnl"/>
              </w:rPr>
              <w:t>continental)</w:t>
            </w:r>
          </w:p>
          <w:p w:rsidR="00B43D13" w:rsidRPr="00C60FC3" w:rsidRDefault="00B43D13" w:rsidP="00BF2668">
            <w:pPr>
              <w:tabs>
                <w:tab w:val="left" w:pos="2410"/>
              </w:tabs>
              <w:jc w:val="left"/>
              <w:rPr>
                <w:color w:val="000000"/>
                <w:sz w:val="18"/>
                <w:szCs w:val="18"/>
                <w:lang w:val="es-ES_tradnl"/>
              </w:rPr>
            </w:pPr>
          </w:p>
          <w:p w:rsidR="00B43D13" w:rsidRPr="00C60FC3" w:rsidRDefault="00B43D13" w:rsidP="00BF2668">
            <w:pPr>
              <w:tabs>
                <w:tab w:val="left" w:pos="2410"/>
              </w:tabs>
              <w:jc w:val="left"/>
              <w:rPr>
                <w:i/>
                <w:color w:val="000000"/>
                <w:sz w:val="18"/>
                <w:szCs w:val="18"/>
                <w:lang w:val="es-ES_tradnl"/>
              </w:rPr>
            </w:pPr>
          </w:p>
          <w:p w:rsidR="00B43D13" w:rsidRPr="00C60FC3" w:rsidRDefault="00B43D13" w:rsidP="00BF2668">
            <w:pPr>
              <w:pStyle w:val="Heading8"/>
              <w:rPr>
                <w:lang w:val="es-ES_tradnl"/>
              </w:rPr>
            </w:pPr>
            <w:bookmarkStart w:id="126" w:name="_Toc368060349"/>
            <w:r w:rsidRPr="00C60FC3">
              <w:rPr>
                <w:lang w:val="es-ES_tradnl"/>
              </w:rPr>
              <w:t>c)  Reuniones con funcionarios gubernamentales</w:t>
            </w:r>
            <w:bookmarkEnd w:id="126"/>
          </w:p>
          <w:p w:rsidR="00B43D13" w:rsidRPr="00C60FC3" w:rsidRDefault="00B43D13" w:rsidP="00BF2668">
            <w:pPr>
              <w:tabs>
                <w:tab w:val="left" w:pos="2410"/>
              </w:tabs>
              <w:jc w:val="left"/>
              <w:rPr>
                <w:sz w:val="18"/>
                <w:szCs w:val="18"/>
                <w:lang w:val="es-ES_tradnl"/>
              </w:rPr>
            </w:pPr>
            <w:r w:rsidRPr="00C60FC3">
              <w:rPr>
                <w:sz w:val="18"/>
                <w:szCs w:val="18"/>
                <w:lang w:val="es-ES_tradnl"/>
              </w:rPr>
              <w:t>Bahrein, Bosnia y Herzegovina, Brunei Darussalam, Filipinas, Ghana, Guinea Ecuatorial, Malasia, Myanmar, Pakistán, República Democrática Popular Lao, República Unida de Tanzanía, Tailandia y Zimbabwe</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p w:rsidR="00CC201B" w:rsidRDefault="00CC201B">
      <w:r>
        <w:rPr>
          <w:bCs/>
          <w:i/>
        </w:rPr>
        <w:br w:type="page"/>
      </w:r>
    </w:p>
    <w:tbl>
      <w:tblPr>
        <w:tblW w:w="9889" w:type="dxa"/>
        <w:tblLayout w:type="fixed"/>
        <w:tblLook w:val="0000" w:firstRow="0" w:lastRow="0" w:firstColumn="0" w:lastColumn="0" w:noHBand="0" w:noVBand="0"/>
      </w:tblPr>
      <w:tblGrid>
        <w:gridCol w:w="2093"/>
        <w:gridCol w:w="7796"/>
      </w:tblGrid>
      <w:tr w:rsidR="00CC201B" w:rsidRPr="00C60FC3" w:rsidTr="00CC201B">
        <w:trPr>
          <w:tblHeader/>
        </w:trPr>
        <w:tc>
          <w:tcPr>
            <w:tcW w:w="2093" w:type="dxa"/>
          </w:tcPr>
          <w:p w:rsidR="00CC201B" w:rsidRPr="00C60FC3" w:rsidRDefault="00CC201B" w:rsidP="00CC201B">
            <w:pPr>
              <w:spacing w:after="120"/>
              <w:rPr>
                <w:b/>
                <w:sz w:val="18"/>
                <w:szCs w:val="18"/>
                <w:lang w:val="es-ES_tradnl"/>
              </w:rPr>
            </w:pPr>
            <w:r w:rsidRPr="00C60FC3">
              <w:rPr>
                <w:b/>
                <w:sz w:val="18"/>
                <w:szCs w:val="18"/>
                <w:lang w:val="es-ES_tradnl"/>
              </w:rPr>
              <w:t>Resultados previstos</w:t>
            </w:r>
          </w:p>
        </w:tc>
        <w:tc>
          <w:tcPr>
            <w:tcW w:w="7796" w:type="dxa"/>
          </w:tcPr>
          <w:p w:rsidR="00CC201B" w:rsidRPr="00C60FC3" w:rsidRDefault="00CC201B" w:rsidP="00CC201B">
            <w:pPr>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pStyle w:val="Heading6"/>
              <w:rPr>
                <w:lang w:val="es-ES_tradnl"/>
              </w:rPr>
            </w:pPr>
            <w:bookmarkStart w:id="127" w:name="_Toc368060350"/>
            <w:r w:rsidRPr="00C60FC3">
              <w:rPr>
                <w:lang w:val="es-ES_tradnl"/>
              </w:rPr>
              <w:t>3.  Asistencia a Estados y organizaciones para la adhesión al Acta de 1991 del Convenio de la UPOV</w:t>
            </w:r>
            <w:bookmarkEnd w:id="127"/>
          </w:p>
        </w:tc>
        <w:tc>
          <w:tcPr>
            <w:tcW w:w="7796" w:type="dxa"/>
          </w:tcPr>
          <w:p w:rsidR="00B43D13" w:rsidRPr="00C60FC3" w:rsidRDefault="00B43D13" w:rsidP="00BF2668">
            <w:pPr>
              <w:pStyle w:val="Heading8"/>
              <w:rPr>
                <w:lang w:val="es-ES_tradnl"/>
              </w:rPr>
            </w:pPr>
            <w:bookmarkStart w:id="128" w:name="_Toc368060351"/>
            <w:r w:rsidRPr="00C60FC3">
              <w:rPr>
                <w:lang w:val="es-ES_tradnl"/>
              </w:rPr>
              <w:t>a)  Estados que se han adherido al Acta de 1991 del Convenio de la UPOV</w:t>
            </w:r>
            <w:r w:rsidR="0018384D">
              <w:rPr>
                <w:lang w:val="es-ES_tradnl"/>
              </w:rPr>
              <w:t>, o que han ratificado dicha Acta</w:t>
            </w:r>
            <w:bookmarkEnd w:id="128"/>
          </w:p>
          <w:p w:rsidR="00B43D13" w:rsidRPr="00C60FC3" w:rsidRDefault="00B43D13" w:rsidP="00BF2668">
            <w:pPr>
              <w:tabs>
                <w:tab w:val="left" w:pos="2410"/>
              </w:tabs>
              <w:jc w:val="left"/>
              <w:rPr>
                <w:sz w:val="18"/>
                <w:szCs w:val="18"/>
                <w:lang w:val="es-ES_tradnl"/>
              </w:rPr>
            </w:pPr>
            <w:r w:rsidRPr="00C60FC3">
              <w:rPr>
                <w:sz w:val="18"/>
                <w:szCs w:val="18"/>
                <w:lang w:val="es-ES_tradnl"/>
              </w:rPr>
              <w:t>Francia, Irlanda, Panamá</w:t>
            </w:r>
          </w:p>
          <w:p w:rsidR="00B43D13" w:rsidRPr="00C60FC3" w:rsidRDefault="00B43D13" w:rsidP="00BF2668">
            <w:pPr>
              <w:tabs>
                <w:tab w:val="left" w:pos="2410"/>
              </w:tabs>
              <w:jc w:val="left"/>
              <w:rPr>
                <w:color w:val="000000"/>
                <w:sz w:val="18"/>
                <w:szCs w:val="18"/>
                <w:lang w:val="es-ES_tradnl"/>
              </w:rPr>
            </w:pPr>
          </w:p>
          <w:p w:rsidR="00B43D13" w:rsidRPr="00C60FC3" w:rsidRDefault="00B43D13" w:rsidP="00BF2668">
            <w:pPr>
              <w:pStyle w:val="Heading8"/>
              <w:rPr>
                <w:lang w:val="es-ES_tradnl"/>
              </w:rPr>
            </w:pPr>
            <w:bookmarkStart w:id="129" w:name="_Toc368060352"/>
            <w:r w:rsidRPr="00C60FC3">
              <w:rPr>
                <w:lang w:val="es-ES_tradnl"/>
              </w:rPr>
              <w:t>b)  Estados y organizaciones que han pasado a ser miembros de la Unión</w:t>
            </w:r>
            <w:bookmarkEnd w:id="129"/>
          </w:p>
          <w:p w:rsidR="00B43D13" w:rsidRPr="00C60FC3" w:rsidRDefault="00B43D13" w:rsidP="00BF2668">
            <w:pPr>
              <w:tabs>
                <w:tab w:val="left" w:pos="2410"/>
              </w:tabs>
              <w:jc w:val="left"/>
              <w:rPr>
                <w:sz w:val="18"/>
                <w:szCs w:val="18"/>
                <w:lang w:val="es-ES_tradnl"/>
              </w:rPr>
            </w:pPr>
            <w:r w:rsidRPr="00C60FC3">
              <w:rPr>
                <w:sz w:val="18"/>
                <w:szCs w:val="18"/>
                <w:lang w:val="es-ES_tradnl"/>
              </w:rPr>
              <w:t>Ninguno</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BF2668">
            <w:pPr>
              <w:spacing w:after="12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pStyle w:val="Heading6"/>
              <w:rPr>
                <w:lang w:val="es-ES_tradnl"/>
              </w:rPr>
            </w:pPr>
            <w:bookmarkStart w:id="130" w:name="_Toc368060353"/>
            <w:r w:rsidRPr="00C60FC3">
              <w:rPr>
                <w:lang w:val="es-ES_tradnl"/>
              </w:rPr>
              <w:t>4.  Asistencia para la aplicación de un sistema eficaz de derechos de obtentor de conformidad con el Acta de 1991 del Convenio de la UPOV</w:t>
            </w:r>
            <w:bookmarkEnd w:id="130"/>
          </w:p>
        </w:tc>
        <w:tc>
          <w:tcPr>
            <w:tcW w:w="7796" w:type="dxa"/>
          </w:tcPr>
          <w:p w:rsidR="00B43D13" w:rsidRPr="00C60FC3" w:rsidRDefault="00B43D13" w:rsidP="00BF2668">
            <w:pPr>
              <w:pStyle w:val="Heading8"/>
              <w:rPr>
                <w:lang w:val="es-ES_tradnl"/>
              </w:rPr>
            </w:pPr>
            <w:bookmarkStart w:id="131" w:name="_Toc368060354"/>
            <w:r w:rsidRPr="00C60FC3">
              <w:rPr>
                <w:lang w:val="es-ES_tradnl"/>
              </w:rPr>
              <w:t>a)  Participación en cursos de enseñanza a distancia</w:t>
            </w:r>
            <w:bookmarkEnd w:id="131"/>
          </w:p>
          <w:p w:rsidR="00B43D13" w:rsidRPr="00C60FC3" w:rsidRDefault="00B43D13" w:rsidP="00BF2668">
            <w:pPr>
              <w:tabs>
                <w:tab w:val="left" w:pos="2410"/>
              </w:tabs>
              <w:jc w:val="left"/>
              <w:rPr>
                <w:sz w:val="18"/>
                <w:szCs w:val="18"/>
                <w:lang w:val="es-ES_tradnl"/>
              </w:rPr>
            </w:pPr>
            <w:r w:rsidRPr="00C60FC3">
              <w:rPr>
                <w:sz w:val="18"/>
                <w:szCs w:val="18"/>
                <w:lang w:val="es-ES_tradnl"/>
              </w:rPr>
              <w:t xml:space="preserve">Curso </w:t>
            </w:r>
            <w:r w:rsidRPr="00C60FC3">
              <w:rPr>
                <w:color w:val="000000"/>
                <w:sz w:val="18"/>
                <w:szCs w:val="18"/>
                <w:lang w:val="es-ES_tradnl"/>
              </w:rPr>
              <w:t xml:space="preserve">DL-205 </w:t>
            </w:r>
            <w:r w:rsidRPr="00C60FC3">
              <w:rPr>
                <w:sz w:val="18"/>
                <w:szCs w:val="18"/>
                <w:lang w:val="es-ES_tradnl"/>
              </w:rPr>
              <w:t>de la UPOV:  “Introducción al sistema de la UPOV de protección de las variedades vegetales en virtud del Convenio de la UPOV”</w:t>
            </w:r>
          </w:p>
          <w:p w:rsidR="00B43D13" w:rsidRPr="00C60FC3" w:rsidRDefault="00B43D13" w:rsidP="00BF2668">
            <w:pPr>
              <w:tabs>
                <w:tab w:val="left" w:pos="2410"/>
              </w:tabs>
              <w:jc w:val="left"/>
              <w:rPr>
                <w:sz w:val="18"/>
                <w:szCs w:val="18"/>
                <w:lang w:val="es-ES_tradnl"/>
              </w:rPr>
            </w:pP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p w:rsidR="00B43D13" w:rsidRPr="00C60FC3" w:rsidRDefault="00B43D13" w:rsidP="00BF2668">
      <w:pPr>
        <w:jc w:val="center"/>
        <w:rPr>
          <w:rFonts w:cs="Arial"/>
          <w:b/>
          <w:sz w:val="18"/>
          <w:szCs w:val="18"/>
          <w:lang w:val="es-ES_tradnl"/>
        </w:rPr>
      </w:pPr>
      <w:bookmarkStart w:id="132" w:name="_Toc336339239"/>
      <w:r w:rsidRPr="00C60FC3">
        <w:rPr>
          <w:rFonts w:cs="Arial"/>
          <w:b/>
          <w:sz w:val="18"/>
          <w:szCs w:val="18"/>
          <w:lang w:val="es-ES_tradnl"/>
        </w:rPr>
        <w:t>Lista de países de los que proceden los participantes del curso de enseñanza a distancia de la UPOV en 2012</w:t>
      </w:r>
    </w:p>
    <w:p w:rsidR="00B43D13" w:rsidRPr="00C60FC3" w:rsidRDefault="00B43D13" w:rsidP="00BF2668">
      <w:pPr>
        <w:jc w:val="center"/>
        <w:rPr>
          <w:rFonts w:cs="Arial"/>
          <w:sz w:val="18"/>
          <w:szCs w:val="18"/>
          <w:lang w:val="es-ES_tradnl"/>
        </w:rPr>
      </w:pPr>
    </w:p>
    <w:p w:rsidR="00B43D13" w:rsidRPr="00C60FC3" w:rsidRDefault="00B43D13" w:rsidP="00BF2668">
      <w:pPr>
        <w:rPr>
          <w:rFonts w:eastAsia="MS Mincho" w:cs="Arial"/>
          <w:sz w:val="18"/>
          <w:szCs w:val="18"/>
          <w:lang w:val="es-ES_tradnl" w:eastAsia="ja-JP"/>
        </w:rPr>
      </w:pPr>
      <w:r w:rsidRPr="00C60FC3">
        <w:rPr>
          <w:rFonts w:eastAsia="MS Mincho" w:cs="Arial"/>
          <w:sz w:val="18"/>
          <w:szCs w:val="18"/>
          <w:lang w:val="es-ES_tradnl" w:eastAsia="ja-JP"/>
        </w:rPr>
        <w:t xml:space="preserve">Alemania, Argentina, Australia, Bélgica, Bolivia, Brasil, Bulgaria, Camboya, Canadá, Chile, China, Colombia, Costa Rica, Ecuador, Egipto, Eslovaquia, España, Estados Unidos de América, Estonia, Filipinas, Francia, Grecia, Hungría, India, Irán (República Islámica del), Israel, Italia, Japón, Kenya, Letonia, Líbano, México, Nicaragua, Noruega, Nueva Zelandia, Omán, Países Bajos, Pakistán, Paraguay, Perú, Polonia, Reino Unido, República de Corea, República de Moldova, República Democrática Popular Lao, Serbia, Sudáfrica, Suecia, Tailandia, Túnez, Turquía, Ucrania, Uruguay, Viet Nam y Zimbabwe (total:  55 países).  </w:t>
      </w:r>
    </w:p>
    <w:p w:rsidR="00B43D13" w:rsidRPr="00C60FC3" w:rsidRDefault="00B43D13" w:rsidP="00BF2668">
      <w:pPr>
        <w:rPr>
          <w:rFonts w:eastAsia="MS Mincho" w:cs="Arial"/>
          <w:sz w:val="18"/>
          <w:szCs w:val="18"/>
          <w:lang w:val="es-ES_tradnl" w:eastAsia="ja-JP"/>
        </w:rPr>
      </w:pPr>
    </w:p>
    <w:p w:rsidR="00B43D13" w:rsidRPr="00C60FC3" w:rsidRDefault="00B43D13" w:rsidP="00BF2668">
      <w:pPr>
        <w:rPr>
          <w:sz w:val="18"/>
          <w:szCs w:val="18"/>
          <w:lang w:val="es-ES_tradnl"/>
        </w:rPr>
      </w:pPr>
    </w:p>
    <w:p w:rsidR="00B43D13" w:rsidRPr="00C60FC3" w:rsidRDefault="00B43D13" w:rsidP="00BF2668">
      <w:pPr>
        <w:jc w:val="center"/>
        <w:rPr>
          <w:rFonts w:cs="Arial"/>
          <w:b/>
          <w:sz w:val="18"/>
          <w:szCs w:val="18"/>
          <w:lang w:val="es-ES_tradnl"/>
        </w:rPr>
      </w:pPr>
      <w:r w:rsidRPr="00C60FC3">
        <w:rPr>
          <w:rFonts w:cs="Arial"/>
          <w:b/>
          <w:sz w:val="18"/>
          <w:szCs w:val="18"/>
          <w:lang w:val="es-ES_tradnl"/>
        </w:rPr>
        <w:t xml:space="preserve">Número total de participantes en las sesiones principales del curso DL-205 </w:t>
      </w:r>
      <w:r w:rsidRPr="00C60FC3">
        <w:rPr>
          <w:rFonts w:cs="Arial"/>
          <w:b/>
          <w:sz w:val="18"/>
          <w:szCs w:val="18"/>
          <w:lang w:val="es-ES_tradnl"/>
        </w:rPr>
        <w:br/>
        <w:t>por categoría (dos sesiones en 2012)</w:t>
      </w:r>
    </w:p>
    <w:p w:rsidR="00B43D13" w:rsidRPr="00C60FC3" w:rsidRDefault="00B43D13" w:rsidP="00BF2668">
      <w:pPr>
        <w:rPr>
          <w:rFonts w:cs="Arial"/>
          <w:sz w:val="18"/>
          <w:szCs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2"/>
        <w:gridCol w:w="1383"/>
      </w:tblGrid>
      <w:tr w:rsidR="00B43D13" w:rsidRPr="00C60FC3" w:rsidTr="002241CD">
        <w:tc>
          <w:tcPr>
            <w:tcW w:w="8472" w:type="dxa"/>
            <w:shd w:val="clear" w:color="auto" w:fill="D9D9D9"/>
            <w:vAlign w:val="center"/>
          </w:tcPr>
          <w:p w:rsidR="00B43D13" w:rsidRPr="00C60FC3" w:rsidRDefault="00B43D13" w:rsidP="00BF2668">
            <w:pPr>
              <w:spacing w:before="40" w:after="40"/>
              <w:jc w:val="left"/>
              <w:rPr>
                <w:rFonts w:eastAsia="MS Mincho"/>
                <w:b/>
                <w:sz w:val="18"/>
                <w:szCs w:val="18"/>
                <w:lang w:val="es-ES_tradnl"/>
              </w:rPr>
            </w:pPr>
            <w:r w:rsidRPr="00C60FC3">
              <w:rPr>
                <w:rFonts w:eastAsia="MS Mincho"/>
                <w:b/>
                <w:sz w:val="18"/>
                <w:szCs w:val="18"/>
                <w:lang w:val="es-ES_tradnl"/>
              </w:rPr>
              <w:t>Categoría</w:t>
            </w:r>
          </w:p>
        </w:tc>
        <w:tc>
          <w:tcPr>
            <w:tcW w:w="1383" w:type="dxa"/>
            <w:shd w:val="clear" w:color="auto" w:fill="D9D9D9"/>
            <w:vAlign w:val="center"/>
          </w:tcPr>
          <w:p w:rsidR="00B43D13" w:rsidRPr="00C60FC3" w:rsidRDefault="00B43D13" w:rsidP="00BF2668">
            <w:pPr>
              <w:spacing w:before="40" w:after="40"/>
              <w:jc w:val="center"/>
              <w:rPr>
                <w:b/>
                <w:sz w:val="18"/>
                <w:szCs w:val="18"/>
                <w:lang w:val="es-ES_tradnl"/>
              </w:rPr>
            </w:pPr>
            <w:r w:rsidRPr="00C60FC3">
              <w:rPr>
                <w:b/>
                <w:sz w:val="18"/>
                <w:szCs w:val="18"/>
                <w:lang w:val="es-ES_tradnl"/>
              </w:rPr>
              <w:t>Número de participantes</w:t>
            </w:r>
          </w:p>
        </w:tc>
      </w:tr>
      <w:tr w:rsidR="00B43D13" w:rsidRPr="00C60FC3" w:rsidTr="002241CD">
        <w:tc>
          <w:tcPr>
            <w:tcW w:w="8472" w:type="dxa"/>
          </w:tcPr>
          <w:p w:rsidR="00B43D13" w:rsidRPr="00C60FC3" w:rsidRDefault="00B43D13" w:rsidP="00BF2668">
            <w:pPr>
              <w:spacing w:before="40" w:after="40"/>
              <w:jc w:val="left"/>
              <w:rPr>
                <w:sz w:val="18"/>
                <w:szCs w:val="18"/>
                <w:lang w:val="es-ES_tradnl"/>
              </w:rPr>
            </w:pPr>
            <w:r w:rsidRPr="00C60FC3">
              <w:rPr>
                <w:rFonts w:eastAsia="MS Mincho"/>
                <w:b/>
                <w:sz w:val="18"/>
                <w:szCs w:val="18"/>
                <w:lang w:val="es-ES_tradnl"/>
              </w:rPr>
              <w:t xml:space="preserve">Categoría 1:  </w:t>
            </w:r>
            <w:r w:rsidRPr="00C60FC3">
              <w:rPr>
                <w:rFonts w:eastAsia="MS Mincho"/>
                <w:sz w:val="18"/>
                <w:szCs w:val="18"/>
                <w:lang w:val="es-ES_tradnl"/>
              </w:rPr>
              <w:t>Funcionarios gubernamentales de miembros de la Unión designados por el representante pertinente ante el Consejo de la UPOV</w:t>
            </w:r>
            <w:r w:rsidRPr="00C60FC3">
              <w:rPr>
                <w:rFonts w:eastAsia="MS Mincho"/>
                <w:sz w:val="18"/>
                <w:szCs w:val="18"/>
                <w:lang w:val="es-ES_tradnl"/>
              </w:rPr>
              <w:br/>
              <w:t>Inscripción gratuita</w:t>
            </w:r>
          </w:p>
        </w:tc>
        <w:tc>
          <w:tcPr>
            <w:tcW w:w="1383" w:type="dxa"/>
            <w:vAlign w:val="bottom"/>
          </w:tcPr>
          <w:p w:rsidR="00B43D13" w:rsidRPr="00C60FC3" w:rsidRDefault="00B43D13" w:rsidP="00BF2668">
            <w:pPr>
              <w:spacing w:before="40" w:after="40"/>
              <w:ind w:right="206"/>
              <w:jc w:val="right"/>
              <w:rPr>
                <w:sz w:val="18"/>
                <w:szCs w:val="18"/>
                <w:lang w:val="es-ES_tradnl"/>
              </w:rPr>
            </w:pPr>
            <w:r w:rsidRPr="00C60FC3">
              <w:rPr>
                <w:sz w:val="18"/>
                <w:szCs w:val="18"/>
                <w:lang w:val="es-ES_tradnl"/>
              </w:rPr>
              <w:t xml:space="preserve">331 </w:t>
            </w:r>
          </w:p>
        </w:tc>
      </w:tr>
      <w:tr w:rsidR="00B43D13" w:rsidRPr="00C60FC3" w:rsidTr="002241CD">
        <w:tc>
          <w:tcPr>
            <w:tcW w:w="8472" w:type="dxa"/>
          </w:tcPr>
          <w:p w:rsidR="00B43D13" w:rsidRPr="00C60FC3" w:rsidRDefault="00B43D13" w:rsidP="00BF2668">
            <w:pPr>
              <w:spacing w:before="40" w:after="40"/>
              <w:jc w:val="left"/>
              <w:rPr>
                <w:sz w:val="18"/>
                <w:szCs w:val="18"/>
                <w:lang w:val="es-ES_tradnl"/>
              </w:rPr>
            </w:pPr>
            <w:r w:rsidRPr="00C60FC3">
              <w:rPr>
                <w:rFonts w:eastAsia="MS Mincho"/>
                <w:b/>
                <w:sz w:val="18"/>
                <w:szCs w:val="18"/>
                <w:lang w:val="es-ES_tradnl"/>
              </w:rPr>
              <w:t xml:space="preserve">Categoría 2:  </w:t>
            </w:r>
            <w:r w:rsidRPr="00C60FC3">
              <w:rPr>
                <w:rFonts w:eastAsia="MS Mincho"/>
                <w:sz w:val="18"/>
                <w:szCs w:val="18"/>
                <w:lang w:val="es-ES_tradnl"/>
              </w:rPr>
              <w:t xml:space="preserve">Funcionarios de organizaciones intergubernamentales o Estados observadores designados por el representante pertinente ante el Consejo de la UPOV </w:t>
            </w:r>
            <w:r w:rsidRPr="00C60FC3">
              <w:rPr>
                <w:rFonts w:eastAsia="MS Mincho"/>
                <w:sz w:val="18"/>
                <w:szCs w:val="18"/>
                <w:lang w:val="es-ES_tradnl"/>
              </w:rPr>
              <w:br/>
              <w:t xml:space="preserve">Una inscripción gratuita por cada Estado u organización intergubernamental;  </w:t>
            </w:r>
            <w:r w:rsidRPr="00C60FC3">
              <w:rPr>
                <w:rFonts w:eastAsia="MS Mincho"/>
                <w:sz w:val="18"/>
                <w:szCs w:val="18"/>
                <w:lang w:val="es-ES_tradnl"/>
              </w:rPr>
              <w:br/>
              <w:t>Inscripciones adicionales: 1.000 francos suizos por participante</w:t>
            </w:r>
          </w:p>
        </w:tc>
        <w:tc>
          <w:tcPr>
            <w:tcW w:w="1383" w:type="dxa"/>
            <w:vAlign w:val="bottom"/>
          </w:tcPr>
          <w:p w:rsidR="00B43D13" w:rsidRPr="00C60FC3" w:rsidRDefault="00B43D13" w:rsidP="00BF2668">
            <w:pPr>
              <w:spacing w:before="40" w:after="40"/>
              <w:ind w:right="206"/>
              <w:jc w:val="right"/>
              <w:rPr>
                <w:sz w:val="18"/>
                <w:szCs w:val="18"/>
                <w:lang w:val="es-ES_tradnl"/>
              </w:rPr>
            </w:pPr>
            <w:r w:rsidRPr="00C60FC3">
              <w:rPr>
                <w:sz w:val="18"/>
                <w:szCs w:val="18"/>
                <w:lang w:val="es-ES_tradnl"/>
              </w:rPr>
              <w:t>14</w:t>
            </w:r>
          </w:p>
        </w:tc>
      </w:tr>
      <w:tr w:rsidR="00B43D13" w:rsidRPr="00C60FC3" w:rsidTr="002241CD">
        <w:tc>
          <w:tcPr>
            <w:tcW w:w="8472" w:type="dxa"/>
          </w:tcPr>
          <w:p w:rsidR="00B43D13" w:rsidRPr="00C60FC3" w:rsidRDefault="00B43D13" w:rsidP="00BF2668">
            <w:pPr>
              <w:spacing w:before="40" w:after="40"/>
              <w:jc w:val="left"/>
              <w:rPr>
                <w:sz w:val="18"/>
                <w:szCs w:val="18"/>
                <w:lang w:val="es-ES_tradnl"/>
              </w:rPr>
            </w:pPr>
            <w:r w:rsidRPr="00C60FC3">
              <w:rPr>
                <w:rFonts w:eastAsia="MS Mincho"/>
                <w:b/>
                <w:sz w:val="18"/>
                <w:szCs w:val="18"/>
                <w:lang w:val="es-ES_tradnl"/>
              </w:rPr>
              <w:t xml:space="preserve">Categoría 3:  </w:t>
            </w:r>
            <w:r w:rsidRPr="00C60FC3">
              <w:rPr>
                <w:rFonts w:eastAsia="MS Mincho"/>
                <w:sz w:val="18"/>
                <w:szCs w:val="18"/>
                <w:lang w:val="es-ES_tradnl"/>
              </w:rPr>
              <w:t>Otros</w:t>
            </w:r>
            <w:r w:rsidRPr="00C60FC3">
              <w:rPr>
                <w:rFonts w:eastAsia="MS Mincho"/>
                <w:sz w:val="18"/>
                <w:szCs w:val="18"/>
                <w:lang w:val="es-ES_tradnl"/>
              </w:rPr>
              <w:br/>
              <w:t>Tasa de inscripción: 1.000 francos suizos</w:t>
            </w:r>
          </w:p>
        </w:tc>
        <w:tc>
          <w:tcPr>
            <w:tcW w:w="1383" w:type="dxa"/>
            <w:vAlign w:val="bottom"/>
          </w:tcPr>
          <w:p w:rsidR="00B43D13" w:rsidRPr="00C60FC3" w:rsidRDefault="00B43D13" w:rsidP="00BF2668">
            <w:pPr>
              <w:spacing w:before="40" w:after="40"/>
              <w:ind w:right="206"/>
              <w:jc w:val="right"/>
              <w:rPr>
                <w:sz w:val="18"/>
                <w:szCs w:val="18"/>
                <w:lang w:val="es-ES_tradnl"/>
              </w:rPr>
            </w:pPr>
            <w:r w:rsidRPr="00C60FC3">
              <w:rPr>
                <w:sz w:val="18"/>
                <w:szCs w:val="18"/>
                <w:lang w:val="es-ES_tradnl"/>
              </w:rPr>
              <w:t>19</w:t>
            </w:r>
          </w:p>
        </w:tc>
      </w:tr>
      <w:tr w:rsidR="00B43D13" w:rsidRPr="00C60FC3" w:rsidTr="002241CD">
        <w:tc>
          <w:tcPr>
            <w:tcW w:w="8472" w:type="dxa"/>
          </w:tcPr>
          <w:p w:rsidR="00B43D13" w:rsidRPr="00C60FC3" w:rsidRDefault="00B43D13" w:rsidP="00BF2668">
            <w:pPr>
              <w:spacing w:before="40" w:after="40"/>
              <w:jc w:val="left"/>
              <w:rPr>
                <w:sz w:val="18"/>
                <w:szCs w:val="18"/>
                <w:lang w:val="es-ES_tradnl"/>
              </w:rPr>
            </w:pPr>
            <w:r w:rsidRPr="00C60FC3">
              <w:rPr>
                <w:rFonts w:eastAsia="MS Mincho"/>
                <w:b/>
                <w:sz w:val="18"/>
                <w:szCs w:val="18"/>
                <w:lang w:val="es-ES_tradnl"/>
              </w:rPr>
              <w:t xml:space="preserve">Categoría 4:  </w:t>
            </w:r>
            <w:r w:rsidRPr="00C60FC3">
              <w:rPr>
                <w:sz w:val="18"/>
                <w:szCs w:val="18"/>
                <w:lang w:val="es-ES_tradnl"/>
              </w:rPr>
              <w:t>Exención discrecional del pago de la tasa de inscripción para determinados participantes</w:t>
            </w:r>
          </w:p>
        </w:tc>
        <w:tc>
          <w:tcPr>
            <w:tcW w:w="1383" w:type="dxa"/>
            <w:vAlign w:val="bottom"/>
          </w:tcPr>
          <w:p w:rsidR="00B43D13" w:rsidRPr="00C60FC3" w:rsidRDefault="00B43D13" w:rsidP="00BF2668">
            <w:pPr>
              <w:spacing w:before="40" w:after="40"/>
              <w:ind w:right="206"/>
              <w:jc w:val="right"/>
              <w:rPr>
                <w:sz w:val="18"/>
                <w:szCs w:val="18"/>
                <w:lang w:val="es-ES_tradnl"/>
              </w:rPr>
            </w:pPr>
            <w:r w:rsidRPr="00C60FC3">
              <w:rPr>
                <w:sz w:val="18"/>
                <w:szCs w:val="18"/>
                <w:lang w:val="es-ES_tradnl"/>
              </w:rPr>
              <w:t>6</w:t>
            </w:r>
          </w:p>
        </w:tc>
      </w:tr>
      <w:tr w:rsidR="00B43D13" w:rsidRPr="00C60FC3" w:rsidTr="002241CD">
        <w:tc>
          <w:tcPr>
            <w:tcW w:w="8472" w:type="dxa"/>
          </w:tcPr>
          <w:p w:rsidR="00B43D13" w:rsidRPr="00C60FC3" w:rsidRDefault="00B43D13" w:rsidP="00BF2668">
            <w:pPr>
              <w:spacing w:before="40" w:after="40"/>
              <w:ind w:right="318"/>
              <w:jc w:val="right"/>
              <w:rPr>
                <w:rFonts w:eastAsia="MS Mincho"/>
                <w:b/>
                <w:sz w:val="18"/>
                <w:szCs w:val="18"/>
                <w:lang w:val="es-ES_tradnl"/>
              </w:rPr>
            </w:pPr>
            <w:r w:rsidRPr="00C60FC3">
              <w:rPr>
                <w:rFonts w:eastAsia="MS Mincho"/>
                <w:b/>
                <w:sz w:val="18"/>
                <w:szCs w:val="18"/>
                <w:lang w:val="es-ES_tradnl"/>
              </w:rPr>
              <w:t>Total:</w:t>
            </w:r>
          </w:p>
        </w:tc>
        <w:tc>
          <w:tcPr>
            <w:tcW w:w="1383" w:type="dxa"/>
            <w:vAlign w:val="bottom"/>
          </w:tcPr>
          <w:p w:rsidR="00B43D13" w:rsidRPr="00C60FC3" w:rsidRDefault="00B43D13" w:rsidP="00BF2668">
            <w:pPr>
              <w:spacing w:before="40" w:after="40"/>
              <w:ind w:right="206"/>
              <w:jc w:val="right"/>
              <w:rPr>
                <w:b/>
                <w:sz w:val="18"/>
                <w:szCs w:val="18"/>
                <w:lang w:val="es-ES_tradnl"/>
              </w:rPr>
            </w:pPr>
            <w:r w:rsidRPr="00C60FC3">
              <w:rPr>
                <w:b/>
                <w:sz w:val="18"/>
                <w:szCs w:val="18"/>
                <w:lang w:val="es-ES_tradnl"/>
              </w:rPr>
              <w:t>370</w:t>
            </w:r>
          </w:p>
        </w:tc>
      </w:tr>
    </w:tbl>
    <w:p w:rsidR="00B43D13" w:rsidRPr="00C60FC3" w:rsidRDefault="00B43D13" w:rsidP="00BF2668">
      <w:pPr>
        <w:rPr>
          <w:rFonts w:cs="Arial"/>
          <w:sz w:val="18"/>
          <w:szCs w:val="18"/>
          <w:lang w:val="es-ES_tradnl"/>
        </w:rPr>
      </w:pPr>
    </w:p>
    <w:p w:rsidR="00B43D13" w:rsidRPr="00C60FC3" w:rsidRDefault="00B43D13" w:rsidP="00BF2668">
      <w:pPr>
        <w:rPr>
          <w:rFonts w:cs="Arial"/>
          <w:sz w:val="18"/>
          <w:szCs w:val="18"/>
          <w:lang w:val="es-ES_tradnl"/>
        </w:rPr>
      </w:pPr>
    </w:p>
    <w:p w:rsidR="00B43D13" w:rsidRDefault="00B43D13" w:rsidP="00BF2668">
      <w:pPr>
        <w:pStyle w:val="Heading9"/>
        <w:rPr>
          <w:lang w:val="es-ES_tradnl"/>
        </w:rPr>
      </w:pPr>
      <w:bookmarkStart w:id="133" w:name="_Toc336613823"/>
      <w:bookmarkStart w:id="134" w:name="_Toc368060355"/>
      <w:bookmarkStart w:id="135" w:name="_Toc336339219"/>
      <w:r w:rsidRPr="00C60FC3">
        <w:rPr>
          <w:lang w:val="es-ES_tradnl"/>
        </w:rPr>
        <w:t xml:space="preserve">Figura 8.  Distribución de los participantes en las sesiones principales del curso DL-205 </w:t>
      </w:r>
      <w:r w:rsidRPr="00C60FC3">
        <w:rPr>
          <w:lang w:val="es-ES_tradnl"/>
        </w:rPr>
        <w:br/>
      </w:r>
      <w:bookmarkEnd w:id="133"/>
      <w:r w:rsidRPr="00C60FC3">
        <w:rPr>
          <w:lang w:val="es-ES_tradnl"/>
        </w:rPr>
        <w:t>por categoría de inscripción</w:t>
      </w:r>
      <w:bookmarkEnd w:id="134"/>
      <w:r w:rsidRPr="00C60FC3">
        <w:rPr>
          <w:lang w:val="es-ES_tradnl"/>
        </w:rPr>
        <w:t xml:space="preserve"> </w:t>
      </w:r>
      <w:bookmarkEnd w:id="135"/>
    </w:p>
    <w:p w:rsidR="003B36B1" w:rsidRPr="003B36B1" w:rsidRDefault="008F7BEE" w:rsidP="008F7BEE">
      <w:pPr>
        <w:jc w:val="center"/>
        <w:rPr>
          <w:lang w:val="es-ES_tradnl"/>
        </w:rPr>
      </w:pPr>
      <w:r w:rsidRPr="008F7BEE">
        <w:rPr>
          <w:noProof/>
        </w:rPr>
        <w:drawing>
          <wp:inline distT="0" distB="0" distL="0" distR="0">
            <wp:extent cx="5905500" cy="395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rsidR="003B36B1" w:rsidRPr="003B36B1" w:rsidRDefault="003B36B1" w:rsidP="00BF2668">
      <w:pPr>
        <w:rPr>
          <w:lang w:val="es-ES_tradnl"/>
        </w:rPr>
      </w:pPr>
    </w:p>
    <w:p w:rsidR="00B43D13" w:rsidRPr="00C60FC3" w:rsidRDefault="00B43D13" w:rsidP="00BF2668">
      <w:pPr>
        <w:jc w:val="center"/>
        <w:rPr>
          <w:rFonts w:cs="Arial"/>
          <w:sz w:val="18"/>
          <w:szCs w:val="18"/>
          <w:lang w:val="es-ES_tradnl"/>
        </w:rPr>
      </w:pPr>
    </w:p>
    <w:p w:rsidR="00B43D13" w:rsidRPr="00C60FC3" w:rsidRDefault="00B43D13" w:rsidP="00BF2668">
      <w:pPr>
        <w:jc w:val="left"/>
        <w:outlineLvl w:val="2"/>
        <w:rPr>
          <w:rFonts w:eastAsia="MS Mincho" w:cs="Arial"/>
          <w:b/>
          <w:bCs/>
          <w:sz w:val="18"/>
          <w:szCs w:val="18"/>
          <w:lang w:val="es-ES_tradnl" w:eastAsia="ja-JP"/>
        </w:rPr>
      </w:pPr>
    </w:p>
    <w:p w:rsidR="00B43D13" w:rsidRDefault="00B43D13" w:rsidP="00BF2668">
      <w:pPr>
        <w:pStyle w:val="Heading9"/>
        <w:keepNext w:val="0"/>
        <w:rPr>
          <w:lang w:val="es-ES_tradnl"/>
        </w:rPr>
      </w:pPr>
      <w:bookmarkStart w:id="136" w:name="_Toc336339222"/>
      <w:bookmarkStart w:id="137" w:name="_Toc336613824"/>
      <w:bookmarkStart w:id="138" w:name="_Toc368060356"/>
      <w:r w:rsidRPr="00C60FC3">
        <w:rPr>
          <w:lang w:val="es-ES_tradnl"/>
        </w:rPr>
        <w:t xml:space="preserve">Figura 9.  Distribución de los participantes en las sesiones principales del curso DL-205 </w:t>
      </w:r>
      <w:r w:rsidRPr="00C60FC3">
        <w:rPr>
          <w:lang w:val="es-ES_tradnl"/>
        </w:rPr>
        <w:br/>
      </w:r>
      <w:bookmarkEnd w:id="136"/>
      <w:bookmarkEnd w:id="137"/>
      <w:r w:rsidRPr="00C60FC3">
        <w:rPr>
          <w:lang w:val="es-ES_tradnl"/>
        </w:rPr>
        <w:t>por idioma</w:t>
      </w:r>
      <w:bookmarkEnd w:id="138"/>
    </w:p>
    <w:p w:rsidR="00B43D13" w:rsidRPr="00C60FC3" w:rsidRDefault="00422ECA" w:rsidP="00422ECA">
      <w:pPr>
        <w:jc w:val="center"/>
        <w:rPr>
          <w:rFonts w:cs="Arial"/>
          <w:sz w:val="18"/>
          <w:szCs w:val="18"/>
          <w:lang w:val="es-ES_tradnl"/>
        </w:rPr>
      </w:pPr>
      <w:r w:rsidRPr="00422ECA">
        <w:rPr>
          <w:noProof/>
        </w:rPr>
        <w:drawing>
          <wp:inline distT="0" distB="0" distL="0" distR="0">
            <wp:extent cx="5600700" cy="367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700" cy="3676650"/>
                    </a:xfrm>
                    <a:prstGeom prst="rect">
                      <a:avLst/>
                    </a:prstGeom>
                    <a:noFill/>
                    <a:ln>
                      <a:noFill/>
                    </a:ln>
                  </pic:spPr>
                </pic:pic>
              </a:graphicData>
            </a:graphic>
          </wp:inline>
        </w:drawing>
      </w:r>
    </w:p>
    <w:p w:rsidR="007019F8" w:rsidRDefault="007019F8">
      <w:pPr>
        <w:jc w:val="left"/>
        <w:rPr>
          <w:rFonts w:cs="Arial"/>
          <w:b/>
          <w:sz w:val="18"/>
          <w:szCs w:val="18"/>
          <w:u w:val="single"/>
          <w:lang w:val="es-ES_tradnl"/>
        </w:rPr>
      </w:pPr>
      <w:r>
        <w:rPr>
          <w:rFonts w:cs="Arial"/>
          <w:b/>
          <w:sz w:val="18"/>
          <w:szCs w:val="18"/>
          <w:u w:val="single"/>
          <w:lang w:val="es-ES_tradnl"/>
        </w:rPr>
        <w:br w:type="page"/>
      </w:r>
    </w:p>
    <w:p w:rsidR="00B43D13" w:rsidRPr="00C60FC3" w:rsidRDefault="00B43D13" w:rsidP="00BF2668">
      <w:pPr>
        <w:jc w:val="center"/>
        <w:rPr>
          <w:rFonts w:cs="Arial"/>
          <w:b/>
          <w:sz w:val="18"/>
          <w:szCs w:val="18"/>
          <w:u w:val="single"/>
          <w:lang w:val="es-ES_tradnl"/>
        </w:rPr>
      </w:pPr>
      <w:r w:rsidRPr="00C60FC3">
        <w:rPr>
          <w:rFonts w:cs="Arial"/>
          <w:b/>
          <w:sz w:val="18"/>
          <w:szCs w:val="18"/>
          <w:u w:val="single"/>
          <w:lang w:val="es-ES_tradnl"/>
        </w:rPr>
        <w:t xml:space="preserve">Sesiones </w:t>
      </w:r>
      <w:proofErr w:type="gramStart"/>
      <w:r w:rsidRPr="00C60FC3">
        <w:rPr>
          <w:rFonts w:cs="Arial"/>
          <w:b/>
          <w:sz w:val="18"/>
          <w:szCs w:val="18"/>
          <w:u w:val="single"/>
          <w:lang w:val="es-ES_tradnl"/>
        </w:rPr>
        <w:t>especiales</w:t>
      </w:r>
      <w:proofErr w:type="gramEnd"/>
      <w:r w:rsidRPr="00C60FC3">
        <w:rPr>
          <w:rFonts w:cs="Arial"/>
          <w:b/>
          <w:sz w:val="18"/>
          <w:szCs w:val="18"/>
          <w:u w:val="single"/>
          <w:lang w:val="es-ES_tradnl"/>
        </w:rPr>
        <w:t xml:space="preserve"> del curso DL-205 en 2012</w:t>
      </w:r>
    </w:p>
    <w:p w:rsidR="00B43D13" w:rsidRPr="00C60FC3" w:rsidRDefault="00B43D13" w:rsidP="00BF2668">
      <w:pPr>
        <w:rPr>
          <w:rFonts w:cs="Arial"/>
          <w:sz w:val="18"/>
          <w:szCs w:val="18"/>
          <w:lang w:val="es-ES_tradnl"/>
        </w:rPr>
      </w:pPr>
    </w:p>
    <w:tbl>
      <w:tblPr>
        <w:tblW w:w="992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6517"/>
        <w:gridCol w:w="1134"/>
        <w:gridCol w:w="1155"/>
      </w:tblGrid>
      <w:tr w:rsidR="00B43D13" w:rsidRPr="00C60FC3" w:rsidTr="00C74C0E">
        <w:tc>
          <w:tcPr>
            <w:tcW w:w="1117" w:type="dxa"/>
            <w:shd w:val="solid" w:color="C0C0C0" w:fill="D9D9D9"/>
            <w:tcMar>
              <w:left w:w="57" w:type="dxa"/>
              <w:right w:w="57" w:type="dxa"/>
            </w:tcMar>
            <w:vAlign w:val="bottom"/>
          </w:tcPr>
          <w:p w:rsidR="00B43D13" w:rsidRPr="00C60FC3" w:rsidRDefault="00B43D13" w:rsidP="00BF2668">
            <w:pPr>
              <w:autoSpaceDE w:val="0"/>
              <w:autoSpaceDN w:val="0"/>
              <w:adjustRightInd w:val="0"/>
              <w:spacing w:before="40" w:after="40"/>
              <w:jc w:val="left"/>
              <w:rPr>
                <w:rFonts w:eastAsia="MS Mincho" w:cs="Arial"/>
                <w:b/>
                <w:color w:val="000000"/>
                <w:sz w:val="18"/>
                <w:szCs w:val="18"/>
                <w:lang w:val="es-ES_tradnl" w:eastAsia="ja-JP"/>
              </w:rPr>
            </w:pPr>
            <w:r w:rsidRPr="00C60FC3">
              <w:rPr>
                <w:rFonts w:eastAsia="MS Mincho" w:cs="Arial"/>
                <w:b/>
                <w:color w:val="000000"/>
                <w:sz w:val="18"/>
                <w:szCs w:val="18"/>
                <w:lang w:val="es-ES_tradnl" w:eastAsia="ja-JP"/>
              </w:rPr>
              <w:t>Mes/</w:t>
            </w:r>
            <w:r w:rsidRPr="00C60FC3">
              <w:rPr>
                <w:rFonts w:eastAsia="MS Mincho" w:cs="Arial"/>
                <w:b/>
                <w:color w:val="000000"/>
                <w:sz w:val="18"/>
                <w:szCs w:val="18"/>
                <w:lang w:val="es-ES_tradnl" w:eastAsia="ja-JP"/>
              </w:rPr>
              <w:br/>
            </w:r>
            <w:r w:rsidRPr="00C60FC3">
              <w:rPr>
                <w:rFonts w:eastAsia="MS Mincho" w:cs="Arial"/>
                <w:b/>
                <w:sz w:val="18"/>
                <w:szCs w:val="18"/>
                <w:lang w:val="es-ES_tradnl" w:eastAsia="ja-JP"/>
              </w:rPr>
              <w:t>Año</w:t>
            </w:r>
          </w:p>
        </w:tc>
        <w:tc>
          <w:tcPr>
            <w:tcW w:w="6517" w:type="dxa"/>
            <w:shd w:val="solid" w:color="C0C0C0" w:fill="D9D9D9"/>
            <w:tcMar>
              <w:left w:w="57" w:type="dxa"/>
              <w:right w:w="57" w:type="dxa"/>
            </w:tcMar>
            <w:vAlign w:val="bottom"/>
          </w:tcPr>
          <w:p w:rsidR="00B43D13" w:rsidRPr="00C60FC3" w:rsidRDefault="00B43D13" w:rsidP="00BF2668">
            <w:pPr>
              <w:autoSpaceDE w:val="0"/>
              <w:autoSpaceDN w:val="0"/>
              <w:adjustRightInd w:val="0"/>
              <w:spacing w:before="40" w:after="40"/>
              <w:jc w:val="left"/>
              <w:rPr>
                <w:rFonts w:eastAsia="MS Mincho" w:cs="Arial"/>
                <w:b/>
                <w:color w:val="000000"/>
                <w:sz w:val="18"/>
                <w:szCs w:val="18"/>
                <w:lang w:val="es-ES_tradnl" w:eastAsia="ja-JP"/>
              </w:rPr>
            </w:pPr>
            <w:r w:rsidRPr="00C60FC3">
              <w:rPr>
                <w:rFonts w:eastAsia="MS Mincho" w:cs="Arial"/>
                <w:b/>
                <w:color w:val="000000"/>
                <w:sz w:val="18"/>
                <w:szCs w:val="18"/>
                <w:lang w:val="es-ES_tradnl" w:eastAsia="ja-JP"/>
              </w:rPr>
              <w:t>Título del curso</w:t>
            </w:r>
          </w:p>
        </w:tc>
        <w:tc>
          <w:tcPr>
            <w:tcW w:w="1134" w:type="dxa"/>
            <w:shd w:val="solid" w:color="C0C0C0" w:fill="D9D9D9"/>
            <w:tcMar>
              <w:left w:w="57" w:type="dxa"/>
              <w:right w:w="57" w:type="dxa"/>
            </w:tcMar>
            <w:vAlign w:val="bottom"/>
          </w:tcPr>
          <w:p w:rsidR="00B43D13" w:rsidRPr="00C60FC3" w:rsidRDefault="00B43D13" w:rsidP="00BF2668">
            <w:pPr>
              <w:autoSpaceDE w:val="0"/>
              <w:autoSpaceDN w:val="0"/>
              <w:adjustRightInd w:val="0"/>
              <w:spacing w:before="40" w:after="40"/>
              <w:jc w:val="left"/>
              <w:rPr>
                <w:rFonts w:eastAsia="MS Mincho" w:cs="Arial"/>
                <w:b/>
                <w:color w:val="000000"/>
                <w:sz w:val="18"/>
                <w:szCs w:val="18"/>
                <w:lang w:val="es-ES_tradnl" w:eastAsia="ja-JP"/>
              </w:rPr>
            </w:pPr>
            <w:r w:rsidRPr="00C60FC3">
              <w:rPr>
                <w:rFonts w:eastAsia="MS Mincho" w:cs="Arial"/>
                <w:b/>
                <w:color w:val="000000"/>
                <w:sz w:val="18"/>
                <w:szCs w:val="18"/>
                <w:lang w:val="es-ES_tradnl" w:eastAsia="ja-JP"/>
              </w:rPr>
              <w:t>Idioma</w:t>
            </w:r>
          </w:p>
        </w:tc>
        <w:tc>
          <w:tcPr>
            <w:tcW w:w="1155" w:type="dxa"/>
            <w:shd w:val="solid" w:color="C0C0C0" w:fill="D9D9D9"/>
            <w:tcMar>
              <w:left w:w="57" w:type="dxa"/>
              <w:right w:w="57" w:type="dxa"/>
            </w:tcMar>
            <w:vAlign w:val="bottom"/>
          </w:tcPr>
          <w:p w:rsidR="00B43D13" w:rsidRPr="00C60FC3" w:rsidRDefault="00B43D13" w:rsidP="00BF2668">
            <w:pPr>
              <w:autoSpaceDE w:val="0"/>
              <w:autoSpaceDN w:val="0"/>
              <w:adjustRightInd w:val="0"/>
              <w:spacing w:before="40" w:after="40"/>
              <w:jc w:val="center"/>
              <w:rPr>
                <w:rFonts w:eastAsia="MS Mincho" w:cs="Arial"/>
                <w:b/>
                <w:color w:val="000000"/>
                <w:sz w:val="18"/>
                <w:szCs w:val="18"/>
                <w:lang w:val="es-ES_tradnl" w:eastAsia="ja-JP"/>
              </w:rPr>
            </w:pPr>
            <w:r w:rsidRPr="00C60FC3">
              <w:rPr>
                <w:rFonts w:eastAsia="MS Mincho" w:cs="Arial"/>
                <w:b/>
                <w:color w:val="000000"/>
                <w:sz w:val="18"/>
                <w:szCs w:val="18"/>
                <w:lang w:val="es-ES_tradnl" w:eastAsia="ja-JP"/>
              </w:rPr>
              <w:t>Nº de participantes</w:t>
            </w:r>
          </w:p>
        </w:tc>
      </w:tr>
      <w:tr w:rsidR="00B43D13" w:rsidRPr="00C60FC3" w:rsidTr="0054077B">
        <w:tc>
          <w:tcPr>
            <w:tcW w:w="11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Feb. 2012</w:t>
            </w:r>
          </w:p>
        </w:tc>
        <w:tc>
          <w:tcPr>
            <w:tcW w:w="65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II Máster de la OMPI en derecho de propiedad industrial</w:t>
            </w:r>
          </w:p>
        </w:tc>
        <w:tc>
          <w:tcPr>
            <w:tcW w:w="1134"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FR</w:t>
            </w:r>
          </w:p>
        </w:tc>
        <w:tc>
          <w:tcPr>
            <w:tcW w:w="1155" w:type="dxa"/>
            <w:tcMar>
              <w:left w:w="57" w:type="dxa"/>
              <w:right w:w="57" w:type="dxa"/>
            </w:tcMar>
          </w:tcPr>
          <w:p w:rsidR="00B43D13" w:rsidRPr="00C60FC3" w:rsidRDefault="00B43D13" w:rsidP="00BF2668">
            <w:pPr>
              <w:autoSpaceDE w:val="0"/>
              <w:autoSpaceDN w:val="0"/>
              <w:adjustRightInd w:val="0"/>
              <w:spacing w:before="40" w:after="40"/>
              <w:jc w:val="center"/>
              <w:rPr>
                <w:rFonts w:eastAsia="MS Mincho" w:cs="Arial"/>
                <w:color w:val="000000"/>
                <w:sz w:val="18"/>
                <w:szCs w:val="18"/>
                <w:lang w:val="es-ES_tradnl" w:eastAsia="ja-JP"/>
              </w:rPr>
            </w:pPr>
            <w:r w:rsidRPr="00C60FC3">
              <w:rPr>
                <w:rFonts w:eastAsia="MS Mincho" w:cs="Arial"/>
                <w:color w:val="000000"/>
                <w:sz w:val="18"/>
                <w:szCs w:val="18"/>
                <w:lang w:val="es-ES_tradnl" w:eastAsia="ja-JP"/>
              </w:rPr>
              <w:t>20</w:t>
            </w:r>
          </w:p>
        </w:tc>
      </w:tr>
      <w:tr w:rsidR="00B43D13" w:rsidRPr="00C60FC3" w:rsidTr="00C74C0E">
        <w:tc>
          <w:tcPr>
            <w:tcW w:w="11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Abril 2012</w:t>
            </w:r>
          </w:p>
        </w:tc>
        <w:tc>
          <w:tcPr>
            <w:tcW w:w="65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Curso de formación USPTO-UPOV “La protección de las variedades vegetales en virtud del Convenio de la UPOV” (Estados Unidos de América)</w:t>
            </w:r>
          </w:p>
        </w:tc>
        <w:tc>
          <w:tcPr>
            <w:tcW w:w="1134"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EN</w:t>
            </w:r>
          </w:p>
        </w:tc>
        <w:tc>
          <w:tcPr>
            <w:tcW w:w="1155" w:type="dxa"/>
            <w:tcMar>
              <w:left w:w="57" w:type="dxa"/>
              <w:right w:w="57" w:type="dxa"/>
            </w:tcMar>
          </w:tcPr>
          <w:p w:rsidR="00B43D13" w:rsidRPr="00C60FC3" w:rsidRDefault="00B43D13" w:rsidP="00BF2668">
            <w:pPr>
              <w:autoSpaceDE w:val="0"/>
              <w:autoSpaceDN w:val="0"/>
              <w:adjustRightInd w:val="0"/>
              <w:spacing w:before="40" w:after="40"/>
              <w:jc w:val="center"/>
              <w:rPr>
                <w:rFonts w:eastAsia="MS Mincho" w:cs="Arial"/>
                <w:color w:val="000000"/>
                <w:sz w:val="18"/>
                <w:szCs w:val="18"/>
                <w:lang w:val="es-ES_tradnl" w:eastAsia="ja-JP"/>
              </w:rPr>
            </w:pPr>
            <w:r w:rsidRPr="00C60FC3">
              <w:rPr>
                <w:rFonts w:eastAsia="MS Mincho" w:cs="Arial"/>
                <w:color w:val="000000"/>
                <w:sz w:val="18"/>
                <w:szCs w:val="18"/>
                <w:lang w:val="es-ES_tradnl" w:eastAsia="ja-JP"/>
              </w:rPr>
              <w:t>10</w:t>
            </w:r>
          </w:p>
        </w:tc>
      </w:tr>
      <w:tr w:rsidR="00B43D13" w:rsidRPr="00C60FC3" w:rsidTr="0054077B">
        <w:tc>
          <w:tcPr>
            <w:tcW w:w="11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Junio 2012</w:t>
            </w:r>
          </w:p>
        </w:tc>
        <w:tc>
          <w:tcPr>
            <w:tcW w:w="65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Curso internacional del Naktuinbouw sobre protección de las variedades vegetales</w:t>
            </w:r>
          </w:p>
        </w:tc>
        <w:tc>
          <w:tcPr>
            <w:tcW w:w="1134"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EN</w:t>
            </w:r>
          </w:p>
        </w:tc>
        <w:tc>
          <w:tcPr>
            <w:tcW w:w="1155" w:type="dxa"/>
            <w:tcMar>
              <w:left w:w="57" w:type="dxa"/>
              <w:right w:w="57" w:type="dxa"/>
            </w:tcMar>
          </w:tcPr>
          <w:p w:rsidR="00B43D13" w:rsidRPr="00C60FC3" w:rsidRDefault="00B43D13" w:rsidP="00BF2668">
            <w:pPr>
              <w:autoSpaceDE w:val="0"/>
              <w:autoSpaceDN w:val="0"/>
              <w:adjustRightInd w:val="0"/>
              <w:spacing w:before="40" w:after="40"/>
              <w:jc w:val="center"/>
              <w:rPr>
                <w:rFonts w:eastAsia="MS Mincho" w:cs="Arial"/>
                <w:color w:val="000000"/>
                <w:sz w:val="18"/>
                <w:szCs w:val="18"/>
                <w:lang w:val="es-ES_tradnl" w:eastAsia="ja-JP"/>
              </w:rPr>
            </w:pPr>
            <w:r w:rsidRPr="00C60FC3">
              <w:rPr>
                <w:rFonts w:eastAsia="MS Mincho" w:cs="Arial"/>
                <w:color w:val="000000"/>
                <w:sz w:val="18"/>
                <w:szCs w:val="18"/>
                <w:lang w:val="es-ES_tradnl" w:eastAsia="ja-JP"/>
              </w:rPr>
              <w:t>18</w:t>
            </w:r>
          </w:p>
        </w:tc>
      </w:tr>
      <w:tr w:rsidR="00B43D13" w:rsidRPr="00C60FC3" w:rsidTr="0054077B">
        <w:tc>
          <w:tcPr>
            <w:tcW w:w="11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Julio 2012</w:t>
            </w:r>
          </w:p>
        </w:tc>
        <w:tc>
          <w:tcPr>
            <w:tcW w:w="65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Curso de formación de la KOICA sobre protección de las variedades vegetales (República de Corea)</w:t>
            </w:r>
          </w:p>
        </w:tc>
        <w:tc>
          <w:tcPr>
            <w:tcW w:w="1134"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EN</w:t>
            </w:r>
          </w:p>
        </w:tc>
        <w:tc>
          <w:tcPr>
            <w:tcW w:w="1155" w:type="dxa"/>
            <w:tcMar>
              <w:left w:w="57" w:type="dxa"/>
              <w:right w:w="57" w:type="dxa"/>
            </w:tcMar>
          </w:tcPr>
          <w:p w:rsidR="00B43D13" w:rsidRPr="00C60FC3" w:rsidRDefault="00B43D13" w:rsidP="00BF2668">
            <w:pPr>
              <w:autoSpaceDE w:val="0"/>
              <w:autoSpaceDN w:val="0"/>
              <w:adjustRightInd w:val="0"/>
              <w:spacing w:before="40" w:after="40"/>
              <w:jc w:val="center"/>
              <w:rPr>
                <w:rFonts w:eastAsia="MS Mincho" w:cs="Arial"/>
                <w:color w:val="000000"/>
                <w:sz w:val="18"/>
                <w:szCs w:val="18"/>
                <w:lang w:val="es-ES_tradnl" w:eastAsia="ja-JP"/>
              </w:rPr>
            </w:pPr>
            <w:r w:rsidRPr="00C60FC3">
              <w:rPr>
                <w:rFonts w:eastAsia="MS Mincho" w:cs="Arial"/>
                <w:color w:val="000000"/>
                <w:sz w:val="18"/>
                <w:szCs w:val="18"/>
                <w:lang w:val="es-ES_tradnl" w:eastAsia="ja-JP"/>
              </w:rPr>
              <w:t>14</w:t>
            </w:r>
          </w:p>
        </w:tc>
      </w:tr>
      <w:tr w:rsidR="00B43D13" w:rsidRPr="00C60FC3" w:rsidTr="00723E30">
        <w:tc>
          <w:tcPr>
            <w:tcW w:w="11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Sept. 2012</w:t>
            </w:r>
          </w:p>
        </w:tc>
        <w:tc>
          <w:tcPr>
            <w:tcW w:w="65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Curso de formación de la JICA sobre la armonización internacional del sistema de protección de las variedades vegetales</w:t>
            </w:r>
          </w:p>
        </w:tc>
        <w:tc>
          <w:tcPr>
            <w:tcW w:w="1134"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EN</w:t>
            </w:r>
          </w:p>
        </w:tc>
        <w:tc>
          <w:tcPr>
            <w:tcW w:w="1155" w:type="dxa"/>
            <w:tcMar>
              <w:left w:w="57" w:type="dxa"/>
              <w:right w:w="57" w:type="dxa"/>
            </w:tcMar>
          </w:tcPr>
          <w:p w:rsidR="00B43D13" w:rsidRPr="00C60FC3" w:rsidRDefault="00B43D13" w:rsidP="00BF2668">
            <w:pPr>
              <w:autoSpaceDE w:val="0"/>
              <w:autoSpaceDN w:val="0"/>
              <w:adjustRightInd w:val="0"/>
              <w:spacing w:before="40" w:after="40"/>
              <w:jc w:val="center"/>
              <w:rPr>
                <w:rFonts w:eastAsia="MS Mincho" w:cs="Arial"/>
                <w:color w:val="000000"/>
                <w:sz w:val="18"/>
                <w:szCs w:val="18"/>
                <w:lang w:val="es-ES_tradnl" w:eastAsia="ja-JP"/>
              </w:rPr>
            </w:pPr>
            <w:r w:rsidRPr="00C60FC3">
              <w:rPr>
                <w:rFonts w:eastAsia="MS Mincho" w:cs="Arial"/>
                <w:color w:val="000000"/>
                <w:sz w:val="18"/>
                <w:szCs w:val="18"/>
                <w:lang w:val="es-ES_tradnl" w:eastAsia="ja-JP"/>
              </w:rPr>
              <w:t>9</w:t>
            </w:r>
          </w:p>
        </w:tc>
      </w:tr>
      <w:tr w:rsidR="00B43D13" w:rsidRPr="00C60FC3" w:rsidTr="00723E30">
        <w:tc>
          <w:tcPr>
            <w:tcW w:w="11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Dic. 2012</w:t>
            </w:r>
          </w:p>
        </w:tc>
        <w:tc>
          <w:tcPr>
            <w:tcW w:w="6517"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XI Curso de formación para países iberoamericanos sobre la protección de las obtenciones vegetales (Uruguay)</w:t>
            </w:r>
          </w:p>
        </w:tc>
        <w:tc>
          <w:tcPr>
            <w:tcW w:w="1134" w:type="dxa"/>
            <w:tcMar>
              <w:left w:w="57" w:type="dxa"/>
              <w:right w:w="57" w:type="dxa"/>
            </w:tcMar>
          </w:tcPr>
          <w:p w:rsidR="00B43D13" w:rsidRPr="00C60FC3" w:rsidRDefault="00B43D13" w:rsidP="00BF2668">
            <w:pPr>
              <w:autoSpaceDE w:val="0"/>
              <w:autoSpaceDN w:val="0"/>
              <w:adjustRightInd w:val="0"/>
              <w:spacing w:before="40" w:after="40"/>
              <w:jc w:val="left"/>
              <w:rPr>
                <w:rFonts w:eastAsia="MS Mincho" w:cs="Arial"/>
                <w:color w:val="000000"/>
                <w:sz w:val="18"/>
                <w:szCs w:val="18"/>
                <w:lang w:val="es-ES_tradnl" w:eastAsia="ja-JP"/>
              </w:rPr>
            </w:pPr>
            <w:r w:rsidRPr="00C60FC3">
              <w:rPr>
                <w:rFonts w:eastAsia="MS Mincho" w:cs="Arial"/>
                <w:color w:val="000000"/>
                <w:sz w:val="18"/>
                <w:szCs w:val="18"/>
                <w:lang w:val="es-ES_tradnl" w:eastAsia="ja-JP"/>
              </w:rPr>
              <w:t>ES</w:t>
            </w:r>
          </w:p>
        </w:tc>
        <w:tc>
          <w:tcPr>
            <w:tcW w:w="1155" w:type="dxa"/>
            <w:tcMar>
              <w:left w:w="57" w:type="dxa"/>
              <w:right w:w="57" w:type="dxa"/>
            </w:tcMar>
          </w:tcPr>
          <w:p w:rsidR="00B43D13" w:rsidRPr="00C60FC3" w:rsidRDefault="00B43D13" w:rsidP="00BF2668">
            <w:pPr>
              <w:autoSpaceDE w:val="0"/>
              <w:autoSpaceDN w:val="0"/>
              <w:adjustRightInd w:val="0"/>
              <w:spacing w:before="40" w:after="40"/>
              <w:jc w:val="center"/>
              <w:rPr>
                <w:rFonts w:eastAsia="MS Mincho" w:cs="Arial"/>
                <w:color w:val="000000"/>
                <w:sz w:val="18"/>
                <w:szCs w:val="18"/>
                <w:lang w:val="es-ES_tradnl" w:eastAsia="ja-JP"/>
              </w:rPr>
            </w:pPr>
            <w:r w:rsidRPr="00C60FC3">
              <w:rPr>
                <w:rFonts w:eastAsia="MS Mincho" w:cs="Arial"/>
                <w:color w:val="000000"/>
                <w:sz w:val="18"/>
                <w:szCs w:val="18"/>
                <w:lang w:val="es-ES_tradnl" w:eastAsia="ja-JP"/>
              </w:rPr>
              <w:t>12</w:t>
            </w:r>
          </w:p>
        </w:tc>
      </w:tr>
    </w:tbl>
    <w:p w:rsidR="00B43D13" w:rsidRPr="00C60FC3" w:rsidRDefault="00B43D13" w:rsidP="00BF2668">
      <w:pPr>
        <w:rPr>
          <w:rFonts w:cs="Arial"/>
          <w:sz w:val="18"/>
          <w:szCs w:val="18"/>
          <w:lang w:val="es-ES_tradnl"/>
        </w:rPr>
      </w:pPr>
    </w:p>
    <w:p w:rsidR="00B43D13" w:rsidRPr="00C60FC3" w:rsidRDefault="00B43D13" w:rsidP="00BF2668">
      <w:pPr>
        <w:rPr>
          <w:rFonts w:cs="Arial"/>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rPr>
                <w:b/>
                <w:sz w:val="18"/>
                <w:szCs w:val="18"/>
                <w:lang w:val="es-ES_tradnl"/>
              </w:rPr>
            </w:pPr>
            <w:r w:rsidRPr="00C60FC3">
              <w:rPr>
                <w:b/>
                <w:sz w:val="18"/>
                <w:szCs w:val="18"/>
                <w:lang w:val="es-ES_tradnl"/>
              </w:rPr>
              <w:t>Resultados alcanzados:  indicadores de rendimiento</w:t>
            </w:r>
          </w:p>
          <w:p w:rsidR="00B43D13" w:rsidRPr="00C60FC3" w:rsidRDefault="00B43D13" w:rsidP="00BF2668">
            <w:pPr>
              <w:rPr>
                <w:b/>
                <w:sz w:val="18"/>
                <w:szCs w:val="18"/>
                <w:lang w:val="es-ES_tradnl"/>
              </w:rPr>
            </w:pPr>
          </w:p>
        </w:tc>
      </w:tr>
      <w:tr w:rsidR="00B43D13" w:rsidRPr="00C60FC3" w:rsidTr="0091418C">
        <w:tc>
          <w:tcPr>
            <w:tcW w:w="2093" w:type="dxa"/>
          </w:tcPr>
          <w:p w:rsidR="00B43D13" w:rsidRPr="00C60FC3" w:rsidRDefault="00B43D13" w:rsidP="00BF2668">
            <w:pPr>
              <w:jc w:val="left"/>
              <w:rPr>
                <w:sz w:val="18"/>
                <w:szCs w:val="18"/>
                <w:lang w:val="es-ES_tradnl"/>
              </w:rPr>
            </w:pPr>
            <w:r w:rsidRPr="00C60FC3">
              <w:rPr>
                <w:i/>
                <w:sz w:val="18"/>
                <w:szCs w:val="18"/>
                <w:lang w:val="es-ES_tradnl"/>
              </w:rPr>
              <w:t xml:space="preserve">4.  Asistencia para la aplicación de un sistema eficaz de derechos de obtentor de conformidad con el Acta de 1991 del Convenio de la UPOV </w:t>
            </w:r>
            <w:r w:rsidRPr="00C60FC3">
              <w:rPr>
                <w:sz w:val="18"/>
                <w:szCs w:val="18"/>
                <w:lang w:val="es-ES_tradnl"/>
              </w:rPr>
              <w:t>(continuación)</w:t>
            </w:r>
          </w:p>
        </w:tc>
        <w:tc>
          <w:tcPr>
            <w:tcW w:w="7796" w:type="dxa"/>
          </w:tcPr>
          <w:p w:rsidR="00B43D13" w:rsidRPr="00C60FC3" w:rsidRDefault="00B43D13" w:rsidP="00BF2668">
            <w:pPr>
              <w:pStyle w:val="Heading8"/>
              <w:rPr>
                <w:lang w:val="es-ES_tradnl"/>
              </w:rPr>
            </w:pPr>
            <w:bookmarkStart w:id="139" w:name="_Toc368060357"/>
            <w:r w:rsidRPr="00C60FC3">
              <w:rPr>
                <w:lang w:val="es-ES_tradnl"/>
              </w:rPr>
              <w:t>b)  Participación de Estados y organizaciones observadores en el CAJ, el TC, los TWP y los talleres preparatorios conexos</w:t>
            </w:r>
            <w:bookmarkEnd w:id="139"/>
          </w:p>
          <w:p w:rsidR="00B43D13" w:rsidRPr="00C60FC3" w:rsidRDefault="00B43D13" w:rsidP="00BF2668">
            <w:pPr>
              <w:jc w:val="left"/>
              <w:rPr>
                <w:sz w:val="18"/>
                <w:szCs w:val="18"/>
                <w:lang w:val="es-ES_tradnl"/>
              </w:rPr>
            </w:pPr>
            <w:r w:rsidRPr="00C60FC3">
              <w:rPr>
                <w:sz w:val="18"/>
                <w:szCs w:val="18"/>
                <w:lang w:val="es-ES_tradnl"/>
              </w:rPr>
              <w:t xml:space="preserve">Véanse los apartados a) a d) del indicador de rendimiento nº 4 “Participación de los miembros de la Unión y los sectores interesados en la labor de los órganos de la UPOV”, del Subprograma UV.2. </w:t>
            </w:r>
          </w:p>
          <w:p w:rsidR="00B43D13" w:rsidRPr="00C60FC3" w:rsidRDefault="00B43D13" w:rsidP="00BF2668">
            <w:pPr>
              <w:jc w:val="left"/>
              <w:rPr>
                <w:sz w:val="18"/>
                <w:szCs w:val="18"/>
                <w:lang w:val="es-ES_tradnl"/>
              </w:rPr>
            </w:pPr>
          </w:p>
          <w:p w:rsidR="00B43D13" w:rsidRPr="00C60FC3" w:rsidRDefault="00B43D13" w:rsidP="00BF2668">
            <w:pPr>
              <w:jc w:val="left"/>
              <w:rPr>
                <w:sz w:val="18"/>
                <w:szCs w:val="18"/>
                <w:lang w:val="es-ES_tradnl"/>
              </w:rPr>
            </w:pPr>
          </w:p>
          <w:p w:rsidR="00B43D13" w:rsidRPr="00C60FC3" w:rsidRDefault="00B43D13" w:rsidP="00BF2668">
            <w:pPr>
              <w:pStyle w:val="Heading8"/>
              <w:spacing w:after="0"/>
              <w:rPr>
                <w:szCs w:val="18"/>
                <w:lang w:val="es-ES_tradnl"/>
              </w:rPr>
            </w:pPr>
            <w:bookmarkStart w:id="140" w:name="_Toc368060358"/>
            <w:r w:rsidRPr="00C60FC3">
              <w:rPr>
                <w:szCs w:val="18"/>
                <w:lang w:val="es-ES_tradnl"/>
              </w:rPr>
              <w:t>c)  Participación en actividades de la UPOV;</w:t>
            </w:r>
            <w:bookmarkEnd w:id="140"/>
          </w:p>
          <w:p w:rsidR="00B43D13" w:rsidRPr="00C60FC3" w:rsidRDefault="00B43D13" w:rsidP="00BF2668">
            <w:pPr>
              <w:pStyle w:val="Heading8"/>
              <w:spacing w:after="0"/>
              <w:rPr>
                <w:lang w:val="es-ES_tradnl"/>
              </w:rPr>
            </w:pPr>
            <w:bookmarkStart w:id="141" w:name="_Toc368060359"/>
            <w:r w:rsidRPr="00C60FC3">
              <w:rPr>
                <w:lang w:val="es-ES_tradnl"/>
              </w:rPr>
              <w:t>d)  Participación en actividades en las que toma parte el personal de la UPOV o formadores en nombre del personal de la UPOV;  y</w:t>
            </w:r>
            <w:bookmarkEnd w:id="141"/>
          </w:p>
          <w:p w:rsidR="00B43D13" w:rsidRPr="00C60FC3" w:rsidRDefault="00B43D13" w:rsidP="00BF2668">
            <w:pPr>
              <w:pStyle w:val="Heading8"/>
              <w:rPr>
                <w:lang w:val="es-ES_tradnl"/>
              </w:rPr>
            </w:pPr>
            <w:bookmarkStart w:id="142" w:name="_Toc368060360"/>
            <w:r w:rsidRPr="00C60FC3">
              <w:rPr>
                <w:lang w:val="es-ES_tradnl"/>
              </w:rPr>
              <w:t>e)  Formación proporcionada por formadores de la UPOV en actividades no organizadas por la UPOV</w:t>
            </w:r>
            <w:bookmarkEnd w:id="142"/>
          </w:p>
          <w:p w:rsidR="00B43D13" w:rsidRPr="00C60FC3" w:rsidRDefault="00B43D13" w:rsidP="00BF2668">
            <w:pPr>
              <w:jc w:val="left"/>
              <w:rPr>
                <w:sz w:val="18"/>
                <w:szCs w:val="18"/>
                <w:lang w:val="es-ES_tradnl"/>
              </w:rPr>
            </w:pPr>
            <w:r w:rsidRPr="00C60FC3">
              <w:rPr>
                <w:sz w:val="18"/>
                <w:szCs w:val="18"/>
                <w:lang w:val="es-ES_tradnl"/>
              </w:rPr>
              <w:t>Véase el apartado e) del indicador de rendimiento nº 1 “Foment</w:t>
            </w:r>
            <w:r w:rsidR="007019F8">
              <w:rPr>
                <w:sz w:val="18"/>
                <w:szCs w:val="18"/>
                <w:lang w:val="es-ES_tradnl"/>
              </w:rPr>
              <w:t>ar</w:t>
            </w:r>
            <w:r w:rsidRPr="00C60FC3">
              <w:rPr>
                <w:sz w:val="18"/>
                <w:szCs w:val="18"/>
                <w:lang w:val="es-ES_tradnl"/>
              </w:rPr>
              <w:t xml:space="preserve"> la sensibilización acerca de</w:t>
            </w:r>
            <w:r w:rsidR="007019F8">
              <w:rPr>
                <w:sz w:val="18"/>
                <w:szCs w:val="18"/>
                <w:lang w:val="es-ES_tradnl"/>
              </w:rPr>
              <w:t xml:space="preserve"> </w:t>
            </w:r>
            <w:r w:rsidRPr="00C60FC3">
              <w:rPr>
                <w:sz w:val="18"/>
                <w:szCs w:val="18"/>
                <w:lang w:val="es-ES_tradnl"/>
              </w:rPr>
              <w:t>l</w:t>
            </w:r>
            <w:r w:rsidR="007019F8">
              <w:rPr>
                <w:sz w:val="18"/>
                <w:szCs w:val="18"/>
                <w:lang w:val="es-ES_tradnl"/>
              </w:rPr>
              <w:t>a</w:t>
            </w:r>
            <w:r w:rsidRPr="00C60FC3">
              <w:rPr>
                <w:sz w:val="18"/>
                <w:szCs w:val="18"/>
                <w:lang w:val="es-ES_tradnl"/>
              </w:rPr>
              <w:t xml:space="preserve"> </w:t>
            </w:r>
            <w:r w:rsidR="007019F8">
              <w:rPr>
                <w:sz w:val="18"/>
                <w:szCs w:val="18"/>
                <w:lang w:val="es-ES_tradnl"/>
              </w:rPr>
              <w:t xml:space="preserve">función </w:t>
            </w:r>
            <w:r w:rsidRPr="00C60FC3">
              <w:rPr>
                <w:sz w:val="18"/>
                <w:szCs w:val="18"/>
                <w:lang w:val="es-ES_tradnl"/>
              </w:rPr>
              <w:t>de la protección de las variedades vegetales con arreglo al Convenio de la UPOV”, del Subprograma UV.3.</w:t>
            </w:r>
          </w:p>
          <w:p w:rsidR="00B43D13" w:rsidRPr="00C60FC3" w:rsidRDefault="00B43D13" w:rsidP="00BF2668">
            <w:pPr>
              <w:jc w:val="left"/>
              <w:rPr>
                <w:sz w:val="18"/>
                <w:szCs w:val="18"/>
                <w:lang w:val="es-ES_tradnl"/>
              </w:rPr>
            </w:pPr>
          </w:p>
          <w:p w:rsidR="00B43D13" w:rsidRPr="00C60FC3" w:rsidRDefault="00B43D13" w:rsidP="00BF2668">
            <w:pPr>
              <w:jc w:val="left"/>
              <w:rPr>
                <w:sz w:val="18"/>
                <w:szCs w:val="18"/>
                <w:lang w:val="es-ES_tradnl"/>
              </w:rPr>
            </w:pPr>
          </w:p>
        </w:tc>
      </w:tr>
      <w:tr w:rsidR="00B43D13" w:rsidRPr="00C60FC3" w:rsidTr="0091418C">
        <w:trPr>
          <w:cantSplit/>
        </w:trPr>
        <w:tc>
          <w:tcPr>
            <w:tcW w:w="2093" w:type="dxa"/>
          </w:tcPr>
          <w:p w:rsidR="00B43D13" w:rsidRPr="00C60FC3" w:rsidRDefault="00B43D13" w:rsidP="00BF2668">
            <w:pPr>
              <w:jc w:val="left"/>
              <w:rPr>
                <w:i/>
                <w:sz w:val="18"/>
                <w:szCs w:val="18"/>
                <w:lang w:val="es-ES_tradnl"/>
              </w:rPr>
            </w:pPr>
          </w:p>
        </w:tc>
        <w:tc>
          <w:tcPr>
            <w:tcW w:w="7796" w:type="dxa"/>
          </w:tcPr>
          <w:p w:rsidR="00B43D13" w:rsidRPr="00C60FC3" w:rsidRDefault="00B43D13" w:rsidP="00BF2668">
            <w:pPr>
              <w:pStyle w:val="Heading8"/>
              <w:rPr>
                <w:szCs w:val="18"/>
                <w:lang w:val="es-ES_tradnl"/>
              </w:rPr>
            </w:pPr>
            <w:bookmarkStart w:id="143" w:name="_Toc368060361"/>
            <w:r w:rsidRPr="00C60FC3">
              <w:rPr>
                <w:szCs w:val="18"/>
                <w:lang w:val="es-ES_tradnl"/>
              </w:rPr>
              <w:t xml:space="preserve">f)  Ejecución de proyectos con organizaciones </w:t>
            </w:r>
            <w:r w:rsidR="007019F8">
              <w:rPr>
                <w:szCs w:val="18"/>
                <w:lang w:val="es-ES_tradnl"/>
              </w:rPr>
              <w:t>asociada</w:t>
            </w:r>
            <w:r w:rsidR="007019F8" w:rsidRPr="00C60FC3">
              <w:rPr>
                <w:szCs w:val="18"/>
                <w:lang w:val="es-ES_tradnl"/>
              </w:rPr>
              <w:t xml:space="preserve">s </w:t>
            </w:r>
            <w:r w:rsidRPr="00C60FC3">
              <w:rPr>
                <w:szCs w:val="18"/>
                <w:lang w:val="es-ES_tradnl"/>
              </w:rPr>
              <w:t>y donantes</w:t>
            </w:r>
            <w:bookmarkEnd w:id="143"/>
            <w:r w:rsidRPr="00C60FC3">
              <w:rPr>
                <w:szCs w:val="18"/>
                <w:lang w:val="es-ES_tradnl"/>
              </w:rPr>
              <w:t xml:space="preserve"> </w:t>
            </w:r>
          </w:p>
          <w:p w:rsidR="00B43D13" w:rsidRPr="00C60FC3" w:rsidRDefault="00B43D13" w:rsidP="00BF2668">
            <w:pPr>
              <w:numPr>
                <w:ilvl w:val="0"/>
                <w:numId w:val="19"/>
              </w:numPr>
              <w:spacing w:after="240"/>
              <w:ind w:left="357" w:hanging="357"/>
              <w:jc w:val="left"/>
              <w:rPr>
                <w:sz w:val="18"/>
                <w:szCs w:val="18"/>
                <w:lang w:val="es-ES_tradnl"/>
              </w:rPr>
            </w:pPr>
            <w:r w:rsidRPr="00C60FC3">
              <w:rPr>
                <w:sz w:val="18"/>
                <w:szCs w:val="18"/>
                <w:lang w:val="es-ES_tradnl"/>
              </w:rPr>
              <w:t>Proyecto Mundial de Semillas:  18 reuniones por vía ele</w:t>
            </w:r>
            <w:r w:rsidR="00C7415A">
              <w:rPr>
                <w:sz w:val="18"/>
                <w:szCs w:val="18"/>
                <w:lang w:val="es-ES_tradnl"/>
              </w:rPr>
              <w:t>ctrónica a través de Internet y 5 </w:t>
            </w:r>
            <w:r w:rsidRPr="00C60FC3">
              <w:rPr>
                <w:sz w:val="18"/>
                <w:szCs w:val="18"/>
                <w:lang w:val="es-ES_tradnl"/>
              </w:rPr>
              <w:t>reuniones del Comité Ejecutivo, incluidas una reunión en Arusha (República Unida de Tanzanía), en enero de 2012, y una reunión en Accra (Ghana), en abril de 2012</w:t>
            </w:r>
          </w:p>
          <w:p w:rsidR="00B43D13" w:rsidRPr="00C60FC3" w:rsidRDefault="00B43D13" w:rsidP="00BF2668">
            <w:pPr>
              <w:rPr>
                <w:sz w:val="18"/>
                <w:szCs w:val="18"/>
                <w:lang w:val="es-ES_tradnl"/>
              </w:rPr>
            </w:pPr>
          </w:p>
        </w:tc>
      </w:tr>
      <w:tr w:rsidR="00B43D13" w:rsidRPr="00C60FC3" w:rsidTr="0091418C">
        <w:tc>
          <w:tcPr>
            <w:tcW w:w="2093" w:type="dxa"/>
          </w:tcPr>
          <w:p w:rsidR="00B43D13" w:rsidRPr="00C60FC3" w:rsidRDefault="00B43D13" w:rsidP="00BF2668">
            <w:pPr>
              <w:jc w:val="left"/>
              <w:rPr>
                <w:i/>
                <w:sz w:val="18"/>
                <w:szCs w:val="18"/>
                <w:lang w:val="es-ES_tradnl"/>
              </w:rPr>
            </w:pPr>
          </w:p>
        </w:tc>
        <w:tc>
          <w:tcPr>
            <w:tcW w:w="7796" w:type="dxa"/>
          </w:tcPr>
          <w:p w:rsidR="00B43D13" w:rsidRPr="00C60FC3" w:rsidRDefault="00B43D13" w:rsidP="00BF2668">
            <w:pPr>
              <w:pStyle w:val="Heading8"/>
              <w:rPr>
                <w:szCs w:val="18"/>
                <w:lang w:val="es-ES_tradnl"/>
              </w:rPr>
            </w:pPr>
            <w:bookmarkStart w:id="144" w:name="_Toc368060362"/>
            <w:r w:rsidRPr="00C60FC3">
              <w:rPr>
                <w:szCs w:val="18"/>
                <w:lang w:val="es-ES_tradnl"/>
              </w:rPr>
              <w:t>g)  Uso de la página de asistencia en Internet para obtener apoyo a los proyectos</w:t>
            </w:r>
            <w:bookmarkEnd w:id="144"/>
          </w:p>
          <w:p w:rsidR="00B43D13" w:rsidRPr="00C60FC3" w:rsidRDefault="00B43D13" w:rsidP="00BF2668">
            <w:pPr>
              <w:numPr>
                <w:ilvl w:val="0"/>
                <w:numId w:val="19"/>
              </w:numPr>
              <w:spacing w:after="120"/>
              <w:ind w:left="357" w:hanging="357"/>
              <w:jc w:val="left"/>
              <w:rPr>
                <w:sz w:val="18"/>
                <w:szCs w:val="18"/>
                <w:lang w:val="es-ES_tradnl"/>
              </w:rPr>
            </w:pPr>
            <w:r w:rsidRPr="00C60FC3">
              <w:rPr>
                <w:sz w:val="18"/>
                <w:szCs w:val="18"/>
                <w:lang w:val="es-ES_tradnl"/>
              </w:rPr>
              <w:t xml:space="preserve">Se ha puesto en funcionamiento la página Web sobre asistencia, en la zona de acceso restringido del sitio Web de la UPOV. </w:t>
            </w:r>
          </w:p>
          <w:p w:rsidR="00B43D13" w:rsidRPr="00C60FC3" w:rsidRDefault="00B43D13" w:rsidP="00BF2668">
            <w:pPr>
              <w:rPr>
                <w:sz w:val="18"/>
                <w:szCs w:val="18"/>
                <w:lang w:val="es-ES_tradnl"/>
              </w:rPr>
            </w:pPr>
          </w:p>
        </w:tc>
      </w:tr>
    </w:tbl>
    <w:p w:rsidR="00B43D13" w:rsidRPr="00C60FC3" w:rsidRDefault="00B43D13" w:rsidP="00BF2668">
      <w:pPr>
        <w:rPr>
          <w:sz w:val="18"/>
          <w:szCs w:val="18"/>
          <w:lang w:val="es-ES_tradnl"/>
        </w:rPr>
      </w:pPr>
    </w:p>
    <w:bookmarkEnd w:id="132"/>
    <w:p w:rsidR="00B43D13" w:rsidRPr="00C60FC3" w:rsidRDefault="00B43D13" w:rsidP="00BF2668">
      <w:pPr>
        <w:rPr>
          <w:sz w:val="18"/>
          <w:szCs w:val="18"/>
          <w:lang w:val="es-ES_tradnl"/>
        </w:rPr>
      </w:pPr>
    </w:p>
    <w:p w:rsidR="00B43D13" w:rsidRPr="00C60FC3" w:rsidRDefault="00B43D13" w:rsidP="00CD4848">
      <w:pPr>
        <w:pStyle w:val="Heading3"/>
        <w:rPr>
          <w:lang w:val="es-ES_tradnl"/>
        </w:rPr>
      </w:pPr>
      <w:r w:rsidRPr="00C60FC3">
        <w:rPr>
          <w:lang w:val="es-ES_tradnl"/>
        </w:rPr>
        <w:br w:type="page"/>
      </w:r>
      <w:bookmarkStart w:id="145" w:name="_Toc336339250"/>
      <w:bookmarkStart w:id="146" w:name="_Toc368060363"/>
      <w:r w:rsidR="00CD4848" w:rsidRPr="00C60FC3">
        <w:rPr>
          <w:lang w:val="es-ES_tradnl"/>
        </w:rPr>
        <w:t>Subprograma </w:t>
      </w:r>
      <w:r w:rsidRPr="00C60FC3">
        <w:rPr>
          <w:lang w:val="es-ES_tradnl"/>
        </w:rPr>
        <w:t>UV.4</w:t>
      </w:r>
      <w:proofErr w:type="gramStart"/>
      <w:r w:rsidRPr="00C60FC3">
        <w:rPr>
          <w:lang w:val="es-ES_tradnl"/>
        </w:rPr>
        <w:t xml:space="preserve">:  </w:t>
      </w:r>
      <w:bookmarkEnd w:id="145"/>
      <w:r w:rsidRPr="00C60FC3">
        <w:rPr>
          <w:lang w:val="es-ES_tradnl"/>
        </w:rPr>
        <w:t>Relaciones</w:t>
      </w:r>
      <w:proofErr w:type="gramEnd"/>
      <w:r w:rsidRPr="00C60FC3">
        <w:rPr>
          <w:lang w:val="es-ES_tradnl"/>
        </w:rPr>
        <w:t xml:space="preserve"> exteriores</w:t>
      </w:r>
      <w:bookmarkEnd w:id="146"/>
    </w:p>
    <w:p w:rsidR="00B43D13" w:rsidRPr="00C7415A" w:rsidRDefault="00B43D13" w:rsidP="00BF2668">
      <w:pPr>
        <w:rPr>
          <w:sz w:val="18"/>
          <w:szCs w:val="18"/>
          <w:lang w:val="es-ES_tradnl"/>
        </w:rPr>
      </w:pPr>
    </w:p>
    <w:p w:rsidR="00B43D13" w:rsidRPr="00C7415A" w:rsidRDefault="00B43D13" w:rsidP="00BF2668">
      <w:pPr>
        <w:rPr>
          <w:sz w:val="18"/>
          <w:szCs w:val="18"/>
          <w:lang w:val="es-ES_tradnl"/>
        </w:rPr>
      </w:pPr>
      <w:r w:rsidRPr="00C7415A">
        <w:rPr>
          <w:sz w:val="18"/>
          <w:szCs w:val="18"/>
          <w:lang w:val="es-ES_tradnl"/>
        </w:rPr>
        <w:t xml:space="preserve">La puesta en marcha del nuevo sitio Web constituye un importante </w:t>
      </w:r>
      <w:r w:rsidR="002E707F">
        <w:rPr>
          <w:sz w:val="18"/>
          <w:szCs w:val="18"/>
          <w:lang w:val="es-ES_tradnl"/>
        </w:rPr>
        <w:t xml:space="preserve">recurso </w:t>
      </w:r>
      <w:r w:rsidRPr="00C7415A">
        <w:rPr>
          <w:sz w:val="18"/>
          <w:szCs w:val="18"/>
          <w:lang w:val="es-ES_tradnl"/>
        </w:rPr>
        <w:t>gracias al cual se podrá mejorar la comprensión de la función y de las actividades de la UPOV y difundir aún más las ventajas que brinda a la sociedad un eficaz sistema de protección de las variedades vegetales.  El “Simposio sobre las ventajas de la protección de las obtenciones vegetales para los agricultores y los productores” ha cerrado una serie de tres eventos (trilogía) que también ha incluido el “Seminario sobre la protección de las variedades vegetales y la transferencia de tecnología</w:t>
      </w:r>
      <w:proofErr w:type="gramStart"/>
      <w:r w:rsidRPr="00C7415A">
        <w:rPr>
          <w:sz w:val="18"/>
          <w:szCs w:val="18"/>
          <w:lang w:val="es-ES_tradnl"/>
        </w:rPr>
        <w:t>:  beneficios</w:t>
      </w:r>
      <w:proofErr w:type="gramEnd"/>
      <w:r w:rsidRPr="00C7415A">
        <w:rPr>
          <w:sz w:val="18"/>
          <w:szCs w:val="18"/>
          <w:lang w:val="es-ES_tradnl"/>
        </w:rPr>
        <w:t xml:space="preserve"> de la colaboración público-privada” y el “Simposio sobre el fitomejoramiento para el futuro”.  Las actas de esa trilogía servirán de base para una publicación en la que se expongan las ventajas que aporta a la sociedad el sistema de la UPOV de protección de las variedades vegetales.</w:t>
      </w:r>
    </w:p>
    <w:p w:rsidR="00B43D13" w:rsidRPr="00C7415A" w:rsidRDefault="00B43D13" w:rsidP="00BF2668">
      <w:pPr>
        <w:rPr>
          <w:sz w:val="18"/>
          <w:szCs w:val="18"/>
          <w:lang w:val="es-ES_tradnl"/>
        </w:rPr>
      </w:pPr>
    </w:p>
    <w:p w:rsidR="00B43D13" w:rsidRPr="00C7415A" w:rsidRDefault="00B43D13" w:rsidP="00BF2668">
      <w:pPr>
        <w:rPr>
          <w:sz w:val="18"/>
          <w:szCs w:val="18"/>
          <w:lang w:val="es-ES_tradnl"/>
        </w:rPr>
      </w:pPr>
      <w:r w:rsidRPr="00C7415A">
        <w:rPr>
          <w:sz w:val="18"/>
          <w:szCs w:val="18"/>
          <w:lang w:val="es-ES_tradnl"/>
        </w:rPr>
        <w:t>Las siguientes organizaciones intergubernamentales han invitado a la UPOV a contribuir a su labor:   la Organización Africana de la Propiedad Intelectual (OAPI), la Organización Regional Africana de la Pr</w:t>
      </w:r>
      <w:r w:rsidR="002E707F">
        <w:rPr>
          <w:sz w:val="18"/>
          <w:szCs w:val="18"/>
          <w:lang w:val="es-ES_tradnl"/>
        </w:rPr>
        <w:t>opiedad Intelectual (ARIPO), la </w:t>
      </w:r>
      <w:r w:rsidRPr="00C7415A">
        <w:rPr>
          <w:sz w:val="18"/>
          <w:szCs w:val="18"/>
          <w:lang w:val="es-ES_tradnl"/>
        </w:rPr>
        <w:t xml:space="preserve">Organización de Cooperación Económica (OCE), la Organización de las Naciones </w:t>
      </w:r>
      <w:r w:rsidR="002E707F">
        <w:rPr>
          <w:sz w:val="18"/>
          <w:szCs w:val="18"/>
          <w:lang w:val="es-ES_tradnl"/>
        </w:rPr>
        <w:t>Unidas para la Agricultura y la </w:t>
      </w:r>
      <w:r w:rsidRPr="00C7415A">
        <w:rPr>
          <w:sz w:val="18"/>
          <w:szCs w:val="18"/>
          <w:lang w:val="es-ES_tradnl"/>
        </w:rPr>
        <w:t xml:space="preserve">Alimentación (FAO), la Organización Internacional para el Derecho del Desarrollo (IDLO), la Asociación Internacional para el Ensayo de Semillas (ISTA), la Organización de Cooperación y Desarrollo Económicos (OCDE), la Organización Mundial de la Propiedad Intelectual (OMPI) y la Organización Mundial del Comercio (OMC).  La UPOV ha mantenido contactos con las siguientes asociaciones profesionales de ámbito internacional: la </w:t>
      </w:r>
      <w:r w:rsidRPr="00C7415A">
        <w:rPr>
          <w:i/>
          <w:sz w:val="18"/>
          <w:szCs w:val="18"/>
          <w:lang w:val="es-ES_tradnl"/>
        </w:rPr>
        <w:t>African Seed Trade Association</w:t>
      </w:r>
      <w:r w:rsidRPr="00C7415A">
        <w:rPr>
          <w:sz w:val="18"/>
          <w:szCs w:val="18"/>
          <w:lang w:val="es-ES_tradnl"/>
        </w:rPr>
        <w:t xml:space="preserve"> (AFSTA), la </w:t>
      </w:r>
      <w:r w:rsidRPr="00C7415A">
        <w:rPr>
          <w:i/>
          <w:sz w:val="18"/>
          <w:szCs w:val="18"/>
          <w:lang w:val="es-ES_tradnl"/>
        </w:rPr>
        <w:t>Asia and Pacific Seed Association</w:t>
      </w:r>
      <w:r w:rsidRPr="00C7415A">
        <w:rPr>
          <w:sz w:val="18"/>
          <w:szCs w:val="18"/>
          <w:lang w:val="es-ES_tradnl"/>
        </w:rPr>
        <w:t xml:space="preserve"> (APSA), la </w:t>
      </w:r>
      <w:r w:rsidRPr="00C7415A">
        <w:rPr>
          <w:i/>
          <w:sz w:val="18"/>
          <w:szCs w:val="18"/>
          <w:lang w:val="es-ES_tradnl"/>
        </w:rPr>
        <w:t>European Seed Association</w:t>
      </w:r>
      <w:r w:rsidRPr="00C7415A">
        <w:rPr>
          <w:sz w:val="18"/>
          <w:szCs w:val="18"/>
          <w:lang w:val="es-ES_tradnl"/>
        </w:rPr>
        <w:t xml:space="preserve"> (ESA), la Comunidad Internacional de Fitomejoradores de Plantas Ornamentales y Frutales de Repr</w:t>
      </w:r>
      <w:r w:rsidR="002E707F">
        <w:rPr>
          <w:sz w:val="18"/>
          <w:szCs w:val="18"/>
          <w:lang w:val="es-ES_tradnl"/>
        </w:rPr>
        <w:t>oducción Asexuada (CIOPORA), la </w:t>
      </w:r>
      <w:r w:rsidRPr="00C7415A">
        <w:rPr>
          <w:i/>
          <w:sz w:val="18"/>
          <w:szCs w:val="18"/>
          <w:lang w:val="es-ES_tradnl"/>
        </w:rPr>
        <w:t>International Seed Federation</w:t>
      </w:r>
      <w:r w:rsidRPr="00C7415A">
        <w:rPr>
          <w:sz w:val="18"/>
          <w:szCs w:val="18"/>
          <w:lang w:val="es-ES_tradnl"/>
        </w:rPr>
        <w:t xml:space="preserve"> (ISF) y la Federación Latinoamericana de Asociaciones de Semillas (FELAS).</w:t>
      </w:r>
    </w:p>
    <w:p w:rsidR="00B43D13" w:rsidRPr="00C7415A" w:rsidRDefault="00B43D13" w:rsidP="00BF2668">
      <w:pPr>
        <w:rPr>
          <w:sz w:val="18"/>
          <w:szCs w:val="18"/>
          <w:lang w:val="es-ES_tradnl"/>
        </w:rPr>
      </w:pPr>
    </w:p>
    <w:p w:rsidR="00B43D13" w:rsidRPr="00C7415A"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5"/>
              <w:keepNext w:val="0"/>
              <w:rPr>
                <w:lang w:val="es-ES_tradnl"/>
              </w:rPr>
            </w:pPr>
            <w:bookmarkStart w:id="147" w:name="_Toc368060364"/>
            <w:r w:rsidRPr="00C60FC3">
              <w:rPr>
                <w:lang w:val="es-ES_tradnl"/>
              </w:rPr>
              <w:t>Objetivos:</w:t>
            </w:r>
            <w:bookmarkEnd w:id="147"/>
          </w:p>
        </w:tc>
        <w:tc>
          <w:tcPr>
            <w:tcW w:w="7796" w:type="dxa"/>
          </w:tcPr>
          <w:p w:rsidR="00B43D13" w:rsidRPr="00C60FC3" w:rsidRDefault="00B43D13" w:rsidP="00BF2668">
            <w:pPr>
              <w:numPr>
                <w:ilvl w:val="0"/>
                <w:numId w:val="18"/>
              </w:numPr>
              <w:jc w:val="left"/>
              <w:rPr>
                <w:sz w:val="18"/>
                <w:szCs w:val="18"/>
                <w:lang w:val="es-ES_tradnl"/>
              </w:rPr>
            </w:pPr>
            <w:r w:rsidRPr="00C60FC3">
              <w:rPr>
                <w:sz w:val="18"/>
                <w:szCs w:val="18"/>
                <w:lang w:val="es-ES_tradnl"/>
              </w:rPr>
              <w:t>Mejorar la comprensión del público y de las organizaciones no gubernamentales acerca del sistema de la UPOV de protección de las variedades vegetales.</w:t>
            </w:r>
          </w:p>
          <w:p w:rsidR="00B43D13" w:rsidRPr="00C60FC3" w:rsidRDefault="00B43D13" w:rsidP="00BF2668">
            <w:pPr>
              <w:numPr>
                <w:ilvl w:val="0"/>
                <w:numId w:val="18"/>
              </w:numPr>
              <w:jc w:val="left"/>
              <w:rPr>
                <w:sz w:val="18"/>
                <w:szCs w:val="18"/>
                <w:lang w:val="es-ES_tradnl"/>
              </w:rPr>
            </w:pPr>
            <w:r w:rsidRPr="00C60FC3">
              <w:rPr>
                <w:sz w:val="18"/>
                <w:szCs w:val="18"/>
                <w:lang w:val="es-ES_tradnl"/>
              </w:rPr>
              <w:t>Proporcionar información sobre el Convenio de la UPOV a otras organizaciones intergubernamentales, con el fin de lograr la complementariedad con otros tratados internacionales.</w:t>
            </w:r>
          </w:p>
        </w:tc>
      </w:tr>
    </w:tbl>
    <w:p w:rsidR="00B43D13" w:rsidRPr="00C60FC3" w:rsidRDefault="00B43D13" w:rsidP="00BF2668">
      <w:pPr>
        <w:rPr>
          <w:sz w:val="18"/>
          <w:szCs w:val="18"/>
          <w:lang w:val="es-ES_tradnl"/>
        </w:rPr>
      </w:pPr>
    </w:p>
    <w:p w:rsidR="00B43D13" w:rsidRPr="00C60FC3" w:rsidRDefault="00B43D13" w:rsidP="00BF2668">
      <w:pPr>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BF2668">
            <w:pPr>
              <w:pStyle w:val="Heading5"/>
              <w:keepNext w:val="0"/>
              <w:rPr>
                <w:lang w:val="es-ES_tradnl"/>
              </w:rPr>
            </w:pPr>
            <w:bookmarkStart w:id="148" w:name="_Toc368060365"/>
            <w:r w:rsidRPr="00C60FC3">
              <w:rPr>
                <w:lang w:val="es-ES_tradnl"/>
              </w:rPr>
              <w:t>Resultados previstos</w:t>
            </w:r>
            <w:bookmarkEnd w:id="148"/>
          </w:p>
        </w:tc>
        <w:tc>
          <w:tcPr>
            <w:tcW w:w="7796" w:type="dxa"/>
          </w:tcPr>
          <w:p w:rsidR="00B43D13" w:rsidRPr="00C60FC3" w:rsidRDefault="00B43D13" w:rsidP="00BF2668">
            <w:pPr>
              <w:pStyle w:val="Heading7"/>
              <w:rPr>
                <w:lang w:val="es-ES_tradnl"/>
              </w:rPr>
            </w:pPr>
            <w:bookmarkStart w:id="149" w:name="_Toc336339253"/>
            <w:bookmarkStart w:id="150" w:name="_Toc368060366"/>
            <w:r w:rsidRPr="00C60FC3">
              <w:rPr>
                <w:lang w:val="es-ES_tradnl"/>
              </w:rPr>
              <w:t>Resultados alcanzados</w:t>
            </w:r>
            <w:proofErr w:type="gramStart"/>
            <w:r w:rsidRPr="00C60FC3">
              <w:rPr>
                <w:lang w:val="es-ES_tradnl"/>
              </w:rPr>
              <w:t xml:space="preserve">:  </w:t>
            </w:r>
            <w:bookmarkEnd w:id="149"/>
            <w:r w:rsidRPr="00C60FC3">
              <w:rPr>
                <w:lang w:val="es-ES_tradnl"/>
              </w:rPr>
              <w:t>indicadores</w:t>
            </w:r>
            <w:proofErr w:type="gramEnd"/>
            <w:r w:rsidRPr="00C60FC3">
              <w:rPr>
                <w:lang w:val="es-ES_tradnl"/>
              </w:rPr>
              <w:t xml:space="preserve"> de rendimiento</w:t>
            </w:r>
            <w:bookmarkEnd w:id="150"/>
          </w:p>
        </w:tc>
      </w:tr>
      <w:tr w:rsidR="00B43D13" w:rsidRPr="00C60FC3" w:rsidTr="0091418C">
        <w:tc>
          <w:tcPr>
            <w:tcW w:w="2093" w:type="dxa"/>
          </w:tcPr>
          <w:p w:rsidR="00B43D13" w:rsidRPr="00C60FC3" w:rsidRDefault="00B43D13" w:rsidP="00BF2668">
            <w:pPr>
              <w:pStyle w:val="Heading6"/>
              <w:rPr>
                <w:lang w:val="es-ES_tradnl"/>
              </w:rPr>
            </w:pPr>
            <w:bookmarkStart w:id="151" w:name="_Toc336339254"/>
            <w:bookmarkStart w:id="152" w:name="_Toc368060367"/>
            <w:r w:rsidRPr="00C60FC3">
              <w:rPr>
                <w:lang w:val="es-ES_tradnl"/>
              </w:rPr>
              <w:t xml:space="preserve">1.  </w:t>
            </w:r>
            <w:bookmarkEnd w:id="151"/>
            <w:r w:rsidRPr="00C60FC3">
              <w:rPr>
                <w:lang w:val="es-ES_tradnl"/>
              </w:rPr>
              <w:t>Mejora de la comprensión del público acerca de la función y las actividades de la UPOV</w:t>
            </w:r>
            <w:bookmarkEnd w:id="152"/>
          </w:p>
        </w:tc>
        <w:tc>
          <w:tcPr>
            <w:tcW w:w="7796" w:type="dxa"/>
          </w:tcPr>
          <w:p w:rsidR="00B43D13" w:rsidRPr="00C60FC3" w:rsidRDefault="00B43D13" w:rsidP="00BF2668">
            <w:pPr>
              <w:pStyle w:val="Heading8"/>
              <w:rPr>
                <w:lang w:val="es-ES_tradnl"/>
              </w:rPr>
            </w:pPr>
            <w:bookmarkStart w:id="153" w:name="_Toc368060368"/>
            <w:r w:rsidRPr="00C60FC3">
              <w:rPr>
                <w:lang w:val="es-ES_tradnl"/>
              </w:rPr>
              <w:t>a)  Disponibilidad de información y material orientado al público en el sitio Web de la UPOV</w:t>
            </w:r>
            <w:bookmarkEnd w:id="153"/>
          </w:p>
          <w:p w:rsidR="00B43D13" w:rsidRPr="00C60FC3" w:rsidRDefault="00B43D13" w:rsidP="00BF2668">
            <w:pPr>
              <w:ind w:right="459"/>
              <w:jc w:val="left"/>
              <w:rPr>
                <w:rFonts w:cs="Arial"/>
                <w:sz w:val="18"/>
                <w:szCs w:val="18"/>
                <w:lang w:val="es-ES_tradnl"/>
              </w:rPr>
            </w:pPr>
            <w:r w:rsidRPr="00C60FC3">
              <w:rPr>
                <w:rFonts w:cs="Arial"/>
                <w:sz w:val="18"/>
                <w:szCs w:val="18"/>
                <w:lang w:val="es-ES_tradnl"/>
              </w:rPr>
              <w:t>Información y documentos añadidos al sitio Web en 2012:</w:t>
            </w:r>
          </w:p>
          <w:p w:rsidR="00B43D13" w:rsidRPr="00C60FC3" w:rsidRDefault="00B43D13" w:rsidP="00BF2668">
            <w:pPr>
              <w:ind w:right="459"/>
              <w:jc w:val="left"/>
              <w:rPr>
                <w:rFonts w:cs="Arial"/>
                <w:sz w:val="18"/>
                <w:szCs w:val="18"/>
                <w:lang w:val="es-ES_tradnl"/>
              </w:rPr>
            </w:pPr>
          </w:p>
          <w:p w:rsidR="00B43D13" w:rsidRPr="00C60FC3" w:rsidRDefault="00B43D13" w:rsidP="00BF2668">
            <w:pPr>
              <w:ind w:left="601" w:right="175" w:hanging="318"/>
              <w:jc w:val="left"/>
              <w:rPr>
                <w:rFonts w:cs="Arial"/>
                <w:sz w:val="18"/>
                <w:szCs w:val="18"/>
                <w:lang w:val="es-ES_tradnl"/>
              </w:rPr>
            </w:pPr>
            <w:r w:rsidRPr="00C60FC3">
              <w:rPr>
                <w:rFonts w:cs="Arial"/>
                <w:sz w:val="18"/>
                <w:szCs w:val="18"/>
                <w:lang w:val="es-ES_tradnl"/>
              </w:rPr>
              <w:t>-</w:t>
            </w:r>
            <w:r w:rsidRPr="00C60FC3">
              <w:rPr>
                <w:rFonts w:cs="Arial"/>
                <w:sz w:val="18"/>
                <w:szCs w:val="18"/>
                <w:lang w:val="es-ES_tradnl"/>
              </w:rPr>
              <w:tab/>
              <w:t>información acerca del Simposio sobre las ventajas de la protección de las obtenciones vegetales para los agricultores y los productores (véase</w:t>
            </w:r>
            <w:r w:rsidRPr="00C60FC3">
              <w:rPr>
                <w:sz w:val="18"/>
                <w:szCs w:val="18"/>
                <w:lang w:val="es-ES_tradnl"/>
              </w:rPr>
              <w:t xml:space="preserve"> </w:t>
            </w:r>
            <w:hyperlink r:id="rId21" w:history="1">
              <w:r w:rsidRPr="00C60FC3">
                <w:rPr>
                  <w:rStyle w:val="Hyperlink"/>
                  <w:sz w:val="18"/>
                  <w:szCs w:val="18"/>
                  <w:lang w:val="es-ES_tradnl"/>
                </w:rPr>
                <w:t>http://www.upov.int/meetings/es/details.jsp?meeting_id=26104</w:t>
              </w:r>
            </w:hyperlink>
            <w:r w:rsidRPr="00C60FC3">
              <w:rPr>
                <w:sz w:val="18"/>
                <w:szCs w:val="18"/>
                <w:lang w:val="es-ES_tradnl"/>
              </w:rPr>
              <w:t>)</w:t>
            </w:r>
            <w:r w:rsidRPr="00C60FC3">
              <w:rPr>
                <w:rFonts w:cs="Arial"/>
                <w:sz w:val="18"/>
                <w:szCs w:val="18"/>
                <w:lang w:val="es-ES_tradnl"/>
              </w:rPr>
              <w:t xml:space="preserve"> </w:t>
            </w:r>
          </w:p>
          <w:p w:rsidR="00B43D13" w:rsidRPr="00C60FC3" w:rsidRDefault="00B43D13" w:rsidP="00BF2668">
            <w:pPr>
              <w:spacing w:before="120"/>
              <w:ind w:left="602" w:right="176" w:hanging="318"/>
              <w:jc w:val="left"/>
              <w:rPr>
                <w:rFonts w:cs="Arial"/>
                <w:sz w:val="18"/>
                <w:szCs w:val="18"/>
                <w:lang w:val="es-ES_tradnl"/>
              </w:rPr>
            </w:pPr>
            <w:r w:rsidRPr="00C60FC3">
              <w:rPr>
                <w:rFonts w:cs="Arial"/>
                <w:sz w:val="18"/>
                <w:szCs w:val="18"/>
                <w:lang w:val="es-ES_tradnl"/>
              </w:rPr>
              <w:t>-</w:t>
            </w:r>
            <w:r w:rsidRPr="00C60FC3">
              <w:rPr>
                <w:rFonts w:cs="Arial"/>
                <w:sz w:val="18"/>
                <w:szCs w:val="18"/>
                <w:lang w:val="es-ES_tradnl"/>
              </w:rPr>
              <w:tab/>
              <w:t>cinco comunicados de prensa</w:t>
            </w:r>
          </w:p>
          <w:p w:rsidR="00B43D13" w:rsidRPr="00C60FC3" w:rsidRDefault="00B43D13" w:rsidP="00BF2668">
            <w:pPr>
              <w:ind w:right="459"/>
              <w:jc w:val="left"/>
              <w:rPr>
                <w:rFonts w:cs="Arial"/>
                <w:sz w:val="18"/>
                <w:szCs w:val="18"/>
                <w:lang w:val="es-ES_tradnl"/>
              </w:rPr>
            </w:pPr>
          </w:p>
          <w:p w:rsidR="00B43D13" w:rsidRPr="00C60FC3" w:rsidRDefault="00B43D13" w:rsidP="00BF2668">
            <w:pPr>
              <w:ind w:right="459"/>
              <w:jc w:val="left"/>
              <w:rPr>
                <w:rFonts w:cs="Arial"/>
                <w:sz w:val="18"/>
                <w:szCs w:val="18"/>
                <w:lang w:val="es-ES_tradnl"/>
              </w:rPr>
            </w:pPr>
          </w:p>
          <w:p w:rsidR="00B43D13" w:rsidRPr="00C60FC3" w:rsidRDefault="00B43D13" w:rsidP="00BF2668">
            <w:pPr>
              <w:pStyle w:val="Heading8"/>
              <w:rPr>
                <w:lang w:val="es-ES_tradnl"/>
              </w:rPr>
            </w:pPr>
            <w:bookmarkStart w:id="154" w:name="_Toc368060369"/>
            <w:r w:rsidRPr="00C60FC3">
              <w:rPr>
                <w:lang w:val="es-ES_tradnl"/>
              </w:rPr>
              <w:t>b)  Visitas al sitio Web</w:t>
            </w:r>
            <w:bookmarkEnd w:id="154"/>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1228"/>
              <w:gridCol w:w="1228"/>
              <w:gridCol w:w="1229"/>
            </w:tblGrid>
            <w:tr w:rsidR="00B43D13" w:rsidRPr="00C60FC3" w:rsidTr="00CE6A57">
              <w:tc>
                <w:tcPr>
                  <w:tcW w:w="3544"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76"/>
                    <w:jc w:val="left"/>
                    <w:rPr>
                      <w:rFonts w:cs="Arial"/>
                      <w:sz w:val="18"/>
                      <w:szCs w:val="18"/>
                      <w:lang w:val="es-ES_tradnl"/>
                    </w:rPr>
                  </w:pP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jc w:val="center"/>
                    <w:rPr>
                      <w:rFonts w:cs="Arial"/>
                      <w:i/>
                      <w:sz w:val="18"/>
                      <w:szCs w:val="18"/>
                      <w:lang w:val="es-ES_tradnl"/>
                    </w:rPr>
                  </w:pPr>
                  <w:r w:rsidRPr="00C60FC3">
                    <w:rPr>
                      <w:rFonts w:cs="Arial"/>
                      <w:i/>
                      <w:sz w:val="18"/>
                      <w:szCs w:val="18"/>
                      <w:lang w:val="es-ES_tradnl"/>
                    </w:rPr>
                    <w:t>2012</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jc w:val="center"/>
                    <w:rPr>
                      <w:rFonts w:cs="Arial"/>
                      <w:i/>
                      <w:sz w:val="18"/>
                      <w:szCs w:val="18"/>
                      <w:lang w:val="es-ES_tradnl"/>
                    </w:rPr>
                  </w:pPr>
                  <w:r w:rsidRPr="00C60FC3">
                    <w:rPr>
                      <w:rFonts w:cs="Arial"/>
                      <w:i/>
                      <w:sz w:val="18"/>
                      <w:szCs w:val="18"/>
                      <w:lang w:val="es-ES_tradnl"/>
                    </w:rPr>
                    <w:t>2011</w:t>
                  </w:r>
                </w:p>
              </w:tc>
              <w:tc>
                <w:tcPr>
                  <w:tcW w:w="1229"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jc w:val="center"/>
                    <w:rPr>
                      <w:rFonts w:cs="Arial"/>
                      <w:i/>
                      <w:sz w:val="18"/>
                      <w:szCs w:val="18"/>
                      <w:lang w:val="es-ES_tradnl"/>
                    </w:rPr>
                  </w:pPr>
                  <w:r w:rsidRPr="00C60FC3">
                    <w:rPr>
                      <w:rFonts w:cs="Arial"/>
                      <w:i/>
                      <w:sz w:val="18"/>
                      <w:szCs w:val="18"/>
                      <w:lang w:val="es-ES_tradnl"/>
                    </w:rPr>
                    <w:t>2010</w:t>
                  </w:r>
                </w:p>
              </w:tc>
            </w:tr>
            <w:tr w:rsidR="00B43D13" w:rsidRPr="00C60FC3" w:rsidTr="00CE6A57">
              <w:tc>
                <w:tcPr>
                  <w:tcW w:w="3544"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76"/>
                    <w:jc w:val="left"/>
                    <w:rPr>
                      <w:rFonts w:cs="Arial"/>
                      <w:sz w:val="18"/>
                      <w:szCs w:val="18"/>
                      <w:lang w:val="es-ES_tradnl"/>
                    </w:rPr>
                  </w:pPr>
                  <w:r w:rsidRPr="00C60FC3">
                    <w:rPr>
                      <w:rFonts w:cs="Arial"/>
                      <w:sz w:val="18"/>
                      <w:szCs w:val="18"/>
                      <w:lang w:val="es-ES_tradnl"/>
                    </w:rPr>
                    <w:t xml:space="preserve">Número de visitas: </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151.914</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140.371</w:t>
                  </w:r>
                </w:p>
              </w:tc>
              <w:tc>
                <w:tcPr>
                  <w:tcW w:w="1229"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118.895</w:t>
                  </w:r>
                </w:p>
              </w:tc>
            </w:tr>
            <w:tr w:rsidR="00B43D13" w:rsidRPr="00C60FC3" w:rsidTr="00CE6A57">
              <w:tc>
                <w:tcPr>
                  <w:tcW w:w="3544"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76"/>
                    <w:jc w:val="left"/>
                    <w:rPr>
                      <w:rFonts w:cs="Arial"/>
                      <w:sz w:val="18"/>
                      <w:szCs w:val="18"/>
                      <w:lang w:val="es-ES_tradnl"/>
                    </w:rPr>
                  </w:pPr>
                  <w:r w:rsidRPr="00C60FC3">
                    <w:rPr>
                      <w:rFonts w:cs="Arial"/>
                      <w:sz w:val="18"/>
                      <w:szCs w:val="18"/>
                      <w:lang w:val="es-ES_tradnl"/>
                    </w:rPr>
                    <w:t>Visitantes distintos:</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71.506</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75.673</w:t>
                  </w:r>
                </w:p>
              </w:tc>
              <w:tc>
                <w:tcPr>
                  <w:tcW w:w="1229"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62.758</w:t>
                  </w:r>
                </w:p>
              </w:tc>
            </w:tr>
            <w:tr w:rsidR="00B43D13" w:rsidRPr="00C60FC3" w:rsidTr="00CE6A57">
              <w:tc>
                <w:tcPr>
                  <w:tcW w:w="3544"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76"/>
                    <w:jc w:val="left"/>
                    <w:rPr>
                      <w:rFonts w:cs="Arial"/>
                      <w:sz w:val="18"/>
                      <w:szCs w:val="18"/>
                      <w:lang w:val="es-ES_tradnl"/>
                    </w:rPr>
                  </w:pPr>
                  <w:r w:rsidRPr="00C60FC3">
                    <w:rPr>
                      <w:rFonts w:cs="Arial"/>
                      <w:sz w:val="18"/>
                      <w:szCs w:val="18"/>
                      <w:lang w:val="es-ES_tradnl"/>
                    </w:rPr>
                    <w:t>Número de visitas de páginas distintas:</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1.139.570</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798.942</w:t>
                  </w:r>
                </w:p>
              </w:tc>
              <w:tc>
                <w:tcPr>
                  <w:tcW w:w="1229"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656.722</w:t>
                  </w:r>
                </w:p>
              </w:tc>
            </w:tr>
            <w:tr w:rsidR="00B43D13" w:rsidRPr="00C60FC3" w:rsidTr="00CE6A57">
              <w:tc>
                <w:tcPr>
                  <w:tcW w:w="3544"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76"/>
                    <w:jc w:val="left"/>
                    <w:rPr>
                      <w:rFonts w:cs="Arial"/>
                      <w:sz w:val="18"/>
                      <w:szCs w:val="18"/>
                      <w:lang w:val="es-ES_tradnl"/>
                    </w:rPr>
                  </w:pPr>
                  <w:r w:rsidRPr="00C60FC3">
                    <w:rPr>
                      <w:rFonts w:cs="Arial"/>
                      <w:sz w:val="18"/>
                      <w:szCs w:val="18"/>
                      <w:lang w:val="es-ES_tradnl"/>
                    </w:rPr>
                    <w:t>Número de páginas por visita:</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7,50</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5,69</w:t>
                  </w:r>
                </w:p>
              </w:tc>
              <w:tc>
                <w:tcPr>
                  <w:tcW w:w="1229"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5,52</w:t>
                  </w:r>
                </w:p>
              </w:tc>
            </w:tr>
            <w:tr w:rsidR="00B43D13" w:rsidRPr="00C60FC3" w:rsidTr="00CE6A57">
              <w:tc>
                <w:tcPr>
                  <w:tcW w:w="3544"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76"/>
                    <w:jc w:val="left"/>
                    <w:rPr>
                      <w:rFonts w:cs="Arial"/>
                      <w:sz w:val="18"/>
                      <w:szCs w:val="18"/>
                      <w:lang w:val="es-ES_tradnl"/>
                    </w:rPr>
                  </w:pPr>
                  <w:r w:rsidRPr="00C60FC3">
                    <w:rPr>
                      <w:rFonts w:cs="Arial"/>
                      <w:sz w:val="18"/>
                      <w:szCs w:val="18"/>
                      <w:lang w:val="es-ES_tradnl"/>
                    </w:rPr>
                    <w:t>Duración media de la visita:</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00:07:19</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00:04:41</w:t>
                  </w:r>
                </w:p>
              </w:tc>
              <w:tc>
                <w:tcPr>
                  <w:tcW w:w="1229"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00:04:12</w:t>
                  </w:r>
                </w:p>
              </w:tc>
            </w:tr>
            <w:tr w:rsidR="00B43D13" w:rsidRPr="00C60FC3" w:rsidTr="00CE6A57">
              <w:tc>
                <w:tcPr>
                  <w:tcW w:w="3544"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rPr>
                      <w:rFonts w:cs="Arial"/>
                      <w:sz w:val="18"/>
                      <w:szCs w:val="18"/>
                      <w:lang w:val="es-ES_tradnl"/>
                    </w:rPr>
                  </w:pPr>
                  <w:r w:rsidRPr="00C60FC3">
                    <w:rPr>
                      <w:rFonts w:cs="Arial"/>
                      <w:sz w:val="18"/>
                      <w:szCs w:val="18"/>
                      <w:lang w:val="es-ES_tradnl"/>
                    </w:rPr>
                    <w:t>Porcentaje de nuevas visitas:</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45,05%</w:t>
                  </w:r>
                </w:p>
              </w:tc>
              <w:tc>
                <w:tcPr>
                  <w:tcW w:w="1228"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51,91%</w:t>
                  </w:r>
                </w:p>
              </w:tc>
              <w:tc>
                <w:tcPr>
                  <w:tcW w:w="1229" w:type="dxa"/>
                  <w:tcBorders>
                    <w:top w:val="single" w:sz="4" w:space="0" w:color="auto"/>
                    <w:left w:val="single" w:sz="4" w:space="0" w:color="auto"/>
                    <w:bottom w:val="single" w:sz="4" w:space="0" w:color="auto"/>
                    <w:right w:val="single" w:sz="4" w:space="0" w:color="auto"/>
                  </w:tcBorders>
                  <w:tcMar>
                    <w:top w:w="28" w:type="dxa"/>
                    <w:bottom w:w="0" w:type="dxa"/>
                  </w:tcMar>
                </w:tcPr>
                <w:p w:rsidR="00B43D13" w:rsidRPr="00C60FC3" w:rsidRDefault="00B43D13" w:rsidP="00BF2668">
                  <w:pPr>
                    <w:ind w:right="113"/>
                    <w:jc w:val="right"/>
                    <w:rPr>
                      <w:rFonts w:cs="Arial"/>
                      <w:sz w:val="18"/>
                      <w:szCs w:val="18"/>
                      <w:lang w:val="es-ES_tradnl"/>
                    </w:rPr>
                  </w:pPr>
                  <w:r w:rsidRPr="00C60FC3">
                    <w:rPr>
                      <w:rFonts w:cs="Arial"/>
                      <w:sz w:val="18"/>
                      <w:szCs w:val="18"/>
                      <w:lang w:val="es-ES_tradnl"/>
                    </w:rPr>
                    <w:t>50,57%</w:t>
                  </w:r>
                </w:p>
              </w:tc>
            </w:tr>
          </w:tbl>
          <w:p w:rsidR="00B43D13" w:rsidRPr="00C60FC3" w:rsidRDefault="00B43D13" w:rsidP="00BF2668">
            <w:pPr>
              <w:tabs>
                <w:tab w:val="right" w:pos="3720"/>
                <w:tab w:val="left" w:pos="4003"/>
              </w:tabs>
              <w:ind w:left="602" w:right="176" w:hanging="318"/>
              <w:jc w:val="left"/>
              <w:rPr>
                <w:rFonts w:cs="Arial"/>
                <w:sz w:val="18"/>
                <w:szCs w:val="18"/>
                <w:lang w:val="es-ES_tradnl"/>
              </w:rPr>
            </w:pPr>
          </w:p>
          <w:p w:rsidR="00B43D13" w:rsidRPr="00C60FC3" w:rsidRDefault="00B43D13" w:rsidP="00BF2668">
            <w:pPr>
              <w:tabs>
                <w:tab w:val="right" w:pos="3720"/>
                <w:tab w:val="left" w:pos="4003"/>
              </w:tabs>
              <w:ind w:left="602" w:right="176" w:hanging="318"/>
              <w:jc w:val="left"/>
              <w:rPr>
                <w:sz w:val="18"/>
                <w:szCs w:val="18"/>
                <w:lang w:val="es-ES_tradnl"/>
              </w:rPr>
            </w:pPr>
          </w:p>
        </w:tc>
      </w:tr>
    </w:tbl>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rPr>
          <w:lang w:val="es-ES_tradnl"/>
        </w:rPr>
      </w:pPr>
      <w:r w:rsidRPr="00C60FC3">
        <w:rPr>
          <w:lang w:val="es-ES_tradnl"/>
        </w:rPr>
        <w:br w:type="page"/>
      </w:r>
    </w:p>
    <w:tbl>
      <w:tblPr>
        <w:tblW w:w="9889" w:type="dxa"/>
        <w:tblLayout w:type="fixed"/>
        <w:tblLook w:val="0000" w:firstRow="0" w:lastRow="0" w:firstColumn="0" w:lastColumn="0" w:noHBand="0" w:noVBand="0"/>
      </w:tblPr>
      <w:tblGrid>
        <w:gridCol w:w="2093"/>
        <w:gridCol w:w="7796"/>
      </w:tblGrid>
      <w:tr w:rsidR="00B43D13" w:rsidRPr="00C60FC3" w:rsidTr="0091418C">
        <w:trPr>
          <w:tblHeader/>
        </w:trPr>
        <w:tc>
          <w:tcPr>
            <w:tcW w:w="2093" w:type="dxa"/>
          </w:tcPr>
          <w:p w:rsidR="00B43D13" w:rsidRPr="00C60FC3" w:rsidRDefault="00B43D13" w:rsidP="00BF2668">
            <w:pPr>
              <w:spacing w:after="120"/>
              <w:rPr>
                <w:b/>
                <w:sz w:val="18"/>
                <w:szCs w:val="18"/>
                <w:lang w:val="es-ES_tradnl"/>
              </w:rPr>
            </w:pPr>
            <w:r w:rsidRPr="00C60FC3">
              <w:rPr>
                <w:b/>
                <w:sz w:val="18"/>
                <w:szCs w:val="18"/>
                <w:lang w:val="es-ES_tradnl"/>
              </w:rPr>
              <w:t>Resultados previstos</w:t>
            </w:r>
          </w:p>
        </w:tc>
        <w:tc>
          <w:tcPr>
            <w:tcW w:w="7796" w:type="dxa"/>
          </w:tcPr>
          <w:p w:rsidR="00B43D13" w:rsidRPr="00C60FC3" w:rsidRDefault="00B43D13" w:rsidP="00BF2668">
            <w:pPr>
              <w:spacing w:after="240"/>
              <w:rPr>
                <w:b/>
                <w:sz w:val="18"/>
                <w:szCs w:val="18"/>
                <w:lang w:val="es-ES_tradnl"/>
              </w:rPr>
            </w:pPr>
            <w:r w:rsidRPr="00C60FC3">
              <w:rPr>
                <w:b/>
                <w:sz w:val="18"/>
                <w:szCs w:val="18"/>
                <w:lang w:val="es-ES_tradnl"/>
              </w:rPr>
              <w:t>Resultados alcanzados:  indicadores de rendimiento</w:t>
            </w:r>
          </w:p>
        </w:tc>
      </w:tr>
      <w:tr w:rsidR="00B43D13" w:rsidRPr="00C60FC3" w:rsidTr="0091418C">
        <w:tc>
          <w:tcPr>
            <w:tcW w:w="2093" w:type="dxa"/>
          </w:tcPr>
          <w:p w:rsidR="00B43D13" w:rsidRPr="00C60FC3" w:rsidRDefault="00B43D13" w:rsidP="00BF2668">
            <w:pPr>
              <w:jc w:val="left"/>
              <w:rPr>
                <w:sz w:val="18"/>
                <w:szCs w:val="18"/>
                <w:lang w:val="es-ES_tradnl"/>
              </w:rPr>
            </w:pPr>
            <w:r w:rsidRPr="00C60FC3">
              <w:rPr>
                <w:i/>
                <w:sz w:val="18"/>
                <w:szCs w:val="18"/>
                <w:lang w:val="es-ES_tradnl"/>
              </w:rPr>
              <w:t>1.  Mejora de la comprensión del público acerca de la función y las actividades de la UPOV</w:t>
            </w:r>
            <w:r w:rsidRPr="00C60FC3">
              <w:rPr>
                <w:sz w:val="18"/>
                <w:szCs w:val="18"/>
                <w:lang w:val="es-ES_tradnl"/>
              </w:rPr>
              <w:t xml:space="preserve"> (continuación)</w:t>
            </w:r>
          </w:p>
        </w:tc>
        <w:tc>
          <w:tcPr>
            <w:tcW w:w="7796" w:type="dxa"/>
          </w:tcPr>
          <w:p w:rsidR="00B43D13" w:rsidRPr="00C60FC3" w:rsidRDefault="00B43D13" w:rsidP="00BF2668">
            <w:pPr>
              <w:tabs>
                <w:tab w:val="right" w:pos="3720"/>
                <w:tab w:val="left" w:pos="4003"/>
              </w:tabs>
              <w:ind w:left="602" w:right="176" w:hanging="318"/>
              <w:jc w:val="left"/>
              <w:rPr>
                <w:rFonts w:cs="Arial"/>
                <w:i/>
                <w:sz w:val="18"/>
                <w:szCs w:val="18"/>
                <w:lang w:val="es-ES_tradnl"/>
              </w:rPr>
            </w:pPr>
            <w:r w:rsidRPr="00C60FC3">
              <w:rPr>
                <w:rFonts w:cs="Arial"/>
                <w:i/>
                <w:sz w:val="18"/>
                <w:szCs w:val="18"/>
                <w:lang w:val="es-ES_tradnl"/>
              </w:rPr>
              <w:t>Número de visitas por idioma seleccionado en el navegador del visitante</w:t>
            </w:r>
            <w:r w:rsidRPr="00C60FC3">
              <w:rPr>
                <w:rFonts w:cs="Arial"/>
                <w:i/>
                <w:sz w:val="18"/>
                <w:szCs w:val="18"/>
                <w:lang w:val="es-ES_tradnl"/>
              </w:rPr>
              <w:br/>
              <w:t>(los diez principales en 2012):</w:t>
            </w:r>
          </w:p>
          <w:p w:rsidR="00B43D13" w:rsidRPr="00C60FC3" w:rsidRDefault="00B43D13" w:rsidP="00BF2668">
            <w:pPr>
              <w:tabs>
                <w:tab w:val="right" w:pos="3720"/>
                <w:tab w:val="left" w:pos="4003"/>
              </w:tabs>
              <w:ind w:left="602" w:right="176" w:hanging="318"/>
              <w:jc w:val="left"/>
              <w:rPr>
                <w:rFonts w:cs="Arial"/>
                <w:sz w:val="18"/>
                <w:szCs w:val="18"/>
                <w:lang w:val="es-ES_tradnl"/>
              </w:rPr>
            </w:pPr>
          </w:p>
          <w:tbl>
            <w:tblPr>
              <w:tblW w:w="7330"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907"/>
              <w:gridCol w:w="767"/>
              <w:gridCol w:w="927"/>
              <w:gridCol w:w="767"/>
              <w:gridCol w:w="927"/>
              <w:gridCol w:w="767"/>
            </w:tblGrid>
            <w:tr w:rsidR="00B43D13" w:rsidRPr="00C60FC3" w:rsidTr="002241CD">
              <w:tc>
                <w:tcPr>
                  <w:tcW w:w="2268" w:type="dxa"/>
                  <w:vMerge w:val="restart"/>
                  <w:tcBorders>
                    <w:top w:val="single" w:sz="4" w:space="0" w:color="auto"/>
                    <w:left w:val="single" w:sz="4" w:space="0" w:color="auto"/>
                    <w:bottom w:val="single" w:sz="4" w:space="0" w:color="auto"/>
                    <w:right w:val="single" w:sz="4" w:space="0" w:color="auto"/>
                  </w:tcBorders>
                </w:tcPr>
                <w:p w:rsidR="00B43D13" w:rsidRPr="00C60FC3" w:rsidRDefault="00B43D13" w:rsidP="00BF2668">
                  <w:pPr>
                    <w:tabs>
                      <w:tab w:val="right" w:pos="3720"/>
                      <w:tab w:val="left" w:pos="4003"/>
                    </w:tabs>
                    <w:jc w:val="left"/>
                    <w:rPr>
                      <w:rFonts w:cs="Arial"/>
                      <w:sz w:val="18"/>
                      <w:szCs w:val="18"/>
                      <w:lang w:val="es-ES_tradnl"/>
                    </w:rPr>
                  </w:pPr>
                  <w:r w:rsidRPr="00C60FC3">
                    <w:rPr>
                      <w:rFonts w:cs="Arial"/>
                      <w:sz w:val="18"/>
                      <w:szCs w:val="18"/>
                      <w:lang w:val="es-ES_tradnl"/>
                    </w:rPr>
                    <w:t>Idioma del navegador</w:t>
                  </w:r>
                  <w:r w:rsidRPr="00C60FC3">
                    <w:rPr>
                      <w:rFonts w:cs="Arial"/>
                      <w:sz w:val="18"/>
                      <w:szCs w:val="18"/>
                      <w:lang w:val="es-ES_tradnl"/>
                    </w:rPr>
                    <w:br/>
                    <w:t>del visitante</w:t>
                  </w:r>
                </w:p>
              </w:tc>
              <w:tc>
                <w:tcPr>
                  <w:tcW w:w="1674" w:type="dxa"/>
                  <w:gridSpan w:val="2"/>
                  <w:tcBorders>
                    <w:top w:val="single" w:sz="4" w:space="0" w:color="auto"/>
                    <w:left w:val="single" w:sz="4" w:space="0" w:color="auto"/>
                    <w:bottom w:val="single" w:sz="4" w:space="0" w:color="auto"/>
                    <w:right w:val="single" w:sz="4" w:space="0" w:color="auto"/>
                  </w:tcBorders>
                </w:tcPr>
                <w:p w:rsidR="00B43D13" w:rsidRPr="00C60FC3" w:rsidRDefault="00B43D13" w:rsidP="00BF2668">
                  <w:pPr>
                    <w:tabs>
                      <w:tab w:val="right" w:pos="3720"/>
                      <w:tab w:val="left" w:pos="4003"/>
                    </w:tabs>
                    <w:jc w:val="center"/>
                    <w:rPr>
                      <w:rFonts w:cs="Arial"/>
                      <w:sz w:val="18"/>
                      <w:szCs w:val="18"/>
                      <w:lang w:val="es-ES_tradnl"/>
                    </w:rPr>
                  </w:pPr>
                  <w:r w:rsidRPr="00C60FC3">
                    <w:rPr>
                      <w:rFonts w:cs="Arial"/>
                      <w:sz w:val="18"/>
                      <w:szCs w:val="18"/>
                      <w:lang w:val="es-ES_tradnl"/>
                    </w:rPr>
                    <w:t>2012</w:t>
                  </w:r>
                </w:p>
              </w:tc>
              <w:tc>
                <w:tcPr>
                  <w:tcW w:w="1694" w:type="dxa"/>
                  <w:gridSpan w:val="2"/>
                  <w:tcBorders>
                    <w:top w:val="single" w:sz="4" w:space="0" w:color="auto"/>
                    <w:left w:val="single" w:sz="4" w:space="0" w:color="auto"/>
                    <w:bottom w:val="single" w:sz="4" w:space="0" w:color="auto"/>
                    <w:right w:val="single" w:sz="4" w:space="0" w:color="auto"/>
                  </w:tcBorders>
                  <w:tcMar>
                    <w:top w:w="28" w:type="dxa"/>
                    <w:bottom w:w="28" w:type="dxa"/>
                  </w:tcMar>
                </w:tcPr>
                <w:p w:rsidR="00B43D13" w:rsidRPr="00C60FC3" w:rsidRDefault="00B43D13" w:rsidP="00BF2668">
                  <w:pPr>
                    <w:tabs>
                      <w:tab w:val="right" w:pos="3720"/>
                      <w:tab w:val="left" w:pos="4003"/>
                    </w:tabs>
                    <w:jc w:val="center"/>
                    <w:rPr>
                      <w:rFonts w:cs="Arial"/>
                      <w:sz w:val="18"/>
                      <w:szCs w:val="18"/>
                      <w:lang w:val="es-ES_tradnl"/>
                    </w:rPr>
                  </w:pPr>
                  <w:r w:rsidRPr="00C60FC3">
                    <w:rPr>
                      <w:rFonts w:cs="Arial"/>
                      <w:sz w:val="18"/>
                      <w:szCs w:val="18"/>
                      <w:lang w:val="es-ES_tradnl"/>
                    </w:rPr>
                    <w:t>2011</w:t>
                  </w:r>
                </w:p>
              </w:tc>
              <w:tc>
                <w:tcPr>
                  <w:tcW w:w="1694" w:type="dxa"/>
                  <w:gridSpan w:val="2"/>
                  <w:tcBorders>
                    <w:top w:val="single" w:sz="4" w:space="0" w:color="auto"/>
                    <w:left w:val="single" w:sz="4" w:space="0" w:color="auto"/>
                    <w:bottom w:val="single" w:sz="4" w:space="0" w:color="auto"/>
                    <w:right w:val="single" w:sz="4" w:space="0" w:color="auto"/>
                  </w:tcBorders>
                  <w:tcMar>
                    <w:top w:w="28" w:type="dxa"/>
                    <w:bottom w:w="28" w:type="dxa"/>
                  </w:tcMar>
                </w:tcPr>
                <w:p w:rsidR="00B43D13" w:rsidRPr="00C60FC3" w:rsidRDefault="00B43D13" w:rsidP="00BF2668">
                  <w:pPr>
                    <w:tabs>
                      <w:tab w:val="right" w:pos="3720"/>
                      <w:tab w:val="left" w:pos="4003"/>
                    </w:tabs>
                    <w:jc w:val="center"/>
                    <w:rPr>
                      <w:rFonts w:cs="Arial"/>
                      <w:sz w:val="18"/>
                      <w:szCs w:val="18"/>
                      <w:lang w:val="es-ES_tradnl"/>
                    </w:rPr>
                  </w:pPr>
                  <w:r w:rsidRPr="00C60FC3">
                    <w:rPr>
                      <w:rFonts w:cs="Arial"/>
                      <w:sz w:val="18"/>
                      <w:szCs w:val="18"/>
                      <w:lang w:val="es-ES_tradnl"/>
                    </w:rPr>
                    <w:t>2010</w:t>
                  </w:r>
                </w:p>
              </w:tc>
            </w:tr>
            <w:tr w:rsidR="00B43D13" w:rsidRPr="00C60FC3" w:rsidTr="002241CD">
              <w:tc>
                <w:tcPr>
                  <w:tcW w:w="2268" w:type="dxa"/>
                  <w:vMerge/>
                  <w:tcBorders>
                    <w:top w:val="single" w:sz="4" w:space="0" w:color="auto"/>
                    <w:left w:val="single" w:sz="4" w:space="0" w:color="auto"/>
                    <w:bottom w:val="single" w:sz="4" w:space="0" w:color="auto"/>
                    <w:right w:val="single" w:sz="4" w:space="0" w:color="auto"/>
                  </w:tcBorders>
                </w:tcPr>
                <w:p w:rsidR="00B43D13" w:rsidRPr="00C60FC3" w:rsidRDefault="00B43D13" w:rsidP="00BF2668">
                  <w:pPr>
                    <w:tabs>
                      <w:tab w:val="right" w:pos="3720"/>
                      <w:tab w:val="left" w:pos="4003"/>
                    </w:tabs>
                    <w:jc w:val="left"/>
                    <w:rPr>
                      <w:rFonts w:cs="Arial"/>
                      <w:sz w:val="18"/>
                      <w:szCs w:val="18"/>
                      <w:lang w:val="es-ES_tradnl"/>
                    </w:rPr>
                  </w:pPr>
                </w:p>
              </w:tc>
              <w:tc>
                <w:tcPr>
                  <w:tcW w:w="907"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tabs>
                      <w:tab w:val="right" w:pos="3720"/>
                      <w:tab w:val="left" w:pos="4003"/>
                    </w:tabs>
                    <w:jc w:val="center"/>
                    <w:rPr>
                      <w:rFonts w:cs="Arial"/>
                      <w:dstrike/>
                      <w:sz w:val="18"/>
                      <w:szCs w:val="18"/>
                      <w:lang w:val="es-ES_tradnl"/>
                    </w:rPr>
                  </w:pPr>
                  <w:r w:rsidRPr="00C60FC3">
                    <w:rPr>
                      <w:rFonts w:cs="Arial"/>
                      <w:sz w:val="18"/>
                      <w:szCs w:val="18"/>
                      <w:lang w:val="es-ES_tradnl"/>
                    </w:rPr>
                    <w:t>Visitas</w:t>
                  </w:r>
                </w:p>
              </w:tc>
              <w:tc>
                <w:tcPr>
                  <w:tcW w:w="767"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tabs>
                      <w:tab w:val="right" w:pos="3720"/>
                      <w:tab w:val="left" w:pos="4003"/>
                    </w:tabs>
                    <w:jc w:val="center"/>
                    <w:rPr>
                      <w:rFonts w:cs="Arial"/>
                      <w:dstrike/>
                      <w:sz w:val="18"/>
                      <w:szCs w:val="18"/>
                      <w:lang w:val="es-ES_tradnl"/>
                    </w:rPr>
                  </w:pPr>
                  <w:r w:rsidRPr="00C60FC3">
                    <w:rPr>
                      <w:rFonts w:cs="Arial"/>
                      <w:sz w:val="18"/>
                      <w:szCs w:val="18"/>
                      <w:lang w:val="es-ES_tradnl"/>
                    </w:rPr>
                    <w:t>%</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tcPr>
                <w:p w:rsidR="00B43D13" w:rsidRPr="00C60FC3" w:rsidRDefault="00B43D13" w:rsidP="00BF2668">
                  <w:pPr>
                    <w:tabs>
                      <w:tab w:val="right" w:pos="3720"/>
                      <w:tab w:val="left" w:pos="4003"/>
                    </w:tabs>
                    <w:jc w:val="center"/>
                    <w:rPr>
                      <w:rFonts w:cs="Arial"/>
                      <w:dstrike/>
                      <w:sz w:val="18"/>
                      <w:szCs w:val="18"/>
                      <w:lang w:val="es-ES_tradnl"/>
                    </w:rPr>
                  </w:pPr>
                  <w:r w:rsidRPr="00C60FC3">
                    <w:rPr>
                      <w:rFonts w:cs="Arial"/>
                      <w:sz w:val="18"/>
                      <w:szCs w:val="18"/>
                      <w:lang w:val="es-ES_tradnl"/>
                    </w:rPr>
                    <w:t>Visitas</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tcPr>
                <w:p w:rsidR="00B43D13" w:rsidRPr="00C60FC3" w:rsidRDefault="00B43D13" w:rsidP="00BF2668">
                  <w:pPr>
                    <w:tabs>
                      <w:tab w:val="right" w:pos="3720"/>
                      <w:tab w:val="left" w:pos="4003"/>
                    </w:tabs>
                    <w:jc w:val="center"/>
                    <w:rPr>
                      <w:rFonts w:cs="Arial"/>
                      <w:dstrike/>
                      <w:sz w:val="18"/>
                      <w:szCs w:val="18"/>
                      <w:lang w:val="es-ES_tradnl"/>
                    </w:rPr>
                  </w:pPr>
                  <w:r w:rsidRPr="00C60FC3">
                    <w:rPr>
                      <w:rFonts w:cs="Arial"/>
                      <w:sz w:val="18"/>
                      <w:szCs w:val="18"/>
                      <w:lang w:val="es-ES_tradnl"/>
                    </w:rPr>
                    <w:t>%</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tcPr>
                <w:p w:rsidR="00B43D13" w:rsidRPr="00C60FC3" w:rsidRDefault="00B43D13" w:rsidP="00BF2668">
                  <w:pPr>
                    <w:tabs>
                      <w:tab w:val="right" w:pos="3720"/>
                      <w:tab w:val="left" w:pos="4003"/>
                    </w:tabs>
                    <w:jc w:val="center"/>
                    <w:rPr>
                      <w:rFonts w:cs="Arial"/>
                      <w:dstrike/>
                      <w:sz w:val="18"/>
                      <w:szCs w:val="18"/>
                      <w:lang w:val="es-ES_tradnl"/>
                    </w:rPr>
                  </w:pPr>
                  <w:r w:rsidRPr="00C60FC3">
                    <w:rPr>
                      <w:rFonts w:cs="Arial"/>
                      <w:sz w:val="18"/>
                      <w:szCs w:val="18"/>
                      <w:lang w:val="es-ES_tradnl"/>
                    </w:rPr>
                    <w:t>Visitas</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tcPr>
                <w:p w:rsidR="00B43D13" w:rsidRPr="00C60FC3" w:rsidRDefault="00B43D13" w:rsidP="00BF2668">
                  <w:pPr>
                    <w:tabs>
                      <w:tab w:val="right" w:pos="3720"/>
                      <w:tab w:val="left" w:pos="4003"/>
                    </w:tabs>
                    <w:jc w:val="center"/>
                    <w:rPr>
                      <w:rFonts w:cs="Arial"/>
                      <w:sz w:val="18"/>
                      <w:szCs w:val="18"/>
                      <w:lang w:val="es-ES_tradnl"/>
                    </w:rPr>
                  </w:pPr>
                  <w:r w:rsidRPr="00C60FC3">
                    <w:rPr>
                      <w:rFonts w:cs="Arial"/>
                      <w:sz w:val="18"/>
                      <w:szCs w:val="18"/>
                      <w:lang w:val="es-ES_tradnl"/>
                    </w:rPr>
                    <w:t>%</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en-us</w:t>
                  </w:r>
                  <w:r w:rsidRPr="00C60FC3">
                    <w:rPr>
                      <w:rFonts w:cs="Arial"/>
                      <w:sz w:val="18"/>
                      <w:szCs w:val="18"/>
                      <w:lang w:val="es-ES_tradnl"/>
                    </w:rPr>
                    <w:br/>
                    <w:t>inglés (EE.UU.)</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57.341</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37,75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50.571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36,03</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46.527</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39,13</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es</w:t>
                  </w:r>
                  <w:r w:rsidRPr="00C60FC3">
                    <w:rPr>
                      <w:rFonts w:cs="Arial"/>
                      <w:sz w:val="18"/>
                      <w:szCs w:val="18"/>
                      <w:lang w:val="es-ES_tradnl"/>
                    </w:rPr>
                    <w:br/>
                    <w:t>español</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19.001</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12,51</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23.605</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16,82</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16.141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13,58</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fr</w:t>
                  </w:r>
                  <w:r w:rsidRPr="00C60FC3">
                    <w:rPr>
                      <w:rFonts w:cs="Arial"/>
                      <w:sz w:val="18"/>
                      <w:szCs w:val="18"/>
                      <w:lang w:val="es-ES_tradnl"/>
                    </w:rPr>
                    <w:br/>
                    <w:t>francés</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14.212</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9,36</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10.670</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7,60</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11.169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9,39</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ja</w:t>
                  </w:r>
                  <w:r w:rsidRPr="00C60FC3">
                    <w:rPr>
                      <w:rFonts w:cs="Arial"/>
                      <w:sz w:val="18"/>
                      <w:szCs w:val="18"/>
                      <w:lang w:val="es-ES_tradnl"/>
                    </w:rPr>
                    <w:br/>
                    <w:t>japonés</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7.562</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4,98</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6.387</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4,55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5.349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4,50</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es-es</w:t>
                  </w:r>
                  <w:r w:rsidRPr="00C60FC3">
                    <w:rPr>
                      <w:rFonts w:cs="Arial"/>
                      <w:sz w:val="18"/>
                      <w:szCs w:val="18"/>
                      <w:lang w:val="es-ES_tradnl"/>
                    </w:rPr>
                    <w:br/>
                    <w:t>español (España)</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5.698</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3,75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9.124</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6,50</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4.104</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3,45</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de</w:t>
                  </w:r>
                  <w:r w:rsidRPr="00C60FC3">
                    <w:rPr>
                      <w:rFonts w:cs="Arial"/>
                      <w:sz w:val="18"/>
                      <w:szCs w:val="18"/>
                      <w:lang w:val="es-ES_tradnl"/>
                    </w:rPr>
                    <w:br/>
                    <w:t>alemán</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4.562</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3,00</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5.577</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3,97</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7.068</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5,94</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nl</w:t>
                  </w:r>
                  <w:r w:rsidRPr="00C60FC3">
                    <w:rPr>
                      <w:rFonts w:cs="Arial"/>
                      <w:sz w:val="18"/>
                      <w:szCs w:val="18"/>
                      <w:lang w:val="es-ES_tradnl"/>
                    </w:rPr>
                    <w:br/>
                    <w:t>holandés</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4.152</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2,73</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2.742</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1,95</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2.671</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2,25</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ru</w:t>
                  </w:r>
                  <w:r w:rsidRPr="00C60FC3">
                    <w:rPr>
                      <w:rFonts w:cs="Arial"/>
                      <w:sz w:val="18"/>
                      <w:szCs w:val="18"/>
                      <w:lang w:val="es-ES_tradnl"/>
                    </w:rPr>
                    <w:br/>
                    <w:t>ruso</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3.630</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2,39</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3.168</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2,26</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2.509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2,11</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zh-cn</w:t>
                  </w:r>
                  <w:r w:rsidRPr="00C60FC3">
                    <w:rPr>
                      <w:rFonts w:cs="Arial"/>
                      <w:sz w:val="18"/>
                      <w:szCs w:val="18"/>
                      <w:lang w:val="es-ES_tradnl"/>
                    </w:rPr>
                    <w:br/>
                    <w:t>chino</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3.350</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2,21</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2.749</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1,96</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3.324</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2,80</w:t>
                  </w: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pStyle w:val="ListParagraph"/>
                    <w:numPr>
                      <w:ilvl w:val="0"/>
                      <w:numId w:val="43"/>
                    </w:numPr>
                    <w:tabs>
                      <w:tab w:val="left" w:pos="459"/>
                    </w:tabs>
                    <w:ind w:left="459" w:hanging="459"/>
                    <w:jc w:val="left"/>
                    <w:rPr>
                      <w:rFonts w:cs="Arial"/>
                      <w:sz w:val="18"/>
                      <w:szCs w:val="18"/>
                      <w:lang w:val="es-ES_tradnl"/>
                    </w:rPr>
                  </w:pPr>
                  <w:r w:rsidRPr="00C60FC3">
                    <w:rPr>
                      <w:rFonts w:cs="Arial"/>
                      <w:sz w:val="18"/>
                      <w:szCs w:val="18"/>
                      <w:lang w:val="es-ES_tradnl"/>
                    </w:rPr>
                    <w:t>ko</w:t>
                  </w:r>
                  <w:r w:rsidRPr="00C60FC3">
                    <w:rPr>
                      <w:rFonts w:cs="Arial"/>
                      <w:sz w:val="18"/>
                      <w:szCs w:val="18"/>
                      <w:lang w:val="es-ES_tradnl"/>
                    </w:rPr>
                    <w:br/>
                    <w:t>coreano</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3.169</w:t>
                  </w: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2,09</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2.543</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1,81</w:t>
                  </w: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p>
              </w:tc>
            </w:tr>
            <w:tr w:rsidR="00B43D13" w:rsidRPr="00C60FC3" w:rsidTr="002241CD">
              <w:tc>
                <w:tcPr>
                  <w:tcW w:w="2268" w:type="dxa"/>
                  <w:tcBorders>
                    <w:top w:val="single" w:sz="4" w:space="0" w:color="auto"/>
                    <w:left w:val="single" w:sz="4" w:space="0" w:color="auto"/>
                    <w:bottom w:val="single" w:sz="4" w:space="0" w:color="auto"/>
                    <w:right w:val="single" w:sz="4" w:space="0" w:color="auto"/>
                  </w:tcBorders>
                </w:tcPr>
                <w:p w:rsidR="00B43D13" w:rsidRPr="00C60FC3" w:rsidRDefault="00B43D13" w:rsidP="00BF2668">
                  <w:pPr>
                    <w:tabs>
                      <w:tab w:val="left" w:pos="459"/>
                      <w:tab w:val="right" w:pos="3720"/>
                      <w:tab w:val="left" w:pos="4003"/>
                    </w:tabs>
                    <w:jc w:val="left"/>
                    <w:rPr>
                      <w:rFonts w:cs="Arial"/>
                      <w:sz w:val="18"/>
                      <w:szCs w:val="18"/>
                      <w:lang w:val="es-ES_tradnl"/>
                    </w:rPr>
                  </w:pPr>
                  <w:r w:rsidRPr="00C60FC3">
                    <w:rPr>
                      <w:rFonts w:cs="Arial"/>
                      <w:sz w:val="18"/>
                      <w:szCs w:val="18"/>
                      <w:lang w:val="es-ES_tradnl"/>
                    </w:rPr>
                    <w:tab/>
                    <w:t>it</w:t>
                  </w:r>
                  <w:r w:rsidRPr="00C60FC3">
                    <w:rPr>
                      <w:rFonts w:cs="Arial"/>
                      <w:sz w:val="18"/>
                      <w:szCs w:val="18"/>
                      <w:lang w:val="es-ES_tradnl"/>
                    </w:rPr>
                    <w:br/>
                  </w:r>
                  <w:r w:rsidRPr="00C60FC3">
                    <w:rPr>
                      <w:rFonts w:cs="Arial"/>
                      <w:sz w:val="18"/>
                      <w:szCs w:val="18"/>
                      <w:lang w:val="es-ES_tradnl"/>
                    </w:rPr>
                    <w:tab/>
                    <w:t>italiano</w:t>
                  </w:r>
                </w:p>
              </w:tc>
              <w:tc>
                <w:tcPr>
                  <w:tcW w:w="90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p>
              </w:tc>
              <w:tc>
                <w:tcPr>
                  <w:tcW w:w="767" w:type="dxa"/>
                  <w:tcBorders>
                    <w:top w:val="single" w:sz="4" w:space="0" w:color="auto"/>
                    <w:left w:val="single" w:sz="4" w:space="0" w:color="auto"/>
                    <w:bottom w:val="single" w:sz="4" w:space="0" w:color="auto"/>
                    <w:right w:val="single" w:sz="4" w:space="0" w:color="auto"/>
                  </w:tcBorders>
                  <w:vAlign w:val="bottom"/>
                </w:tcPr>
                <w:p w:rsidR="00B43D13" w:rsidRPr="00C60FC3" w:rsidRDefault="00B43D13" w:rsidP="00BF2668">
                  <w:pPr>
                    <w:tabs>
                      <w:tab w:val="right" w:pos="3720"/>
                      <w:tab w:val="left" w:pos="4003"/>
                    </w:tabs>
                    <w:jc w:val="right"/>
                    <w:rPr>
                      <w:rFonts w:cs="Arial"/>
                      <w:sz w:val="18"/>
                      <w:szCs w:val="18"/>
                      <w:lang w:val="es-ES_tradnl"/>
                    </w:rPr>
                  </w:pP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p>
              </w:tc>
              <w:tc>
                <w:tcPr>
                  <w:tcW w:w="92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2.198</w:t>
                  </w:r>
                </w:p>
              </w:tc>
              <w:tc>
                <w:tcPr>
                  <w:tcW w:w="767" w:type="dxa"/>
                  <w:tcBorders>
                    <w:top w:val="single" w:sz="4" w:space="0" w:color="auto"/>
                    <w:left w:val="single" w:sz="4" w:space="0" w:color="auto"/>
                    <w:bottom w:val="single" w:sz="4" w:space="0" w:color="auto"/>
                    <w:right w:val="single" w:sz="4" w:space="0" w:color="auto"/>
                  </w:tcBorders>
                  <w:tcMar>
                    <w:top w:w="28" w:type="dxa"/>
                    <w:bottom w:w="28" w:type="dxa"/>
                  </w:tcMar>
                  <w:vAlign w:val="bottom"/>
                </w:tcPr>
                <w:p w:rsidR="00B43D13" w:rsidRPr="00C60FC3" w:rsidRDefault="00B43D13" w:rsidP="00BF2668">
                  <w:pPr>
                    <w:tabs>
                      <w:tab w:val="right" w:pos="3720"/>
                      <w:tab w:val="left" w:pos="4003"/>
                    </w:tabs>
                    <w:jc w:val="right"/>
                    <w:rPr>
                      <w:rFonts w:cs="Arial"/>
                      <w:sz w:val="18"/>
                      <w:szCs w:val="18"/>
                      <w:lang w:val="es-ES_tradnl"/>
                    </w:rPr>
                  </w:pPr>
                  <w:r w:rsidRPr="00C60FC3">
                    <w:rPr>
                      <w:rFonts w:cs="Arial"/>
                      <w:sz w:val="18"/>
                      <w:szCs w:val="18"/>
                      <w:lang w:val="es-ES_tradnl"/>
                    </w:rPr>
                    <w:t>1,85</w:t>
                  </w:r>
                </w:p>
              </w:tc>
            </w:tr>
          </w:tbl>
          <w:p w:rsidR="00B43D13" w:rsidRPr="00C60FC3" w:rsidRDefault="00B43D13" w:rsidP="00BF2668">
            <w:pPr>
              <w:tabs>
                <w:tab w:val="right" w:pos="3720"/>
                <w:tab w:val="left" w:pos="4003"/>
              </w:tabs>
              <w:ind w:left="602" w:right="176" w:hanging="318"/>
              <w:jc w:val="left"/>
              <w:rPr>
                <w:sz w:val="18"/>
                <w:szCs w:val="18"/>
                <w:lang w:val="es-ES_tradnl"/>
              </w:rPr>
            </w:pPr>
          </w:p>
          <w:p w:rsidR="00B43D13" w:rsidRPr="00C60FC3" w:rsidRDefault="00B43D13" w:rsidP="00BF2668">
            <w:pPr>
              <w:pStyle w:val="Heading8"/>
              <w:spacing w:after="0"/>
              <w:rPr>
                <w:lang w:val="es-ES_tradnl"/>
              </w:rPr>
            </w:pPr>
          </w:p>
        </w:tc>
      </w:tr>
    </w:tbl>
    <w:p w:rsidR="00B43D13" w:rsidRPr="00C60FC3" w:rsidRDefault="00B43D13" w:rsidP="00BF2668">
      <w:pPr>
        <w:jc w:val="left"/>
        <w:rPr>
          <w:sz w:val="18"/>
          <w:szCs w:val="18"/>
          <w:lang w:val="es-ES_tradnl"/>
        </w:rPr>
      </w:pPr>
    </w:p>
    <w:p w:rsidR="00B43D13" w:rsidRPr="00C60FC3" w:rsidRDefault="00B43D13" w:rsidP="00BF2668">
      <w:pPr>
        <w:jc w:val="left"/>
        <w:rPr>
          <w:sz w:val="18"/>
          <w:szCs w:val="18"/>
          <w:lang w:val="es-ES_tradnl"/>
        </w:rPr>
      </w:pPr>
    </w:p>
    <w:tbl>
      <w:tblPr>
        <w:tblW w:w="9889" w:type="dxa"/>
        <w:tblLayout w:type="fixed"/>
        <w:tblLook w:val="0000" w:firstRow="0" w:lastRow="0" w:firstColumn="0" w:lastColumn="0" w:noHBand="0" w:noVBand="0"/>
      </w:tblPr>
      <w:tblGrid>
        <w:gridCol w:w="2093"/>
        <w:gridCol w:w="7796"/>
      </w:tblGrid>
      <w:tr w:rsidR="00B43D13" w:rsidRPr="00C60FC3" w:rsidTr="0091418C">
        <w:tc>
          <w:tcPr>
            <w:tcW w:w="2093" w:type="dxa"/>
          </w:tcPr>
          <w:p w:rsidR="00B43D13" w:rsidRPr="00C60FC3" w:rsidRDefault="00B43D13" w:rsidP="00BF2668">
            <w:pPr>
              <w:pStyle w:val="Heading6"/>
              <w:rPr>
                <w:lang w:val="es-ES_tradnl"/>
              </w:rPr>
            </w:pPr>
            <w:bookmarkStart w:id="155" w:name="_Toc336339259"/>
            <w:bookmarkStart w:id="156" w:name="_Toc368060370"/>
            <w:r w:rsidRPr="00C60FC3">
              <w:rPr>
                <w:lang w:val="es-ES_tradnl"/>
              </w:rPr>
              <w:t xml:space="preserve">2.  </w:t>
            </w:r>
            <w:bookmarkEnd w:id="155"/>
            <w:r w:rsidRPr="00C60FC3">
              <w:rPr>
                <w:lang w:val="es-ES_tradnl"/>
              </w:rPr>
              <w:t>Suministro de información a otras organizaciones</w:t>
            </w:r>
            <w:bookmarkEnd w:id="156"/>
          </w:p>
        </w:tc>
        <w:tc>
          <w:tcPr>
            <w:tcW w:w="7796" w:type="dxa"/>
          </w:tcPr>
          <w:p w:rsidR="00B43D13" w:rsidRPr="00C60FC3" w:rsidRDefault="00B43D13" w:rsidP="00BF2668">
            <w:pPr>
              <w:pStyle w:val="Heading8"/>
              <w:rPr>
                <w:szCs w:val="18"/>
                <w:lang w:val="es-ES_tradnl"/>
              </w:rPr>
            </w:pPr>
            <w:bookmarkStart w:id="157" w:name="_Toc368060371"/>
            <w:bookmarkStart w:id="158" w:name="_Toc336339260"/>
            <w:bookmarkStart w:id="159" w:name="_Toc336613862"/>
            <w:r w:rsidRPr="00C60FC3">
              <w:rPr>
                <w:szCs w:val="18"/>
                <w:lang w:val="es-ES_tradnl"/>
              </w:rPr>
              <w:t>a)  Participación en reuniones de organizaciones pertinentes, y con organizaciones pertinentes</w:t>
            </w:r>
            <w:bookmarkEnd w:id="157"/>
          </w:p>
          <w:bookmarkEnd w:id="158"/>
          <w:bookmarkEnd w:id="159"/>
          <w:p w:rsidR="00B43D13" w:rsidRPr="00C60FC3" w:rsidRDefault="00B43D13" w:rsidP="00BF2668">
            <w:pPr>
              <w:pStyle w:val="ListParagraph"/>
              <w:numPr>
                <w:ilvl w:val="0"/>
                <w:numId w:val="21"/>
              </w:numPr>
              <w:ind w:left="360"/>
              <w:jc w:val="left"/>
              <w:rPr>
                <w:sz w:val="18"/>
                <w:szCs w:val="18"/>
                <w:lang w:val="es-ES_tradnl"/>
              </w:rPr>
            </w:pPr>
            <w:r w:rsidRPr="00C60FC3">
              <w:rPr>
                <w:sz w:val="18"/>
                <w:szCs w:val="18"/>
                <w:lang w:val="es-ES_tradnl"/>
              </w:rPr>
              <w:t>La Oficina ha participado en reuniones y debates de las siguientes organizaciones intergubernamentales</w:t>
            </w:r>
            <w:proofErr w:type="gramStart"/>
            <w:r w:rsidRPr="00C60FC3">
              <w:rPr>
                <w:sz w:val="18"/>
                <w:szCs w:val="18"/>
                <w:lang w:val="es-ES_tradnl"/>
              </w:rPr>
              <w:t>:  ARIPO</w:t>
            </w:r>
            <w:proofErr w:type="gramEnd"/>
            <w:r w:rsidRPr="00C60FC3">
              <w:rPr>
                <w:sz w:val="18"/>
                <w:szCs w:val="18"/>
                <w:lang w:val="es-ES_tradnl"/>
              </w:rPr>
              <w:t>, FAO, IDLO, ISTA, OAPI, OCDE, OCE, OMC y OMPI.</w:t>
            </w:r>
          </w:p>
          <w:p w:rsidR="00B43D13" w:rsidRPr="00C60FC3" w:rsidRDefault="00B43D13" w:rsidP="00BF2668">
            <w:pPr>
              <w:jc w:val="left"/>
              <w:rPr>
                <w:sz w:val="18"/>
                <w:szCs w:val="18"/>
                <w:lang w:val="es-ES_tradnl"/>
              </w:rPr>
            </w:pPr>
          </w:p>
          <w:p w:rsidR="00B43D13" w:rsidRPr="00C60FC3" w:rsidRDefault="00B43D13" w:rsidP="00BF2668">
            <w:pPr>
              <w:pStyle w:val="ListParagraph"/>
              <w:numPr>
                <w:ilvl w:val="0"/>
                <w:numId w:val="21"/>
              </w:numPr>
              <w:ind w:left="360"/>
              <w:jc w:val="left"/>
              <w:rPr>
                <w:sz w:val="18"/>
                <w:szCs w:val="18"/>
                <w:lang w:val="es-ES_tradnl"/>
              </w:rPr>
            </w:pPr>
            <w:r w:rsidRPr="00C60FC3">
              <w:rPr>
                <w:sz w:val="18"/>
                <w:szCs w:val="18"/>
                <w:lang w:val="es-ES_tradnl"/>
              </w:rPr>
              <w:t>La Oficina ha participado en eventos organizados por las siguientes asociaciones profesionales</w:t>
            </w:r>
            <w:proofErr w:type="gramStart"/>
            <w:r w:rsidRPr="00C60FC3">
              <w:rPr>
                <w:sz w:val="18"/>
                <w:szCs w:val="18"/>
                <w:lang w:val="es-ES_tradnl"/>
              </w:rPr>
              <w:t>:  AFSTA</w:t>
            </w:r>
            <w:proofErr w:type="gramEnd"/>
            <w:r w:rsidRPr="00C60FC3">
              <w:rPr>
                <w:sz w:val="18"/>
                <w:szCs w:val="18"/>
                <w:lang w:val="es-ES_tradnl"/>
              </w:rPr>
              <w:t>, APSA, CIOPORA, ESA, FELAS e ISF.</w:t>
            </w:r>
          </w:p>
          <w:p w:rsidR="00B43D13" w:rsidRPr="00C60FC3" w:rsidRDefault="00B43D13" w:rsidP="00BF2668">
            <w:pPr>
              <w:ind w:right="459"/>
              <w:jc w:val="left"/>
              <w:rPr>
                <w:sz w:val="18"/>
                <w:szCs w:val="18"/>
                <w:lang w:val="es-ES_tradnl"/>
              </w:rPr>
            </w:pPr>
          </w:p>
        </w:tc>
      </w:tr>
      <w:tr w:rsidR="00B43D13" w:rsidRPr="00C60FC3" w:rsidTr="0091418C">
        <w:tc>
          <w:tcPr>
            <w:tcW w:w="2093" w:type="dxa"/>
          </w:tcPr>
          <w:p w:rsidR="00B43D13" w:rsidRPr="00C60FC3" w:rsidRDefault="00B43D13" w:rsidP="00BF2668">
            <w:pPr>
              <w:jc w:val="left"/>
              <w:rPr>
                <w:i/>
                <w:color w:val="000000"/>
                <w:sz w:val="18"/>
                <w:szCs w:val="18"/>
                <w:lang w:val="es-ES_tradnl"/>
              </w:rPr>
            </w:pPr>
          </w:p>
        </w:tc>
        <w:tc>
          <w:tcPr>
            <w:tcW w:w="7796" w:type="dxa"/>
          </w:tcPr>
          <w:p w:rsidR="00B43D13" w:rsidRPr="00C60FC3" w:rsidRDefault="00B43D13" w:rsidP="00BF2668">
            <w:pPr>
              <w:pStyle w:val="Heading8"/>
              <w:rPr>
                <w:lang w:val="es-ES_tradnl"/>
              </w:rPr>
            </w:pPr>
            <w:bookmarkStart w:id="160" w:name="_Toc336339261"/>
            <w:bookmarkStart w:id="161" w:name="_Toc336613863"/>
            <w:bookmarkStart w:id="162" w:name="_Toc368060372"/>
            <w:r w:rsidRPr="00C60FC3">
              <w:rPr>
                <w:lang w:val="es-ES_tradnl"/>
              </w:rPr>
              <w:t xml:space="preserve">b)  </w:t>
            </w:r>
            <w:bookmarkEnd w:id="160"/>
            <w:bookmarkEnd w:id="161"/>
            <w:r w:rsidRPr="00C60FC3">
              <w:rPr>
                <w:lang w:val="es-ES_tradnl"/>
              </w:rPr>
              <w:t>Aportaciones efectuadas a organizaciones pertinentes</w:t>
            </w:r>
            <w:bookmarkEnd w:id="162"/>
          </w:p>
          <w:p w:rsidR="00B43D13" w:rsidRPr="00C60FC3" w:rsidRDefault="00B43D13" w:rsidP="00BF2668">
            <w:pPr>
              <w:pStyle w:val="ListParagraph"/>
              <w:numPr>
                <w:ilvl w:val="0"/>
                <w:numId w:val="21"/>
              </w:numPr>
              <w:ind w:left="360"/>
              <w:jc w:val="left"/>
              <w:rPr>
                <w:sz w:val="18"/>
                <w:szCs w:val="18"/>
                <w:lang w:val="es-ES_tradnl"/>
              </w:rPr>
            </w:pPr>
            <w:r w:rsidRPr="00C60FC3">
              <w:rPr>
                <w:sz w:val="18"/>
                <w:szCs w:val="18"/>
                <w:lang w:val="es-ES_tradnl"/>
              </w:rPr>
              <w:t>La Oficina ha efectuado aportaciones relativas a la protección de las variedades vegetales en reuniones de las siguientes organizaciones intergubernamentales</w:t>
            </w:r>
            <w:r w:rsidRPr="00C60FC3">
              <w:rPr>
                <w:lang w:val="es-ES_tradnl"/>
              </w:rPr>
              <w:t xml:space="preserve">: </w:t>
            </w:r>
            <w:r w:rsidRPr="00C60FC3">
              <w:rPr>
                <w:sz w:val="18"/>
                <w:szCs w:val="18"/>
                <w:lang w:val="es-ES_tradnl"/>
              </w:rPr>
              <w:t>ARIPO, FAO, IDLO, OAPI, OCDE, OMC y OMPI.</w:t>
            </w:r>
          </w:p>
          <w:p w:rsidR="00B43D13" w:rsidRPr="00C60FC3" w:rsidRDefault="00B43D13" w:rsidP="00BF2668">
            <w:pPr>
              <w:ind w:right="459"/>
              <w:jc w:val="left"/>
              <w:rPr>
                <w:color w:val="000000"/>
                <w:sz w:val="18"/>
                <w:szCs w:val="18"/>
                <w:lang w:val="es-ES_tradnl"/>
              </w:rPr>
            </w:pPr>
          </w:p>
        </w:tc>
      </w:tr>
    </w:tbl>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rPr>
          <w:lang w:val="es-ES_tradnl"/>
        </w:rPr>
      </w:pPr>
    </w:p>
    <w:p w:rsidR="00B43D13" w:rsidRPr="00C60FC3" w:rsidRDefault="00B43D13" w:rsidP="00BF2668">
      <w:pPr>
        <w:jc w:val="right"/>
        <w:rPr>
          <w:lang w:val="es-ES_tradnl"/>
        </w:rPr>
      </w:pPr>
      <w:r w:rsidRPr="00C60FC3">
        <w:rPr>
          <w:lang w:val="es-ES_tradnl"/>
        </w:rPr>
        <w:t>[Fin del Anexo III y del documento]</w:t>
      </w:r>
    </w:p>
    <w:sectPr w:rsidR="00B43D13" w:rsidRPr="00C60FC3" w:rsidSect="00C74C0E">
      <w:headerReference w:type="default" r:id="rId22"/>
      <w:pgSz w:w="11907" w:h="16840" w:code="9"/>
      <w:pgMar w:top="510" w:right="1134" w:bottom="1134" w:left="1134" w:header="510" w:footer="68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01B" w:rsidRDefault="00CC201B" w:rsidP="006655D3">
      <w:r>
        <w:separator/>
      </w:r>
    </w:p>
    <w:p w:rsidR="00CC201B" w:rsidRDefault="00CC201B" w:rsidP="006655D3"/>
    <w:p w:rsidR="00CC201B" w:rsidRDefault="00CC201B" w:rsidP="006655D3"/>
  </w:endnote>
  <w:endnote w:type="continuationSeparator" w:id="0">
    <w:p w:rsidR="00CC201B" w:rsidRDefault="00CC201B" w:rsidP="006655D3">
      <w:r>
        <w:separator/>
      </w:r>
    </w:p>
    <w:p w:rsidR="00CC201B" w:rsidRPr="00560A6D" w:rsidRDefault="00CC201B">
      <w:pPr>
        <w:pStyle w:val="Footer"/>
        <w:spacing w:after="60"/>
        <w:rPr>
          <w:sz w:val="18"/>
          <w:lang w:val="fr-FR"/>
        </w:rPr>
      </w:pPr>
      <w:r w:rsidRPr="00560A6D">
        <w:rPr>
          <w:sz w:val="18"/>
          <w:lang w:val="fr-FR"/>
        </w:rPr>
        <w:t>[Suite de la note de la page précédente]</w:t>
      </w:r>
    </w:p>
    <w:p w:rsidR="00CC201B" w:rsidRPr="00560A6D" w:rsidRDefault="00CC201B" w:rsidP="006655D3">
      <w:pPr>
        <w:rPr>
          <w:lang w:val="fr-FR"/>
        </w:rPr>
      </w:pPr>
    </w:p>
    <w:p w:rsidR="00CC201B" w:rsidRPr="00560A6D" w:rsidRDefault="00CC201B" w:rsidP="006655D3">
      <w:pPr>
        <w:rPr>
          <w:lang w:val="fr-FR"/>
        </w:rPr>
      </w:pPr>
    </w:p>
  </w:endnote>
  <w:endnote w:type="continuationNotice" w:id="1">
    <w:p w:rsidR="00CC201B" w:rsidRPr="00560A6D" w:rsidRDefault="00CC201B" w:rsidP="006655D3">
      <w:pPr>
        <w:rPr>
          <w:lang w:val="fr-FR"/>
        </w:rPr>
      </w:pPr>
      <w:r w:rsidRPr="00560A6D">
        <w:rPr>
          <w:lang w:val="fr-FR"/>
        </w:rPr>
        <w:t>[Suite de la note page suivante]</w:t>
      </w:r>
    </w:p>
    <w:p w:rsidR="00CC201B" w:rsidRPr="00560A6D" w:rsidRDefault="00CC201B" w:rsidP="006655D3">
      <w:pPr>
        <w:rPr>
          <w:lang w:val="fr-FR"/>
        </w:rPr>
      </w:pPr>
    </w:p>
    <w:p w:rsidR="00CC201B" w:rsidRPr="00560A6D" w:rsidRDefault="00CC201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00"/>
    <w:family w:val="swiss"/>
    <w:pitch w:val="variable"/>
    <w:sig w:usb0="03000003" w:usb1="00000000" w:usb2="00000000" w:usb3="00000000" w:csb0="0001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1B" w:rsidRPr="009051E3" w:rsidRDefault="00CC201B" w:rsidP="002548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1B" w:rsidRPr="00C74C0E" w:rsidRDefault="00CC201B" w:rsidP="00C74C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01B" w:rsidRPr="00577BEC" w:rsidRDefault="00CC201B" w:rsidP="00C95616">
      <w:pPr>
        <w:spacing w:before="120"/>
        <w:rPr>
          <w:sz w:val="16"/>
          <w:szCs w:val="16"/>
        </w:rPr>
      </w:pPr>
      <w:r w:rsidRPr="00577BEC">
        <w:rPr>
          <w:sz w:val="16"/>
          <w:szCs w:val="16"/>
        </w:rPr>
        <w:separator/>
      </w:r>
    </w:p>
  </w:footnote>
  <w:footnote w:type="continuationSeparator" w:id="0">
    <w:p w:rsidR="00CC201B" w:rsidRDefault="00CC201B" w:rsidP="006655D3">
      <w:r>
        <w:separator/>
      </w:r>
    </w:p>
  </w:footnote>
  <w:footnote w:type="continuationNotice" w:id="1">
    <w:p w:rsidR="00CC201B" w:rsidRPr="00A56FAA" w:rsidRDefault="00CC201B" w:rsidP="00A56FAA">
      <w:pPr>
        <w:pStyle w:val="Footer"/>
        <w:rPr>
          <w:szCs w:val="18"/>
        </w:rPr>
      </w:pPr>
    </w:p>
  </w:footnote>
  <w:footnote w:id="2">
    <w:p w:rsidR="00CC201B" w:rsidRPr="003A430A" w:rsidRDefault="00CC201B" w:rsidP="0068046C">
      <w:pPr>
        <w:pStyle w:val="FootnoteText"/>
        <w:rPr>
          <w:lang w:val="es-ES_tradnl"/>
        </w:rPr>
      </w:pPr>
      <w:r w:rsidRPr="005378DF">
        <w:rPr>
          <w:rStyle w:val="FootnoteReference"/>
          <w:rFonts w:cs="Arial"/>
        </w:rPr>
        <w:footnoteRef/>
      </w:r>
      <w:r w:rsidRPr="003A430A">
        <w:rPr>
          <w:lang w:val="es-ES_tradnl"/>
        </w:rPr>
        <w:tab/>
      </w:r>
      <w:r w:rsidRPr="00373B80">
        <w:rPr>
          <w:lang w:val="es-ES_tradnl"/>
        </w:rPr>
        <w:t>Continuación de la adhesión de Checoslovaquia (instrumento depositado el 4 de noviembre de 1991;</w:t>
      </w:r>
      <w:r w:rsidRPr="003A430A">
        <w:rPr>
          <w:lang w:val="es-ES_tradnl"/>
        </w:rPr>
        <w:t xml:space="preserve">  </w:t>
      </w:r>
      <w:r>
        <w:rPr>
          <w:lang w:val="es-ES_tradnl"/>
        </w:rPr>
        <w:t>entrada en vigor el</w:t>
      </w:r>
      <w:r>
        <w:rPr>
          <w:lang w:val="es-ES_tradnl"/>
        </w:rPr>
        <w:br/>
      </w:r>
      <w:r w:rsidRPr="00373B80">
        <w:rPr>
          <w:lang w:val="es-ES_tradnl"/>
        </w:rPr>
        <w:t>4 de diciembre de 1991).</w:t>
      </w:r>
    </w:p>
  </w:footnote>
  <w:footnote w:id="3">
    <w:p w:rsidR="00CC201B" w:rsidRPr="003A430A" w:rsidRDefault="00CC201B" w:rsidP="0068046C">
      <w:pPr>
        <w:pStyle w:val="FootnoteText"/>
        <w:rPr>
          <w:lang w:val="es-ES_tradnl"/>
        </w:rPr>
      </w:pPr>
      <w:r w:rsidRPr="0092369E">
        <w:rPr>
          <w:rStyle w:val="FootnoteReference"/>
        </w:rPr>
        <w:footnoteRef/>
      </w:r>
      <w:r w:rsidRPr="003A430A">
        <w:rPr>
          <w:lang w:val="es-ES_tradnl"/>
        </w:rPr>
        <w:tab/>
      </w:r>
      <w:r w:rsidRPr="0068046C">
        <w:rPr>
          <w:lang w:val="es-ES_tradnl"/>
        </w:rPr>
        <w:t xml:space="preserve">71 miembros al 5 de enero de 2013 (fecha en la que Serbia </w:t>
      </w:r>
      <w:r>
        <w:rPr>
          <w:lang w:val="es-ES_tradnl"/>
        </w:rPr>
        <w:t xml:space="preserve">pasó a ser miembro de </w:t>
      </w:r>
      <w:r w:rsidRPr="0068046C">
        <w:rPr>
          <w:lang w:val="es-ES_tradnl"/>
        </w:rPr>
        <w:t>la UPOV, véase más arriba).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1B" w:rsidRDefault="00CC201B">
    <w:pPr>
      <w:jc w:val="center"/>
    </w:pPr>
    <w:r>
      <w:t>C/47/2</w:t>
    </w:r>
  </w:p>
  <w:p w:rsidR="00CC201B" w:rsidRPr="00BA2EB7" w:rsidRDefault="00CC201B">
    <w:pPr>
      <w:jc w:val="center"/>
      <w:rPr>
        <w:lang w:val="es-ES_tradnl"/>
      </w:rPr>
    </w:pPr>
    <w:proofErr w:type="gramStart"/>
    <w:r w:rsidRPr="00BA2EB7">
      <w:rPr>
        <w:lang w:val="es-ES_tradnl"/>
      </w:rPr>
      <w:t>página</w:t>
    </w:r>
    <w:proofErr w:type="gramEnd"/>
    <w:r>
      <w:rPr>
        <w:lang w:val="es-ES_tradnl"/>
      </w:rPr>
      <w:t xml:space="preserve"> </w:t>
    </w:r>
    <w:r w:rsidRPr="00BA2EB7">
      <w:rPr>
        <w:lang w:val="es-ES_tradnl"/>
      </w:rPr>
      <w:fldChar w:fldCharType="begin"/>
    </w:r>
    <w:r w:rsidRPr="00BA2EB7">
      <w:rPr>
        <w:lang w:val="es-ES_tradnl"/>
      </w:rPr>
      <w:instrText xml:space="preserve"> PAGE  \* MERGEFORMAT </w:instrText>
    </w:r>
    <w:r w:rsidRPr="00BA2EB7">
      <w:rPr>
        <w:lang w:val="es-ES_tradnl"/>
      </w:rPr>
      <w:fldChar w:fldCharType="separate"/>
    </w:r>
    <w:r w:rsidR="00CA0EE8">
      <w:rPr>
        <w:noProof/>
        <w:lang w:val="es-ES_tradnl"/>
      </w:rPr>
      <w:t>21</w:t>
    </w:r>
    <w:r w:rsidRPr="00BA2EB7">
      <w:rPr>
        <w:lang w:val="es-ES_tradnl"/>
      </w:rPr>
      <w:fldChar w:fldCharType="end"/>
    </w:r>
  </w:p>
  <w:p w:rsidR="00CC201B" w:rsidRDefault="00CC201B">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1B" w:rsidRDefault="00CC201B">
    <w:pPr>
      <w:jc w:val="center"/>
    </w:pPr>
    <w:r>
      <w:t>C/47/2</w:t>
    </w:r>
  </w:p>
  <w:p w:rsidR="00CC201B" w:rsidRPr="00BA2EB7" w:rsidRDefault="00CC201B">
    <w:pPr>
      <w:jc w:val="center"/>
      <w:rPr>
        <w:lang w:val="es-ES_tradnl"/>
      </w:rPr>
    </w:pPr>
    <w:r w:rsidRPr="00BA2EB7">
      <w:rPr>
        <w:lang w:val="es-ES_tradnl"/>
      </w:rPr>
      <w:t>Anexo I, página</w:t>
    </w:r>
    <w:r>
      <w:rPr>
        <w:lang w:val="es-ES_tradnl"/>
      </w:rPr>
      <w:t xml:space="preserve"> </w:t>
    </w:r>
    <w:r w:rsidRPr="00BA2EB7">
      <w:rPr>
        <w:lang w:val="es-ES_tradnl"/>
      </w:rPr>
      <w:fldChar w:fldCharType="begin"/>
    </w:r>
    <w:r w:rsidRPr="00BA2EB7">
      <w:rPr>
        <w:lang w:val="es-ES_tradnl"/>
      </w:rPr>
      <w:instrText xml:space="preserve"> PAGE  \* MERGEFORMAT </w:instrText>
    </w:r>
    <w:r w:rsidRPr="00BA2EB7">
      <w:rPr>
        <w:lang w:val="es-ES_tradnl"/>
      </w:rPr>
      <w:fldChar w:fldCharType="separate"/>
    </w:r>
    <w:r w:rsidR="00CA0EE8">
      <w:rPr>
        <w:noProof/>
        <w:lang w:val="es-ES_tradnl"/>
      </w:rPr>
      <w:t>6</w:t>
    </w:r>
    <w:r w:rsidRPr="00BA2EB7">
      <w:rPr>
        <w:lang w:val="es-ES_tradnl"/>
      </w:rPr>
      <w:fldChar w:fldCharType="end"/>
    </w:r>
  </w:p>
  <w:p w:rsidR="00CC201B" w:rsidRDefault="00CC201B">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1B" w:rsidRPr="00C5280D" w:rsidRDefault="00CC201B" w:rsidP="00EB048E">
    <w:pPr>
      <w:pStyle w:val="Header"/>
      <w:rPr>
        <w:rStyle w:val="PageNumber"/>
        <w:lang w:val="en-US"/>
      </w:rPr>
    </w:pPr>
    <w:r>
      <w:rPr>
        <w:rStyle w:val="PageNumber"/>
        <w:lang w:val="en-US"/>
      </w:rPr>
      <w:t>C/47/2</w:t>
    </w:r>
  </w:p>
  <w:p w:rsidR="00CC201B" w:rsidRPr="00BA2EB7" w:rsidRDefault="00CC201B" w:rsidP="00EB048E">
    <w:pPr>
      <w:pStyle w:val="Header"/>
      <w:rPr>
        <w:lang w:val="es-ES_tradnl"/>
      </w:rPr>
    </w:pPr>
    <w:r w:rsidRPr="00BA2EB7">
      <w:rPr>
        <w:lang w:val="es-ES_tradnl"/>
      </w:rPr>
      <w:t>Anexo II, página</w:t>
    </w:r>
    <w:r>
      <w:rPr>
        <w:lang w:val="es-ES_tradnl"/>
      </w:rPr>
      <w:t xml:space="preserve"> </w:t>
    </w:r>
    <w:r w:rsidRPr="00BA2EB7">
      <w:rPr>
        <w:rStyle w:val="PageNumber"/>
        <w:lang w:val="es-ES_tradnl"/>
      </w:rPr>
      <w:fldChar w:fldCharType="begin"/>
    </w:r>
    <w:r w:rsidRPr="00BA2EB7">
      <w:rPr>
        <w:rStyle w:val="PageNumber"/>
        <w:lang w:val="es-ES_tradnl"/>
      </w:rPr>
      <w:instrText xml:space="preserve"> PAGE </w:instrText>
    </w:r>
    <w:r w:rsidRPr="00BA2EB7">
      <w:rPr>
        <w:rStyle w:val="PageNumber"/>
        <w:lang w:val="es-ES_tradnl"/>
      </w:rPr>
      <w:fldChar w:fldCharType="separate"/>
    </w:r>
    <w:r w:rsidR="00CA0EE8">
      <w:rPr>
        <w:rStyle w:val="PageNumber"/>
        <w:noProof/>
        <w:lang w:val="es-ES_tradnl"/>
      </w:rPr>
      <w:t>5</w:t>
    </w:r>
    <w:r w:rsidRPr="00BA2EB7">
      <w:rPr>
        <w:rStyle w:val="PageNumber"/>
        <w:lang w:val="es-ES_tradnl"/>
      </w:rPr>
      <w:fldChar w:fldCharType="end"/>
    </w:r>
  </w:p>
  <w:p w:rsidR="00CC201B" w:rsidRPr="00C5280D" w:rsidRDefault="00CC201B"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01B" w:rsidRPr="00C5280D" w:rsidRDefault="00CC201B" w:rsidP="00EB048E">
    <w:pPr>
      <w:pStyle w:val="Header"/>
      <w:rPr>
        <w:rStyle w:val="PageNumber"/>
        <w:lang w:val="en-US"/>
      </w:rPr>
    </w:pPr>
    <w:r>
      <w:rPr>
        <w:rStyle w:val="PageNumber"/>
        <w:lang w:val="en-US"/>
      </w:rPr>
      <w:t>C/47/2</w:t>
    </w:r>
  </w:p>
  <w:p w:rsidR="00CC201B" w:rsidRPr="00BA2EB7" w:rsidRDefault="00CC201B" w:rsidP="00EB048E">
    <w:pPr>
      <w:pStyle w:val="Header"/>
      <w:rPr>
        <w:lang w:val="es-ES_tradnl"/>
      </w:rPr>
    </w:pPr>
    <w:r w:rsidRPr="00BA2EB7">
      <w:rPr>
        <w:lang w:val="es-ES_tradnl"/>
      </w:rPr>
      <w:t>Anexo III, página</w:t>
    </w:r>
    <w:r>
      <w:rPr>
        <w:lang w:val="es-ES_tradnl"/>
      </w:rPr>
      <w:t xml:space="preserve"> </w:t>
    </w:r>
    <w:r w:rsidRPr="00BA2EB7">
      <w:rPr>
        <w:rStyle w:val="PageNumber"/>
        <w:lang w:val="es-ES_tradnl"/>
      </w:rPr>
      <w:fldChar w:fldCharType="begin"/>
    </w:r>
    <w:r w:rsidRPr="00BA2EB7">
      <w:rPr>
        <w:rStyle w:val="PageNumber"/>
        <w:lang w:val="es-ES_tradnl"/>
      </w:rPr>
      <w:instrText xml:space="preserve"> PAGE </w:instrText>
    </w:r>
    <w:r w:rsidRPr="00BA2EB7">
      <w:rPr>
        <w:rStyle w:val="PageNumber"/>
        <w:lang w:val="es-ES_tradnl"/>
      </w:rPr>
      <w:fldChar w:fldCharType="separate"/>
    </w:r>
    <w:r w:rsidR="00CA0EE8">
      <w:rPr>
        <w:rStyle w:val="PageNumber"/>
        <w:noProof/>
        <w:lang w:val="es-ES_tradnl"/>
      </w:rPr>
      <w:t>24</w:t>
    </w:r>
    <w:r w:rsidRPr="00BA2EB7">
      <w:rPr>
        <w:rStyle w:val="PageNumber"/>
        <w:lang w:val="es-ES_tradnl"/>
      </w:rPr>
      <w:fldChar w:fldCharType="end"/>
    </w:r>
  </w:p>
  <w:p w:rsidR="00CC201B" w:rsidRPr="00C5280D" w:rsidRDefault="00CC201B"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9A6D66"/>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D3E706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AF8F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3CC74D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4BA67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D8E79C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8CC89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1AACE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4402EC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F69ECC98"/>
    <w:lvl w:ilvl="0">
      <w:start w:val="1"/>
      <w:numFmt w:val="bullet"/>
      <w:lvlText w:val=""/>
      <w:lvlJc w:val="left"/>
      <w:pPr>
        <w:tabs>
          <w:tab w:val="num" w:pos="360"/>
        </w:tabs>
        <w:ind w:left="360" w:hanging="360"/>
      </w:pPr>
      <w:rPr>
        <w:rFonts w:ascii="Symbol" w:hAnsi="Symbol" w:hint="default"/>
      </w:rPr>
    </w:lvl>
  </w:abstractNum>
  <w:abstractNum w:abstractNumId="10">
    <w:nsid w:val="02C440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DD377D5"/>
    <w:multiLevelType w:val="hybridMultilevel"/>
    <w:tmpl w:val="1E5AC5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124C71"/>
    <w:multiLevelType w:val="hybridMultilevel"/>
    <w:tmpl w:val="A4A85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1F559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20E3518"/>
    <w:multiLevelType w:val="hybridMultilevel"/>
    <w:tmpl w:val="30069C00"/>
    <w:lvl w:ilvl="0" w:tplc="F482CDA0">
      <w:start w:val="3"/>
      <w:numFmt w:val="bullet"/>
      <w:lvlText w:val="–"/>
      <w:lvlJc w:val="left"/>
      <w:pPr>
        <w:ind w:left="930" w:hanging="360"/>
      </w:pPr>
      <w:rPr>
        <w:rFonts w:ascii="Arial" w:eastAsia="Times New Roman" w:hAnsi="Arial" w:hint="default"/>
      </w:rPr>
    </w:lvl>
    <w:lvl w:ilvl="1" w:tplc="04090003" w:tentative="1">
      <w:start w:val="1"/>
      <w:numFmt w:val="bullet"/>
      <w:lvlText w:val="o"/>
      <w:lvlJc w:val="left"/>
      <w:pPr>
        <w:ind w:left="1650" w:hanging="360"/>
      </w:pPr>
      <w:rPr>
        <w:rFonts w:ascii="Courier New" w:hAnsi="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5">
    <w:nsid w:val="24C83AAD"/>
    <w:multiLevelType w:val="hybridMultilevel"/>
    <w:tmpl w:val="766E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B95FF9"/>
    <w:multiLevelType w:val="hybridMultilevel"/>
    <w:tmpl w:val="2A042878"/>
    <w:lvl w:ilvl="0" w:tplc="818EB47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34B090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8">
    <w:nsid w:val="3A615E7B"/>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FA71C9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42075581"/>
    <w:multiLevelType w:val="singleLevel"/>
    <w:tmpl w:val="04090001"/>
    <w:lvl w:ilvl="0">
      <w:start w:val="1"/>
      <w:numFmt w:val="bullet"/>
      <w:lvlText w:val=""/>
      <w:lvlJc w:val="left"/>
      <w:pPr>
        <w:ind w:left="720" w:hanging="360"/>
      </w:pPr>
      <w:rPr>
        <w:rFonts w:ascii="Symbol" w:hAnsi="Symbol" w:hint="default"/>
      </w:rPr>
    </w:lvl>
  </w:abstractNum>
  <w:abstractNum w:abstractNumId="21">
    <w:nsid w:val="48A8245B"/>
    <w:multiLevelType w:val="hybridMultilevel"/>
    <w:tmpl w:val="D47C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8A548D"/>
    <w:multiLevelType w:val="hybridMultilevel"/>
    <w:tmpl w:val="EDFEBE2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4F4A1BEF"/>
    <w:multiLevelType w:val="singleLevel"/>
    <w:tmpl w:val="7C6A94B2"/>
    <w:lvl w:ilvl="0">
      <w:numFmt w:val="bullet"/>
      <w:lvlText w:val="-"/>
      <w:lvlJc w:val="left"/>
      <w:pPr>
        <w:tabs>
          <w:tab w:val="num" w:pos="360"/>
        </w:tabs>
        <w:ind w:left="360" w:hanging="360"/>
      </w:pPr>
      <w:rPr>
        <w:rFonts w:hint="default"/>
        <w:b w:val="0"/>
        <w:i w:val="0"/>
      </w:rPr>
    </w:lvl>
  </w:abstractNum>
  <w:abstractNum w:abstractNumId="24">
    <w:nsid w:val="4F720FBC"/>
    <w:multiLevelType w:val="hybridMultilevel"/>
    <w:tmpl w:val="9CA29CC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FF07949"/>
    <w:multiLevelType w:val="hybridMultilevel"/>
    <w:tmpl w:val="4DE8348A"/>
    <w:lvl w:ilvl="0" w:tplc="818EB47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B2D0416"/>
    <w:multiLevelType w:val="hybridMultilevel"/>
    <w:tmpl w:val="DA00B5F2"/>
    <w:lvl w:ilvl="0" w:tplc="D654EDC8">
      <w:start w:val="1"/>
      <w:numFmt w:val="lowerLetter"/>
      <w:lvlText w:val="(%1)"/>
      <w:lvlJc w:val="left"/>
      <w:pPr>
        <w:ind w:left="930" w:hanging="57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C072FAE"/>
    <w:multiLevelType w:val="singleLevel"/>
    <w:tmpl w:val="7C6A94B2"/>
    <w:lvl w:ilvl="0">
      <w:numFmt w:val="bullet"/>
      <w:lvlText w:val="-"/>
      <w:lvlJc w:val="left"/>
      <w:pPr>
        <w:tabs>
          <w:tab w:val="num" w:pos="360"/>
        </w:tabs>
        <w:ind w:left="360" w:hanging="360"/>
      </w:pPr>
      <w:rPr>
        <w:rFonts w:hint="default"/>
        <w:b w:val="0"/>
        <w:i w:val="0"/>
      </w:rPr>
    </w:lvl>
  </w:abstractNum>
  <w:abstractNum w:abstractNumId="28">
    <w:nsid w:val="5D2F2B05"/>
    <w:multiLevelType w:val="hybridMultilevel"/>
    <w:tmpl w:val="2E9451B6"/>
    <w:lvl w:ilvl="0" w:tplc="4A62E5DA">
      <w:start w:val="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DB7760"/>
    <w:multiLevelType w:val="singleLevel"/>
    <w:tmpl w:val="57FE23A8"/>
    <w:lvl w:ilvl="0">
      <w:start w:val="1"/>
      <w:numFmt w:val="bullet"/>
      <w:lvlText w:val=""/>
      <w:lvlJc w:val="left"/>
      <w:pPr>
        <w:tabs>
          <w:tab w:val="num" w:pos="360"/>
        </w:tabs>
        <w:ind w:left="360" w:hanging="360"/>
      </w:pPr>
      <w:rPr>
        <w:rFonts w:ascii="Symbol" w:hAnsi="Symbol" w:hint="default"/>
        <w:sz w:val="18"/>
      </w:rPr>
    </w:lvl>
  </w:abstractNum>
  <w:abstractNum w:abstractNumId="30">
    <w:nsid w:val="609503D0"/>
    <w:multiLevelType w:val="hybridMultilevel"/>
    <w:tmpl w:val="6100B46A"/>
    <w:lvl w:ilvl="0" w:tplc="4A62E5DA">
      <w:start w:val="3"/>
      <w:numFmt w:val="bullet"/>
      <w:lvlText w:val="–"/>
      <w:lvlJc w:val="left"/>
      <w:pPr>
        <w:ind w:left="930" w:hanging="360"/>
      </w:pPr>
      <w:rPr>
        <w:rFonts w:ascii="Arial" w:eastAsia="Times New Roman" w:hAnsi="Arial" w:hint="default"/>
      </w:rPr>
    </w:lvl>
    <w:lvl w:ilvl="1" w:tplc="04090003" w:tentative="1">
      <w:start w:val="1"/>
      <w:numFmt w:val="bullet"/>
      <w:lvlText w:val="o"/>
      <w:lvlJc w:val="left"/>
      <w:pPr>
        <w:ind w:left="1650" w:hanging="360"/>
      </w:pPr>
      <w:rPr>
        <w:rFonts w:ascii="Courier New" w:hAnsi="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1">
    <w:nsid w:val="621455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nsid w:val="64142137"/>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3">
    <w:nsid w:val="66E23870"/>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86E1A0A"/>
    <w:multiLevelType w:val="hybridMultilevel"/>
    <w:tmpl w:val="FCEC8658"/>
    <w:lvl w:ilvl="0" w:tplc="63BA4276">
      <w:start w:val="2"/>
      <w:numFmt w:val="bullet"/>
      <w:lvlText w:val="–"/>
      <w:lvlJc w:val="left"/>
      <w:pPr>
        <w:ind w:left="927" w:hanging="360"/>
      </w:pPr>
      <w:rPr>
        <w:rFonts w:ascii="Arial" w:eastAsia="Times New Roman" w:hAnsi="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5">
    <w:nsid w:val="69621607"/>
    <w:multiLevelType w:val="singleLevel"/>
    <w:tmpl w:val="7C6A94B2"/>
    <w:lvl w:ilvl="0">
      <w:numFmt w:val="bullet"/>
      <w:lvlText w:val="-"/>
      <w:lvlJc w:val="left"/>
      <w:pPr>
        <w:tabs>
          <w:tab w:val="num" w:pos="360"/>
        </w:tabs>
        <w:ind w:left="360" w:hanging="360"/>
      </w:pPr>
      <w:rPr>
        <w:rFonts w:hint="default"/>
        <w:b w:val="0"/>
        <w:i w:val="0"/>
      </w:rPr>
    </w:lvl>
  </w:abstractNum>
  <w:abstractNum w:abstractNumId="36">
    <w:nsid w:val="6D8A2570"/>
    <w:multiLevelType w:val="hybridMultilevel"/>
    <w:tmpl w:val="E4F29FA2"/>
    <w:lvl w:ilvl="0" w:tplc="818EB47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FAB4877"/>
    <w:multiLevelType w:val="hybridMultilevel"/>
    <w:tmpl w:val="5546EB6A"/>
    <w:lvl w:ilvl="0" w:tplc="275685AC">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Times New Roman" w:eastAsia="Times New Roman" w:hAnsi="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FF25883"/>
    <w:multiLevelType w:val="hybridMultilevel"/>
    <w:tmpl w:val="D8606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1A75D97"/>
    <w:multiLevelType w:val="hybridMultilevel"/>
    <w:tmpl w:val="ACA4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9DD6DC9"/>
    <w:multiLevelType w:val="hybridMultilevel"/>
    <w:tmpl w:val="22F097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9FB578C"/>
    <w:multiLevelType w:val="hybridMultilevel"/>
    <w:tmpl w:val="BE1A85BA"/>
    <w:lvl w:ilvl="0" w:tplc="4EE2BF94">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2">
    <w:nsid w:val="7B024DD1"/>
    <w:multiLevelType w:val="hybridMultilevel"/>
    <w:tmpl w:val="049AF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F21669B"/>
    <w:multiLevelType w:val="singleLevel"/>
    <w:tmpl w:val="04090003"/>
    <w:lvl w:ilvl="0">
      <w:start w:val="1"/>
      <w:numFmt w:val="bullet"/>
      <w:lvlText w:val=""/>
      <w:lvlJc w:val="left"/>
      <w:pPr>
        <w:tabs>
          <w:tab w:val="num" w:pos="360"/>
        </w:tabs>
        <w:ind w:left="360" w:hanging="360"/>
      </w:pPr>
      <w:rPr>
        <w:rFonts w:ascii="Symbol" w:hAnsi="Symbol" w:hint="default"/>
      </w:rPr>
    </w:lvl>
  </w:abstractNum>
  <w:num w:numId="1">
    <w:abstractNumId w:val="33"/>
  </w:num>
  <w:num w:numId="2">
    <w:abstractNumId w:val="13"/>
  </w:num>
  <w:num w:numId="3">
    <w:abstractNumId w:val="18"/>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4"/>
  </w:num>
  <w:num w:numId="16">
    <w:abstractNumId w:val="14"/>
  </w:num>
  <w:num w:numId="17">
    <w:abstractNumId w:val="30"/>
  </w:num>
  <w:num w:numId="18">
    <w:abstractNumId w:val="43"/>
  </w:num>
  <w:num w:numId="19">
    <w:abstractNumId w:val="29"/>
  </w:num>
  <w:num w:numId="20">
    <w:abstractNumId w:val="35"/>
  </w:num>
  <w:num w:numId="21">
    <w:abstractNumId w:val="20"/>
  </w:num>
  <w:num w:numId="22">
    <w:abstractNumId w:val="23"/>
  </w:num>
  <w:num w:numId="23">
    <w:abstractNumId w:val="27"/>
  </w:num>
  <w:num w:numId="24">
    <w:abstractNumId w:val="10"/>
  </w:num>
  <w:num w:numId="25">
    <w:abstractNumId w:val="32"/>
  </w:num>
  <w:num w:numId="26">
    <w:abstractNumId w:val="17"/>
  </w:num>
  <w:num w:numId="27">
    <w:abstractNumId w:val="31"/>
  </w:num>
  <w:num w:numId="28">
    <w:abstractNumId w:val="37"/>
  </w:num>
  <w:num w:numId="29">
    <w:abstractNumId w:val="41"/>
  </w:num>
  <w:num w:numId="30">
    <w:abstractNumId w:val="16"/>
  </w:num>
  <w:num w:numId="31">
    <w:abstractNumId w:val="36"/>
  </w:num>
  <w:num w:numId="32">
    <w:abstractNumId w:val="25"/>
  </w:num>
  <w:num w:numId="33">
    <w:abstractNumId w:val="40"/>
  </w:num>
  <w:num w:numId="34">
    <w:abstractNumId w:val="38"/>
  </w:num>
  <w:num w:numId="35">
    <w:abstractNumId w:val="42"/>
  </w:num>
  <w:num w:numId="36">
    <w:abstractNumId w:val="11"/>
  </w:num>
  <w:num w:numId="37">
    <w:abstractNumId w:val="15"/>
  </w:num>
  <w:num w:numId="38">
    <w:abstractNumId w:val="24"/>
  </w:num>
  <w:num w:numId="39">
    <w:abstractNumId w:val="21"/>
  </w:num>
  <w:num w:numId="40">
    <w:abstractNumId w:val="12"/>
  </w:num>
  <w:num w:numId="41">
    <w:abstractNumId w:val="26"/>
  </w:num>
  <w:num w:numId="42">
    <w:abstractNumId w:val="28"/>
  </w:num>
  <w:num w:numId="43">
    <w:abstractNumId w:val="22"/>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fAttributes" w:val="yes"/>
    <w:docVar w:name="WfColors" w:val="1"/>
    <w:docVar w:name="WfGraphics" w:val="X"/>
    <w:docVar w:name="WfJumps" w:val="no"/>
    <w:docVar w:name="WfLastSegment" w:val=" 308609"/>
    <w:docVar w:name="WfRevTM" w:val="D:\Wordfast habitual\TMs habituales\WfMemory Eng-Spa UPOV.txt"/>
    <w:docVar w:name="WfStyleNames" w:val=",1 / 1.1 / 1.1.1,1 / a / i,Article / Section,Balloon Text,Balloon Text Char,Block Text,Body Text,Body Text 2,Body Text 3,Body Text Char,Body Text First Indent,Body Text First Indent 2,Body Text Indent,Body Text Indent 2,Body Text Indent 3,Body Text Indent Char,Caption,Closing,Closing Char,Code,Code Char,Comment Reference,Comment Subject,Comment Text,Comment Text Char,Committee,Country,Date,Date Char,DecisionParagraphs,DecisionParagraphs Char,Default Paragraph Font,Doc_lang,Doc_original,Doc_original Char,Document Map,Draft,E-mail Signature,Emphasis,end_of_doc,Endnote Reference,Endnote Text,Endnote Text Char,Envelope Address,Envelope Return,FollowedHyperlink,Footer Char;doc_path_name Char,Footer;doc_path_name,Footnote Reference,Footnote Text Char;fn Char;Geneva 9 Char;Font: Geneva 9 Char;Boston 10 Char;f Char;ft Char1;Fotnotstext Char Char;ft Char Char;single space Char;FOOTNOTES Char;ADB Char;single space1 Char;footnote text1 Char;FOOTNOTES1 Char;fn1 Char;ADB1 Char,Footnote Text Char1;fn Char1;Geneva 9 Char1;Font: Geneva 9 Char1;Boston 10 Char1;f Char1;ft Char2;Fotnotstext Char Char1;ft Char Char1;single space Char1;FOOTNOTES Char1;ADB Char1;single space1 Char1;footnote text1 Char1;FOOTNOTES1 Char1;fn1 Char1,Footnote Text;fn;Geneva 9;Font: Geneva 9;Boston 10;f;ft;Fotnotstext Char;ft Char;single space;FOOTNOTES;ADB;single space1;footnote text1;FOOTNOTES1;fn1;ADB1;single space2,Header,Header Char,Heading 1,Heading 1 Char,Heading 2,Heading 2 Char,Heading 3,Heading 3 Char,Heading 4,Heading 4 Char,Heading 5,Heading 5 Char,Heading 6,Heading 6 Char,Heading 7,Heading 7 Char,Heading 8,Heading 8 Char,Heading 9,Heading 9 Char,HTML Acronym,HTML Address,HTML Cite,HTML Code,HTML Definition,HTML Keyboard,HTML Preformatted,HTML Sample,HTML Typewriter,HTML Variable,Hyperlink,Index 1,Index 2,Index 3,Index 4,Index 5,Index 6,Index 7,Index 8,Index 9,Index Heading,Lettrine,Line Number,List,List 2,List 3,List 4,List 5,List Bullet,List Bullet 2,List Bullet 3,List Bullet 4,List Bullet 5,List Continue,List Continue 2,List Continue 3,List Continue 4,List Continue 5,List Number,List Number 2,List Number 3,List Number 4,List Number 5,List Paragraph,LogoUPOV,Macro Text,Macro Text Char,Message Header,No List,Normal,Normal (Web),Normal Indent,Note Heading,Organizer,Original,Page Number,PlaceAndDate,Plain Text,plcountry,pldetails,plheading,prepared by,prepared_by,preparedby,Salutation,Session,Session_MeetingPlace,Session_tc,Session_tc_place_date,Signature,Signature Char,Strong,Style Doc_lang + Bold,Style Doc_number,Style Doc_original,Style Doc_original + Not Bold,Style Doc_original + Not Bold Char,Style Doc_original + Not Bold1,Style Doc_original Char,Style Session + All caps,Style Style Doc_original + Not Bold + Not Bold,Style Style Doc_original + Not Bold + Not Bold Char,Subtitle,Table 3D effects 1,Table 3D effects 2,Table 3D effects 3,Table Classic 1,Table Classic 2,Table Classic 3,Table Classic 4,Table Colorful 1,Table Colorful 2,Table Colorful 3,Table Columns 1,Table Columns 2,Table Columns 3,Table Columns 4,Table Columns 5,Table Contemporary,Table Elegant,Table Grid,Table Grid 1,Table Grid 2,Table Grid 3,Table Grid 4,Table Grid 5,Table Grid 6,Table Grid 7,Table Grid 8,Table List 1,Table List 2,Table List 3,Table List 4,Table List 5,Table List 6,Table List 7,Table List 8,Table Normal,Table of Authorities,Table of Figures,Table Professional,Table Simple 1,Table Simple 2,Table Simple 3,Table Subtle 1,Table Subtle 2,Table Theme,Table Web 1,Table Web 2,Table Web 3,Title,Title Char,Title of Doc,Title_of_doc,TitreUpov,TOA Heading,TOC 1,TOC 2,TOC 3,TOC 4,TOC 5,TOC 6,TOC 7,TOC 8,TOC 9,tw4winMark,upov_e,Zchn Zchn1,"/>
    <w:docVar w:name="WfStyles" w:val="220"/>
    <w:docVar w:name="WfTags" w:val="no00"/>
    <w:docVar w:name="WtBookmark" w:val="00014"/>
  </w:docVars>
  <w:rsids>
    <w:rsidRoot w:val="006B519E"/>
    <w:rsid w:val="000015D8"/>
    <w:rsid w:val="000021D1"/>
    <w:rsid w:val="00005515"/>
    <w:rsid w:val="00010CF3"/>
    <w:rsid w:val="00011C46"/>
    <w:rsid w:val="00011E27"/>
    <w:rsid w:val="00012764"/>
    <w:rsid w:val="000148BC"/>
    <w:rsid w:val="00017FBE"/>
    <w:rsid w:val="00020CE2"/>
    <w:rsid w:val="00024AB8"/>
    <w:rsid w:val="000256B6"/>
    <w:rsid w:val="00025F76"/>
    <w:rsid w:val="0002621D"/>
    <w:rsid w:val="00030178"/>
    <w:rsid w:val="00030854"/>
    <w:rsid w:val="00036028"/>
    <w:rsid w:val="000361B4"/>
    <w:rsid w:val="00040132"/>
    <w:rsid w:val="00040657"/>
    <w:rsid w:val="00042BB4"/>
    <w:rsid w:val="00044642"/>
    <w:rsid w:val="000446B9"/>
    <w:rsid w:val="000469A3"/>
    <w:rsid w:val="000476CE"/>
    <w:rsid w:val="00047E21"/>
    <w:rsid w:val="00052419"/>
    <w:rsid w:val="00053F5B"/>
    <w:rsid w:val="00055EB3"/>
    <w:rsid w:val="00056ACE"/>
    <w:rsid w:val="00061501"/>
    <w:rsid w:val="000630FF"/>
    <w:rsid w:val="00065F4A"/>
    <w:rsid w:val="000711A7"/>
    <w:rsid w:val="00080178"/>
    <w:rsid w:val="00081D6E"/>
    <w:rsid w:val="00082327"/>
    <w:rsid w:val="00085170"/>
    <w:rsid w:val="00085505"/>
    <w:rsid w:val="00087ABC"/>
    <w:rsid w:val="000936EA"/>
    <w:rsid w:val="00097F81"/>
    <w:rsid w:val="000A1C2C"/>
    <w:rsid w:val="000A4207"/>
    <w:rsid w:val="000A4B26"/>
    <w:rsid w:val="000A68B4"/>
    <w:rsid w:val="000A7DFA"/>
    <w:rsid w:val="000B0946"/>
    <w:rsid w:val="000B54E7"/>
    <w:rsid w:val="000B5AD8"/>
    <w:rsid w:val="000B6074"/>
    <w:rsid w:val="000B6317"/>
    <w:rsid w:val="000B6752"/>
    <w:rsid w:val="000B6EA3"/>
    <w:rsid w:val="000C15B3"/>
    <w:rsid w:val="000C1903"/>
    <w:rsid w:val="000C3124"/>
    <w:rsid w:val="000C347F"/>
    <w:rsid w:val="000C7021"/>
    <w:rsid w:val="000D12E7"/>
    <w:rsid w:val="000D6BBC"/>
    <w:rsid w:val="000D7780"/>
    <w:rsid w:val="000E4306"/>
    <w:rsid w:val="000E542E"/>
    <w:rsid w:val="000E571C"/>
    <w:rsid w:val="000F1DE1"/>
    <w:rsid w:val="000F22DB"/>
    <w:rsid w:val="000F5AB7"/>
    <w:rsid w:val="001000F7"/>
    <w:rsid w:val="00100DE2"/>
    <w:rsid w:val="0010128B"/>
    <w:rsid w:val="001017EF"/>
    <w:rsid w:val="001026A2"/>
    <w:rsid w:val="00103981"/>
    <w:rsid w:val="00105595"/>
    <w:rsid w:val="00105929"/>
    <w:rsid w:val="00106BAB"/>
    <w:rsid w:val="0010731F"/>
    <w:rsid w:val="00107B88"/>
    <w:rsid w:val="001131D5"/>
    <w:rsid w:val="00114294"/>
    <w:rsid w:val="00114C11"/>
    <w:rsid w:val="00114CD9"/>
    <w:rsid w:val="00117F00"/>
    <w:rsid w:val="001257C0"/>
    <w:rsid w:val="00126C40"/>
    <w:rsid w:val="00126C51"/>
    <w:rsid w:val="00127162"/>
    <w:rsid w:val="00127F6A"/>
    <w:rsid w:val="001300A3"/>
    <w:rsid w:val="00137E37"/>
    <w:rsid w:val="00140292"/>
    <w:rsid w:val="00141DB8"/>
    <w:rsid w:val="00142EC1"/>
    <w:rsid w:val="001475FC"/>
    <w:rsid w:val="00151B69"/>
    <w:rsid w:val="0015200A"/>
    <w:rsid w:val="00153E8C"/>
    <w:rsid w:val="00154384"/>
    <w:rsid w:val="00155A9D"/>
    <w:rsid w:val="00160332"/>
    <w:rsid w:val="001615BE"/>
    <w:rsid w:val="00161668"/>
    <w:rsid w:val="001657D8"/>
    <w:rsid w:val="00167EA0"/>
    <w:rsid w:val="00171460"/>
    <w:rsid w:val="00171A1F"/>
    <w:rsid w:val="001728FE"/>
    <w:rsid w:val="00173D21"/>
    <w:rsid w:val="0017474A"/>
    <w:rsid w:val="001755FF"/>
    <w:rsid w:val="001758C6"/>
    <w:rsid w:val="00175A57"/>
    <w:rsid w:val="00176279"/>
    <w:rsid w:val="0018065F"/>
    <w:rsid w:val="00182B99"/>
    <w:rsid w:val="0018384D"/>
    <w:rsid w:val="00183CC2"/>
    <w:rsid w:val="00184D9D"/>
    <w:rsid w:val="0018756E"/>
    <w:rsid w:val="00193BEB"/>
    <w:rsid w:val="00193D37"/>
    <w:rsid w:val="00193F42"/>
    <w:rsid w:val="00195D41"/>
    <w:rsid w:val="00197035"/>
    <w:rsid w:val="0019714D"/>
    <w:rsid w:val="00197451"/>
    <w:rsid w:val="001A0080"/>
    <w:rsid w:val="001A07EF"/>
    <w:rsid w:val="001A1216"/>
    <w:rsid w:val="001A2126"/>
    <w:rsid w:val="001A30CF"/>
    <w:rsid w:val="001A50C6"/>
    <w:rsid w:val="001A6217"/>
    <w:rsid w:val="001B24B3"/>
    <w:rsid w:val="001B489A"/>
    <w:rsid w:val="001B4FFB"/>
    <w:rsid w:val="001B53D6"/>
    <w:rsid w:val="001C130D"/>
    <w:rsid w:val="001C407C"/>
    <w:rsid w:val="001C468E"/>
    <w:rsid w:val="001C5068"/>
    <w:rsid w:val="001C5D21"/>
    <w:rsid w:val="001C7C40"/>
    <w:rsid w:val="001D02E7"/>
    <w:rsid w:val="001D3E97"/>
    <w:rsid w:val="001D4521"/>
    <w:rsid w:val="001D5CBF"/>
    <w:rsid w:val="001D6191"/>
    <w:rsid w:val="001E07CC"/>
    <w:rsid w:val="001E0CF9"/>
    <w:rsid w:val="001E2C74"/>
    <w:rsid w:val="001E3FB5"/>
    <w:rsid w:val="001E670B"/>
    <w:rsid w:val="001F2DD3"/>
    <w:rsid w:val="001F306E"/>
    <w:rsid w:val="001F37EC"/>
    <w:rsid w:val="001F4502"/>
    <w:rsid w:val="001F52DE"/>
    <w:rsid w:val="001F74D4"/>
    <w:rsid w:val="00200538"/>
    <w:rsid w:val="00200911"/>
    <w:rsid w:val="00210A27"/>
    <w:rsid w:val="00212220"/>
    <w:rsid w:val="0021332C"/>
    <w:rsid w:val="00213982"/>
    <w:rsid w:val="00216F59"/>
    <w:rsid w:val="002172B9"/>
    <w:rsid w:val="00217492"/>
    <w:rsid w:val="002238C8"/>
    <w:rsid w:val="002241CD"/>
    <w:rsid w:val="0023131A"/>
    <w:rsid w:val="0023152D"/>
    <w:rsid w:val="00232F97"/>
    <w:rsid w:val="00233045"/>
    <w:rsid w:val="002348D4"/>
    <w:rsid w:val="002351BE"/>
    <w:rsid w:val="00236F1B"/>
    <w:rsid w:val="00241463"/>
    <w:rsid w:val="0024416D"/>
    <w:rsid w:val="002534CA"/>
    <w:rsid w:val="002548AA"/>
    <w:rsid w:val="00254F6A"/>
    <w:rsid w:val="002559B0"/>
    <w:rsid w:val="00256D1C"/>
    <w:rsid w:val="00260DF3"/>
    <w:rsid w:val="002670A8"/>
    <w:rsid w:val="00267712"/>
    <w:rsid w:val="0027000A"/>
    <w:rsid w:val="00271F8D"/>
    <w:rsid w:val="002736FE"/>
    <w:rsid w:val="00274E2C"/>
    <w:rsid w:val="0027610A"/>
    <w:rsid w:val="00277F1E"/>
    <w:rsid w:val="002800A0"/>
    <w:rsid w:val="002801B3"/>
    <w:rsid w:val="0028098F"/>
    <w:rsid w:val="00281060"/>
    <w:rsid w:val="0028212D"/>
    <w:rsid w:val="00282FAB"/>
    <w:rsid w:val="0028485F"/>
    <w:rsid w:val="00285151"/>
    <w:rsid w:val="00285D28"/>
    <w:rsid w:val="0029045E"/>
    <w:rsid w:val="00290484"/>
    <w:rsid w:val="00290C70"/>
    <w:rsid w:val="00293781"/>
    <w:rsid w:val="002940E8"/>
    <w:rsid w:val="0029517F"/>
    <w:rsid w:val="00295906"/>
    <w:rsid w:val="00295BAA"/>
    <w:rsid w:val="002A4573"/>
    <w:rsid w:val="002A6E50"/>
    <w:rsid w:val="002B1E33"/>
    <w:rsid w:val="002B3236"/>
    <w:rsid w:val="002B53D8"/>
    <w:rsid w:val="002B6B33"/>
    <w:rsid w:val="002C256A"/>
    <w:rsid w:val="002C71F9"/>
    <w:rsid w:val="002D0061"/>
    <w:rsid w:val="002D00EB"/>
    <w:rsid w:val="002D014E"/>
    <w:rsid w:val="002D3C0C"/>
    <w:rsid w:val="002D5988"/>
    <w:rsid w:val="002E1152"/>
    <w:rsid w:val="002E137D"/>
    <w:rsid w:val="002E25B5"/>
    <w:rsid w:val="002E3A35"/>
    <w:rsid w:val="002E5D69"/>
    <w:rsid w:val="002E707F"/>
    <w:rsid w:val="002F0831"/>
    <w:rsid w:val="002F13D0"/>
    <w:rsid w:val="002F5D82"/>
    <w:rsid w:val="00301C4E"/>
    <w:rsid w:val="003034EC"/>
    <w:rsid w:val="003036D8"/>
    <w:rsid w:val="00304515"/>
    <w:rsid w:val="00304B03"/>
    <w:rsid w:val="00305A63"/>
    <w:rsid w:val="00305A7F"/>
    <w:rsid w:val="00307859"/>
    <w:rsid w:val="003125C4"/>
    <w:rsid w:val="00315280"/>
    <w:rsid w:val="003152FE"/>
    <w:rsid w:val="003153AC"/>
    <w:rsid w:val="00316DD1"/>
    <w:rsid w:val="00316F84"/>
    <w:rsid w:val="00317A45"/>
    <w:rsid w:val="00317D75"/>
    <w:rsid w:val="003205AA"/>
    <w:rsid w:val="003207CB"/>
    <w:rsid w:val="00323874"/>
    <w:rsid w:val="00324807"/>
    <w:rsid w:val="003257B8"/>
    <w:rsid w:val="00325F02"/>
    <w:rsid w:val="00327436"/>
    <w:rsid w:val="0032754E"/>
    <w:rsid w:val="00334283"/>
    <w:rsid w:val="0033507D"/>
    <w:rsid w:val="00341CFE"/>
    <w:rsid w:val="00343A65"/>
    <w:rsid w:val="00344BD6"/>
    <w:rsid w:val="00346204"/>
    <w:rsid w:val="00353A9B"/>
    <w:rsid w:val="00353F2B"/>
    <w:rsid w:val="0035528D"/>
    <w:rsid w:val="003574F8"/>
    <w:rsid w:val="00361821"/>
    <w:rsid w:val="003621AA"/>
    <w:rsid w:val="00362357"/>
    <w:rsid w:val="003639F7"/>
    <w:rsid w:val="00364000"/>
    <w:rsid w:val="003707B9"/>
    <w:rsid w:val="00373B80"/>
    <w:rsid w:val="00376BCD"/>
    <w:rsid w:val="00376D5D"/>
    <w:rsid w:val="003773C3"/>
    <w:rsid w:val="00377B3E"/>
    <w:rsid w:val="0038563C"/>
    <w:rsid w:val="00385EC8"/>
    <w:rsid w:val="003872A8"/>
    <w:rsid w:val="003902CB"/>
    <w:rsid w:val="00391F33"/>
    <w:rsid w:val="003921BE"/>
    <w:rsid w:val="00395B2E"/>
    <w:rsid w:val="00397659"/>
    <w:rsid w:val="003A0090"/>
    <w:rsid w:val="003A0608"/>
    <w:rsid w:val="003A2F38"/>
    <w:rsid w:val="003A3956"/>
    <w:rsid w:val="003A3CE2"/>
    <w:rsid w:val="003A430A"/>
    <w:rsid w:val="003A611D"/>
    <w:rsid w:val="003B2045"/>
    <w:rsid w:val="003B36B1"/>
    <w:rsid w:val="003C056F"/>
    <w:rsid w:val="003C745E"/>
    <w:rsid w:val="003C77D9"/>
    <w:rsid w:val="003D1A0B"/>
    <w:rsid w:val="003D227C"/>
    <w:rsid w:val="003D2301"/>
    <w:rsid w:val="003D2B4D"/>
    <w:rsid w:val="003D5165"/>
    <w:rsid w:val="003D6F79"/>
    <w:rsid w:val="003E148F"/>
    <w:rsid w:val="003E1EA3"/>
    <w:rsid w:val="003E236E"/>
    <w:rsid w:val="003F0546"/>
    <w:rsid w:val="003F0FA0"/>
    <w:rsid w:val="003F453D"/>
    <w:rsid w:val="00401E4D"/>
    <w:rsid w:val="00405DB0"/>
    <w:rsid w:val="00414197"/>
    <w:rsid w:val="004154B0"/>
    <w:rsid w:val="00416DEC"/>
    <w:rsid w:val="0041749D"/>
    <w:rsid w:val="00420897"/>
    <w:rsid w:val="00421977"/>
    <w:rsid w:val="00422ECA"/>
    <w:rsid w:val="00424441"/>
    <w:rsid w:val="004252CA"/>
    <w:rsid w:val="00430C78"/>
    <w:rsid w:val="00430F9B"/>
    <w:rsid w:val="00436D42"/>
    <w:rsid w:val="00437A9F"/>
    <w:rsid w:val="00440519"/>
    <w:rsid w:val="00440C0B"/>
    <w:rsid w:val="00441FBE"/>
    <w:rsid w:val="0044217A"/>
    <w:rsid w:val="00442FF8"/>
    <w:rsid w:val="00444A88"/>
    <w:rsid w:val="00446A97"/>
    <w:rsid w:val="00446FF0"/>
    <w:rsid w:val="00450212"/>
    <w:rsid w:val="004519CA"/>
    <w:rsid w:val="00451BA4"/>
    <w:rsid w:val="00453C61"/>
    <w:rsid w:val="00455140"/>
    <w:rsid w:val="00456143"/>
    <w:rsid w:val="0045616C"/>
    <w:rsid w:val="004571E7"/>
    <w:rsid w:val="0046394F"/>
    <w:rsid w:val="004639D2"/>
    <w:rsid w:val="0046418E"/>
    <w:rsid w:val="004643DB"/>
    <w:rsid w:val="00467BB7"/>
    <w:rsid w:val="00474D38"/>
    <w:rsid w:val="00474DA4"/>
    <w:rsid w:val="00476B4D"/>
    <w:rsid w:val="004805FA"/>
    <w:rsid w:val="00481F44"/>
    <w:rsid w:val="0048455A"/>
    <w:rsid w:val="0048639B"/>
    <w:rsid w:val="00486779"/>
    <w:rsid w:val="00486E6F"/>
    <w:rsid w:val="0049528D"/>
    <w:rsid w:val="004A4A55"/>
    <w:rsid w:val="004A4C7F"/>
    <w:rsid w:val="004A65D9"/>
    <w:rsid w:val="004A67BD"/>
    <w:rsid w:val="004A6E40"/>
    <w:rsid w:val="004A72C3"/>
    <w:rsid w:val="004B3801"/>
    <w:rsid w:val="004B4CE9"/>
    <w:rsid w:val="004B5D21"/>
    <w:rsid w:val="004C1AEC"/>
    <w:rsid w:val="004C2FAD"/>
    <w:rsid w:val="004C545E"/>
    <w:rsid w:val="004D047D"/>
    <w:rsid w:val="004E1D43"/>
    <w:rsid w:val="004E20B3"/>
    <w:rsid w:val="004E2F5C"/>
    <w:rsid w:val="004E432D"/>
    <w:rsid w:val="004F170D"/>
    <w:rsid w:val="004F305A"/>
    <w:rsid w:val="004F3CD2"/>
    <w:rsid w:val="004F657A"/>
    <w:rsid w:val="004F70E9"/>
    <w:rsid w:val="00500410"/>
    <w:rsid w:val="005067A5"/>
    <w:rsid w:val="005100FC"/>
    <w:rsid w:val="00512164"/>
    <w:rsid w:val="005135CD"/>
    <w:rsid w:val="00514BF0"/>
    <w:rsid w:val="00520297"/>
    <w:rsid w:val="00524405"/>
    <w:rsid w:val="00524895"/>
    <w:rsid w:val="00526682"/>
    <w:rsid w:val="00527810"/>
    <w:rsid w:val="00533457"/>
    <w:rsid w:val="005338F9"/>
    <w:rsid w:val="00533E33"/>
    <w:rsid w:val="005348D1"/>
    <w:rsid w:val="005350C6"/>
    <w:rsid w:val="00535D2C"/>
    <w:rsid w:val="00535F2F"/>
    <w:rsid w:val="0053630C"/>
    <w:rsid w:val="005378DF"/>
    <w:rsid w:val="005405D5"/>
    <w:rsid w:val="0054077B"/>
    <w:rsid w:val="005411D5"/>
    <w:rsid w:val="00542455"/>
    <w:rsid w:val="0054281C"/>
    <w:rsid w:val="00543E19"/>
    <w:rsid w:val="0054441D"/>
    <w:rsid w:val="0054488B"/>
    <w:rsid w:val="00544F4D"/>
    <w:rsid w:val="00546AF4"/>
    <w:rsid w:val="00547F27"/>
    <w:rsid w:val="00552269"/>
    <w:rsid w:val="0055268D"/>
    <w:rsid w:val="0055426D"/>
    <w:rsid w:val="00560A6D"/>
    <w:rsid w:val="005628A0"/>
    <w:rsid w:val="00564014"/>
    <w:rsid w:val="00564BDE"/>
    <w:rsid w:val="00564BF4"/>
    <w:rsid w:val="0056694D"/>
    <w:rsid w:val="005734C5"/>
    <w:rsid w:val="005736A8"/>
    <w:rsid w:val="00573776"/>
    <w:rsid w:val="00574A4F"/>
    <w:rsid w:val="00576BE4"/>
    <w:rsid w:val="00576C9C"/>
    <w:rsid w:val="00577BEC"/>
    <w:rsid w:val="00577D61"/>
    <w:rsid w:val="00580316"/>
    <w:rsid w:val="0058157E"/>
    <w:rsid w:val="00582A5F"/>
    <w:rsid w:val="005856EF"/>
    <w:rsid w:val="00585B0A"/>
    <w:rsid w:val="00590BC7"/>
    <w:rsid w:val="00591AFB"/>
    <w:rsid w:val="00592E9D"/>
    <w:rsid w:val="0059361B"/>
    <w:rsid w:val="00594E16"/>
    <w:rsid w:val="0059642D"/>
    <w:rsid w:val="00596C76"/>
    <w:rsid w:val="005A00EB"/>
    <w:rsid w:val="005A272C"/>
    <w:rsid w:val="005A400A"/>
    <w:rsid w:val="005A41B6"/>
    <w:rsid w:val="005A54B2"/>
    <w:rsid w:val="005A712A"/>
    <w:rsid w:val="005B0492"/>
    <w:rsid w:val="005B0AB8"/>
    <w:rsid w:val="005B1A8A"/>
    <w:rsid w:val="005B6DC0"/>
    <w:rsid w:val="005B7ABF"/>
    <w:rsid w:val="005C03CF"/>
    <w:rsid w:val="005C0F08"/>
    <w:rsid w:val="005C6BC1"/>
    <w:rsid w:val="005C6D8F"/>
    <w:rsid w:val="005C7C48"/>
    <w:rsid w:val="005D2399"/>
    <w:rsid w:val="005D2F4D"/>
    <w:rsid w:val="005D48A0"/>
    <w:rsid w:val="005E42E7"/>
    <w:rsid w:val="005E7753"/>
    <w:rsid w:val="005F05B6"/>
    <w:rsid w:val="005F07D0"/>
    <w:rsid w:val="005F2D0F"/>
    <w:rsid w:val="005F4702"/>
    <w:rsid w:val="005F6C41"/>
    <w:rsid w:val="00602629"/>
    <w:rsid w:val="00604B14"/>
    <w:rsid w:val="00604C71"/>
    <w:rsid w:val="006054BD"/>
    <w:rsid w:val="00612379"/>
    <w:rsid w:val="0061555F"/>
    <w:rsid w:val="006164C9"/>
    <w:rsid w:val="00621D85"/>
    <w:rsid w:val="00623EC8"/>
    <w:rsid w:val="00624022"/>
    <w:rsid w:val="00627D20"/>
    <w:rsid w:val="00627E9B"/>
    <w:rsid w:val="00630469"/>
    <w:rsid w:val="00633612"/>
    <w:rsid w:val="00640655"/>
    <w:rsid w:val="00641200"/>
    <w:rsid w:val="00642212"/>
    <w:rsid w:val="00647670"/>
    <w:rsid w:val="0065047D"/>
    <w:rsid w:val="0065407E"/>
    <w:rsid w:val="006563B8"/>
    <w:rsid w:val="00662F2D"/>
    <w:rsid w:val="006655D0"/>
    <w:rsid w:val="006655D3"/>
    <w:rsid w:val="00666684"/>
    <w:rsid w:val="00666CCF"/>
    <w:rsid w:val="0066743C"/>
    <w:rsid w:val="006702DB"/>
    <w:rsid w:val="0067258F"/>
    <w:rsid w:val="00672703"/>
    <w:rsid w:val="006734DD"/>
    <w:rsid w:val="006753F4"/>
    <w:rsid w:val="00677D30"/>
    <w:rsid w:val="0068046C"/>
    <w:rsid w:val="006815BE"/>
    <w:rsid w:val="00686528"/>
    <w:rsid w:val="00686825"/>
    <w:rsid w:val="00687036"/>
    <w:rsid w:val="00687DB3"/>
    <w:rsid w:val="00687EB4"/>
    <w:rsid w:val="0069251C"/>
    <w:rsid w:val="00694A9E"/>
    <w:rsid w:val="006A1C56"/>
    <w:rsid w:val="006A5CC5"/>
    <w:rsid w:val="006A7060"/>
    <w:rsid w:val="006B17D2"/>
    <w:rsid w:val="006B35D5"/>
    <w:rsid w:val="006B4BAF"/>
    <w:rsid w:val="006B519E"/>
    <w:rsid w:val="006B5CF7"/>
    <w:rsid w:val="006C224E"/>
    <w:rsid w:val="006C45D7"/>
    <w:rsid w:val="006C620F"/>
    <w:rsid w:val="006C68F1"/>
    <w:rsid w:val="006D104A"/>
    <w:rsid w:val="006D73B9"/>
    <w:rsid w:val="006D780A"/>
    <w:rsid w:val="006D7B89"/>
    <w:rsid w:val="006E0CEB"/>
    <w:rsid w:val="006E2075"/>
    <w:rsid w:val="006E46D4"/>
    <w:rsid w:val="006E5C9E"/>
    <w:rsid w:val="006E65A5"/>
    <w:rsid w:val="006E6842"/>
    <w:rsid w:val="006E6D53"/>
    <w:rsid w:val="006E7F63"/>
    <w:rsid w:val="006F111A"/>
    <w:rsid w:val="006F1D93"/>
    <w:rsid w:val="006F2C82"/>
    <w:rsid w:val="006F3F35"/>
    <w:rsid w:val="007019F8"/>
    <w:rsid w:val="00703AC7"/>
    <w:rsid w:val="00710C52"/>
    <w:rsid w:val="007112D4"/>
    <w:rsid w:val="00712307"/>
    <w:rsid w:val="00712A49"/>
    <w:rsid w:val="00715588"/>
    <w:rsid w:val="0072229D"/>
    <w:rsid w:val="007239EE"/>
    <w:rsid w:val="00723E30"/>
    <w:rsid w:val="00725146"/>
    <w:rsid w:val="00731695"/>
    <w:rsid w:val="00731E33"/>
    <w:rsid w:val="00732DEC"/>
    <w:rsid w:val="00733924"/>
    <w:rsid w:val="00733F41"/>
    <w:rsid w:val="00735BD5"/>
    <w:rsid w:val="0074327C"/>
    <w:rsid w:val="00743772"/>
    <w:rsid w:val="00743EA8"/>
    <w:rsid w:val="00745418"/>
    <w:rsid w:val="00747D1C"/>
    <w:rsid w:val="00750B43"/>
    <w:rsid w:val="00751438"/>
    <w:rsid w:val="00751A2C"/>
    <w:rsid w:val="007521E7"/>
    <w:rsid w:val="0075479D"/>
    <w:rsid w:val="007556F6"/>
    <w:rsid w:val="00760EEF"/>
    <w:rsid w:val="0076108C"/>
    <w:rsid w:val="00765A39"/>
    <w:rsid w:val="00766297"/>
    <w:rsid w:val="00771F99"/>
    <w:rsid w:val="00772DA5"/>
    <w:rsid w:val="00773CB9"/>
    <w:rsid w:val="007763D3"/>
    <w:rsid w:val="00777EE5"/>
    <w:rsid w:val="0078137A"/>
    <w:rsid w:val="007844B7"/>
    <w:rsid w:val="00784836"/>
    <w:rsid w:val="00784D0F"/>
    <w:rsid w:val="007853AD"/>
    <w:rsid w:val="0079023E"/>
    <w:rsid w:val="007919C8"/>
    <w:rsid w:val="0079320A"/>
    <w:rsid w:val="00794E62"/>
    <w:rsid w:val="00797F0F"/>
    <w:rsid w:val="007A006F"/>
    <w:rsid w:val="007A1910"/>
    <w:rsid w:val="007A2854"/>
    <w:rsid w:val="007A5038"/>
    <w:rsid w:val="007A683A"/>
    <w:rsid w:val="007A7273"/>
    <w:rsid w:val="007A796C"/>
    <w:rsid w:val="007A7BF6"/>
    <w:rsid w:val="007B18F1"/>
    <w:rsid w:val="007B64A3"/>
    <w:rsid w:val="007C0C7B"/>
    <w:rsid w:val="007C49DF"/>
    <w:rsid w:val="007C4BE0"/>
    <w:rsid w:val="007D0B9D"/>
    <w:rsid w:val="007D19B0"/>
    <w:rsid w:val="007D1DFE"/>
    <w:rsid w:val="007D3A9D"/>
    <w:rsid w:val="007D6A26"/>
    <w:rsid w:val="007E20C2"/>
    <w:rsid w:val="007E3CC0"/>
    <w:rsid w:val="007F39C0"/>
    <w:rsid w:val="007F498F"/>
    <w:rsid w:val="007F55CF"/>
    <w:rsid w:val="007F5F1B"/>
    <w:rsid w:val="007F74E1"/>
    <w:rsid w:val="00800C19"/>
    <w:rsid w:val="00800D97"/>
    <w:rsid w:val="00802341"/>
    <w:rsid w:val="00805103"/>
    <w:rsid w:val="0080679D"/>
    <w:rsid w:val="008079C0"/>
    <w:rsid w:val="008108B0"/>
    <w:rsid w:val="00810D48"/>
    <w:rsid w:val="00811B20"/>
    <w:rsid w:val="00813D52"/>
    <w:rsid w:val="0081448D"/>
    <w:rsid w:val="008165D2"/>
    <w:rsid w:val="00820150"/>
    <w:rsid w:val="00820784"/>
    <w:rsid w:val="008227E2"/>
    <w:rsid w:val="0082296E"/>
    <w:rsid w:val="00823DEB"/>
    <w:rsid w:val="00824099"/>
    <w:rsid w:val="00824E13"/>
    <w:rsid w:val="00825310"/>
    <w:rsid w:val="00826B88"/>
    <w:rsid w:val="00830FBD"/>
    <w:rsid w:val="00831893"/>
    <w:rsid w:val="00832D4A"/>
    <w:rsid w:val="008334C6"/>
    <w:rsid w:val="00833832"/>
    <w:rsid w:val="00833F99"/>
    <w:rsid w:val="008346A7"/>
    <w:rsid w:val="0083739A"/>
    <w:rsid w:val="00840EF3"/>
    <w:rsid w:val="00844FE9"/>
    <w:rsid w:val="00845DE8"/>
    <w:rsid w:val="008464BF"/>
    <w:rsid w:val="00861251"/>
    <w:rsid w:val="00861785"/>
    <w:rsid w:val="00861A9D"/>
    <w:rsid w:val="00861F35"/>
    <w:rsid w:val="008624BD"/>
    <w:rsid w:val="008636D1"/>
    <w:rsid w:val="00863BC1"/>
    <w:rsid w:val="00864018"/>
    <w:rsid w:val="0086761D"/>
    <w:rsid w:val="00867978"/>
    <w:rsid w:val="00867AC1"/>
    <w:rsid w:val="00870C32"/>
    <w:rsid w:val="00870E4F"/>
    <w:rsid w:val="0087410A"/>
    <w:rsid w:val="008748AD"/>
    <w:rsid w:val="0087517C"/>
    <w:rsid w:val="00875356"/>
    <w:rsid w:val="0087678D"/>
    <w:rsid w:val="0088207B"/>
    <w:rsid w:val="0088373A"/>
    <w:rsid w:val="00883A64"/>
    <w:rsid w:val="00885F41"/>
    <w:rsid w:val="008926E9"/>
    <w:rsid w:val="00894290"/>
    <w:rsid w:val="0089473F"/>
    <w:rsid w:val="00894DAE"/>
    <w:rsid w:val="00897428"/>
    <w:rsid w:val="008A01C1"/>
    <w:rsid w:val="008A3C6D"/>
    <w:rsid w:val="008A46E9"/>
    <w:rsid w:val="008A6769"/>
    <w:rsid w:val="008A743F"/>
    <w:rsid w:val="008B0589"/>
    <w:rsid w:val="008B2E85"/>
    <w:rsid w:val="008B3BC2"/>
    <w:rsid w:val="008C0970"/>
    <w:rsid w:val="008C50C6"/>
    <w:rsid w:val="008C74EA"/>
    <w:rsid w:val="008D2084"/>
    <w:rsid w:val="008D2CF7"/>
    <w:rsid w:val="008D3D14"/>
    <w:rsid w:val="008D666B"/>
    <w:rsid w:val="008D724B"/>
    <w:rsid w:val="008E13BE"/>
    <w:rsid w:val="008E6152"/>
    <w:rsid w:val="008F04A8"/>
    <w:rsid w:val="008F1978"/>
    <w:rsid w:val="008F2999"/>
    <w:rsid w:val="008F29A0"/>
    <w:rsid w:val="008F406A"/>
    <w:rsid w:val="008F504D"/>
    <w:rsid w:val="008F5208"/>
    <w:rsid w:val="008F739A"/>
    <w:rsid w:val="008F7BEE"/>
    <w:rsid w:val="00900C26"/>
    <w:rsid w:val="0090197F"/>
    <w:rsid w:val="00901A3F"/>
    <w:rsid w:val="009023FE"/>
    <w:rsid w:val="009051E3"/>
    <w:rsid w:val="009054B3"/>
    <w:rsid w:val="00906084"/>
    <w:rsid w:val="00906DDC"/>
    <w:rsid w:val="00912061"/>
    <w:rsid w:val="00912918"/>
    <w:rsid w:val="0091418C"/>
    <w:rsid w:val="00916FF9"/>
    <w:rsid w:val="0092369E"/>
    <w:rsid w:val="00924BF6"/>
    <w:rsid w:val="009254E2"/>
    <w:rsid w:val="00927367"/>
    <w:rsid w:val="00927882"/>
    <w:rsid w:val="00932744"/>
    <w:rsid w:val="009336F5"/>
    <w:rsid w:val="00934E09"/>
    <w:rsid w:val="00936253"/>
    <w:rsid w:val="00936D47"/>
    <w:rsid w:val="009435E0"/>
    <w:rsid w:val="009459FD"/>
    <w:rsid w:val="00945E1D"/>
    <w:rsid w:val="009462BE"/>
    <w:rsid w:val="00947052"/>
    <w:rsid w:val="00951672"/>
    <w:rsid w:val="00952DD4"/>
    <w:rsid w:val="009537CD"/>
    <w:rsid w:val="00954D92"/>
    <w:rsid w:val="00954FEE"/>
    <w:rsid w:val="009650A8"/>
    <w:rsid w:val="009661FF"/>
    <w:rsid w:val="00966F8D"/>
    <w:rsid w:val="00970FED"/>
    <w:rsid w:val="00975155"/>
    <w:rsid w:val="00975801"/>
    <w:rsid w:val="00980796"/>
    <w:rsid w:val="00982BBD"/>
    <w:rsid w:val="00982D05"/>
    <w:rsid w:val="00983543"/>
    <w:rsid w:val="00985671"/>
    <w:rsid w:val="00986805"/>
    <w:rsid w:val="009873E2"/>
    <w:rsid w:val="0099183A"/>
    <w:rsid w:val="00997029"/>
    <w:rsid w:val="009A0C6D"/>
    <w:rsid w:val="009A43E0"/>
    <w:rsid w:val="009A7D81"/>
    <w:rsid w:val="009B050B"/>
    <w:rsid w:val="009B2CF3"/>
    <w:rsid w:val="009B3141"/>
    <w:rsid w:val="009C09CF"/>
    <w:rsid w:val="009C3190"/>
    <w:rsid w:val="009C7FA6"/>
    <w:rsid w:val="009D4E7F"/>
    <w:rsid w:val="009D690D"/>
    <w:rsid w:val="009D6D56"/>
    <w:rsid w:val="009D6F4A"/>
    <w:rsid w:val="009E0610"/>
    <w:rsid w:val="009E460B"/>
    <w:rsid w:val="009E65B6"/>
    <w:rsid w:val="009F4813"/>
    <w:rsid w:val="009F7D0F"/>
    <w:rsid w:val="00A0430F"/>
    <w:rsid w:val="00A044B1"/>
    <w:rsid w:val="00A04EFC"/>
    <w:rsid w:val="00A10711"/>
    <w:rsid w:val="00A1247F"/>
    <w:rsid w:val="00A14692"/>
    <w:rsid w:val="00A20E3E"/>
    <w:rsid w:val="00A23E72"/>
    <w:rsid w:val="00A2425F"/>
    <w:rsid w:val="00A24433"/>
    <w:rsid w:val="00A254E8"/>
    <w:rsid w:val="00A2550D"/>
    <w:rsid w:val="00A277DB"/>
    <w:rsid w:val="00A30A00"/>
    <w:rsid w:val="00A30DC2"/>
    <w:rsid w:val="00A313FF"/>
    <w:rsid w:val="00A32A3A"/>
    <w:rsid w:val="00A33199"/>
    <w:rsid w:val="00A364A8"/>
    <w:rsid w:val="00A36E5E"/>
    <w:rsid w:val="00A37115"/>
    <w:rsid w:val="00A42AC3"/>
    <w:rsid w:val="00A430CF"/>
    <w:rsid w:val="00A4464B"/>
    <w:rsid w:val="00A512D1"/>
    <w:rsid w:val="00A54309"/>
    <w:rsid w:val="00A563A0"/>
    <w:rsid w:val="00A56FAA"/>
    <w:rsid w:val="00A6021B"/>
    <w:rsid w:val="00A605B5"/>
    <w:rsid w:val="00A61FD3"/>
    <w:rsid w:val="00A62710"/>
    <w:rsid w:val="00A66F9D"/>
    <w:rsid w:val="00A6768A"/>
    <w:rsid w:val="00A7379A"/>
    <w:rsid w:val="00A76C15"/>
    <w:rsid w:val="00A803B6"/>
    <w:rsid w:val="00A82F8A"/>
    <w:rsid w:val="00A907A9"/>
    <w:rsid w:val="00A91598"/>
    <w:rsid w:val="00A9165A"/>
    <w:rsid w:val="00A9194C"/>
    <w:rsid w:val="00A92EF0"/>
    <w:rsid w:val="00A935A1"/>
    <w:rsid w:val="00AA4FA3"/>
    <w:rsid w:val="00AA504F"/>
    <w:rsid w:val="00AA55DB"/>
    <w:rsid w:val="00AA5E43"/>
    <w:rsid w:val="00AA6751"/>
    <w:rsid w:val="00AA6AAB"/>
    <w:rsid w:val="00AB2B93"/>
    <w:rsid w:val="00AB2FD6"/>
    <w:rsid w:val="00AB356A"/>
    <w:rsid w:val="00AB46C9"/>
    <w:rsid w:val="00AB4FA9"/>
    <w:rsid w:val="00AB50AA"/>
    <w:rsid w:val="00AB6C1D"/>
    <w:rsid w:val="00AB7E5B"/>
    <w:rsid w:val="00AC44FD"/>
    <w:rsid w:val="00AC6178"/>
    <w:rsid w:val="00AD68B9"/>
    <w:rsid w:val="00AE0EF1"/>
    <w:rsid w:val="00AE2937"/>
    <w:rsid w:val="00AE6CED"/>
    <w:rsid w:val="00AF1D3F"/>
    <w:rsid w:val="00AF4147"/>
    <w:rsid w:val="00AF5485"/>
    <w:rsid w:val="00AF6A71"/>
    <w:rsid w:val="00B033A1"/>
    <w:rsid w:val="00B05B2E"/>
    <w:rsid w:val="00B07301"/>
    <w:rsid w:val="00B2174D"/>
    <w:rsid w:val="00B21DDB"/>
    <w:rsid w:val="00B224DE"/>
    <w:rsid w:val="00B23485"/>
    <w:rsid w:val="00B247C0"/>
    <w:rsid w:val="00B25028"/>
    <w:rsid w:val="00B30112"/>
    <w:rsid w:val="00B31465"/>
    <w:rsid w:val="00B341DF"/>
    <w:rsid w:val="00B34608"/>
    <w:rsid w:val="00B365EB"/>
    <w:rsid w:val="00B36F59"/>
    <w:rsid w:val="00B40146"/>
    <w:rsid w:val="00B40331"/>
    <w:rsid w:val="00B408E2"/>
    <w:rsid w:val="00B412FA"/>
    <w:rsid w:val="00B4374D"/>
    <w:rsid w:val="00B43772"/>
    <w:rsid w:val="00B43D13"/>
    <w:rsid w:val="00B46181"/>
    <w:rsid w:val="00B46575"/>
    <w:rsid w:val="00B51392"/>
    <w:rsid w:val="00B5433B"/>
    <w:rsid w:val="00B555FC"/>
    <w:rsid w:val="00B56135"/>
    <w:rsid w:val="00B57933"/>
    <w:rsid w:val="00B6241B"/>
    <w:rsid w:val="00B677C3"/>
    <w:rsid w:val="00B713D0"/>
    <w:rsid w:val="00B742C5"/>
    <w:rsid w:val="00B813A3"/>
    <w:rsid w:val="00B81F11"/>
    <w:rsid w:val="00B83D8C"/>
    <w:rsid w:val="00B84BBD"/>
    <w:rsid w:val="00B91B85"/>
    <w:rsid w:val="00B941D1"/>
    <w:rsid w:val="00BA09A4"/>
    <w:rsid w:val="00BA2EB7"/>
    <w:rsid w:val="00BA43FB"/>
    <w:rsid w:val="00BB0CB1"/>
    <w:rsid w:val="00BB2484"/>
    <w:rsid w:val="00BB3B08"/>
    <w:rsid w:val="00BB5F95"/>
    <w:rsid w:val="00BC127D"/>
    <w:rsid w:val="00BC1FE6"/>
    <w:rsid w:val="00BC3800"/>
    <w:rsid w:val="00BC3DA1"/>
    <w:rsid w:val="00BC4E27"/>
    <w:rsid w:val="00BC5004"/>
    <w:rsid w:val="00BC5828"/>
    <w:rsid w:val="00BC5FC3"/>
    <w:rsid w:val="00BC78C1"/>
    <w:rsid w:val="00BD0402"/>
    <w:rsid w:val="00BD1766"/>
    <w:rsid w:val="00BD3112"/>
    <w:rsid w:val="00BD5B10"/>
    <w:rsid w:val="00BD6605"/>
    <w:rsid w:val="00BD724C"/>
    <w:rsid w:val="00BE0094"/>
    <w:rsid w:val="00BE0705"/>
    <w:rsid w:val="00BE1A20"/>
    <w:rsid w:val="00BE3493"/>
    <w:rsid w:val="00BE4BB1"/>
    <w:rsid w:val="00BF222C"/>
    <w:rsid w:val="00BF2668"/>
    <w:rsid w:val="00BF7D8A"/>
    <w:rsid w:val="00C00B12"/>
    <w:rsid w:val="00C01DCA"/>
    <w:rsid w:val="00C03801"/>
    <w:rsid w:val="00C061B6"/>
    <w:rsid w:val="00C102CC"/>
    <w:rsid w:val="00C10814"/>
    <w:rsid w:val="00C10899"/>
    <w:rsid w:val="00C12930"/>
    <w:rsid w:val="00C15C73"/>
    <w:rsid w:val="00C167EA"/>
    <w:rsid w:val="00C2446C"/>
    <w:rsid w:val="00C24C4B"/>
    <w:rsid w:val="00C2580D"/>
    <w:rsid w:val="00C26ECF"/>
    <w:rsid w:val="00C278D8"/>
    <w:rsid w:val="00C30A91"/>
    <w:rsid w:val="00C31057"/>
    <w:rsid w:val="00C36AE5"/>
    <w:rsid w:val="00C36E7B"/>
    <w:rsid w:val="00C40404"/>
    <w:rsid w:val="00C41F17"/>
    <w:rsid w:val="00C42086"/>
    <w:rsid w:val="00C44A0E"/>
    <w:rsid w:val="00C47425"/>
    <w:rsid w:val="00C503CA"/>
    <w:rsid w:val="00C51D44"/>
    <w:rsid w:val="00C5280D"/>
    <w:rsid w:val="00C52BE0"/>
    <w:rsid w:val="00C53C58"/>
    <w:rsid w:val="00C5619B"/>
    <w:rsid w:val="00C5791C"/>
    <w:rsid w:val="00C60FC3"/>
    <w:rsid w:val="00C63377"/>
    <w:rsid w:val="00C633DC"/>
    <w:rsid w:val="00C64A87"/>
    <w:rsid w:val="00C651CE"/>
    <w:rsid w:val="00C66290"/>
    <w:rsid w:val="00C72B7A"/>
    <w:rsid w:val="00C73E3F"/>
    <w:rsid w:val="00C74154"/>
    <w:rsid w:val="00C7415A"/>
    <w:rsid w:val="00C748F5"/>
    <w:rsid w:val="00C74975"/>
    <w:rsid w:val="00C74C0E"/>
    <w:rsid w:val="00C75F43"/>
    <w:rsid w:val="00C77C8E"/>
    <w:rsid w:val="00C8018D"/>
    <w:rsid w:val="00C81209"/>
    <w:rsid w:val="00C83644"/>
    <w:rsid w:val="00C84703"/>
    <w:rsid w:val="00C84C22"/>
    <w:rsid w:val="00C87358"/>
    <w:rsid w:val="00C910D6"/>
    <w:rsid w:val="00C9140C"/>
    <w:rsid w:val="00C92558"/>
    <w:rsid w:val="00C94B58"/>
    <w:rsid w:val="00C95616"/>
    <w:rsid w:val="00C959F4"/>
    <w:rsid w:val="00C973F2"/>
    <w:rsid w:val="00CA0B03"/>
    <w:rsid w:val="00CA0EE8"/>
    <w:rsid w:val="00CA304C"/>
    <w:rsid w:val="00CA6411"/>
    <w:rsid w:val="00CA774A"/>
    <w:rsid w:val="00CB05D4"/>
    <w:rsid w:val="00CB16D2"/>
    <w:rsid w:val="00CB1F2E"/>
    <w:rsid w:val="00CB4D5C"/>
    <w:rsid w:val="00CC0A00"/>
    <w:rsid w:val="00CC11B0"/>
    <w:rsid w:val="00CC201B"/>
    <w:rsid w:val="00CC6381"/>
    <w:rsid w:val="00CC7426"/>
    <w:rsid w:val="00CD036D"/>
    <w:rsid w:val="00CD37DB"/>
    <w:rsid w:val="00CD4848"/>
    <w:rsid w:val="00CD5903"/>
    <w:rsid w:val="00CD63F6"/>
    <w:rsid w:val="00CD73E4"/>
    <w:rsid w:val="00CD7929"/>
    <w:rsid w:val="00CE2F4B"/>
    <w:rsid w:val="00CE63AF"/>
    <w:rsid w:val="00CE6690"/>
    <w:rsid w:val="00CE6A57"/>
    <w:rsid w:val="00CE6BAE"/>
    <w:rsid w:val="00CE77D2"/>
    <w:rsid w:val="00CF5DC2"/>
    <w:rsid w:val="00CF7B36"/>
    <w:rsid w:val="00CF7E36"/>
    <w:rsid w:val="00D00254"/>
    <w:rsid w:val="00D009EB"/>
    <w:rsid w:val="00D02528"/>
    <w:rsid w:val="00D02A51"/>
    <w:rsid w:val="00D07DCB"/>
    <w:rsid w:val="00D1203D"/>
    <w:rsid w:val="00D1480B"/>
    <w:rsid w:val="00D161D5"/>
    <w:rsid w:val="00D20C5F"/>
    <w:rsid w:val="00D219B6"/>
    <w:rsid w:val="00D22194"/>
    <w:rsid w:val="00D22364"/>
    <w:rsid w:val="00D25549"/>
    <w:rsid w:val="00D25EA1"/>
    <w:rsid w:val="00D26CA4"/>
    <w:rsid w:val="00D26F1B"/>
    <w:rsid w:val="00D27D72"/>
    <w:rsid w:val="00D3708D"/>
    <w:rsid w:val="00D378D7"/>
    <w:rsid w:val="00D402F4"/>
    <w:rsid w:val="00D40426"/>
    <w:rsid w:val="00D4043D"/>
    <w:rsid w:val="00D425DF"/>
    <w:rsid w:val="00D44373"/>
    <w:rsid w:val="00D52046"/>
    <w:rsid w:val="00D55C11"/>
    <w:rsid w:val="00D560BF"/>
    <w:rsid w:val="00D57452"/>
    <w:rsid w:val="00D57C96"/>
    <w:rsid w:val="00D6058C"/>
    <w:rsid w:val="00D60F49"/>
    <w:rsid w:val="00D61F2D"/>
    <w:rsid w:val="00D63ADC"/>
    <w:rsid w:val="00D657EB"/>
    <w:rsid w:val="00D70E53"/>
    <w:rsid w:val="00D71747"/>
    <w:rsid w:val="00D74B12"/>
    <w:rsid w:val="00D76CC0"/>
    <w:rsid w:val="00D76D72"/>
    <w:rsid w:val="00D80250"/>
    <w:rsid w:val="00D8152B"/>
    <w:rsid w:val="00D8383D"/>
    <w:rsid w:val="00D91203"/>
    <w:rsid w:val="00D9141A"/>
    <w:rsid w:val="00D9163B"/>
    <w:rsid w:val="00D947A0"/>
    <w:rsid w:val="00D95174"/>
    <w:rsid w:val="00D95F6E"/>
    <w:rsid w:val="00D9726B"/>
    <w:rsid w:val="00DA5DF2"/>
    <w:rsid w:val="00DA6F36"/>
    <w:rsid w:val="00DA71E3"/>
    <w:rsid w:val="00DB1F4F"/>
    <w:rsid w:val="00DB3682"/>
    <w:rsid w:val="00DB3A3F"/>
    <w:rsid w:val="00DB4F34"/>
    <w:rsid w:val="00DB596E"/>
    <w:rsid w:val="00DC00EA"/>
    <w:rsid w:val="00DC0607"/>
    <w:rsid w:val="00DC145E"/>
    <w:rsid w:val="00DC300B"/>
    <w:rsid w:val="00DD1A15"/>
    <w:rsid w:val="00DD25C7"/>
    <w:rsid w:val="00DD2BD5"/>
    <w:rsid w:val="00DD4A16"/>
    <w:rsid w:val="00DD4D33"/>
    <w:rsid w:val="00DD668B"/>
    <w:rsid w:val="00DE0B9D"/>
    <w:rsid w:val="00DE1422"/>
    <w:rsid w:val="00DE50BD"/>
    <w:rsid w:val="00DE5C37"/>
    <w:rsid w:val="00DE5D83"/>
    <w:rsid w:val="00DE5DDF"/>
    <w:rsid w:val="00DF0208"/>
    <w:rsid w:val="00DF14AB"/>
    <w:rsid w:val="00DF5766"/>
    <w:rsid w:val="00DF6B19"/>
    <w:rsid w:val="00DF70FA"/>
    <w:rsid w:val="00E0052E"/>
    <w:rsid w:val="00E021C3"/>
    <w:rsid w:val="00E04825"/>
    <w:rsid w:val="00E063A7"/>
    <w:rsid w:val="00E1136D"/>
    <w:rsid w:val="00E129BA"/>
    <w:rsid w:val="00E14145"/>
    <w:rsid w:val="00E163EA"/>
    <w:rsid w:val="00E2168C"/>
    <w:rsid w:val="00E26886"/>
    <w:rsid w:val="00E26EBD"/>
    <w:rsid w:val="00E27085"/>
    <w:rsid w:val="00E32F43"/>
    <w:rsid w:val="00E32F7E"/>
    <w:rsid w:val="00E32FB5"/>
    <w:rsid w:val="00E36ABA"/>
    <w:rsid w:val="00E40312"/>
    <w:rsid w:val="00E4191D"/>
    <w:rsid w:val="00E432AA"/>
    <w:rsid w:val="00E4389B"/>
    <w:rsid w:val="00E4477A"/>
    <w:rsid w:val="00E44804"/>
    <w:rsid w:val="00E50953"/>
    <w:rsid w:val="00E527FD"/>
    <w:rsid w:val="00E5280F"/>
    <w:rsid w:val="00E52826"/>
    <w:rsid w:val="00E52B14"/>
    <w:rsid w:val="00E53414"/>
    <w:rsid w:val="00E5359F"/>
    <w:rsid w:val="00E537FD"/>
    <w:rsid w:val="00E5455E"/>
    <w:rsid w:val="00E559E2"/>
    <w:rsid w:val="00E60EAC"/>
    <w:rsid w:val="00E61F11"/>
    <w:rsid w:val="00E6287F"/>
    <w:rsid w:val="00E631B8"/>
    <w:rsid w:val="00E72D49"/>
    <w:rsid w:val="00E74379"/>
    <w:rsid w:val="00E7593C"/>
    <w:rsid w:val="00E7613A"/>
    <w:rsid w:val="00E7678A"/>
    <w:rsid w:val="00E819CA"/>
    <w:rsid w:val="00E87E10"/>
    <w:rsid w:val="00E91F2A"/>
    <w:rsid w:val="00E934E3"/>
    <w:rsid w:val="00E935F1"/>
    <w:rsid w:val="00E94A81"/>
    <w:rsid w:val="00E96460"/>
    <w:rsid w:val="00EA169B"/>
    <w:rsid w:val="00EA1B6B"/>
    <w:rsid w:val="00EA1FFB"/>
    <w:rsid w:val="00EA5981"/>
    <w:rsid w:val="00EB048E"/>
    <w:rsid w:val="00EB43E6"/>
    <w:rsid w:val="00EB44FC"/>
    <w:rsid w:val="00EB4754"/>
    <w:rsid w:val="00EB577F"/>
    <w:rsid w:val="00EC17A9"/>
    <w:rsid w:val="00ED0371"/>
    <w:rsid w:val="00ED04DB"/>
    <w:rsid w:val="00ED0FC4"/>
    <w:rsid w:val="00ED2CF4"/>
    <w:rsid w:val="00ED4509"/>
    <w:rsid w:val="00ED58CB"/>
    <w:rsid w:val="00EE34DF"/>
    <w:rsid w:val="00EE4F56"/>
    <w:rsid w:val="00EE68A4"/>
    <w:rsid w:val="00EF0924"/>
    <w:rsid w:val="00EF27E4"/>
    <w:rsid w:val="00EF2F89"/>
    <w:rsid w:val="00EF648D"/>
    <w:rsid w:val="00EF6671"/>
    <w:rsid w:val="00EF7089"/>
    <w:rsid w:val="00F0556A"/>
    <w:rsid w:val="00F05ABB"/>
    <w:rsid w:val="00F101BB"/>
    <w:rsid w:val="00F111CB"/>
    <w:rsid w:val="00F1237A"/>
    <w:rsid w:val="00F12918"/>
    <w:rsid w:val="00F1525A"/>
    <w:rsid w:val="00F176AD"/>
    <w:rsid w:val="00F22A01"/>
    <w:rsid w:val="00F22CBD"/>
    <w:rsid w:val="00F22DF1"/>
    <w:rsid w:val="00F234F1"/>
    <w:rsid w:val="00F25260"/>
    <w:rsid w:val="00F2743C"/>
    <w:rsid w:val="00F30DC5"/>
    <w:rsid w:val="00F345B3"/>
    <w:rsid w:val="00F36F8E"/>
    <w:rsid w:val="00F40261"/>
    <w:rsid w:val="00F41F19"/>
    <w:rsid w:val="00F4415D"/>
    <w:rsid w:val="00F44551"/>
    <w:rsid w:val="00F44916"/>
    <w:rsid w:val="00F45372"/>
    <w:rsid w:val="00F518F4"/>
    <w:rsid w:val="00F530C4"/>
    <w:rsid w:val="00F560F7"/>
    <w:rsid w:val="00F56C99"/>
    <w:rsid w:val="00F57DB7"/>
    <w:rsid w:val="00F62A74"/>
    <w:rsid w:val="00F6334D"/>
    <w:rsid w:val="00F65A9A"/>
    <w:rsid w:val="00F66181"/>
    <w:rsid w:val="00F664F7"/>
    <w:rsid w:val="00F70353"/>
    <w:rsid w:val="00F71301"/>
    <w:rsid w:val="00F71DB7"/>
    <w:rsid w:val="00F72161"/>
    <w:rsid w:val="00F72329"/>
    <w:rsid w:val="00F73054"/>
    <w:rsid w:val="00F7794F"/>
    <w:rsid w:val="00F80602"/>
    <w:rsid w:val="00F810E2"/>
    <w:rsid w:val="00F820B1"/>
    <w:rsid w:val="00F82E0E"/>
    <w:rsid w:val="00F83947"/>
    <w:rsid w:val="00F85203"/>
    <w:rsid w:val="00F8767D"/>
    <w:rsid w:val="00F908F7"/>
    <w:rsid w:val="00F91FFF"/>
    <w:rsid w:val="00F93FA5"/>
    <w:rsid w:val="00F95959"/>
    <w:rsid w:val="00F9684C"/>
    <w:rsid w:val="00FA000A"/>
    <w:rsid w:val="00FA2EB4"/>
    <w:rsid w:val="00FA3DA0"/>
    <w:rsid w:val="00FA49AB"/>
    <w:rsid w:val="00FB724F"/>
    <w:rsid w:val="00FC02D7"/>
    <w:rsid w:val="00FC5B1F"/>
    <w:rsid w:val="00FD232B"/>
    <w:rsid w:val="00FD44F9"/>
    <w:rsid w:val="00FD4954"/>
    <w:rsid w:val="00FD7070"/>
    <w:rsid w:val="00FE0981"/>
    <w:rsid w:val="00FE39C7"/>
    <w:rsid w:val="00FE48AC"/>
    <w:rsid w:val="00FF1A62"/>
    <w:rsid w:val="00FF1B68"/>
  </w:rsids>
  <m:mathPr>
    <m:mathFont m:val="Cambria Math"/>
    <m:brkBin m:val="before"/>
    <m:brkBinSub m:val="--"/>
    <m:smallFrac m:val="0"/>
    <m:dispDef/>
    <m:lMargin m:val="0"/>
    <m:rMargin m:val="0"/>
    <m:defJc m:val="centerGroup"/>
    <m:wrapIndent m:val="1440"/>
    <m:intLim m:val="subSup"/>
    <m:naryLim m:val="undOvr"/>
  </m:mathPr>
  <w:themeFontLang w:val="es-ES_tradnl"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D1A15"/>
    <w:pPr>
      <w:jc w:val="both"/>
    </w:pPr>
    <w:rPr>
      <w:rFonts w:ascii="Arial" w:hAnsi="Arial"/>
      <w:sz w:val="20"/>
      <w:szCs w:val="20"/>
      <w:lang w:val="en-US" w:eastAsia="en-US"/>
    </w:rPr>
  </w:style>
  <w:style w:type="paragraph" w:styleId="Heading1">
    <w:name w:val="heading 1"/>
    <w:basedOn w:val="Normal"/>
    <w:next w:val="Normal"/>
    <w:link w:val="Heading1Char"/>
    <w:autoRedefine/>
    <w:uiPriority w:val="99"/>
    <w:qFormat/>
    <w:rsid w:val="00F345B3"/>
    <w:pPr>
      <w:keepNext/>
      <w:outlineLvl w:val="0"/>
    </w:pPr>
    <w:rPr>
      <w:caps/>
    </w:rPr>
  </w:style>
  <w:style w:type="paragraph" w:styleId="Heading2">
    <w:name w:val="heading 2"/>
    <w:basedOn w:val="Normal"/>
    <w:next w:val="Normal"/>
    <w:link w:val="Heading2Char"/>
    <w:autoRedefine/>
    <w:uiPriority w:val="99"/>
    <w:qFormat/>
    <w:rsid w:val="00F345B3"/>
    <w:pPr>
      <w:keepNext/>
      <w:outlineLvl w:val="1"/>
    </w:pPr>
    <w:rPr>
      <w:u w:val="single"/>
    </w:rPr>
  </w:style>
  <w:style w:type="paragraph" w:styleId="Heading3">
    <w:name w:val="heading 3"/>
    <w:basedOn w:val="Normal"/>
    <w:next w:val="Normal"/>
    <w:link w:val="Heading3Char"/>
    <w:autoRedefine/>
    <w:uiPriority w:val="99"/>
    <w:qFormat/>
    <w:rsid w:val="00F345B3"/>
    <w:pPr>
      <w:keepNext/>
      <w:outlineLvl w:val="2"/>
    </w:pPr>
    <w:rPr>
      <w:b/>
      <w:caps/>
      <w:sz w:val="18"/>
    </w:rPr>
  </w:style>
  <w:style w:type="paragraph" w:styleId="Heading4">
    <w:name w:val="heading 4"/>
    <w:basedOn w:val="Normal"/>
    <w:next w:val="Normal"/>
    <w:link w:val="Heading4Char"/>
    <w:autoRedefine/>
    <w:uiPriority w:val="99"/>
    <w:qFormat/>
    <w:rsid w:val="00F345B3"/>
    <w:pPr>
      <w:keepNext/>
      <w:outlineLvl w:val="3"/>
    </w:pPr>
    <w:rPr>
      <w:b/>
      <w:smallCaps/>
    </w:rPr>
  </w:style>
  <w:style w:type="paragraph" w:styleId="Heading5">
    <w:name w:val="heading 5"/>
    <w:basedOn w:val="Normal"/>
    <w:next w:val="Normal"/>
    <w:link w:val="Heading5Char"/>
    <w:autoRedefine/>
    <w:uiPriority w:val="99"/>
    <w:qFormat/>
    <w:rsid w:val="000476CE"/>
    <w:pPr>
      <w:keepNext/>
      <w:outlineLvl w:val="4"/>
    </w:pPr>
    <w:rPr>
      <w:b/>
      <w:sz w:val="18"/>
    </w:rPr>
  </w:style>
  <w:style w:type="paragraph" w:styleId="Heading6">
    <w:name w:val="heading 6"/>
    <w:basedOn w:val="Normal"/>
    <w:next w:val="Normal"/>
    <w:link w:val="Heading6Char"/>
    <w:uiPriority w:val="99"/>
    <w:qFormat/>
    <w:rsid w:val="00114294"/>
    <w:pPr>
      <w:jc w:val="left"/>
      <w:outlineLvl w:val="5"/>
    </w:pPr>
    <w:rPr>
      <w:bCs/>
      <w:i/>
      <w:sz w:val="18"/>
      <w:szCs w:val="22"/>
    </w:rPr>
  </w:style>
  <w:style w:type="paragraph" w:styleId="Heading7">
    <w:name w:val="heading 7"/>
    <w:basedOn w:val="Normal"/>
    <w:next w:val="Normal"/>
    <w:link w:val="Heading7Char"/>
    <w:autoRedefine/>
    <w:uiPriority w:val="99"/>
    <w:qFormat/>
    <w:rsid w:val="00F345B3"/>
    <w:pPr>
      <w:spacing w:after="240"/>
      <w:outlineLvl w:val="6"/>
    </w:pPr>
    <w:rPr>
      <w:b/>
      <w:sz w:val="18"/>
      <w:szCs w:val="24"/>
    </w:rPr>
  </w:style>
  <w:style w:type="paragraph" w:styleId="Heading8">
    <w:name w:val="heading 8"/>
    <w:basedOn w:val="Normal"/>
    <w:next w:val="Normal"/>
    <w:link w:val="Heading8Char"/>
    <w:uiPriority w:val="99"/>
    <w:qFormat/>
    <w:rsid w:val="00301C4E"/>
    <w:pPr>
      <w:spacing w:after="240"/>
      <w:jc w:val="left"/>
      <w:outlineLvl w:val="7"/>
    </w:pPr>
    <w:rPr>
      <w:i/>
      <w:iCs/>
      <w:sz w:val="18"/>
      <w:szCs w:val="24"/>
    </w:rPr>
  </w:style>
  <w:style w:type="paragraph" w:styleId="Heading9">
    <w:name w:val="heading 9"/>
    <w:basedOn w:val="Normal"/>
    <w:next w:val="Normal"/>
    <w:link w:val="Heading9Char"/>
    <w:uiPriority w:val="99"/>
    <w:qFormat/>
    <w:rsid w:val="00301C4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2FB5"/>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E32FB5"/>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E32FB5"/>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E32FB5"/>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E32FB5"/>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locked/>
    <w:rsid w:val="00114294"/>
    <w:rPr>
      <w:rFonts w:ascii="Arial" w:hAnsi="Arial" w:cs="Times New Roman"/>
      <w:bCs/>
      <w:i/>
      <w:sz w:val="22"/>
      <w:szCs w:val="22"/>
    </w:rPr>
  </w:style>
  <w:style w:type="character" w:customStyle="1" w:styleId="Heading7Char">
    <w:name w:val="Heading 7 Char"/>
    <w:basedOn w:val="DefaultParagraphFont"/>
    <w:link w:val="Heading7"/>
    <w:uiPriority w:val="99"/>
    <w:locked/>
    <w:rsid w:val="00C74C0E"/>
    <w:rPr>
      <w:rFonts w:ascii="Arial" w:hAnsi="Arial" w:cs="Times New Roman"/>
      <w:b/>
      <w:sz w:val="24"/>
      <w:szCs w:val="24"/>
    </w:rPr>
  </w:style>
  <w:style w:type="character" w:customStyle="1" w:styleId="Heading8Char">
    <w:name w:val="Heading 8 Char"/>
    <w:basedOn w:val="DefaultParagraphFont"/>
    <w:link w:val="Heading8"/>
    <w:uiPriority w:val="99"/>
    <w:locked/>
    <w:rsid w:val="00C74C0E"/>
    <w:rPr>
      <w:rFonts w:ascii="Arial" w:hAnsi="Arial" w:cs="Times New Roman"/>
      <w:i/>
      <w:iCs/>
      <w:sz w:val="24"/>
      <w:szCs w:val="24"/>
    </w:rPr>
  </w:style>
  <w:style w:type="character" w:customStyle="1" w:styleId="Heading9Char">
    <w:name w:val="Heading 9 Char"/>
    <w:basedOn w:val="DefaultParagraphFont"/>
    <w:link w:val="Heading9"/>
    <w:uiPriority w:val="99"/>
    <w:semiHidden/>
    <w:locked/>
    <w:rsid w:val="00E32FB5"/>
    <w:rPr>
      <w:rFonts w:ascii="Cambria" w:hAnsi="Cambria" w:cs="Times New Roman"/>
      <w:lang w:val="en-US" w:eastAsia="en-US"/>
    </w:rPr>
  </w:style>
  <w:style w:type="paragraph" w:styleId="Header">
    <w:name w:val="header"/>
    <w:basedOn w:val="Normal"/>
    <w:link w:val="HeaderChar"/>
    <w:autoRedefine/>
    <w:uiPriority w:val="99"/>
    <w:rsid w:val="0033507D"/>
    <w:pPr>
      <w:tabs>
        <w:tab w:val="center" w:pos="4536"/>
        <w:tab w:val="right" w:pos="9072"/>
      </w:tabs>
      <w:jc w:val="center"/>
    </w:pPr>
    <w:rPr>
      <w:lang w:val="fr-FR"/>
    </w:rPr>
  </w:style>
  <w:style w:type="character" w:customStyle="1" w:styleId="HeaderChar">
    <w:name w:val="Header Char"/>
    <w:basedOn w:val="DefaultParagraphFont"/>
    <w:link w:val="Header"/>
    <w:uiPriority w:val="99"/>
    <w:semiHidden/>
    <w:locked/>
    <w:rsid w:val="00E32FB5"/>
    <w:rPr>
      <w:rFonts w:ascii="Arial" w:hAnsi="Arial" w:cs="Times New Roman"/>
      <w:sz w:val="20"/>
      <w:szCs w:val="20"/>
      <w:lang w:val="en-US" w:eastAsia="en-US"/>
    </w:rPr>
  </w:style>
  <w:style w:type="paragraph" w:styleId="Footer">
    <w:name w:val="footer"/>
    <w:aliases w:val="doc_path_name"/>
    <w:basedOn w:val="Normal"/>
    <w:link w:val="FooterChar"/>
    <w:autoRedefine/>
    <w:uiPriority w:val="99"/>
    <w:rsid w:val="0033507D"/>
    <w:rPr>
      <w:sz w:val="14"/>
    </w:rPr>
  </w:style>
  <w:style w:type="character" w:customStyle="1" w:styleId="FooterChar">
    <w:name w:val="Footer Char"/>
    <w:aliases w:val="doc_path_name Char"/>
    <w:basedOn w:val="DefaultParagraphFont"/>
    <w:link w:val="Footer"/>
    <w:uiPriority w:val="99"/>
    <w:semiHidden/>
    <w:locked/>
    <w:rsid w:val="00E32FB5"/>
    <w:rPr>
      <w:rFonts w:ascii="Arial" w:hAnsi="Arial" w:cs="Times New Roman"/>
      <w:sz w:val="20"/>
      <w:szCs w:val="20"/>
      <w:lang w:val="en-US" w:eastAsia="en-US"/>
    </w:rPr>
  </w:style>
  <w:style w:type="character" w:styleId="PageNumber">
    <w:name w:val="page number"/>
    <w:basedOn w:val="DefaultParagraphFont"/>
    <w:uiPriority w:val="99"/>
    <w:rsid w:val="0033507D"/>
    <w:rPr>
      <w:rFonts w:ascii="Arial" w:hAnsi="Arial" w:cs="Times New Roman"/>
      <w:sz w:val="20"/>
    </w:rPr>
  </w:style>
  <w:style w:type="paragraph" w:styleId="Title">
    <w:name w:val="Title"/>
    <w:basedOn w:val="Normal"/>
    <w:link w:val="TitleChar"/>
    <w:uiPriority w:val="99"/>
    <w:qFormat/>
    <w:rsid w:val="0033507D"/>
    <w:pPr>
      <w:spacing w:after="300"/>
      <w:jc w:val="center"/>
    </w:pPr>
    <w:rPr>
      <w:b/>
      <w:caps/>
      <w:kern w:val="28"/>
      <w:sz w:val="30"/>
    </w:rPr>
  </w:style>
  <w:style w:type="character" w:customStyle="1" w:styleId="TitleChar">
    <w:name w:val="Title Char"/>
    <w:basedOn w:val="DefaultParagraphFont"/>
    <w:link w:val="Title"/>
    <w:uiPriority w:val="99"/>
    <w:locked/>
    <w:rsid w:val="00E32FB5"/>
    <w:rPr>
      <w:rFonts w:ascii="Cambria" w:hAnsi="Cambria" w:cs="Times New Roman"/>
      <w:b/>
      <w:bCs/>
      <w:kern w:val="28"/>
      <w:sz w:val="32"/>
      <w:szCs w:val="32"/>
      <w:lang w:val="en-US" w:eastAsia="en-US"/>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uiPriority w:val="99"/>
    <w:rsid w:val="0033507D"/>
    <w:pPr>
      <w:tabs>
        <w:tab w:val="left" w:pos="5387"/>
      </w:tabs>
      <w:ind w:left="4820"/>
    </w:pPr>
    <w:rPr>
      <w:i/>
    </w:rPr>
  </w:style>
  <w:style w:type="paragraph" w:styleId="FootnoteText">
    <w:name w:val="footnote text"/>
    <w:aliases w:val="fn,Geneva 9,Font: Geneva 9,Boston 10,f,ft,Fotnotstext Char,ft Char,single space,FOOTNOTES,ADB,single space1,footnote text1,FOOTNOTES1,fn1,ADB1,single space2"/>
    <w:basedOn w:val="Normal"/>
    <w:link w:val="FootnoteTextChar1"/>
    <w:uiPriority w:val="99"/>
    <w:rsid w:val="00577BEC"/>
    <w:pPr>
      <w:tabs>
        <w:tab w:val="left" w:pos="284"/>
      </w:tabs>
      <w:spacing w:before="60"/>
      <w:ind w:left="284" w:hanging="284"/>
    </w:pPr>
    <w:rPr>
      <w:sz w:val="16"/>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
    <w:basedOn w:val="DefaultParagraphFont"/>
    <w:uiPriority w:val="99"/>
    <w:semiHidden/>
    <w:locked/>
    <w:rsid w:val="00E32FB5"/>
    <w:rPr>
      <w:rFonts w:ascii="Arial" w:hAnsi="Arial" w:cs="Times New Roman"/>
      <w:sz w:val="20"/>
      <w:szCs w:val="20"/>
      <w:lang w:val="en-US" w:eastAsia="en-US"/>
    </w:rPr>
  </w:style>
  <w:style w:type="character" w:styleId="FootnoteReference">
    <w:name w:val="footnote reference"/>
    <w:basedOn w:val="DefaultParagraphFont"/>
    <w:uiPriority w:val="99"/>
    <w:rsid w:val="00577BEC"/>
    <w:rPr>
      <w:rFonts w:ascii="Arial" w:hAnsi="Arial" w:cs="Times New Roman"/>
      <w:sz w:val="16"/>
      <w:vertAlign w:val="superscript"/>
    </w:rPr>
  </w:style>
  <w:style w:type="paragraph" w:styleId="Closing">
    <w:name w:val="Closing"/>
    <w:basedOn w:val="Normal"/>
    <w:link w:val="ClosingChar"/>
    <w:uiPriority w:val="99"/>
    <w:rsid w:val="0033507D"/>
    <w:pPr>
      <w:ind w:left="4536"/>
      <w:jc w:val="center"/>
    </w:pPr>
  </w:style>
  <w:style w:type="character" w:customStyle="1" w:styleId="ClosingChar">
    <w:name w:val="Closing Char"/>
    <w:basedOn w:val="DefaultParagraphFont"/>
    <w:link w:val="Closing"/>
    <w:uiPriority w:val="99"/>
    <w:semiHidden/>
    <w:locked/>
    <w:rsid w:val="00E32FB5"/>
    <w:rPr>
      <w:rFonts w:ascii="Arial" w:hAnsi="Arial" w:cs="Times New Roman"/>
      <w:sz w:val="20"/>
      <w:szCs w:val="20"/>
      <w:lang w:val="en-US" w:eastAsia="en-US"/>
    </w:rPr>
  </w:style>
  <w:style w:type="paragraph" w:styleId="Index1">
    <w:name w:val="index 1"/>
    <w:basedOn w:val="Normal"/>
    <w:next w:val="Normal"/>
    <w:uiPriority w:val="99"/>
    <w:semiHidden/>
    <w:rsid w:val="0033507D"/>
    <w:pPr>
      <w:tabs>
        <w:tab w:val="right" w:leader="dot" w:pos="9071"/>
      </w:tabs>
      <w:ind w:left="284" w:hanging="284"/>
    </w:pPr>
    <w:rPr>
      <w:sz w:val="24"/>
    </w:rPr>
  </w:style>
  <w:style w:type="paragraph" w:styleId="Index2">
    <w:name w:val="index 2"/>
    <w:basedOn w:val="Normal"/>
    <w:next w:val="Normal"/>
    <w:uiPriority w:val="99"/>
    <w:semiHidden/>
    <w:rsid w:val="0033507D"/>
    <w:pPr>
      <w:tabs>
        <w:tab w:val="right" w:leader="dot" w:pos="9071"/>
      </w:tabs>
      <w:ind w:left="568" w:hanging="284"/>
    </w:pPr>
    <w:rPr>
      <w:sz w:val="24"/>
    </w:rPr>
  </w:style>
  <w:style w:type="paragraph" w:styleId="Index3">
    <w:name w:val="index 3"/>
    <w:basedOn w:val="Normal"/>
    <w:next w:val="Normal"/>
    <w:uiPriority w:val="99"/>
    <w:semiHidden/>
    <w:rsid w:val="0033507D"/>
    <w:pPr>
      <w:tabs>
        <w:tab w:val="right" w:leader="dot" w:pos="9071"/>
      </w:tabs>
      <w:ind w:left="851" w:hanging="284"/>
    </w:pPr>
    <w:rPr>
      <w:sz w:val="24"/>
    </w:rPr>
  </w:style>
  <w:style w:type="paragraph" w:styleId="MacroText">
    <w:name w:val="macro"/>
    <w:link w:val="MacroTextChar"/>
    <w:uiPriority w:val="99"/>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E32FB5"/>
    <w:rPr>
      <w:rFonts w:ascii="Courier New" w:hAnsi="Courier New" w:cs="Times New Roman"/>
      <w:sz w:val="16"/>
      <w:lang w:val="en-US" w:eastAsia="en-US" w:bidi="ar-SA"/>
    </w:rPr>
  </w:style>
  <w:style w:type="paragraph" w:styleId="Signature">
    <w:name w:val="Signature"/>
    <w:basedOn w:val="Normal"/>
    <w:link w:val="SignatureChar"/>
    <w:uiPriority w:val="99"/>
    <w:rsid w:val="0033507D"/>
    <w:pPr>
      <w:ind w:left="4536"/>
      <w:jc w:val="center"/>
    </w:pPr>
  </w:style>
  <w:style w:type="character" w:customStyle="1" w:styleId="SignatureChar">
    <w:name w:val="Signature Char"/>
    <w:basedOn w:val="DefaultParagraphFont"/>
    <w:link w:val="Signature"/>
    <w:uiPriority w:val="99"/>
    <w:semiHidden/>
    <w:locked/>
    <w:rsid w:val="00E32FB5"/>
    <w:rPr>
      <w:rFonts w:ascii="Arial" w:hAnsi="Arial" w:cs="Times New Roman"/>
      <w:sz w:val="20"/>
      <w:szCs w:val="20"/>
      <w:lang w:val="en-US" w:eastAsia="en-US"/>
    </w:rPr>
  </w:style>
  <w:style w:type="character" w:customStyle="1" w:styleId="Doclang">
    <w:name w:val="Doc_lang"/>
    <w:basedOn w:val="DefaultParagraphFont"/>
    <w:uiPriority w:val="99"/>
    <w:rsid w:val="0033507D"/>
    <w:rPr>
      <w:rFonts w:ascii="Arial" w:hAnsi="Arial" w:cs="Times New Roman"/>
      <w:sz w:val="20"/>
      <w:lang w:val="en-US"/>
    </w:rPr>
  </w:style>
  <w:style w:type="paragraph" w:customStyle="1" w:styleId="Session">
    <w:name w:val="Session"/>
    <w:basedOn w:val="Normal"/>
    <w:uiPriority w:val="99"/>
    <w:semiHidden/>
    <w:rsid w:val="0033507D"/>
    <w:pPr>
      <w:spacing w:before="60"/>
      <w:jc w:val="center"/>
    </w:pPr>
    <w:rPr>
      <w:b/>
    </w:rPr>
  </w:style>
  <w:style w:type="paragraph" w:customStyle="1" w:styleId="Organizer">
    <w:name w:val="Organizer"/>
    <w:basedOn w:val="Normal"/>
    <w:uiPriority w:val="99"/>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character" w:customStyle="1" w:styleId="BodyTextChar">
    <w:name w:val="Body Text Char"/>
    <w:basedOn w:val="DefaultParagraphFont"/>
    <w:link w:val="BodyText"/>
    <w:locked/>
    <w:rsid w:val="006B519E"/>
    <w:rPr>
      <w:rFonts w:ascii="Arial" w:hAnsi="Arial" w:cs="Times New Roman"/>
    </w:rPr>
  </w:style>
  <w:style w:type="paragraph" w:customStyle="1" w:styleId="StyleDocoriginalNotBold">
    <w:name w:val="Style Doc_original + Not Bold"/>
    <w:basedOn w:val="Docoriginal"/>
    <w:link w:val="StyleDocoriginalNotBoldChar"/>
    <w:autoRedefine/>
    <w:uiPriority w:val="99"/>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33507D"/>
  </w:style>
  <w:style w:type="paragraph" w:styleId="EndnoteText">
    <w:name w:val="endnote text"/>
    <w:basedOn w:val="Normal"/>
    <w:link w:val="EndnoteTextChar"/>
    <w:uiPriority w:val="99"/>
    <w:semiHidden/>
    <w:rsid w:val="0033507D"/>
  </w:style>
  <w:style w:type="character" w:customStyle="1" w:styleId="EndnoteTextChar">
    <w:name w:val="Endnote Text Char"/>
    <w:basedOn w:val="DefaultParagraphFont"/>
    <w:link w:val="EndnoteText"/>
    <w:uiPriority w:val="99"/>
    <w:semiHidden/>
    <w:locked/>
    <w:rsid w:val="00E32FB5"/>
    <w:rPr>
      <w:rFonts w:ascii="Arial" w:hAnsi="Arial" w:cs="Times New Roman"/>
      <w:sz w:val="20"/>
      <w:szCs w:val="20"/>
      <w:lang w:val="en-US" w:eastAsia="en-US"/>
    </w:rPr>
  </w:style>
  <w:style w:type="character" w:styleId="EndnoteReference">
    <w:name w:val="endnote reference"/>
    <w:basedOn w:val="DefaultParagraphFont"/>
    <w:uiPriority w:val="99"/>
    <w:semiHidden/>
    <w:rsid w:val="0033507D"/>
    <w:rPr>
      <w:rFonts w:cs="Times New Roman"/>
      <w:vertAlign w:val="superscript"/>
    </w:rPr>
  </w:style>
  <w:style w:type="paragraph" w:customStyle="1" w:styleId="SessionMeetingPlace">
    <w:name w:val="Session_MeetingPlace"/>
    <w:basedOn w:val="Normal"/>
    <w:uiPriority w:val="99"/>
    <w:semiHidden/>
    <w:rsid w:val="0033507D"/>
    <w:pPr>
      <w:spacing w:before="480"/>
      <w:jc w:val="center"/>
    </w:pPr>
    <w:rPr>
      <w:b/>
      <w:bCs/>
      <w:kern w:val="28"/>
      <w:sz w:val="24"/>
    </w:rPr>
  </w:style>
  <w:style w:type="paragraph" w:customStyle="1" w:styleId="Original">
    <w:name w:val="Original"/>
    <w:basedOn w:val="Normal"/>
    <w:uiPriority w:val="99"/>
    <w:semiHidden/>
    <w:rsid w:val="0033507D"/>
    <w:pPr>
      <w:spacing w:before="60"/>
      <w:ind w:left="1276"/>
    </w:pPr>
    <w:rPr>
      <w:b/>
      <w:sz w:val="22"/>
    </w:rPr>
  </w:style>
  <w:style w:type="paragraph" w:styleId="Date">
    <w:name w:val="Date"/>
    <w:basedOn w:val="Normal"/>
    <w:link w:val="DateChar"/>
    <w:uiPriority w:val="99"/>
    <w:semiHidden/>
    <w:rsid w:val="0033507D"/>
    <w:pPr>
      <w:spacing w:line="340" w:lineRule="exact"/>
      <w:ind w:left="1276"/>
    </w:pPr>
    <w:rPr>
      <w:b/>
      <w:sz w:val="22"/>
    </w:rPr>
  </w:style>
  <w:style w:type="character" w:customStyle="1" w:styleId="DateChar">
    <w:name w:val="Date Char"/>
    <w:basedOn w:val="DefaultParagraphFont"/>
    <w:link w:val="Date"/>
    <w:uiPriority w:val="99"/>
    <w:semiHidden/>
    <w:locked/>
    <w:rsid w:val="00E32FB5"/>
    <w:rPr>
      <w:rFonts w:ascii="Arial" w:hAnsi="Arial" w:cs="Times New Roman"/>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uiPriority w:val="99"/>
    <w:rsid w:val="0033507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33507D"/>
    <w:pPr>
      <w:spacing w:before="480"/>
    </w:pPr>
    <w:rPr>
      <w:bCs/>
      <w:caps/>
      <w:kern w:val="28"/>
      <w:sz w:val="24"/>
    </w:rPr>
  </w:style>
  <w:style w:type="paragraph" w:customStyle="1" w:styleId="plcountry">
    <w:name w:val="plcountry"/>
    <w:basedOn w:val="Normal"/>
    <w:uiPriority w:val="99"/>
    <w:rsid w:val="0033507D"/>
    <w:pPr>
      <w:keepNext/>
      <w:keepLines/>
      <w:spacing w:before="180" w:after="120"/>
      <w:jc w:val="left"/>
    </w:pPr>
    <w:rPr>
      <w:caps/>
      <w:noProof/>
      <w:u w:val="single"/>
    </w:rPr>
  </w:style>
  <w:style w:type="paragraph" w:customStyle="1" w:styleId="pldetails">
    <w:name w:val="pldetails"/>
    <w:basedOn w:val="Normal"/>
    <w:uiPriority w:val="99"/>
    <w:rsid w:val="0033507D"/>
    <w:pPr>
      <w:keepLines/>
      <w:spacing w:before="60" w:after="60"/>
      <w:jc w:val="left"/>
    </w:pPr>
    <w:rPr>
      <w:noProof/>
    </w:rPr>
  </w:style>
  <w:style w:type="paragraph" w:customStyle="1" w:styleId="plheading">
    <w:name w:val="plheading"/>
    <w:basedOn w:val="Normal"/>
    <w:uiPriority w:val="99"/>
    <w:rsid w:val="0033507D"/>
    <w:pPr>
      <w:keepNext/>
      <w:spacing w:before="480" w:after="120"/>
      <w:jc w:val="center"/>
    </w:pPr>
    <w:rPr>
      <w:caps/>
      <w:u w:val="single"/>
    </w:rPr>
  </w:style>
  <w:style w:type="paragraph" w:customStyle="1" w:styleId="Sessiontcplacedate">
    <w:name w:val="Session_tc_place_date"/>
    <w:basedOn w:val="SessionMeetingPlace"/>
    <w:uiPriority w:val="99"/>
    <w:rsid w:val="0033507D"/>
    <w:pPr>
      <w:spacing w:before="240"/>
    </w:pPr>
  </w:style>
  <w:style w:type="paragraph" w:customStyle="1" w:styleId="Titleofdoc0">
    <w:name w:val="Title_of_doc"/>
    <w:basedOn w:val="Normal"/>
    <w:uiPriority w:val="99"/>
    <w:rsid w:val="0033507D"/>
    <w:pPr>
      <w:spacing w:before="600"/>
      <w:jc w:val="center"/>
    </w:pPr>
    <w:rPr>
      <w:caps/>
    </w:rPr>
  </w:style>
  <w:style w:type="paragraph" w:customStyle="1" w:styleId="preparedby1">
    <w:name w:val="prepared_by"/>
    <w:basedOn w:val="Normal"/>
    <w:uiPriority w:val="99"/>
    <w:rsid w:val="0033507D"/>
    <w:pPr>
      <w:spacing w:before="240" w:after="600"/>
      <w:jc w:val="center"/>
    </w:pPr>
    <w:rPr>
      <w:i/>
    </w:rPr>
  </w:style>
  <w:style w:type="character" w:customStyle="1" w:styleId="CodeChar">
    <w:name w:val="Code Char"/>
    <w:basedOn w:val="DefaultParagraphFont"/>
    <w:link w:val="Code"/>
    <w:uiPriority w:val="99"/>
    <w:locked/>
    <w:rsid w:val="00D3708D"/>
    <w:rPr>
      <w:rFonts w:ascii="Arial" w:hAnsi="Arial" w:cs="Times New Roman"/>
      <w:b/>
      <w:bCs/>
      <w:spacing w:val="10"/>
      <w:lang w:val="fr-FR" w:eastAsia="en-US" w:bidi="ar-SA"/>
    </w:rPr>
  </w:style>
  <w:style w:type="paragraph" w:customStyle="1" w:styleId="endofdoc">
    <w:name w:val="end_of_doc"/>
    <w:autoRedefine/>
    <w:uiPriority w:val="99"/>
    <w:rsid w:val="0033507D"/>
    <w:pPr>
      <w:spacing w:before="480"/>
      <w:ind w:left="567" w:hanging="567"/>
      <w:jc w:val="right"/>
    </w:pPr>
    <w:rPr>
      <w:rFonts w:ascii="Arial" w:hAnsi="Arial"/>
      <w:sz w:val="20"/>
      <w:szCs w:val="20"/>
      <w:lang w:val="en-US" w:eastAsia="en-US"/>
    </w:rPr>
  </w:style>
  <w:style w:type="character" w:customStyle="1" w:styleId="DocoriginalChar">
    <w:name w:val="Doc_original Char"/>
    <w:basedOn w:val="DefaultParagraphFont"/>
    <w:link w:val="Docoriginal"/>
    <w:locked/>
    <w:rsid w:val="0033507D"/>
    <w:rPr>
      <w:rFonts w:ascii="Arial" w:hAnsi="Arial" w:cs="Times New Roman"/>
      <w:b/>
      <w:bCs/>
      <w:spacing w:val="10"/>
      <w:lang w:val="en-US" w:eastAsia="en-US" w:bidi="ar-SA"/>
    </w:rPr>
  </w:style>
  <w:style w:type="character" w:customStyle="1" w:styleId="StyleDocoriginalNotBoldChar">
    <w:name w:val="Style Doc_original + Not Bold Char"/>
    <w:basedOn w:val="DocoriginalChar"/>
    <w:link w:val="StyleDocoriginalNotBold"/>
    <w:uiPriority w:val="99"/>
    <w:locked/>
    <w:rsid w:val="0033507D"/>
    <w:rPr>
      <w:rFonts w:ascii="Arial" w:hAnsi="Arial" w:cs="Times New Roman"/>
      <w:b/>
      <w:bCs/>
      <w:spacing w:val="10"/>
      <w:lang w:val="en-US" w:eastAsia="en-US" w:bidi="ar-SA"/>
    </w:rPr>
  </w:style>
  <w:style w:type="paragraph" w:customStyle="1" w:styleId="StyleDocnumber">
    <w:name w:val="Style Doc_number"/>
    <w:basedOn w:val="Docoriginal"/>
    <w:uiPriority w:val="99"/>
    <w:rsid w:val="0033507D"/>
    <w:pPr>
      <w:ind w:left="1589"/>
    </w:pPr>
  </w:style>
  <w:style w:type="paragraph" w:customStyle="1" w:styleId="StyleDocoriginal">
    <w:name w:val="Style Doc_original"/>
    <w:basedOn w:val="Docoriginal"/>
    <w:link w:val="StyleDocoriginalChar"/>
    <w:uiPriority w:val="99"/>
    <w:rsid w:val="0033507D"/>
  </w:style>
  <w:style w:type="character" w:customStyle="1" w:styleId="StyleDocoriginalChar">
    <w:name w:val="Style Doc_original Char"/>
    <w:basedOn w:val="DocoriginalChar"/>
    <w:link w:val="StyleDocoriginal"/>
    <w:uiPriority w:val="99"/>
    <w:locked/>
    <w:rsid w:val="0033507D"/>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33507D"/>
    <w:rPr>
      <w:rFonts w:ascii="Arial" w:hAnsi="Arial" w:cs="Times New Roman"/>
      <w:b/>
      <w:bCs/>
      <w:spacing w:val="10"/>
      <w:lang w:val="en-US" w:eastAsia="en-US" w:bidi="ar-SA"/>
    </w:rPr>
  </w:style>
  <w:style w:type="character" w:customStyle="1" w:styleId="StyleDoclangBold">
    <w:name w:val="Style Doc_lang + Bold"/>
    <w:basedOn w:val="Doclang"/>
    <w:rsid w:val="0033507D"/>
    <w:rPr>
      <w:rFonts w:ascii="Arial" w:hAnsi="Arial" w:cs="Times New Roman"/>
      <w:b/>
      <w:bCs/>
      <w:sz w:val="20"/>
      <w:lang w:val="en-US"/>
    </w:rPr>
  </w:style>
  <w:style w:type="paragraph" w:styleId="TOC2">
    <w:name w:val="toc 2"/>
    <w:basedOn w:val="Normal"/>
    <w:next w:val="Normal"/>
    <w:autoRedefine/>
    <w:uiPriority w:val="39"/>
    <w:rsid w:val="00F345B3"/>
    <w:pPr>
      <w:tabs>
        <w:tab w:val="right" w:leader="dot" w:pos="9639"/>
      </w:tabs>
      <w:spacing w:before="120" w:after="120"/>
      <w:ind w:left="426" w:right="851"/>
      <w:contextualSpacing/>
      <w:jc w:val="left"/>
    </w:pPr>
  </w:style>
  <w:style w:type="paragraph" w:styleId="TOC3">
    <w:name w:val="toc 3"/>
    <w:basedOn w:val="Normal"/>
    <w:next w:val="Normal"/>
    <w:autoRedefine/>
    <w:uiPriority w:val="39"/>
    <w:rsid w:val="001257C0"/>
    <w:pPr>
      <w:keepNext/>
      <w:tabs>
        <w:tab w:val="right" w:leader="dot" w:pos="9639"/>
      </w:tabs>
      <w:spacing w:before="120" w:after="80"/>
      <w:ind w:right="284"/>
      <w:jc w:val="left"/>
    </w:pPr>
    <w:rPr>
      <w:b/>
      <w:sz w:val="18"/>
      <w:lang w:val="fr-FR"/>
    </w:rPr>
  </w:style>
  <w:style w:type="character" w:styleId="Hyperlink">
    <w:name w:val="Hyperlink"/>
    <w:basedOn w:val="DefaultParagraphFont"/>
    <w:uiPriority w:val="99"/>
    <w:rsid w:val="0033507D"/>
    <w:rPr>
      <w:rFonts w:ascii="Arial" w:hAnsi="Arial" w:cs="Times New Roman"/>
      <w:color w:val="0000FF"/>
      <w:u w:val="single"/>
    </w:rPr>
  </w:style>
  <w:style w:type="paragraph" w:styleId="TOC4">
    <w:name w:val="toc 4"/>
    <w:basedOn w:val="Normal"/>
    <w:next w:val="Normal"/>
    <w:autoRedefine/>
    <w:uiPriority w:val="99"/>
    <w:rsid w:val="00F345B3"/>
    <w:pPr>
      <w:tabs>
        <w:tab w:val="right" w:leader="dot" w:pos="9639"/>
      </w:tabs>
      <w:spacing w:before="40" w:after="80"/>
      <w:ind w:left="142" w:right="284"/>
      <w:jc w:val="left"/>
    </w:pPr>
    <w:rPr>
      <w:b/>
      <w:noProof/>
      <w:sz w:val="18"/>
      <w:lang w:val="fr-FR"/>
    </w:rPr>
  </w:style>
  <w:style w:type="paragraph" w:styleId="TOC1">
    <w:name w:val="toc 1"/>
    <w:basedOn w:val="Normal"/>
    <w:next w:val="Normal"/>
    <w:autoRedefine/>
    <w:uiPriority w:val="39"/>
    <w:rsid w:val="00F345B3"/>
    <w:pPr>
      <w:tabs>
        <w:tab w:val="left" w:pos="426"/>
        <w:tab w:val="right" w:leader="dot" w:pos="9639"/>
      </w:tabs>
      <w:spacing w:before="120"/>
      <w:ind w:left="425" w:hanging="425"/>
      <w:jc w:val="left"/>
    </w:pPr>
    <w:rPr>
      <w:caps/>
    </w:rPr>
  </w:style>
  <w:style w:type="paragraph" w:styleId="TOC5">
    <w:name w:val="toc 5"/>
    <w:basedOn w:val="Normal"/>
    <w:next w:val="Normal"/>
    <w:autoRedefine/>
    <w:uiPriority w:val="39"/>
    <w:rsid w:val="00F345B3"/>
    <w:pPr>
      <w:keepNext/>
      <w:tabs>
        <w:tab w:val="right" w:leader="dot" w:pos="9639"/>
      </w:tabs>
      <w:spacing w:before="40" w:after="40"/>
      <w:ind w:left="284" w:right="284"/>
    </w:pPr>
    <w:rPr>
      <w:noProof/>
      <w:sz w:val="18"/>
      <w:szCs w:val="18"/>
      <w:lang w:val="fr-FR"/>
    </w:rPr>
  </w:style>
  <w:style w:type="paragraph" w:styleId="BalloonText">
    <w:name w:val="Balloon Text"/>
    <w:basedOn w:val="Normal"/>
    <w:link w:val="BalloonTextChar"/>
    <w:uiPriority w:val="99"/>
    <w:rsid w:val="00560A6D"/>
    <w:rPr>
      <w:rFonts w:ascii="Tahoma" w:hAnsi="Tahoma" w:cs="Tahoma"/>
      <w:sz w:val="16"/>
      <w:szCs w:val="16"/>
    </w:rPr>
  </w:style>
  <w:style w:type="character" w:customStyle="1" w:styleId="BalloonTextChar">
    <w:name w:val="Balloon Text Char"/>
    <w:basedOn w:val="DefaultParagraphFont"/>
    <w:link w:val="BalloonText"/>
    <w:uiPriority w:val="99"/>
    <w:locked/>
    <w:rsid w:val="00560A6D"/>
    <w:rPr>
      <w:rFonts w:ascii="Tahoma" w:hAnsi="Tahoma" w:cs="Tahoma"/>
      <w:sz w:val="16"/>
      <w:szCs w:val="16"/>
    </w:rPr>
  </w:style>
  <w:style w:type="paragraph" w:styleId="CommentText">
    <w:name w:val="annotation text"/>
    <w:basedOn w:val="Normal"/>
    <w:link w:val="CommentTextChar"/>
    <w:uiPriority w:val="99"/>
    <w:rsid w:val="006B519E"/>
    <w:pPr>
      <w:jc w:val="left"/>
    </w:pPr>
    <w:rPr>
      <w:rFonts w:ascii="Times New Roman" w:hAnsi="Times New Roman"/>
      <w:sz w:val="22"/>
    </w:rPr>
  </w:style>
  <w:style w:type="character" w:customStyle="1" w:styleId="CommentTextChar">
    <w:name w:val="Comment Text Char"/>
    <w:basedOn w:val="DefaultParagraphFont"/>
    <w:link w:val="CommentText"/>
    <w:uiPriority w:val="99"/>
    <w:locked/>
    <w:rsid w:val="006B519E"/>
    <w:rPr>
      <w:rFonts w:cs="Times New Roman"/>
      <w:sz w:val="22"/>
    </w:rPr>
  </w:style>
  <w:style w:type="table" w:styleId="TableGrid">
    <w:name w:val="Table Grid"/>
    <w:basedOn w:val="TableNormal"/>
    <w:uiPriority w:val="99"/>
    <w:rsid w:val="006B519E"/>
    <w:rPr>
      <w:rFonts w:ascii="CG Times" w:hAnsi="CG 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basedOn w:val="DefaultParagraphFont"/>
    <w:link w:val="FootnoteText"/>
    <w:uiPriority w:val="99"/>
    <w:locked/>
    <w:rsid w:val="00577BEC"/>
    <w:rPr>
      <w:rFonts w:ascii="Arial" w:hAnsi="Arial" w:cs="Times New Roman"/>
      <w:sz w:val="16"/>
      <w:lang w:val="en-US" w:eastAsia="en-US" w:bidi="ar-SA"/>
    </w:rPr>
  </w:style>
  <w:style w:type="character" w:customStyle="1" w:styleId="DecisionParagraphsChar">
    <w:name w:val="DecisionParagraphs Char"/>
    <w:basedOn w:val="DefaultParagraphFont"/>
    <w:link w:val="DecisionParagraphs"/>
    <w:uiPriority w:val="99"/>
    <w:locked/>
    <w:rsid w:val="00A605B5"/>
    <w:rPr>
      <w:rFonts w:ascii="Arial" w:hAnsi="Arial" w:cs="Times New Roman"/>
      <w:i/>
    </w:rPr>
  </w:style>
  <w:style w:type="paragraph" w:styleId="ListParagraph">
    <w:name w:val="List Paragraph"/>
    <w:basedOn w:val="Normal"/>
    <w:uiPriority w:val="99"/>
    <w:qFormat/>
    <w:rsid w:val="00E4389B"/>
    <w:pPr>
      <w:ind w:left="720"/>
      <w:contextualSpacing/>
    </w:pPr>
  </w:style>
  <w:style w:type="paragraph" w:styleId="TOC6">
    <w:name w:val="toc 6"/>
    <w:basedOn w:val="Normal"/>
    <w:next w:val="Normal"/>
    <w:autoRedefine/>
    <w:uiPriority w:val="39"/>
    <w:rsid w:val="001257C0"/>
    <w:pPr>
      <w:keepNext/>
      <w:tabs>
        <w:tab w:val="right" w:leader="dot" w:pos="9629"/>
      </w:tabs>
      <w:spacing w:after="40"/>
      <w:ind w:left="567" w:right="425"/>
    </w:pPr>
    <w:rPr>
      <w:noProof/>
      <w:sz w:val="18"/>
      <w:szCs w:val="18"/>
    </w:rPr>
  </w:style>
  <w:style w:type="paragraph" w:styleId="TOC7">
    <w:name w:val="toc 7"/>
    <w:basedOn w:val="Normal"/>
    <w:next w:val="Normal"/>
    <w:autoRedefine/>
    <w:uiPriority w:val="39"/>
    <w:rsid w:val="00F345B3"/>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1257C0"/>
    <w:pPr>
      <w:tabs>
        <w:tab w:val="right" w:leader="dot" w:pos="9629"/>
      </w:tabs>
      <w:spacing w:after="40"/>
      <w:ind w:left="1134" w:right="425"/>
    </w:pPr>
    <w:rPr>
      <w:i/>
      <w:noProof/>
      <w:sz w:val="18"/>
      <w:szCs w:val="18"/>
    </w:rPr>
  </w:style>
  <w:style w:type="paragraph" w:styleId="TOC9">
    <w:name w:val="toc 9"/>
    <w:basedOn w:val="Normal"/>
    <w:next w:val="Normal"/>
    <w:autoRedefine/>
    <w:uiPriority w:val="39"/>
    <w:rsid w:val="00301C4E"/>
    <w:pPr>
      <w:tabs>
        <w:tab w:val="right" w:leader="dot" w:pos="9629"/>
      </w:tabs>
      <w:ind w:left="1701" w:right="284"/>
      <w:jc w:val="left"/>
    </w:pPr>
    <w:rPr>
      <w:noProof/>
      <w:sz w:val="18"/>
      <w:szCs w:val="18"/>
    </w:rPr>
  </w:style>
  <w:style w:type="paragraph" w:customStyle="1" w:styleId="Draft">
    <w:name w:val="Draft"/>
    <w:basedOn w:val="Normal"/>
    <w:next w:val="preparedby"/>
    <w:uiPriority w:val="99"/>
    <w:rsid w:val="00C74C0E"/>
    <w:pPr>
      <w:spacing w:before="720" w:after="480"/>
      <w:jc w:val="center"/>
    </w:pPr>
    <w:rPr>
      <w:rFonts w:ascii="Times New Roman" w:hAnsi="Times New Roman"/>
      <w:caps/>
      <w:sz w:val="28"/>
    </w:rPr>
  </w:style>
  <w:style w:type="paragraph" w:customStyle="1" w:styleId="Committee">
    <w:name w:val="Committee"/>
    <w:basedOn w:val="Title"/>
    <w:uiPriority w:val="99"/>
    <w:rsid w:val="00C74C0E"/>
    <w:rPr>
      <w:caps w:val="0"/>
    </w:rPr>
  </w:style>
  <w:style w:type="paragraph" w:styleId="BodyTextIndent">
    <w:name w:val="Body Text Indent"/>
    <w:basedOn w:val="Normal"/>
    <w:link w:val="BodyTextIndentChar"/>
    <w:uiPriority w:val="99"/>
    <w:rsid w:val="00C74C0E"/>
    <w:rPr>
      <w:rFonts w:ascii="Times New Roman" w:hAnsi="Times New Roman"/>
      <w:sz w:val="24"/>
      <w:u w:val="single"/>
    </w:rPr>
  </w:style>
  <w:style w:type="character" w:customStyle="1" w:styleId="BodyTextIndentChar">
    <w:name w:val="Body Text Indent Char"/>
    <w:basedOn w:val="DefaultParagraphFont"/>
    <w:link w:val="BodyTextIndent"/>
    <w:uiPriority w:val="99"/>
    <w:locked/>
    <w:rsid w:val="00C74C0E"/>
    <w:rPr>
      <w:rFonts w:cs="Times New Roman"/>
      <w:sz w:val="24"/>
      <w:u w:val="single"/>
    </w:rPr>
  </w:style>
  <w:style w:type="paragraph" w:customStyle="1" w:styleId="ZchnZchn1">
    <w:name w:val="Zchn Zchn1"/>
    <w:basedOn w:val="Normal"/>
    <w:uiPriority w:val="99"/>
    <w:rsid w:val="007112D4"/>
    <w:pPr>
      <w:spacing w:after="160" w:line="240" w:lineRule="exact"/>
      <w:jc w:val="left"/>
    </w:pPr>
    <w:rPr>
      <w:rFonts w:ascii="Times New Roman" w:eastAsia="PMingLiU" w:hAnsi="Times New Roman"/>
      <w:sz w:val="24"/>
      <w:szCs w:val="24"/>
    </w:rPr>
  </w:style>
  <w:style w:type="character" w:customStyle="1" w:styleId="tw4winMark">
    <w:name w:val="tw4winMark"/>
    <w:basedOn w:val="DefaultParagraphFont"/>
    <w:uiPriority w:val="99"/>
    <w:rsid w:val="004A4C7F"/>
    <w:rPr>
      <w:rFonts w:ascii="Courier New" w:hAnsi="Courier New" w:cs="Courier New"/>
      <w:noProof/>
      <w:vanish/>
      <w:color w:val="800080"/>
      <w:sz w:val="22"/>
      <w:effect w:val="none"/>
      <w:vertAlign w:val="subscript"/>
    </w:rPr>
  </w:style>
  <w:style w:type="character" w:styleId="FollowedHyperlink">
    <w:name w:val="FollowedHyperlink"/>
    <w:basedOn w:val="DefaultParagraphFont"/>
    <w:uiPriority w:val="99"/>
    <w:rsid w:val="007844B7"/>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s-ES_tradnl" w:eastAsia="es-ES_tradn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0"/>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D1A15"/>
    <w:pPr>
      <w:jc w:val="both"/>
    </w:pPr>
    <w:rPr>
      <w:rFonts w:ascii="Arial" w:hAnsi="Arial"/>
      <w:sz w:val="20"/>
      <w:szCs w:val="20"/>
      <w:lang w:val="en-US" w:eastAsia="en-US"/>
    </w:rPr>
  </w:style>
  <w:style w:type="paragraph" w:styleId="Heading1">
    <w:name w:val="heading 1"/>
    <w:basedOn w:val="Normal"/>
    <w:next w:val="Normal"/>
    <w:link w:val="Heading1Char"/>
    <w:autoRedefine/>
    <w:uiPriority w:val="99"/>
    <w:qFormat/>
    <w:rsid w:val="00F345B3"/>
    <w:pPr>
      <w:keepNext/>
      <w:outlineLvl w:val="0"/>
    </w:pPr>
    <w:rPr>
      <w:caps/>
    </w:rPr>
  </w:style>
  <w:style w:type="paragraph" w:styleId="Heading2">
    <w:name w:val="heading 2"/>
    <w:basedOn w:val="Normal"/>
    <w:next w:val="Normal"/>
    <w:link w:val="Heading2Char"/>
    <w:autoRedefine/>
    <w:uiPriority w:val="99"/>
    <w:qFormat/>
    <w:rsid w:val="00F345B3"/>
    <w:pPr>
      <w:keepNext/>
      <w:outlineLvl w:val="1"/>
    </w:pPr>
    <w:rPr>
      <w:u w:val="single"/>
    </w:rPr>
  </w:style>
  <w:style w:type="paragraph" w:styleId="Heading3">
    <w:name w:val="heading 3"/>
    <w:basedOn w:val="Normal"/>
    <w:next w:val="Normal"/>
    <w:link w:val="Heading3Char"/>
    <w:autoRedefine/>
    <w:uiPriority w:val="99"/>
    <w:qFormat/>
    <w:rsid w:val="00F345B3"/>
    <w:pPr>
      <w:keepNext/>
      <w:outlineLvl w:val="2"/>
    </w:pPr>
    <w:rPr>
      <w:b/>
      <w:caps/>
      <w:sz w:val="18"/>
    </w:rPr>
  </w:style>
  <w:style w:type="paragraph" w:styleId="Heading4">
    <w:name w:val="heading 4"/>
    <w:basedOn w:val="Normal"/>
    <w:next w:val="Normal"/>
    <w:link w:val="Heading4Char"/>
    <w:autoRedefine/>
    <w:uiPriority w:val="99"/>
    <w:qFormat/>
    <w:rsid w:val="00F345B3"/>
    <w:pPr>
      <w:keepNext/>
      <w:outlineLvl w:val="3"/>
    </w:pPr>
    <w:rPr>
      <w:b/>
      <w:smallCaps/>
    </w:rPr>
  </w:style>
  <w:style w:type="paragraph" w:styleId="Heading5">
    <w:name w:val="heading 5"/>
    <w:basedOn w:val="Normal"/>
    <w:next w:val="Normal"/>
    <w:link w:val="Heading5Char"/>
    <w:autoRedefine/>
    <w:uiPriority w:val="99"/>
    <w:qFormat/>
    <w:rsid w:val="000476CE"/>
    <w:pPr>
      <w:keepNext/>
      <w:outlineLvl w:val="4"/>
    </w:pPr>
    <w:rPr>
      <w:b/>
      <w:sz w:val="18"/>
    </w:rPr>
  </w:style>
  <w:style w:type="paragraph" w:styleId="Heading6">
    <w:name w:val="heading 6"/>
    <w:basedOn w:val="Normal"/>
    <w:next w:val="Normal"/>
    <w:link w:val="Heading6Char"/>
    <w:uiPriority w:val="99"/>
    <w:qFormat/>
    <w:rsid w:val="00114294"/>
    <w:pPr>
      <w:jc w:val="left"/>
      <w:outlineLvl w:val="5"/>
    </w:pPr>
    <w:rPr>
      <w:bCs/>
      <w:i/>
      <w:sz w:val="18"/>
      <w:szCs w:val="22"/>
    </w:rPr>
  </w:style>
  <w:style w:type="paragraph" w:styleId="Heading7">
    <w:name w:val="heading 7"/>
    <w:basedOn w:val="Normal"/>
    <w:next w:val="Normal"/>
    <w:link w:val="Heading7Char"/>
    <w:autoRedefine/>
    <w:uiPriority w:val="99"/>
    <w:qFormat/>
    <w:rsid w:val="00F345B3"/>
    <w:pPr>
      <w:spacing w:after="240"/>
      <w:outlineLvl w:val="6"/>
    </w:pPr>
    <w:rPr>
      <w:b/>
      <w:sz w:val="18"/>
      <w:szCs w:val="24"/>
    </w:rPr>
  </w:style>
  <w:style w:type="paragraph" w:styleId="Heading8">
    <w:name w:val="heading 8"/>
    <w:basedOn w:val="Normal"/>
    <w:next w:val="Normal"/>
    <w:link w:val="Heading8Char"/>
    <w:uiPriority w:val="99"/>
    <w:qFormat/>
    <w:rsid w:val="00301C4E"/>
    <w:pPr>
      <w:spacing w:after="240"/>
      <w:jc w:val="left"/>
      <w:outlineLvl w:val="7"/>
    </w:pPr>
    <w:rPr>
      <w:i/>
      <w:iCs/>
      <w:sz w:val="18"/>
      <w:szCs w:val="24"/>
    </w:rPr>
  </w:style>
  <w:style w:type="paragraph" w:styleId="Heading9">
    <w:name w:val="heading 9"/>
    <w:basedOn w:val="Normal"/>
    <w:next w:val="Normal"/>
    <w:link w:val="Heading9Char"/>
    <w:uiPriority w:val="99"/>
    <w:qFormat/>
    <w:rsid w:val="00301C4E"/>
    <w:pPr>
      <w:keepNext/>
      <w:spacing w:after="24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2FB5"/>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semiHidden/>
    <w:locked/>
    <w:rsid w:val="00E32FB5"/>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semiHidden/>
    <w:locked/>
    <w:rsid w:val="00E32FB5"/>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semiHidden/>
    <w:locked/>
    <w:rsid w:val="00E32FB5"/>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E32FB5"/>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locked/>
    <w:rsid w:val="00114294"/>
    <w:rPr>
      <w:rFonts w:ascii="Arial" w:hAnsi="Arial" w:cs="Times New Roman"/>
      <w:bCs/>
      <w:i/>
      <w:sz w:val="22"/>
      <w:szCs w:val="22"/>
    </w:rPr>
  </w:style>
  <w:style w:type="character" w:customStyle="1" w:styleId="Heading7Char">
    <w:name w:val="Heading 7 Char"/>
    <w:basedOn w:val="DefaultParagraphFont"/>
    <w:link w:val="Heading7"/>
    <w:uiPriority w:val="99"/>
    <w:locked/>
    <w:rsid w:val="00C74C0E"/>
    <w:rPr>
      <w:rFonts w:ascii="Arial" w:hAnsi="Arial" w:cs="Times New Roman"/>
      <w:b/>
      <w:sz w:val="24"/>
      <w:szCs w:val="24"/>
    </w:rPr>
  </w:style>
  <w:style w:type="character" w:customStyle="1" w:styleId="Heading8Char">
    <w:name w:val="Heading 8 Char"/>
    <w:basedOn w:val="DefaultParagraphFont"/>
    <w:link w:val="Heading8"/>
    <w:uiPriority w:val="99"/>
    <w:locked/>
    <w:rsid w:val="00C74C0E"/>
    <w:rPr>
      <w:rFonts w:ascii="Arial" w:hAnsi="Arial" w:cs="Times New Roman"/>
      <w:i/>
      <w:iCs/>
      <w:sz w:val="24"/>
      <w:szCs w:val="24"/>
    </w:rPr>
  </w:style>
  <w:style w:type="character" w:customStyle="1" w:styleId="Heading9Char">
    <w:name w:val="Heading 9 Char"/>
    <w:basedOn w:val="DefaultParagraphFont"/>
    <w:link w:val="Heading9"/>
    <w:uiPriority w:val="99"/>
    <w:semiHidden/>
    <w:locked/>
    <w:rsid w:val="00E32FB5"/>
    <w:rPr>
      <w:rFonts w:ascii="Cambria" w:hAnsi="Cambria" w:cs="Times New Roman"/>
      <w:lang w:val="en-US" w:eastAsia="en-US"/>
    </w:rPr>
  </w:style>
  <w:style w:type="paragraph" w:styleId="Header">
    <w:name w:val="header"/>
    <w:basedOn w:val="Normal"/>
    <w:link w:val="HeaderChar"/>
    <w:autoRedefine/>
    <w:uiPriority w:val="99"/>
    <w:rsid w:val="0033507D"/>
    <w:pPr>
      <w:tabs>
        <w:tab w:val="center" w:pos="4536"/>
        <w:tab w:val="right" w:pos="9072"/>
      </w:tabs>
      <w:jc w:val="center"/>
    </w:pPr>
    <w:rPr>
      <w:lang w:val="fr-FR"/>
    </w:rPr>
  </w:style>
  <w:style w:type="character" w:customStyle="1" w:styleId="HeaderChar">
    <w:name w:val="Header Char"/>
    <w:basedOn w:val="DefaultParagraphFont"/>
    <w:link w:val="Header"/>
    <w:uiPriority w:val="99"/>
    <w:semiHidden/>
    <w:locked/>
    <w:rsid w:val="00E32FB5"/>
    <w:rPr>
      <w:rFonts w:ascii="Arial" w:hAnsi="Arial" w:cs="Times New Roman"/>
      <w:sz w:val="20"/>
      <w:szCs w:val="20"/>
      <w:lang w:val="en-US" w:eastAsia="en-US"/>
    </w:rPr>
  </w:style>
  <w:style w:type="paragraph" w:styleId="Footer">
    <w:name w:val="footer"/>
    <w:aliases w:val="doc_path_name"/>
    <w:basedOn w:val="Normal"/>
    <w:link w:val="FooterChar"/>
    <w:autoRedefine/>
    <w:uiPriority w:val="99"/>
    <w:rsid w:val="0033507D"/>
    <w:rPr>
      <w:sz w:val="14"/>
    </w:rPr>
  </w:style>
  <w:style w:type="character" w:customStyle="1" w:styleId="FooterChar">
    <w:name w:val="Footer Char"/>
    <w:aliases w:val="doc_path_name Char"/>
    <w:basedOn w:val="DefaultParagraphFont"/>
    <w:link w:val="Footer"/>
    <w:uiPriority w:val="99"/>
    <w:semiHidden/>
    <w:locked/>
    <w:rsid w:val="00E32FB5"/>
    <w:rPr>
      <w:rFonts w:ascii="Arial" w:hAnsi="Arial" w:cs="Times New Roman"/>
      <w:sz w:val="20"/>
      <w:szCs w:val="20"/>
      <w:lang w:val="en-US" w:eastAsia="en-US"/>
    </w:rPr>
  </w:style>
  <w:style w:type="character" w:styleId="PageNumber">
    <w:name w:val="page number"/>
    <w:basedOn w:val="DefaultParagraphFont"/>
    <w:uiPriority w:val="99"/>
    <w:rsid w:val="0033507D"/>
    <w:rPr>
      <w:rFonts w:ascii="Arial" w:hAnsi="Arial" w:cs="Times New Roman"/>
      <w:sz w:val="20"/>
    </w:rPr>
  </w:style>
  <w:style w:type="paragraph" w:styleId="Title">
    <w:name w:val="Title"/>
    <w:basedOn w:val="Normal"/>
    <w:link w:val="TitleChar"/>
    <w:uiPriority w:val="99"/>
    <w:qFormat/>
    <w:rsid w:val="0033507D"/>
    <w:pPr>
      <w:spacing w:after="300"/>
      <w:jc w:val="center"/>
    </w:pPr>
    <w:rPr>
      <w:b/>
      <w:caps/>
      <w:kern w:val="28"/>
      <w:sz w:val="30"/>
    </w:rPr>
  </w:style>
  <w:style w:type="character" w:customStyle="1" w:styleId="TitleChar">
    <w:name w:val="Title Char"/>
    <w:basedOn w:val="DefaultParagraphFont"/>
    <w:link w:val="Title"/>
    <w:uiPriority w:val="99"/>
    <w:locked/>
    <w:rsid w:val="00E32FB5"/>
    <w:rPr>
      <w:rFonts w:ascii="Cambria" w:hAnsi="Cambria" w:cs="Times New Roman"/>
      <w:b/>
      <w:bCs/>
      <w:kern w:val="28"/>
      <w:sz w:val="32"/>
      <w:szCs w:val="32"/>
      <w:lang w:val="en-US" w:eastAsia="en-US"/>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link w:val="DecisionParagraphsChar"/>
    <w:uiPriority w:val="99"/>
    <w:rsid w:val="0033507D"/>
    <w:pPr>
      <w:tabs>
        <w:tab w:val="left" w:pos="5387"/>
      </w:tabs>
      <w:ind w:left="4820"/>
    </w:pPr>
    <w:rPr>
      <w:i/>
    </w:rPr>
  </w:style>
  <w:style w:type="paragraph" w:styleId="FootnoteText">
    <w:name w:val="footnote text"/>
    <w:aliases w:val="fn,Geneva 9,Font: Geneva 9,Boston 10,f,ft,Fotnotstext Char,ft Char,single space,FOOTNOTES,ADB,single space1,footnote text1,FOOTNOTES1,fn1,ADB1,single space2"/>
    <w:basedOn w:val="Normal"/>
    <w:link w:val="FootnoteTextChar1"/>
    <w:uiPriority w:val="99"/>
    <w:rsid w:val="00577BEC"/>
    <w:pPr>
      <w:tabs>
        <w:tab w:val="left" w:pos="284"/>
      </w:tabs>
      <w:spacing w:before="60"/>
      <w:ind w:left="284" w:hanging="284"/>
    </w:pPr>
    <w:rPr>
      <w:sz w:val="16"/>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
    <w:basedOn w:val="DefaultParagraphFont"/>
    <w:uiPriority w:val="99"/>
    <w:semiHidden/>
    <w:locked/>
    <w:rsid w:val="00E32FB5"/>
    <w:rPr>
      <w:rFonts w:ascii="Arial" w:hAnsi="Arial" w:cs="Times New Roman"/>
      <w:sz w:val="20"/>
      <w:szCs w:val="20"/>
      <w:lang w:val="en-US" w:eastAsia="en-US"/>
    </w:rPr>
  </w:style>
  <w:style w:type="character" w:styleId="FootnoteReference">
    <w:name w:val="footnote reference"/>
    <w:basedOn w:val="DefaultParagraphFont"/>
    <w:uiPriority w:val="99"/>
    <w:rsid w:val="00577BEC"/>
    <w:rPr>
      <w:rFonts w:ascii="Arial" w:hAnsi="Arial" w:cs="Times New Roman"/>
      <w:sz w:val="16"/>
      <w:vertAlign w:val="superscript"/>
    </w:rPr>
  </w:style>
  <w:style w:type="paragraph" w:styleId="Closing">
    <w:name w:val="Closing"/>
    <w:basedOn w:val="Normal"/>
    <w:link w:val="ClosingChar"/>
    <w:uiPriority w:val="99"/>
    <w:rsid w:val="0033507D"/>
    <w:pPr>
      <w:ind w:left="4536"/>
      <w:jc w:val="center"/>
    </w:pPr>
  </w:style>
  <w:style w:type="character" w:customStyle="1" w:styleId="ClosingChar">
    <w:name w:val="Closing Char"/>
    <w:basedOn w:val="DefaultParagraphFont"/>
    <w:link w:val="Closing"/>
    <w:uiPriority w:val="99"/>
    <w:semiHidden/>
    <w:locked/>
    <w:rsid w:val="00E32FB5"/>
    <w:rPr>
      <w:rFonts w:ascii="Arial" w:hAnsi="Arial" w:cs="Times New Roman"/>
      <w:sz w:val="20"/>
      <w:szCs w:val="20"/>
      <w:lang w:val="en-US" w:eastAsia="en-US"/>
    </w:rPr>
  </w:style>
  <w:style w:type="paragraph" w:styleId="Index1">
    <w:name w:val="index 1"/>
    <w:basedOn w:val="Normal"/>
    <w:next w:val="Normal"/>
    <w:uiPriority w:val="99"/>
    <w:semiHidden/>
    <w:rsid w:val="0033507D"/>
    <w:pPr>
      <w:tabs>
        <w:tab w:val="right" w:leader="dot" w:pos="9071"/>
      </w:tabs>
      <w:ind w:left="284" w:hanging="284"/>
    </w:pPr>
    <w:rPr>
      <w:sz w:val="24"/>
    </w:rPr>
  </w:style>
  <w:style w:type="paragraph" w:styleId="Index2">
    <w:name w:val="index 2"/>
    <w:basedOn w:val="Normal"/>
    <w:next w:val="Normal"/>
    <w:uiPriority w:val="99"/>
    <w:semiHidden/>
    <w:rsid w:val="0033507D"/>
    <w:pPr>
      <w:tabs>
        <w:tab w:val="right" w:leader="dot" w:pos="9071"/>
      </w:tabs>
      <w:ind w:left="568" w:hanging="284"/>
    </w:pPr>
    <w:rPr>
      <w:sz w:val="24"/>
    </w:rPr>
  </w:style>
  <w:style w:type="paragraph" w:styleId="Index3">
    <w:name w:val="index 3"/>
    <w:basedOn w:val="Normal"/>
    <w:next w:val="Normal"/>
    <w:uiPriority w:val="99"/>
    <w:semiHidden/>
    <w:rsid w:val="0033507D"/>
    <w:pPr>
      <w:tabs>
        <w:tab w:val="right" w:leader="dot" w:pos="9071"/>
      </w:tabs>
      <w:ind w:left="851" w:hanging="284"/>
    </w:pPr>
    <w:rPr>
      <w:sz w:val="24"/>
    </w:rPr>
  </w:style>
  <w:style w:type="paragraph" w:styleId="MacroText">
    <w:name w:val="macro"/>
    <w:link w:val="MacroTextChar"/>
    <w:uiPriority w:val="99"/>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val="en-US" w:eastAsia="en-US"/>
    </w:rPr>
  </w:style>
  <w:style w:type="character" w:customStyle="1" w:styleId="MacroTextChar">
    <w:name w:val="Macro Text Char"/>
    <w:basedOn w:val="DefaultParagraphFont"/>
    <w:link w:val="MacroText"/>
    <w:uiPriority w:val="99"/>
    <w:semiHidden/>
    <w:locked/>
    <w:rsid w:val="00E32FB5"/>
    <w:rPr>
      <w:rFonts w:ascii="Courier New" w:hAnsi="Courier New" w:cs="Times New Roman"/>
      <w:sz w:val="16"/>
      <w:lang w:val="en-US" w:eastAsia="en-US" w:bidi="ar-SA"/>
    </w:rPr>
  </w:style>
  <w:style w:type="paragraph" w:styleId="Signature">
    <w:name w:val="Signature"/>
    <w:basedOn w:val="Normal"/>
    <w:link w:val="SignatureChar"/>
    <w:uiPriority w:val="99"/>
    <w:rsid w:val="0033507D"/>
    <w:pPr>
      <w:ind w:left="4536"/>
      <w:jc w:val="center"/>
    </w:pPr>
  </w:style>
  <w:style w:type="character" w:customStyle="1" w:styleId="SignatureChar">
    <w:name w:val="Signature Char"/>
    <w:basedOn w:val="DefaultParagraphFont"/>
    <w:link w:val="Signature"/>
    <w:uiPriority w:val="99"/>
    <w:semiHidden/>
    <w:locked/>
    <w:rsid w:val="00E32FB5"/>
    <w:rPr>
      <w:rFonts w:ascii="Arial" w:hAnsi="Arial" w:cs="Times New Roman"/>
      <w:sz w:val="20"/>
      <w:szCs w:val="20"/>
      <w:lang w:val="en-US" w:eastAsia="en-US"/>
    </w:rPr>
  </w:style>
  <w:style w:type="character" w:customStyle="1" w:styleId="Doclang">
    <w:name w:val="Doc_lang"/>
    <w:basedOn w:val="DefaultParagraphFont"/>
    <w:uiPriority w:val="99"/>
    <w:rsid w:val="0033507D"/>
    <w:rPr>
      <w:rFonts w:ascii="Arial" w:hAnsi="Arial" w:cs="Times New Roman"/>
      <w:sz w:val="20"/>
      <w:lang w:val="en-US"/>
    </w:rPr>
  </w:style>
  <w:style w:type="paragraph" w:customStyle="1" w:styleId="Session">
    <w:name w:val="Session"/>
    <w:basedOn w:val="Normal"/>
    <w:uiPriority w:val="99"/>
    <w:semiHidden/>
    <w:rsid w:val="0033507D"/>
    <w:pPr>
      <w:spacing w:before="60"/>
      <w:jc w:val="center"/>
    </w:pPr>
    <w:rPr>
      <w:b/>
    </w:rPr>
  </w:style>
  <w:style w:type="paragraph" w:customStyle="1" w:styleId="Organizer">
    <w:name w:val="Organizer"/>
    <w:basedOn w:val="Normal"/>
    <w:uiPriority w:val="99"/>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character" w:customStyle="1" w:styleId="BodyTextChar">
    <w:name w:val="Body Text Char"/>
    <w:basedOn w:val="DefaultParagraphFont"/>
    <w:link w:val="BodyText"/>
    <w:locked/>
    <w:rsid w:val="006B519E"/>
    <w:rPr>
      <w:rFonts w:ascii="Arial" w:hAnsi="Arial" w:cs="Times New Roman"/>
    </w:rPr>
  </w:style>
  <w:style w:type="paragraph" w:customStyle="1" w:styleId="StyleDocoriginalNotBold">
    <w:name w:val="Style Doc_original + Not Bold"/>
    <w:basedOn w:val="Docoriginal"/>
    <w:link w:val="StyleDocoriginalNotBoldChar"/>
    <w:autoRedefine/>
    <w:uiPriority w:val="99"/>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uiPriority w:val="99"/>
    <w:semiHidden/>
    <w:rsid w:val="00D3708D"/>
    <w:pPr>
      <w:spacing w:before="1200"/>
      <w:jc w:val="center"/>
    </w:pPr>
    <w:rPr>
      <w:caps/>
    </w:rPr>
  </w:style>
  <w:style w:type="paragraph" w:customStyle="1" w:styleId="preparedby0">
    <w:name w:val="prepared by"/>
    <w:basedOn w:val="Normal"/>
    <w:uiPriority w:val="99"/>
    <w:semiHidden/>
    <w:rsid w:val="00D3708D"/>
    <w:pPr>
      <w:spacing w:before="600" w:after="600"/>
      <w:jc w:val="center"/>
    </w:pPr>
    <w:rPr>
      <w:i/>
    </w:rPr>
  </w:style>
  <w:style w:type="paragraph" w:customStyle="1" w:styleId="PlaceAndDate">
    <w:name w:val="PlaceAndDate"/>
    <w:basedOn w:val="Session"/>
    <w:uiPriority w:val="99"/>
    <w:semiHidden/>
    <w:rsid w:val="0033507D"/>
  </w:style>
  <w:style w:type="paragraph" w:styleId="EndnoteText">
    <w:name w:val="endnote text"/>
    <w:basedOn w:val="Normal"/>
    <w:link w:val="EndnoteTextChar"/>
    <w:uiPriority w:val="99"/>
    <w:semiHidden/>
    <w:rsid w:val="0033507D"/>
  </w:style>
  <w:style w:type="character" w:customStyle="1" w:styleId="EndnoteTextChar">
    <w:name w:val="Endnote Text Char"/>
    <w:basedOn w:val="DefaultParagraphFont"/>
    <w:link w:val="EndnoteText"/>
    <w:uiPriority w:val="99"/>
    <w:semiHidden/>
    <w:locked/>
    <w:rsid w:val="00E32FB5"/>
    <w:rPr>
      <w:rFonts w:ascii="Arial" w:hAnsi="Arial" w:cs="Times New Roman"/>
      <w:sz w:val="20"/>
      <w:szCs w:val="20"/>
      <w:lang w:val="en-US" w:eastAsia="en-US"/>
    </w:rPr>
  </w:style>
  <w:style w:type="character" w:styleId="EndnoteReference">
    <w:name w:val="endnote reference"/>
    <w:basedOn w:val="DefaultParagraphFont"/>
    <w:uiPriority w:val="99"/>
    <w:semiHidden/>
    <w:rsid w:val="0033507D"/>
    <w:rPr>
      <w:rFonts w:cs="Times New Roman"/>
      <w:vertAlign w:val="superscript"/>
    </w:rPr>
  </w:style>
  <w:style w:type="paragraph" w:customStyle="1" w:styleId="SessionMeetingPlace">
    <w:name w:val="Session_MeetingPlace"/>
    <w:basedOn w:val="Normal"/>
    <w:uiPriority w:val="99"/>
    <w:semiHidden/>
    <w:rsid w:val="0033507D"/>
    <w:pPr>
      <w:spacing w:before="480"/>
      <w:jc w:val="center"/>
    </w:pPr>
    <w:rPr>
      <w:b/>
      <w:bCs/>
      <w:kern w:val="28"/>
      <w:sz w:val="24"/>
    </w:rPr>
  </w:style>
  <w:style w:type="paragraph" w:customStyle="1" w:styleId="Original">
    <w:name w:val="Original"/>
    <w:basedOn w:val="Normal"/>
    <w:uiPriority w:val="99"/>
    <w:semiHidden/>
    <w:rsid w:val="0033507D"/>
    <w:pPr>
      <w:spacing w:before="60"/>
      <w:ind w:left="1276"/>
    </w:pPr>
    <w:rPr>
      <w:b/>
      <w:sz w:val="22"/>
    </w:rPr>
  </w:style>
  <w:style w:type="paragraph" w:styleId="Date">
    <w:name w:val="Date"/>
    <w:basedOn w:val="Normal"/>
    <w:link w:val="DateChar"/>
    <w:uiPriority w:val="99"/>
    <w:semiHidden/>
    <w:rsid w:val="0033507D"/>
    <w:pPr>
      <w:spacing w:line="340" w:lineRule="exact"/>
      <w:ind w:left="1276"/>
    </w:pPr>
    <w:rPr>
      <w:b/>
      <w:sz w:val="22"/>
    </w:rPr>
  </w:style>
  <w:style w:type="character" w:customStyle="1" w:styleId="DateChar">
    <w:name w:val="Date Char"/>
    <w:basedOn w:val="DefaultParagraphFont"/>
    <w:link w:val="Date"/>
    <w:uiPriority w:val="99"/>
    <w:semiHidden/>
    <w:locked/>
    <w:rsid w:val="00E32FB5"/>
    <w:rPr>
      <w:rFonts w:ascii="Arial" w:hAnsi="Arial" w:cs="Times New Roman"/>
      <w:sz w:val="20"/>
      <w:szCs w:val="20"/>
      <w:lang w:val="en-US" w:eastAsia="en-US"/>
    </w:rPr>
  </w:style>
  <w:style w:type="paragraph" w:customStyle="1" w:styleId="Code">
    <w:name w:val="Code"/>
    <w:basedOn w:val="Normal"/>
    <w:link w:val="CodeChar"/>
    <w:uiPriority w:val="99"/>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uiPriority w:val="99"/>
    <w:rsid w:val="0033507D"/>
    <w:pPr>
      <w:spacing w:before="240"/>
    </w:pPr>
  </w:style>
  <w:style w:type="paragraph" w:customStyle="1" w:styleId="TitreUpov">
    <w:name w:val="TitreUpov"/>
    <w:basedOn w:val="Normal"/>
    <w:uiPriority w:val="99"/>
    <w:semiHidden/>
    <w:rsid w:val="00D3708D"/>
    <w:pPr>
      <w:spacing w:before="60"/>
      <w:jc w:val="center"/>
    </w:pPr>
    <w:rPr>
      <w:b/>
      <w:sz w:val="24"/>
    </w:rPr>
  </w:style>
  <w:style w:type="paragraph" w:customStyle="1" w:styleId="StyleSessionAllcaps">
    <w:name w:val="Style Session + All caps"/>
    <w:basedOn w:val="Session"/>
    <w:uiPriority w:val="99"/>
    <w:semiHidden/>
    <w:rsid w:val="0033507D"/>
    <w:pPr>
      <w:spacing w:before="480"/>
    </w:pPr>
    <w:rPr>
      <w:bCs/>
      <w:caps/>
      <w:kern w:val="28"/>
      <w:sz w:val="24"/>
    </w:rPr>
  </w:style>
  <w:style w:type="paragraph" w:customStyle="1" w:styleId="plcountry">
    <w:name w:val="plcountry"/>
    <w:basedOn w:val="Normal"/>
    <w:uiPriority w:val="99"/>
    <w:rsid w:val="0033507D"/>
    <w:pPr>
      <w:keepNext/>
      <w:keepLines/>
      <w:spacing w:before="180" w:after="120"/>
      <w:jc w:val="left"/>
    </w:pPr>
    <w:rPr>
      <w:caps/>
      <w:noProof/>
      <w:u w:val="single"/>
    </w:rPr>
  </w:style>
  <w:style w:type="paragraph" w:customStyle="1" w:styleId="pldetails">
    <w:name w:val="pldetails"/>
    <w:basedOn w:val="Normal"/>
    <w:uiPriority w:val="99"/>
    <w:rsid w:val="0033507D"/>
    <w:pPr>
      <w:keepLines/>
      <w:spacing w:before="60" w:after="60"/>
      <w:jc w:val="left"/>
    </w:pPr>
    <w:rPr>
      <w:noProof/>
    </w:rPr>
  </w:style>
  <w:style w:type="paragraph" w:customStyle="1" w:styleId="plheading">
    <w:name w:val="plheading"/>
    <w:basedOn w:val="Normal"/>
    <w:uiPriority w:val="99"/>
    <w:rsid w:val="0033507D"/>
    <w:pPr>
      <w:keepNext/>
      <w:spacing w:before="480" w:after="120"/>
      <w:jc w:val="center"/>
    </w:pPr>
    <w:rPr>
      <w:caps/>
      <w:u w:val="single"/>
    </w:rPr>
  </w:style>
  <w:style w:type="paragraph" w:customStyle="1" w:styleId="Sessiontcplacedate">
    <w:name w:val="Session_tc_place_date"/>
    <w:basedOn w:val="SessionMeetingPlace"/>
    <w:uiPriority w:val="99"/>
    <w:rsid w:val="0033507D"/>
    <w:pPr>
      <w:spacing w:before="240"/>
    </w:pPr>
  </w:style>
  <w:style w:type="paragraph" w:customStyle="1" w:styleId="Titleofdoc0">
    <w:name w:val="Title_of_doc"/>
    <w:basedOn w:val="Normal"/>
    <w:uiPriority w:val="99"/>
    <w:rsid w:val="0033507D"/>
    <w:pPr>
      <w:spacing w:before="600"/>
      <w:jc w:val="center"/>
    </w:pPr>
    <w:rPr>
      <w:caps/>
    </w:rPr>
  </w:style>
  <w:style w:type="paragraph" w:customStyle="1" w:styleId="preparedby1">
    <w:name w:val="prepared_by"/>
    <w:basedOn w:val="Normal"/>
    <w:uiPriority w:val="99"/>
    <w:rsid w:val="0033507D"/>
    <w:pPr>
      <w:spacing w:before="240" w:after="600"/>
      <w:jc w:val="center"/>
    </w:pPr>
    <w:rPr>
      <w:i/>
    </w:rPr>
  </w:style>
  <w:style w:type="character" w:customStyle="1" w:styleId="CodeChar">
    <w:name w:val="Code Char"/>
    <w:basedOn w:val="DefaultParagraphFont"/>
    <w:link w:val="Code"/>
    <w:uiPriority w:val="99"/>
    <w:locked/>
    <w:rsid w:val="00D3708D"/>
    <w:rPr>
      <w:rFonts w:ascii="Arial" w:hAnsi="Arial" w:cs="Times New Roman"/>
      <w:b/>
      <w:bCs/>
      <w:spacing w:val="10"/>
      <w:lang w:val="fr-FR" w:eastAsia="en-US" w:bidi="ar-SA"/>
    </w:rPr>
  </w:style>
  <w:style w:type="paragraph" w:customStyle="1" w:styleId="endofdoc">
    <w:name w:val="end_of_doc"/>
    <w:autoRedefine/>
    <w:uiPriority w:val="99"/>
    <w:rsid w:val="0033507D"/>
    <w:pPr>
      <w:spacing w:before="480"/>
      <w:ind w:left="567" w:hanging="567"/>
      <w:jc w:val="right"/>
    </w:pPr>
    <w:rPr>
      <w:rFonts w:ascii="Arial" w:hAnsi="Arial"/>
      <w:sz w:val="20"/>
      <w:szCs w:val="20"/>
      <w:lang w:val="en-US" w:eastAsia="en-US"/>
    </w:rPr>
  </w:style>
  <w:style w:type="character" w:customStyle="1" w:styleId="DocoriginalChar">
    <w:name w:val="Doc_original Char"/>
    <w:basedOn w:val="DefaultParagraphFont"/>
    <w:link w:val="Docoriginal"/>
    <w:locked/>
    <w:rsid w:val="0033507D"/>
    <w:rPr>
      <w:rFonts w:ascii="Arial" w:hAnsi="Arial" w:cs="Times New Roman"/>
      <w:b/>
      <w:bCs/>
      <w:spacing w:val="10"/>
      <w:lang w:val="en-US" w:eastAsia="en-US" w:bidi="ar-SA"/>
    </w:rPr>
  </w:style>
  <w:style w:type="character" w:customStyle="1" w:styleId="StyleDocoriginalNotBoldChar">
    <w:name w:val="Style Doc_original + Not Bold Char"/>
    <w:basedOn w:val="DocoriginalChar"/>
    <w:link w:val="StyleDocoriginalNotBold"/>
    <w:uiPriority w:val="99"/>
    <w:locked/>
    <w:rsid w:val="0033507D"/>
    <w:rPr>
      <w:rFonts w:ascii="Arial" w:hAnsi="Arial" w:cs="Times New Roman"/>
      <w:b/>
      <w:bCs/>
      <w:spacing w:val="10"/>
      <w:lang w:val="en-US" w:eastAsia="en-US" w:bidi="ar-SA"/>
    </w:rPr>
  </w:style>
  <w:style w:type="paragraph" w:customStyle="1" w:styleId="StyleDocnumber">
    <w:name w:val="Style Doc_number"/>
    <w:basedOn w:val="Docoriginal"/>
    <w:uiPriority w:val="99"/>
    <w:rsid w:val="0033507D"/>
    <w:pPr>
      <w:ind w:left="1589"/>
    </w:pPr>
  </w:style>
  <w:style w:type="paragraph" w:customStyle="1" w:styleId="StyleDocoriginal">
    <w:name w:val="Style Doc_original"/>
    <w:basedOn w:val="Docoriginal"/>
    <w:link w:val="StyleDocoriginalChar"/>
    <w:uiPriority w:val="99"/>
    <w:rsid w:val="0033507D"/>
  </w:style>
  <w:style w:type="character" w:customStyle="1" w:styleId="StyleDocoriginalChar">
    <w:name w:val="Style Doc_original Char"/>
    <w:basedOn w:val="DocoriginalChar"/>
    <w:link w:val="StyleDocoriginal"/>
    <w:uiPriority w:val="99"/>
    <w:locked/>
    <w:rsid w:val="0033507D"/>
    <w:rPr>
      <w:rFonts w:ascii="Arial" w:hAnsi="Arial" w:cs="Times New Roman"/>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uiPriority w:val="99"/>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uiPriority w:val="99"/>
    <w:locked/>
    <w:rsid w:val="00281060"/>
    <w:rPr>
      <w:rFonts w:ascii="Arial" w:hAnsi="Arial" w:cs="Times New Roman"/>
      <w:b/>
      <w:bCs/>
      <w:spacing w:val="10"/>
      <w:lang w:val="en-US" w:eastAsia="en-US" w:bidi="ar-SA"/>
    </w:rPr>
  </w:style>
  <w:style w:type="character" w:customStyle="1" w:styleId="StyleDocoriginalNotBold1">
    <w:name w:val="Style Doc_original + Not Bold1"/>
    <w:basedOn w:val="DefaultParagraphFont"/>
    <w:rsid w:val="0033507D"/>
    <w:rPr>
      <w:rFonts w:ascii="Arial" w:hAnsi="Arial" w:cs="Times New Roman"/>
      <w:b/>
      <w:bCs/>
      <w:spacing w:val="10"/>
      <w:lang w:val="en-US" w:eastAsia="en-US" w:bidi="ar-SA"/>
    </w:rPr>
  </w:style>
  <w:style w:type="character" w:customStyle="1" w:styleId="StyleDoclangBold">
    <w:name w:val="Style Doc_lang + Bold"/>
    <w:basedOn w:val="Doclang"/>
    <w:rsid w:val="0033507D"/>
    <w:rPr>
      <w:rFonts w:ascii="Arial" w:hAnsi="Arial" w:cs="Times New Roman"/>
      <w:b/>
      <w:bCs/>
      <w:sz w:val="20"/>
      <w:lang w:val="en-US"/>
    </w:rPr>
  </w:style>
  <w:style w:type="paragraph" w:styleId="TOC2">
    <w:name w:val="toc 2"/>
    <w:basedOn w:val="Normal"/>
    <w:next w:val="Normal"/>
    <w:autoRedefine/>
    <w:uiPriority w:val="39"/>
    <w:rsid w:val="00F345B3"/>
    <w:pPr>
      <w:tabs>
        <w:tab w:val="right" w:leader="dot" w:pos="9639"/>
      </w:tabs>
      <w:spacing w:before="120" w:after="120"/>
      <w:ind w:left="426" w:right="851"/>
      <w:contextualSpacing/>
      <w:jc w:val="left"/>
    </w:pPr>
  </w:style>
  <w:style w:type="paragraph" w:styleId="TOC3">
    <w:name w:val="toc 3"/>
    <w:basedOn w:val="Normal"/>
    <w:next w:val="Normal"/>
    <w:autoRedefine/>
    <w:uiPriority w:val="39"/>
    <w:rsid w:val="001257C0"/>
    <w:pPr>
      <w:keepNext/>
      <w:tabs>
        <w:tab w:val="right" w:leader="dot" w:pos="9639"/>
      </w:tabs>
      <w:spacing w:before="120" w:after="80"/>
      <w:ind w:right="284"/>
      <w:jc w:val="left"/>
    </w:pPr>
    <w:rPr>
      <w:b/>
      <w:sz w:val="18"/>
      <w:lang w:val="fr-FR"/>
    </w:rPr>
  </w:style>
  <w:style w:type="character" w:styleId="Hyperlink">
    <w:name w:val="Hyperlink"/>
    <w:basedOn w:val="DefaultParagraphFont"/>
    <w:uiPriority w:val="99"/>
    <w:rsid w:val="0033507D"/>
    <w:rPr>
      <w:rFonts w:ascii="Arial" w:hAnsi="Arial" w:cs="Times New Roman"/>
      <w:color w:val="0000FF"/>
      <w:u w:val="single"/>
    </w:rPr>
  </w:style>
  <w:style w:type="paragraph" w:styleId="TOC4">
    <w:name w:val="toc 4"/>
    <w:basedOn w:val="Normal"/>
    <w:next w:val="Normal"/>
    <w:autoRedefine/>
    <w:uiPriority w:val="99"/>
    <w:rsid w:val="00F345B3"/>
    <w:pPr>
      <w:tabs>
        <w:tab w:val="right" w:leader="dot" w:pos="9639"/>
      </w:tabs>
      <w:spacing w:before="40" w:after="80"/>
      <w:ind w:left="142" w:right="284"/>
      <w:jc w:val="left"/>
    </w:pPr>
    <w:rPr>
      <w:b/>
      <w:noProof/>
      <w:sz w:val="18"/>
      <w:lang w:val="fr-FR"/>
    </w:rPr>
  </w:style>
  <w:style w:type="paragraph" w:styleId="TOC1">
    <w:name w:val="toc 1"/>
    <w:basedOn w:val="Normal"/>
    <w:next w:val="Normal"/>
    <w:autoRedefine/>
    <w:uiPriority w:val="39"/>
    <w:rsid w:val="00F345B3"/>
    <w:pPr>
      <w:tabs>
        <w:tab w:val="left" w:pos="426"/>
        <w:tab w:val="right" w:leader="dot" w:pos="9639"/>
      </w:tabs>
      <w:spacing w:before="120"/>
      <w:ind w:left="425" w:hanging="425"/>
      <w:jc w:val="left"/>
    </w:pPr>
    <w:rPr>
      <w:caps/>
    </w:rPr>
  </w:style>
  <w:style w:type="paragraph" w:styleId="TOC5">
    <w:name w:val="toc 5"/>
    <w:basedOn w:val="Normal"/>
    <w:next w:val="Normal"/>
    <w:autoRedefine/>
    <w:uiPriority w:val="39"/>
    <w:rsid w:val="00F345B3"/>
    <w:pPr>
      <w:keepNext/>
      <w:tabs>
        <w:tab w:val="right" w:leader="dot" w:pos="9639"/>
      </w:tabs>
      <w:spacing w:before="40" w:after="40"/>
      <w:ind w:left="284" w:right="284"/>
    </w:pPr>
    <w:rPr>
      <w:noProof/>
      <w:sz w:val="18"/>
      <w:szCs w:val="18"/>
      <w:lang w:val="fr-FR"/>
    </w:rPr>
  </w:style>
  <w:style w:type="paragraph" w:styleId="BalloonText">
    <w:name w:val="Balloon Text"/>
    <w:basedOn w:val="Normal"/>
    <w:link w:val="BalloonTextChar"/>
    <w:uiPriority w:val="99"/>
    <w:rsid w:val="00560A6D"/>
    <w:rPr>
      <w:rFonts w:ascii="Tahoma" w:hAnsi="Tahoma" w:cs="Tahoma"/>
      <w:sz w:val="16"/>
      <w:szCs w:val="16"/>
    </w:rPr>
  </w:style>
  <w:style w:type="character" w:customStyle="1" w:styleId="BalloonTextChar">
    <w:name w:val="Balloon Text Char"/>
    <w:basedOn w:val="DefaultParagraphFont"/>
    <w:link w:val="BalloonText"/>
    <w:uiPriority w:val="99"/>
    <w:locked/>
    <w:rsid w:val="00560A6D"/>
    <w:rPr>
      <w:rFonts w:ascii="Tahoma" w:hAnsi="Tahoma" w:cs="Tahoma"/>
      <w:sz w:val="16"/>
      <w:szCs w:val="16"/>
    </w:rPr>
  </w:style>
  <w:style w:type="paragraph" w:styleId="CommentText">
    <w:name w:val="annotation text"/>
    <w:basedOn w:val="Normal"/>
    <w:link w:val="CommentTextChar"/>
    <w:uiPriority w:val="99"/>
    <w:rsid w:val="006B519E"/>
    <w:pPr>
      <w:jc w:val="left"/>
    </w:pPr>
    <w:rPr>
      <w:rFonts w:ascii="Times New Roman" w:hAnsi="Times New Roman"/>
      <w:sz w:val="22"/>
    </w:rPr>
  </w:style>
  <w:style w:type="character" w:customStyle="1" w:styleId="CommentTextChar">
    <w:name w:val="Comment Text Char"/>
    <w:basedOn w:val="DefaultParagraphFont"/>
    <w:link w:val="CommentText"/>
    <w:uiPriority w:val="99"/>
    <w:locked/>
    <w:rsid w:val="006B519E"/>
    <w:rPr>
      <w:rFonts w:cs="Times New Roman"/>
      <w:sz w:val="22"/>
    </w:rPr>
  </w:style>
  <w:style w:type="table" w:styleId="TableGrid">
    <w:name w:val="Table Grid"/>
    <w:basedOn w:val="TableNormal"/>
    <w:uiPriority w:val="99"/>
    <w:rsid w:val="006B519E"/>
    <w:rPr>
      <w:rFonts w:ascii="CG Times" w:hAnsi="CG 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basedOn w:val="DefaultParagraphFont"/>
    <w:link w:val="FootnoteText"/>
    <w:uiPriority w:val="99"/>
    <w:locked/>
    <w:rsid w:val="00577BEC"/>
    <w:rPr>
      <w:rFonts w:ascii="Arial" w:hAnsi="Arial" w:cs="Times New Roman"/>
      <w:sz w:val="16"/>
      <w:lang w:val="en-US" w:eastAsia="en-US" w:bidi="ar-SA"/>
    </w:rPr>
  </w:style>
  <w:style w:type="character" w:customStyle="1" w:styleId="DecisionParagraphsChar">
    <w:name w:val="DecisionParagraphs Char"/>
    <w:basedOn w:val="DefaultParagraphFont"/>
    <w:link w:val="DecisionParagraphs"/>
    <w:uiPriority w:val="99"/>
    <w:locked/>
    <w:rsid w:val="00A605B5"/>
    <w:rPr>
      <w:rFonts w:ascii="Arial" w:hAnsi="Arial" w:cs="Times New Roman"/>
      <w:i/>
    </w:rPr>
  </w:style>
  <w:style w:type="paragraph" w:styleId="ListParagraph">
    <w:name w:val="List Paragraph"/>
    <w:basedOn w:val="Normal"/>
    <w:uiPriority w:val="99"/>
    <w:qFormat/>
    <w:rsid w:val="00E4389B"/>
    <w:pPr>
      <w:ind w:left="720"/>
      <w:contextualSpacing/>
    </w:pPr>
  </w:style>
  <w:style w:type="paragraph" w:styleId="TOC6">
    <w:name w:val="toc 6"/>
    <w:basedOn w:val="Normal"/>
    <w:next w:val="Normal"/>
    <w:autoRedefine/>
    <w:uiPriority w:val="39"/>
    <w:rsid w:val="001257C0"/>
    <w:pPr>
      <w:keepNext/>
      <w:tabs>
        <w:tab w:val="right" w:leader="dot" w:pos="9629"/>
      </w:tabs>
      <w:spacing w:after="40"/>
      <w:ind w:left="567" w:right="425"/>
    </w:pPr>
    <w:rPr>
      <w:noProof/>
      <w:sz w:val="18"/>
      <w:szCs w:val="18"/>
    </w:rPr>
  </w:style>
  <w:style w:type="paragraph" w:styleId="TOC7">
    <w:name w:val="toc 7"/>
    <w:basedOn w:val="Normal"/>
    <w:next w:val="Normal"/>
    <w:autoRedefine/>
    <w:uiPriority w:val="39"/>
    <w:rsid w:val="00F345B3"/>
    <w:pPr>
      <w:keepNext/>
      <w:tabs>
        <w:tab w:val="right" w:leader="dot" w:pos="9629"/>
      </w:tabs>
      <w:spacing w:before="40" w:after="40"/>
      <w:ind w:left="851"/>
    </w:pPr>
    <w:rPr>
      <w:i/>
      <w:noProof/>
      <w:sz w:val="18"/>
      <w:szCs w:val="18"/>
    </w:rPr>
  </w:style>
  <w:style w:type="paragraph" w:styleId="TOC8">
    <w:name w:val="toc 8"/>
    <w:basedOn w:val="Normal"/>
    <w:next w:val="Normal"/>
    <w:autoRedefine/>
    <w:uiPriority w:val="39"/>
    <w:rsid w:val="001257C0"/>
    <w:pPr>
      <w:tabs>
        <w:tab w:val="right" w:leader="dot" w:pos="9629"/>
      </w:tabs>
      <w:spacing w:after="40"/>
      <w:ind w:left="1134" w:right="425"/>
    </w:pPr>
    <w:rPr>
      <w:i/>
      <w:noProof/>
      <w:sz w:val="18"/>
      <w:szCs w:val="18"/>
    </w:rPr>
  </w:style>
  <w:style w:type="paragraph" w:styleId="TOC9">
    <w:name w:val="toc 9"/>
    <w:basedOn w:val="Normal"/>
    <w:next w:val="Normal"/>
    <w:autoRedefine/>
    <w:uiPriority w:val="39"/>
    <w:rsid w:val="00301C4E"/>
    <w:pPr>
      <w:tabs>
        <w:tab w:val="right" w:leader="dot" w:pos="9629"/>
      </w:tabs>
      <w:ind w:left="1701" w:right="284"/>
      <w:jc w:val="left"/>
    </w:pPr>
    <w:rPr>
      <w:noProof/>
      <w:sz w:val="18"/>
      <w:szCs w:val="18"/>
    </w:rPr>
  </w:style>
  <w:style w:type="paragraph" w:customStyle="1" w:styleId="Draft">
    <w:name w:val="Draft"/>
    <w:basedOn w:val="Normal"/>
    <w:next w:val="preparedby"/>
    <w:uiPriority w:val="99"/>
    <w:rsid w:val="00C74C0E"/>
    <w:pPr>
      <w:spacing w:before="720" w:after="480"/>
      <w:jc w:val="center"/>
    </w:pPr>
    <w:rPr>
      <w:rFonts w:ascii="Times New Roman" w:hAnsi="Times New Roman"/>
      <w:caps/>
      <w:sz w:val="28"/>
    </w:rPr>
  </w:style>
  <w:style w:type="paragraph" w:customStyle="1" w:styleId="Committee">
    <w:name w:val="Committee"/>
    <w:basedOn w:val="Title"/>
    <w:uiPriority w:val="99"/>
    <w:rsid w:val="00C74C0E"/>
    <w:rPr>
      <w:caps w:val="0"/>
    </w:rPr>
  </w:style>
  <w:style w:type="paragraph" w:styleId="BodyTextIndent">
    <w:name w:val="Body Text Indent"/>
    <w:basedOn w:val="Normal"/>
    <w:link w:val="BodyTextIndentChar"/>
    <w:uiPriority w:val="99"/>
    <w:rsid w:val="00C74C0E"/>
    <w:rPr>
      <w:rFonts w:ascii="Times New Roman" w:hAnsi="Times New Roman"/>
      <w:sz w:val="24"/>
      <w:u w:val="single"/>
    </w:rPr>
  </w:style>
  <w:style w:type="character" w:customStyle="1" w:styleId="BodyTextIndentChar">
    <w:name w:val="Body Text Indent Char"/>
    <w:basedOn w:val="DefaultParagraphFont"/>
    <w:link w:val="BodyTextIndent"/>
    <w:uiPriority w:val="99"/>
    <w:locked/>
    <w:rsid w:val="00C74C0E"/>
    <w:rPr>
      <w:rFonts w:cs="Times New Roman"/>
      <w:sz w:val="24"/>
      <w:u w:val="single"/>
    </w:rPr>
  </w:style>
  <w:style w:type="paragraph" w:customStyle="1" w:styleId="ZchnZchn1">
    <w:name w:val="Zchn Zchn1"/>
    <w:basedOn w:val="Normal"/>
    <w:uiPriority w:val="99"/>
    <w:rsid w:val="007112D4"/>
    <w:pPr>
      <w:spacing w:after="160" w:line="240" w:lineRule="exact"/>
      <w:jc w:val="left"/>
    </w:pPr>
    <w:rPr>
      <w:rFonts w:ascii="Times New Roman" w:eastAsia="PMingLiU" w:hAnsi="Times New Roman"/>
      <w:sz w:val="24"/>
      <w:szCs w:val="24"/>
    </w:rPr>
  </w:style>
  <w:style w:type="character" w:customStyle="1" w:styleId="tw4winMark">
    <w:name w:val="tw4winMark"/>
    <w:basedOn w:val="DefaultParagraphFont"/>
    <w:uiPriority w:val="99"/>
    <w:rsid w:val="004A4C7F"/>
    <w:rPr>
      <w:rFonts w:ascii="Courier New" w:hAnsi="Courier New" w:cs="Courier New"/>
      <w:noProof/>
      <w:vanish/>
      <w:color w:val="800080"/>
      <w:sz w:val="22"/>
      <w:effect w:val="none"/>
      <w:vertAlign w:val="subscript"/>
    </w:rPr>
  </w:style>
  <w:style w:type="character" w:styleId="FollowedHyperlink">
    <w:name w:val="FollowedHyperlink"/>
    <w:basedOn w:val="DefaultParagraphFont"/>
    <w:uiPriority w:val="99"/>
    <w:rsid w:val="007844B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upov.int/meetings/es/details.jsp?meeting_id=26104" TargetMode="External"/><Relationship Id="rId3" Type="http://schemas.openxmlformats.org/officeDocument/2006/relationships/styles" Target="styles.xml"/><Relationship Id="rId21" Type="http://schemas.openxmlformats.org/officeDocument/2006/relationships/hyperlink" Target="http://www.upov.int/meetings/es/details.jsp?meeting_id=26104"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upov.int/meetings/es/details.jsp?meeting_id=26104"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2367053689682"/>
          <c:y val="7.0682983904120408E-2"/>
          <c:w val="0.87237530688308551"/>
          <c:h val="0.74377585934288337"/>
        </c:manualLayout>
      </c:layout>
      <c:barChart>
        <c:barDir val="col"/>
        <c:grouping val="stacked"/>
        <c:varyColors val="0"/>
        <c:ser>
          <c:idx val="0"/>
          <c:order val="0"/>
          <c:tx>
            <c:v>Nuevas</c:v>
          </c:tx>
          <c:spPr>
            <a:solidFill>
              <a:srgbClr val="00FF00"/>
            </a:solidFill>
            <a:ln w="12700">
              <a:solidFill>
                <a:srgbClr val="000000"/>
              </a:solidFill>
              <a:prstDash val="solid"/>
            </a:ln>
          </c:spPr>
          <c:invertIfNegative val="0"/>
          <c:cat>
            <c:numRef>
              <c:f>'[Chart in Microsoft Word]Figure 1'!$B$5:$B$35</c:f>
              <c:numCache>
                <c:formatCode>General</c:formatCode>
                <c:ptCount val="3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'[Chart in Microsoft Word]Figure 1'!$C$5:$C$35</c:f>
              <c:numCache>
                <c:formatCode>General</c:formatCode>
                <c:ptCount val="31"/>
                <c:pt idx="0">
                  <c:v>0</c:v>
                </c:pt>
                <c:pt idx="1">
                  <c:v>3</c:v>
                </c:pt>
                <c:pt idx="2">
                  <c:v>5</c:v>
                </c:pt>
                <c:pt idx="3">
                  <c:v>4</c:v>
                </c:pt>
                <c:pt idx="4">
                  <c:v>9</c:v>
                </c:pt>
                <c:pt idx="5">
                  <c:v>2</c:v>
                </c:pt>
                <c:pt idx="6">
                  <c:v>9</c:v>
                </c:pt>
                <c:pt idx="7">
                  <c:v>9</c:v>
                </c:pt>
                <c:pt idx="8">
                  <c:v>6</c:v>
                </c:pt>
                <c:pt idx="9">
                  <c:v>7</c:v>
                </c:pt>
                <c:pt idx="10">
                  <c:v>6</c:v>
                </c:pt>
                <c:pt idx="11">
                  <c:v>2</c:v>
                </c:pt>
                <c:pt idx="12">
                  <c:v>3</c:v>
                </c:pt>
                <c:pt idx="13">
                  <c:v>6</c:v>
                </c:pt>
                <c:pt idx="14">
                  <c:v>2</c:v>
                </c:pt>
                <c:pt idx="15">
                  <c:v>5</c:v>
                </c:pt>
                <c:pt idx="16">
                  <c:v>4</c:v>
                </c:pt>
                <c:pt idx="17">
                  <c:v>8</c:v>
                </c:pt>
                <c:pt idx="18">
                  <c:v>4</c:v>
                </c:pt>
                <c:pt idx="19">
                  <c:v>11</c:v>
                </c:pt>
                <c:pt idx="20">
                  <c:v>10</c:v>
                </c:pt>
                <c:pt idx="21">
                  <c:v>12</c:v>
                </c:pt>
                <c:pt idx="22">
                  <c:v>7</c:v>
                </c:pt>
                <c:pt idx="23">
                  <c:v>5</c:v>
                </c:pt>
                <c:pt idx="24">
                  <c:v>4</c:v>
                </c:pt>
                <c:pt idx="25">
                  <c:v>9</c:v>
                </c:pt>
                <c:pt idx="26">
                  <c:v>10</c:v>
                </c:pt>
                <c:pt idx="27">
                  <c:v>8</c:v>
                </c:pt>
                <c:pt idx="28">
                  <c:v>8</c:v>
                </c:pt>
                <c:pt idx="29">
                  <c:v>13</c:v>
                </c:pt>
                <c:pt idx="30">
                  <c:v>8</c:v>
                </c:pt>
              </c:numCache>
            </c:numRef>
          </c:val>
        </c:ser>
        <c:ser>
          <c:idx val="1"/>
          <c:order val="1"/>
          <c:tx>
            <c:v>Revisiones</c:v>
          </c:tx>
          <c:spPr>
            <a:solidFill>
              <a:srgbClr val="FFCC00"/>
            </a:solidFill>
            <a:ln w="12700">
              <a:solidFill>
                <a:srgbClr val="000000"/>
              </a:solidFill>
              <a:prstDash val="solid"/>
            </a:ln>
          </c:spPr>
          <c:invertIfNegative val="0"/>
          <c:cat>
            <c:numRef>
              <c:f>'[Chart in Microsoft Word]Figure 1'!$B$5:$B$35</c:f>
              <c:numCache>
                <c:formatCode>General</c:formatCode>
                <c:ptCount val="3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'[Chart in Microsoft Word]Figure 1'!$D$5:$D$35</c:f>
              <c:numCache>
                <c:formatCode>General</c:formatCode>
                <c:ptCount val="31"/>
                <c:pt idx="0">
                  <c:v>7</c:v>
                </c:pt>
                <c:pt idx="1">
                  <c:v>1</c:v>
                </c:pt>
                <c:pt idx="2">
                  <c:v>2</c:v>
                </c:pt>
                <c:pt idx="3">
                  <c:v>6</c:v>
                </c:pt>
                <c:pt idx="4">
                  <c:v>5</c:v>
                </c:pt>
                <c:pt idx="5">
                  <c:v>4</c:v>
                </c:pt>
                <c:pt idx="6">
                  <c:v>3</c:v>
                </c:pt>
                <c:pt idx="7">
                  <c:v>7</c:v>
                </c:pt>
                <c:pt idx="8">
                  <c:v>2</c:v>
                </c:pt>
                <c:pt idx="9">
                  <c:v>8</c:v>
                </c:pt>
                <c:pt idx="10">
                  <c:v>1</c:v>
                </c:pt>
                <c:pt idx="11">
                  <c:v>2</c:v>
                </c:pt>
                <c:pt idx="12">
                  <c:v>2</c:v>
                </c:pt>
                <c:pt idx="13">
                  <c:v>9</c:v>
                </c:pt>
                <c:pt idx="14">
                  <c:v>9</c:v>
                </c:pt>
                <c:pt idx="15">
                  <c:v>5</c:v>
                </c:pt>
                <c:pt idx="16">
                  <c:v>2</c:v>
                </c:pt>
                <c:pt idx="17">
                  <c:v>8</c:v>
                </c:pt>
                <c:pt idx="18">
                  <c:v>3</c:v>
                </c:pt>
                <c:pt idx="19">
                  <c:v>7</c:v>
                </c:pt>
                <c:pt idx="20">
                  <c:v>11</c:v>
                </c:pt>
                <c:pt idx="21">
                  <c:v>17</c:v>
                </c:pt>
                <c:pt idx="22">
                  <c:v>12</c:v>
                </c:pt>
                <c:pt idx="23">
                  <c:v>8</c:v>
                </c:pt>
                <c:pt idx="24">
                  <c:v>19</c:v>
                </c:pt>
                <c:pt idx="25">
                  <c:v>7</c:v>
                </c:pt>
                <c:pt idx="26">
                  <c:v>11</c:v>
                </c:pt>
                <c:pt idx="27">
                  <c:v>4</c:v>
                </c:pt>
                <c:pt idx="28">
                  <c:v>6</c:v>
                </c:pt>
                <c:pt idx="29">
                  <c:v>8</c:v>
                </c:pt>
                <c:pt idx="30">
                  <c:v>4</c:v>
                </c:pt>
              </c:numCache>
            </c:numRef>
          </c:val>
        </c:ser>
        <c:ser>
          <c:idx val="2"/>
          <c:order val="2"/>
          <c:tx>
            <c:v>Revisiones parciales</c:v>
          </c:tx>
          <c:spPr>
            <a:solidFill>
              <a:srgbClr val="FFFFCC"/>
            </a:solidFill>
            <a:ln w="12700">
              <a:solidFill>
                <a:srgbClr val="000000"/>
              </a:solidFill>
              <a:prstDash val="solid"/>
            </a:ln>
          </c:spPr>
          <c:invertIfNegative val="0"/>
          <c:cat>
            <c:numRef>
              <c:f>'[Chart in Microsoft Word]Figure 1'!$B$5:$B$35</c:f>
              <c:numCache>
                <c:formatCode>General</c:formatCode>
                <c:ptCount val="31"/>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pt idx="30">
                  <c:v>2012</c:v>
                </c:pt>
              </c:numCache>
            </c:numRef>
          </c:cat>
          <c:val>
            <c:numRef>
              <c:f>'[Chart in Microsoft Word]Figure 1'!$E$5:$E$35</c:f>
              <c:numCache>
                <c:formatCode>General</c:formatCode>
                <c:ptCount val="31"/>
                <c:pt idx="25">
                  <c:v>2</c:v>
                </c:pt>
                <c:pt idx="26">
                  <c:v>1</c:v>
                </c:pt>
                <c:pt idx="27">
                  <c:v>2</c:v>
                </c:pt>
                <c:pt idx="28">
                  <c:v>2</c:v>
                </c:pt>
                <c:pt idx="29">
                  <c:v>2</c:v>
                </c:pt>
                <c:pt idx="30">
                  <c:v>4</c:v>
                </c:pt>
              </c:numCache>
            </c:numRef>
          </c:val>
        </c:ser>
        <c:dLbls>
          <c:showLegendKey val="0"/>
          <c:showVal val="0"/>
          <c:showCatName val="0"/>
          <c:showSerName val="0"/>
          <c:showPercent val="0"/>
          <c:showBubbleSize val="0"/>
        </c:dLbls>
        <c:gapWidth val="150"/>
        <c:overlap val="100"/>
        <c:axId val="115055616"/>
        <c:axId val="115926144"/>
      </c:barChart>
      <c:catAx>
        <c:axId val="115055616"/>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Año</a:t>
                </a:r>
              </a:p>
            </c:rich>
          </c:tx>
          <c:layout>
            <c:manualLayout>
              <c:xMode val="edge"/>
              <c:yMode val="edge"/>
              <c:x val="0.50565462031301012"/>
              <c:y val="0.9309247067008190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5400000" vert="horz"/>
          <a:lstStyle/>
          <a:p>
            <a:pPr>
              <a:defRPr sz="1000" b="0" i="0" u="none" strike="noStrike" baseline="0">
                <a:solidFill>
                  <a:srgbClr val="000000"/>
                </a:solidFill>
                <a:latin typeface="Arial"/>
                <a:ea typeface="Arial"/>
                <a:cs typeface="Arial"/>
              </a:defRPr>
            </a:pPr>
            <a:endParaRPr lang="en-US"/>
          </a:p>
        </c:txPr>
        <c:crossAx val="115926144"/>
        <c:crosses val="autoZero"/>
        <c:auto val="1"/>
        <c:lblAlgn val="ctr"/>
        <c:lblOffset val="100"/>
        <c:tickLblSkip val="2"/>
        <c:tickMarkSkip val="1"/>
        <c:noMultiLvlLbl val="0"/>
      </c:catAx>
      <c:valAx>
        <c:axId val="115926144"/>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Número</a:t>
                </a:r>
                <a:r>
                  <a:rPr lang="en-US" baseline="0"/>
                  <a:t> de directrices de examen aprobadas</a:t>
                </a:r>
                <a:endParaRPr lang="en-US"/>
              </a:p>
            </c:rich>
          </c:tx>
          <c:layout>
            <c:manualLayout>
              <c:xMode val="edge"/>
              <c:yMode val="edge"/>
              <c:x val="1.0770059235325794E-2"/>
              <c:y val="0.1472771084337349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15055616"/>
        <c:crosses val="autoZero"/>
        <c:crossBetween val="between"/>
      </c:valAx>
      <c:spPr>
        <a:solidFill>
          <a:srgbClr val="C0C0C0"/>
        </a:solidFill>
        <a:ln w="12700">
          <a:solidFill>
            <a:srgbClr val="808080"/>
          </a:solidFill>
          <a:prstDash val="solid"/>
        </a:ln>
      </c:spPr>
    </c:plotArea>
    <c:legend>
      <c:legendPos val="r"/>
      <c:layout>
        <c:manualLayout>
          <c:xMode val="edge"/>
          <c:yMode val="edge"/>
          <c:x val="0.18363018839123296"/>
          <c:y val="0.1943780160010119"/>
          <c:w val="0.23963398759323098"/>
          <c:h val="0.17349422888404009"/>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3E7C4-3186-4C3F-8B74-A4FDBF756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56</Pages>
  <Words>26082</Words>
  <Characters>140134</Characters>
  <Application>Microsoft Office Word</Application>
  <DocSecurity>0</DocSecurity>
  <Lines>1167</Lines>
  <Paragraphs>331</Paragraphs>
  <ScaleCrop>false</ScaleCrop>
  <HeadingPairs>
    <vt:vector size="2" baseType="variant">
      <vt:variant>
        <vt:lpstr>Title</vt:lpstr>
      </vt:variant>
      <vt:variant>
        <vt:i4>1</vt:i4>
      </vt:variant>
    </vt:vector>
  </HeadingPairs>
  <TitlesOfParts>
    <vt:vector size="1" baseType="lpstr">
      <vt:lpstr/>
    </vt:vector>
  </TitlesOfParts>
  <Company>UPOV</Company>
  <LinksUpToDate>false</LinksUpToDate>
  <CharactersWithSpaces>165885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 LLORET Amparo</dc:creator>
  <cp:keywords/>
  <dc:description/>
  <cp:lastModifiedBy>SANCHEZ-VIZCAINO GOMEZ Rosa Maria</cp:lastModifiedBy>
  <cp:revision>53</cp:revision>
  <cp:lastPrinted>2013-09-27T13:53:00Z</cp:lastPrinted>
  <dcterms:created xsi:type="dcterms:W3CDTF">2013-09-24T07:25:00Z</dcterms:created>
  <dcterms:modified xsi:type="dcterms:W3CDTF">2013-09-27T13:53:00Z</dcterms:modified>
</cp:coreProperties>
</file>