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D5B6E" w:rsidRPr="00BD5B6E" w:rsidTr="0018780B">
        <w:trPr>
          <w:trHeight w:val="1760"/>
        </w:trPr>
        <w:tc>
          <w:tcPr>
            <w:tcW w:w="4243" w:type="dxa"/>
          </w:tcPr>
          <w:p w:rsidR="000D7780" w:rsidRPr="00BD5B6E" w:rsidRDefault="00DE04C1" w:rsidP="00E52BE8">
            <w:r>
              <w:t xml:space="preserve"> </w:t>
            </w:r>
          </w:p>
        </w:tc>
        <w:tc>
          <w:tcPr>
            <w:tcW w:w="1646" w:type="dxa"/>
            <w:vAlign w:val="center"/>
          </w:tcPr>
          <w:p w:rsidR="000D7780" w:rsidRPr="00BD5B6E" w:rsidRDefault="00A339DC" w:rsidP="00E52BE8">
            <w:pPr>
              <w:pStyle w:val="LogoUPOV"/>
            </w:pPr>
            <w:r w:rsidRPr="00BD5B6E">
              <w:rPr>
                <w:noProof/>
              </w:rPr>
              <w:drawing>
                <wp:inline distT="0" distB="0" distL="0" distR="0" wp14:anchorId="712BA09D" wp14:editId="31BD9089">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BD5B6E" w:rsidRDefault="0024416D" w:rsidP="00E52BE8">
            <w:pPr>
              <w:pStyle w:val="Lettrine"/>
            </w:pPr>
            <w:r w:rsidRPr="00BD5B6E">
              <w:t>E</w:t>
            </w:r>
          </w:p>
          <w:p w:rsidR="000D7780" w:rsidRPr="00BD5B6E" w:rsidRDefault="00DD28A3" w:rsidP="00E52BE8">
            <w:pPr>
              <w:pStyle w:val="Docoriginal"/>
            </w:pPr>
            <w:r>
              <w:rPr>
                <w:rFonts w:hint="eastAsia"/>
                <w:lang w:eastAsia="ja-JP"/>
              </w:rPr>
              <w:t>UPOV/WG-DST/2</w:t>
            </w:r>
            <w:r w:rsidR="00726996">
              <w:rPr>
                <w:rFonts w:hint="eastAsia"/>
                <w:lang w:eastAsia="ja-JP"/>
              </w:rPr>
              <w:t>/</w:t>
            </w:r>
            <w:bookmarkStart w:id="0" w:name="Code"/>
            <w:bookmarkEnd w:id="0"/>
            <w:r w:rsidR="00BB268B">
              <w:rPr>
                <w:lang w:eastAsia="ja-JP"/>
              </w:rPr>
              <w:t>2</w:t>
            </w:r>
          </w:p>
          <w:p w:rsidR="000D7780" w:rsidRPr="00BD5B6E" w:rsidRDefault="0061555F" w:rsidP="00E52BE8">
            <w:pPr>
              <w:pStyle w:val="Docoriginal"/>
              <w:rPr>
                <w:b w:val="0"/>
                <w:spacing w:val="0"/>
              </w:rPr>
            </w:pPr>
            <w:r w:rsidRPr="00BD5B6E">
              <w:rPr>
                <w:rStyle w:val="StyleDoclangBold"/>
                <w:b/>
                <w:bCs/>
                <w:spacing w:val="0"/>
              </w:rPr>
              <w:t>ORIGINAL</w:t>
            </w:r>
            <w:r w:rsidR="000D7780" w:rsidRPr="00BD5B6E">
              <w:rPr>
                <w:rStyle w:val="StyleDoclangBold"/>
                <w:b/>
                <w:bCs/>
                <w:spacing w:val="0"/>
              </w:rPr>
              <w:t>:</w:t>
            </w:r>
            <w:r w:rsidRPr="00BD5B6E">
              <w:rPr>
                <w:rStyle w:val="StyleDocoriginalNotBold1"/>
                <w:spacing w:val="0"/>
              </w:rPr>
              <w:t xml:space="preserve"> </w:t>
            </w:r>
            <w:bookmarkStart w:id="1" w:name="Original"/>
            <w:bookmarkEnd w:id="1"/>
            <w:r w:rsidR="00876C58" w:rsidRPr="00BD5B6E">
              <w:rPr>
                <w:rStyle w:val="StyleDocoriginalNotBold1"/>
                <w:spacing w:val="0"/>
              </w:rPr>
              <w:t xml:space="preserve"> </w:t>
            </w:r>
            <w:r w:rsidR="0024416D" w:rsidRPr="00BD5B6E">
              <w:rPr>
                <w:b w:val="0"/>
                <w:spacing w:val="0"/>
              </w:rPr>
              <w:t>English</w:t>
            </w:r>
          </w:p>
          <w:p w:rsidR="000D7780" w:rsidRPr="00BD5B6E" w:rsidRDefault="000D7780" w:rsidP="001F5785">
            <w:pPr>
              <w:pStyle w:val="Docoriginal"/>
              <w:rPr>
                <w:lang w:eastAsia="ja-JP"/>
              </w:rPr>
            </w:pPr>
            <w:r w:rsidRPr="00BD5B6E">
              <w:rPr>
                <w:spacing w:val="0"/>
              </w:rPr>
              <w:t>DATE:</w:t>
            </w:r>
            <w:r w:rsidRPr="00BD5B6E">
              <w:rPr>
                <w:rStyle w:val="StyleDocoriginalNotBold1"/>
                <w:spacing w:val="0"/>
              </w:rPr>
              <w:t xml:space="preserve"> </w:t>
            </w:r>
            <w:bookmarkStart w:id="2" w:name="Date"/>
            <w:bookmarkEnd w:id="2"/>
            <w:r w:rsidR="00876C58" w:rsidRPr="00BD5B6E">
              <w:rPr>
                <w:rStyle w:val="StyleDocoriginalNotBold1"/>
                <w:spacing w:val="0"/>
              </w:rPr>
              <w:t xml:space="preserve"> </w:t>
            </w:r>
            <w:r w:rsidR="00B11783">
              <w:rPr>
                <w:rStyle w:val="StyleDocoriginalNotBold1"/>
                <w:rFonts w:hint="eastAsia"/>
                <w:spacing w:val="0"/>
                <w:lang w:eastAsia="ja-JP"/>
              </w:rPr>
              <w:t xml:space="preserve">May </w:t>
            </w:r>
            <w:r w:rsidR="00826945">
              <w:rPr>
                <w:rStyle w:val="StyleDocoriginalNotBold1"/>
                <w:spacing w:val="0"/>
                <w:lang w:eastAsia="ja-JP"/>
              </w:rPr>
              <w:t>2</w:t>
            </w:r>
            <w:r w:rsidR="001F5785">
              <w:rPr>
                <w:rStyle w:val="StyleDocoriginalNotBold1"/>
                <w:rFonts w:hint="eastAsia"/>
                <w:spacing w:val="0"/>
                <w:lang w:eastAsia="ja-JP"/>
              </w:rPr>
              <w:t>2</w:t>
            </w:r>
            <w:r w:rsidR="00771714" w:rsidRPr="00BD5B6E">
              <w:rPr>
                <w:rStyle w:val="StyleDocoriginalNotBold1"/>
                <w:spacing w:val="0"/>
              </w:rPr>
              <w:t>, 201</w:t>
            </w:r>
            <w:r w:rsidR="00DD28A3">
              <w:rPr>
                <w:rStyle w:val="StyleDocoriginalNotBold1"/>
                <w:rFonts w:hint="eastAsia"/>
                <w:spacing w:val="0"/>
                <w:lang w:eastAsia="ja-JP"/>
              </w:rPr>
              <w:t>5</w:t>
            </w:r>
          </w:p>
        </w:tc>
      </w:tr>
      <w:tr w:rsidR="00BD5B6E" w:rsidRPr="00BD5B6E" w:rsidTr="0018780B">
        <w:tc>
          <w:tcPr>
            <w:tcW w:w="10131" w:type="dxa"/>
            <w:gridSpan w:val="3"/>
          </w:tcPr>
          <w:p w:rsidR="000D7780" w:rsidRPr="00BD5B6E" w:rsidRDefault="0024416D" w:rsidP="00E52BE8">
            <w:pPr>
              <w:pStyle w:val="upove"/>
              <w:rPr>
                <w:sz w:val="28"/>
              </w:rPr>
            </w:pPr>
            <w:r w:rsidRPr="00BD5B6E">
              <w:rPr>
                <w:snapToGrid w:val="0"/>
              </w:rPr>
              <w:t xml:space="preserve">INTERNATIONAL UNION FOR THE PROTECTION OF NEW VARIETIES OF PLANTS </w:t>
            </w:r>
          </w:p>
        </w:tc>
      </w:tr>
      <w:tr w:rsidR="00BD5B6E" w:rsidRPr="00BD5B6E" w:rsidTr="0018780B">
        <w:tc>
          <w:tcPr>
            <w:tcW w:w="10131" w:type="dxa"/>
            <w:gridSpan w:val="3"/>
          </w:tcPr>
          <w:p w:rsidR="000D7780" w:rsidRPr="00BD5B6E" w:rsidRDefault="00867AC1" w:rsidP="00E52BE8">
            <w:pPr>
              <w:pStyle w:val="Country"/>
            </w:pPr>
            <w:r w:rsidRPr="00BD5B6E">
              <w:t>Gen</w:t>
            </w:r>
            <w:r w:rsidR="0061555F" w:rsidRPr="00BD5B6E">
              <w:t>e</w:t>
            </w:r>
            <w:r w:rsidRPr="00BD5B6E">
              <w:t>v</w:t>
            </w:r>
            <w:r w:rsidR="0061555F" w:rsidRPr="00BD5B6E">
              <w:t>a</w:t>
            </w:r>
          </w:p>
        </w:tc>
      </w:tr>
    </w:tbl>
    <w:p w:rsidR="0018780B" w:rsidRPr="00BD5B6E" w:rsidRDefault="00726996" w:rsidP="00E52BE8">
      <w:pPr>
        <w:pStyle w:val="Sessiontc"/>
      </w:pPr>
      <w:r>
        <w:rPr>
          <w:rFonts w:hint="eastAsia"/>
          <w:lang w:eastAsia="ja-JP"/>
        </w:rPr>
        <w:t xml:space="preserve">Working group </w:t>
      </w:r>
      <w:r w:rsidR="00017252">
        <w:rPr>
          <w:lang w:eastAsia="ja-JP"/>
        </w:rPr>
        <w:t>FOR</w:t>
      </w:r>
      <w:r>
        <w:rPr>
          <w:rFonts w:hint="eastAsia"/>
          <w:lang w:eastAsia="ja-JP"/>
        </w:rPr>
        <w:t xml:space="preserve"> </w:t>
      </w:r>
      <w:r w:rsidR="00017252">
        <w:rPr>
          <w:lang w:eastAsia="ja-JP"/>
        </w:rPr>
        <w:t xml:space="preserve">THE DEVELOPMENT OF A UPOV </w:t>
      </w:r>
      <w:r>
        <w:rPr>
          <w:rFonts w:hint="eastAsia"/>
          <w:lang w:eastAsia="ja-JP"/>
        </w:rPr>
        <w:t xml:space="preserve">denomination </w:t>
      </w:r>
      <w:r w:rsidR="00017252">
        <w:rPr>
          <w:lang w:eastAsia="ja-JP"/>
        </w:rPr>
        <w:t xml:space="preserve">SIMILARITY </w:t>
      </w:r>
      <w:r>
        <w:rPr>
          <w:rFonts w:hint="eastAsia"/>
          <w:lang w:eastAsia="ja-JP"/>
        </w:rPr>
        <w:t>search tool</w:t>
      </w:r>
    </w:p>
    <w:p w:rsidR="0018780B" w:rsidRPr="00BD5B6E" w:rsidRDefault="00DD28A3" w:rsidP="00E52BE8">
      <w:pPr>
        <w:pStyle w:val="Sessiontcplacedate"/>
        <w:rPr>
          <w:lang w:eastAsia="ja-JP"/>
        </w:rPr>
      </w:pPr>
      <w:r>
        <w:rPr>
          <w:rFonts w:hint="eastAsia"/>
          <w:lang w:eastAsia="ja-JP"/>
        </w:rPr>
        <w:t>Second</w:t>
      </w:r>
      <w:r w:rsidR="0061555F" w:rsidRPr="00BD5B6E">
        <w:t xml:space="preserve"> S</w:t>
      </w:r>
      <w:r w:rsidR="00867AC1" w:rsidRPr="00BD5B6E">
        <w:t>ession</w:t>
      </w:r>
      <w:r w:rsidR="00361821" w:rsidRPr="00BD5B6E">
        <w:br/>
      </w:r>
      <w:r w:rsidR="00726996">
        <w:rPr>
          <w:rFonts w:cs="Arial" w:hint="eastAsia"/>
          <w:lang w:eastAsia="ja-JP"/>
        </w:rPr>
        <w:t>Geneva</w:t>
      </w:r>
      <w:r w:rsidR="0018780B" w:rsidRPr="00BD5B6E">
        <w:rPr>
          <w:rFonts w:cs="Arial"/>
        </w:rPr>
        <w:t xml:space="preserve">, </w:t>
      </w:r>
      <w:r>
        <w:rPr>
          <w:rFonts w:cs="Arial" w:hint="eastAsia"/>
          <w:lang w:eastAsia="ja-JP"/>
        </w:rPr>
        <w:t>June</w:t>
      </w:r>
      <w:r>
        <w:t xml:space="preserve"> </w:t>
      </w:r>
      <w:r>
        <w:rPr>
          <w:rFonts w:hint="eastAsia"/>
          <w:lang w:eastAsia="ja-JP"/>
        </w:rPr>
        <w:t>9</w:t>
      </w:r>
      <w:r w:rsidR="0018780B" w:rsidRPr="00BD5B6E">
        <w:t>, 201</w:t>
      </w:r>
      <w:r>
        <w:rPr>
          <w:rFonts w:hint="eastAsia"/>
          <w:lang w:eastAsia="ja-JP"/>
        </w:rPr>
        <w:t>5</w:t>
      </w:r>
    </w:p>
    <w:p w:rsidR="005E4528" w:rsidRPr="00C920D5" w:rsidRDefault="005E4528" w:rsidP="005E4528">
      <w:pPr>
        <w:pStyle w:val="Titleofdoc0"/>
        <w:rPr>
          <w:snapToGrid w:val="0"/>
        </w:rPr>
      </w:pPr>
      <w:bookmarkStart w:id="3" w:name="TitleOfDoc"/>
      <w:bookmarkEnd w:id="3"/>
      <w:r w:rsidRPr="00C920D5">
        <w:rPr>
          <w:snapToGrid w:val="0"/>
        </w:rPr>
        <w:t>revision of document UPOV/INF/12 “Explanatory Notes on Variety Denominations under the UPOV Convention”</w:t>
      </w:r>
    </w:p>
    <w:p w:rsidR="00BB268B" w:rsidRPr="00C5280D" w:rsidRDefault="00BB268B" w:rsidP="00BB268B">
      <w:pPr>
        <w:pStyle w:val="Titleofdoc0"/>
        <w:spacing w:before="120"/>
      </w:pPr>
    </w:p>
    <w:p w:rsidR="00BB268B" w:rsidRPr="00DD28A3" w:rsidRDefault="00BB268B" w:rsidP="00BB268B">
      <w:pPr>
        <w:jc w:val="center"/>
        <w:rPr>
          <w:i/>
          <w:color w:val="A6A6A6" w:themeColor="background1" w:themeShade="A6"/>
        </w:rPr>
      </w:pPr>
      <w:bookmarkStart w:id="4" w:name="Prepared"/>
      <w:bookmarkEnd w:id="4"/>
      <w:r w:rsidRPr="00DD28A3">
        <w:rPr>
          <w:i/>
        </w:rPr>
        <w:t xml:space="preserve">prepared by </w:t>
      </w:r>
      <w:r w:rsidR="006F0505" w:rsidRPr="00DD28A3">
        <w:rPr>
          <w:i/>
        </w:rPr>
        <w:t xml:space="preserve">the </w:t>
      </w:r>
      <w:r w:rsidR="00DD28A3" w:rsidRPr="00DD28A3">
        <w:rPr>
          <w:rFonts w:hint="eastAsia"/>
          <w:i/>
          <w:lang w:eastAsia="ja-JP"/>
        </w:rPr>
        <w:t>Office of the Union</w:t>
      </w:r>
      <w:r w:rsidRPr="00DD28A3">
        <w:rPr>
          <w:i/>
        </w:rPr>
        <w:br/>
      </w:r>
    </w:p>
    <w:p w:rsidR="00BB268B" w:rsidRPr="00DD28A3" w:rsidRDefault="00BB268B" w:rsidP="00BB268B">
      <w:pPr>
        <w:jc w:val="center"/>
        <w:rPr>
          <w:i/>
        </w:rPr>
      </w:pPr>
      <w:r w:rsidRPr="00DD28A3">
        <w:rPr>
          <w:i/>
          <w:color w:val="A6A6A6" w:themeColor="background1" w:themeShade="A6"/>
        </w:rPr>
        <w:t>Disclaimer:  this document does not represent UPOV policies or guidance</w:t>
      </w:r>
    </w:p>
    <w:p w:rsidR="00BB268B" w:rsidRDefault="00BB268B" w:rsidP="00BB268B">
      <w:pPr>
        <w:pStyle w:val="ListParagraph"/>
        <w:ind w:left="0"/>
        <w:rPr>
          <w:lang w:eastAsia="en-GB"/>
        </w:rPr>
      </w:pPr>
    </w:p>
    <w:p w:rsidR="00DD28A3" w:rsidRDefault="00DD28A3" w:rsidP="00BB268B">
      <w:pPr>
        <w:pStyle w:val="ListParagraph"/>
        <w:ind w:left="0"/>
        <w:rPr>
          <w:lang w:eastAsia="ja-JP"/>
        </w:rPr>
      </w:pPr>
    </w:p>
    <w:p w:rsidR="00B43952" w:rsidRPr="00483972" w:rsidRDefault="00B43952" w:rsidP="002E4763">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20078154"/>
      <w:r w:rsidRPr="009D77D3">
        <w:t xml:space="preserve">Executive </w:t>
      </w:r>
      <w:r w:rsidRPr="00483972">
        <w:t>summary</w:t>
      </w:r>
      <w:bookmarkEnd w:id="5"/>
      <w:bookmarkEnd w:id="6"/>
      <w:bookmarkEnd w:id="7"/>
      <w:bookmarkEnd w:id="8"/>
      <w:bookmarkEnd w:id="9"/>
      <w:bookmarkEnd w:id="10"/>
      <w:bookmarkEnd w:id="11"/>
      <w:bookmarkEnd w:id="12"/>
      <w:r w:rsidRPr="006C5654">
        <w:rPr>
          <w:color w:val="FF0000"/>
        </w:rPr>
        <w:t xml:space="preserve"> </w:t>
      </w:r>
    </w:p>
    <w:p w:rsidR="00B43952" w:rsidRDefault="00B43952" w:rsidP="00B43952"/>
    <w:p w:rsidR="00B43952" w:rsidRPr="001F5785" w:rsidRDefault="00B43952" w:rsidP="00B43952">
      <w:pPr>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1F5785">
        <w:rPr>
          <w:rFonts w:cs="Arial"/>
          <w:snapToGrid w:val="0"/>
        </w:rPr>
        <w:t xml:space="preserve">The purpose of this document </w:t>
      </w:r>
      <w:r w:rsidR="00826945" w:rsidRPr="001F5785">
        <w:rPr>
          <w:rFonts w:cs="Arial"/>
          <w:snapToGrid w:val="0"/>
        </w:rPr>
        <w:t xml:space="preserve">is </w:t>
      </w:r>
      <w:r w:rsidRPr="001F5785">
        <w:t xml:space="preserve">to </w:t>
      </w:r>
      <w:r w:rsidR="00826945" w:rsidRPr="001F5785">
        <w:t xml:space="preserve">invite the </w:t>
      </w:r>
      <w:r w:rsidR="00826945" w:rsidRPr="001F5785">
        <w:rPr>
          <w:snapToGrid w:val="0"/>
          <w:lang w:eastAsia="ja-JP"/>
        </w:rPr>
        <w:t>Working Group for Variety Denomination Search Tool</w:t>
      </w:r>
      <w:r w:rsidR="00826945" w:rsidRPr="001F5785">
        <w:rPr>
          <w:rFonts w:cs="Arial"/>
          <w:snapToGrid w:val="0"/>
          <w:lang w:eastAsia="ja-JP"/>
        </w:rPr>
        <w:t xml:space="preserve"> </w:t>
      </w:r>
      <w:r w:rsidR="00B92451" w:rsidRPr="001F5785">
        <w:rPr>
          <w:rFonts w:cs="Arial"/>
          <w:snapToGrid w:val="0"/>
          <w:lang w:eastAsia="ja-JP"/>
        </w:rPr>
        <w:t>(</w:t>
      </w:r>
      <w:r w:rsidR="00826945" w:rsidRPr="001F5785">
        <w:rPr>
          <w:snapToGrid w:val="0"/>
          <w:lang w:eastAsia="ja-JP"/>
        </w:rPr>
        <w:t>WG</w:t>
      </w:r>
      <w:r w:rsidR="00826945" w:rsidRPr="001F5785">
        <w:rPr>
          <w:rFonts w:hint="eastAsia"/>
          <w:snapToGrid w:val="0"/>
          <w:lang w:eastAsia="ja-JP"/>
        </w:rPr>
        <w:t>-</w:t>
      </w:r>
      <w:r w:rsidR="00826945" w:rsidRPr="001F5785">
        <w:rPr>
          <w:snapToGrid w:val="0"/>
          <w:lang w:eastAsia="ja-JP"/>
        </w:rPr>
        <w:t>DST</w:t>
      </w:r>
      <w:r w:rsidR="00B92451" w:rsidRPr="001F5785">
        <w:rPr>
          <w:rFonts w:cs="Arial"/>
          <w:snapToGrid w:val="0"/>
          <w:lang w:eastAsia="ja-JP"/>
        </w:rPr>
        <w:t xml:space="preserve">) </w:t>
      </w:r>
      <w:r w:rsidR="00826945" w:rsidRPr="001F5785">
        <w:rPr>
          <w:rFonts w:cs="Arial"/>
          <w:snapToGrid w:val="0"/>
          <w:lang w:eastAsia="ja-JP"/>
        </w:rPr>
        <w:t xml:space="preserve">to </w:t>
      </w:r>
      <w:r w:rsidRPr="001F5785">
        <w:rPr>
          <w:rFonts w:cs="Arial"/>
          <w:snapToGrid w:val="0"/>
          <w:lang w:eastAsia="ja-JP"/>
        </w:rPr>
        <w:t xml:space="preserve">consider </w:t>
      </w:r>
      <w:r w:rsidR="00826945" w:rsidRPr="001F5785">
        <w:rPr>
          <w:rFonts w:cs="Arial"/>
          <w:snapToGrid w:val="0"/>
          <w:lang w:eastAsia="ja-JP"/>
        </w:rPr>
        <w:t xml:space="preserve">a </w:t>
      </w:r>
      <w:r w:rsidRPr="001F5785">
        <w:rPr>
          <w:rFonts w:cs="Arial"/>
          <w:snapToGrid w:val="0"/>
          <w:lang w:eastAsia="ja-JP"/>
        </w:rPr>
        <w:t xml:space="preserve">possible revision </w:t>
      </w:r>
      <w:r w:rsidRPr="001F5785">
        <w:rPr>
          <w:rFonts w:cs="Arial"/>
        </w:rPr>
        <w:t>of document UPOV/INF/12 “Explanatory Notes on Variety Denominations under the UPOV Convention”</w:t>
      </w:r>
      <w:r w:rsidRPr="001F5785">
        <w:rPr>
          <w:rFonts w:cs="Arial"/>
          <w:snapToGrid w:val="0"/>
        </w:rPr>
        <w:t>.</w:t>
      </w:r>
    </w:p>
    <w:p w:rsidR="0016444B" w:rsidRDefault="0016444B" w:rsidP="00B43952">
      <w:pPr>
        <w:rPr>
          <w:lang w:eastAsia="ja-JP"/>
        </w:rPr>
      </w:pPr>
    </w:p>
    <w:p w:rsidR="0016444B" w:rsidRPr="001F5785" w:rsidRDefault="0016444B" w:rsidP="00B43952">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16444B">
        <w:rPr>
          <w:lang w:eastAsia="ja-JP"/>
        </w:rPr>
        <w:t>The WG-DST is invited to consider the request by the CAJ, at its seventy-first session, to consider the comments by the CAJ-AG on the proposals in document UPOV/INF/12/5 Draft 2 concerning Sections</w:t>
      </w:r>
      <w:r w:rsidR="0087054D">
        <w:rPr>
          <w:lang w:eastAsia="ja-JP"/>
        </w:rPr>
        <w:t> </w:t>
      </w:r>
      <w:r w:rsidRPr="0016444B">
        <w:rPr>
          <w:lang w:eastAsia="ja-JP"/>
        </w:rPr>
        <w:t>2.2.2(b), 2.3.1 (c) and (d), and 2.3.3..</w:t>
      </w:r>
    </w:p>
    <w:p w:rsidR="00B43952" w:rsidRDefault="00B43952" w:rsidP="00B43952">
      <w:pPr>
        <w:pStyle w:val="DecisionParagraphs"/>
        <w:ind w:left="0"/>
        <w:rPr>
          <w:i w:val="0"/>
          <w:lang w:eastAsia="ja-JP"/>
        </w:rPr>
      </w:pPr>
    </w:p>
    <w:p w:rsidR="00B43952" w:rsidRDefault="00B43952" w:rsidP="00B43952">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43952" w:rsidRDefault="00B43952" w:rsidP="00B43952">
      <w:pPr>
        <w:keepNext/>
        <w:rPr>
          <w:rFonts w:cs="Arial"/>
          <w:snapToGrid w:val="0"/>
          <w:lang w:eastAsia="ja-JP"/>
        </w:rPr>
      </w:pPr>
    </w:p>
    <w:p w:rsidR="0016444B" w:rsidRDefault="00B43952">
      <w:pPr>
        <w:pStyle w:val="TOC1"/>
        <w:rPr>
          <w:rFonts w:asciiTheme="minorHAnsi" w:hAnsiTheme="minorHAnsi" w:cstheme="minorBidi"/>
          <w:caps w:val="0"/>
          <w:sz w:val="22"/>
          <w:szCs w:val="22"/>
          <w:lang w:eastAsia="ja-JP"/>
        </w:rPr>
      </w:pPr>
      <w:r>
        <w:rPr>
          <w:rFonts w:cs="Arial"/>
          <w:bCs/>
          <w:snapToGrid w:val="0"/>
          <w:sz w:val="18"/>
        </w:rPr>
        <w:fldChar w:fldCharType="begin"/>
      </w:r>
      <w:r>
        <w:rPr>
          <w:rFonts w:cs="Arial"/>
          <w:bCs/>
          <w:snapToGrid w:val="0"/>
          <w:sz w:val="18"/>
        </w:rPr>
        <w:instrText xml:space="preserve"> TOC \o "1-3" \h \z \u </w:instrText>
      </w:r>
      <w:r>
        <w:rPr>
          <w:rFonts w:cs="Arial"/>
          <w:bCs/>
          <w:snapToGrid w:val="0"/>
          <w:sz w:val="18"/>
        </w:rPr>
        <w:fldChar w:fldCharType="separate"/>
      </w:r>
      <w:hyperlink w:anchor="_Toc420078154" w:history="1">
        <w:r w:rsidR="0016444B" w:rsidRPr="007B1F2A">
          <w:rPr>
            <w:rStyle w:val="Hyperlink"/>
          </w:rPr>
          <w:t>Executive summary</w:t>
        </w:r>
        <w:r w:rsidR="0016444B">
          <w:rPr>
            <w:webHidden/>
          </w:rPr>
          <w:tab/>
        </w:r>
        <w:r w:rsidR="0016444B">
          <w:rPr>
            <w:webHidden/>
          </w:rPr>
          <w:fldChar w:fldCharType="begin"/>
        </w:r>
        <w:r w:rsidR="0016444B">
          <w:rPr>
            <w:webHidden/>
          </w:rPr>
          <w:instrText xml:space="preserve"> PAGEREF _Toc420078154 \h </w:instrText>
        </w:r>
        <w:r w:rsidR="0016444B">
          <w:rPr>
            <w:webHidden/>
          </w:rPr>
        </w:r>
        <w:r w:rsidR="0016444B">
          <w:rPr>
            <w:webHidden/>
          </w:rPr>
          <w:fldChar w:fldCharType="separate"/>
        </w:r>
        <w:r w:rsidR="00D0402A">
          <w:rPr>
            <w:webHidden/>
          </w:rPr>
          <w:t>1</w:t>
        </w:r>
        <w:r w:rsidR="0016444B">
          <w:rPr>
            <w:webHidden/>
          </w:rPr>
          <w:fldChar w:fldCharType="end"/>
        </w:r>
      </w:hyperlink>
    </w:p>
    <w:p w:rsidR="0016444B" w:rsidRDefault="00D0402A">
      <w:pPr>
        <w:pStyle w:val="TOC1"/>
        <w:rPr>
          <w:rFonts w:asciiTheme="minorHAnsi" w:hAnsiTheme="minorHAnsi" w:cstheme="minorBidi"/>
          <w:caps w:val="0"/>
          <w:sz w:val="22"/>
          <w:szCs w:val="22"/>
          <w:lang w:eastAsia="ja-JP"/>
        </w:rPr>
      </w:pPr>
      <w:hyperlink w:anchor="_Toc420078155" w:history="1">
        <w:r w:rsidR="0016444B" w:rsidRPr="007B1F2A">
          <w:rPr>
            <w:rStyle w:val="Hyperlink"/>
          </w:rPr>
          <w:t>BACKGROUND</w:t>
        </w:r>
        <w:r w:rsidR="0016444B">
          <w:rPr>
            <w:webHidden/>
          </w:rPr>
          <w:tab/>
        </w:r>
        <w:r w:rsidR="0016444B">
          <w:rPr>
            <w:webHidden/>
          </w:rPr>
          <w:fldChar w:fldCharType="begin"/>
        </w:r>
        <w:r w:rsidR="0016444B">
          <w:rPr>
            <w:webHidden/>
          </w:rPr>
          <w:instrText xml:space="preserve"> PAGEREF _Toc420078155 \h </w:instrText>
        </w:r>
        <w:r w:rsidR="0016444B">
          <w:rPr>
            <w:webHidden/>
          </w:rPr>
        </w:r>
        <w:r w:rsidR="0016444B">
          <w:rPr>
            <w:webHidden/>
          </w:rPr>
          <w:fldChar w:fldCharType="separate"/>
        </w:r>
        <w:r>
          <w:rPr>
            <w:webHidden/>
          </w:rPr>
          <w:t>2</w:t>
        </w:r>
        <w:r w:rsidR="0016444B">
          <w:rPr>
            <w:webHidden/>
          </w:rPr>
          <w:fldChar w:fldCharType="end"/>
        </w:r>
      </w:hyperlink>
    </w:p>
    <w:p w:rsidR="0016444B" w:rsidRDefault="00D0402A">
      <w:pPr>
        <w:pStyle w:val="TOC1"/>
        <w:rPr>
          <w:rFonts w:asciiTheme="minorHAnsi" w:hAnsiTheme="minorHAnsi" w:cstheme="minorBidi"/>
          <w:caps w:val="0"/>
          <w:sz w:val="22"/>
          <w:szCs w:val="22"/>
          <w:lang w:eastAsia="ja-JP"/>
        </w:rPr>
      </w:pPr>
      <w:hyperlink w:anchor="_Toc420078156" w:history="1">
        <w:r w:rsidR="0016444B" w:rsidRPr="007B1F2A">
          <w:rPr>
            <w:rStyle w:val="Hyperlink"/>
          </w:rPr>
          <w:t xml:space="preserve">matters to be considered by </w:t>
        </w:r>
        <w:r w:rsidR="0016444B" w:rsidRPr="007B1F2A">
          <w:rPr>
            <w:rStyle w:val="Hyperlink"/>
            <w:rFonts w:cs="Arial"/>
            <w:lang w:eastAsia="ja-JP"/>
          </w:rPr>
          <w:t>the WG-DST</w:t>
        </w:r>
        <w:r w:rsidR="0016444B">
          <w:rPr>
            <w:webHidden/>
          </w:rPr>
          <w:tab/>
        </w:r>
        <w:r w:rsidR="0016444B">
          <w:rPr>
            <w:webHidden/>
          </w:rPr>
          <w:fldChar w:fldCharType="begin"/>
        </w:r>
        <w:r w:rsidR="0016444B">
          <w:rPr>
            <w:webHidden/>
          </w:rPr>
          <w:instrText xml:space="preserve"> PAGEREF _Toc420078156 \h </w:instrText>
        </w:r>
        <w:r w:rsidR="0016444B">
          <w:rPr>
            <w:webHidden/>
          </w:rPr>
        </w:r>
        <w:r w:rsidR="0016444B">
          <w:rPr>
            <w:webHidden/>
          </w:rPr>
          <w:fldChar w:fldCharType="separate"/>
        </w:r>
        <w:r>
          <w:rPr>
            <w:webHidden/>
          </w:rPr>
          <w:t>3</w:t>
        </w:r>
        <w:r w:rsidR="0016444B">
          <w:rPr>
            <w:webHidden/>
          </w:rPr>
          <w:fldChar w:fldCharType="end"/>
        </w:r>
      </w:hyperlink>
    </w:p>
    <w:p w:rsidR="00D0402A" w:rsidRDefault="00B43952" w:rsidP="00240C25">
      <w:pPr>
        <w:ind w:left="1170" w:hanging="1170"/>
        <w:jc w:val="left"/>
        <w:rPr>
          <w:noProof/>
          <w:snapToGrid w:val="0"/>
        </w:rPr>
      </w:pPr>
      <w:r>
        <w:rPr>
          <w:noProof/>
          <w:snapToGrid w:val="0"/>
        </w:rPr>
        <w:fldChar w:fldCharType="end"/>
      </w:r>
    </w:p>
    <w:p w:rsidR="00EF5EE9" w:rsidRDefault="002E4763" w:rsidP="00240C25">
      <w:pPr>
        <w:ind w:left="1170" w:hanging="1170"/>
        <w:jc w:val="left"/>
        <w:rPr>
          <w:lang w:eastAsia="ja-JP"/>
        </w:rPr>
      </w:pPr>
      <w:r>
        <w:t>ANNEX</w:t>
      </w:r>
      <w:r w:rsidR="00EF5EE9">
        <w:rPr>
          <w:rFonts w:hint="eastAsia"/>
          <w:lang w:eastAsia="ja-JP"/>
        </w:rPr>
        <w:t xml:space="preserve"> </w:t>
      </w:r>
      <w:proofErr w:type="gramStart"/>
      <w:r w:rsidR="00EF5EE9">
        <w:rPr>
          <w:rFonts w:hint="eastAsia"/>
          <w:lang w:eastAsia="ja-JP"/>
        </w:rPr>
        <w:t>I</w:t>
      </w:r>
      <w:proofErr w:type="gramEnd"/>
      <w:r>
        <w:t>:</w:t>
      </w:r>
      <w:r>
        <w:tab/>
      </w:r>
      <w:r w:rsidRPr="000C6E94">
        <w:t>E</w:t>
      </w:r>
      <w:r>
        <w:t>x</w:t>
      </w:r>
      <w:r w:rsidRPr="000C6E94">
        <w:t xml:space="preserve">tract </w:t>
      </w:r>
      <w:r>
        <w:t>Of Document UPOV</w:t>
      </w:r>
      <w:r w:rsidRPr="000C6E94">
        <w:t>/I</w:t>
      </w:r>
      <w:r>
        <w:t>NF</w:t>
      </w:r>
      <w:r w:rsidRPr="000C6E94">
        <w:t>/12/</w:t>
      </w:r>
      <w:r w:rsidR="0016444B">
        <w:t>4</w:t>
      </w:r>
      <w:r w:rsidRPr="000C6E94">
        <w:t xml:space="preserve"> “Explanatory Notes </w:t>
      </w:r>
      <w:r>
        <w:t>o</w:t>
      </w:r>
      <w:r w:rsidRPr="000C6E94">
        <w:t>n</w:t>
      </w:r>
      <w:r>
        <w:t xml:space="preserve"> </w:t>
      </w:r>
      <w:r w:rsidRPr="000C6E94">
        <w:t>Variety Denominations</w:t>
      </w:r>
      <w:r>
        <w:t xml:space="preserve"> Under t</w:t>
      </w:r>
      <w:r w:rsidRPr="000C6E94">
        <w:t>he U</w:t>
      </w:r>
      <w:r>
        <w:t>POV</w:t>
      </w:r>
      <w:r w:rsidRPr="000C6E94">
        <w:t xml:space="preserve"> Convention”</w:t>
      </w:r>
      <w:r w:rsidR="00EF5EE9">
        <w:rPr>
          <w:rFonts w:hint="eastAsia"/>
          <w:lang w:eastAsia="ja-JP"/>
        </w:rPr>
        <w:t>, Section 2.2</w:t>
      </w:r>
      <w:r w:rsidR="0016444B">
        <w:rPr>
          <w:lang w:eastAsia="ja-JP"/>
        </w:rPr>
        <w:t>.</w:t>
      </w:r>
    </w:p>
    <w:p w:rsidR="00EF5EE9" w:rsidRDefault="00EF5EE9" w:rsidP="00EF5EE9">
      <w:pPr>
        <w:ind w:left="1170" w:hanging="1170"/>
        <w:jc w:val="left"/>
        <w:rPr>
          <w:lang w:eastAsia="ja-JP"/>
        </w:rPr>
      </w:pPr>
      <w:r>
        <w:t>ANNEX</w:t>
      </w:r>
      <w:r>
        <w:rPr>
          <w:rFonts w:hint="eastAsia"/>
          <w:lang w:eastAsia="ja-JP"/>
        </w:rPr>
        <w:t xml:space="preserve"> II</w:t>
      </w:r>
      <w:r>
        <w:t>:</w:t>
      </w:r>
      <w:r>
        <w:tab/>
      </w:r>
      <w:r w:rsidRPr="000C6E94">
        <w:t>E</w:t>
      </w:r>
      <w:r>
        <w:t>x</w:t>
      </w:r>
      <w:r w:rsidRPr="000C6E94">
        <w:t xml:space="preserve">tract </w:t>
      </w:r>
      <w:r>
        <w:t>Of Document UPOV</w:t>
      </w:r>
      <w:r w:rsidRPr="000C6E94">
        <w:t>/I</w:t>
      </w:r>
      <w:r>
        <w:t>NF</w:t>
      </w:r>
      <w:r w:rsidRPr="000C6E94">
        <w:t>/12/</w:t>
      </w:r>
      <w:r w:rsidR="0016444B">
        <w:t>4</w:t>
      </w:r>
      <w:r w:rsidRPr="000C6E94">
        <w:t xml:space="preserve"> “Explanatory Notes </w:t>
      </w:r>
      <w:r>
        <w:t>o</w:t>
      </w:r>
      <w:r w:rsidRPr="000C6E94">
        <w:t>n</w:t>
      </w:r>
      <w:r>
        <w:t xml:space="preserve"> </w:t>
      </w:r>
      <w:r w:rsidRPr="000C6E94">
        <w:t>Variety Denominations</w:t>
      </w:r>
      <w:r>
        <w:t xml:space="preserve"> Under t</w:t>
      </w:r>
      <w:r w:rsidRPr="000C6E94">
        <w:t>he U</w:t>
      </w:r>
      <w:r>
        <w:t>POV</w:t>
      </w:r>
      <w:r w:rsidRPr="000C6E94">
        <w:t xml:space="preserve"> Convention”</w:t>
      </w:r>
      <w:r>
        <w:rPr>
          <w:rFonts w:hint="eastAsia"/>
          <w:lang w:eastAsia="ja-JP"/>
        </w:rPr>
        <w:t>, Section 2.3.1</w:t>
      </w:r>
      <w:r w:rsidR="0016444B">
        <w:rPr>
          <w:lang w:eastAsia="ja-JP"/>
        </w:rPr>
        <w:t>.</w:t>
      </w:r>
    </w:p>
    <w:p w:rsidR="00EF5EE9" w:rsidRDefault="00EF5EE9" w:rsidP="00EF5EE9">
      <w:pPr>
        <w:ind w:left="1170" w:hanging="1170"/>
        <w:jc w:val="left"/>
        <w:rPr>
          <w:lang w:eastAsia="ja-JP"/>
        </w:rPr>
      </w:pPr>
      <w:r>
        <w:t>ANNEX</w:t>
      </w:r>
      <w:r>
        <w:rPr>
          <w:rFonts w:hint="eastAsia"/>
          <w:lang w:eastAsia="ja-JP"/>
        </w:rPr>
        <w:t xml:space="preserve"> III</w:t>
      </w:r>
      <w:r>
        <w:t>:</w:t>
      </w:r>
      <w:r>
        <w:tab/>
      </w:r>
      <w:r w:rsidRPr="000C6E94">
        <w:t>E</w:t>
      </w:r>
      <w:r>
        <w:t>x</w:t>
      </w:r>
      <w:r w:rsidRPr="000C6E94">
        <w:t xml:space="preserve">tract </w:t>
      </w:r>
      <w:r>
        <w:t>Of Document UPOV</w:t>
      </w:r>
      <w:r w:rsidRPr="000C6E94">
        <w:t>/I</w:t>
      </w:r>
      <w:r>
        <w:t>NF</w:t>
      </w:r>
      <w:r w:rsidRPr="000C6E94">
        <w:t xml:space="preserve">/12/5 Draft 2 “Explanatory Notes </w:t>
      </w:r>
      <w:r>
        <w:t>o</w:t>
      </w:r>
      <w:r w:rsidRPr="000C6E94">
        <w:t>n</w:t>
      </w:r>
      <w:r>
        <w:t xml:space="preserve"> </w:t>
      </w:r>
      <w:r w:rsidRPr="000C6E94">
        <w:t>Variety Denominations</w:t>
      </w:r>
      <w:r>
        <w:t xml:space="preserve"> Under t</w:t>
      </w:r>
      <w:r w:rsidRPr="000C6E94">
        <w:t>he U</w:t>
      </w:r>
      <w:r>
        <w:t>POV</w:t>
      </w:r>
      <w:r w:rsidRPr="000C6E94">
        <w:t xml:space="preserve"> Convention”</w:t>
      </w:r>
      <w:r w:rsidR="0016444B">
        <w:rPr>
          <w:rFonts w:hint="eastAsia"/>
          <w:lang w:eastAsia="ja-JP"/>
        </w:rPr>
        <w:t>, Section 2.3.</w:t>
      </w:r>
      <w:r w:rsidR="0016444B">
        <w:rPr>
          <w:lang w:eastAsia="ja-JP"/>
        </w:rPr>
        <w:t>3.</w:t>
      </w:r>
    </w:p>
    <w:p w:rsidR="002E4763" w:rsidRPr="002E4763" w:rsidRDefault="002E4763" w:rsidP="00240C25">
      <w:pPr>
        <w:ind w:left="1170" w:hanging="1170"/>
        <w:jc w:val="left"/>
      </w:pPr>
    </w:p>
    <w:p w:rsidR="00B43952" w:rsidRPr="00822A3B" w:rsidRDefault="00B43952" w:rsidP="00B43952">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B43952" w:rsidRPr="00822A3B" w:rsidRDefault="00B43952" w:rsidP="00B43952">
      <w:pPr>
        <w:keepNext/>
        <w:rPr>
          <w:rFonts w:cs="Arial"/>
          <w:snapToGrid w:val="0"/>
        </w:rPr>
      </w:pPr>
    </w:p>
    <w:p w:rsidR="00B43952" w:rsidRPr="00822A3B" w:rsidRDefault="00B43952" w:rsidP="00B43952">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B43952" w:rsidRPr="00822A3B" w:rsidRDefault="00B43952" w:rsidP="00B43952">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B43952" w:rsidRPr="00822A3B" w:rsidRDefault="00B43952" w:rsidP="00B43952">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B43952" w:rsidRDefault="00B43952" w:rsidP="00B43952">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B43952" w:rsidRPr="00822A3B" w:rsidRDefault="00B43952" w:rsidP="00B43952">
      <w:pPr>
        <w:rPr>
          <w:snapToGrid w:val="0"/>
          <w:lang w:eastAsia="ja-JP"/>
        </w:rPr>
      </w:pPr>
    </w:p>
    <w:p w:rsidR="008E3357" w:rsidRDefault="008E3357" w:rsidP="002E4763">
      <w:pPr>
        <w:pStyle w:val="Heading1"/>
        <w:rPr>
          <w:lang w:eastAsia="ja-JP"/>
        </w:rPr>
      </w:pPr>
    </w:p>
    <w:p w:rsidR="008E3357" w:rsidRDefault="008E3357">
      <w:pPr>
        <w:jc w:val="left"/>
        <w:rPr>
          <w:caps/>
          <w:lang w:eastAsia="ja-JP"/>
        </w:rPr>
      </w:pPr>
      <w:r>
        <w:rPr>
          <w:lang w:eastAsia="ja-JP"/>
        </w:rPr>
        <w:br w:type="page"/>
      </w:r>
    </w:p>
    <w:p w:rsidR="008E3357" w:rsidRDefault="008E3357" w:rsidP="002E4763">
      <w:pPr>
        <w:pStyle w:val="Heading1"/>
        <w:rPr>
          <w:lang w:eastAsia="ja-JP"/>
        </w:rPr>
      </w:pPr>
    </w:p>
    <w:p w:rsidR="00A93F79" w:rsidRDefault="00A93F79" w:rsidP="002E4763">
      <w:pPr>
        <w:pStyle w:val="Heading1"/>
      </w:pPr>
      <w:bookmarkStart w:id="13" w:name="_Toc420078155"/>
      <w:r>
        <w:t>BACKGROUND</w:t>
      </w:r>
      <w:bookmarkEnd w:id="13"/>
      <w:r>
        <w:t xml:space="preserve"> </w:t>
      </w:r>
    </w:p>
    <w:p w:rsidR="00A93F79" w:rsidRDefault="00A93F79" w:rsidP="00A93F79">
      <w:pPr>
        <w:keepNext/>
        <w:rPr>
          <w:lang w:eastAsia="ja-JP"/>
        </w:rPr>
      </w:pPr>
    </w:p>
    <w:p w:rsidR="00DD28A3" w:rsidRDefault="00DD28A3" w:rsidP="00DD28A3">
      <w:r w:rsidRPr="00265AF2">
        <w:fldChar w:fldCharType="begin"/>
      </w:r>
      <w:r w:rsidRPr="00265AF2">
        <w:instrText xml:space="preserve"> AUTONUM  </w:instrText>
      </w:r>
      <w:r w:rsidRPr="00265AF2">
        <w:fldChar w:fldCharType="end"/>
      </w:r>
      <w:r w:rsidRPr="00265AF2">
        <w:tab/>
        <w:t>The CAJ, at its sixty-ninth session</w:t>
      </w:r>
      <w:r w:rsidR="00B11783">
        <w:rPr>
          <w:rFonts w:hint="eastAsia"/>
          <w:lang w:eastAsia="ja-JP"/>
        </w:rPr>
        <w:t xml:space="preserve">, </w:t>
      </w:r>
      <w:r w:rsidR="00B11783">
        <w:rPr>
          <w:rFonts w:hint="eastAsia"/>
          <w:snapToGrid w:val="0"/>
          <w:lang w:eastAsia="ja-JP"/>
        </w:rPr>
        <w:t>h</w:t>
      </w:r>
      <w:r w:rsidR="00B11783" w:rsidRPr="00510EB1">
        <w:rPr>
          <w:snapToGrid w:val="0"/>
        </w:rPr>
        <w:t xml:space="preserve">eld </w:t>
      </w:r>
      <w:r w:rsidR="00B11783">
        <w:rPr>
          <w:rFonts w:hint="eastAsia"/>
          <w:snapToGrid w:val="0"/>
          <w:lang w:eastAsia="ja-JP"/>
        </w:rPr>
        <w:t>in Geneva, on</w:t>
      </w:r>
      <w:r w:rsidR="00B11783" w:rsidRPr="00510EB1">
        <w:rPr>
          <w:snapToGrid w:val="0"/>
        </w:rPr>
        <w:t xml:space="preserve"> April 10, 2014</w:t>
      </w:r>
      <w:r>
        <w:rPr>
          <w:rFonts w:hint="eastAsia"/>
          <w:lang w:eastAsia="ja-JP"/>
        </w:rPr>
        <w:t>,</w:t>
      </w:r>
      <w:r w:rsidRPr="00265AF2">
        <w:t xml:space="preserve"> </w:t>
      </w:r>
      <w:r w:rsidRPr="00265AF2">
        <w:rPr>
          <w:spacing w:val="-2"/>
        </w:rPr>
        <w:t xml:space="preserve">approved the work program for the development of information materials for the </w:t>
      </w:r>
      <w:r w:rsidRPr="00265AF2">
        <w:t xml:space="preserve">ninth session </w:t>
      </w:r>
      <w:r w:rsidRPr="00265AF2">
        <w:rPr>
          <w:snapToGrid w:val="0"/>
        </w:rPr>
        <w:t>of the CAJ</w:t>
      </w:r>
      <w:r w:rsidRPr="00265AF2">
        <w:rPr>
          <w:snapToGrid w:val="0"/>
        </w:rPr>
        <w:noBreakHyphen/>
        <w:t>AG</w:t>
      </w:r>
      <w:r w:rsidR="00B11783">
        <w:rPr>
          <w:rFonts w:hint="eastAsia"/>
          <w:snapToGrid w:val="0"/>
          <w:lang w:eastAsia="ja-JP"/>
        </w:rPr>
        <w:t xml:space="preserve">, </w:t>
      </w:r>
      <w:r w:rsidR="00B11783">
        <w:rPr>
          <w:rFonts w:hint="eastAsia"/>
          <w:lang w:eastAsia="ja-JP"/>
        </w:rPr>
        <w:t>h</w:t>
      </w:r>
      <w:r w:rsidR="00B11783" w:rsidRPr="00346346">
        <w:t>eld on October 14 and 17, 2014</w:t>
      </w:r>
      <w:r>
        <w:rPr>
          <w:snapToGrid w:val="0"/>
        </w:rPr>
        <w:t xml:space="preserve">.  </w:t>
      </w:r>
      <w:r>
        <w:rPr>
          <w:rFonts w:cs="Arial" w:hint="eastAsia"/>
          <w:lang w:eastAsia="ja-JP"/>
        </w:rPr>
        <w:t>The key elements to be developed in the guidance were</w:t>
      </w:r>
      <w:r>
        <w:rPr>
          <w:rFonts w:cs="Arial"/>
        </w:rPr>
        <w:t xml:space="preserve"> agreed by t</w:t>
      </w:r>
      <w:r w:rsidRPr="00482F75">
        <w:rPr>
          <w:rFonts w:cs="Arial"/>
        </w:rPr>
        <w:t>he CAJ-AG</w:t>
      </w:r>
      <w:r>
        <w:rPr>
          <w:rFonts w:cs="Arial"/>
        </w:rPr>
        <w:t xml:space="preserve">, at </w:t>
      </w:r>
      <w:r w:rsidRPr="00482F75">
        <w:t>its eighth session</w:t>
      </w:r>
      <w:r w:rsidR="00B11783">
        <w:rPr>
          <w:rFonts w:hint="eastAsia"/>
          <w:lang w:eastAsia="ja-JP"/>
        </w:rPr>
        <w:t>, h</w:t>
      </w:r>
      <w:r w:rsidR="00B11783">
        <w:t xml:space="preserve">eld </w:t>
      </w:r>
      <w:r w:rsidR="00B11783" w:rsidRPr="00482F75">
        <w:t>in Geneva on October 21</w:t>
      </w:r>
      <w:r w:rsidR="00B11783">
        <w:t xml:space="preserve"> </w:t>
      </w:r>
      <w:r w:rsidR="00B11783" w:rsidRPr="00482F75">
        <w:t>and 25, 2013</w:t>
      </w:r>
      <w:r>
        <w:t xml:space="preserve">.  </w:t>
      </w:r>
      <w:r>
        <w:rPr>
          <w:snapToGrid w:val="0"/>
        </w:rPr>
        <w:t>The CAJ</w:t>
      </w:r>
      <w:r>
        <w:rPr>
          <w:rFonts w:cs="Arial"/>
        </w:rPr>
        <w:t xml:space="preserve"> agreed that</w:t>
      </w:r>
      <w:r w:rsidRPr="00265AF2">
        <w:rPr>
          <w:rFonts w:cs="Arial"/>
        </w:rPr>
        <w:t xml:space="preserve"> a </w:t>
      </w:r>
      <w:r>
        <w:rPr>
          <w:szCs w:val="24"/>
        </w:rPr>
        <w:t>draft revision of the Explanatory N</w:t>
      </w:r>
      <w:r w:rsidRPr="00265AF2">
        <w:rPr>
          <w:szCs w:val="24"/>
        </w:rPr>
        <w:t xml:space="preserve">otes </w:t>
      </w:r>
      <w:r w:rsidRPr="00265AF2">
        <w:t>on Variety Denominations under the UPOV Convention</w:t>
      </w:r>
      <w:r>
        <w:t xml:space="preserve"> </w:t>
      </w:r>
      <w:r w:rsidRPr="00265AF2">
        <w:rPr>
          <w:szCs w:val="24"/>
        </w:rPr>
        <w:t xml:space="preserve">be provided to the CAJ-AG </w:t>
      </w:r>
      <w:r>
        <w:rPr>
          <w:szCs w:val="24"/>
        </w:rPr>
        <w:t xml:space="preserve">members </w:t>
      </w:r>
      <w:r w:rsidRPr="00265AF2">
        <w:rPr>
          <w:szCs w:val="24"/>
        </w:rPr>
        <w:t>by May 9, 20</w:t>
      </w:r>
      <w:bookmarkStart w:id="14" w:name="_GoBack"/>
      <w:bookmarkEnd w:id="14"/>
      <w:r w:rsidRPr="00265AF2">
        <w:rPr>
          <w:szCs w:val="24"/>
        </w:rPr>
        <w:t>14</w:t>
      </w:r>
      <w:r>
        <w:rPr>
          <w:szCs w:val="24"/>
        </w:rPr>
        <w:t xml:space="preserve">, and also agreed to invite comments from </w:t>
      </w:r>
      <w:r w:rsidRPr="00265AF2">
        <w:rPr>
          <w:szCs w:val="24"/>
        </w:rPr>
        <w:t>CAJ members and observers</w:t>
      </w:r>
      <w:r>
        <w:rPr>
          <w:szCs w:val="24"/>
        </w:rPr>
        <w:t xml:space="preserve"> on the draft</w:t>
      </w:r>
      <w:r w:rsidR="00B11783">
        <w:rPr>
          <w:rFonts w:hint="eastAsia"/>
          <w:szCs w:val="24"/>
          <w:lang w:eastAsia="ja-JP"/>
        </w:rPr>
        <w:t xml:space="preserve"> (</w:t>
      </w:r>
      <w:r w:rsidR="00B11783">
        <w:rPr>
          <w:rFonts w:hint="eastAsia"/>
          <w:lang w:eastAsia="ja-JP"/>
        </w:rPr>
        <w:t>s</w:t>
      </w:r>
      <w:r w:rsidR="00B11783">
        <w:t>ee document CAJ/69/12</w:t>
      </w:r>
      <w:r w:rsidR="00B11783" w:rsidRPr="001C522C">
        <w:t xml:space="preserve"> </w:t>
      </w:r>
      <w:r w:rsidR="00B11783">
        <w:t>“</w:t>
      </w:r>
      <w:r w:rsidR="00B11783" w:rsidRPr="001C522C">
        <w:t>Report</w:t>
      </w:r>
      <w:r w:rsidR="00B11783">
        <w:t xml:space="preserve"> on the Conclusions”, paragraph 27</w:t>
      </w:r>
      <w:r w:rsidR="00B11783">
        <w:rPr>
          <w:rFonts w:hint="eastAsia"/>
          <w:lang w:eastAsia="ja-JP"/>
        </w:rPr>
        <w:t>)</w:t>
      </w:r>
      <w:r w:rsidRPr="00265AF2">
        <w:t>.</w:t>
      </w:r>
    </w:p>
    <w:p w:rsidR="00DD28A3" w:rsidRDefault="00DD28A3" w:rsidP="00DD28A3"/>
    <w:p w:rsidR="00DD28A3" w:rsidRPr="00265AF2" w:rsidRDefault="00DD28A3" w:rsidP="00DD28A3">
      <w:pPr>
        <w:rPr>
          <w:lang w:eastAsia="ja-JP"/>
        </w:rPr>
      </w:pPr>
      <w:r w:rsidRPr="00265AF2">
        <w:rPr>
          <w:rFonts w:cs="Arial"/>
        </w:rPr>
        <w:fldChar w:fldCharType="begin"/>
      </w:r>
      <w:r w:rsidRPr="00265AF2">
        <w:rPr>
          <w:rFonts w:cs="Arial"/>
        </w:rPr>
        <w:instrText xml:space="preserve"> AUTONUM  </w:instrText>
      </w:r>
      <w:r w:rsidRPr="00265AF2">
        <w:rPr>
          <w:rFonts w:cs="Arial"/>
        </w:rPr>
        <w:fldChar w:fldCharType="end"/>
      </w:r>
      <w:r w:rsidRPr="00265AF2">
        <w:rPr>
          <w:rFonts w:cs="Arial"/>
        </w:rPr>
        <w:tab/>
      </w:r>
      <w:r>
        <w:t xml:space="preserve">The draft was circulated as </w:t>
      </w:r>
      <w:r w:rsidRPr="00A5024F">
        <w:t>document UPOV/INF/12/5 Draft 1</w:t>
      </w:r>
      <w:r>
        <w:rPr>
          <w:rFonts w:hint="eastAsia"/>
          <w:lang w:eastAsia="ja-JP"/>
        </w:rPr>
        <w:t xml:space="preserve"> and c</w:t>
      </w:r>
      <w:r w:rsidRPr="00265AF2">
        <w:t xml:space="preserve">omments on the </w:t>
      </w:r>
      <w:r>
        <w:rPr>
          <w:rFonts w:hint="eastAsia"/>
          <w:lang w:eastAsia="ja-JP"/>
        </w:rPr>
        <w:t>document</w:t>
      </w:r>
      <w:r w:rsidRPr="00265AF2">
        <w:t xml:space="preserve"> were received from Argentina, New Zealand, </w:t>
      </w:r>
      <w:r>
        <w:t xml:space="preserve">the </w:t>
      </w:r>
      <w:r w:rsidRPr="00483972">
        <w:rPr>
          <w:rFonts w:cs="Arial"/>
          <w:color w:val="000000"/>
          <w:szCs w:val="26"/>
        </w:rPr>
        <w:t>Association for Plant Breeding for the Benefit of Society (APBREBES)</w:t>
      </w:r>
      <w:r w:rsidRPr="00265AF2">
        <w:t xml:space="preserve"> and </w:t>
      </w:r>
      <w:r>
        <w:t xml:space="preserve">the </w:t>
      </w:r>
      <w:r w:rsidRPr="00265AF2">
        <w:t>European Seed Association</w:t>
      </w:r>
      <w:r>
        <w:t xml:space="preserve"> (ESA)</w:t>
      </w:r>
      <w:r w:rsidR="00B11783">
        <w:rPr>
          <w:rFonts w:hint="eastAsia"/>
          <w:lang w:eastAsia="ja-JP"/>
        </w:rPr>
        <w:t xml:space="preserve"> (s</w:t>
      </w:r>
      <w:r w:rsidR="00B11783" w:rsidRPr="00433B8A">
        <w:t xml:space="preserve">ee CAJ-AG/13 section under “Consideration by Correspondence”:  </w:t>
      </w:r>
      <w:hyperlink r:id="rId10" w:history="1">
        <w:r w:rsidR="00B11783" w:rsidRPr="00433B8A">
          <w:rPr>
            <w:rStyle w:val="Hyperlink"/>
            <w:szCs w:val="24"/>
          </w:rPr>
          <w:t>http://www.upov.int/meetings/en/details.jsp?meeting_id=29783</w:t>
        </w:r>
      </w:hyperlink>
      <w:r w:rsidR="00B11783">
        <w:rPr>
          <w:rStyle w:val="Hyperlink"/>
          <w:rFonts w:hint="eastAsia"/>
          <w:szCs w:val="24"/>
          <w:lang w:eastAsia="ja-JP"/>
        </w:rPr>
        <w:t>)</w:t>
      </w:r>
      <w:r w:rsidRPr="00265AF2">
        <w:rPr>
          <w:szCs w:val="24"/>
        </w:rPr>
        <w:t>.</w:t>
      </w:r>
    </w:p>
    <w:p w:rsidR="00DD28A3" w:rsidRDefault="00DD28A3" w:rsidP="00DD28A3">
      <w:pPr>
        <w:rPr>
          <w:snapToGrid w:val="0"/>
          <w:lang w:eastAsia="ja-JP"/>
        </w:rPr>
      </w:pPr>
    </w:p>
    <w:p w:rsidR="00DD28A3" w:rsidRDefault="00DD28A3" w:rsidP="00DD28A3">
      <w:pPr>
        <w:rPr>
          <w:rFonts w:cs="Arial"/>
          <w:lang w:eastAsia="ja-JP"/>
        </w:rPr>
      </w:pPr>
      <w:r w:rsidRPr="00265AF2">
        <w:rPr>
          <w:szCs w:val="24"/>
        </w:rPr>
        <w:fldChar w:fldCharType="begin"/>
      </w:r>
      <w:r w:rsidRPr="00265AF2">
        <w:rPr>
          <w:szCs w:val="24"/>
        </w:rPr>
        <w:instrText xml:space="preserve"> AUTONUM  </w:instrText>
      </w:r>
      <w:r w:rsidRPr="00265AF2">
        <w:rPr>
          <w:szCs w:val="24"/>
        </w:rPr>
        <w:fldChar w:fldCharType="end"/>
      </w:r>
      <w:r w:rsidRPr="00265AF2">
        <w:rPr>
          <w:szCs w:val="24"/>
        </w:rPr>
        <w:tab/>
        <w:t xml:space="preserve">On the basis of the comments received, a new draft of </w:t>
      </w:r>
      <w:r w:rsidRPr="00265AF2">
        <w:t>the Explanatory Notes on Variety Denominations under the UPOV Convention (document UPOV/INF/12/5 Draft 2) was posted</w:t>
      </w:r>
      <w:r>
        <w:t xml:space="preserve"> on the CAJ-AG webpage</w:t>
      </w:r>
      <w:r w:rsidRPr="00265AF2">
        <w:t xml:space="preserve"> </w:t>
      </w:r>
      <w:r w:rsidRPr="00265AF2">
        <w:rPr>
          <w:szCs w:val="24"/>
        </w:rPr>
        <w:t>on September</w:t>
      </w:r>
      <w:r>
        <w:rPr>
          <w:szCs w:val="24"/>
        </w:rPr>
        <w:t xml:space="preserve"> 10, 2014, </w:t>
      </w:r>
      <w:r>
        <w:rPr>
          <w:rFonts w:hint="eastAsia"/>
          <w:szCs w:val="24"/>
          <w:lang w:eastAsia="ja-JP"/>
        </w:rPr>
        <w:t>for</w:t>
      </w:r>
      <w:r w:rsidRPr="00265AF2">
        <w:rPr>
          <w:szCs w:val="24"/>
        </w:rPr>
        <w:t xml:space="preserve"> </w:t>
      </w:r>
      <w:r w:rsidRPr="00265AF2">
        <w:rPr>
          <w:rFonts w:cs="Arial"/>
        </w:rPr>
        <w:t>consider</w:t>
      </w:r>
      <w:r>
        <w:rPr>
          <w:rFonts w:cs="Arial" w:hint="eastAsia"/>
          <w:lang w:eastAsia="ja-JP"/>
        </w:rPr>
        <w:t>ation</w:t>
      </w:r>
      <w:r w:rsidRPr="00265AF2">
        <w:rPr>
          <w:rFonts w:cs="Arial"/>
        </w:rPr>
        <w:t xml:space="preserve"> by the CAJ-AG at its ninth session</w:t>
      </w:r>
      <w:r w:rsidR="00B11783">
        <w:rPr>
          <w:rFonts w:cs="Arial" w:hint="eastAsia"/>
          <w:lang w:eastAsia="ja-JP"/>
        </w:rPr>
        <w:t xml:space="preserve"> </w:t>
      </w:r>
      <w:r w:rsidR="00B11783">
        <w:rPr>
          <w:rFonts w:hint="eastAsia"/>
          <w:lang w:eastAsia="ja-JP"/>
        </w:rPr>
        <w:t>s</w:t>
      </w:r>
      <w:r w:rsidR="00B11783">
        <w:t>ee document CAJ/69/12</w:t>
      </w:r>
      <w:r w:rsidR="00B11783" w:rsidRPr="001C522C">
        <w:t xml:space="preserve"> </w:t>
      </w:r>
      <w:r w:rsidR="00B11783">
        <w:t>“</w:t>
      </w:r>
      <w:r w:rsidR="00B11783" w:rsidRPr="001C522C">
        <w:t>Report</w:t>
      </w:r>
      <w:r w:rsidR="00B11783">
        <w:t xml:space="preserve"> on the Conclusions”, paragraph 28</w:t>
      </w:r>
      <w:r w:rsidR="00B11783">
        <w:rPr>
          <w:rFonts w:hint="eastAsia"/>
          <w:lang w:eastAsia="ja-JP"/>
        </w:rPr>
        <w:t>)</w:t>
      </w:r>
      <w:r w:rsidRPr="007D1802">
        <w:rPr>
          <w:rFonts w:cs="Arial"/>
        </w:rPr>
        <w:t>.</w:t>
      </w:r>
      <w:r w:rsidRPr="007D1802">
        <w:rPr>
          <w:rFonts w:cs="Arial"/>
          <w:lang w:eastAsia="ja-JP"/>
        </w:rPr>
        <w:t xml:space="preserve">  </w:t>
      </w:r>
      <w:r w:rsidRPr="007D1802">
        <w:rPr>
          <w:rFonts w:cs="Arial" w:hint="eastAsia"/>
          <w:lang w:eastAsia="ja-JP"/>
        </w:rPr>
        <w:t>A copy of d</w:t>
      </w:r>
      <w:r w:rsidRPr="007D1802">
        <w:rPr>
          <w:rFonts w:cs="Arial"/>
        </w:rPr>
        <w:t>ocument UPOV/INF/12/5 Draft 2</w:t>
      </w:r>
      <w:r w:rsidRPr="007D1802">
        <w:rPr>
          <w:rFonts w:cs="Arial" w:hint="eastAsia"/>
          <w:lang w:eastAsia="ja-JP"/>
        </w:rPr>
        <w:t xml:space="preserve"> is provided on the CAJ/</w:t>
      </w:r>
      <w:r w:rsidRPr="007D1802">
        <w:rPr>
          <w:rFonts w:cs="Arial"/>
          <w:lang w:eastAsia="ja-JP"/>
        </w:rPr>
        <w:t>71</w:t>
      </w:r>
      <w:r w:rsidRPr="007D1802">
        <w:rPr>
          <w:rFonts w:cs="Arial" w:hint="eastAsia"/>
          <w:lang w:eastAsia="ja-JP"/>
        </w:rPr>
        <w:t xml:space="preserve"> webpage</w:t>
      </w:r>
      <w:r w:rsidR="00B11783">
        <w:rPr>
          <w:rFonts w:cs="Arial" w:hint="eastAsia"/>
          <w:lang w:eastAsia="ja-JP"/>
        </w:rPr>
        <w:t xml:space="preserve"> (see </w:t>
      </w:r>
      <w:hyperlink r:id="rId11" w:history="1">
        <w:r w:rsidR="00B11783" w:rsidRPr="00E457F0">
          <w:rPr>
            <w:rStyle w:val="Hyperlink"/>
            <w:lang w:eastAsia="ja-JP"/>
          </w:rPr>
          <w:t>http://www.upov.int/meetings/en/details.jsp?meeting_id=35055</w:t>
        </w:r>
      </w:hyperlink>
      <w:r w:rsidR="00B11783">
        <w:rPr>
          <w:rStyle w:val="Hyperlink"/>
          <w:rFonts w:hint="eastAsia"/>
          <w:lang w:eastAsia="ja-JP"/>
        </w:rPr>
        <w:t>)</w:t>
      </w:r>
      <w:r w:rsidR="000E6CE9">
        <w:rPr>
          <w:rFonts w:cs="Arial" w:hint="eastAsia"/>
          <w:lang w:eastAsia="ja-JP"/>
        </w:rPr>
        <w:t xml:space="preserve"> and reproduced as Annex to this document.</w:t>
      </w:r>
    </w:p>
    <w:p w:rsidR="00DD28A3" w:rsidRDefault="00DD28A3" w:rsidP="00DD28A3">
      <w:pPr>
        <w:rPr>
          <w:rFonts w:cs="Arial"/>
          <w:lang w:eastAsia="ja-JP"/>
        </w:rPr>
      </w:pPr>
    </w:p>
    <w:p w:rsidR="00DD28A3" w:rsidRDefault="00DD28A3" w:rsidP="00DD28A3">
      <w:pPr>
        <w:rPr>
          <w:rFonts w:cs="Arial"/>
          <w:szCs w:val="26"/>
          <w:lang w:eastAsia="ja-JP"/>
        </w:rPr>
      </w:pPr>
      <w:r w:rsidRPr="00265AF2">
        <w:fldChar w:fldCharType="begin"/>
      </w:r>
      <w:r w:rsidRPr="00265AF2">
        <w:instrText xml:space="preserve"> AUTONUM  </w:instrText>
      </w:r>
      <w:r w:rsidRPr="00265AF2">
        <w:fldChar w:fldCharType="end"/>
      </w:r>
      <w:r>
        <w:tab/>
      </w:r>
      <w:r w:rsidRPr="00482F75">
        <w:rPr>
          <w:rFonts w:cs="Arial"/>
        </w:rPr>
        <w:t>The CAJ­AG</w:t>
      </w:r>
      <w:r>
        <w:rPr>
          <w:rFonts w:cs="Arial"/>
        </w:rPr>
        <w:t xml:space="preserve">, at its </w:t>
      </w:r>
      <w:r w:rsidRPr="00210134">
        <w:t>ninth session</w:t>
      </w:r>
      <w:r>
        <w:t>,</w:t>
      </w:r>
      <w:r w:rsidRPr="00482F75">
        <w:rPr>
          <w:rFonts w:cs="Arial"/>
        </w:rPr>
        <w:t xml:space="preserve"> considered document </w:t>
      </w:r>
      <w:r w:rsidRPr="00BE4A7F">
        <w:t>UPOV/INF/12/5 Draft 2</w:t>
      </w:r>
      <w:r>
        <w:t>, including contributions made</w:t>
      </w:r>
      <w:r w:rsidRPr="00482F75">
        <w:t xml:space="preserve"> by</w:t>
      </w:r>
      <w:r>
        <w:t xml:space="preserve"> APBREBES and</w:t>
      </w:r>
      <w:r w:rsidRPr="00482F75">
        <w:t xml:space="preserve"> </w:t>
      </w:r>
      <w:r>
        <w:rPr>
          <w:rFonts w:cs="Arial"/>
          <w:szCs w:val="26"/>
        </w:rPr>
        <w:t>ESA</w:t>
      </w:r>
      <w:r w:rsidR="00B11783">
        <w:rPr>
          <w:rFonts w:cs="Arial" w:hint="eastAsia"/>
          <w:szCs w:val="26"/>
          <w:lang w:eastAsia="ja-JP"/>
        </w:rPr>
        <w:t xml:space="preserve"> (</w:t>
      </w:r>
      <w:r w:rsidR="00B11783">
        <w:rPr>
          <w:rFonts w:hint="eastAsia"/>
          <w:szCs w:val="26"/>
          <w:lang w:eastAsia="ja-JP"/>
        </w:rPr>
        <w:t>s</w:t>
      </w:r>
      <w:r w:rsidR="00B11783">
        <w:rPr>
          <w:szCs w:val="26"/>
        </w:rPr>
        <w:t xml:space="preserve">ee document </w:t>
      </w:r>
      <w:r w:rsidR="00B11783" w:rsidRPr="00A2438A">
        <w:t>CAJ</w:t>
      </w:r>
      <w:r w:rsidR="00B11783">
        <w:noBreakHyphen/>
      </w:r>
      <w:r w:rsidR="00B11783" w:rsidRPr="006E3C2E">
        <w:t>AG/14/9/6 “Report</w:t>
      </w:r>
      <w:r w:rsidR="00B11783">
        <w:t xml:space="preserve"> on the Conclusions”, paragraph 15</w:t>
      </w:r>
      <w:r w:rsidR="00B11783">
        <w:rPr>
          <w:rFonts w:hint="eastAsia"/>
          <w:lang w:eastAsia="ja-JP"/>
        </w:rPr>
        <w:t>).</w:t>
      </w:r>
    </w:p>
    <w:p w:rsidR="00A93F79" w:rsidRDefault="00A93F79" w:rsidP="00DD28A3">
      <w:pPr>
        <w:rPr>
          <w:lang w:eastAsia="ja-JP"/>
        </w:rPr>
      </w:pPr>
    </w:p>
    <w:p w:rsidR="008874D6" w:rsidRPr="00A0552A" w:rsidRDefault="008874D6" w:rsidP="008874D6">
      <w:r w:rsidRPr="006E3C2E">
        <w:fldChar w:fldCharType="begin"/>
      </w:r>
      <w:r w:rsidRPr="006E3C2E">
        <w:instrText xml:space="preserve"> AUTONUM  </w:instrText>
      </w:r>
      <w:r w:rsidRPr="006E3C2E">
        <w:fldChar w:fldCharType="end"/>
      </w:r>
      <w:r>
        <w:tab/>
      </w:r>
      <w:r>
        <w:rPr>
          <w:rFonts w:hint="eastAsia"/>
          <w:lang w:eastAsia="ja-JP"/>
        </w:rPr>
        <w:t>T</w:t>
      </w:r>
      <w:r w:rsidRPr="006E3C2E">
        <w:t xml:space="preserve">he following </w:t>
      </w:r>
      <w:r>
        <w:rPr>
          <w:rFonts w:hint="eastAsia"/>
          <w:lang w:eastAsia="ja-JP"/>
        </w:rPr>
        <w:t>comments</w:t>
      </w:r>
      <w:r>
        <w:t xml:space="preserve"> </w:t>
      </w:r>
      <w:r w:rsidRPr="006E3C2E">
        <w:t xml:space="preserve">were </w:t>
      </w:r>
      <w:r>
        <w:rPr>
          <w:rFonts w:hint="eastAsia"/>
          <w:lang w:eastAsia="ja-JP"/>
        </w:rPr>
        <w:t>made</w:t>
      </w:r>
      <w:r w:rsidRPr="006E3C2E">
        <w:t xml:space="preserve"> by the CAJ-AG</w:t>
      </w:r>
      <w:r>
        <w:rPr>
          <w:rFonts w:hint="eastAsia"/>
          <w:lang w:eastAsia="ja-JP"/>
        </w:rPr>
        <w:t xml:space="preserve"> on </w:t>
      </w:r>
      <w:r w:rsidRPr="00482F75">
        <w:rPr>
          <w:rFonts w:cs="Arial"/>
        </w:rPr>
        <w:t xml:space="preserve">document </w:t>
      </w:r>
      <w:r w:rsidRPr="00BE4A7F">
        <w:t>UPOV/INF/12/5 Draft 2</w:t>
      </w:r>
      <w:r w:rsidR="00B11783">
        <w:rPr>
          <w:rFonts w:hint="eastAsia"/>
          <w:lang w:eastAsia="ja-JP"/>
        </w:rPr>
        <w:t xml:space="preserve"> (s</w:t>
      </w:r>
      <w:r w:rsidR="00B11783">
        <w:t>ee document CAJ</w:t>
      </w:r>
      <w:r w:rsidR="00B11783">
        <w:noBreakHyphen/>
      </w:r>
      <w:r w:rsidR="00B11783" w:rsidRPr="006E3C2E">
        <w:t>AG/14/9/6 “Report on the Conclusions”, paragraph 18</w:t>
      </w:r>
      <w:r w:rsidR="00B11783">
        <w:rPr>
          <w:rFonts w:hint="eastAsia"/>
          <w:lang w:eastAsia="ja-JP"/>
        </w:rPr>
        <w:t>)</w:t>
      </w:r>
      <w:r>
        <w:t xml:space="preserve">: </w:t>
      </w:r>
    </w:p>
    <w:p w:rsidR="008874D6" w:rsidRDefault="008874D6" w:rsidP="008874D6">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8874D6" w:rsidRPr="00482F75" w:rsidTr="000E6CE9">
        <w:trPr>
          <w:cantSplit/>
        </w:trPr>
        <w:tc>
          <w:tcPr>
            <w:tcW w:w="1391" w:type="dxa"/>
          </w:tcPr>
          <w:p w:rsidR="008874D6" w:rsidRPr="00452713" w:rsidRDefault="008874D6" w:rsidP="000E6CE9">
            <w:pPr>
              <w:rPr>
                <w:rFonts w:cs="Arial"/>
              </w:rPr>
            </w:pPr>
            <w:r w:rsidRPr="00452713">
              <w:t>2.2.2</w:t>
            </w:r>
            <w:r>
              <w:t xml:space="preserve"> </w:t>
            </w:r>
            <w:r w:rsidRPr="00452713">
              <w:t>(b)</w:t>
            </w:r>
          </w:p>
        </w:tc>
        <w:tc>
          <w:tcPr>
            <w:tcW w:w="7789" w:type="dxa"/>
          </w:tcPr>
          <w:p w:rsidR="008874D6" w:rsidRDefault="008874D6" w:rsidP="000E6CE9">
            <w:pPr>
              <w:rPr>
                <w:snapToGrid w:val="0"/>
              </w:rPr>
            </w:pPr>
            <w:r w:rsidRPr="00452713">
              <w:rPr>
                <w:snapToGrid w:val="0"/>
              </w:rPr>
              <w:t xml:space="preserve">To clarify the terminology in </w:t>
            </w:r>
            <w:r w:rsidRPr="00452713">
              <w:t>2.2.2</w:t>
            </w:r>
            <w:r>
              <w:t xml:space="preserve"> </w:t>
            </w:r>
            <w:r w:rsidRPr="00452713">
              <w:t>(b)</w:t>
            </w:r>
            <w:r w:rsidRPr="00452713">
              <w:rPr>
                <w:snapToGrid w:val="0"/>
              </w:rPr>
              <w:t>. In particular, to consider changing the examples or replacing “species” by “genera” or “taxa” in the following sentence:</w:t>
            </w:r>
          </w:p>
          <w:p w:rsidR="008874D6" w:rsidRPr="00452713" w:rsidRDefault="008874D6" w:rsidP="000E6CE9">
            <w:pPr>
              <w:rPr>
                <w:snapToGrid w:val="0"/>
              </w:rPr>
            </w:pPr>
          </w:p>
          <w:p w:rsidR="008874D6" w:rsidRPr="00452713" w:rsidRDefault="008874D6" w:rsidP="000E6CE9">
            <w:pPr>
              <w:rPr>
                <w:snapToGrid w:val="0"/>
              </w:rPr>
            </w:pPr>
            <w:r w:rsidRPr="00452713">
              <w:rPr>
                <w:snapToGrid w:val="0"/>
              </w:rPr>
              <w:t>“</w:t>
            </w:r>
            <w:r w:rsidRPr="00452713">
              <w:rPr>
                <w:color w:val="000000"/>
              </w:rPr>
              <w:t>(b)</w:t>
            </w:r>
            <w:r w:rsidRPr="00452713">
              <w:rPr>
                <w:color w:val="000000"/>
              </w:rPr>
              <w:tab/>
            </w:r>
            <w:proofErr w:type="gramStart"/>
            <w:r w:rsidRPr="00452713">
              <w:rPr>
                <w:color w:val="000000"/>
              </w:rPr>
              <w:t>accepted</w:t>
            </w:r>
            <w:proofErr w:type="gramEnd"/>
            <w:r w:rsidRPr="00452713">
              <w:rPr>
                <w:color w:val="000000"/>
              </w:rPr>
              <w:t xml:space="preserve"> market practices for particular variety types (e.g. hybrids) and particular species (e.g. </w:t>
            </w:r>
            <w:proofErr w:type="spellStart"/>
            <w:r w:rsidRPr="00452713">
              <w:rPr>
                <w:color w:val="000000"/>
              </w:rPr>
              <w:t>Medicago</w:t>
            </w:r>
            <w:proofErr w:type="spellEnd"/>
            <w:r w:rsidRPr="00452713">
              <w:rPr>
                <w:color w:val="000000"/>
              </w:rPr>
              <w:t>, Helianthus).</w:t>
            </w:r>
          </w:p>
        </w:tc>
      </w:tr>
      <w:tr w:rsidR="008874D6" w:rsidRPr="00482F75" w:rsidTr="000E6CE9">
        <w:trPr>
          <w:cantSplit/>
        </w:trPr>
        <w:tc>
          <w:tcPr>
            <w:tcW w:w="1391" w:type="dxa"/>
          </w:tcPr>
          <w:p w:rsidR="008874D6" w:rsidRPr="00452713" w:rsidRDefault="008874D6" w:rsidP="000E6CE9">
            <w:pPr>
              <w:rPr>
                <w:rFonts w:cs="Arial"/>
              </w:rPr>
            </w:pPr>
            <w:r w:rsidRPr="00452713">
              <w:rPr>
                <w:rFonts w:cs="Arial"/>
              </w:rPr>
              <w:t>2.2.2</w:t>
            </w:r>
            <w:r>
              <w:rPr>
                <w:rFonts w:cs="Arial"/>
              </w:rPr>
              <w:t xml:space="preserve"> </w:t>
            </w:r>
            <w:r w:rsidRPr="00452713">
              <w:rPr>
                <w:rFonts w:cs="Arial"/>
              </w:rPr>
              <w:t>(c)</w:t>
            </w:r>
          </w:p>
        </w:tc>
        <w:tc>
          <w:tcPr>
            <w:tcW w:w="7789" w:type="dxa"/>
          </w:tcPr>
          <w:p w:rsidR="008874D6" w:rsidRPr="00452713" w:rsidRDefault="008874D6" w:rsidP="000E6CE9">
            <w:pPr>
              <w:rPr>
                <w:rFonts w:cs="Arial"/>
              </w:rPr>
            </w:pPr>
            <w:r w:rsidRPr="00452713">
              <w:rPr>
                <w:rFonts w:cs="Arial"/>
              </w:rPr>
              <w:t>To add 2.2.2</w:t>
            </w:r>
            <w:r>
              <w:rPr>
                <w:rFonts w:cs="Arial"/>
              </w:rPr>
              <w:t xml:space="preserve"> </w:t>
            </w:r>
            <w:r w:rsidRPr="00452713">
              <w:rPr>
                <w:rFonts w:cs="Arial"/>
              </w:rPr>
              <w:t>(c) as follows:</w:t>
            </w:r>
          </w:p>
          <w:p w:rsidR="008874D6" w:rsidRPr="00452713" w:rsidRDefault="008874D6" w:rsidP="000E6CE9">
            <w:pPr>
              <w:rPr>
                <w:rFonts w:cs="Arial"/>
              </w:rPr>
            </w:pPr>
          </w:p>
          <w:p w:rsidR="008874D6" w:rsidRPr="00452713" w:rsidRDefault="008874D6" w:rsidP="000E6CE9">
            <w:pPr>
              <w:rPr>
                <w:rFonts w:cs="Arial"/>
              </w:rPr>
            </w:pPr>
            <w:r w:rsidRPr="00452713">
              <w:rPr>
                <w:rFonts w:cs="Arial"/>
              </w:rPr>
              <w:t>“(c)</w:t>
            </w:r>
            <w:r>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8874D6" w:rsidRPr="00482F75" w:rsidTr="000E6CE9">
        <w:trPr>
          <w:cantSplit/>
        </w:trPr>
        <w:tc>
          <w:tcPr>
            <w:tcW w:w="1391" w:type="dxa"/>
          </w:tcPr>
          <w:p w:rsidR="008874D6" w:rsidRPr="00452713" w:rsidRDefault="008874D6" w:rsidP="000E6CE9">
            <w:pPr>
              <w:rPr>
                <w:rFonts w:cs="Arial"/>
              </w:rPr>
            </w:pPr>
            <w:r w:rsidRPr="00452713">
              <w:t>2.3.1</w:t>
            </w:r>
            <w:r>
              <w:t xml:space="preserve"> </w:t>
            </w:r>
            <w:r w:rsidRPr="00452713">
              <w:t>(c)</w:t>
            </w:r>
          </w:p>
        </w:tc>
        <w:tc>
          <w:tcPr>
            <w:tcW w:w="7789" w:type="dxa"/>
          </w:tcPr>
          <w:p w:rsidR="008874D6" w:rsidRPr="00452713" w:rsidRDefault="008874D6" w:rsidP="000E6CE9">
            <w:r w:rsidRPr="00452713">
              <w:t>To develop further guidance on 2.3.1</w:t>
            </w:r>
            <w:r>
              <w:t xml:space="preserve"> </w:t>
            </w:r>
            <w:r w:rsidRPr="00452713">
              <w:t>(c) and to provide</w:t>
            </w:r>
            <w:r>
              <w:t xml:space="preserve"> other, more</w:t>
            </w:r>
            <w:r w:rsidRPr="00452713">
              <w:t xml:space="preserve"> appropriate examples</w:t>
            </w:r>
          </w:p>
          <w:p w:rsidR="008874D6" w:rsidRPr="00452713" w:rsidRDefault="008874D6" w:rsidP="000E6CE9">
            <w:pPr>
              <w:keepNext/>
            </w:pPr>
          </w:p>
          <w:p w:rsidR="008874D6" w:rsidRPr="00452713" w:rsidRDefault="008874D6" w:rsidP="000E6CE9">
            <w:pPr>
              <w:keepNext/>
            </w:pPr>
            <w:r w:rsidRPr="00452713">
              <w:t>“(c)</w:t>
            </w:r>
            <w:r w:rsidRPr="00452713">
              <w:tab/>
              <w:t>convey the impression that the variety is derived from, or related to, another variety when that is not, in fact, the case;</w:t>
            </w:r>
          </w:p>
          <w:p w:rsidR="008874D6" w:rsidRPr="00452713" w:rsidRDefault="008874D6" w:rsidP="000E6CE9">
            <w:pPr>
              <w:keepNext/>
            </w:pPr>
          </w:p>
          <w:p w:rsidR="008874D6" w:rsidRPr="00452713" w:rsidRDefault="008874D6" w:rsidP="000E6CE9">
            <w:pPr>
              <w:rPr>
                <w:rFonts w:cs="Arial"/>
              </w:rPr>
            </w:pPr>
            <w:r w:rsidRPr="00452713">
              <w:rPr>
                <w:i/>
              </w:rPr>
              <w:t>Example:</w:t>
            </w:r>
            <w:r w:rsidRPr="0045271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8874D6" w:rsidRPr="00482F75" w:rsidTr="000E6CE9">
        <w:trPr>
          <w:cantSplit/>
        </w:trPr>
        <w:tc>
          <w:tcPr>
            <w:tcW w:w="1391" w:type="dxa"/>
          </w:tcPr>
          <w:p w:rsidR="008874D6" w:rsidRPr="00452713" w:rsidRDefault="008874D6" w:rsidP="000E6CE9">
            <w:r w:rsidRPr="00452713">
              <w:lastRenderedPageBreak/>
              <w:t>2.3.1</w:t>
            </w:r>
            <w:r>
              <w:t xml:space="preserve"> </w:t>
            </w:r>
            <w:r w:rsidRPr="00452713">
              <w:t>(d)</w:t>
            </w:r>
          </w:p>
        </w:tc>
        <w:tc>
          <w:tcPr>
            <w:tcW w:w="7789" w:type="dxa"/>
          </w:tcPr>
          <w:p w:rsidR="008874D6" w:rsidRDefault="008874D6" w:rsidP="000E6CE9">
            <w:r w:rsidRPr="00452713">
              <w:t>To add 2.3.1</w:t>
            </w:r>
            <w:r>
              <w:t xml:space="preserve"> </w:t>
            </w:r>
            <w:r w:rsidRPr="00452713">
              <w:t>(d) as follows:</w:t>
            </w:r>
          </w:p>
          <w:p w:rsidR="008874D6" w:rsidRPr="00452713" w:rsidRDefault="008874D6" w:rsidP="000E6CE9"/>
          <w:p w:rsidR="008874D6" w:rsidRPr="00452713" w:rsidRDefault="008874D6" w:rsidP="000E6CE9">
            <w:r w:rsidRPr="00452713">
              <w:t xml:space="preserve">“(d) </w:t>
            </w:r>
            <w:r w:rsidRPr="00452713">
              <w:tab/>
            </w:r>
            <w:proofErr w:type="gramStart"/>
            <w:r w:rsidRPr="00452713">
              <w:t>contain</w:t>
            </w:r>
            <w:proofErr w:type="gramEnd"/>
            <w:r w:rsidRPr="00452713">
              <w:t xml:space="preserve"> the </w:t>
            </w:r>
            <w:r>
              <w:t>botanical</w:t>
            </w:r>
            <w:r w:rsidRPr="00452713">
              <w:t xml:space="preserve"> or common name of the genus to which that variety belongs. The identity of the denomination and that of the genus to which it belongs could become unclear and confusing.”</w:t>
            </w:r>
          </w:p>
          <w:p w:rsidR="008874D6" w:rsidRPr="00452713" w:rsidRDefault="008874D6" w:rsidP="000E6CE9">
            <w:pPr>
              <w:rPr>
                <w:highlight w:val="lightGray"/>
              </w:rPr>
            </w:pPr>
          </w:p>
          <w:p w:rsidR="008874D6" w:rsidRPr="00452713" w:rsidRDefault="008874D6" w:rsidP="000E6CE9">
            <w:r w:rsidRPr="00452713">
              <w:t>To clarify the following example:</w:t>
            </w:r>
          </w:p>
          <w:p w:rsidR="008874D6" w:rsidRPr="00452713" w:rsidRDefault="008874D6" w:rsidP="000E6CE9"/>
          <w:p w:rsidR="008874D6" w:rsidRPr="00452713" w:rsidRDefault="008874D6" w:rsidP="000E6CE9">
            <w:pPr>
              <w:ind w:left="567"/>
            </w:pPr>
            <w:r w:rsidRPr="00452713">
              <w:rPr>
                <w:i/>
              </w:rPr>
              <w:t>Example</w:t>
            </w:r>
            <w:r w:rsidRPr="00452713">
              <w:t xml:space="preserve">:  </w:t>
            </w:r>
            <w:proofErr w:type="spellStart"/>
            <w:r w:rsidRPr="00452713">
              <w:rPr>
                <w:i/>
              </w:rPr>
              <w:t>Carex</w:t>
            </w:r>
            <w:proofErr w:type="spellEnd"/>
            <w:r w:rsidRPr="00452713">
              <w:rPr>
                <w:i/>
              </w:rPr>
              <w:t xml:space="preserve"> </w:t>
            </w:r>
            <w:r w:rsidRPr="00452713">
              <w:t xml:space="preserve">variety ‘Sedge’. This could possibly be referred to as ‘Sedge’ </w:t>
            </w:r>
            <w:proofErr w:type="spellStart"/>
            <w:r w:rsidRPr="00452713">
              <w:rPr>
                <w:i/>
              </w:rPr>
              <w:t>Carex</w:t>
            </w:r>
            <w:proofErr w:type="spellEnd"/>
            <w:r w:rsidRPr="00452713">
              <w:rPr>
                <w:i/>
              </w:rPr>
              <w:t xml:space="preserve"> </w:t>
            </w:r>
            <w:r w:rsidRPr="00452713">
              <w:t>and without the use of italics or single quotes the identity of the denomination and the genus may not be clear.</w:t>
            </w:r>
          </w:p>
          <w:p w:rsidR="008874D6" w:rsidRPr="00452713" w:rsidRDefault="008874D6" w:rsidP="000E6CE9"/>
          <w:p w:rsidR="008874D6" w:rsidRPr="00452713" w:rsidRDefault="008874D6" w:rsidP="000E6CE9">
            <w:r w:rsidRPr="00452713">
              <w:t xml:space="preserve">To develop guidance on possible confusion of the use of the </w:t>
            </w:r>
            <w:r>
              <w:t>botanical</w:t>
            </w:r>
            <w:r w:rsidRPr="00452713">
              <w:t xml:space="preserve"> or common name of </w:t>
            </w:r>
            <w:r>
              <w:t xml:space="preserve">a </w:t>
            </w:r>
            <w:r w:rsidRPr="00452713">
              <w:t xml:space="preserve">genus to which that variety does </w:t>
            </w:r>
            <w:r w:rsidRPr="00C841DF">
              <w:rPr>
                <w:u w:val="single"/>
              </w:rPr>
              <w:t>not</w:t>
            </w:r>
            <w:r w:rsidRPr="00452713">
              <w:t xml:space="preserve"> belong – case by case</w:t>
            </w:r>
          </w:p>
        </w:tc>
      </w:tr>
      <w:tr w:rsidR="008874D6" w:rsidRPr="00482F75" w:rsidTr="000E6CE9">
        <w:trPr>
          <w:cantSplit/>
        </w:trPr>
        <w:tc>
          <w:tcPr>
            <w:tcW w:w="1391" w:type="dxa"/>
          </w:tcPr>
          <w:p w:rsidR="008874D6" w:rsidRPr="00452713" w:rsidRDefault="008874D6" w:rsidP="000E6CE9">
            <w:r w:rsidRPr="00452713">
              <w:t>2.3.3</w:t>
            </w:r>
          </w:p>
        </w:tc>
        <w:tc>
          <w:tcPr>
            <w:tcW w:w="7789" w:type="dxa"/>
          </w:tcPr>
          <w:p w:rsidR="008874D6" w:rsidRPr="00452713" w:rsidRDefault="008874D6" w:rsidP="000E6CE9">
            <w:pPr>
              <w:rPr>
                <w:snapToGrid w:val="0"/>
              </w:rPr>
            </w:pPr>
            <w:r w:rsidRPr="00452713">
              <w:rPr>
                <w:snapToGrid w:val="0"/>
              </w:rPr>
              <w:t xml:space="preserve">To consider proposals in 2.3.3 of document </w:t>
            </w:r>
            <w:r w:rsidRPr="00452713">
              <w:t>UPOV/INF/12/5 Draft 2 as an initial step to develop further guidance and appropriate examples in conjunction with the development of an effective UPOV similarity search tool</w:t>
            </w:r>
          </w:p>
        </w:tc>
      </w:tr>
      <w:tr w:rsidR="008874D6" w:rsidRPr="00482F75" w:rsidTr="000E6CE9">
        <w:trPr>
          <w:cantSplit/>
        </w:trPr>
        <w:tc>
          <w:tcPr>
            <w:tcW w:w="1391" w:type="dxa"/>
          </w:tcPr>
          <w:p w:rsidR="008874D6" w:rsidRPr="00452713" w:rsidRDefault="008874D6" w:rsidP="000E6CE9">
            <w:r w:rsidRPr="00452713">
              <w:t>4(a)</w:t>
            </w:r>
          </w:p>
        </w:tc>
        <w:tc>
          <w:tcPr>
            <w:tcW w:w="7789" w:type="dxa"/>
          </w:tcPr>
          <w:p w:rsidR="008874D6" w:rsidRPr="00452713" w:rsidRDefault="008874D6" w:rsidP="000E6CE9">
            <w:pPr>
              <w:rPr>
                <w:snapToGrid w:val="0"/>
              </w:rPr>
            </w:pPr>
            <w:r w:rsidRPr="00452713">
              <w:rPr>
                <w:snapToGrid w:val="0"/>
              </w:rPr>
              <w:t>To modify 4(a) as follows:</w:t>
            </w:r>
          </w:p>
          <w:p w:rsidR="008874D6" w:rsidRPr="00452713" w:rsidRDefault="008874D6" w:rsidP="000E6CE9">
            <w:pPr>
              <w:rPr>
                <w:snapToGrid w:val="0"/>
              </w:rPr>
            </w:pPr>
          </w:p>
          <w:p w:rsidR="008874D6" w:rsidRPr="00452713" w:rsidRDefault="008874D6" w:rsidP="000E6CE9">
            <w:pPr>
              <w:ind w:firstLine="567"/>
            </w:pPr>
            <w:r w:rsidRPr="00452713">
              <w:t>“(a)</w:t>
            </w:r>
            <w:r w:rsidRPr="00452713">
              <w:tab/>
              <w:t xml:space="preserve">An authority should not accept a variety denomination if </w:t>
            </w:r>
            <w:r w:rsidRPr="00452713">
              <w:rPr>
                <w:strike/>
              </w:rPr>
              <w:t>a</w:t>
            </w:r>
            <w:r w:rsidRPr="00452713">
              <w:t xml:space="preserve"> </w:t>
            </w:r>
            <w:r w:rsidRPr="00452713">
              <w:rPr>
                <w:u w:val="single"/>
              </w:rPr>
              <w:t>there is an existing</w:t>
            </w:r>
            <w:r w:rsidRPr="00452713">
              <w:t xml:space="preserve"> prior right, the exercise of which may prevent the use of the proposed denomination</w:t>
            </w:r>
            <w:r w:rsidRPr="00452713">
              <w:rPr>
                <w:strike/>
              </w:rPr>
              <w:t>, has already been granted to a third party</w:t>
            </w:r>
            <w:r w:rsidRPr="00452713">
              <w:t xml:space="preserve"> </w:t>
            </w:r>
            <w:r w:rsidRPr="00452713">
              <w:rPr>
                <w:strike/>
              </w:rPr>
              <w:t>under plant breeder’s right law, trademark law or any other intellectual property legislation.</w:t>
            </w:r>
            <w:r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2" w:history="1">
              <w:r w:rsidRPr="00452713">
                <w:rPr>
                  <w:rStyle w:val="Hyperlink"/>
                </w:rPr>
                <w:t>http://www.upov.int/pluto/en/</w:t>
              </w:r>
            </w:hyperlink>
            <w:r w:rsidRPr="00452713">
              <w:t>) to identify prior rights for variety denominations.  They may also make searches in other registers, such as trademark registers, before accepting a variety denomination.”</w:t>
            </w:r>
          </w:p>
        </w:tc>
      </w:tr>
      <w:tr w:rsidR="008874D6" w:rsidRPr="00482F75" w:rsidTr="000E6CE9">
        <w:trPr>
          <w:cantSplit/>
        </w:trPr>
        <w:tc>
          <w:tcPr>
            <w:tcW w:w="1391" w:type="dxa"/>
          </w:tcPr>
          <w:p w:rsidR="008874D6" w:rsidRPr="00452713" w:rsidRDefault="008874D6" w:rsidP="000E6CE9">
            <w:r w:rsidRPr="00452713">
              <w:t>4(e)(</w:t>
            </w:r>
            <w:proofErr w:type="spellStart"/>
            <w:r w:rsidRPr="00452713">
              <w:t>i</w:t>
            </w:r>
            <w:proofErr w:type="spellEnd"/>
            <w:r w:rsidRPr="00452713">
              <w:t>)</w:t>
            </w:r>
          </w:p>
        </w:tc>
        <w:tc>
          <w:tcPr>
            <w:tcW w:w="7789" w:type="dxa"/>
          </w:tcPr>
          <w:p w:rsidR="008874D6" w:rsidRDefault="008874D6" w:rsidP="000E6CE9">
            <w:pPr>
              <w:rPr>
                <w:snapToGrid w:val="0"/>
              </w:rPr>
            </w:pPr>
            <w:r w:rsidRPr="00452713">
              <w:rPr>
                <w:snapToGrid w:val="0"/>
              </w:rPr>
              <w:t xml:space="preserve">To modify last sentence of </w:t>
            </w:r>
            <w:r w:rsidRPr="00452713">
              <w:t>4(e)(</w:t>
            </w:r>
            <w:proofErr w:type="spellStart"/>
            <w:r w:rsidRPr="00452713">
              <w:t>i</w:t>
            </w:r>
            <w:proofErr w:type="spellEnd"/>
            <w:r w:rsidRPr="00452713">
              <w:t xml:space="preserve">) </w:t>
            </w:r>
            <w:r w:rsidRPr="00452713">
              <w:rPr>
                <w:snapToGrid w:val="0"/>
              </w:rPr>
              <w:t>as follows:</w:t>
            </w:r>
          </w:p>
          <w:p w:rsidR="008874D6" w:rsidRPr="00452713" w:rsidRDefault="008874D6" w:rsidP="000E6CE9">
            <w:pPr>
              <w:rPr>
                <w:snapToGrid w:val="0"/>
              </w:rPr>
            </w:pPr>
          </w:p>
          <w:p w:rsidR="008874D6" w:rsidRPr="00973461" w:rsidRDefault="008874D6" w:rsidP="000E6CE9">
            <w:pPr>
              <w:tabs>
                <w:tab w:val="right" w:pos="1134"/>
                <w:tab w:val="left" w:pos="1418"/>
              </w:tabs>
              <w:rPr>
                <w:spacing w:val="-2"/>
              </w:rPr>
            </w:pPr>
            <w:r w:rsidRPr="00973461">
              <w:rPr>
                <w:spacing w:val="-2"/>
              </w:rPr>
              <w:t xml:space="preserve">“In cases of mere similarity or small likelihood of </w:t>
            </w:r>
            <w:r w:rsidRPr="00973461">
              <w:rPr>
                <w:strike/>
                <w:spacing w:val="-2"/>
              </w:rPr>
              <w:t>association</w:t>
            </w:r>
            <w:r w:rsidRPr="00973461">
              <w:rPr>
                <w:spacing w:val="-2"/>
              </w:rPr>
              <w:t xml:space="preserve"> </w:t>
            </w:r>
            <w:r w:rsidRPr="00973461">
              <w:rPr>
                <w:spacing w:val="-2"/>
                <w:u w:val="single"/>
              </w:rPr>
              <w:t>confusion</w:t>
            </w:r>
            <w:r w:rsidRPr="00973461">
              <w:rPr>
                <w:spacing w:val="-2"/>
              </w:rPr>
              <w:t xml:space="preserve"> by users, waivers granted to breeders by prior trademark right holders could be a suitable solution.”</w:t>
            </w:r>
          </w:p>
        </w:tc>
      </w:tr>
    </w:tbl>
    <w:p w:rsidR="008874D6" w:rsidRDefault="008874D6" w:rsidP="008874D6"/>
    <w:p w:rsidR="008874D6" w:rsidRPr="000F2E6D" w:rsidRDefault="00513F90" w:rsidP="00DD28A3">
      <w:pPr>
        <w:rPr>
          <w:lang w:eastAsia="ja-JP"/>
        </w:rPr>
      </w:pPr>
      <w:r w:rsidRPr="000F2E6D">
        <w:rPr>
          <w:lang w:eastAsia="ja-JP"/>
        </w:rPr>
        <w:fldChar w:fldCharType="begin"/>
      </w:r>
      <w:r w:rsidRPr="000F2E6D">
        <w:rPr>
          <w:lang w:eastAsia="ja-JP"/>
        </w:rPr>
        <w:instrText xml:space="preserve"> AUTONUM  </w:instrText>
      </w:r>
      <w:r w:rsidRPr="000F2E6D">
        <w:rPr>
          <w:lang w:eastAsia="ja-JP"/>
        </w:rPr>
        <w:fldChar w:fldCharType="end"/>
      </w:r>
      <w:r w:rsidRPr="000F2E6D">
        <w:rPr>
          <w:lang w:eastAsia="ja-JP"/>
        </w:rPr>
        <w:tab/>
      </w:r>
      <w:r w:rsidR="000F2E6D" w:rsidRPr="000F2E6D">
        <w:rPr>
          <w:lang w:eastAsia="ja-JP"/>
        </w:rPr>
        <w:t xml:space="preserve">The </w:t>
      </w:r>
      <w:r w:rsidRPr="000F2E6D">
        <w:t xml:space="preserve">CAJ, </w:t>
      </w:r>
      <w:r w:rsidRPr="000F2E6D">
        <w:rPr>
          <w:rFonts w:cs="Arial"/>
          <w:lang w:eastAsia="ja-JP"/>
        </w:rPr>
        <w:t xml:space="preserve">at its seventy-first session, held in Geneva, on March 26, 2015, </w:t>
      </w:r>
      <w:r w:rsidRPr="000F2E6D">
        <w:t xml:space="preserve"> agreed to consider the proposals of the CAJ-AG under Sections 2.2.2 (c), 4(a) and 4(e)(</w:t>
      </w:r>
      <w:proofErr w:type="spellStart"/>
      <w:r w:rsidRPr="000F2E6D">
        <w:t>i</w:t>
      </w:r>
      <w:proofErr w:type="spellEnd"/>
      <w:r w:rsidRPr="000F2E6D">
        <w:t>), at its seventy</w:t>
      </w:r>
      <w:r w:rsidRPr="000F2E6D">
        <w:noBreakHyphen/>
        <w:t xml:space="preserve">second session in October 2015 (see </w:t>
      </w:r>
      <w:r w:rsidRPr="000F2E6D">
        <w:rPr>
          <w:rFonts w:hint="eastAsia"/>
          <w:lang w:eastAsia="ja-JP"/>
        </w:rPr>
        <w:t xml:space="preserve">document CAJ/71/10 </w:t>
      </w:r>
      <w:r w:rsidRPr="000F2E6D">
        <w:rPr>
          <w:lang w:eastAsia="ja-JP"/>
        </w:rPr>
        <w:t>“</w:t>
      </w:r>
      <w:r w:rsidRPr="000F2E6D">
        <w:rPr>
          <w:rFonts w:hint="eastAsia"/>
          <w:lang w:eastAsia="ja-JP"/>
        </w:rPr>
        <w:t>Report on the Conclusions</w:t>
      </w:r>
      <w:r w:rsidRPr="000F2E6D">
        <w:rPr>
          <w:lang w:eastAsia="ja-JP"/>
        </w:rPr>
        <w:t>”</w:t>
      </w:r>
      <w:r w:rsidRPr="000F2E6D">
        <w:rPr>
          <w:rFonts w:hint="eastAsia"/>
          <w:lang w:eastAsia="ja-JP"/>
        </w:rPr>
        <w:t>,</w:t>
      </w:r>
      <w:r w:rsidRPr="000F2E6D">
        <w:rPr>
          <w:lang w:eastAsia="ja-JP"/>
        </w:rPr>
        <w:t xml:space="preserve"> </w:t>
      </w:r>
      <w:r w:rsidRPr="000F2E6D">
        <w:t>paragraph 37).</w:t>
      </w:r>
    </w:p>
    <w:p w:rsidR="00513F90" w:rsidRPr="000F2E6D" w:rsidRDefault="00513F90" w:rsidP="00DD28A3">
      <w:pPr>
        <w:rPr>
          <w:lang w:eastAsia="ja-JP"/>
        </w:rPr>
      </w:pPr>
    </w:p>
    <w:p w:rsidR="000F2E6D" w:rsidRDefault="000F2E6D" w:rsidP="002E4763">
      <w:pPr>
        <w:pStyle w:val="Heading1"/>
      </w:pPr>
    </w:p>
    <w:p w:rsidR="00DD28A3" w:rsidRPr="007C6528" w:rsidRDefault="00C20BAC" w:rsidP="002E4763">
      <w:pPr>
        <w:pStyle w:val="Heading1"/>
      </w:pPr>
      <w:bookmarkStart w:id="15" w:name="_Toc420078156"/>
      <w:r>
        <w:t>matters to be considered by</w:t>
      </w:r>
      <w:r w:rsidR="00DD28A3" w:rsidRPr="007C6528">
        <w:t xml:space="preserve"> </w:t>
      </w:r>
      <w:r w:rsidR="00DD28A3" w:rsidRPr="007C6528">
        <w:rPr>
          <w:rFonts w:cs="Arial" w:hint="eastAsia"/>
          <w:lang w:eastAsia="ja-JP"/>
        </w:rPr>
        <w:t>the WG-DST</w:t>
      </w:r>
      <w:bookmarkEnd w:id="15"/>
    </w:p>
    <w:p w:rsidR="00DD28A3" w:rsidRDefault="00DD28A3" w:rsidP="00DD28A3">
      <w:pPr>
        <w:keepNext/>
        <w:rPr>
          <w:rFonts w:cs="Arial"/>
          <w:lang w:eastAsia="ja-JP"/>
        </w:rPr>
      </w:pPr>
    </w:p>
    <w:p w:rsidR="00DD28A3" w:rsidRPr="004906C1" w:rsidRDefault="00DD28A3" w:rsidP="00DD28A3">
      <w:pPr>
        <w:rPr>
          <w:rFonts w:cs="Arial"/>
          <w:lang w:eastAsia="ja-JP"/>
        </w:rPr>
      </w:pPr>
      <w:r w:rsidRPr="004906C1">
        <w:rPr>
          <w:rFonts w:cs="Arial"/>
        </w:rPr>
        <w:fldChar w:fldCharType="begin"/>
      </w:r>
      <w:r w:rsidRPr="004906C1">
        <w:rPr>
          <w:rFonts w:cs="Arial"/>
        </w:rPr>
        <w:instrText xml:space="preserve"> AUTONUM  </w:instrText>
      </w:r>
      <w:r w:rsidRPr="004906C1">
        <w:rPr>
          <w:rFonts w:cs="Arial"/>
        </w:rPr>
        <w:fldChar w:fldCharType="end"/>
      </w:r>
      <w:r w:rsidRPr="004906C1">
        <w:rPr>
          <w:rFonts w:cs="Arial"/>
        </w:rPr>
        <w:tab/>
        <w:t>The CAJ-AG</w:t>
      </w:r>
      <w:r w:rsidRPr="004906C1">
        <w:rPr>
          <w:rFonts w:cs="Arial" w:hint="eastAsia"/>
          <w:lang w:eastAsia="ja-JP"/>
        </w:rPr>
        <w:t xml:space="preserve">, at its ninth session, suggested </w:t>
      </w:r>
      <w:r w:rsidRPr="004906C1">
        <w:rPr>
          <w:rFonts w:cs="Arial"/>
          <w:lang w:eastAsia="ja-JP"/>
        </w:rPr>
        <w:t>“</w:t>
      </w:r>
      <w:r w:rsidRPr="004906C1">
        <w:rPr>
          <w:snapToGrid w:val="0"/>
        </w:rPr>
        <w:t xml:space="preserve">to consider proposals in 2.3.3 of document </w:t>
      </w:r>
      <w:r w:rsidRPr="004906C1">
        <w:t>UPOV/INF/12/5 Draft 2 as an initial step to develop further guidance and appropriate examples in conjunction with the development of an effective UPOV similarity search tool</w:t>
      </w:r>
      <w:r w:rsidRPr="004906C1">
        <w:rPr>
          <w:lang w:eastAsia="ja-JP"/>
        </w:rPr>
        <w:t>”</w:t>
      </w:r>
      <w:r w:rsidR="00B11783">
        <w:rPr>
          <w:rFonts w:hint="eastAsia"/>
          <w:lang w:eastAsia="ja-JP"/>
        </w:rPr>
        <w:t xml:space="preserve"> (s</w:t>
      </w:r>
      <w:r w:rsidR="00B11783">
        <w:t xml:space="preserve">ee document </w:t>
      </w:r>
      <w:r w:rsidR="00B11783" w:rsidRPr="00DE2A64">
        <w:t>CAJ-AG/14/9/6</w:t>
      </w:r>
      <w:r w:rsidR="00B11783">
        <w:t xml:space="preserve"> “Report on the Conclusions”, paragraph 18</w:t>
      </w:r>
      <w:r w:rsidR="00B11783">
        <w:rPr>
          <w:rFonts w:hint="eastAsia"/>
          <w:lang w:eastAsia="ja-JP"/>
        </w:rPr>
        <w:t>)</w:t>
      </w:r>
      <w:r w:rsidRPr="004906C1">
        <w:rPr>
          <w:rFonts w:cs="Arial" w:hint="eastAsia"/>
          <w:lang w:eastAsia="ja-JP"/>
        </w:rPr>
        <w:t xml:space="preserve">. </w:t>
      </w:r>
    </w:p>
    <w:p w:rsidR="00C20BAC" w:rsidRDefault="00C20BAC" w:rsidP="00C20BAC">
      <w:pPr>
        <w:keepNext/>
        <w:rPr>
          <w:rFonts w:cs="Arial"/>
        </w:rPr>
      </w:pPr>
    </w:p>
    <w:p w:rsidR="000F2E6D" w:rsidRDefault="00DD28A3" w:rsidP="00C20BAC">
      <w:pPr>
        <w:keepNext/>
        <w:rPr>
          <w:lang w:eastAsia="ja-JP"/>
        </w:rPr>
      </w:pPr>
      <w:r w:rsidRPr="004A7314">
        <w:rPr>
          <w:rFonts w:cs="Arial"/>
        </w:rPr>
        <w:fldChar w:fldCharType="begin"/>
      </w:r>
      <w:r w:rsidRPr="004A7314">
        <w:rPr>
          <w:rFonts w:cs="Arial"/>
        </w:rPr>
        <w:instrText xml:space="preserve"> AUTONUM  </w:instrText>
      </w:r>
      <w:r w:rsidRPr="004A7314">
        <w:rPr>
          <w:rFonts w:cs="Arial"/>
        </w:rPr>
        <w:fldChar w:fldCharType="end"/>
      </w:r>
      <w:r w:rsidRPr="004A7314">
        <w:rPr>
          <w:rFonts w:cs="Arial"/>
        </w:rPr>
        <w:tab/>
      </w:r>
      <w:r w:rsidR="00C20BAC">
        <w:rPr>
          <w:rFonts w:cs="Arial"/>
          <w:lang w:eastAsia="ja-JP"/>
        </w:rPr>
        <w:t>T</w:t>
      </w:r>
      <w:r>
        <w:rPr>
          <w:rFonts w:cs="Arial"/>
          <w:lang w:eastAsia="ja-JP"/>
        </w:rPr>
        <w:t>he CAJ</w:t>
      </w:r>
      <w:r w:rsidR="000C6E94">
        <w:rPr>
          <w:rFonts w:cs="Arial"/>
          <w:lang w:eastAsia="ja-JP"/>
        </w:rPr>
        <w:t>, at its seventy-first session, held in Geneva, on March 26, 2015,</w:t>
      </w:r>
      <w:r>
        <w:rPr>
          <w:rFonts w:cs="Arial"/>
          <w:lang w:eastAsia="ja-JP"/>
        </w:rPr>
        <w:t xml:space="preserve"> </w:t>
      </w:r>
      <w:r w:rsidR="00C20BAC" w:rsidRPr="007528A3">
        <w:t>decided to invite the WG</w:t>
      </w:r>
      <w:r w:rsidR="000C6E94">
        <w:noBreakHyphen/>
      </w:r>
      <w:r w:rsidR="00C20BAC" w:rsidRPr="007528A3">
        <w:t>DST to consider the comments by the CAJ-AG on the proposals in document UPOV/INF/12/5 Draft 2 concerning Sections 2.2.2 (b), 2.3.1 (c) and (d), and 2.3.3,</w:t>
      </w:r>
      <w:r w:rsidR="00C20BAC" w:rsidRPr="00C20BAC">
        <w:rPr>
          <w:rFonts w:cs="Arial"/>
          <w:lang w:eastAsia="ja-JP"/>
        </w:rPr>
        <w:t xml:space="preserve"> in conjunction with the development of an effective UPOV similarity search tool, and any conclusions by the WG-DST to revise docum</w:t>
      </w:r>
      <w:r w:rsidR="00C20BAC">
        <w:rPr>
          <w:rFonts w:cs="Arial"/>
          <w:lang w:eastAsia="ja-JP"/>
        </w:rPr>
        <w:t>ent UPOV/INF/12, if appropriate</w:t>
      </w:r>
      <w:r w:rsidR="00C20BAC">
        <w:t xml:space="preserve"> </w:t>
      </w:r>
      <w:r w:rsidR="00C20BAC">
        <w:rPr>
          <w:rFonts w:cs="Arial" w:hint="eastAsia"/>
          <w:lang w:eastAsia="ja-JP"/>
        </w:rPr>
        <w:t>(</w:t>
      </w:r>
      <w:r w:rsidR="00C20BAC">
        <w:rPr>
          <w:rFonts w:hint="eastAsia"/>
          <w:lang w:eastAsia="ja-JP"/>
        </w:rPr>
        <w:t xml:space="preserve">see document CAJ/71/10 </w:t>
      </w:r>
      <w:r w:rsidR="00C20BAC">
        <w:rPr>
          <w:lang w:eastAsia="ja-JP"/>
        </w:rPr>
        <w:t>“</w:t>
      </w:r>
      <w:r w:rsidR="00C20BAC">
        <w:rPr>
          <w:rFonts w:hint="eastAsia"/>
          <w:lang w:eastAsia="ja-JP"/>
        </w:rPr>
        <w:t>Report on the Conclusions</w:t>
      </w:r>
      <w:r w:rsidR="00C20BAC">
        <w:rPr>
          <w:lang w:eastAsia="ja-JP"/>
        </w:rPr>
        <w:t>”</w:t>
      </w:r>
      <w:r w:rsidR="00C20BAC">
        <w:rPr>
          <w:rFonts w:hint="eastAsia"/>
          <w:lang w:eastAsia="ja-JP"/>
        </w:rPr>
        <w:t xml:space="preserve">, paragraph </w:t>
      </w:r>
      <w:r w:rsidR="00C20BAC">
        <w:rPr>
          <w:lang w:eastAsia="ja-JP"/>
        </w:rPr>
        <w:t>3</w:t>
      </w:r>
      <w:r w:rsidR="00C20BAC">
        <w:rPr>
          <w:rFonts w:hint="eastAsia"/>
          <w:lang w:eastAsia="ja-JP"/>
        </w:rPr>
        <w:t>5</w:t>
      </w:r>
      <w:r w:rsidR="000F2E6D">
        <w:rPr>
          <w:lang w:eastAsia="ja-JP"/>
        </w:rPr>
        <w:t>).  The relevant comments of the CAJ-AG are reproduced below.</w:t>
      </w:r>
    </w:p>
    <w:p w:rsidR="00B92451" w:rsidRDefault="00B92451" w:rsidP="00B92451">
      <w:pPr>
        <w:keepNext/>
        <w:ind w:firstLine="567"/>
        <w:rPr>
          <w:rFonts w:cs="Arial"/>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B92451" w:rsidRPr="000F2E6D" w:rsidTr="00A56B17">
        <w:trPr>
          <w:cantSplit/>
        </w:trPr>
        <w:tc>
          <w:tcPr>
            <w:tcW w:w="1391" w:type="dxa"/>
          </w:tcPr>
          <w:p w:rsidR="00B92451" w:rsidRPr="000F2E6D" w:rsidRDefault="00B92451" w:rsidP="00A56B17">
            <w:pPr>
              <w:rPr>
                <w:rFonts w:cs="Arial"/>
              </w:rPr>
            </w:pPr>
            <w:r w:rsidRPr="000F2E6D">
              <w:t>2.2.2 (b)</w:t>
            </w:r>
          </w:p>
        </w:tc>
        <w:tc>
          <w:tcPr>
            <w:tcW w:w="7789" w:type="dxa"/>
          </w:tcPr>
          <w:p w:rsidR="00B92451" w:rsidRPr="000F2E6D" w:rsidRDefault="00B92451" w:rsidP="00A56B17">
            <w:pPr>
              <w:rPr>
                <w:snapToGrid w:val="0"/>
              </w:rPr>
            </w:pPr>
            <w:r w:rsidRPr="000F2E6D">
              <w:rPr>
                <w:snapToGrid w:val="0"/>
              </w:rPr>
              <w:t xml:space="preserve">To clarify the terminology in </w:t>
            </w:r>
            <w:r w:rsidRPr="000F2E6D">
              <w:t>2.2.2 (b)</w:t>
            </w:r>
            <w:r w:rsidRPr="000F2E6D">
              <w:rPr>
                <w:snapToGrid w:val="0"/>
              </w:rPr>
              <w:t>.  In particular, to consider changing the examples or replacing “species” by “genera” or “taxa” in the following sentence:</w:t>
            </w:r>
          </w:p>
          <w:p w:rsidR="00B92451" w:rsidRPr="000F2E6D" w:rsidRDefault="00B92451" w:rsidP="00A56B17">
            <w:pPr>
              <w:rPr>
                <w:snapToGrid w:val="0"/>
              </w:rPr>
            </w:pPr>
          </w:p>
          <w:p w:rsidR="00B92451" w:rsidRPr="000F2E6D" w:rsidRDefault="00B92451" w:rsidP="00A56B17">
            <w:pPr>
              <w:rPr>
                <w:snapToGrid w:val="0"/>
              </w:rPr>
            </w:pPr>
            <w:r w:rsidRPr="000F2E6D">
              <w:rPr>
                <w:snapToGrid w:val="0"/>
              </w:rPr>
              <w:t>“</w:t>
            </w:r>
            <w:r w:rsidRPr="000F2E6D">
              <w:rPr>
                <w:color w:val="000000"/>
              </w:rPr>
              <w:t>(b)</w:t>
            </w:r>
            <w:r w:rsidRPr="000F2E6D">
              <w:rPr>
                <w:color w:val="000000"/>
              </w:rPr>
              <w:tab/>
            </w:r>
            <w:proofErr w:type="gramStart"/>
            <w:r w:rsidRPr="000F2E6D">
              <w:rPr>
                <w:color w:val="000000"/>
              </w:rPr>
              <w:t>accepted</w:t>
            </w:r>
            <w:proofErr w:type="gramEnd"/>
            <w:r w:rsidRPr="000F2E6D">
              <w:rPr>
                <w:color w:val="000000"/>
              </w:rPr>
              <w:t xml:space="preserve"> market practices for particular variety types (e.g. hybrids) and particular species (e.g. </w:t>
            </w:r>
            <w:proofErr w:type="spellStart"/>
            <w:r w:rsidRPr="000F2E6D">
              <w:rPr>
                <w:color w:val="000000"/>
              </w:rPr>
              <w:t>Medicago</w:t>
            </w:r>
            <w:proofErr w:type="spellEnd"/>
            <w:r w:rsidRPr="000F2E6D">
              <w:rPr>
                <w:color w:val="000000"/>
              </w:rPr>
              <w:t>, Helianthus).</w:t>
            </w:r>
          </w:p>
        </w:tc>
      </w:tr>
      <w:tr w:rsidR="00B92451" w:rsidRPr="000F2E6D" w:rsidTr="00A56B17">
        <w:trPr>
          <w:cantSplit/>
        </w:trPr>
        <w:tc>
          <w:tcPr>
            <w:tcW w:w="1391" w:type="dxa"/>
            <w:tcBorders>
              <w:top w:val="single" w:sz="4" w:space="0" w:color="auto"/>
              <w:left w:val="single" w:sz="4" w:space="0" w:color="auto"/>
              <w:bottom w:val="single" w:sz="4" w:space="0" w:color="auto"/>
              <w:right w:val="single" w:sz="4" w:space="0" w:color="auto"/>
            </w:tcBorders>
          </w:tcPr>
          <w:p w:rsidR="00B92451" w:rsidRPr="000F2E6D" w:rsidRDefault="00B92451" w:rsidP="00A56B17">
            <w:pPr>
              <w:rPr>
                <w:rFonts w:cs="Arial"/>
              </w:rPr>
            </w:pPr>
            <w:r w:rsidRPr="000F2E6D">
              <w:rPr>
                <w:rFonts w:cs="Arial"/>
              </w:rPr>
              <w:lastRenderedPageBreak/>
              <w:t>2.3.1 (c)</w:t>
            </w:r>
          </w:p>
        </w:tc>
        <w:tc>
          <w:tcPr>
            <w:tcW w:w="7789" w:type="dxa"/>
            <w:tcBorders>
              <w:top w:val="single" w:sz="4" w:space="0" w:color="auto"/>
              <w:left w:val="single" w:sz="4" w:space="0" w:color="auto"/>
              <w:bottom w:val="single" w:sz="4" w:space="0" w:color="auto"/>
              <w:right w:val="single" w:sz="4" w:space="0" w:color="auto"/>
            </w:tcBorders>
          </w:tcPr>
          <w:p w:rsidR="00B92451" w:rsidRPr="000F2E6D" w:rsidRDefault="00B92451" w:rsidP="00A56B17">
            <w:pPr>
              <w:rPr>
                <w:rFonts w:cs="Arial"/>
              </w:rPr>
            </w:pPr>
            <w:r w:rsidRPr="000F2E6D">
              <w:rPr>
                <w:rFonts w:cs="Arial"/>
              </w:rPr>
              <w:t>To develop further guidance on 2.3.1 (c) and to provide other, more appropriate examples</w:t>
            </w:r>
          </w:p>
          <w:p w:rsidR="00B92451" w:rsidRPr="000F2E6D" w:rsidRDefault="00B92451" w:rsidP="00A56B17">
            <w:pPr>
              <w:rPr>
                <w:rFonts w:cs="Arial"/>
              </w:rPr>
            </w:pPr>
          </w:p>
          <w:p w:rsidR="00B92451" w:rsidRPr="000F2E6D" w:rsidRDefault="00B92451" w:rsidP="00A56B17">
            <w:pPr>
              <w:rPr>
                <w:rFonts w:cs="Arial"/>
              </w:rPr>
            </w:pPr>
            <w:r w:rsidRPr="000F2E6D">
              <w:rPr>
                <w:rFonts w:cs="Arial"/>
              </w:rPr>
              <w:t>“(c)</w:t>
            </w:r>
            <w:r w:rsidRPr="000F2E6D">
              <w:rPr>
                <w:rFonts w:cs="Arial"/>
              </w:rPr>
              <w:tab/>
              <w:t>convey the impression that the variety is derived from, or related to, another variety when that is not, in fact, the case;</w:t>
            </w:r>
          </w:p>
          <w:p w:rsidR="00B92451" w:rsidRPr="000F2E6D" w:rsidRDefault="00B92451" w:rsidP="00A56B17">
            <w:pPr>
              <w:rPr>
                <w:rFonts w:cs="Arial"/>
              </w:rPr>
            </w:pPr>
          </w:p>
          <w:p w:rsidR="00B92451" w:rsidRPr="000F2E6D" w:rsidRDefault="00B92451" w:rsidP="00A56B17">
            <w:pPr>
              <w:rPr>
                <w:rFonts w:cs="Arial"/>
              </w:rPr>
            </w:pPr>
            <w:r w:rsidRPr="000F2E6D">
              <w:rPr>
                <w:rFonts w:cs="Arial"/>
              </w:rPr>
              <w:t>Example: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B92451" w:rsidRPr="000F2E6D" w:rsidTr="00A56B17">
        <w:trPr>
          <w:cantSplit/>
        </w:trPr>
        <w:tc>
          <w:tcPr>
            <w:tcW w:w="1391" w:type="dxa"/>
            <w:tcBorders>
              <w:top w:val="single" w:sz="4" w:space="0" w:color="auto"/>
              <w:left w:val="single" w:sz="4" w:space="0" w:color="auto"/>
              <w:bottom w:val="single" w:sz="4" w:space="0" w:color="auto"/>
              <w:right w:val="single" w:sz="4" w:space="0" w:color="auto"/>
            </w:tcBorders>
          </w:tcPr>
          <w:p w:rsidR="00B92451" w:rsidRPr="000F2E6D" w:rsidRDefault="00B92451" w:rsidP="00A56B17">
            <w:pPr>
              <w:rPr>
                <w:rFonts w:cs="Arial"/>
              </w:rPr>
            </w:pPr>
            <w:r w:rsidRPr="000F2E6D">
              <w:rPr>
                <w:rFonts w:cs="Arial"/>
              </w:rPr>
              <w:t>2.3.1 (d)</w:t>
            </w:r>
          </w:p>
        </w:tc>
        <w:tc>
          <w:tcPr>
            <w:tcW w:w="7789" w:type="dxa"/>
            <w:tcBorders>
              <w:top w:val="single" w:sz="4" w:space="0" w:color="auto"/>
              <w:left w:val="single" w:sz="4" w:space="0" w:color="auto"/>
              <w:bottom w:val="single" w:sz="4" w:space="0" w:color="auto"/>
              <w:right w:val="single" w:sz="4" w:space="0" w:color="auto"/>
            </w:tcBorders>
          </w:tcPr>
          <w:p w:rsidR="00B92451" w:rsidRPr="000F2E6D" w:rsidRDefault="00B92451" w:rsidP="00A56B17">
            <w:pPr>
              <w:rPr>
                <w:rFonts w:cs="Arial"/>
              </w:rPr>
            </w:pPr>
            <w:r w:rsidRPr="000F2E6D">
              <w:rPr>
                <w:rFonts w:cs="Arial"/>
              </w:rPr>
              <w:t>To add 2.3.1 (d) as follows:</w:t>
            </w:r>
          </w:p>
          <w:p w:rsidR="00B92451" w:rsidRPr="000F2E6D" w:rsidRDefault="00B92451" w:rsidP="00A56B17">
            <w:pPr>
              <w:rPr>
                <w:rFonts w:cs="Arial"/>
              </w:rPr>
            </w:pPr>
          </w:p>
          <w:p w:rsidR="00B92451" w:rsidRPr="000F2E6D" w:rsidRDefault="00B92451" w:rsidP="00A56B17">
            <w:pPr>
              <w:rPr>
                <w:rFonts w:cs="Arial"/>
              </w:rPr>
            </w:pPr>
            <w:r w:rsidRPr="000F2E6D">
              <w:rPr>
                <w:rFonts w:cs="Arial"/>
              </w:rPr>
              <w:t xml:space="preserve">“(d) </w:t>
            </w:r>
            <w:r w:rsidRPr="000F2E6D">
              <w:rPr>
                <w:rFonts w:cs="Arial"/>
              </w:rPr>
              <w:tab/>
            </w:r>
            <w:proofErr w:type="gramStart"/>
            <w:r w:rsidRPr="000F2E6D">
              <w:rPr>
                <w:rFonts w:cs="Arial"/>
              </w:rPr>
              <w:t>contain</w:t>
            </w:r>
            <w:proofErr w:type="gramEnd"/>
            <w:r w:rsidRPr="000F2E6D">
              <w:rPr>
                <w:rFonts w:cs="Arial"/>
              </w:rPr>
              <w:t xml:space="preserve"> the botanical or common name of the genus to which that variety belongs. The identity of the denomination and that of the genus to which it belongs could become unclear and confusing.”</w:t>
            </w:r>
          </w:p>
          <w:p w:rsidR="00B92451" w:rsidRPr="000F2E6D" w:rsidRDefault="00B92451" w:rsidP="00A56B17">
            <w:pPr>
              <w:rPr>
                <w:rFonts w:cs="Arial"/>
              </w:rPr>
            </w:pPr>
          </w:p>
          <w:p w:rsidR="00B92451" w:rsidRPr="000F2E6D" w:rsidRDefault="00B92451" w:rsidP="00A56B17">
            <w:pPr>
              <w:rPr>
                <w:rFonts w:cs="Arial"/>
              </w:rPr>
            </w:pPr>
            <w:r w:rsidRPr="000F2E6D">
              <w:rPr>
                <w:rFonts w:cs="Arial"/>
              </w:rPr>
              <w:t>To clarify the following example:</w:t>
            </w:r>
          </w:p>
          <w:p w:rsidR="00B92451" w:rsidRPr="000F2E6D" w:rsidRDefault="00B92451" w:rsidP="00A56B17">
            <w:pPr>
              <w:rPr>
                <w:rFonts w:cs="Arial"/>
              </w:rPr>
            </w:pPr>
          </w:p>
          <w:p w:rsidR="00B92451" w:rsidRPr="000F2E6D" w:rsidRDefault="00B92451" w:rsidP="00A56B17">
            <w:pPr>
              <w:rPr>
                <w:rFonts w:cs="Arial"/>
              </w:rPr>
            </w:pPr>
            <w:r w:rsidRPr="000F2E6D">
              <w:rPr>
                <w:rFonts w:cs="Arial"/>
              </w:rPr>
              <w:t xml:space="preserve">“Example:  </w:t>
            </w:r>
            <w:proofErr w:type="spellStart"/>
            <w:r w:rsidRPr="000F2E6D">
              <w:rPr>
                <w:rFonts w:cs="Arial"/>
              </w:rPr>
              <w:t>Carex</w:t>
            </w:r>
            <w:proofErr w:type="spellEnd"/>
            <w:r w:rsidRPr="000F2E6D">
              <w:rPr>
                <w:rFonts w:cs="Arial"/>
              </w:rPr>
              <w:t xml:space="preserve"> variety ‘Sedge’. This could possibly be referred to as ‘Sedge’ </w:t>
            </w:r>
            <w:proofErr w:type="spellStart"/>
            <w:r w:rsidRPr="000F2E6D">
              <w:rPr>
                <w:rFonts w:cs="Arial"/>
              </w:rPr>
              <w:t>Carex</w:t>
            </w:r>
            <w:proofErr w:type="spellEnd"/>
            <w:r w:rsidRPr="000F2E6D">
              <w:rPr>
                <w:rFonts w:cs="Arial"/>
              </w:rPr>
              <w:t xml:space="preserve"> and without the use of italics or single quotes the identity of the denomination and the genus may not be clear.”</w:t>
            </w:r>
          </w:p>
          <w:p w:rsidR="00B92451" w:rsidRPr="000F2E6D" w:rsidRDefault="00B92451" w:rsidP="00A56B17">
            <w:pPr>
              <w:rPr>
                <w:rFonts w:cs="Arial"/>
              </w:rPr>
            </w:pPr>
          </w:p>
          <w:p w:rsidR="00B92451" w:rsidRPr="000F2E6D" w:rsidRDefault="00B92451" w:rsidP="00A56B17">
            <w:pPr>
              <w:rPr>
                <w:rFonts w:cs="Arial"/>
              </w:rPr>
            </w:pPr>
            <w:r w:rsidRPr="000F2E6D">
              <w:rPr>
                <w:rFonts w:cs="Arial"/>
              </w:rPr>
              <w:t>To develop guidance on possible confusion of the use of the botanical or common name of a genus to which that variety does not belong – case by case</w:t>
            </w:r>
          </w:p>
        </w:tc>
      </w:tr>
      <w:tr w:rsidR="00B92451" w:rsidRPr="00482F75" w:rsidTr="00A56B17">
        <w:trPr>
          <w:cantSplit/>
        </w:trPr>
        <w:tc>
          <w:tcPr>
            <w:tcW w:w="1391" w:type="dxa"/>
            <w:tcBorders>
              <w:top w:val="single" w:sz="4" w:space="0" w:color="auto"/>
              <w:left w:val="single" w:sz="4" w:space="0" w:color="auto"/>
              <w:bottom w:val="single" w:sz="4" w:space="0" w:color="auto"/>
              <w:right w:val="single" w:sz="4" w:space="0" w:color="auto"/>
            </w:tcBorders>
          </w:tcPr>
          <w:p w:rsidR="00B92451" w:rsidRPr="000F2E6D" w:rsidRDefault="00B92451" w:rsidP="00A56B17">
            <w:pPr>
              <w:rPr>
                <w:rFonts w:cs="Arial"/>
              </w:rPr>
            </w:pPr>
            <w:r w:rsidRPr="000F2E6D">
              <w:rPr>
                <w:rFonts w:cs="Arial"/>
              </w:rPr>
              <w:t>2.3.3</w:t>
            </w:r>
          </w:p>
        </w:tc>
        <w:tc>
          <w:tcPr>
            <w:tcW w:w="7789" w:type="dxa"/>
            <w:tcBorders>
              <w:top w:val="single" w:sz="4" w:space="0" w:color="auto"/>
              <w:left w:val="single" w:sz="4" w:space="0" w:color="auto"/>
              <w:bottom w:val="single" w:sz="4" w:space="0" w:color="auto"/>
              <w:right w:val="single" w:sz="4" w:space="0" w:color="auto"/>
            </w:tcBorders>
          </w:tcPr>
          <w:p w:rsidR="00B92451" w:rsidRPr="002F7364" w:rsidRDefault="00B92451" w:rsidP="00A56B17">
            <w:pPr>
              <w:rPr>
                <w:rFonts w:cs="Arial"/>
              </w:rPr>
            </w:pPr>
            <w:r w:rsidRPr="000F2E6D">
              <w:rPr>
                <w:rFonts w:cs="Arial"/>
              </w:rPr>
              <w:t>To consider proposals in 2.3.3 of document UPOV/INF/12/5 Draft 2 as an initial step to develop further guidance and appropriate examples in conjunction with the development of an effective UPOV similarity search tool</w:t>
            </w:r>
          </w:p>
        </w:tc>
      </w:tr>
    </w:tbl>
    <w:p w:rsidR="00B92451" w:rsidRDefault="00B92451" w:rsidP="00B92451">
      <w:pPr>
        <w:rPr>
          <w:lang w:eastAsia="ja-JP"/>
        </w:rPr>
      </w:pPr>
    </w:p>
    <w:p w:rsidR="00421C1B" w:rsidRDefault="00421C1B" w:rsidP="00C20BAC">
      <w:pPr>
        <w:keepNext/>
        <w:rPr>
          <w:rFonts w:cs="Arial"/>
          <w:lang w:eastAsia="ja-JP"/>
        </w:rPr>
      </w:pPr>
    </w:p>
    <w:p w:rsidR="00421C1B" w:rsidRDefault="00421C1B" w:rsidP="00C20BAC">
      <w:pPr>
        <w:keepNext/>
        <w:rPr>
          <w:rFonts w:cs="Arial"/>
          <w:lang w:eastAsia="ja-JP"/>
        </w:rPr>
      </w:pPr>
      <w:r w:rsidRPr="004A7314">
        <w:rPr>
          <w:rFonts w:cs="Arial"/>
        </w:rPr>
        <w:fldChar w:fldCharType="begin"/>
      </w:r>
      <w:r w:rsidRPr="004A7314">
        <w:rPr>
          <w:rFonts w:cs="Arial"/>
        </w:rPr>
        <w:instrText xml:space="preserve"> AUTONUM  </w:instrText>
      </w:r>
      <w:r w:rsidRPr="004A7314">
        <w:rPr>
          <w:rFonts w:cs="Arial"/>
        </w:rPr>
        <w:fldChar w:fldCharType="end"/>
      </w:r>
      <w:r w:rsidRPr="004A7314">
        <w:rPr>
          <w:rFonts w:cs="Arial"/>
        </w:rPr>
        <w:tab/>
      </w:r>
      <w:r w:rsidR="006A1B87">
        <w:rPr>
          <w:rFonts w:cs="Arial" w:hint="eastAsia"/>
          <w:lang w:eastAsia="ja-JP"/>
        </w:rPr>
        <w:t xml:space="preserve">To facilitate consideration by the WG-DST, </w:t>
      </w:r>
      <w:r w:rsidR="000F2E6D">
        <w:rPr>
          <w:rFonts w:cs="Arial"/>
          <w:lang w:eastAsia="ja-JP"/>
        </w:rPr>
        <w:t xml:space="preserve">relevant </w:t>
      </w:r>
      <w:r w:rsidR="006A1B87">
        <w:rPr>
          <w:rFonts w:cs="Arial" w:hint="eastAsia"/>
          <w:lang w:eastAsia="ja-JP"/>
        </w:rPr>
        <w:t>extract</w:t>
      </w:r>
      <w:r w:rsidR="000F2E6D">
        <w:rPr>
          <w:rFonts w:cs="Arial"/>
          <w:lang w:eastAsia="ja-JP"/>
        </w:rPr>
        <w:t>s</w:t>
      </w:r>
      <w:r>
        <w:rPr>
          <w:rFonts w:cs="Arial" w:hint="eastAsia"/>
          <w:lang w:eastAsia="ja-JP"/>
        </w:rPr>
        <w:t xml:space="preserve"> of </w:t>
      </w:r>
      <w:r w:rsidRPr="007528A3">
        <w:t>document UPOV/INF/12/</w:t>
      </w:r>
      <w:r w:rsidR="000F2E6D">
        <w:t xml:space="preserve">4 concerning Sections 2.2 and </w:t>
      </w:r>
      <w:r w:rsidRPr="007528A3">
        <w:t>2.3</w:t>
      </w:r>
      <w:r>
        <w:rPr>
          <w:rFonts w:hint="eastAsia"/>
          <w:lang w:eastAsia="ja-JP"/>
        </w:rPr>
        <w:t>.1 are reproduced as Annex I and II, respectively.</w:t>
      </w:r>
      <w:r w:rsidR="000F2E6D">
        <w:rPr>
          <w:lang w:eastAsia="ja-JP"/>
        </w:rPr>
        <w:t xml:space="preserve">  </w:t>
      </w:r>
      <w:r w:rsidR="000F2E6D">
        <w:rPr>
          <w:rFonts w:cs="Arial" w:hint="eastAsia"/>
          <w:lang w:eastAsia="ja-JP"/>
        </w:rPr>
        <w:t>To facilitate consideration by the WG</w:t>
      </w:r>
      <w:r w:rsidR="009F6D36">
        <w:rPr>
          <w:rFonts w:cs="Arial"/>
          <w:lang w:eastAsia="ja-JP"/>
        </w:rPr>
        <w:noBreakHyphen/>
      </w:r>
      <w:r w:rsidR="000F2E6D">
        <w:rPr>
          <w:rFonts w:cs="Arial" w:hint="eastAsia"/>
          <w:lang w:eastAsia="ja-JP"/>
        </w:rPr>
        <w:t xml:space="preserve">DST, </w:t>
      </w:r>
      <w:r w:rsidR="000F2E6D">
        <w:rPr>
          <w:rFonts w:cs="Arial"/>
          <w:lang w:eastAsia="ja-JP"/>
        </w:rPr>
        <w:t xml:space="preserve">relevant </w:t>
      </w:r>
      <w:r w:rsidR="000F2E6D">
        <w:rPr>
          <w:rFonts w:cs="Arial" w:hint="eastAsia"/>
          <w:lang w:eastAsia="ja-JP"/>
        </w:rPr>
        <w:t>extract</w:t>
      </w:r>
      <w:r w:rsidR="000F2E6D">
        <w:rPr>
          <w:rFonts w:cs="Arial"/>
          <w:lang w:eastAsia="ja-JP"/>
        </w:rPr>
        <w:t>s</w:t>
      </w:r>
      <w:r w:rsidR="000F2E6D">
        <w:rPr>
          <w:rFonts w:cs="Arial" w:hint="eastAsia"/>
          <w:lang w:eastAsia="ja-JP"/>
        </w:rPr>
        <w:t xml:space="preserve"> </w:t>
      </w:r>
      <w:r w:rsidR="0087054D">
        <w:rPr>
          <w:rFonts w:cs="Arial" w:hint="eastAsia"/>
          <w:lang w:eastAsia="ja-JP"/>
        </w:rPr>
        <w:t>concerning</w:t>
      </w:r>
      <w:r w:rsidR="009F6D36">
        <w:rPr>
          <w:rFonts w:cs="Arial" w:hint="eastAsia"/>
          <w:lang w:eastAsia="ja-JP"/>
        </w:rPr>
        <w:t xml:space="preserve"> Section 2.3.3. </w:t>
      </w:r>
      <w:proofErr w:type="gramStart"/>
      <w:r w:rsidR="000F2E6D">
        <w:rPr>
          <w:rFonts w:cs="Arial" w:hint="eastAsia"/>
          <w:lang w:eastAsia="ja-JP"/>
        </w:rPr>
        <w:t>of</w:t>
      </w:r>
      <w:proofErr w:type="gramEnd"/>
      <w:r w:rsidR="000F2E6D">
        <w:rPr>
          <w:rFonts w:cs="Arial" w:hint="eastAsia"/>
          <w:lang w:eastAsia="ja-JP"/>
        </w:rPr>
        <w:t xml:space="preserve"> </w:t>
      </w:r>
      <w:r w:rsidR="000F2E6D" w:rsidRPr="007528A3">
        <w:t>document UPOV/INF/12/</w:t>
      </w:r>
      <w:r w:rsidR="000F2E6D">
        <w:t xml:space="preserve">5 Draft 2 </w:t>
      </w:r>
      <w:r w:rsidR="009F6D36">
        <w:rPr>
          <w:rFonts w:hint="eastAsia"/>
          <w:lang w:eastAsia="ja-JP"/>
        </w:rPr>
        <w:t>are</w:t>
      </w:r>
      <w:r w:rsidR="000F2E6D">
        <w:t xml:space="preserve"> reproduced in Annex III to this document.</w:t>
      </w:r>
    </w:p>
    <w:p w:rsidR="00DD28A3" w:rsidRPr="008874D6" w:rsidRDefault="00DD28A3" w:rsidP="00DD28A3">
      <w:pPr>
        <w:rPr>
          <w:lang w:eastAsia="ja-JP"/>
        </w:rPr>
      </w:pPr>
    </w:p>
    <w:p w:rsidR="008874D6" w:rsidRDefault="008874D6" w:rsidP="00421C1B">
      <w:pPr>
        <w:pStyle w:val="dec"/>
        <w:tabs>
          <w:tab w:val="left" w:pos="5387"/>
          <w:tab w:val="left" w:pos="5954"/>
        </w:tabs>
        <w:ind w:left="4820"/>
        <w:rPr>
          <w:lang w:eastAsia="ja-JP"/>
        </w:rPr>
      </w:pPr>
      <w:r w:rsidRPr="001960CC">
        <w:fldChar w:fldCharType="begin"/>
      </w:r>
      <w:r w:rsidRPr="001960CC">
        <w:instrText xml:space="preserve"> AUTONUM  </w:instrText>
      </w:r>
      <w:r w:rsidRPr="001960CC">
        <w:fldChar w:fldCharType="end"/>
      </w:r>
      <w:r w:rsidRPr="001960CC">
        <w:tab/>
      </w:r>
      <w:r w:rsidR="00B11783" w:rsidRPr="00B11783">
        <w:rPr>
          <w:color w:val="000000" w:themeColor="text1"/>
          <w:spacing w:val="0"/>
        </w:rPr>
        <w:t xml:space="preserve">The WG-DST is invited to consider </w:t>
      </w:r>
      <w:r w:rsidR="00B11783" w:rsidRPr="0016444B">
        <w:rPr>
          <w:color w:val="000000" w:themeColor="text1"/>
          <w:spacing w:val="0"/>
        </w:rPr>
        <w:t xml:space="preserve">the </w:t>
      </w:r>
      <w:r w:rsidR="00513F90" w:rsidRPr="0016444B">
        <w:rPr>
          <w:color w:val="000000" w:themeColor="text1"/>
          <w:spacing w:val="0"/>
        </w:rPr>
        <w:t xml:space="preserve">request </w:t>
      </w:r>
      <w:r w:rsidR="00B11783" w:rsidRPr="0016444B">
        <w:rPr>
          <w:color w:val="000000" w:themeColor="text1"/>
          <w:spacing w:val="0"/>
        </w:rPr>
        <w:t xml:space="preserve">by the CAJ, at its seventy-first session, </w:t>
      </w:r>
      <w:r w:rsidR="00513F90" w:rsidRPr="0016444B">
        <w:rPr>
          <w:color w:val="000000" w:themeColor="text1"/>
          <w:spacing w:val="0"/>
        </w:rPr>
        <w:t xml:space="preserve">to consider the comments by the CAJ-AG </w:t>
      </w:r>
      <w:r w:rsidR="00B11783" w:rsidRPr="0016444B">
        <w:rPr>
          <w:color w:val="000000" w:themeColor="text1"/>
          <w:spacing w:val="0"/>
        </w:rPr>
        <w:t>on the proposals in document UPOV/INF/12/5 Draft 2 concerning Sections 2.2.2 (b), 2.3.1 (c) and (d), and 2.3.</w:t>
      </w:r>
      <w:r w:rsidR="00B11783" w:rsidRPr="00B11783">
        <w:rPr>
          <w:color w:val="000000" w:themeColor="text1"/>
          <w:spacing w:val="0"/>
        </w:rPr>
        <w:t>3.</w:t>
      </w:r>
      <w:r w:rsidR="00B11783">
        <w:rPr>
          <w:rFonts w:hint="eastAsia"/>
          <w:color w:val="000000" w:themeColor="text1"/>
          <w:spacing w:val="0"/>
          <w:lang w:eastAsia="ja-JP"/>
        </w:rPr>
        <w:t>,</w:t>
      </w:r>
      <w:r w:rsidRPr="00F72ADF">
        <w:rPr>
          <w:rFonts w:cs="Arial"/>
          <w:lang w:eastAsia="ja-JP"/>
        </w:rPr>
        <w:t xml:space="preserve"> as set out in </w:t>
      </w:r>
      <w:r>
        <w:rPr>
          <w:rFonts w:cs="Arial"/>
          <w:lang w:eastAsia="ja-JP"/>
        </w:rPr>
        <w:t>paragraph</w:t>
      </w:r>
      <w:r w:rsidR="0016444B">
        <w:rPr>
          <w:rFonts w:cs="Arial"/>
          <w:lang w:eastAsia="ja-JP"/>
        </w:rPr>
        <w:t xml:space="preserve"> 9</w:t>
      </w:r>
      <w:r w:rsidR="00513F90">
        <w:rPr>
          <w:rFonts w:cs="Arial"/>
          <w:lang w:eastAsia="ja-JP"/>
        </w:rPr>
        <w:t xml:space="preserve"> </w:t>
      </w:r>
      <w:r w:rsidRPr="000E42F8">
        <w:rPr>
          <w:rFonts w:cs="Arial"/>
          <w:lang w:eastAsia="ja-JP"/>
        </w:rPr>
        <w:t>above</w:t>
      </w:r>
      <w:r>
        <w:rPr>
          <w:rFonts w:cs="Arial" w:hint="eastAsia"/>
          <w:lang w:eastAsia="ja-JP"/>
        </w:rPr>
        <w:t>.</w:t>
      </w:r>
    </w:p>
    <w:p w:rsidR="000E6CE9" w:rsidRDefault="000E6CE9" w:rsidP="00DD28A3">
      <w:pPr>
        <w:keepNext/>
        <w:rPr>
          <w:lang w:eastAsia="ja-JP"/>
        </w:rPr>
      </w:pPr>
    </w:p>
    <w:p w:rsidR="000E6CE9" w:rsidRDefault="000E6CE9" w:rsidP="00DD28A3">
      <w:pPr>
        <w:keepNext/>
        <w:rPr>
          <w:lang w:eastAsia="ja-JP"/>
        </w:rPr>
      </w:pPr>
    </w:p>
    <w:p w:rsidR="000E6CE9" w:rsidRDefault="000E6CE9" w:rsidP="000E6CE9">
      <w:pPr>
        <w:keepNext/>
        <w:jc w:val="right"/>
        <w:rPr>
          <w:lang w:eastAsia="ja-JP"/>
        </w:rPr>
      </w:pPr>
      <w:r>
        <w:rPr>
          <w:rFonts w:hint="eastAsia"/>
          <w:lang w:eastAsia="ja-JP"/>
        </w:rPr>
        <w:t>[Annex follows]</w:t>
      </w:r>
    </w:p>
    <w:p w:rsidR="000E6CE9" w:rsidRDefault="000E6CE9" w:rsidP="000E6CE9">
      <w:pPr>
        <w:keepNext/>
        <w:jc w:val="right"/>
        <w:rPr>
          <w:lang w:eastAsia="ja-JP"/>
        </w:rPr>
        <w:sectPr w:rsidR="000E6CE9" w:rsidSect="008874D6">
          <w:headerReference w:type="default" r:id="rId13"/>
          <w:headerReference w:type="first" r:id="rId14"/>
          <w:pgSz w:w="11907" w:h="16840" w:code="9"/>
          <w:pgMar w:top="510" w:right="1134" w:bottom="1134" w:left="1134" w:header="510" w:footer="680" w:gutter="0"/>
          <w:cols w:space="720"/>
          <w:titlePg/>
        </w:sectPr>
      </w:pPr>
    </w:p>
    <w:p w:rsidR="000C6E94" w:rsidRDefault="000C6E94" w:rsidP="000C6E94">
      <w:pPr>
        <w:jc w:val="center"/>
      </w:pPr>
      <w:r w:rsidRPr="000C6E94">
        <w:lastRenderedPageBreak/>
        <w:t>E</w:t>
      </w:r>
      <w:r>
        <w:t>X</w:t>
      </w:r>
      <w:r w:rsidRPr="000C6E94">
        <w:t xml:space="preserve">TRACT </w:t>
      </w:r>
      <w:r w:rsidR="00661B80" w:rsidRPr="000F2E6D">
        <w:t>FROM</w:t>
      </w:r>
      <w:r w:rsidR="00661B80">
        <w:t xml:space="preserve"> </w:t>
      </w:r>
      <w:r w:rsidRPr="000C6E94">
        <w:t>DOCUMENT UPOV/INF/12/</w:t>
      </w:r>
      <w:r w:rsidR="000F2E6D">
        <w:t>4</w:t>
      </w:r>
      <w:r w:rsidRPr="000C6E94">
        <w:t xml:space="preserve"> “EXPLANATORY NOTES ON</w:t>
      </w:r>
      <w:r>
        <w:t xml:space="preserve"> </w:t>
      </w:r>
      <w:r w:rsidRPr="000C6E94">
        <w:t>VARIETY DENOMINATIONS</w:t>
      </w:r>
      <w:r>
        <w:t xml:space="preserve"> </w:t>
      </w:r>
      <w:r w:rsidRPr="000C6E94">
        <w:t>UNDER THE UPOV CONVENTION”</w:t>
      </w:r>
      <w:r w:rsidR="00421C1B">
        <w:rPr>
          <w:rFonts w:hint="eastAsia"/>
          <w:lang w:eastAsia="ja-JP"/>
        </w:rPr>
        <w:t>, SECTION 2.2</w:t>
      </w:r>
      <w:r w:rsidRPr="000C6E94">
        <w:br/>
      </w:r>
      <w:r w:rsidR="000E6CE9" w:rsidRPr="00CA68F6">
        <w:br/>
      </w:r>
    </w:p>
    <w:p w:rsidR="000E6CE9" w:rsidRPr="00407B23" w:rsidRDefault="000E6CE9" w:rsidP="000E6CE9"/>
    <w:p w:rsidR="000E6CE9" w:rsidRPr="00407B23" w:rsidRDefault="000E6CE9" w:rsidP="000E6CE9">
      <w:pPr>
        <w:keepNext/>
        <w:jc w:val="center"/>
        <w:rPr>
          <w:b/>
        </w:rPr>
      </w:pPr>
      <w:r w:rsidRPr="00407B23">
        <w:rPr>
          <w:b/>
        </w:rPr>
        <w:t>Paragraph 2</w:t>
      </w:r>
    </w:p>
    <w:p w:rsidR="000E6CE9" w:rsidRPr="00407B23" w:rsidRDefault="000E6CE9" w:rsidP="000E6CE9">
      <w:pPr>
        <w:keepNext/>
        <w:jc w:val="center"/>
        <w:rPr>
          <w:b/>
        </w:rPr>
      </w:pPr>
    </w:p>
    <w:p w:rsidR="000E6CE9" w:rsidRPr="00407B23" w:rsidRDefault="000E6CE9" w:rsidP="000E6CE9">
      <w:pPr>
        <w:ind w:firstLine="567"/>
        <w:rPr>
          <w:b/>
        </w:rPr>
      </w:pPr>
      <w:r w:rsidRPr="00407B23">
        <w:rPr>
          <w:b/>
        </w:rPr>
        <w:t>[</w:t>
      </w:r>
      <w:r w:rsidRPr="00407B23">
        <w:rPr>
          <w:b/>
          <w:i/>
        </w:rPr>
        <w:t>Characteristics of the denomination</w:t>
      </w:r>
      <w:r w:rsidRPr="00407B23">
        <w:rPr>
          <w:b/>
        </w:rPr>
        <w:t xml:space="preserve">]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w:t>
      </w:r>
      <w:smartTag w:uri="urn:schemas-microsoft-com:office:smarttags" w:element="place">
        <w:r w:rsidRPr="00407B23">
          <w:rPr>
            <w:b/>
          </w:rPr>
          <w:t>Union</w:t>
        </w:r>
      </w:smartTag>
      <w:r w:rsidRPr="00407B23">
        <w:rPr>
          <w:b/>
        </w:rPr>
        <w:t>, an existing variety of the same plant species or of a closely related species.</w:t>
      </w:r>
    </w:p>
    <w:p w:rsidR="000E6CE9" w:rsidRPr="00407B23" w:rsidRDefault="000E6CE9" w:rsidP="000E6CE9"/>
    <w:p w:rsidR="000E6CE9" w:rsidRPr="00407B23" w:rsidRDefault="002E116F" w:rsidP="000E6CE9">
      <w:pPr>
        <w:rPr>
          <w:i/>
        </w:rPr>
      </w:pPr>
      <w:r>
        <w:rPr>
          <w:i/>
          <w:lang w:eastAsia="ja-JP"/>
        </w:rPr>
        <w:t>“</w:t>
      </w:r>
      <w:r w:rsidR="000E6CE9" w:rsidRPr="00407B23">
        <w:rPr>
          <w:i/>
        </w:rPr>
        <w:t>Explanatory Notes – Paragraph (2)</w:t>
      </w:r>
    </w:p>
    <w:p w:rsidR="000E6CE9" w:rsidRDefault="000E6CE9" w:rsidP="000E6CE9">
      <w:pPr>
        <w:rPr>
          <w:lang w:eastAsia="ja-JP"/>
        </w:rPr>
      </w:pPr>
    </w:p>
    <w:p w:rsidR="00421C1B" w:rsidRPr="00407B23" w:rsidRDefault="00421C1B" w:rsidP="00421C1B">
      <w:pPr>
        <w:rPr>
          <w:i/>
        </w:rPr>
      </w:pPr>
      <w:r w:rsidRPr="00407B23">
        <w:rPr>
          <w:i/>
        </w:rPr>
        <w:t>2.2.</w:t>
      </w:r>
      <w:r w:rsidRPr="00407B23">
        <w:rPr>
          <w:i/>
        </w:rPr>
        <w:tab/>
        <w:t>Solely of figures</w:t>
      </w:r>
    </w:p>
    <w:p w:rsidR="00421C1B" w:rsidRPr="00407B23" w:rsidRDefault="00421C1B" w:rsidP="00421C1B">
      <w:pPr>
        <w:rPr>
          <w:i/>
        </w:rPr>
      </w:pPr>
    </w:p>
    <w:p w:rsidR="00421C1B" w:rsidRPr="00407B23" w:rsidRDefault="00421C1B" w:rsidP="00421C1B">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421C1B" w:rsidRPr="00407B23" w:rsidRDefault="00421C1B" w:rsidP="00421C1B"/>
    <w:p w:rsidR="00421C1B" w:rsidRPr="00407B23" w:rsidRDefault="00421C1B" w:rsidP="00421C1B">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421C1B" w:rsidRPr="00407B23" w:rsidRDefault="00421C1B" w:rsidP="00421C1B"/>
    <w:p w:rsidR="00421C1B" w:rsidRPr="00407B23" w:rsidRDefault="00421C1B" w:rsidP="00421C1B">
      <w:pPr>
        <w:ind w:firstLine="567"/>
      </w:pPr>
      <w:r w:rsidRPr="00407B23">
        <w:t xml:space="preserve">(a)  </w:t>
      </w:r>
      <w:r w:rsidRPr="00407B23">
        <w:tab/>
        <w:t>for varieties used within a limited circle of specialists, the established practice should reflect that specialist circle (e.g. inbred lines);</w:t>
      </w:r>
    </w:p>
    <w:p w:rsidR="00421C1B" w:rsidRPr="00407B23" w:rsidRDefault="00421C1B" w:rsidP="00421C1B">
      <w:pPr>
        <w:ind w:firstLine="567"/>
      </w:pPr>
    </w:p>
    <w:p w:rsidR="000E6CE9" w:rsidRDefault="00421C1B" w:rsidP="00421C1B">
      <w:pPr>
        <w:ind w:firstLine="567"/>
        <w:rPr>
          <w:color w:val="000000"/>
          <w:lang w:eastAsia="ja-JP"/>
        </w:rPr>
      </w:pPr>
      <w:r w:rsidRPr="00407B23">
        <w:rPr>
          <w:color w:val="000000"/>
        </w:rPr>
        <w:t xml:space="preserve">(b)  </w:t>
      </w:r>
      <w:r w:rsidRPr="00407B23">
        <w:rPr>
          <w:color w:val="000000"/>
        </w:rPr>
        <w:tab/>
        <w:t xml:space="preserve">accepted market practices for particular variety types (e.g. hybrids) and particular species (e.g. </w:t>
      </w:r>
      <w:proofErr w:type="spellStart"/>
      <w:r w:rsidRPr="00407B23">
        <w:rPr>
          <w:color w:val="000000"/>
        </w:rPr>
        <w:t>Medicago</w:t>
      </w:r>
      <w:proofErr w:type="spellEnd"/>
      <w:r w:rsidRPr="00407B23">
        <w:rPr>
          <w:color w:val="000000"/>
        </w:rPr>
        <w:t>, Helianthus).</w:t>
      </w:r>
      <w:r w:rsidR="002E116F">
        <w:rPr>
          <w:color w:val="000000"/>
          <w:lang w:eastAsia="ja-JP"/>
        </w:rPr>
        <w:t>”</w:t>
      </w:r>
    </w:p>
    <w:tbl>
      <w:tblPr>
        <w:tblW w:w="0" w:type="auto"/>
        <w:tblInd w:w="108" w:type="dxa"/>
        <w:tblLook w:val="04A0" w:firstRow="1" w:lastRow="0" w:firstColumn="1" w:lastColumn="0" w:noHBand="0" w:noVBand="1"/>
      </w:tblPr>
      <w:tblGrid>
        <w:gridCol w:w="9747"/>
      </w:tblGrid>
      <w:tr w:rsidR="000E6CE9" w:rsidTr="00E81665">
        <w:trPr>
          <w:trHeight w:val="80"/>
        </w:trPr>
        <w:tc>
          <w:tcPr>
            <w:tcW w:w="9747" w:type="dxa"/>
          </w:tcPr>
          <w:p w:rsidR="000E6CE9" w:rsidRDefault="000E6CE9" w:rsidP="000E6CE9">
            <w:pPr>
              <w:rPr>
                <w:color w:val="000000"/>
              </w:rPr>
            </w:pPr>
          </w:p>
        </w:tc>
      </w:tr>
    </w:tbl>
    <w:p w:rsidR="00816D60" w:rsidRDefault="00816D60" w:rsidP="000E6CE9">
      <w:pPr>
        <w:keepNext/>
        <w:rPr>
          <w:i/>
          <w:lang w:eastAsia="ja-JP"/>
        </w:rPr>
      </w:pPr>
    </w:p>
    <w:p w:rsidR="00816D60" w:rsidRPr="00C35AEA" w:rsidRDefault="00C35AEA" w:rsidP="00C35AEA">
      <w:pPr>
        <w:keepNext/>
        <w:jc w:val="right"/>
        <w:rPr>
          <w:lang w:eastAsia="ja-JP"/>
        </w:rPr>
      </w:pPr>
      <w:r w:rsidRPr="00C35AEA">
        <w:rPr>
          <w:lang w:eastAsia="ja-JP"/>
        </w:rPr>
        <w:t>[Annex II follows]</w:t>
      </w:r>
    </w:p>
    <w:p w:rsidR="00816D60" w:rsidRDefault="00816D60" w:rsidP="000E6CE9">
      <w:pPr>
        <w:keepNext/>
        <w:rPr>
          <w:i/>
          <w:lang w:eastAsia="ja-JP"/>
        </w:rPr>
      </w:pPr>
    </w:p>
    <w:p w:rsidR="00816D60" w:rsidRDefault="00816D60" w:rsidP="000E6CE9">
      <w:pPr>
        <w:keepNext/>
        <w:rPr>
          <w:i/>
          <w:lang w:eastAsia="ja-JP"/>
        </w:rPr>
      </w:pPr>
    </w:p>
    <w:p w:rsidR="00816D60" w:rsidRDefault="00816D60" w:rsidP="000E6CE9">
      <w:pPr>
        <w:keepNext/>
        <w:rPr>
          <w:i/>
          <w:lang w:eastAsia="ja-JP"/>
        </w:rPr>
      </w:pPr>
    </w:p>
    <w:p w:rsidR="00816D60" w:rsidRDefault="00816D60" w:rsidP="000E6CE9">
      <w:pPr>
        <w:keepNext/>
        <w:rPr>
          <w:i/>
          <w:lang w:eastAsia="ja-JP"/>
        </w:rPr>
      </w:pPr>
    </w:p>
    <w:p w:rsidR="00816D60" w:rsidRDefault="00816D60" w:rsidP="000E6CE9">
      <w:pPr>
        <w:keepNext/>
        <w:rPr>
          <w:i/>
          <w:lang w:eastAsia="ja-JP"/>
        </w:rPr>
      </w:pPr>
    </w:p>
    <w:p w:rsidR="00816D60" w:rsidRDefault="00816D60" w:rsidP="000E6CE9">
      <w:pPr>
        <w:keepNext/>
        <w:rPr>
          <w:i/>
          <w:lang w:eastAsia="ja-JP"/>
        </w:rPr>
        <w:sectPr w:rsidR="00816D60" w:rsidSect="00F91D45">
          <w:headerReference w:type="even" r:id="rId15"/>
          <w:headerReference w:type="default" r:id="rId16"/>
          <w:headerReference w:type="first" r:id="rId17"/>
          <w:pgSz w:w="11907" w:h="16840" w:code="9"/>
          <w:pgMar w:top="510" w:right="1134" w:bottom="1134" w:left="1134" w:header="510" w:footer="680" w:gutter="0"/>
          <w:pgNumType w:start="1"/>
          <w:cols w:space="720"/>
          <w:titlePg/>
        </w:sectPr>
      </w:pPr>
    </w:p>
    <w:p w:rsidR="00816D60" w:rsidRPr="00407B23" w:rsidRDefault="00816D60" w:rsidP="00816D60">
      <w:pPr>
        <w:jc w:val="center"/>
      </w:pPr>
      <w:r w:rsidRPr="000F2E6D">
        <w:lastRenderedPageBreak/>
        <w:t xml:space="preserve">EXTRACT </w:t>
      </w:r>
      <w:r w:rsidR="00661B80" w:rsidRPr="000F2E6D">
        <w:t xml:space="preserve">FROM </w:t>
      </w:r>
      <w:r w:rsidRPr="000F2E6D">
        <w:t>DOCUMENT</w:t>
      </w:r>
      <w:r w:rsidRPr="000C6E94">
        <w:t xml:space="preserve"> UPOV/INF/12/</w:t>
      </w:r>
      <w:r w:rsidR="000F2E6D">
        <w:t>4</w:t>
      </w:r>
      <w:r w:rsidRPr="000C6E94">
        <w:t xml:space="preserve"> “EXPLANATORY NOTES ON</w:t>
      </w:r>
      <w:r>
        <w:t xml:space="preserve"> </w:t>
      </w:r>
      <w:r w:rsidRPr="000C6E94">
        <w:t>VARIETY DENOMINATIONS</w:t>
      </w:r>
      <w:r>
        <w:t xml:space="preserve"> </w:t>
      </w:r>
      <w:r w:rsidRPr="000C6E94">
        <w:t>UNDER THE UPOV CONVENTION”</w:t>
      </w:r>
      <w:r>
        <w:rPr>
          <w:rFonts w:hint="eastAsia"/>
          <w:lang w:eastAsia="ja-JP"/>
        </w:rPr>
        <w:t>, SECTION 2.3.1</w:t>
      </w:r>
      <w:r w:rsidRPr="000C6E94">
        <w:br/>
      </w:r>
    </w:p>
    <w:p w:rsidR="00816D60" w:rsidRPr="00407B23" w:rsidRDefault="00816D60" w:rsidP="00816D60">
      <w:pPr>
        <w:keepNext/>
        <w:jc w:val="center"/>
        <w:rPr>
          <w:b/>
        </w:rPr>
      </w:pPr>
      <w:r w:rsidRPr="00407B23">
        <w:rPr>
          <w:b/>
        </w:rPr>
        <w:t>Paragraph 2</w:t>
      </w:r>
    </w:p>
    <w:p w:rsidR="00816D60" w:rsidRPr="00407B23" w:rsidRDefault="00816D60" w:rsidP="00816D60">
      <w:pPr>
        <w:keepNext/>
        <w:jc w:val="center"/>
        <w:rPr>
          <w:b/>
        </w:rPr>
      </w:pPr>
    </w:p>
    <w:p w:rsidR="00816D60" w:rsidRPr="00407B23" w:rsidRDefault="00816D60" w:rsidP="00816D60">
      <w:pPr>
        <w:ind w:firstLine="567"/>
        <w:rPr>
          <w:b/>
        </w:rPr>
      </w:pPr>
      <w:r w:rsidRPr="00407B23">
        <w:rPr>
          <w:b/>
        </w:rPr>
        <w:t>[</w:t>
      </w:r>
      <w:r w:rsidRPr="00407B23">
        <w:rPr>
          <w:b/>
          <w:i/>
        </w:rPr>
        <w:t>Characteristics of the denomination</w:t>
      </w:r>
      <w:r w:rsidRPr="00407B23">
        <w:rPr>
          <w:b/>
        </w:rPr>
        <w:t xml:space="preserve">]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w:t>
      </w:r>
      <w:smartTag w:uri="urn:schemas-microsoft-com:office:smarttags" w:element="place">
        <w:r w:rsidRPr="00407B23">
          <w:rPr>
            <w:b/>
          </w:rPr>
          <w:t>Union</w:t>
        </w:r>
      </w:smartTag>
      <w:r w:rsidRPr="00407B23">
        <w:rPr>
          <w:b/>
        </w:rPr>
        <w:t>, an existing variety of the same plant species or of a closely related species.</w:t>
      </w:r>
    </w:p>
    <w:p w:rsidR="00816D60" w:rsidRPr="00407B23" w:rsidRDefault="00816D60" w:rsidP="00816D60"/>
    <w:p w:rsidR="00816D60" w:rsidRPr="00407B23" w:rsidRDefault="002E116F" w:rsidP="00816D60">
      <w:pPr>
        <w:rPr>
          <w:i/>
        </w:rPr>
      </w:pPr>
      <w:r>
        <w:rPr>
          <w:i/>
          <w:lang w:eastAsia="ja-JP"/>
        </w:rPr>
        <w:t>“</w:t>
      </w:r>
      <w:r w:rsidR="00816D60" w:rsidRPr="00407B23">
        <w:rPr>
          <w:i/>
        </w:rPr>
        <w:t>Explanatory Notes – Paragraph (2)</w:t>
      </w:r>
    </w:p>
    <w:p w:rsidR="00816D60" w:rsidRDefault="00816D60" w:rsidP="000E6CE9">
      <w:pPr>
        <w:keepNext/>
        <w:rPr>
          <w:i/>
          <w:lang w:eastAsia="ja-JP"/>
        </w:rPr>
      </w:pPr>
    </w:p>
    <w:p w:rsidR="007515BD" w:rsidRDefault="007515BD" w:rsidP="000E6CE9">
      <w:pPr>
        <w:keepNext/>
        <w:rPr>
          <w:i/>
          <w:lang w:eastAsia="ja-JP"/>
        </w:rPr>
      </w:pPr>
    </w:p>
    <w:p w:rsidR="000E6CE9" w:rsidRPr="00407B23" w:rsidRDefault="000E6CE9" w:rsidP="000E6CE9">
      <w:pPr>
        <w:keepNext/>
        <w:rPr>
          <w:i/>
        </w:rPr>
      </w:pPr>
      <w:r w:rsidRPr="00407B23">
        <w:rPr>
          <w:i/>
        </w:rPr>
        <w:t>2.3.</w:t>
      </w:r>
      <w:r w:rsidRPr="00407B23">
        <w:rPr>
          <w:i/>
        </w:rPr>
        <w:tab/>
        <w:t>Liable to mislead or to cause confusion</w:t>
      </w:r>
    </w:p>
    <w:p w:rsidR="000E6CE9" w:rsidRPr="00407B23" w:rsidRDefault="000E6CE9" w:rsidP="000E6CE9">
      <w:pPr>
        <w:keepNext/>
        <w:rPr>
          <w:i/>
        </w:rPr>
      </w:pPr>
    </w:p>
    <w:p w:rsidR="000E6CE9" w:rsidRPr="00407B23" w:rsidRDefault="000E6CE9" w:rsidP="000E6CE9">
      <w:r w:rsidRPr="00407B23">
        <w:t>Paragraph (2) states that the denomination must not be liable to “mislead or to cause confusion concerning the characteristics, value or identity of the variety or the identity of the breeder.”  These aspects are considered below:</w:t>
      </w:r>
    </w:p>
    <w:p w:rsidR="000E6CE9" w:rsidRDefault="000E6CE9" w:rsidP="000E6CE9"/>
    <w:p w:rsidR="00C35AEA" w:rsidRDefault="00C35AEA" w:rsidP="000E6CE9"/>
    <w:p w:rsidR="00C35AEA" w:rsidRDefault="00C35AEA" w:rsidP="00C35AEA">
      <w:r>
        <w:t xml:space="preserve"> (c) </w:t>
      </w:r>
      <w:proofErr w:type="gramStart"/>
      <w:r>
        <w:t>convey</w:t>
      </w:r>
      <w:proofErr w:type="gramEnd"/>
      <w:r>
        <w:t xml:space="preserve"> the impression that the variety is derived from, or related to, another variety when that is</w:t>
      </w:r>
    </w:p>
    <w:p w:rsidR="00C35AEA" w:rsidRDefault="00C35AEA" w:rsidP="00C35AEA">
      <w:proofErr w:type="gramStart"/>
      <w:r>
        <w:t>not</w:t>
      </w:r>
      <w:proofErr w:type="gramEnd"/>
      <w:r>
        <w:t>, in fact, the case;</w:t>
      </w:r>
    </w:p>
    <w:p w:rsidR="00C35AEA" w:rsidRDefault="00C35AEA" w:rsidP="00C35AEA">
      <w:r>
        <w:t>Example: a denomination which is similar to that of another variety of the same species or closely</w:t>
      </w:r>
    </w:p>
    <w:p w:rsidR="00C35AEA" w:rsidRDefault="00C35AEA" w:rsidP="00C35AEA">
      <w:proofErr w:type="gramStart"/>
      <w:r>
        <w:t>related</w:t>
      </w:r>
      <w:proofErr w:type="gramEnd"/>
      <w:r>
        <w:t xml:space="preserve"> species, e.g. “Southern cross 1”; “Southern cross 2”; etc., giving the impression that these</w:t>
      </w:r>
    </w:p>
    <w:p w:rsidR="00C35AEA" w:rsidRPr="00407B23" w:rsidRDefault="00C35AEA" w:rsidP="00C35AEA">
      <w:proofErr w:type="gramStart"/>
      <w:r>
        <w:t>varieties</w:t>
      </w:r>
      <w:proofErr w:type="gramEnd"/>
      <w:r>
        <w:t xml:space="preserve"> are a series of related varieties with similar characteristics, when, in fact, this is not the case.</w:t>
      </w:r>
    </w:p>
    <w:p w:rsidR="007515BD" w:rsidRDefault="007515BD" w:rsidP="000E6CE9">
      <w:pPr>
        <w:rPr>
          <w:lang w:eastAsia="ja-JP"/>
        </w:rPr>
      </w:pPr>
    </w:p>
    <w:p w:rsidR="000E6CE9" w:rsidRPr="00407B23" w:rsidRDefault="000E6CE9" w:rsidP="000E6CE9">
      <w:r w:rsidRPr="00407B23">
        <w:t>2.3.1</w:t>
      </w:r>
      <w:r w:rsidRPr="00407B23">
        <w:tab/>
        <w:t>Characteristics of the variety</w:t>
      </w:r>
    </w:p>
    <w:p w:rsidR="000E6CE9" w:rsidRPr="00407B23" w:rsidRDefault="000E6CE9" w:rsidP="000E6CE9"/>
    <w:p w:rsidR="000E6CE9" w:rsidRPr="00407B23" w:rsidRDefault="000E6CE9" w:rsidP="000E6CE9">
      <w:r w:rsidRPr="00407B23">
        <w:t>The denomination should not:</w:t>
      </w:r>
    </w:p>
    <w:p w:rsidR="000E6CE9" w:rsidRDefault="000E6CE9" w:rsidP="000E6CE9">
      <w:pPr>
        <w:rPr>
          <w:lang w:eastAsia="ja-JP"/>
        </w:rPr>
      </w:pPr>
    </w:p>
    <w:p w:rsidR="007515BD" w:rsidRPr="00407B23" w:rsidRDefault="007515BD" w:rsidP="007515BD">
      <w:pPr>
        <w:ind w:firstLine="567"/>
      </w:pPr>
      <w:r w:rsidRPr="00407B23">
        <w:t>(a)</w:t>
      </w:r>
      <w:r w:rsidRPr="00407B23">
        <w:tab/>
        <w:t xml:space="preserve">convey the impression that the variety has particular characteristics which, in reality, it does not have; </w:t>
      </w:r>
    </w:p>
    <w:p w:rsidR="007515BD" w:rsidRPr="00407B23" w:rsidRDefault="007515BD" w:rsidP="007515BD">
      <w:pPr>
        <w:ind w:firstLine="567"/>
      </w:pPr>
    </w:p>
    <w:p w:rsidR="007515BD" w:rsidRPr="00407B23" w:rsidRDefault="007515BD" w:rsidP="007515BD">
      <w:pPr>
        <w:ind w:left="567"/>
      </w:pPr>
      <w:r w:rsidRPr="00407B23">
        <w:rPr>
          <w:i/>
        </w:rPr>
        <w:t>Example:</w:t>
      </w:r>
      <w:r w:rsidRPr="00407B23">
        <w:t xml:space="preserve">  a variety denomination “dwarf” for a variety which is of normal height, when a </w:t>
      </w:r>
      <w:proofErr w:type="spellStart"/>
      <w:r w:rsidRPr="00407B23">
        <w:t>dwarfness</w:t>
      </w:r>
      <w:proofErr w:type="spellEnd"/>
      <w:r w:rsidRPr="00407B23">
        <w:t xml:space="preserve"> trait exists within the species, but is not possessed by the variety.</w:t>
      </w:r>
    </w:p>
    <w:p w:rsidR="007515BD" w:rsidRDefault="007515BD" w:rsidP="007515BD">
      <w:pPr>
        <w:rPr>
          <w:lang w:eastAsia="ja-JP"/>
        </w:rPr>
      </w:pPr>
    </w:p>
    <w:p w:rsidR="007515BD" w:rsidRPr="00407B23" w:rsidRDefault="007515BD" w:rsidP="007515BD">
      <w:pPr>
        <w:rPr>
          <w:lang w:eastAsia="ja-JP"/>
        </w:rPr>
      </w:pPr>
    </w:p>
    <w:p w:rsidR="007515BD" w:rsidRPr="00407B23" w:rsidRDefault="007515BD" w:rsidP="007515BD">
      <w:pPr>
        <w:ind w:firstLine="567"/>
        <w:rPr>
          <w:color w:val="000000"/>
        </w:rPr>
      </w:pPr>
      <w:r w:rsidRPr="00407B23">
        <w:rPr>
          <w:color w:val="000000"/>
        </w:rPr>
        <w:t>(b)</w:t>
      </w:r>
      <w:r w:rsidRPr="00407B23">
        <w:rPr>
          <w:color w:val="000000"/>
        </w:rPr>
        <w:tab/>
        <w:t>refer to specific characteristics of the variety in such a way</w:t>
      </w:r>
      <w:r w:rsidRPr="00407B23">
        <w:rPr>
          <w:b/>
          <w:color w:val="000000"/>
        </w:rPr>
        <w:t xml:space="preserve"> </w:t>
      </w:r>
      <w:r w:rsidRPr="00407B23">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7515BD" w:rsidRPr="00407B23" w:rsidRDefault="007515BD" w:rsidP="007515BD">
      <w:pPr>
        <w:ind w:firstLine="567"/>
        <w:rPr>
          <w:color w:val="000000"/>
          <w:u w:val="single"/>
        </w:rPr>
      </w:pPr>
    </w:p>
    <w:p w:rsidR="007515BD" w:rsidRPr="00407B23" w:rsidRDefault="007515BD" w:rsidP="007515BD">
      <w:pPr>
        <w:ind w:firstLine="567"/>
        <w:jc w:val="left"/>
        <w:rPr>
          <w:color w:val="000000"/>
          <w:u w:val="single"/>
        </w:rPr>
      </w:pPr>
      <w:r w:rsidRPr="00407B23">
        <w:rPr>
          <w:i/>
        </w:rPr>
        <w:t>Example 1</w:t>
      </w:r>
      <w:r w:rsidRPr="00407B23">
        <w:t>:  “Sweet” for a fruit variety;</w:t>
      </w:r>
      <w:r w:rsidRPr="00407B23">
        <w:br/>
      </w:r>
    </w:p>
    <w:p w:rsidR="007515BD" w:rsidRDefault="007515BD" w:rsidP="007515BD">
      <w:pPr>
        <w:ind w:firstLine="567"/>
        <w:jc w:val="left"/>
      </w:pPr>
      <w:r w:rsidRPr="00407B23">
        <w:rPr>
          <w:i/>
        </w:rPr>
        <w:t>Example 2</w:t>
      </w:r>
      <w:r w:rsidRPr="00407B23">
        <w:t>:  “Large white” for a variety of chrysanthemum.</w:t>
      </w:r>
      <w:r w:rsidR="002E116F">
        <w:rPr>
          <w:lang w:eastAsia="ja-JP"/>
        </w:rPr>
        <w:t>”</w:t>
      </w:r>
      <w:r w:rsidRPr="00407B23">
        <w:br/>
      </w:r>
    </w:p>
    <w:tbl>
      <w:tblPr>
        <w:tblW w:w="0" w:type="auto"/>
        <w:tblLook w:val="04A0" w:firstRow="1" w:lastRow="0" w:firstColumn="1" w:lastColumn="0" w:noHBand="0" w:noVBand="1"/>
      </w:tblPr>
      <w:tblGrid>
        <w:gridCol w:w="9855"/>
      </w:tblGrid>
      <w:tr w:rsidR="007515BD" w:rsidTr="009021B1">
        <w:tc>
          <w:tcPr>
            <w:tcW w:w="9855" w:type="dxa"/>
          </w:tcPr>
          <w:p w:rsidR="007515BD" w:rsidRPr="00B73632" w:rsidRDefault="007515BD" w:rsidP="009021B1">
            <w:pPr>
              <w:rPr>
                <w:sz w:val="18"/>
                <w:szCs w:val="18"/>
                <w:lang w:eastAsia="ja-JP"/>
              </w:rPr>
            </w:pPr>
          </w:p>
        </w:tc>
      </w:tr>
    </w:tbl>
    <w:p w:rsidR="000E6CE9" w:rsidRPr="00407B23" w:rsidRDefault="000E6CE9" w:rsidP="000E6CE9">
      <w:pPr>
        <w:keepNext/>
        <w:ind w:firstLine="567"/>
      </w:pPr>
      <w:r w:rsidRPr="00407B23">
        <w:t>(c)</w:t>
      </w:r>
      <w:r w:rsidRPr="00407B23">
        <w:tab/>
      </w:r>
      <w:proofErr w:type="gramStart"/>
      <w:r w:rsidRPr="00407B23">
        <w:t>convey</w:t>
      </w:r>
      <w:proofErr w:type="gramEnd"/>
      <w:r w:rsidRPr="00407B23">
        <w:t xml:space="preserve"> the impression that the variety is derived from, or related to, another variety when that is not, in fact, the case;</w:t>
      </w:r>
    </w:p>
    <w:p w:rsidR="000E6CE9" w:rsidRPr="00407B23" w:rsidRDefault="000E6CE9" w:rsidP="000E6CE9">
      <w:pPr>
        <w:keepNext/>
        <w:ind w:firstLine="567"/>
      </w:pPr>
    </w:p>
    <w:p w:rsidR="000E6CE9" w:rsidRDefault="000E6CE9" w:rsidP="000E6CE9">
      <w:pPr>
        <w:ind w:left="567"/>
        <w:rPr>
          <w:lang w:eastAsia="ja-JP"/>
        </w:rPr>
      </w:pPr>
      <w:r w:rsidRPr="00407B23">
        <w:rPr>
          <w:i/>
        </w:rPr>
        <w:t>Example:</w:t>
      </w:r>
      <w:r w:rsidRPr="00407B2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r w:rsidR="002E116F">
        <w:rPr>
          <w:lang w:eastAsia="ja-JP"/>
        </w:rPr>
        <w:t>”</w:t>
      </w:r>
    </w:p>
    <w:p w:rsidR="00F91D45" w:rsidRDefault="00F91D45" w:rsidP="000E6CE9">
      <w:pPr>
        <w:sectPr w:rsidR="00F91D45" w:rsidSect="00F91D45">
          <w:headerReference w:type="first" r:id="rId18"/>
          <w:pgSz w:w="11907" w:h="16840" w:code="9"/>
          <w:pgMar w:top="510" w:right="1134" w:bottom="1134" w:left="1134" w:header="510" w:footer="680" w:gutter="0"/>
          <w:pgNumType w:start="1"/>
          <w:cols w:space="720"/>
          <w:titlePg/>
        </w:sectPr>
      </w:pPr>
    </w:p>
    <w:p w:rsidR="00816D60" w:rsidRDefault="00816D60" w:rsidP="000E6CE9">
      <w:pPr>
        <w:rPr>
          <w:lang w:eastAsia="ja-JP"/>
        </w:rPr>
      </w:pPr>
    </w:p>
    <w:p w:rsidR="00C35AEA" w:rsidRDefault="00C35AEA" w:rsidP="000E6CE9">
      <w:pPr>
        <w:rPr>
          <w:lang w:eastAsia="ja-JP"/>
        </w:rPr>
      </w:pPr>
    </w:p>
    <w:p w:rsidR="00C35AEA" w:rsidRDefault="00C35AEA" w:rsidP="000E6CE9">
      <w:pPr>
        <w:rPr>
          <w:lang w:eastAsia="ja-JP"/>
        </w:rPr>
      </w:pPr>
    </w:p>
    <w:p w:rsidR="00C35AEA" w:rsidRDefault="00C35AEA" w:rsidP="00C35AEA">
      <w:pPr>
        <w:jc w:val="right"/>
        <w:rPr>
          <w:lang w:eastAsia="ja-JP"/>
        </w:rPr>
      </w:pPr>
      <w:r w:rsidRPr="00C35AEA">
        <w:rPr>
          <w:lang w:eastAsia="ja-JP"/>
        </w:rPr>
        <w:t xml:space="preserve">[Annex </w:t>
      </w:r>
      <w:r>
        <w:rPr>
          <w:lang w:eastAsia="ja-JP"/>
        </w:rPr>
        <w:t>I</w:t>
      </w:r>
      <w:r w:rsidRPr="00C35AEA">
        <w:rPr>
          <w:lang w:eastAsia="ja-JP"/>
        </w:rPr>
        <w:t>II follows]</w:t>
      </w:r>
    </w:p>
    <w:p w:rsidR="00816D60" w:rsidRDefault="00816D60" w:rsidP="000E6CE9">
      <w:pPr>
        <w:rPr>
          <w:lang w:eastAsia="ja-JP"/>
        </w:rPr>
        <w:sectPr w:rsidR="00816D60" w:rsidSect="00F91D45">
          <w:endnotePr>
            <w:numFmt w:val="decimal"/>
          </w:endnotePr>
          <w:type w:val="continuous"/>
          <w:pgSz w:w="11907" w:h="16840" w:code="9"/>
          <w:pgMar w:top="510" w:right="1134" w:bottom="1134" w:left="1134" w:header="510" w:footer="680" w:gutter="0"/>
          <w:cols w:space="720"/>
          <w:titlePg/>
        </w:sectPr>
      </w:pPr>
    </w:p>
    <w:p w:rsidR="00C35AEA" w:rsidRDefault="00816D60" w:rsidP="00816D60">
      <w:pPr>
        <w:jc w:val="center"/>
      </w:pPr>
      <w:r w:rsidRPr="000C6E94">
        <w:lastRenderedPageBreak/>
        <w:t>E</w:t>
      </w:r>
      <w:r>
        <w:t>X</w:t>
      </w:r>
      <w:r w:rsidRPr="000C6E94">
        <w:t xml:space="preserve">TRACT </w:t>
      </w:r>
      <w:r w:rsidR="00661B80" w:rsidRPr="00C35AEA">
        <w:t>FROM</w:t>
      </w:r>
      <w:r w:rsidRPr="000C6E94">
        <w:t xml:space="preserve"> DOCUMENT UPOV/INF/12/5 DRAFT 2 “EXPLANATORY NOTES ON</w:t>
      </w:r>
      <w:r>
        <w:t xml:space="preserve"> </w:t>
      </w:r>
      <w:r w:rsidRPr="000C6E94">
        <w:t>VARIETY DENOMINATIONS</w:t>
      </w:r>
      <w:r>
        <w:t xml:space="preserve"> </w:t>
      </w:r>
      <w:r w:rsidRPr="000C6E94">
        <w:t>UNDER THE UPOV CONVENTION”</w:t>
      </w:r>
      <w:r>
        <w:rPr>
          <w:rFonts w:hint="eastAsia"/>
          <w:lang w:eastAsia="ja-JP"/>
        </w:rPr>
        <w:t>, SECTION 2.3.3</w:t>
      </w:r>
      <w:r w:rsidRPr="000C6E94">
        <w:br/>
      </w:r>
    </w:p>
    <w:tbl>
      <w:tblPr>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C35AEA" w:rsidRPr="004229F4" w:rsidTr="00071BBD">
        <w:trPr>
          <w:cantSplit/>
          <w:jc w:val="center"/>
        </w:trPr>
        <w:tc>
          <w:tcPr>
            <w:tcW w:w="6664" w:type="dxa"/>
            <w:shd w:val="clear" w:color="auto" w:fill="E6E6E6"/>
          </w:tcPr>
          <w:p w:rsidR="00C35AEA" w:rsidRPr="006745A3" w:rsidRDefault="00C35AEA" w:rsidP="00071BBD">
            <w:pPr>
              <w:jc w:val="center"/>
              <w:rPr>
                <w:rFonts w:cs="Arial"/>
                <w:sz w:val="18"/>
                <w:szCs w:val="22"/>
                <w:u w:val="single"/>
              </w:rPr>
            </w:pPr>
            <w:r w:rsidRPr="006745A3">
              <w:rPr>
                <w:rFonts w:cs="Arial"/>
                <w:sz w:val="18"/>
                <w:szCs w:val="22"/>
                <w:u w:val="single"/>
              </w:rPr>
              <w:t>Note for Draft version</w:t>
            </w:r>
          </w:p>
          <w:p w:rsidR="00C35AEA" w:rsidRPr="006F50E2" w:rsidRDefault="00C35AEA" w:rsidP="00071BBD">
            <w:pPr>
              <w:rPr>
                <w:rFonts w:cs="Arial"/>
                <w:sz w:val="18"/>
                <w:szCs w:val="22"/>
                <w:highlight w:val="cyan"/>
                <w:u w:val="single"/>
              </w:rPr>
            </w:pPr>
          </w:p>
          <w:p w:rsidR="00C35AEA" w:rsidRPr="008365E7" w:rsidRDefault="00C35AEA" w:rsidP="00071BBD">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t</w:t>
            </w:r>
            <w:r>
              <w:rPr>
                <w:rFonts w:cs="Arial"/>
                <w:sz w:val="18"/>
                <w:szCs w:val="22"/>
              </w:rPr>
              <w:t>he text of document UPOV/INF/12/4.</w:t>
            </w:r>
          </w:p>
          <w:p w:rsidR="00C35AEA" w:rsidRPr="008365E7" w:rsidRDefault="00C35AEA" w:rsidP="00071BBD">
            <w:pPr>
              <w:rPr>
                <w:rFonts w:cs="Arial"/>
                <w:sz w:val="18"/>
                <w:szCs w:val="22"/>
              </w:rPr>
            </w:pPr>
          </w:p>
          <w:p w:rsidR="00C35AEA" w:rsidRDefault="00C35AEA" w:rsidP="00071BBD">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w:t>
            </w:r>
            <w:r>
              <w:rPr>
                <w:rFonts w:cs="Arial"/>
                <w:sz w:val="18"/>
                <w:szCs w:val="22"/>
              </w:rPr>
              <w:t>UPOV/INF/12/4</w:t>
            </w:r>
            <w:r w:rsidRPr="008365E7">
              <w:rPr>
                <w:rFonts w:cs="Arial"/>
                <w:sz w:val="18"/>
                <w:szCs w:val="22"/>
              </w:rPr>
              <w:t>.</w:t>
            </w:r>
          </w:p>
          <w:p w:rsidR="00C35AEA" w:rsidRDefault="00C35AEA" w:rsidP="00071BBD">
            <w:pPr>
              <w:rPr>
                <w:rFonts w:cs="Arial"/>
                <w:sz w:val="18"/>
                <w:szCs w:val="22"/>
              </w:rPr>
            </w:pPr>
          </w:p>
          <w:p w:rsidR="00C35AEA" w:rsidRPr="007C431F" w:rsidRDefault="00C35AEA" w:rsidP="00071BBD">
            <w:pPr>
              <w:rPr>
                <w:rFonts w:cs="Arial"/>
                <w:sz w:val="18"/>
                <w:szCs w:val="18"/>
              </w:rPr>
            </w:pPr>
            <w:r w:rsidRPr="007C431F">
              <w:rPr>
                <w:rFonts w:cs="Arial"/>
                <w:b/>
                <w:dstrike/>
                <w:sz w:val="18"/>
                <w:szCs w:val="18"/>
              </w:rPr>
              <w:t>Double strikethrough</w:t>
            </w:r>
            <w:r w:rsidRPr="007C431F">
              <w:rPr>
                <w:rFonts w:cs="Arial"/>
                <w:sz w:val="18"/>
                <w:szCs w:val="18"/>
              </w:rPr>
              <w:t xml:space="preserve"> and </w:t>
            </w:r>
            <w:r w:rsidRPr="007C431F">
              <w:rPr>
                <w:rFonts w:cs="Arial"/>
                <w:sz w:val="18"/>
                <w:szCs w:val="18"/>
                <w:u w:val="double"/>
              </w:rPr>
              <w:t>double underlining</w:t>
            </w:r>
            <w:r w:rsidRPr="007C431F">
              <w:rPr>
                <w:rFonts w:cs="Arial"/>
                <w:sz w:val="18"/>
                <w:szCs w:val="18"/>
              </w:rPr>
              <w:t xml:space="preserve"> indicate changes </w:t>
            </w:r>
            <w:r>
              <w:rPr>
                <w:rFonts w:cs="Arial"/>
                <w:sz w:val="18"/>
                <w:szCs w:val="18"/>
              </w:rPr>
              <w:t xml:space="preserve">to </w:t>
            </w:r>
            <w:r w:rsidRPr="007C431F">
              <w:rPr>
                <w:rFonts w:cs="Arial"/>
                <w:sz w:val="18"/>
                <w:szCs w:val="18"/>
              </w:rPr>
              <w:t xml:space="preserve">document </w:t>
            </w:r>
            <w:r>
              <w:rPr>
                <w:rFonts w:cs="Arial"/>
                <w:sz w:val="18"/>
                <w:szCs w:val="22"/>
              </w:rPr>
              <w:t>UPOV/INF/12/5 Draft 1</w:t>
            </w:r>
            <w:r w:rsidRPr="007C431F">
              <w:rPr>
                <w:rFonts w:cs="Arial"/>
                <w:sz w:val="18"/>
                <w:szCs w:val="18"/>
              </w:rPr>
              <w:t xml:space="preserve"> according to comments received by correspondence </w:t>
            </w:r>
          </w:p>
          <w:p w:rsidR="00C35AEA" w:rsidRPr="00951A2C" w:rsidRDefault="00C35AEA" w:rsidP="00071BBD">
            <w:pPr>
              <w:rPr>
                <w:rFonts w:cs="Arial"/>
                <w:sz w:val="18"/>
                <w:szCs w:val="22"/>
              </w:rPr>
            </w:pPr>
          </w:p>
          <w:p w:rsidR="00C35AEA" w:rsidRPr="004229F4" w:rsidRDefault="00C35AEA" w:rsidP="00071BBD">
            <w:pPr>
              <w:rPr>
                <w:rFonts w:cs="Arial"/>
                <w:szCs w:val="22"/>
              </w:rPr>
            </w:pPr>
            <w:r>
              <w:rPr>
                <w:rFonts w:cs="Arial" w:hint="eastAsia"/>
                <w:b/>
                <w:sz w:val="18"/>
                <w:szCs w:val="22"/>
                <w:lang w:eastAsia="ja-JP"/>
              </w:rPr>
              <w:t>Foot</w:t>
            </w:r>
            <w:r w:rsidRPr="00951A2C">
              <w:rPr>
                <w:rFonts w:cs="Arial"/>
                <w:b/>
                <w:sz w:val="18"/>
                <w:szCs w:val="22"/>
              </w:rPr>
              <w:t xml:space="preserve">notes </w:t>
            </w:r>
            <w:r w:rsidRPr="00951A2C">
              <w:rPr>
                <w:rFonts w:cs="Arial"/>
                <w:sz w:val="18"/>
                <w:szCs w:val="22"/>
              </w:rPr>
              <w:t>are background information to help in the consideration of this draft and will not appear in the final, published document.</w:t>
            </w:r>
          </w:p>
        </w:tc>
      </w:tr>
    </w:tbl>
    <w:p w:rsidR="00C35AEA" w:rsidRDefault="00C35AEA" w:rsidP="00816D60">
      <w:pPr>
        <w:jc w:val="center"/>
      </w:pPr>
    </w:p>
    <w:p w:rsidR="00C35AEA" w:rsidRDefault="00C35AEA" w:rsidP="00816D60">
      <w:pPr>
        <w:jc w:val="center"/>
      </w:pPr>
    </w:p>
    <w:p w:rsidR="00816D60" w:rsidRPr="00407B23" w:rsidRDefault="00816D60" w:rsidP="00816D60">
      <w:pPr>
        <w:jc w:val="center"/>
        <w:rPr>
          <w:b/>
        </w:rPr>
      </w:pPr>
      <w:r w:rsidRPr="00CA68F6">
        <w:br/>
      </w:r>
      <w:r w:rsidRPr="00407B23">
        <w:rPr>
          <w:b/>
        </w:rPr>
        <w:t>Paragraph 2</w:t>
      </w:r>
    </w:p>
    <w:p w:rsidR="00816D60" w:rsidRPr="00407B23" w:rsidRDefault="00816D60" w:rsidP="00816D60">
      <w:pPr>
        <w:keepNext/>
        <w:jc w:val="center"/>
        <w:rPr>
          <w:b/>
        </w:rPr>
      </w:pPr>
    </w:p>
    <w:p w:rsidR="00816D60" w:rsidRPr="00407B23" w:rsidRDefault="00816D60" w:rsidP="00816D60">
      <w:pPr>
        <w:ind w:firstLine="567"/>
        <w:rPr>
          <w:b/>
        </w:rPr>
      </w:pPr>
      <w:r w:rsidRPr="00407B23">
        <w:rPr>
          <w:b/>
        </w:rPr>
        <w:t>[</w:t>
      </w:r>
      <w:r w:rsidRPr="00407B23">
        <w:rPr>
          <w:b/>
          <w:i/>
        </w:rPr>
        <w:t>Characteristics of the denomination</w:t>
      </w:r>
      <w:r w:rsidRPr="00407B23">
        <w:rPr>
          <w:b/>
        </w:rPr>
        <w:t xml:space="preserve">]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w:t>
      </w:r>
      <w:smartTag w:uri="urn:schemas-microsoft-com:office:smarttags" w:element="place">
        <w:r w:rsidRPr="00407B23">
          <w:rPr>
            <w:b/>
          </w:rPr>
          <w:t>Union</w:t>
        </w:r>
      </w:smartTag>
      <w:r w:rsidRPr="00407B23">
        <w:rPr>
          <w:b/>
        </w:rPr>
        <w:t>, an existing variety of the same plant species or of a closely related species.</w:t>
      </w:r>
    </w:p>
    <w:p w:rsidR="00816D60" w:rsidRPr="00407B23" w:rsidRDefault="00816D60" w:rsidP="00816D60"/>
    <w:p w:rsidR="00816D60" w:rsidRPr="00407B23" w:rsidRDefault="002E116F" w:rsidP="00816D60">
      <w:pPr>
        <w:rPr>
          <w:i/>
        </w:rPr>
      </w:pPr>
      <w:r>
        <w:rPr>
          <w:i/>
          <w:lang w:eastAsia="ja-JP"/>
        </w:rPr>
        <w:t>“</w:t>
      </w:r>
      <w:r w:rsidR="00816D60" w:rsidRPr="00407B23">
        <w:rPr>
          <w:i/>
        </w:rPr>
        <w:t>Explanatory Notes – Paragraph (2)</w:t>
      </w:r>
    </w:p>
    <w:p w:rsidR="009850CE" w:rsidRDefault="009850CE" w:rsidP="00816D60">
      <w:pPr>
        <w:keepNext/>
        <w:rPr>
          <w:i/>
          <w:lang w:eastAsia="ja-JP"/>
        </w:rPr>
      </w:pPr>
    </w:p>
    <w:p w:rsidR="00816D60" w:rsidRPr="00407B23" w:rsidRDefault="00816D60" w:rsidP="00816D60">
      <w:pPr>
        <w:keepNext/>
        <w:rPr>
          <w:i/>
        </w:rPr>
      </w:pPr>
      <w:r w:rsidRPr="00407B23">
        <w:rPr>
          <w:i/>
        </w:rPr>
        <w:t>2.3.</w:t>
      </w:r>
      <w:r w:rsidRPr="00407B23">
        <w:rPr>
          <w:i/>
        </w:rPr>
        <w:tab/>
        <w:t>Liable to mislead or to cause confusion</w:t>
      </w:r>
    </w:p>
    <w:p w:rsidR="00816D60" w:rsidRPr="00407B23" w:rsidRDefault="00816D60" w:rsidP="00816D60">
      <w:pPr>
        <w:keepNext/>
        <w:rPr>
          <w:i/>
        </w:rPr>
      </w:pPr>
    </w:p>
    <w:p w:rsidR="00816D60" w:rsidRPr="00407B23" w:rsidRDefault="00816D60" w:rsidP="00816D60">
      <w:r w:rsidRPr="00407B23">
        <w:t>Paragraph (2) states that the denomination must not be liable to “mislead or to cause confusion concerning the characteristics, value or identity of the variety or the identity of the breeder.”  These aspects are considered below:</w:t>
      </w:r>
    </w:p>
    <w:p w:rsidR="009850CE" w:rsidRPr="00407B23" w:rsidRDefault="009850CE" w:rsidP="000E6CE9">
      <w:pPr>
        <w:rPr>
          <w:lang w:eastAsia="ja-JP"/>
        </w:rPr>
      </w:pPr>
    </w:p>
    <w:p w:rsidR="000E6CE9" w:rsidRPr="00407B23" w:rsidRDefault="000E6CE9" w:rsidP="000E6CE9">
      <w:pPr>
        <w:pStyle w:val="ListParagraph"/>
        <w:keepNext/>
        <w:keepLines/>
        <w:numPr>
          <w:ilvl w:val="2"/>
          <w:numId w:val="35"/>
        </w:numPr>
      </w:pPr>
      <w:r w:rsidRPr="00407B23">
        <w:t>Identity of the variety</w:t>
      </w:r>
      <w:r>
        <w:t xml:space="preserve"> </w:t>
      </w:r>
    </w:p>
    <w:p w:rsidR="000E6CE9" w:rsidRPr="00407B23" w:rsidRDefault="000E6CE9" w:rsidP="000E6CE9">
      <w:pPr>
        <w:keepNext/>
        <w:keepLines/>
      </w:pPr>
    </w:p>
    <w:p w:rsidR="000E6CE9" w:rsidRDefault="000E6CE9" w:rsidP="000E6CE9">
      <w:pPr>
        <w:ind w:firstLine="567"/>
        <w:rPr>
          <w:strike/>
        </w:rPr>
      </w:pPr>
      <w:r w:rsidRPr="00C906B0">
        <w:t>(a)</w:t>
      </w:r>
      <w:r w:rsidRPr="00C906B0">
        <w:tab/>
      </w:r>
      <w:r>
        <w:rPr>
          <w:highlight w:val="lightGray"/>
          <w:u w:val="single"/>
        </w:rPr>
        <w:t>F</w:t>
      </w:r>
      <w:r w:rsidRPr="000B2C01">
        <w:rPr>
          <w:highlight w:val="lightGray"/>
          <w:u w:val="single"/>
        </w:rPr>
        <w:t>or denominations consisting of a combination of letters and figures or “solely of figures”</w:t>
      </w:r>
      <w:r>
        <w:t xml:space="preserve">, </w:t>
      </w:r>
      <w:r w:rsidRPr="00050497">
        <w:rPr>
          <w:strike/>
          <w:highlight w:val="lightGray"/>
        </w:rPr>
        <w:t>As</w:t>
      </w:r>
      <w:r>
        <w:t xml:space="preserve"> </w:t>
      </w:r>
      <w:proofErr w:type="spellStart"/>
      <w:r w:rsidRPr="00050497">
        <w:rPr>
          <w:highlight w:val="lightGray"/>
          <w:u w:val="single"/>
        </w:rPr>
        <w:t>as</w:t>
      </w:r>
      <w:proofErr w:type="spellEnd"/>
      <w:r w:rsidRPr="00407B23">
        <w:t xml:space="preserve"> a general recommendation, a difference of only one letter or one number may be considered </w:t>
      </w:r>
      <w:r w:rsidRPr="000B2C01">
        <w:rPr>
          <w:highlight w:val="lightGray"/>
          <w:u w:val="single"/>
        </w:rPr>
        <w:t>not</w:t>
      </w:r>
      <w:r>
        <w:t xml:space="preserve"> </w:t>
      </w:r>
      <w:r w:rsidRPr="00407B23">
        <w:t>to be liable to mislead or cause confusion concerning the identity of the variety</w:t>
      </w:r>
      <w:r w:rsidRPr="008122AC">
        <w:rPr>
          <w:highlight w:val="lightGray"/>
          <w:u w:val="single"/>
        </w:rPr>
        <w:t>.</w:t>
      </w:r>
      <w:r w:rsidRPr="008122AC">
        <w:rPr>
          <w:strike/>
          <w:highlight w:val="lightGray"/>
        </w:rPr>
        <w:t>, except where the:</w:t>
      </w:r>
      <w:r w:rsidR="002E116F" w:rsidRPr="002E116F">
        <w:rPr>
          <w:highlight w:val="lightGray"/>
          <w:lang w:eastAsia="ja-JP"/>
        </w:rPr>
        <w:t>”</w:t>
      </w:r>
      <w:r w:rsidRPr="008122AC">
        <w:rPr>
          <w:strike/>
          <w:highlight w:val="lightGray"/>
        </w:rPr>
        <w:t xml:space="preserve">  </w:t>
      </w:r>
    </w:p>
    <w:p w:rsidR="00C35AEA" w:rsidRDefault="00C35AEA" w:rsidP="000E6CE9">
      <w:pPr>
        <w:ind w:firstLine="567"/>
        <w:rPr>
          <w:strike/>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0E6CE9" w:rsidTr="00C35AEA">
        <w:tc>
          <w:tcPr>
            <w:tcW w:w="9747" w:type="dxa"/>
          </w:tcPr>
          <w:p w:rsidR="000E6CE9" w:rsidRDefault="000E6CE9" w:rsidP="000E6CE9">
            <w:pPr>
              <w:rPr>
                <w:sz w:val="18"/>
                <w:szCs w:val="18"/>
                <w:u w:val="single"/>
              </w:rPr>
            </w:pPr>
          </w:p>
          <w:p w:rsidR="007515BD" w:rsidRPr="002E116F" w:rsidRDefault="000E6CE9" w:rsidP="000E6CE9">
            <w:pPr>
              <w:rPr>
                <w:szCs w:val="18"/>
                <w:u w:val="single"/>
                <w:lang w:eastAsia="ja-JP"/>
              </w:rPr>
            </w:pPr>
            <w:r w:rsidRPr="002E116F">
              <w:rPr>
                <w:szCs w:val="18"/>
                <w:u w:val="single"/>
              </w:rPr>
              <w:t>Proposal by Argentina</w:t>
            </w:r>
            <w:r w:rsidR="007515BD" w:rsidRPr="002E116F">
              <w:rPr>
                <w:rStyle w:val="FootnoteReference"/>
                <w:szCs w:val="18"/>
                <w:u w:val="single"/>
              </w:rPr>
              <w:footnoteReference w:id="2"/>
            </w:r>
          </w:p>
          <w:p w:rsidR="000E6CE9" w:rsidRPr="002E116F" w:rsidRDefault="000E6CE9" w:rsidP="000E6CE9">
            <w:pPr>
              <w:rPr>
                <w:sz w:val="21"/>
                <w:u w:val="single"/>
              </w:rPr>
            </w:pPr>
          </w:p>
          <w:p w:rsidR="000E6CE9" w:rsidRPr="002E116F" w:rsidRDefault="000E6CE9" w:rsidP="000E6CE9">
            <w:pPr>
              <w:rPr>
                <w:szCs w:val="18"/>
              </w:rPr>
            </w:pPr>
            <w:r w:rsidRPr="002E116F">
              <w:rPr>
                <w:szCs w:val="18"/>
              </w:rPr>
              <w:t xml:space="preserve">Paragraph 2.3.3 (a) </w:t>
            </w:r>
          </w:p>
          <w:p w:rsidR="000E6CE9" w:rsidRPr="002E116F" w:rsidRDefault="000E6CE9" w:rsidP="000E6CE9">
            <w:pPr>
              <w:rPr>
                <w:szCs w:val="18"/>
                <w:lang w:eastAsia="ja-JP"/>
              </w:rPr>
            </w:pPr>
            <w:r w:rsidRPr="002E116F">
              <w:rPr>
                <w:szCs w:val="18"/>
              </w:rPr>
              <w:t>“The recommendation that for denomination with a combination of letters and figures or solely of figures, changing only ONE letter or figure may be considered not to cause confusion concerning the identity of the breeder is confusing. It implies that confusion may or may not be caused, seeming to leave it to the interpretation of Member States, which may lead to a variety of solutions. The recommendation should follow a clear pattern.</w:t>
            </w:r>
            <w:r w:rsidR="002E116F">
              <w:rPr>
                <w:szCs w:val="18"/>
                <w:lang w:eastAsia="ja-JP"/>
              </w:rPr>
              <w:t>”</w:t>
            </w:r>
          </w:p>
          <w:p w:rsidR="000E6CE9" w:rsidRPr="002E116F" w:rsidRDefault="000E6CE9" w:rsidP="002E116F">
            <w:pPr>
              <w:spacing w:before="120"/>
              <w:rPr>
                <w:szCs w:val="18"/>
              </w:rPr>
            </w:pPr>
            <w:r w:rsidRPr="002E116F">
              <w:rPr>
                <w:szCs w:val="18"/>
              </w:rPr>
              <w:t>“One way to provide clarity would be to adduce examples to this paragraph.”</w:t>
            </w:r>
          </w:p>
          <w:p w:rsidR="000E6CE9" w:rsidRDefault="000E6CE9" w:rsidP="000E6CE9">
            <w:pPr>
              <w:rPr>
                <w:u w:val="single"/>
              </w:rPr>
            </w:pPr>
          </w:p>
        </w:tc>
      </w:tr>
    </w:tbl>
    <w:p w:rsidR="000E6CE9" w:rsidRDefault="002E116F" w:rsidP="000E6CE9">
      <w:pPr>
        <w:ind w:firstLine="567"/>
        <w:rPr>
          <w:highlight w:val="lightGray"/>
          <w:u w:val="single"/>
          <w:lang w:eastAsia="ja-JP"/>
        </w:rPr>
      </w:pPr>
      <w:r>
        <w:rPr>
          <w:highlight w:val="lightGray"/>
          <w:u w:val="single"/>
          <w:lang w:eastAsia="ja-JP"/>
        </w:rPr>
        <w:lastRenderedPageBreak/>
        <w:t>“</w:t>
      </w:r>
      <w:r w:rsidR="000E6CE9" w:rsidRPr="00F7624F">
        <w:rPr>
          <w:highlight w:val="lightGray"/>
          <w:u w:val="single"/>
        </w:rPr>
        <w:t>(b)</w:t>
      </w:r>
      <w:r w:rsidR="000E6CE9" w:rsidRPr="00F7624F">
        <w:rPr>
          <w:highlight w:val="lightGray"/>
          <w:u w:val="single"/>
        </w:rPr>
        <w:tab/>
        <w:t xml:space="preserve">For denominations not consisting of a combination of letters and figures, or “solely of figures”, </w:t>
      </w:r>
      <w:r w:rsidR="000E6CE9" w:rsidRPr="00A0376E">
        <w:rPr>
          <w:highlight w:val="lightGray"/>
          <w:u w:val="single"/>
        </w:rPr>
        <w:t xml:space="preserve">as a general recommendation, </w:t>
      </w:r>
      <w:r w:rsidR="000E6CE9">
        <w:rPr>
          <w:highlight w:val="lightGray"/>
          <w:u w:val="single"/>
        </w:rPr>
        <w:t>differences</w:t>
      </w:r>
      <w:r w:rsidR="000E6CE9" w:rsidRPr="00A0376E">
        <w:rPr>
          <w:highlight w:val="lightGray"/>
          <w:u w:val="single"/>
        </w:rPr>
        <w:t xml:space="preserve"> of one</w:t>
      </w:r>
      <w:r w:rsidR="000E6CE9">
        <w:rPr>
          <w:highlight w:val="lightGray"/>
          <w:u w:val="single"/>
        </w:rPr>
        <w:t xml:space="preserve"> or </w:t>
      </w:r>
      <w:r w:rsidR="000E6CE9" w:rsidRPr="00A0376E">
        <w:rPr>
          <w:highlight w:val="lightGray"/>
          <w:u w:val="single"/>
        </w:rPr>
        <w:t xml:space="preserve">more letters should provide a clear </w:t>
      </w:r>
      <w:r w:rsidR="000E6CE9" w:rsidRPr="00A0376E">
        <w:rPr>
          <w:color w:val="000000"/>
          <w:highlight w:val="lightGray"/>
          <w:u w:val="single"/>
        </w:rPr>
        <w:t>visual and phonetic difference</w:t>
      </w:r>
      <w:r w:rsidR="000E6CE9" w:rsidRPr="00A0376E">
        <w:rPr>
          <w:highlight w:val="lightGray"/>
          <w:u w:val="single"/>
        </w:rPr>
        <w:t xml:space="preserve"> </w:t>
      </w:r>
      <w:r w:rsidR="000E6CE9">
        <w:rPr>
          <w:highlight w:val="lightGray"/>
          <w:u w:val="single"/>
        </w:rPr>
        <w:t xml:space="preserve">in order for the denomination </w:t>
      </w:r>
      <w:r w:rsidR="000E6CE9" w:rsidRPr="00A0376E">
        <w:rPr>
          <w:highlight w:val="lightGray"/>
          <w:u w:val="single"/>
        </w:rPr>
        <w:t xml:space="preserve">not </w:t>
      </w:r>
      <w:r w:rsidR="000E6CE9">
        <w:rPr>
          <w:highlight w:val="lightGray"/>
          <w:u w:val="single"/>
        </w:rPr>
        <w:t xml:space="preserve">to </w:t>
      </w:r>
      <w:r w:rsidR="000E6CE9" w:rsidRPr="00A0376E">
        <w:rPr>
          <w:highlight w:val="lightGray"/>
          <w:u w:val="single"/>
        </w:rPr>
        <w:t>be liable to mislead or cause confusion concerning the identity of the variety</w:t>
      </w:r>
      <w:r w:rsidR="000E6CE9">
        <w:rPr>
          <w:highlight w:val="lightGray"/>
          <w:u w:val="single"/>
        </w:rPr>
        <w:t>.</w:t>
      </w:r>
      <w:r>
        <w:rPr>
          <w:highlight w:val="lightGray"/>
          <w:u w:val="single"/>
          <w:lang w:eastAsia="ja-JP"/>
        </w:rPr>
        <w:t>”</w:t>
      </w:r>
    </w:p>
    <w:p w:rsidR="000E6CE9" w:rsidRDefault="000E6CE9" w:rsidP="000E6CE9">
      <w:pPr>
        <w:ind w:firstLine="567"/>
        <w:rPr>
          <w:highlight w:val="lightGray"/>
          <w:u w:val="single"/>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0E6CE9" w:rsidRPr="002E116F" w:rsidTr="00C35AEA">
        <w:tc>
          <w:tcPr>
            <w:tcW w:w="9747" w:type="dxa"/>
          </w:tcPr>
          <w:p w:rsidR="00C35AEA" w:rsidRDefault="00C35AEA" w:rsidP="000E6CE9">
            <w:pPr>
              <w:rPr>
                <w:szCs w:val="18"/>
                <w:u w:val="single"/>
              </w:rPr>
            </w:pPr>
          </w:p>
          <w:p w:rsidR="007515BD" w:rsidRPr="002E116F" w:rsidRDefault="000E6CE9" w:rsidP="000E6CE9">
            <w:pPr>
              <w:rPr>
                <w:szCs w:val="18"/>
                <w:highlight w:val="lightGray"/>
                <w:u w:val="single"/>
              </w:rPr>
            </w:pPr>
            <w:r w:rsidRPr="002E116F">
              <w:rPr>
                <w:szCs w:val="18"/>
                <w:u w:val="single"/>
              </w:rPr>
              <w:t xml:space="preserve">Proposal by Argentina </w:t>
            </w:r>
            <w:r w:rsidR="007515BD" w:rsidRPr="002E116F">
              <w:rPr>
                <w:rStyle w:val="FootnoteReference"/>
                <w:b/>
                <w:szCs w:val="18"/>
              </w:rPr>
              <w:footnoteReference w:id="3"/>
            </w:r>
          </w:p>
          <w:p w:rsidR="000E6CE9" w:rsidRPr="002E116F" w:rsidRDefault="000E6CE9" w:rsidP="000E6CE9">
            <w:pPr>
              <w:rPr>
                <w:szCs w:val="18"/>
                <w:highlight w:val="lightGray"/>
              </w:rPr>
            </w:pPr>
          </w:p>
          <w:p w:rsidR="000E6CE9" w:rsidRPr="002E116F" w:rsidRDefault="00433EA0" w:rsidP="000E6CE9">
            <w:pPr>
              <w:rPr>
                <w:szCs w:val="18"/>
              </w:rPr>
            </w:pPr>
            <w:r>
              <w:rPr>
                <w:szCs w:val="18"/>
              </w:rPr>
              <w:t xml:space="preserve">Paragraph 2.3.3 </w:t>
            </w:r>
            <w:r w:rsidR="000E6CE9" w:rsidRPr="002E116F">
              <w:rPr>
                <w:szCs w:val="18"/>
              </w:rPr>
              <w:t>(b)</w:t>
            </w:r>
            <w:r w:rsidR="000E6CE9" w:rsidRPr="002E116F">
              <w:rPr>
                <w:szCs w:val="18"/>
              </w:rPr>
              <w:tab/>
            </w:r>
            <w:r>
              <w:rPr>
                <w:szCs w:val="18"/>
                <w:lang w:eastAsia="ja-JP"/>
              </w:rPr>
              <w:t>“</w:t>
            </w:r>
            <w:r w:rsidR="000E6CE9" w:rsidRPr="002E116F">
              <w:rPr>
                <w:szCs w:val="18"/>
              </w:rPr>
              <w:t>It is suggested that ‘denominations not consisting of a combination of letters and figures, or ‘solely of figures’ be changed to ‘all other denominations’”.</w:t>
            </w:r>
          </w:p>
          <w:p w:rsidR="000E6CE9" w:rsidRDefault="002E116F" w:rsidP="00C35AEA">
            <w:pPr>
              <w:spacing w:before="120"/>
              <w:rPr>
                <w:szCs w:val="18"/>
                <w:lang w:eastAsia="ja-JP"/>
              </w:rPr>
            </w:pPr>
            <w:r>
              <w:rPr>
                <w:szCs w:val="18"/>
                <w:lang w:eastAsia="ja-JP"/>
              </w:rPr>
              <w:t>“</w:t>
            </w:r>
            <w:r w:rsidR="000E6CE9" w:rsidRPr="002E116F">
              <w:rPr>
                <w:szCs w:val="18"/>
              </w:rPr>
              <w:t>On this point, in our country it has been established that when the denomination consists of two or more “bodies” or “terms” – usually one body consists of letters and the other of figures – a letter or figure should be changed in each body. The difference is analyzed independently IN EVERY body or term of the denomination.</w:t>
            </w:r>
            <w:r>
              <w:rPr>
                <w:szCs w:val="18"/>
                <w:lang w:eastAsia="ja-JP"/>
              </w:rPr>
              <w:t>”</w:t>
            </w:r>
          </w:p>
          <w:p w:rsidR="00C35AEA" w:rsidRPr="002E116F" w:rsidRDefault="00C35AEA" w:rsidP="00C35AEA">
            <w:pPr>
              <w:spacing w:before="120"/>
              <w:rPr>
                <w:highlight w:val="lightGray"/>
              </w:rPr>
            </w:pPr>
          </w:p>
        </w:tc>
      </w:tr>
    </w:tbl>
    <w:p w:rsidR="000E6CE9" w:rsidRPr="00D67854" w:rsidRDefault="000E6CE9" w:rsidP="000E6CE9">
      <w:pPr>
        <w:keepNext/>
        <w:keepLines/>
        <w:tabs>
          <w:tab w:val="right" w:pos="1134"/>
          <w:tab w:val="left" w:pos="1418"/>
        </w:tabs>
        <w:rPr>
          <w:strike/>
          <w:highlight w:val="lightGray"/>
        </w:rPr>
      </w:pPr>
    </w:p>
    <w:p w:rsidR="000E6CE9" w:rsidRDefault="000E6CE9" w:rsidP="000E6CE9">
      <w:pPr>
        <w:ind w:firstLine="567"/>
        <w:rPr>
          <w:strike/>
          <w:highlight w:val="lightGray"/>
        </w:rPr>
      </w:pPr>
      <w:r w:rsidRPr="00C906B0">
        <w:tab/>
      </w:r>
      <w:r w:rsidR="002E116F">
        <w:rPr>
          <w:lang w:eastAsia="ja-JP"/>
        </w:rPr>
        <w:t>“</w:t>
      </w:r>
      <w:r>
        <w:rPr>
          <w:strike/>
          <w:highlight w:val="lightGray"/>
        </w:rPr>
        <w:t>(</w:t>
      </w:r>
      <w:proofErr w:type="spellStart"/>
      <w:r>
        <w:rPr>
          <w:strike/>
          <w:highlight w:val="lightGray"/>
        </w:rPr>
        <w:t>i</w:t>
      </w:r>
      <w:proofErr w:type="spellEnd"/>
      <w:r>
        <w:rPr>
          <w:strike/>
          <w:highlight w:val="lightGray"/>
        </w:rPr>
        <w:t>)</w:t>
      </w:r>
      <w:r>
        <w:rPr>
          <w:strike/>
          <w:highlight w:val="lightGray"/>
        </w:rPr>
        <w:tab/>
      </w:r>
      <w:r w:rsidRPr="008122AC">
        <w:rPr>
          <w:strike/>
          <w:highlight w:val="lightGray"/>
        </w:rPr>
        <w:t xml:space="preserve">difference of one letter provides for a clear visual or phonetic difference (e.g. if it concerns a letter at the beginning of a word); </w:t>
      </w:r>
    </w:p>
    <w:p w:rsidR="000E6CE9" w:rsidRDefault="000E6CE9" w:rsidP="000E6CE9">
      <w:pPr>
        <w:pStyle w:val="ListParagraph"/>
        <w:tabs>
          <w:tab w:val="right" w:pos="1134"/>
          <w:tab w:val="left" w:pos="1418"/>
        </w:tabs>
        <w:ind w:left="1080"/>
        <w:rPr>
          <w:strike/>
          <w:highlight w:val="lightGray"/>
        </w:rPr>
      </w:pPr>
    </w:p>
    <w:p w:rsidR="000E6CE9" w:rsidRPr="00D67854" w:rsidRDefault="000E6CE9" w:rsidP="000E6CE9">
      <w:pPr>
        <w:ind w:firstLine="567"/>
        <w:rPr>
          <w:highlight w:val="lightGray"/>
          <w:u w:val="single"/>
        </w:rPr>
      </w:pPr>
      <w:r w:rsidRPr="00C906B0">
        <w:tab/>
      </w:r>
      <w:r>
        <w:rPr>
          <w:highlight w:val="lightGray"/>
          <w:u w:val="single"/>
        </w:rPr>
        <w:t>(</w:t>
      </w:r>
      <w:proofErr w:type="spellStart"/>
      <w:r>
        <w:rPr>
          <w:highlight w:val="lightGray"/>
          <w:u w:val="single"/>
        </w:rPr>
        <w:t>i</w:t>
      </w:r>
      <w:proofErr w:type="spellEnd"/>
      <w:r>
        <w:rPr>
          <w:highlight w:val="lightGray"/>
          <w:u w:val="single"/>
        </w:rPr>
        <w:t>)</w:t>
      </w:r>
      <w:r>
        <w:rPr>
          <w:highlight w:val="lightGray"/>
          <w:u w:val="single"/>
        </w:rPr>
        <w:tab/>
      </w:r>
      <w:r w:rsidRPr="00D67854">
        <w:rPr>
          <w:highlight w:val="lightGray"/>
          <w:u w:val="single"/>
        </w:rPr>
        <w:t>In some cases a clear visual</w:t>
      </w:r>
      <w:r>
        <w:rPr>
          <w:highlight w:val="lightGray"/>
          <w:u w:val="single"/>
        </w:rPr>
        <w:t xml:space="preserve"> difference may not provide </w:t>
      </w:r>
      <w:r w:rsidRPr="00D67854">
        <w:rPr>
          <w:highlight w:val="lightGray"/>
          <w:u w:val="single"/>
        </w:rPr>
        <w:t xml:space="preserve">a clear phonetic difference </w:t>
      </w:r>
    </w:p>
    <w:p w:rsidR="000E6CE9" w:rsidRDefault="000E6CE9" w:rsidP="000E6CE9">
      <w:pPr>
        <w:pStyle w:val="ListParagraph"/>
        <w:tabs>
          <w:tab w:val="right" w:pos="1134"/>
          <w:tab w:val="left" w:pos="1418"/>
        </w:tabs>
        <w:ind w:left="1080"/>
        <w:rPr>
          <w:highlight w:val="lightGray"/>
        </w:rPr>
      </w:pPr>
    </w:p>
    <w:p w:rsidR="000E6CE9" w:rsidRPr="00C906B0" w:rsidRDefault="000E6CE9" w:rsidP="000E6CE9">
      <w:pPr>
        <w:ind w:left="567"/>
        <w:rPr>
          <w:color w:val="000000"/>
          <w:highlight w:val="lightGray"/>
          <w:u w:val="single"/>
        </w:rPr>
      </w:pPr>
      <w:r w:rsidRPr="00C906B0">
        <w:rPr>
          <w:i/>
          <w:highlight w:val="lightGray"/>
          <w:u w:val="single"/>
        </w:rPr>
        <w:t>Example 1:</w:t>
      </w:r>
      <w:r w:rsidRPr="00C906B0">
        <w:rPr>
          <w:highlight w:val="lightGray"/>
          <w:u w:val="single"/>
        </w:rPr>
        <w:t xml:space="preserve">  in the English language ‘</w:t>
      </w:r>
      <w:r w:rsidRPr="00C906B0">
        <w:rPr>
          <w:color w:val="000000"/>
          <w:highlight w:val="lightGray"/>
          <w:u w:val="single"/>
        </w:rPr>
        <w:t xml:space="preserve">Bough’ and ‘Bow’ provides a clear visual difference but does not </w:t>
      </w:r>
    </w:p>
    <w:p w:rsidR="000E6CE9" w:rsidRDefault="000E6CE9" w:rsidP="000E6CE9">
      <w:pPr>
        <w:ind w:left="567"/>
        <w:rPr>
          <w:u w:val="single"/>
          <w:lang w:eastAsia="ja-JP"/>
        </w:rPr>
      </w:pPr>
      <w:r>
        <w:rPr>
          <w:color w:val="000000"/>
          <w:highlight w:val="lightGray"/>
          <w:u w:val="single"/>
        </w:rPr>
        <w:t xml:space="preserve">provide a </w:t>
      </w:r>
      <w:r w:rsidRPr="00C906B0">
        <w:rPr>
          <w:highlight w:val="lightGray"/>
          <w:u w:val="single"/>
        </w:rPr>
        <w:t>clear phonetic difference.</w:t>
      </w:r>
      <w:r w:rsidR="002E116F">
        <w:rPr>
          <w:u w:val="single"/>
          <w:lang w:eastAsia="ja-JP"/>
        </w:rPr>
        <w:t>”</w:t>
      </w:r>
    </w:p>
    <w:p w:rsidR="000E6CE9" w:rsidRDefault="000E6CE9" w:rsidP="000E6CE9">
      <w:pPr>
        <w:ind w:left="567"/>
        <w:rPr>
          <w:u w:val="single"/>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0E6CE9" w:rsidTr="00C35AEA">
        <w:tc>
          <w:tcPr>
            <w:tcW w:w="9747" w:type="dxa"/>
          </w:tcPr>
          <w:p w:rsidR="00C35AEA" w:rsidRDefault="00C35AEA" w:rsidP="000E6CE9">
            <w:pPr>
              <w:rPr>
                <w:szCs w:val="18"/>
                <w:u w:val="single"/>
              </w:rPr>
            </w:pPr>
          </w:p>
          <w:p w:rsidR="007515BD" w:rsidRPr="002E116F" w:rsidRDefault="000E6CE9" w:rsidP="000E6CE9">
            <w:pPr>
              <w:rPr>
                <w:szCs w:val="18"/>
                <w:u w:val="single"/>
              </w:rPr>
            </w:pPr>
            <w:r w:rsidRPr="002E116F">
              <w:rPr>
                <w:szCs w:val="18"/>
                <w:u w:val="single"/>
              </w:rPr>
              <w:t>Proposal by Argentina</w:t>
            </w:r>
            <w:r w:rsidRPr="002E116F">
              <w:rPr>
                <w:szCs w:val="18"/>
              </w:rPr>
              <w:t xml:space="preserve"> </w:t>
            </w:r>
            <w:r w:rsidR="007515BD" w:rsidRPr="002E116F">
              <w:rPr>
                <w:rStyle w:val="FootnoteReference"/>
                <w:b/>
                <w:szCs w:val="18"/>
              </w:rPr>
              <w:footnoteReference w:id="4"/>
            </w:r>
          </w:p>
          <w:p w:rsidR="000E6CE9" w:rsidRPr="002E116F" w:rsidRDefault="000E6CE9" w:rsidP="000E6CE9">
            <w:pPr>
              <w:rPr>
                <w:szCs w:val="18"/>
              </w:rPr>
            </w:pPr>
          </w:p>
          <w:p w:rsidR="000E6CE9" w:rsidRDefault="00433EA0" w:rsidP="00C35AEA">
            <w:pPr>
              <w:rPr>
                <w:szCs w:val="18"/>
              </w:rPr>
            </w:pPr>
            <w:r>
              <w:rPr>
                <w:szCs w:val="18"/>
              </w:rPr>
              <w:t xml:space="preserve">Paragraph 2.3.3 (b) </w:t>
            </w:r>
            <w:r w:rsidR="000E6CE9" w:rsidRPr="002E116F">
              <w:rPr>
                <w:szCs w:val="18"/>
              </w:rPr>
              <w:t>(</w:t>
            </w:r>
            <w:proofErr w:type="spellStart"/>
            <w:r w:rsidR="000E6CE9" w:rsidRPr="002E116F">
              <w:rPr>
                <w:szCs w:val="18"/>
              </w:rPr>
              <w:t>i</w:t>
            </w:r>
            <w:proofErr w:type="spellEnd"/>
            <w:r w:rsidR="000E6CE9" w:rsidRPr="002E116F">
              <w:rPr>
                <w:szCs w:val="18"/>
              </w:rPr>
              <w:t>)</w:t>
            </w:r>
            <w:r w:rsidR="000E6CE9" w:rsidRPr="002E116F">
              <w:rPr>
                <w:szCs w:val="18"/>
              </w:rPr>
              <w:tab/>
            </w:r>
            <w:r>
              <w:rPr>
                <w:szCs w:val="18"/>
                <w:lang w:eastAsia="ja-JP"/>
              </w:rPr>
              <w:t>“</w:t>
            </w:r>
            <w:r w:rsidR="000E6CE9" w:rsidRPr="002E116F">
              <w:rPr>
                <w:szCs w:val="18"/>
              </w:rPr>
              <w:t>It is proposed that an example in Spanish be added, such as “Helena” and “Elena” to address a situation in which there is a clear visual difference but not a phonetic one, since the letter “H” is mute in Spanish.”</w:t>
            </w:r>
          </w:p>
          <w:p w:rsidR="00C35AEA" w:rsidRDefault="00C35AEA" w:rsidP="00C35AEA">
            <w:pPr>
              <w:rPr>
                <w:u w:val="single"/>
              </w:rPr>
            </w:pPr>
          </w:p>
        </w:tc>
      </w:tr>
    </w:tbl>
    <w:p w:rsidR="000E6CE9" w:rsidRDefault="000E6CE9" w:rsidP="000E6CE9">
      <w:pPr>
        <w:ind w:firstLine="567"/>
      </w:pPr>
    </w:p>
    <w:p w:rsidR="000E6CE9" w:rsidRPr="00D67854" w:rsidRDefault="000E6CE9" w:rsidP="000E6CE9">
      <w:pPr>
        <w:ind w:firstLine="567"/>
        <w:rPr>
          <w:highlight w:val="lightGray"/>
        </w:rPr>
      </w:pPr>
      <w:r w:rsidRPr="00C906B0">
        <w:tab/>
      </w:r>
      <w:r w:rsidR="002E116F">
        <w:rPr>
          <w:lang w:eastAsia="ja-JP"/>
        </w:rPr>
        <w:t>“</w:t>
      </w:r>
      <w:r>
        <w:rPr>
          <w:highlight w:val="lightGray"/>
          <w:u w:val="single"/>
        </w:rPr>
        <w:t>(ii)</w:t>
      </w:r>
      <w:r>
        <w:rPr>
          <w:highlight w:val="lightGray"/>
          <w:u w:val="single"/>
        </w:rPr>
        <w:tab/>
        <w:t xml:space="preserve">In some cases, </w:t>
      </w:r>
      <w:r w:rsidRPr="008122AC">
        <w:rPr>
          <w:highlight w:val="lightGray"/>
          <w:u w:val="single"/>
        </w:rPr>
        <w:t>a difference of one letter at the begi</w:t>
      </w:r>
      <w:r>
        <w:rPr>
          <w:highlight w:val="lightGray"/>
          <w:u w:val="single"/>
        </w:rPr>
        <w:t xml:space="preserve">nning of a word may provide </w:t>
      </w:r>
      <w:r w:rsidRPr="008122AC">
        <w:rPr>
          <w:highlight w:val="lightGray"/>
          <w:u w:val="single"/>
        </w:rPr>
        <w:t>a clear visual and phonetic difference</w:t>
      </w:r>
    </w:p>
    <w:p w:rsidR="000E6CE9" w:rsidRPr="00DE1471" w:rsidRDefault="000E6CE9" w:rsidP="000E6CE9">
      <w:pPr>
        <w:pStyle w:val="Header"/>
      </w:pPr>
    </w:p>
    <w:p w:rsidR="000E6CE9" w:rsidRDefault="000E6CE9" w:rsidP="000E6CE9">
      <w:pPr>
        <w:ind w:left="567"/>
        <w:rPr>
          <w:color w:val="000000"/>
        </w:rPr>
      </w:pPr>
      <w:r w:rsidRPr="000B2C01">
        <w:rPr>
          <w:i/>
          <w:color w:val="000000"/>
        </w:rPr>
        <w:t xml:space="preserve">Example </w:t>
      </w:r>
      <w:r w:rsidRPr="00D67854">
        <w:rPr>
          <w:i/>
          <w:strike/>
          <w:color w:val="000000"/>
          <w:highlight w:val="lightGray"/>
        </w:rPr>
        <w:t>1</w:t>
      </w:r>
      <w:r>
        <w:rPr>
          <w:i/>
          <w:strike/>
          <w:color w:val="000000"/>
        </w:rPr>
        <w:t xml:space="preserve"> </w:t>
      </w:r>
      <w:r w:rsidRPr="00D67854">
        <w:rPr>
          <w:i/>
          <w:color w:val="000000"/>
          <w:highlight w:val="lightGray"/>
          <w:u w:val="single"/>
        </w:rPr>
        <w:t>2</w:t>
      </w:r>
      <w:r w:rsidRPr="000B2C01">
        <w:rPr>
          <w:i/>
          <w:color w:val="000000"/>
        </w:rPr>
        <w:t>:</w:t>
      </w:r>
      <w:r w:rsidRPr="000B2C01">
        <w:rPr>
          <w:color w:val="000000"/>
        </w:rPr>
        <w:t xml:space="preserve">  in the English language, ‘</w:t>
      </w:r>
      <w:r w:rsidRPr="000B2C01">
        <w:rPr>
          <w:color w:val="000000"/>
          <w:u w:val="single"/>
        </w:rPr>
        <w:t>H</w:t>
      </w:r>
      <w:r w:rsidRPr="000B2C01">
        <w:rPr>
          <w:color w:val="000000"/>
        </w:rPr>
        <w:t>arry’ and ‘</w:t>
      </w:r>
      <w:r w:rsidRPr="000B2C01">
        <w:rPr>
          <w:color w:val="000000"/>
          <w:u w:val="single"/>
        </w:rPr>
        <w:t>L</w:t>
      </w:r>
      <w:r w:rsidRPr="000B2C01">
        <w:rPr>
          <w:color w:val="000000"/>
        </w:rPr>
        <w:t xml:space="preserve">arry’ </w:t>
      </w:r>
      <w:r w:rsidRPr="000B2C01">
        <w:rPr>
          <w:color w:val="000000"/>
          <w:highlight w:val="lightGray"/>
          <w:u w:val="single"/>
        </w:rPr>
        <w:t>provides a clear visual and phonetic difference</w:t>
      </w:r>
      <w:r w:rsidRPr="000B2C01">
        <w:rPr>
          <w:color w:val="000000"/>
        </w:rPr>
        <w:t xml:space="preserve"> </w:t>
      </w:r>
      <w:r w:rsidRPr="009D32C3">
        <w:rPr>
          <w:strike/>
          <w:color w:val="000000"/>
          <w:highlight w:val="lightGray"/>
        </w:rPr>
        <w:t>would not cause confusion</w:t>
      </w:r>
      <w:r w:rsidRPr="000B2C01">
        <w:rPr>
          <w:color w:val="000000"/>
        </w:rPr>
        <w:t xml:space="preserve">. </w:t>
      </w:r>
      <w:r w:rsidRPr="00344632">
        <w:rPr>
          <w:strike/>
          <w:color w:val="000000"/>
          <w:highlight w:val="lightGray"/>
        </w:rPr>
        <w:t>However, ‘Bo</w:t>
      </w:r>
      <w:r w:rsidRPr="00344632">
        <w:rPr>
          <w:strike/>
          <w:color w:val="000000"/>
          <w:highlight w:val="lightGray"/>
          <w:u w:val="single"/>
        </w:rPr>
        <w:t>ugh’</w:t>
      </w:r>
      <w:r w:rsidRPr="00344632">
        <w:rPr>
          <w:strike/>
          <w:color w:val="000000"/>
          <w:highlight w:val="lightGray"/>
        </w:rPr>
        <w:t xml:space="preserve"> and ‘Bo</w:t>
      </w:r>
      <w:r w:rsidRPr="00344632">
        <w:rPr>
          <w:strike/>
          <w:color w:val="000000"/>
          <w:highlight w:val="lightGray"/>
          <w:u w:val="single"/>
        </w:rPr>
        <w:t>w</w:t>
      </w:r>
      <w:r w:rsidRPr="00344632">
        <w:rPr>
          <w:strike/>
          <w:color w:val="000000"/>
          <w:highlight w:val="lightGray"/>
        </w:rPr>
        <w:t>’ might cause confusion (in phonetic terms);</w:t>
      </w:r>
      <w:r w:rsidRPr="00344632">
        <w:rPr>
          <w:color w:val="000000"/>
        </w:rPr>
        <w:t xml:space="preserve"> </w:t>
      </w:r>
    </w:p>
    <w:p w:rsidR="000E6CE9" w:rsidRDefault="000E6CE9" w:rsidP="000E6CE9">
      <w:pPr>
        <w:ind w:left="567"/>
      </w:pPr>
    </w:p>
    <w:p w:rsidR="000E6CE9" w:rsidRPr="00F7624F" w:rsidRDefault="000E6CE9" w:rsidP="000E6CE9">
      <w:pPr>
        <w:ind w:firstLine="567"/>
        <w:rPr>
          <w:highlight w:val="lightGray"/>
        </w:rPr>
      </w:pPr>
      <w:r w:rsidRPr="00C906B0">
        <w:tab/>
      </w:r>
      <w:r w:rsidRPr="00F7624F">
        <w:rPr>
          <w:highlight w:val="lightGray"/>
          <w:u w:val="single"/>
        </w:rPr>
        <w:t>(iii)</w:t>
      </w:r>
      <w:r w:rsidRPr="00F7624F">
        <w:rPr>
          <w:highlight w:val="lightGray"/>
          <w:u w:val="single"/>
        </w:rPr>
        <w:tab/>
        <w:t>In some cases, a difference of one letter at the beginning of a word may not provide a clear visual and phonetic difference</w:t>
      </w:r>
    </w:p>
    <w:p w:rsidR="000E6CE9" w:rsidRPr="00344632" w:rsidRDefault="000E6CE9" w:rsidP="000E6CE9">
      <w:pPr>
        <w:rPr>
          <w:color w:val="000000"/>
          <w:u w:val="single"/>
        </w:rPr>
      </w:pPr>
    </w:p>
    <w:p w:rsidR="000E6CE9" w:rsidRDefault="000E6CE9" w:rsidP="000E6CE9">
      <w:pPr>
        <w:ind w:left="567"/>
      </w:pPr>
      <w:r w:rsidRPr="00407B23">
        <w:rPr>
          <w:i/>
        </w:rPr>
        <w:t xml:space="preserve">Example </w:t>
      </w:r>
      <w:r w:rsidRPr="00D015D8">
        <w:rPr>
          <w:i/>
          <w:strike/>
          <w:highlight w:val="lightGray"/>
        </w:rPr>
        <w:t>2</w:t>
      </w:r>
      <w:r>
        <w:rPr>
          <w:i/>
        </w:rPr>
        <w:t xml:space="preserve"> </w:t>
      </w:r>
      <w:r w:rsidRPr="00D015D8">
        <w:rPr>
          <w:i/>
          <w:highlight w:val="lightGray"/>
          <w:u w:val="single"/>
        </w:rPr>
        <w:t>3</w:t>
      </w:r>
      <w:r w:rsidRPr="00407B23">
        <w:rPr>
          <w:i/>
        </w:rPr>
        <w:t xml:space="preserve">: </w:t>
      </w:r>
      <w:r w:rsidRPr="00407B23">
        <w:t xml:space="preserve"> </w:t>
      </w:r>
      <w:r w:rsidRPr="00C606F6">
        <w:rPr>
          <w:strike/>
          <w:highlight w:val="lightGray"/>
        </w:rPr>
        <w:t>in the Japanese and Korean languages there is no difference between “L” and “R” sounds, thus “</w:t>
      </w:r>
      <w:r w:rsidRPr="00C606F6">
        <w:rPr>
          <w:strike/>
          <w:highlight w:val="lightGray"/>
          <w:u w:val="single"/>
        </w:rPr>
        <w:t>L</w:t>
      </w:r>
      <w:r w:rsidRPr="00C606F6">
        <w:rPr>
          <w:strike/>
          <w:highlight w:val="lightGray"/>
        </w:rPr>
        <w:t>ion” and “</w:t>
      </w:r>
      <w:proofErr w:type="spellStart"/>
      <w:r w:rsidRPr="00C606F6">
        <w:rPr>
          <w:strike/>
          <w:highlight w:val="lightGray"/>
          <w:u w:val="single"/>
        </w:rPr>
        <w:t>R</w:t>
      </w:r>
      <w:r w:rsidRPr="00C606F6">
        <w:rPr>
          <w:strike/>
          <w:highlight w:val="lightGray"/>
        </w:rPr>
        <w:t>aion</w:t>
      </w:r>
      <w:proofErr w:type="spellEnd"/>
      <w:r w:rsidRPr="00C606F6">
        <w:rPr>
          <w:strike/>
          <w:highlight w:val="lightGray"/>
        </w:rPr>
        <w:t>” are exactly the same although these are distinguishable for English mother tongue speakers</w:t>
      </w:r>
      <w:r w:rsidRPr="00407B23">
        <w:t>;</w:t>
      </w:r>
    </w:p>
    <w:p w:rsidR="000E6CE9" w:rsidRDefault="000E6CE9" w:rsidP="000E6CE9">
      <w:pPr>
        <w:ind w:left="567"/>
      </w:pPr>
    </w:p>
    <w:p w:rsidR="000E6CE9" w:rsidRPr="00C35AEA" w:rsidRDefault="000E6CE9" w:rsidP="000E6CE9">
      <w:pPr>
        <w:pStyle w:val="ListParagraph"/>
        <w:numPr>
          <w:ilvl w:val="0"/>
          <w:numId w:val="33"/>
        </w:numPr>
        <w:rPr>
          <w:strike/>
          <w:highlight w:val="lightGray"/>
          <w:u w:val="single"/>
        </w:rPr>
      </w:pPr>
      <w:r w:rsidRPr="00F7624F">
        <w:rPr>
          <w:highlight w:val="lightGray"/>
          <w:u w:val="single"/>
        </w:rPr>
        <w:t>in the Japanese and Korean languages “Lion” and “</w:t>
      </w:r>
      <w:proofErr w:type="spellStart"/>
      <w:r w:rsidRPr="00F7624F">
        <w:rPr>
          <w:highlight w:val="lightGray"/>
          <w:u w:val="single"/>
        </w:rPr>
        <w:t>Raion</w:t>
      </w:r>
      <w:proofErr w:type="spellEnd"/>
      <w:r w:rsidRPr="00F7624F">
        <w:rPr>
          <w:highlight w:val="lightGray"/>
          <w:u w:val="single"/>
        </w:rPr>
        <w:t xml:space="preserve">” </w:t>
      </w:r>
      <w:r w:rsidRPr="00F7624F">
        <w:rPr>
          <w:color w:val="000000"/>
          <w:highlight w:val="lightGray"/>
          <w:u w:val="single"/>
        </w:rPr>
        <w:t xml:space="preserve">provides a clear visual difference but </w:t>
      </w:r>
      <w:r w:rsidRPr="00F7624F">
        <w:rPr>
          <w:highlight w:val="lightGray"/>
          <w:u w:val="single"/>
        </w:rPr>
        <w:t>does not provide for a clear phonetic difference because “L” and “R”  have the same pronunciation;</w:t>
      </w:r>
      <w:r w:rsidR="002E116F" w:rsidRPr="002E116F">
        <w:rPr>
          <w:u w:val="single"/>
          <w:lang w:eastAsia="ja-JP"/>
        </w:rPr>
        <w:t>”</w:t>
      </w:r>
      <w:r w:rsidRPr="00F7624F">
        <w:rPr>
          <w:highlight w:val="lightGray"/>
          <w:u w:val="single"/>
        </w:rPr>
        <w:t xml:space="preserve"> </w:t>
      </w:r>
    </w:p>
    <w:p w:rsidR="00C35AEA" w:rsidRDefault="00C35AEA" w:rsidP="00C35AEA">
      <w:pPr>
        <w:rPr>
          <w:strike/>
          <w:highlight w:val="lightGray"/>
          <w:u w:val="single"/>
        </w:rPr>
      </w:pPr>
    </w:p>
    <w:p w:rsidR="00C35AEA" w:rsidRDefault="00C35AEA" w:rsidP="00C35AEA">
      <w:pPr>
        <w:rPr>
          <w:strike/>
          <w:highlight w:val="lightGray"/>
          <w:u w:val="single"/>
        </w:rPr>
      </w:pPr>
    </w:p>
    <w:p w:rsidR="00C35AEA" w:rsidRPr="00C35AEA" w:rsidRDefault="00C35AEA" w:rsidP="00C35AEA">
      <w:pPr>
        <w:rPr>
          <w:strike/>
          <w:highlight w:val="lightGray"/>
          <w:u w:val="single"/>
        </w:rPr>
      </w:pPr>
    </w:p>
    <w:p w:rsidR="000E6CE9" w:rsidRDefault="000E6CE9" w:rsidP="000E6CE9">
      <w:pPr>
        <w:rPr>
          <w:strike/>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0E6CE9" w:rsidTr="00C35AEA">
        <w:tc>
          <w:tcPr>
            <w:tcW w:w="9639" w:type="dxa"/>
            <w:vAlign w:val="center"/>
          </w:tcPr>
          <w:p w:rsidR="00C35AEA" w:rsidRDefault="00C35AEA" w:rsidP="00C35AEA">
            <w:pPr>
              <w:rPr>
                <w:szCs w:val="18"/>
                <w:u w:val="single"/>
              </w:rPr>
            </w:pPr>
          </w:p>
          <w:p w:rsidR="00C35AEA" w:rsidRDefault="000E6CE9" w:rsidP="00C35AEA">
            <w:pPr>
              <w:rPr>
                <w:szCs w:val="18"/>
              </w:rPr>
            </w:pPr>
            <w:r w:rsidRPr="00433EA0">
              <w:rPr>
                <w:szCs w:val="18"/>
                <w:u w:val="single"/>
              </w:rPr>
              <w:t>Proposal by ESA</w:t>
            </w:r>
            <w:r w:rsidRPr="00433EA0">
              <w:rPr>
                <w:b/>
                <w:szCs w:val="18"/>
              </w:rPr>
              <w:t xml:space="preserve"> </w:t>
            </w:r>
            <w:r w:rsidR="007515BD" w:rsidRPr="00433EA0">
              <w:rPr>
                <w:rStyle w:val="FootnoteReference"/>
                <w:b/>
                <w:szCs w:val="18"/>
              </w:rPr>
              <w:footnoteReference w:id="5"/>
            </w:r>
            <w:r w:rsidR="007515BD" w:rsidRPr="00433EA0">
              <w:rPr>
                <w:szCs w:val="18"/>
              </w:rPr>
              <w:t xml:space="preserve"> </w:t>
            </w:r>
            <w:r w:rsidRPr="00433EA0">
              <w:rPr>
                <w:szCs w:val="18"/>
              </w:rPr>
              <w:t xml:space="preserve"> “the example given in the first bullet does not have a difference of one letter in the beginning but of two letters”</w:t>
            </w:r>
          </w:p>
          <w:p w:rsidR="00C35AEA" w:rsidRPr="00433EA0" w:rsidRDefault="00C35AEA" w:rsidP="00C35AEA">
            <w:pPr>
              <w:rPr>
                <w:strike/>
              </w:rPr>
            </w:pPr>
          </w:p>
        </w:tc>
      </w:tr>
    </w:tbl>
    <w:p w:rsidR="000E6CE9" w:rsidRDefault="000E6CE9" w:rsidP="000E6CE9">
      <w:pPr>
        <w:jc w:val="left"/>
        <w:rPr>
          <w:highlight w:val="lightGray"/>
          <w:u w:val="single"/>
        </w:rPr>
      </w:pPr>
    </w:p>
    <w:p w:rsidR="000E6CE9" w:rsidRPr="00D015D8" w:rsidRDefault="000E6CE9" w:rsidP="000E6CE9">
      <w:pPr>
        <w:pStyle w:val="ListParagraph"/>
        <w:numPr>
          <w:ilvl w:val="0"/>
          <w:numId w:val="33"/>
        </w:numPr>
        <w:rPr>
          <w:color w:val="000000"/>
          <w:u w:val="single"/>
        </w:rPr>
      </w:pPr>
      <w:r w:rsidRPr="00C606F6">
        <w:rPr>
          <w:highlight w:val="lightGray"/>
          <w:u w:val="single"/>
        </w:rPr>
        <w:t>in the</w:t>
      </w:r>
      <w:r>
        <w:rPr>
          <w:highlight w:val="lightGray"/>
          <w:u w:val="single"/>
        </w:rPr>
        <w:t xml:space="preserve"> English language “Lion” and “</w:t>
      </w:r>
      <w:proofErr w:type="spellStart"/>
      <w:r>
        <w:rPr>
          <w:highlight w:val="lightGray"/>
          <w:u w:val="single"/>
        </w:rPr>
        <w:t>Ra</w:t>
      </w:r>
      <w:r w:rsidRPr="00C606F6">
        <w:rPr>
          <w:highlight w:val="lightGray"/>
          <w:u w:val="single"/>
        </w:rPr>
        <w:t>ion</w:t>
      </w:r>
      <w:proofErr w:type="spellEnd"/>
      <w:r w:rsidRPr="00C606F6">
        <w:rPr>
          <w:highlight w:val="lightGray"/>
          <w:u w:val="single"/>
        </w:rPr>
        <w:t>”</w:t>
      </w:r>
      <w:r w:rsidRPr="00C606F6">
        <w:rPr>
          <w:color w:val="000000"/>
          <w:highlight w:val="lightGray"/>
          <w:u w:val="single"/>
        </w:rPr>
        <w:t xml:space="preserve"> provides a clear visual and phonetic differen</w:t>
      </w:r>
      <w:r>
        <w:rPr>
          <w:color w:val="000000"/>
          <w:highlight w:val="lightGray"/>
          <w:u w:val="single"/>
        </w:rPr>
        <w:t>ce</w:t>
      </w:r>
      <w:r w:rsidRPr="00C606F6">
        <w:rPr>
          <w:color w:val="000000"/>
          <w:highlight w:val="lightGray"/>
          <w:u w:val="single"/>
        </w:rPr>
        <w:t>.</w:t>
      </w:r>
    </w:p>
    <w:p w:rsidR="000E6CE9" w:rsidRPr="00407B23" w:rsidRDefault="000E6CE9" w:rsidP="000E6CE9">
      <w:pPr>
        <w:ind w:left="567"/>
      </w:pPr>
    </w:p>
    <w:p w:rsidR="000E6CE9" w:rsidRPr="00FB3499" w:rsidRDefault="000E6CE9" w:rsidP="000E6CE9">
      <w:pPr>
        <w:ind w:firstLine="567"/>
        <w:rPr>
          <w:strike/>
          <w:highlight w:val="lightGray"/>
        </w:rPr>
      </w:pPr>
      <w:r w:rsidRPr="00407B23">
        <w:tab/>
      </w:r>
      <w:r w:rsidRPr="00FB3499">
        <w:rPr>
          <w:strike/>
          <w:highlight w:val="lightGray"/>
        </w:rPr>
        <w:t>(ii)</w:t>
      </w:r>
      <w:r w:rsidRPr="00FB3499">
        <w:rPr>
          <w:strike/>
          <w:highlight w:val="lightGray"/>
        </w:rPr>
        <w:tab/>
        <w:t>denominations consist of a combination of letters and figures;</w:t>
      </w:r>
    </w:p>
    <w:p w:rsidR="000E6CE9" w:rsidRPr="00FB3499" w:rsidRDefault="000E6CE9" w:rsidP="000E6CE9">
      <w:pPr>
        <w:tabs>
          <w:tab w:val="right" w:pos="1134"/>
          <w:tab w:val="left" w:pos="1418"/>
        </w:tabs>
        <w:rPr>
          <w:strike/>
          <w:highlight w:val="lightGray"/>
        </w:rPr>
      </w:pPr>
    </w:p>
    <w:p w:rsidR="000E6CE9" w:rsidRDefault="000E6CE9" w:rsidP="000E6CE9">
      <w:pPr>
        <w:ind w:firstLine="567"/>
        <w:rPr>
          <w:strike/>
        </w:rPr>
      </w:pPr>
      <w:r w:rsidRPr="00C906B0">
        <w:tab/>
      </w:r>
      <w:r w:rsidRPr="00FB3499">
        <w:rPr>
          <w:strike/>
          <w:highlight w:val="lightGray"/>
        </w:rPr>
        <w:t>(iii)</w:t>
      </w:r>
      <w:r w:rsidRPr="00FB3499">
        <w:rPr>
          <w:strike/>
          <w:highlight w:val="lightGray"/>
        </w:rPr>
        <w:tab/>
        <w:t>denominations consist “solely of figures”.</w:t>
      </w:r>
    </w:p>
    <w:p w:rsidR="000E6CE9" w:rsidRDefault="000E6CE9" w:rsidP="000E6CE9">
      <w:pPr>
        <w:rPr>
          <w:strike/>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0E6CE9" w:rsidTr="0016444B">
        <w:trPr>
          <w:cantSplit/>
        </w:trPr>
        <w:tc>
          <w:tcPr>
            <w:tcW w:w="9639" w:type="dxa"/>
          </w:tcPr>
          <w:p w:rsidR="000E6CE9" w:rsidRDefault="000E6CE9" w:rsidP="000E6CE9">
            <w:pPr>
              <w:rPr>
                <w:highlight w:val="yellow"/>
              </w:rPr>
            </w:pPr>
          </w:p>
          <w:p w:rsidR="000E6CE9" w:rsidRDefault="000E6CE9" w:rsidP="000E6CE9">
            <w:pPr>
              <w:rPr>
                <w:sz w:val="18"/>
                <w:szCs w:val="18"/>
                <w:lang w:eastAsia="ja-JP"/>
              </w:rPr>
            </w:pPr>
            <w:r w:rsidRPr="00433EA0">
              <w:rPr>
                <w:szCs w:val="18"/>
                <w:u w:val="single"/>
              </w:rPr>
              <w:t>Proposal by ESA</w:t>
            </w:r>
            <w:r w:rsidR="007515BD" w:rsidRPr="00433EA0">
              <w:rPr>
                <w:rStyle w:val="FootnoteReference"/>
                <w:b/>
                <w:szCs w:val="18"/>
              </w:rPr>
              <w:footnoteReference w:id="6"/>
            </w:r>
            <w:r w:rsidR="007515BD" w:rsidRPr="00433EA0">
              <w:rPr>
                <w:szCs w:val="18"/>
              </w:rPr>
              <w:t xml:space="preserve"> </w:t>
            </w:r>
            <w:r w:rsidRPr="00433EA0">
              <w:rPr>
                <w:szCs w:val="18"/>
              </w:rPr>
              <w:t xml:space="preserve">“the example in the second bullet [of (iii)] should not be here since it is a counter example belonging to sub (ii).” </w:t>
            </w:r>
          </w:p>
          <w:p w:rsidR="009850CE" w:rsidRPr="00B73632" w:rsidRDefault="009850CE" w:rsidP="000E6CE9">
            <w:pPr>
              <w:rPr>
                <w:sz w:val="18"/>
                <w:szCs w:val="18"/>
                <w:lang w:eastAsia="ja-JP"/>
              </w:rPr>
            </w:pPr>
          </w:p>
        </w:tc>
      </w:tr>
    </w:tbl>
    <w:p w:rsidR="0016444B" w:rsidRDefault="0016444B" w:rsidP="000E6CE9">
      <w:pPr>
        <w:ind w:firstLine="567"/>
        <w:rPr>
          <w:lang w:eastAsia="ja-JP"/>
        </w:rPr>
      </w:pPr>
    </w:p>
    <w:p w:rsidR="000E6CE9" w:rsidRPr="00407B23" w:rsidRDefault="002E116F" w:rsidP="000E6CE9">
      <w:pPr>
        <w:ind w:firstLine="567"/>
      </w:pPr>
      <w:r w:rsidRPr="002E116F">
        <w:rPr>
          <w:lang w:eastAsia="ja-JP"/>
        </w:rPr>
        <w:t>“</w:t>
      </w:r>
      <w:r w:rsidR="000E6CE9" w:rsidRPr="00050497">
        <w:rPr>
          <w:strike/>
          <w:highlight w:val="lightGray"/>
        </w:rPr>
        <w:t>(b</w:t>
      </w:r>
      <w:proofErr w:type="gramStart"/>
      <w:r w:rsidR="000E6CE9" w:rsidRPr="00050497">
        <w:rPr>
          <w:strike/>
          <w:highlight w:val="lightGray"/>
        </w:rPr>
        <w:t>)</w:t>
      </w:r>
      <w:r w:rsidR="000E6CE9" w:rsidRPr="00C906B0">
        <w:rPr>
          <w:highlight w:val="lightGray"/>
          <w:u w:val="single"/>
        </w:rPr>
        <w:t>(</w:t>
      </w:r>
      <w:proofErr w:type="gramEnd"/>
      <w:r w:rsidR="000E6CE9" w:rsidRPr="00C906B0">
        <w:rPr>
          <w:highlight w:val="lightGray"/>
          <w:u w:val="single"/>
        </w:rPr>
        <w:t>c)</w:t>
      </w:r>
      <w:r w:rsidR="000E6CE9" w:rsidRPr="00407B23">
        <w:tab/>
        <w:t>The use of a denomination which is similar to that used for a variety of another species or genera in the same denomination class (see section 2.5) may cause confusion.</w:t>
      </w:r>
    </w:p>
    <w:p w:rsidR="000E6CE9" w:rsidRPr="00407B23" w:rsidRDefault="000E6CE9" w:rsidP="000E6CE9"/>
    <w:p w:rsidR="000E6CE9" w:rsidRPr="00407B23" w:rsidRDefault="000E6CE9" w:rsidP="000E6CE9">
      <w:pPr>
        <w:ind w:firstLine="567"/>
      </w:pPr>
      <w:r w:rsidRPr="00A0376E">
        <w:rPr>
          <w:strike/>
          <w:highlight w:val="lightGray"/>
        </w:rPr>
        <w:t>(c)</w:t>
      </w:r>
      <w:r>
        <w:rPr>
          <w:highlight w:val="lightGray"/>
          <w:u w:val="single"/>
        </w:rPr>
        <w:t>(d</w:t>
      </w:r>
      <w:r w:rsidRPr="00C906B0">
        <w:rPr>
          <w:highlight w:val="lightGray"/>
          <w:u w:val="single"/>
        </w:rPr>
        <w:t>)</w:t>
      </w:r>
      <w:r w:rsidRPr="00407B23">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t>
      </w:r>
      <w:r w:rsidRPr="00946A3A">
        <w:rPr>
          <w:highlight w:val="lightGray"/>
          <w:u w:val="double"/>
        </w:rPr>
        <w:t>(e.g. 10 years)</w:t>
      </w:r>
      <w:r>
        <w:t xml:space="preserve"> </w:t>
      </w:r>
      <w:r w:rsidR="007515BD" w:rsidRPr="00946A3A">
        <w:rPr>
          <w:rStyle w:val="FootnoteReference"/>
          <w:b/>
        </w:rPr>
        <w:footnoteReference w:id="7"/>
      </w:r>
      <w:r w:rsidR="007515BD">
        <w:t xml:space="preserve"> </w:t>
      </w:r>
      <w:r w:rsidRPr="00407B23">
        <w:t>would be required before the re-use of the denomination in order to avoid causing confusion in relation to the identity and/or the characteristics of the variety.</w:t>
      </w:r>
      <w:r w:rsidR="002E116F">
        <w:rPr>
          <w:lang w:eastAsia="ja-JP"/>
        </w:rPr>
        <w:t>”</w:t>
      </w:r>
      <w:r w:rsidRPr="00407B23">
        <w:t xml:space="preserve"> </w:t>
      </w:r>
    </w:p>
    <w:p w:rsidR="000E6CE9" w:rsidRDefault="000E6CE9" w:rsidP="000E6CE9">
      <w:pPr>
        <w:spacing w:line="360" w:lineRule="auto"/>
        <w:rPr>
          <w:lang w:eastAsia="ja-JP"/>
        </w:rPr>
      </w:pPr>
    </w:p>
    <w:p w:rsidR="0016444B" w:rsidRDefault="0016444B" w:rsidP="000E6CE9">
      <w:pPr>
        <w:spacing w:line="360" w:lineRule="auto"/>
        <w:rPr>
          <w:lang w:eastAsia="ja-JP"/>
        </w:rPr>
      </w:pPr>
    </w:p>
    <w:p w:rsidR="00816D60" w:rsidRDefault="0016444B" w:rsidP="0016444B">
      <w:pPr>
        <w:spacing w:line="360" w:lineRule="auto"/>
        <w:jc w:val="right"/>
        <w:rPr>
          <w:lang w:eastAsia="ja-JP"/>
        </w:rPr>
      </w:pPr>
      <w:r>
        <w:rPr>
          <w:lang w:eastAsia="ja-JP"/>
        </w:rPr>
        <w:t>[End of Annexes and of document]</w:t>
      </w:r>
    </w:p>
    <w:p w:rsidR="00816D60" w:rsidRDefault="00816D60" w:rsidP="000E6CE9">
      <w:pPr>
        <w:spacing w:line="360" w:lineRule="auto"/>
        <w:rPr>
          <w:lang w:eastAsia="ja-JP"/>
        </w:rPr>
      </w:pPr>
    </w:p>
    <w:p w:rsidR="00816D60" w:rsidRPr="00407B23" w:rsidRDefault="00816D60" w:rsidP="000E6CE9">
      <w:pPr>
        <w:spacing w:line="360" w:lineRule="auto"/>
        <w:rPr>
          <w:lang w:eastAsia="ja-JP"/>
        </w:rPr>
      </w:pPr>
    </w:p>
    <w:p w:rsidR="000E6CE9" w:rsidRDefault="000E6CE9" w:rsidP="000E6CE9">
      <w:pPr>
        <w:keepNext/>
        <w:jc w:val="right"/>
        <w:rPr>
          <w:lang w:eastAsia="ja-JP"/>
        </w:rPr>
      </w:pPr>
    </w:p>
    <w:sectPr w:rsidR="000E6CE9" w:rsidSect="00816D60">
      <w:headerReference w:type="default" r:id="rId19"/>
      <w:headerReference w:type="first" r:id="rId20"/>
      <w:endnotePr>
        <w:numFmt w:val="decimal"/>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B1" w:rsidRDefault="009021B1" w:rsidP="006655D3">
      <w:r>
        <w:separator/>
      </w:r>
    </w:p>
    <w:p w:rsidR="009021B1" w:rsidRDefault="009021B1" w:rsidP="006655D3"/>
    <w:p w:rsidR="009021B1" w:rsidRDefault="009021B1" w:rsidP="006655D3"/>
  </w:endnote>
  <w:endnote w:type="continuationSeparator" w:id="0">
    <w:p w:rsidR="009021B1" w:rsidRDefault="009021B1" w:rsidP="006655D3">
      <w:r>
        <w:separator/>
      </w:r>
    </w:p>
    <w:p w:rsidR="009021B1" w:rsidRPr="00267D09" w:rsidRDefault="009021B1">
      <w:pPr>
        <w:pStyle w:val="Footer"/>
        <w:spacing w:after="60"/>
        <w:rPr>
          <w:sz w:val="18"/>
          <w:lang w:val="fr-FR"/>
        </w:rPr>
      </w:pPr>
      <w:r w:rsidRPr="00267D09">
        <w:rPr>
          <w:sz w:val="18"/>
          <w:lang w:val="fr-FR"/>
        </w:rPr>
        <w:t>[Suite de la note de la page précédente]</w:t>
      </w:r>
    </w:p>
    <w:p w:rsidR="009021B1" w:rsidRPr="00267D09" w:rsidRDefault="009021B1" w:rsidP="006655D3">
      <w:pPr>
        <w:rPr>
          <w:lang w:val="fr-FR"/>
        </w:rPr>
      </w:pPr>
    </w:p>
    <w:p w:rsidR="009021B1" w:rsidRPr="00267D09" w:rsidRDefault="009021B1" w:rsidP="006655D3">
      <w:pPr>
        <w:rPr>
          <w:lang w:val="fr-FR"/>
        </w:rPr>
      </w:pPr>
    </w:p>
  </w:endnote>
  <w:endnote w:type="continuationNotice" w:id="1">
    <w:p w:rsidR="009021B1" w:rsidRPr="00267D09" w:rsidRDefault="009021B1" w:rsidP="006655D3">
      <w:pPr>
        <w:rPr>
          <w:lang w:val="fr-FR"/>
        </w:rPr>
      </w:pPr>
      <w:r w:rsidRPr="00267D09">
        <w:rPr>
          <w:lang w:val="fr-FR"/>
        </w:rPr>
        <w:t>[Suite de la note page suivante]</w:t>
      </w:r>
    </w:p>
    <w:p w:rsidR="009021B1" w:rsidRPr="00267D09" w:rsidRDefault="009021B1" w:rsidP="006655D3">
      <w:pPr>
        <w:rPr>
          <w:lang w:val="fr-FR"/>
        </w:rPr>
      </w:pPr>
    </w:p>
    <w:p w:rsidR="009021B1" w:rsidRPr="00267D09" w:rsidRDefault="009021B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B1" w:rsidRDefault="009021B1" w:rsidP="006655D3">
      <w:r>
        <w:separator/>
      </w:r>
    </w:p>
  </w:footnote>
  <w:footnote w:type="continuationSeparator" w:id="0">
    <w:p w:rsidR="009021B1" w:rsidRDefault="009021B1" w:rsidP="006655D3">
      <w:r>
        <w:separator/>
      </w:r>
    </w:p>
  </w:footnote>
  <w:footnote w:type="continuationNotice" w:id="1">
    <w:p w:rsidR="009021B1" w:rsidRPr="00AB530F" w:rsidRDefault="009021B1" w:rsidP="00AB530F">
      <w:pPr>
        <w:pStyle w:val="Footer"/>
      </w:pPr>
    </w:p>
  </w:footnote>
  <w:footnote w:id="2">
    <w:p w:rsidR="007515BD" w:rsidRDefault="007515BD" w:rsidP="009850CE">
      <w:pPr>
        <w:pStyle w:val="FootnoteText"/>
        <w:rPr>
          <w:lang w:eastAsia="ja-JP"/>
        </w:rPr>
      </w:pPr>
      <w:r>
        <w:rPr>
          <w:rStyle w:val="FootnoteReference"/>
        </w:rPr>
        <w:footnoteRef/>
      </w:r>
      <w:r>
        <w:t xml:space="preserve"> </w:t>
      </w:r>
      <w:r>
        <w:rPr>
          <w:rFonts w:hint="eastAsia"/>
          <w:lang w:eastAsia="ja-JP"/>
        </w:rPr>
        <w:tab/>
      </w:r>
      <w:r w:rsidRPr="002E3B56">
        <w:t xml:space="preserve">Comments from Argentina (see </w:t>
      </w:r>
      <w:hyperlink r:id="rId1" w:history="1">
        <w:r w:rsidRPr="002E3B56">
          <w:rPr>
            <w:rStyle w:val="Hyperlink"/>
          </w:rPr>
          <w:t>http://www.upov.int/edocs/mdocs/upov/en/caj_ag_13_8/caj_ag_13_8_www_285383.pdf</w:t>
        </w:r>
      </w:hyperlink>
      <w:r w:rsidRPr="002E3B56">
        <w:t>): Paragraph 2.3.3 “(a)  The recommendation that for denomination with a combination of letters and figures or solely of figures, changing only ONE letter or figure may be considered not to cause confusion concerning the identity of the breeder is confusing. It implies that confusion may or may not be caused, seeming to leave it to the interpretation of Member States, which may lead to a variety of solutions. The recommendation should follow a clear pattern. One way to provide clarity would be to adduce examples to this paragraph.”</w:t>
      </w:r>
    </w:p>
  </w:footnote>
  <w:footnote w:id="3">
    <w:p w:rsidR="007515BD" w:rsidRPr="002E3B56" w:rsidRDefault="007515BD" w:rsidP="009850CE">
      <w:pPr>
        <w:pStyle w:val="FootnoteText"/>
      </w:pPr>
      <w:r w:rsidRPr="002E3B56">
        <w:rPr>
          <w:rStyle w:val="FootnoteReference"/>
        </w:rPr>
        <w:footnoteRef/>
      </w:r>
      <w:r w:rsidRPr="002E3B56">
        <w:tab/>
        <w:t xml:space="preserve">Comments from Argentina (see </w:t>
      </w:r>
      <w:hyperlink r:id="rId2" w:history="1">
        <w:r w:rsidRPr="002E3B56">
          <w:rPr>
            <w:rStyle w:val="Hyperlink"/>
          </w:rPr>
          <w:t>http://www.upov.int/edocs/mdocs/upov/en/caj_ag_13_8/caj_ag_13_8_www_285383.pdf</w:t>
        </w:r>
      </w:hyperlink>
      <w:r w:rsidRPr="002E3B56">
        <w:t>): Paragraph 2.3.3 “(b)</w:t>
      </w:r>
      <w:r w:rsidRPr="002E3B56">
        <w:tab/>
      </w:r>
      <w:proofErr w:type="gramStart"/>
      <w:r w:rsidRPr="002E3B56">
        <w:t>It</w:t>
      </w:r>
      <w:proofErr w:type="gramEnd"/>
      <w:r w:rsidRPr="002E3B56">
        <w:t xml:space="preserve"> is suggested that “denominations not consisting of a combination of letters and figures, or “solely of figures” be changed “all other denominations”.” On this point, in our country it has been established that when the denomination consists of two or more “bodies” or “terms” – usually one body consists of letters and the other of figures – a letter or figure should be changed in each body. The difference is analyzed independently IN EVERY body or term of the denomination.”</w:t>
      </w:r>
    </w:p>
  </w:footnote>
  <w:footnote w:id="4">
    <w:p w:rsidR="007515BD" w:rsidRPr="002E3B56" w:rsidRDefault="007515BD" w:rsidP="009850CE">
      <w:pPr>
        <w:pStyle w:val="FootnoteText"/>
      </w:pPr>
      <w:r w:rsidRPr="002E3B56">
        <w:rPr>
          <w:rStyle w:val="FootnoteReference"/>
        </w:rPr>
        <w:footnoteRef/>
      </w:r>
      <w:r w:rsidRPr="002E3B56">
        <w:tab/>
        <w:t xml:space="preserve">Comments from Argentina (see </w:t>
      </w:r>
      <w:hyperlink r:id="rId3" w:history="1">
        <w:r w:rsidRPr="002E3B56">
          <w:rPr>
            <w:rStyle w:val="Hyperlink"/>
          </w:rPr>
          <w:t>http://www.upov.int/edocs/mdocs/upov/en/caj_ag_13_8/caj_ag_13_8_www_285383.pdf</w:t>
        </w:r>
      </w:hyperlink>
      <w:r w:rsidRPr="002E3B56">
        <w:t>):: Paragraph 2.3.3 (b) “(</w:t>
      </w:r>
      <w:proofErr w:type="spellStart"/>
      <w:r w:rsidRPr="002E3B56">
        <w:t>i</w:t>
      </w:r>
      <w:proofErr w:type="spellEnd"/>
      <w:r w:rsidRPr="002E3B56">
        <w:t xml:space="preserve">) </w:t>
      </w:r>
      <w:r w:rsidRPr="002E3B56">
        <w:tab/>
        <w:t>It is proposed that an example in Spanish be added, such as “Helena” and “Elena” to address a situation in which there is a clear visual difference but not a phonetic one, since the letter “H” is mute in Spanish.”</w:t>
      </w:r>
    </w:p>
  </w:footnote>
  <w:footnote w:id="5">
    <w:p w:rsidR="007515BD" w:rsidRPr="002E3B56" w:rsidRDefault="007515BD" w:rsidP="009850CE">
      <w:pPr>
        <w:pStyle w:val="FootnoteText"/>
      </w:pPr>
      <w:r w:rsidRPr="002E3B56">
        <w:rPr>
          <w:rStyle w:val="FootnoteReference"/>
        </w:rPr>
        <w:footnoteRef/>
      </w:r>
      <w:r w:rsidRPr="002E3B56">
        <w:tab/>
        <w:t xml:space="preserve">Comments from ESA (see </w:t>
      </w:r>
      <w:hyperlink r:id="rId4" w:history="1">
        <w:r w:rsidRPr="002E3B56">
          <w:rPr>
            <w:rStyle w:val="Hyperlink"/>
          </w:rPr>
          <w:t>http://www.upov.int/edocs/mdocs/upov/en/caj_ag_13_8/caj_ag_13_8_www_285391.pdf</w:t>
        </w:r>
      </w:hyperlink>
      <w:r w:rsidRPr="002E3B56">
        <w:t xml:space="preserve">): “Point 2.3.3 (b) (iii) refers to a case where a difference of one letter at the beginning may not provide a clear visual and phonetic difference. […] Further on, the example given in the first bullet does not have a difference of one letter in the beginning but of two letters.” </w:t>
      </w:r>
    </w:p>
  </w:footnote>
  <w:footnote w:id="6">
    <w:p w:rsidR="007515BD" w:rsidRPr="002E3B56" w:rsidRDefault="007515BD" w:rsidP="009850CE">
      <w:pPr>
        <w:pStyle w:val="FootnoteText"/>
      </w:pPr>
      <w:r w:rsidRPr="002E3B56">
        <w:rPr>
          <w:rStyle w:val="FootnoteReference"/>
        </w:rPr>
        <w:footnoteRef/>
      </w:r>
      <w:r w:rsidRPr="002E3B56">
        <w:tab/>
        <w:t xml:space="preserve">Comments from ESA (see </w:t>
      </w:r>
      <w:hyperlink r:id="rId5" w:history="1">
        <w:r w:rsidRPr="002E3B56">
          <w:rPr>
            <w:rStyle w:val="Hyperlink"/>
          </w:rPr>
          <w:t>http://www.upov.int/edocs/mdocs/upov/en/caj_ag_13_8/caj_ag_13_8_www_285391.pdf</w:t>
        </w:r>
      </w:hyperlink>
      <w:r w:rsidRPr="002E3B56">
        <w:t xml:space="preserve">): </w:t>
      </w:r>
      <w:proofErr w:type="gramStart"/>
      <w:r w:rsidRPr="002E3B56">
        <w:t>“ [</w:t>
      </w:r>
      <w:proofErr w:type="gramEnd"/>
      <w:r w:rsidRPr="002E3B56">
        <w:t xml:space="preserve">…] The example in the second bullet under this sub point should not be here since it is a counter example belonging to sub (ii).” </w:t>
      </w:r>
    </w:p>
  </w:footnote>
  <w:footnote w:id="7">
    <w:p w:rsidR="007515BD" w:rsidRPr="002E3B56" w:rsidRDefault="007515BD" w:rsidP="009850CE">
      <w:pPr>
        <w:pStyle w:val="FootnoteText"/>
      </w:pPr>
      <w:r w:rsidRPr="002E3B56">
        <w:rPr>
          <w:rStyle w:val="FootnoteReference"/>
        </w:rPr>
        <w:footnoteRef/>
      </w:r>
      <w:r w:rsidRPr="002E3B56">
        <w:tab/>
        <w:t xml:space="preserve">Comments from ESA (see </w:t>
      </w:r>
      <w:hyperlink r:id="rId6" w:history="1">
        <w:r w:rsidRPr="002E3B56">
          <w:rPr>
            <w:rStyle w:val="Hyperlink"/>
          </w:rPr>
          <w:t>http://www.upov.int/edocs/mdocs/upov/en/caj_ag_13_8/caj_ag_13_8_www_285391.pdf</w:t>
        </w:r>
      </w:hyperlink>
      <w:r w:rsidRPr="002E3B56">
        <w:t>)</w:t>
      </w:r>
      <w:proofErr w:type="gramStart"/>
      <w:r w:rsidRPr="002E3B56">
        <w:t>::</w:t>
      </w:r>
      <w:proofErr w:type="gramEnd"/>
      <w:r w:rsidRPr="002E3B56">
        <w:t xml:space="preserve"> “In point 2.3.3 (d) we propose to mention 10 years as an example of suitable period. This is what is indicated in the CPVO guidelines on variety denominations.”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AC" w:rsidRDefault="00C20BAC" w:rsidP="00BB268B">
    <w:pPr>
      <w:pStyle w:val="Header"/>
    </w:pPr>
    <w:r>
      <w:t>UPOV/WG-DST/</w:t>
    </w:r>
    <w:r>
      <w:rPr>
        <w:rFonts w:hint="eastAsia"/>
        <w:lang w:eastAsia="ja-JP"/>
      </w:rPr>
      <w:t>2</w:t>
    </w:r>
    <w:r>
      <w:t>/2</w:t>
    </w:r>
  </w:p>
  <w:p w:rsidR="00C20BAC" w:rsidRPr="00C5280D" w:rsidRDefault="00C20BAC" w:rsidP="000E6CE9">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0402A">
      <w:rPr>
        <w:rStyle w:val="PageNumber"/>
        <w:noProof/>
      </w:rPr>
      <w:t>4</w:t>
    </w:r>
    <w:r w:rsidRPr="00C5280D">
      <w:rPr>
        <w:rStyle w:val="PageNumber"/>
      </w:rPr>
      <w:fldChar w:fldCharType="end"/>
    </w:r>
  </w:p>
  <w:p w:rsidR="00C20BAC" w:rsidRDefault="00C20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AC" w:rsidRDefault="00C20BAC" w:rsidP="008545E1">
    <w:pPr>
      <w:pStyle w:val="Header"/>
      <w:jc w:val="both"/>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AC" w:rsidRPr="00F106BE" w:rsidRDefault="00C20BAC" w:rsidP="000E6CE9">
    <w:pPr>
      <w:pStyle w:val="Enttepair"/>
    </w:pPr>
    <w:r>
      <w:t>NOTES — ARTICLE 30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45" w:rsidRDefault="00C20BAC" w:rsidP="000E6CE9">
    <w:pPr>
      <w:pStyle w:val="Header"/>
      <w:rPr>
        <w:rFonts w:cs="Arial"/>
      </w:rPr>
    </w:pPr>
    <w:r>
      <w:rPr>
        <w:rFonts w:cs="Arial"/>
      </w:rPr>
      <w:t>UPOV/</w:t>
    </w:r>
    <w:r w:rsidR="00F91D45">
      <w:rPr>
        <w:rFonts w:cs="Arial"/>
      </w:rPr>
      <w:t>WG-DST/2/2</w:t>
    </w:r>
  </w:p>
  <w:p w:rsidR="00C20BAC" w:rsidRPr="009929A5" w:rsidRDefault="00C20BAC" w:rsidP="000E6CE9">
    <w:pPr>
      <w:pStyle w:val="Header"/>
      <w:rPr>
        <w:rStyle w:val="PageNumber"/>
        <w:rFonts w:cs="Arial"/>
      </w:rPr>
    </w:pPr>
    <w:r>
      <w:rPr>
        <w:rFonts w:cs="Arial"/>
      </w:rPr>
      <w:t>Annex</w:t>
    </w:r>
    <w:r w:rsidR="00816D60">
      <w:rPr>
        <w:rFonts w:cs="Arial" w:hint="eastAsia"/>
        <w:lang w:eastAsia="ja-JP"/>
      </w:rPr>
      <w:t xml:space="preserve"> II</w:t>
    </w:r>
    <w:r>
      <w:rPr>
        <w:rFonts w:cs="Arial"/>
      </w:rPr>
      <w:t xml:space="preserve">, </w:t>
    </w: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C35AEA">
      <w:rPr>
        <w:rStyle w:val="PageNumber"/>
        <w:rFonts w:cs="Arial"/>
        <w:noProof/>
      </w:rPr>
      <w:t>2</w:t>
    </w:r>
    <w:r w:rsidRPr="009929A5">
      <w:rPr>
        <w:rStyle w:val="PageNumber"/>
        <w:rFonts w:cs="Arial"/>
      </w:rPr>
      <w:fldChar w:fldCharType="end"/>
    </w:r>
  </w:p>
  <w:p w:rsidR="00C20BAC" w:rsidRPr="009929A5" w:rsidRDefault="00C20BAC" w:rsidP="000E6CE9">
    <w:pPr>
      <w:pStyle w:val="Header"/>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AC" w:rsidRDefault="00C20BAC" w:rsidP="00D10AB0">
    <w:pPr>
      <w:pStyle w:val="Header"/>
      <w:rPr>
        <w:b/>
      </w:rPr>
    </w:pPr>
    <w:r>
      <w:t>UPOV/WG-DST/</w:t>
    </w:r>
    <w:r>
      <w:rPr>
        <w:rFonts w:hint="eastAsia"/>
        <w:lang w:eastAsia="ja-JP"/>
      </w:rPr>
      <w:t>2</w:t>
    </w:r>
    <w:r>
      <w:t>/2</w:t>
    </w:r>
  </w:p>
  <w:p w:rsidR="00C20BAC" w:rsidRDefault="00C20BAC">
    <w:pPr>
      <w:jc w:val="center"/>
    </w:pPr>
  </w:p>
  <w:p w:rsidR="00C20BAC" w:rsidRDefault="00F91D45">
    <w:pPr>
      <w:jc w:val="center"/>
      <w:rPr>
        <w:lang w:eastAsia="ja-JP"/>
      </w:rPr>
    </w:pPr>
    <w:r>
      <w:t>ANNEX</w:t>
    </w:r>
    <w:r w:rsidR="00421C1B">
      <w:rPr>
        <w:rFonts w:hint="eastAsia"/>
        <w:lang w:eastAsia="ja-JP"/>
      </w:rPr>
      <w:t xml:space="preserve"> I</w:t>
    </w:r>
  </w:p>
  <w:p w:rsidR="00C20BAC" w:rsidRDefault="00C20BAC">
    <w:pPr>
      <w:jc w:val="center"/>
    </w:pPr>
  </w:p>
  <w:p w:rsidR="00C20BAC" w:rsidRDefault="00C20BAC">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60" w:rsidRDefault="00816D60" w:rsidP="00D10AB0">
    <w:pPr>
      <w:pStyle w:val="Header"/>
      <w:rPr>
        <w:b/>
      </w:rPr>
    </w:pPr>
    <w:r>
      <w:t>UPOV/WG-DST/</w:t>
    </w:r>
    <w:r>
      <w:rPr>
        <w:rFonts w:hint="eastAsia"/>
        <w:lang w:eastAsia="ja-JP"/>
      </w:rPr>
      <w:t>2</w:t>
    </w:r>
    <w:r>
      <w:t>/2</w:t>
    </w:r>
  </w:p>
  <w:p w:rsidR="00816D60" w:rsidRDefault="00816D60">
    <w:pPr>
      <w:jc w:val="center"/>
    </w:pPr>
  </w:p>
  <w:p w:rsidR="00816D60" w:rsidRDefault="00816D60">
    <w:pPr>
      <w:jc w:val="center"/>
      <w:rPr>
        <w:lang w:eastAsia="ja-JP"/>
      </w:rPr>
    </w:pPr>
    <w:r>
      <w:t>ANNEX</w:t>
    </w:r>
    <w:r>
      <w:rPr>
        <w:rFonts w:hint="eastAsia"/>
        <w:lang w:eastAsia="ja-JP"/>
      </w:rPr>
      <w:t xml:space="preserve"> II</w:t>
    </w:r>
  </w:p>
  <w:p w:rsidR="00816D60" w:rsidRDefault="00816D60">
    <w:pPr>
      <w:jc w:val="center"/>
    </w:pPr>
  </w:p>
  <w:p w:rsidR="00816D60" w:rsidRDefault="00816D60">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60" w:rsidRDefault="00816D60" w:rsidP="000E6CE9">
    <w:pPr>
      <w:pStyle w:val="Header"/>
      <w:rPr>
        <w:rFonts w:cs="Arial"/>
      </w:rPr>
    </w:pPr>
    <w:r>
      <w:rPr>
        <w:rFonts w:cs="Arial"/>
      </w:rPr>
      <w:t>UPOV/WG-DST/2/2</w:t>
    </w:r>
  </w:p>
  <w:p w:rsidR="00816D60" w:rsidRPr="009929A5" w:rsidRDefault="00816D60" w:rsidP="000E6CE9">
    <w:pPr>
      <w:pStyle w:val="Header"/>
      <w:rPr>
        <w:rStyle w:val="PageNumber"/>
        <w:rFonts w:cs="Arial"/>
      </w:rPr>
    </w:pPr>
    <w:r>
      <w:rPr>
        <w:rFonts w:cs="Arial"/>
      </w:rPr>
      <w:t>Annex</w:t>
    </w:r>
    <w:r>
      <w:rPr>
        <w:rFonts w:cs="Arial" w:hint="eastAsia"/>
        <w:lang w:eastAsia="ja-JP"/>
      </w:rPr>
      <w:t xml:space="preserve"> III</w:t>
    </w:r>
    <w:r>
      <w:rPr>
        <w:rFonts w:cs="Arial"/>
      </w:rPr>
      <w:t xml:space="preserve">, </w:t>
    </w: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D0402A">
      <w:rPr>
        <w:rStyle w:val="PageNumber"/>
        <w:rFonts w:cs="Arial"/>
        <w:noProof/>
      </w:rPr>
      <w:t>3</w:t>
    </w:r>
    <w:r w:rsidRPr="009929A5">
      <w:rPr>
        <w:rStyle w:val="PageNumber"/>
        <w:rFonts w:cs="Arial"/>
      </w:rPr>
      <w:fldChar w:fldCharType="end"/>
    </w:r>
  </w:p>
  <w:p w:rsidR="00816D60" w:rsidRPr="009929A5" w:rsidRDefault="00816D60" w:rsidP="000E6CE9">
    <w:pPr>
      <w:pStyle w:val="Head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60" w:rsidRDefault="00816D60" w:rsidP="00D10AB0">
    <w:pPr>
      <w:pStyle w:val="Header"/>
      <w:rPr>
        <w:b/>
      </w:rPr>
    </w:pPr>
    <w:r>
      <w:t>UPOV/WG-DST/</w:t>
    </w:r>
    <w:r>
      <w:rPr>
        <w:rFonts w:hint="eastAsia"/>
        <w:lang w:eastAsia="ja-JP"/>
      </w:rPr>
      <w:t>2</w:t>
    </w:r>
    <w:r>
      <w:t>/2</w:t>
    </w:r>
  </w:p>
  <w:p w:rsidR="00816D60" w:rsidRDefault="00816D60">
    <w:pPr>
      <w:jc w:val="center"/>
    </w:pPr>
  </w:p>
  <w:p w:rsidR="00816D60" w:rsidRDefault="00816D60">
    <w:pPr>
      <w:jc w:val="center"/>
      <w:rPr>
        <w:lang w:eastAsia="ja-JP"/>
      </w:rPr>
    </w:pPr>
    <w:r>
      <w:t>ANNEX</w:t>
    </w:r>
    <w:r>
      <w:rPr>
        <w:rFonts w:hint="eastAsia"/>
        <w:lang w:eastAsia="ja-JP"/>
      </w:rPr>
      <w:t xml:space="preserve"> III</w:t>
    </w:r>
  </w:p>
  <w:p w:rsidR="00816D60" w:rsidRDefault="00816D60">
    <w:pPr>
      <w:jc w:val="center"/>
    </w:pPr>
  </w:p>
  <w:p w:rsidR="00816D60" w:rsidRDefault="00816D6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5ACF2C"/>
    <w:lvl w:ilvl="0">
      <w:start w:val="1"/>
      <w:numFmt w:val="decimal"/>
      <w:lvlText w:val="%1."/>
      <w:lvlJc w:val="left"/>
      <w:pPr>
        <w:tabs>
          <w:tab w:val="num" w:pos="1492"/>
        </w:tabs>
        <w:ind w:left="1492" w:hanging="360"/>
      </w:pPr>
    </w:lvl>
  </w:abstractNum>
  <w:abstractNum w:abstractNumId="1">
    <w:nsid w:val="FFFFFF7D"/>
    <w:multiLevelType w:val="singleLevel"/>
    <w:tmpl w:val="179C3AC0"/>
    <w:lvl w:ilvl="0">
      <w:start w:val="1"/>
      <w:numFmt w:val="decimal"/>
      <w:lvlText w:val="%1."/>
      <w:lvlJc w:val="left"/>
      <w:pPr>
        <w:tabs>
          <w:tab w:val="num" w:pos="1209"/>
        </w:tabs>
        <w:ind w:left="1209" w:hanging="360"/>
      </w:pPr>
    </w:lvl>
  </w:abstractNum>
  <w:abstractNum w:abstractNumId="2">
    <w:nsid w:val="FFFFFF7E"/>
    <w:multiLevelType w:val="singleLevel"/>
    <w:tmpl w:val="76123100"/>
    <w:lvl w:ilvl="0">
      <w:start w:val="1"/>
      <w:numFmt w:val="decimal"/>
      <w:lvlText w:val="%1."/>
      <w:lvlJc w:val="left"/>
      <w:pPr>
        <w:tabs>
          <w:tab w:val="num" w:pos="926"/>
        </w:tabs>
        <w:ind w:left="926" w:hanging="360"/>
      </w:pPr>
    </w:lvl>
  </w:abstractNum>
  <w:abstractNum w:abstractNumId="3">
    <w:nsid w:val="FFFFFF7F"/>
    <w:multiLevelType w:val="singleLevel"/>
    <w:tmpl w:val="C06C7FF6"/>
    <w:lvl w:ilvl="0">
      <w:start w:val="1"/>
      <w:numFmt w:val="decimal"/>
      <w:lvlText w:val="%1."/>
      <w:lvlJc w:val="left"/>
      <w:pPr>
        <w:tabs>
          <w:tab w:val="num" w:pos="643"/>
        </w:tabs>
        <w:ind w:left="643" w:hanging="360"/>
      </w:pPr>
    </w:lvl>
  </w:abstractNum>
  <w:abstractNum w:abstractNumId="4">
    <w:nsid w:val="FFFFFF80"/>
    <w:multiLevelType w:val="singleLevel"/>
    <w:tmpl w:val="BD4EEB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1E1D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2036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3AB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96BFC6"/>
    <w:lvl w:ilvl="0">
      <w:start w:val="1"/>
      <w:numFmt w:val="decimal"/>
      <w:lvlText w:val="%1."/>
      <w:lvlJc w:val="left"/>
      <w:pPr>
        <w:tabs>
          <w:tab w:val="num" w:pos="360"/>
        </w:tabs>
        <w:ind w:left="360" w:hanging="360"/>
      </w:pPr>
    </w:lvl>
  </w:abstractNum>
  <w:abstractNum w:abstractNumId="9">
    <w:nsid w:val="FFFFFF89"/>
    <w:multiLevelType w:val="singleLevel"/>
    <w:tmpl w:val="86F29762"/>
    <w:lvl w:ilvl="0">
      <w:start w:val="1"/>
      <w:numFmt w:val="bullet"/>
      <w:lvlText w:val=""/>
      <w:lvlJc w:val="left"/>
      <w:pPr>
        <w:tabs>
          <w:tab w:val="num" w:pos="360"/>
        </w:tabs>
        <w:ind w:left="360" w:hanging="360"/>
      </w:pPr>
      <w:rPr>
        <w:rFonts w:ascii="Symbol" w:hAnsi="Symbol" w:hint="default"/>
      </w:rPr>
    </w:lvl>
  </w:abstractNum>
  <w:abstractNum w:abstractNumId="10">
    <w:nsid w:val="00DC2886"/>
    <w:multiLevelType w:val="hybridMultilevel"/>
    <w:tmpl w:val="58DC571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05DB9"/>
    <w:multiLevelType w:val="hybridMultilevel"/>
    <w:tmpl w:val="D30ABDEE"/>
    <w:lvl w:ilvl="0" w:tplc="8A4E3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51189"/>
    <w:multiLevelType w:val="hybridMultilevel"/>
    <w:tmpl w:val="29D07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1C3B443B"/>
    <w:multiLevelType w:val="hybridMultilevel"/>
    <w:tmpl w:val="A7D4F510"/>
    <w:lvl w:ilvl="0" w:tplc="CCC4196C">
      <w:start w:val="2"/>
      <w:numFmt w:val="lowerLetter"/>
      <w:lvlText w:val="(%1)"/>
      <w:lvlJc w:val="left"/>
      <w:pPr>
        <w:tabs>
          <w:tab w:val="num" w:pos="1137"/>
        </w:tabs>
        <w:ind w:left="1137" w:hanging="570"/>
      </w:pPr>
      <w:rPr>
        <w:rFonts w:hint="default"/>
      </w:rPr>
    </w:lvl>
    <w:lvl w:ilvl="1" w:tplc="8ED27B20">
      <w:start w:val="1"/>
      <w:numFmt w:val="lowerRoman"/>
      <w:lvlText w:val="(%2)"/>
      <w:lvlJc w:val="left"/>
      <w:pPr>
        <w:tabs>
          <w:tab w:val="num" w:pos="2007"/>
        </w:tabs>
        <w:ind w:left="2007" w:hanging="720"/>
      </w:pPr>
      <w:rPr>
        <w:rFonts w:hint="default"/>
        <w:i w:val="0"/>
      </w:rPr>
    </w:lvl>
    <w:lvl w:ilvl="2" w:tplc="C4C2E9C6">
      <w:start w:val="11"/>
      <w:numFmt w:val="decimal"/>
      <w:lvlText w:val="%3."/>
      <w:lvlJc w:val="left"/>
      <w:pPr>
        <w:ind w:left="2547" w:hanging="360"/>
      </w:pPr>
      <w:rPr>
        <w:rFonts w:hint="default"/>
      </w:rPr>
    </w:lvl>
    <w:lvl w:ilvl="3" w:tplc="237477CC">
      <w:start w:val="2"/>
      <w:numFmt w:val="bullet"/>
      <w:lvlText w:val="-"/>
      <w:lvlJc w:val="left"/>
      <w:pPr>
        <w:ind w:left="3087" w:hanging="360"/>
      </w:pPr>
      <w:rPr>
        <w:rFonts w:ascii="Arial" w:eastAsia="Times New Roman" w:hAnsi="Arial" w:cs="Arial"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2130574F"/>
    <w:multiLevelType w:val="hybridMultilevel"/>
    <w:tmpl w:val="B3AEB5D0"/>
    <w:lvl w:ilvl="0" w:tplc="381A88C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8895889"/>
    <w:multiLevelType w:val="hybridMultilevel"/>
    <w:tmpl w:val="CB3C70B6"/>
    <w:lvl w:ilvl="0" w:tplc="92D2EB62">
      <w:start w:val="1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334A4B92"/>
    <w:multiLevelType w:val="singleLevel"/>
    <w:tmpl w:val="0409000F"/>
    <w:lvl w:ilvl="0">
      <w:start w:val="1"/>
      <w:numFmt w:val="decimal"/>
      <w:lvlText w:val="%1."/>
      <w:lvlJc w:val="left"/>
      <w:pPr>
        <w:tabs>
          <w:tab w:val="num" w:pos="360"/>
        </w:tabs>
        <w:ind w:left="360" w:hanging="360"/>
      </w:pPr>
    </w:lvl>
  </w:abstractNum>
  <w:abstractNum w:abstractNumId="20">
    <w:nsid w:val="36EE7EB1"/>
    <w:multiLevelType w:val="hybridMultilevel"/>
    <w:tmpl w:val="21366B82"/>
    <w:lvl w:ilvl="0" w:tplc="2DDE0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22856"/>
    <w:multiLevelType w:val="hybridMultilevel"/>
    <w:tmpl w:val="2B2A7176"/>
    <w:lvl w:ilvl="0" w:tplc="576AD22A">
      <w:start w:val="1"/>
      <w:numFmt w:val="lowerLetter"/>
      <w:lvlText w:val="(%1)"/>
      <w:lvlJc w:val="left"/>
      <w:pPr>
        <w:ind w:left="786" w:hanging="360"/>
      </w:pPr>
      <w:rPr>
        <w:rFonts w:hint="default"/>
        <w:b w:val="0"/>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5">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3925DD"/>
    <w:multiLevelType w:val="hybridMultilevel"/>
    <w:tmpl w:val="FB7EA058"/>
    <w:lvl w:ilvl="0" w:tplc="6598D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8">
    <w:nsid w:val="5D112F2D"/>
    <w:multiLevelType w:val="hybridMultilevel"/>
    <w:tmpl w:val="B23634E4"/>
    <w:lvl w:ilvl="0" w:tplc="6FA22504">
      <w:start w:val="3"/>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C472658"/>
    <w:multiLevelType w:val="hybridMultilevel"/>
    <w:tmpl w:val="58867F9C"/>
    <w:lvl w:ilvl="0" w:tplc="1F60ED70">
      <w:start w:val="1"/>
      <w:numFmt w:val="lowerLetter"/>
      <w:lvlText w:val="(%1)"/>
      <w:lvlJc w:val="left"/>
      <w:pPr>
        <w:ind w:left="786" w:hanging="360"/>
      </w:pPr>
      <w:rPr>
        <w:rFonts w:hint="default"/>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07B87"/>
    <w:multiLevelType w:val="hybridMultilevel"/>
    <w:tmpl w:val="592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76413"/>
    <w:multiLevelType w:val="hybridMultilevel"/>
    <w:tmpl w:val="F7CCF66C"/>
    <w:lvl w:ilvl="0" w:tplc="244AAE2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3">
    <w:nsid w:val="76B259C6"/>
    <w:multiLevelType w:val="multilevel"/>
    <w:tmpl w:val="8D4AB45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35">
    <w:nsid w:val="7A3B0C30"/>
    <w:multiLevelType w:val="hybridMultilevel"/>
    <w:tmpl w:val="6A0CCBBC"/>
    <w:lvl w:ilvl="0" w:tplc="1F3A37CC">
      <w:start w:val="1"/>
      <w:numFmt w:val="bullet"/>
      <w:lvlText w:val="­"/>
      <w:lvlJc w:val="left"/>
      <w:pPr>
        <w:ind w:left="720" w:hanging="360"/>
      </w:pPr>
      <w:rPr>
        <w:rFonts w:ascii="Courier New" w:hAnsi="Courier Ne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A402CC1"/>
    <w:multiLevelType w:val="hybridMultilevel"/>
    <w:tmpl w:val="3356E2A2"/>
    <w:lvl w:ilvl="0" w:tplc="EFCE4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6"/>
  </w:num>
  <w:num w:numId="14">
    <w:abstractNumId w:val="26"/>
  </w:num>
  <w:num w:numId="15">
    <w:abstractNumId w:val="35"/>
  </w:num>
  <w:num w:numId="16">
    <w:abstractNumId w:val="23"/>
  </w:num>
  <w:num w:numId="17">
    <w:abstractNumId w:val="24"/>
  </w:num>
  <w:num w:numId="18">
    <w:abstractNumId w:val="27"/>
  </w:num>
  <w:num w:numId="19">
    <w:abstractNumId w:val="32"/>
  </w:num>
  <w:num w:numId="20">
    <w:abstractNumId w:val="11"/>
  </w:num>
  <w:num w:numId="21">
    <w:abstractNumId w:val="15"/>
  </w:num>
  <w:num w:numId="22">
    <w:abstractNumId w:val="34"/>
  </w:num>
  <w:num w:numId="23">
    <w:abstractNumId w:val="12"/>
  </w:num>
  <w:num w:numId="24">
    <w:abstractNumId w:val="13"/>
  </w:num>
  <w:num w:numId="25">
    <w:abstractNumId w:val="19"/>
  </w:num>
  <w:num w:numId="26">
    <w:abstractNumId w:val="10"/>
  </w:num>
  <w:num w:numId="27">
    <w:abstractNumId w:val="18"/>
  </w:num>
  <w:num w:numId="28">
    <w:abstractNumId w:val="17"/>
  </w:num>
  <w:num w:numId="29">
    <w:abstractNumId w:val="30"/>
  </w:num>
  <w:num w:numId="30">
    <w:abstractNumId w:val="22"/>
  </w:num>
  <w:num w:numId="31">
    <w:abstractNumId w:val="21"/>
  </w:num>
  <w:num w:numId="32">
    <w:abstractNumId w:val="31"/>
  </w:num>
  <w:num w:numId="33">
    <w:abstractNumId w:val="28"/>
  </w:num>
  <w:num w:numId="34">
    <w:abstractNumId w:val="36"/>
  </w:num>
  <w:num w:numId="35">
    <w:abstractNumId w:val="33"/>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7"/>
    <w:rsid w:val="00000019"/>
    <w:rsid w:val="00000BE5"/>
    <w:rsid w:val="000051E3"/>
    <w:rsid w:val="00010CF3"/>
    <w:rsid w:val="00011E27"/>
    <w:rsid w:val="000148BC"/>
    <w:rsid w:val="0001597B"/>
    <w:rsid w:val="00017252"/>
    <w:rsid w:val="00024AB8"/>
    <w:rsid w:val="000265E0"/>
    <w:rsid w:val="00030854"/>
    <w:rsid w:val="00031949"/>
    <w:rsid w:val="00036028"/>
    <w:rsid w:val="00044642"/>
    <w:rsid w:val="000446B9"/>
    <w:rsid w:val="00047E21"/>
    <w:rsid w:val="00051EB1"/>
    <w:rsid w:val="00055A01"/>
    <w:rsid w:val="00060D8F"/>
    <w:rsid w:val="0006349A"/>
    <w:rsid w:val="00064630"/>
    <w:rsid w:val="00066D05"/>
    <w:rsid w:val="00076239"/>
    <w:rsid w:val="00083495"/>
    <w:rsid w:val="00083D93"/>
    <w:rsid w:val="00085505"/>
    <w:rsid w:val="00091AF9"/>
    <w:rsid w:val="000A6B01"/>
    <w:rsid w:val="000A7A59"/>
    <w:rsid w:val="000B1E5B"/>
    <w:rsid w:val="000C165D"/>
    <w:rsid w:val="000C1E1C"/>
    <w:rsid w:val="000C6E94"/>
    <w:rsid w:val="000C7021"/>
    <w:rsid w:val="000D29F9"/>
    <w:rsid w:val="000D42F1"/>
    <w:rsid w:val="000D6BBC"/>
    <w:rsid w:val="000D7780"/>
    <w:rsid w:val="000E6CE9"/>
    <w:rsid w:val="000E6D75"/>
    <w:rsid w:val="000E71FF"/>
    <w:rsid w:val="000E7C67"/>
    <w:rsid w:val="000F2E6D"/>
    <w:rsid w:val="000F627B"/>
    <w:rsid w:val="00105929"/>
    <w:rsid w:val="00112B8B"/>
    <w:rsid w:val="001131D5"/>
    <w:rsid w:val="00123D10"/>
    <w:rsid w:val="00130117"/>
    <w:rsid w:val="001322D2"/>
    <w:rsid w:val="00141DB8"/>
    <w:rsid w:val="00144381"/>
    <w:rsid w:val="0015640D"/>
    <w:rsid w:val="00157504"/>
    <w:rsid w:val="0016444B"/>
    <w:rsid w:val="0016665B"/>
    <w:rsid w:val="001667CC"/>
    <w:rsid w:val="00173F91"/>
    <w:rsid w:val="00174201"/>
    <w:rsid w:val="0017474A"/>
    <w:rsid w:val="00174FFE"/>
    <w:rsid w:val="001758C6"/>
    <w:rsid w:val="00180337"/>
    <w:rsid w:val="0018142C"/>
    <w:rsid w:val="00182B99"/>
    <w:rsid w:val="001846E5"/>
    <w:rsid w:val="00184921"/>
    <w:rsid w:val="001876A8"/>
    <w:rsid w:val="0018780B"/>
    <w:rsid w:val="00196799"/>
    <w:rsid w:val="001968C0"/>
    <w:rsid w:val="001A7E49"/>
    <w:rsid w:val="001B1472"/>
    <w:rsid w:val="001B5AC3"/>
    <w:rsid w:val="001C1591"/>
    <w:rsid w:val="001C18AB"/>
    <w:rsid w:val="001C1F2E"/>
    <w:rsid w:val="001C2ED7"/>
    <w:rsid w:val="001C694F"/>
    <w:rsid w:val="001D1EFB"/>
    <w:rsid w:val="001D2858"/>
    <w:rsid w:val="001D3B20"/>
    <w:rsid w:val="001D4B40"/>
    <w:rsid w:val="001D5B33"/>
    <w:rsid w:val="001D6E30"/>
    <w:rsid w:val="001E1A4C"/>
    <w:rsid w:val="001F0FE8"/>
    <w:rsid w:val="001F14CA"/>
    <w:rsid w:val="001F45A7"/>
    <w:rsid w:val="001F5785"/>
    <w:rsid w:val="00212710"/>
    <w:rsid w:val="0021332C"/>
    <w:rsid w:val="00213982"/>
    <w:rsid w:val="00215C5B"/>
    <w:rsid w:val="002160E3"/>
    <w:rsid w:val="00225CEB"/>
    <w:rsid w:val="00240C25"/>
    <w:rsid w:val="0024416D"/>
    <w:rsid w:val="00244A71"/>
    <w:rsid w:val="00245474"/>
    <w:rsid w:val="002509BE"/>
    <w:rsid w:val="00255944"/>
    <w:rsid w:val="0026126C"/>
    <w:rsid w:val="00261442"/>
    <w:rsid w:val="00267D09"/>
    <w:rsid w:val="00267EB7"/>
    <w:rsid w:val="00272B54"/>
    <w:rsid w:val="00273AC0"/>
    <w:rsid w:val="002751CA"/>
    <w:rsid w:val="002800A0"/>
    <w:rsid w:val="002801B3"/>
    <w:rsid w:val="00281060"/>
    <w:rsid w:val="00283EDD"/>
    <w:rsid w:val="002906CF"/>
    <w:rsid w:val="002926D2"/>
    <w:rsid w:val="002940E8"/>
    <w:rsid w:val="0029534B"/>
    <w:rsid w:val="00296927"/>
    <w:rsid w:val="002A14CD"/>
    <w:rsid w:val="002A2EED"/>
    <w:rsid w:val="002A42E8"/>
    <w:rsid w:val="002A6E50"/>
    <w:rsid w:val="002B1E80"/>
    <w:rsid w:val="002B2118"/>
    <w:rsid w:val="002B5E70"/>
    <w:rsid w:val="002C1606"/>
    <w:rsid w:val="002C2194"/>
    <w:rsid w:val="002C256A"/>
    <w:rsid w:val="002D030C"/>
    <w:rsid w:val="002D327A"/>
    <w:rsid w:val="002E0DE8"/>
    <w:rsid w:val="002E116F"/>
    <w:rsid w:val="002E1DA0"/>
    <w:rsid w:val="002E4763"/>
    <w:rsid w:val="002F002D"/>
    <w:rsid w:val="002F1A47"/>
    <w:rsid w:val="002F2662"/>
    <w:rsid w:val="00305A7F"/>
    <w:rsid w:val="003140D5"/>
    <w:rsid w:val="003152FE"/>
    <w:rsid w:val="003219BF"/>
    <w:rsid w:val="00322CD1"/>
    <w:rsid w:val="003241EA"/>
    <w:rsid w:val="00327436"/>
    <w:rsid w:val="00332636"/>
    <w:rsid w:val="003337F5"/>
    <w:rsid w:val="00335D5F"/>
    <w:rsid w:val="0033754D"/>
    <w:rsid w:val="00342D59"/>
    <w:rsid w:val="00344BD6"/>
    <w:rsid w:val="00347C96"/>
    <w:rsid w:val="0035528D"/>
    <w:rsid w:val="00355C4B"/>
    <w:rsid w:val="00356C3A"/>
    <w:rsid w:val="00361821"/>
    <w:rsid w:val="00361E93"/>
    <w:rsid w:val="0036441F"/>
    <w:rsid w:val="0036564F"/>
    <w:rsid w:val="00372C8A"/>
    <w:rsid w:val="0038013D"/>
    <w:rsid w:val="003817AF"/>
    <w:rsid w:val="0038345A"/>
    <w:rsid w:val="00396DD8"/>
    <w:rsid w:val="003A44D6"/>
    <w:rsid w:val="003A509D"/>
    <w:rsid w:val="003A6051"/>
    <w:rsid w:val="003A7932"/>
    <w:rsid w:val="003B3383"/>
    <w:rsid w:val="003B3894"/>
    <w:rsid w:val="003B4FB7"/>
    <w:rsid w:val="003B6447"/>
    <w:rsid w:val="003C35BE"/>
    <w:rsid w:val="003D1991"/>
    <w:rsid w:val="003D227C"/>
    <w:rsid w:val="003D2B4D"/>
    <w:rsid w:val="003E5BBF"/>
    <w:rsid w:val="003F27F2"/>
    <w:rsid w:val="003F3796"/>
    <w:rsid w:val="003F4467"/>
    <w:rsid w:val="00400350"/>
    <w:rsid w:val="00412025"/>
    <w:rsid w:val="004166BE"/>
    <w:rsid w:val="00421C1B"/>
    <w:rsid w:val="00433EA0"/>
    <w:rsid w:val="0043575C"/>
    <w:rsid w:val="004377CF"/>
    <w:rsid w:val="00440D76"/>
    <w:rsid w:val="00443858"/>
    <w:rsid w:val="00444A88"/>
    <w:rsid w:val="004474DA"/>
    <w:rsid w:val="00454F1C"/>
    <w:rsid w:val="00456987"/>
    <w:rsid w:val="004645EC"/>
    <w:rsid w:val="00474DA4"/>
    <w:rsid w:val="00476B4D"/>
    <w:rsid w:val="004805FA"/>
    <w:rsid w:val="00481660"/>
    <w:rsid w:val="004865B7"/>
    <w:rsid w:val="00491ABD"/>
    <w:rsid w:val="0049483F"/>
    <w:rsid w:val="004A0466"/>
    <w:rsid w:val="004A0894"/>
    <w:rsid w:val="004A1DE7"/>
    <w:rsid w:val="004B5AD0"/>
    <w:rsid w:val="004B6363"/>
    <w:rsid w:val="004D047D"/>
    <w:rsid w:val="004D1EE0"/>
    <w:rsid w:val="004D3775"/>
    <w:rsid w:val="004E1D28"/>
    <w:rsid w:val="004F1633"/>
    <w:rsid w:val="004F305A"/>
    <w:rsid w:val="004F52E5"/>
    <w:rsid w:val="004F6C95"/>
    <w:rsid w:val="005004E2"/>
    <w:rsid w:val="00500FCA"/>
    <w:rsid w:val="00501ADC"/>
    <w:rsid w:val="00510E72"/>
    <w:rsid w:val="00512164"/>
    <w:rsid w:val="00513F90"/>
    <w:rsid w:val="00520297"/>
    <w:rsid w:val="00522BEA"/>
    <w:rsid w:val="00523D8E"/>
    <w:rsid w:val="00526312"/>
    <w:rsid w:val="005338F9"/>
    <w:rsid w:val="00541ACE"/>
    <w:rsid w:val="0054212D"/>
    <w:rsid w:val="00542620"/>
    <w:rsid w:val="0054281C"/>
    <w:rsid w:val="005434CB"/>
    <w:rsid w:val="00551F97"/>
    <w:rsid w:val="0055268D"/>
    <w:rsid w:val="005547CC"/>
    <w:rsid w:val="00556A5E"/>
    <w:rsid w:val="00567DC1"/>
    <w:rsid w:val="00576BE4"/>
    <w:rsid w:val="0057736E"/>
    <w:rsid w:val="0058091A"/>
    <w:rsid w:val="00586E99"/>
    <w:rsid w:val="005944A2"/>
    <w:rsid w:val="00596086"/>
    <w:rsid w:val="005965F8"/>
    <w:rsid w:val="005A2C35"/>
    <w:rsid w:val="005A345A"/>
    <w:rsid w:val="005A400A"/>
    <w:rsid w:val="005A42B4"/>
    <w:rsid w:val="005B1034"/>
    <w:rsid w:val="005B340D"/>
    <w:rsid w:val="005B5452"/>
    <w:rsid w:val="005B5512"/>
    <w:rsid w:val="005B7AC0"/>
    <w:rsid w:val="005C48ED"/>
    <w:rsid w:val="005E4528"/>
    <w:rsid w:val="005F3436"/>
    <w:rsid w:val="005F5422"/>
    <w:rsid w:val="005F7E99"/>
    <w:rsid w:val="00606FFA"/>
    <w:rsid w:val="0060716B"/>
    <w:rsid w:val="00612379"/>
    <w:rsid w:val="006134C5"/>
    <w:rsid w:val="0061555F"/>
    <w:rsid w:val="00623169"/>
    <w:rsid w:val="00625C35"/>
    <w:rsid w:val="00631FA8"/>
    <w:rsid w:val="00632B12"/>
    <w:rsid w:val="006369DC"/>
    <w:rsid w:val="00637869"/>
    <w:rsid w:val="00641200"/>
    <w:rsid w:val="00641384"/>
    <w:rsid w:val="00641EA9"/>
    <w:rsid w:val="00643605"/>
    <w:rsid w:val="00645FB5"/>
    <w:rsid w:val="00645FE8"/>
    <w:rsid w:val="00657E5E"/>
    <w:rsid w:val="00661B80"/>
    <w:rsid w:val="006655D3"/>
    <w:rsid w:val="00667404"/>
    <w:rsid w:val="00667EE8"/>
    <w:rsid w:val="00671961"/>
    <w:rsid w:val="00677A74"/>
    <w:rsid w:val="00680FDD"/>
    <w:rsid w:val="0068146B"/>
    <w:rsid w:val="00684EA9"/>
    <w:rsid w:val="00685222"/>
    <w:rsid w:val="00686486"/>
    <w:rsid w:val="00687EB4"/>
    <w:rsid w:val="006947AD"/>
    <w:rsid w:val="00696D91"/>
    <w:rsid w:val="006A1B87"/>
    <w:rsid w:val="006A262E"/>
    <w:rsid w:val="006A55AF"/>
    <w:rsid w:val="006A7B8B"/>
    <w:rsid w:val="006B17D2"/>
    <w:rsid w:val="006B3AE8"/>
    <w:rsid w:val="006B580C"/>
    <w:rsid w:val="006B770A"/>
    <w:rsid w:val="006B7755"/>
    <w:rsid w:val="006C224E"/>
    <w:rsid w:val="006D0412"/>
    <w:rsid w:val="006D53B7"/>
    <w:rsid w:val="006D780A"/>
    <w:rsid w:val="006E1436"/>
    <w:rsid w:val="006E33C4"/>
    <w:rsid w:val="006F0505"/>
    <w:rsid w:val="006F619A"/>
    <w:rsid w:val="00706B33"/>
    <w:rsid w:val="00712392"/>
    <w:rsid w:val="00715DA8"/>
    <w:rsid w:val="00726996"/>
    <w:rsid w:val="00732DEC"/>
    <w:rsid w:val="007347A5"/>
    <w:rsid w:val="00735BD5"/>
    <w:rsid w:val="00743532"/>
    <w:rsid w:val="00743932"/>
    <w:rsid w:val="00747526"/>
    <w:rsid w:val="007515BD"/>
    <w:rsid w:val="007556DC"/>
    <w:rsid w:val="007556F6"/>
    <w:rsid w:val="00755D96"/>
    <w:rsid w:val="00755E82"/>
    <w:rsid w:val="00760EEF"/>
    <w:rsid w:val="00761B45"/>
    <w:rsid w:val="0076216A"/>
    <w:rsid w:val="00762FF3"/>
    <w:rsid w:val="00765F2D"/>
    <w:rsid w:val="00770A8D"/>
    <w:rsid w:val="00771714"/>
    <w:rsid w:val="00771C61"/>
    <w:rsid w:val="00773DD5"/>
    <w:rsid w:val="00777920"/>
    <w:rsid w:val="00777EE5"/>
    <w:rsid w:val="00782D4F"/>
    <w:rsid w:val="00783213"/>
    <w:rsid w:val="00784836"/>
    <w:rsid w:val="007852BC"/>
    <w:rsid w:val="00786FA6"/>
    <w:rsid w:val="0079023E"/>
    <w:rsid w:val="00790EC4"/>
    <w:rsid w:val="00792DA0"/>
    <w:rsid w:val="0079629C"/>
    <w:rsid w:val="00796EC7"/>
    <w:rsid w:val="007A0424"/>
    <w:rsid w:val="007A2854"/>
    <w:rsid w:val="007A5C6A"/>
    <w:rsid w:val="007A693C"/>
    <w:rsid w:val="007A7AD4"/>
    <w:rsid w:val="007B5B40"/>
    <w:rsid w:val="007C3DD3"/>
    <w:rsid w:val="007D0B9D"/>
    <w:rsid w:val="007D19B0"/>
    <w:rsid w:val="007D4908"/>
    <w:rsid w:val="007F0F0E"/>
    <w:rsid w:val="007F435C"/>
    <w:rsid w:val="007F498F"/>
    <w:rsid w:val="008004F0"/>
    <w:rsid w:val="008037E3"/>
    <w:rsid w:val="0080628E"/>
    <w:rsid w:val="0080679D"/>
    <w:rsid w:val="008108B0"/>
    <w:rsid w:val="0081114F"/>
    <w:rsid w:val="00811B20"/>
    <w:rsid w:val="0081581E"/>
    <w:rsid w:val="00816D60"/>
    <w:rsid w:val="008200AC"/>
    <w:rsid w:val="00820A7B"/>
    <w:rsid w:val="0082296E"/>
    <w:rsid w:val="008232BD"/>
    <w:rsid w:val="00824099"/>
    <w:rsid w:val="00826945"/>
    <w:rsid w:val="00826E8F"/>
    <w:rsid w:val="00832298"/>
    <w:rsid w:val="008436F7"/>
    <w:rsid w:val="00843F90"/>
    <w:rsid w:val="008545E1"/>
    <w:rsid w:val="00855131"/>
    <w:rsid w:val="00861E68"/>
    <w:rsid w:val="00867AC1"/>
    <w:rsid w:val="0087054D"/>
    <w:rsid w:val="0087077A"/>
    <w:rsid w:val="00876C58"/>
    <w:rsid w:val="00880C9A"/>
    <w:rsid w:val="00880E62"/>
    <w:rsid w:val="008818DE"/>
    <w:rsid w:val="00882DFB"/>
    <w:rsid w:val="00883FDB"/>
    <w:rsid w:val="0088558C"/>
    <w:rsid w:val="008874D6"/>
    <w:rsid w:val="00896855"/>
    <w:rsid w:val="008A14F1"/>
    <w:rsid w:val="008A1D0C"/>
    <w:rsid w:val="008A1E0C"/>
    <w:rsid w:val="008A5AA9"/>
    <w:rsid w:val="008A5FBC"/>
    <w:rsid w:val="008A6FDC"/>
    <w:rsid w:val="008A743F"/>
    <w:rsid w:val="008C0970"/>
    <w:rsid w:val="008D2CF7"/>
    <w:rsid w:val="008D375D"/>
    <w:rsid w:val="008D66DF"/>
    <w:rsid w:val="008E2290"/>
    <w:rsid w:val="008E2BF9"/>
    <w:rsid w:val="008E3357"/>
    <w:rsid w:val="008F3487"/>
    <w:rsid w:val="008F67BA"/>
    <w:rsid w:val="008F6BA0"/>
    <w:rsid w:val="00900C26"/>
    <w:rsid w:val="0090197F"/>
    <w:rsid w:val="009021B1"/>
    <w:rsid w:val="00903656"/>
    <w:rsid w:val="00906DDC"/>
    <w:rsid w:val="00911CBB"/>
    <w:rsid w:val="0091238A"/>
    <w:rsid w:val="00917C3E"/>
    <w:rsid w:val="00924565"/>
    <w:rsid w:val="00934E09"/>
    <w:rsid w:val="0093601F"/>
    <w:rsid w:val="009360C0"/>
    <w:rsid w:val="00936253"/>
    <w:rsid w:val="00941271"/>
    <w:rsid w:val="0094373B"/>
    <w:rsid w:val="00950827"/>
    <w:rsid w:val="00952DD4"/>
    <w:rsid w:val="00953FA6"/>
    <w:rsid w:val="00961AFF"/>
    <w:rsid w:val="00966A08"/>
    <w:rsid w:val="00970FED"/>
    <w:rsid w:val="00976FB0"/>
    <w:rsid w:val="009850CE"/>
    <w:rsid w:val="0098618C"/>
    <w:rsid w:val="00997029"/>
    <w:rsid w:val="009A250E"/>
    <w:rsid w:val="009A307E"/>
    <w:rsid w:val="009A55A4"/>
    <w:rsid w:val="009B231B"/>
    <w:rsid w:val="009B2395"/>
    <w:rsid w:val="009C1C18"/>
    <w:rsid w:val="009C33B7"/>
    <w:rsid w:val="009C63E3"/>
    <w:rsid w:val="009D690D"/>
    <w:rsid w:val="009E4FEF"/>
    <w:rsid w:val="009E65B6"/>
    <w:rsid w:val="009E6CE3"/>
    <w:rsid w:val="009F0BD9"/>
    <w:rsid w:val="009F6D36"/>
    <w:rsid w:val="00A04520"/>
    <w:rsid w:val="00A07901"/>
    <w:rsid w:val="00A1061F"/>
    <w:rsid w:val="00A12CA3"/>
    <w:rsid w:val="00A13503"/>
    <w:rsid w:val="00A17211"/>
    <w:rsid w:val="00A24A1B"/>
    <w:rsid w:val="00A24C10"/>
    <w:rsid w:val="00A30116"/>
    <w:rsid w:val="00A339DC"/>
    <w:rsid w:val="00A42AC3"/>
    <w:rsid w:val="00A430CF"/>
    <w:rsid w:val="00A47859"/>
    <w:rsid w:val="00A54309"/>
    <w:rsid w:val="00A57C8D"/>
    <w:rsid w:val="00A619F7"/>
    <w:rsid w:val="00A6488A"/>
    <w:rsid w:val="00A65FD9"/>
    <w:rsid w:val="00A66154"/>
    <w:rsid w:val="00A81A8D"/>
    <w:rsid w:val="00A846A5"/>
    <w:rsid w:val="00A86265"/>
    <w:rsid w:val="00A920A6"/>
    <w:rsid w:val="00A93BFF"/>
    <w:rsid w:val="00A93F79"/>
    <w:rsid w:val="00A957A1"/>
    <w:rsid w:val="00A95AAC"/>
    <w:rsid w:val="00AA76A4"/>
    <w:rsid w:val="00AB0FAB"/>
    <w:rsid w:val="00AB2B93"/>
    <w:rsid w:val="00AB530F"/>
    <w:rsid w:val="00AB6124"/>
    <w:rsid w:val="00AB7E5B"/>
    <w:rsid w:val="00AC77C4"/>
    <w:rsid w:val="00AE0EF1"/>
    <w:rsid w:val="00AE2937"/>
    <w:rsid w:val="00AE66C7"/>
    <w:rsid w:val="00AE67B1"/>
    <w:rsid w:val="00AE74CC"/>
    <w:rsid w:val="00AF387E"/>
    <w:rsid w:val="00AF5D1C"/>
    <w:rsid w:val="00B07301"/>
    <w:rsid w:val="00B11393"/>
    <w:rsid w:val="00B1141C"/>
    <w:rsid w:val="00B1176F"/>
    <w:rsid w:val="00B11783"/>
    <w:rsid w:val="00B1647D"/>
    <w:rsid w:val="00B20858"/>
    <w:rsid w:val="00B20CCD"/>
    <w:rsid w:val="00B2103B"/>
    <w:rsid w:val="00B224DE"/>
    <w:rsid w:val="00B26B52"/>
    <w:rsid w:val="00B30A5A"/>
    <w:rsid w:val="00B4236A"/>
    <w:rsid w:val="00B43952"/>
    <w:rsid w:val="00B46575"/>
    <w:rsid w:val="00B46B8E"/>
    <w:rsid w:val="00B61DEC"/>
    <w:rsid w:val="00B71144"/>
    <w:rsid w:val="00B722FC"/>
    <w:rsid w:val="00B7244F"/>
    <w:rsid w:val="00B84BBD"/>
    <w:rsid w:val="00B85092"/>
    <w:rsid w:val="00B91030"/>
    <w:rsid w:val="00B9240D"/>
    <w:rsid w:val="00B92451"/>
    <w:rsid w:val="00B97D63"/>
    <w:rsid w:val="00BA17AA"/>
    <w:rsid w:val="00BA43FB"/>
    <w:rsid w:val="00BB0967"/>
    <w:rsid w:val="00BB10B1"/>
    <w:rsid w:val="00BB268B"/>
    <w:rsid w:val="00BB4586"/>
    <w:rsid w:val="00BB7CA3"/>
    <w:rsid w:val="00BC0CBB"/>
    <w:rsid w:val="00BC127D"/>
    <w:rsid w:val="00BC1468"/>
    <w:rsid w:val="00BC1FE6"/>
    <w:rsid w:val="00BC4ADD"/>
    <w:rsid w:val="00BD5B6E"/>
    <w:rsid w:val="00BD5F79"/>
    <w:rsid w:val="00BE7708"/>
    <w:rsid w:val="00C027D2"/>
    <w:rsid w:val="00C05746"/>
    <w:rsid w:val="00C061B6"/>
    <w:rsid w:val="00C117FD"/>
    <w:rsid w:val="00C20BAC"/>
    <w:rsid w:val="00C23F13"/>
    <w:rsid w:val="00C2446C"/>
    <w:rsid w:val="00C251B5"/>
    <w:rsid w:val="00C31EA1"/>
    <w:rsid w:val="00C35AEA"/>
    <w:rsid w:val="00C36AE5"/>
    <w:rsid w:val="00C41F17"/>
    <w:rsid w:val="00C421F1"/>
    <w:rsid w:val="00C52124"/>
    <w:rsid w:val="00C5280D"/>
    <w:rsid w:val="00C55A66"/>
    <w:rsid w:val="00C5791C"/>
    <w:rsid w:val="00C6006F"/>
    <w:rsid w:val="00C66290"/>
    <w:rsid w:val="00C66F58"/>
    <w:rsid w:val="00C72B7A"/>
    <w:rsid w:val="00C7353A"/>
    <w:rsid w:val="00C82DC2"/>
    <w:rsid w:val="00C857C8"/>
    <w:rsid w:val="00C9010C"/>
    <w:rsid w:val="00C96CE1"/>
    <w:rsid w:val="00C973F2"/>
    <w:rsid w:val="00CA304C"/>
    <w:rsid w:val="00CA613C"/>
    <w:rsid w:val="00CA774A"/>
    <w:rsid w:val="00CB08DC"/>
    <w:rsid w:val="00CB1C72"/>
    <w:rsid w:val="00CC0B37"/>
    <w:rsid w:val="00CC11B0"/>
    <w:rsid w:val="00CC1D3B"/>
    <w:rsid w:val="00CC4FA8"/>
    <w:rsid w:val="00CE054E"/>
    <w:rsid w:val="00CE5C55"/>
    <w:rsid w:val="00CF363C"/>
    <w:rsid w:val="00CF4746"/>
    <w:rsid w:val="00CF4DC2"/>
    <w:rsid w:val="00CF605C"/>
    <w:rsid w:val="00CF7E36"/>
    <w:rsid w:val="00D0402A"/>
    <w:rsid w:val="00D07810"/>
    <w:rsid w:val="00D10AB0"/>
    <w:rsid w:val="00D140A2"/>
    <w:rsid w:val="00D26ED4"/>
    <w:rsid w:val="00D355B6"/>
    <w:rsid w:val="00D3708D"/>
    <w:rsid w:val="00D40426"/>
    <w:rsid w:val="00D430F2"/>
    <w:rsid w:val="00D45921"/>
    <w:rsid w:val="00D57C96"/>
    <w:rsid w:val="00D61AD9"/>
    <w:rsid w:val="00D627F0"/>
    <w:rsid w:val="00D62AB1"/>
    <w:rsid w:val="00D674A1"/>
    <w:rsid w:val="00D753A2"/>
    <w:rsid w:val="00D91203"/>
    <w:rsid w:val="00D9222D"/>
    <w:rsid w:val="00D93E21"/>
    <w:rsid w:val="00D95174"/>
    <w:rsid w:val="00DA3B03"/>
    <w:rsid w:val="00DA4670"/>
    <w:rsid w:val="00DA5FA7"/>
    <w:rsid w:val="00DA6F36"/>
    <w:rsid w:val="00DA71B9"/>
    <w:rsid w:val="00DB596E"/>
    <w:rsid w:val="00DB7773"/>
    <w:rsid w:val="00DC00EA"/>
    <w:rsid w:val="00DC70B5"/>
    <w:rsid w:val="00DD0233"/>
    <w:rsid w:val="00DD28A3"/>
    <w:rsid w:val="00DD552E"/>
    <w:rsid w:val="00DD7308"/>
    <w:rsid w:val="00DE04C1"/>
    <w:rsid w:val="00DE0CAC"/>
    <w:rsid w:val="00DE5FA4"/>
    <w:rsid w:val="00DF352F"/>
    <w:rsid w:val="00DF474C"/>
    <w:rsid w:val="00DF5749"/>
    <w:rsid w:val="00DF605A"/>
    <w:rsid w:val="00E0334F"/>
    <w:rsid w:val="00E06CEC"/>
    <w:rsid w:val="00E07256"/>
    <w:rsid w:val="00E222E0"/>
    <w:rsid w:val="00E26930"/>
    <w:rsid w:val="00E31BE5"/>
    <w:rsid w:val="00E32D39"/>
    <w:rsid w:val="00E32F7E"/>
    <w:rsid w:val="00E3426D"/>
    <w:rsid w:val="00E34E59"/>
    <w:rsid w:val="00E40F03"/>
    <w:rsid w:val="00E44415"/>
    <w:rsid w:val="00E4452E"/>
    <w:rsid w:val="00E46399"/>
    <w:rsid w:val="00E52BE8"/>
    <w:rsid w:val="00E538E4"/>
    <w:rsid w:val="00E54D50"/>
    <w:rsid w:val="00E61EE1"/>
    <w:rsid w:val="00E63610"/>
    <w:rsid w:val="00E65597"/>
    <w:rsid w:val="00E72526"/>
    <w:rsid w:val="00E72D49"/>
    <w:rsid w:val="00E75221"/>
    <w:rsid w:val="00E756E6"/>
    <w:rsid w:val="00E7593C"/>
    <w:rsid w:val="00E7678A"/>
    <w:rsid w:val="00E768E9"/>
    <w:rsid w:val="00E81665"/>
    <w:rsid w:val="00E9057B"/>
    <w:rsid w:val="00E935F1"/>
    <w:rsid w:val="00E93A01"/>
    <w:rsid w:val="00E94A81"/>
    <w:rsid w:val="00EA0951"/>
    <w:rsid w:val="00EA1FFB"/>
    <w:rsid w:val="00EB048E"/>
    <w:rsid w:val="00EB66F6"/>
    <w:rsid w:val="00EC05C5"/>
    <w:rsid w:val="00EC28C2"/>
    <w:rsid w:val="00EC645D"/>
    <w:rsid w:val="00EC68FE"/>
    <w:rsid w:val="00ED325B"/>
    <w:rsid w:val="00ED4F8F"/>
    <w:rsid w:val="00EE0C33"/>
    <w:rsid w:val="00EE34DF"/>
    <w:rsid w:val="00EF2F89"/>
    <w:rsid w:val="00EF4CBC"/>
    <w:rsid w:val="00EF5A3E"/>
    <w:rsid w:val="00EF5EE9"/>
    <w:rsid w:val="00EF7D3A"/>
    <w:rsid w:val="00F02366"/>
    <w:rsid w:val="00F032AC"/>
    <w:rsid w:val="00F104BF"/>
    <w:rsid w:val="00F1237A"/>
    <w:rsid w:val="00F15300"/>
    <w:rsid w:val="00F20461"/>
    <w:rsid w:val="00F22CBD"/>
    <w:rsid w:val="00F245F0"/>
    <w:rsid w:val="00F25AA0"/>
    <w:rsid w:val="00F27B5E"/>
    <w:rsid w:val="00F337CB"/>
    <w:rsid w:val="00F37D62"/>
    <w:rsid w:val="00F42E95"/>
    <w:rsid w:val="00F45372"/>
    <w:rsid w:val="00F4585D"/>
    <w:rsid w:val="00F47E1C"/>
    <w:rsid w:val="00F50E50"/>
    <w:rsid w:val="00F560F7"/>
    <w:rsid w:val="00F6334D"/>
    <w:rsid w:val="00F63E30"/>
    <w:rsid w:val="00F641C3"/>
    <w:rsid w:val="00F65465"/>
    <w:rsid w:val="00F72E5B"/>
    <w:rsid w:val="00F734D0"/>
    <w:rsid w:val="00F914F5"/>
    <w:rsid w:val="00F91D45"/>
    <w:rsid w:val="00F92173"/>
    <w:rsid w:val="00F96A05"/>
    <w:rsid w:val="00FA0812"/>
    <w:rsid w:val="00FA093C"/>
    <w:rsid w:val="00FA49AB"/>
    <w:rsid w:val="00FA538E"/>
    <w:rsid w:val="00FB7B38"/>
    <w:rsid w:val="00FC3596"/>
    <w:rsid w:val="00FC3C1E"/>
    <w:rsid w:val="00FC5A68"/>
    <w:rsid w:val="00FC5DE6"/>
    <w:rsid w:val="00FC6075"/>
    <w:rsid w:val="00FD0ADD"/>
    <w:rsid w:val="00FD33FA"/>
    <w:rsid w:val="00FD3EFD"/>
    <w:rsid w:val="00FD46D7"/>
    <w:rsid w:val="00FD54E2"/>
    <w:rsid w:val="00FE39C7"/>
    <w:rsid w:val="00FE6347"/>
    <w:rsid w:val="00FE76B4"/>
    <w:rsid w:val="00FF07D7"/>
    <w:rsid w:val="00FF16C2"/>
    <w:rsid w:val="00FF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E4763"/>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E4763"/>
    <w:pPr>
      <w:keepNext/>
      <w:outlineLvl w:val="0"/>
    </w:pPr>
    <w:rPr>
      <w:rFonts w:ascii="Arial" w:hAnsi="Arial"/>
      <w:caps/>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07">
      <w:bodyDiv w:val="1"/>
      <w:marLeft w:val="0"/>
      <w:marRight w:val="0"/>
      <w:marTop w:val="0"/>
      <w:marBottom w:val="0"/>
      <w:divBdr>
        <w:top w:val="none" w:sz="0" w:space="0" w:color="auto"/>
        <w:left w:val="none" w:sz="0" w:space="0" w:color="auto"/>
        <w:bottom w:val="none" w:sz="0" w:space="0" w:color="auto"/>
        <w:right w:val="none" w:sz="0" w:space="0" w:color="auto"/>
      </w:divBdr>
    </w:div>
    <w:div w:id="153837956">
      <w:bodyDiv w:val="1"/>
      <w:marLeft w:val="0"/>
      <w:marRight w:val="0"/>
      <w:marTop w:val="0"/>
      <w:marBottom w:val="0"/>
      <w:divBdr>
        <w:top w:val="none" w:sz="0" w:space="0" w:color="auto"/>
        <w:left w:val="none" w:sz="0" w:space="0" w:color="auto"/>
        <w:bottom w:val="none" w:sz="0" w:space="0" w:color="auto"/>
        <w:right w:val="none" w:sz="0" w:space="0" w:color="auto"/>
      </w:divBdr>
    </w:div>
    <w:div w:id="177086094">
      <w:bodyDiv w:val="1"/>
      <w:marLeft w:val="0"/>
      <w:marRight w:val="0"/>
      <w:marTop w:val="0"/>
      <w:marBottom w:val="0"/>
      <w:divBdr>
        <w:top w:val="none" w:sz="0" w:space="0" w:color="auto"/>
        <w:left w:val="none" w:sz="0" w:space="0" w:color="auto"/>
        <w:bottom w:val="none" w:sz="0" w:space="0" w:color="auto"/>
        <w:right w:val="none" w:sz="0" w:space="0" w:color="auto"/>
      </w:divBdr>
    </w:div>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298069398">
      <w:bodyDiv w:val="1"/>
      <w:marLeft w:val="0"/>
      <w:marRight w:val="0"/>
      <w:marTop w:val="0"/>
      <w:marBottom w:val="0"/>
      <w:divBdr>
        <w:top w:val="none" w:sz="0" w:space="0" w:color="auto"/>
        <w:left w:val="none" w:sz="0" w:space="0" w:color="auto"/>
        <w:bottom w:val="none" w:sz="0" w:space="0" w:color="auto"/>
        <w:right w:val="none" w:sz="0" w:space="0" w:color="auto"/>
      </w:divBdr>
    </w:div>
    <w:div w:id="363285170">
      <w:bodyDiv w:val="1"/>
      <w:marLeft w:val="0"/>
      <w:marRight w:val="0"/>
      <w:marTop w:val="0"/>
      <w:marBottom w:val="0"/>
      <w:divBdr>
        <w:top w:val="none" w:sz="0" w:space="0" w:color="auto"/>
        <w:left w:val="none" w:sz="0" w:space="0" w:color="auto"/>
        <w:bottom w:val="none" w:sz="0" w:space="0" w:color="auto"/>
        <w:right w:val="none" w:sz="0" w:space="0" w:color="auto"/>
      </w:divBdr>
    </w:div>
    <w:div w:id="818962211">
      <w:bodyDiv w:val="1"/>
      <w:marLeft w:val="0"/>
      <w:marRight w:val="0"/>
      <w:marTop w:val="0"/>
      <w:marBottom w:val="0"/>
      <w:divBdr>
        <w:top w:val="none" w:sz="0" w:space="0" w:color="auto"/>
        <w:left w:val="none" w:sz="0" w:space="0" w:color="auto"/>
        <w:bottom w:val="none" w:sz="0" w:space="0" w:color="auto"/>
        <w:right w:val="none" w:sz="0" w:space="0" w:color="auto"/>
      </w:divBdr>
    </w:div>
    <w:div w:id="858087434">
      <w:bodyDiv w:val="1"/>
      <w:marLeft w:val="0"/>
      <w:marRight w:val="0"/>
      <w:marTop w:val="0"/>
      <w:marBottom w:val="0"/>
      <w:divBdr>
        <w:top w:val="none" w:sz="0" w:space="0" w:color="auto"/>
        <w:left w:val="none" w:sz="0" w:space="0" w:color="auto"/>
        <w:bottom w:val="none" w:sz="0" w:space="0" w:color="auto"/>
        <w:right w:val="none" w:sz="0" w:space="0" w:color="auto"/>
      </w:divBdr>
      <w:divsChild>
        <w:div w:id="170459668">
          <w:marLeft w:val="547"/>
          <w:marRight w:val="0"/>
          <w:marTop w:val="144"/>
          <w:marBottom w:val="0"/>
          <w:divBdr>
            <w:top w:val="none" w:sz="0" w:space="0" w:color="auto"/>
            <w:left w:val="none" w:sz="0" w:space="0" w:color="auto"/>
            <w:bottom w:val="none" w:sz="0" w:space="0" w:color="auto"/>
            <w:right w:val="none" w:sz="0" w:space="0" w:color="auto"/>
          </w:divBdr>
        </w:div>
        <w:div w:id="674260544">
          <w:marLeft w:val="547"/>
          <w:marRight w:val="0"/>
          <w:marTop w:val="144"/>
          <w:marBottom w:val="0"/>
          <w:divBdr>
            <w:top w:val="none" w:sz="0" w:space="0" w:color="auto"/>
            <w:left w:val="none" w:sz="0" w:space="0" w:color="auto"/>
            <w:bottom w:val="none" w:sz="0" w:space="0" w:color="auto"/>
            <w:right w:val="none" w:sz="0" w:space="0" w:color="auto"/>
          </w:divBdr>
        </w:div>
        <w:div w:id="1976837506">
          <w:marLeft w:val="547"/>
          <w:marRight w:val="0"/>
          <w:marTop w:val="144"/>
          <w:marBottom w:val="0"/>
          <w:divBdr>
            <w:top w:val="none" w:sz="0" w:space="0" w:color="auto"/>
            <w:left w:val="none" w:sz="0" w:space="0" w:color="auto"/>
            <w:bottom w:val="none" w:sz="0" w:space="0" w:color="auto"/>
            <w:right w:val="none" w:sz="0" w:space="0" w:color="auto"/>
          </w:divBdr>
        </w:div>
      </w:divsChild>
    </w:div>
    <w:div w:id="868488599">
      <w:bodyDiv w:val="1"/>
      <w:marLeft w:val="0"/>
      <w:marRight w:val="0"/>
      <w:marTop w:val="0"/>
      <w:marBottom w:val="0"/>
      <w:divBdr>
        <w:top w:val="none" w:sz="0" w:space="0" w:color="auto"/>
        <w:left w:val="none" w:sz="0" w:space="0" w:color="auto"/>
        <w:bottom w:val="none" w:sz="0" w:space="0" w:color="auto"/>
        <w:right w:val="none" w:sz="0" w:space="0" w:color="auto"/>
      </w:divBdr>
    </w:div>
    <w:div w:id="935090963">
      <w:bodyDiv w:val="1"/>
      <w:marLeft w:val="0"/>
      <w:marRight w:val="0"/>
      <w:marTop w:val="0"/>
      <w:marBottom w:val="0"/>
      <w:divBdr>
        <w:top w:val="none" w:sz="0" w:space="0" w:color="auto"/>
        <w:left w:val="none" w:sz="0" w:space="0" w:color="auto"/>
        <w:bottom w:val="none" w:sz="0" w:space="0" w:color="auto"/>
        <w:right w:val="none" w:sz="0" w:space="0" w:color="auto"/>
      </w:divBdr>
    </w:div>
    <w:div w:id="978345563">
      <w:bodyDiv w:val="1"/>
      <w:marLeft w:val="0"/>
      <w:marRight w:val="0"/>
      <w:marTop w:val="0"/>
      <w:marBottom w:val="0"/>
      <w:divBdr>
        <w:top w:val="none" w:sz="0" w:space="0" w:color="auto"/>
        <w:left w:val="none" w:sz="0" w:space="0" w:color="auto"/>
        <w:bottom w:val="none" w:sz="0" w:space="0" w:color="auto"/>
        <w:right w:val="none" w:sz="0" w:space="0" w:color="auto"/>
      </w:divBdr>
    </w:div>
    <w:div w:id="1117411909">
      <w:bodyDiv w:val="1"/>
      <w:marLeft w:val="0"/>
      <w:marRight w:val="0"/>
      <w:marTop w:val="0"/>
      <w:marBottom w:val="0"/>
      <w:divBdr>
        <w:top w:val="none" w:sz="0" w:space="0" w:color="auto"/>
        <w:left w:val="none" w:sz="0" w:space="0" w:color="auto"/>
        <w:bottom w:val="none" w:sz="0" w:space="0" w:color="auto"/>
        <w:right w:val="none" w:sz="0" w:space="0" w:color="auto"/>
      </w:divBdr>
    </w:div>
    <w:div w:id="1203710900">
      <w:bodyDiv w:val="1"/>
      <w:marLeft w:val="0"/>
      <w:marRight w:val="0"/>
      <w:marTop w:val="0"/>
      <w:marBottom w:val="0"/>
      <w:divBdr>
        <w:top w:val="none" w:sz="0" w:space="0" w:color="auto"/>
        <w:left w:val="none" w:sz="0" w:space="0" w:color="auto"/>
        <w:bottom w:val="none" w:sz="0" w:space="0" w:color="auto"/>
        <w:right w:val="none" w:sz="0" w:space="0" w:color="auto"/>
      </w:divBdr>
    </w:div>
    <w:div w:id="1219241772">
      <w:bodyDiv w:val="1"/>
      <w:marLeft w:val="0"/>
      <w:marRight w:val="0"/>
      <w:marTop w:val="0"/>
      <w:marBottom w:val="0"/>
      <w:divBdr>
        <w:top w:val="none" w:sz="0" w:space="0" w:color="auto"/>
        <w:left w:val="none" w:sz="0" w:space="0" w:color="auto"/>
        <w:bottom w:val="none" w:sz="0" w:space="0" w:color="auto"/>
        <w:right w:val="none" w:sz="0" w:space="0" w:color="auto"/>
      </w:divBdr>
    </w:div>
    <w:div w:id="1322466302">
      <w:bodyDiv w:val="1"/>
      <w:marLeft w:val="0"/>
      <w:marRight w:val="0"/>
      <w:marTop w:val="0"/>
      <w:marBottom w:val="0"/>
      <w:divBdr>
        <w:top w:val="none" w:sz="0" w:space="0" w:color="auto"/>
        <w:left w:val="none" w:sz="0" w:space="0" w:color="auto"/>
        <w:bottom w:val="none" w:sz="0" w:space="0" w:color="auto"/>
        <w:right w:val="none" w:sz="0" w:space="0" w:color="auto"/>
      </w:divBdr>
    </w:div>
    <w:div w:id="1426538830">
      <w:bodyDiv w:val="1"/>
      <w:marLeft w:val="0"/>
      <w:marRight w:val="0"/>
      <w:marTop w:val="0"/>
      <w:marBottom w:val="0"/>
      <w:divBdr>
        <w:top w:val="none" w:sz="0" w:space="0" w:color="auto"/>
        <w:left w:val="none" w:sz="0" w:space="0" w:color="auto"/>
        <w:bottom w:val="none" w:sz="0" w:space="0" w:color="auto"/>
        <w:right w:val="none" w:sz="0" w:space="0" w:color="auto"/>
      </w:divBdr>
    </w:div>
    <w:div w:id="1430002476">
      <w:bodyDiv w:val="1"/>
      <w:marLeft w:val="0"/>
      <w:marRight w:val="0"/>
      <w:marTop w:val="0"/>
      <w:marBottom w:val="0"/>
      <w:divBdr>
        <w:top w:val="none" w:sz="0" w:space="0" w:color="auto"/>
        <w:left w:val="none" w:sz="0" w:space="0" w:color="auto"/>
        <w:bottom w:val="none" w:sz="0" w:space="0" w:color="auto"/>
        <w:right w:val="none" w:sz="0" w:space="0" w:color="auto"/>
      </w:divBdr>
    </w:div>
    <w:div w:id="1590770525">
      <w:bodyDiv w:val="1"/>
      <w:marLeft w:val="0"/>
      <w:marRight w:val="0"/>
      <w:marTop w:val="0"/>
      <w:marBottom w:val="0"/>
      <w:divBdr>
        <w:top w:val="none" w:sz="0" w:space="0" w:color="auto"/>
        <w:left w:val="none" w:sz="0" w:space="0" w:color="auto"/>
        <w:bottom w:val="none" w:sz="0" w:space="0" w:color="auto"/>
        <w:right w:val="none" w:sz="0" w:space="0" w:color="auto"/>
      </w:divBdr>
    </w:div>
    <w:div w:id="1642418690">
      <w:bodyDiv w:val="1"/>
      <w:marLeft w:val="0"/>
      <w:marRight w:val="0"/>
      <w:marTop w:val="0"/>
      <w:marBottom w:val="0"/>
      <w:divBdr>
        <w:top w:val="none" w:sz="0" w:space="0" w:color="auto"/>
        <w:left w:val="none" w:sz="0" w:space="0" w:color="auto"/>
        <w:bottom w:val="none" w:sz="0" w:space="0" w:color="auto"/>
        <w:right w:val="none" w:sz="0" w:space="0" w:color="auto"/>
      </w:divBdr>
    </w:div>
    <w:div w:id="1787460291">
      <w:bodyDiv w:val="1"/>
      <w:marLeft w:val="0"/>
      <w:marRight w:val="0"/>
      <w:marTop w:val="0"/>
      <w:marBottom w:val="0"/>
      <w:divBdr>
        <w:top w:val="none" w:sz="0" w:space="0" w:color="auto"/>
        <w:left w:val="none" w:sz="0" w:space="0" w:color="auto"/>
        <w:bottom w:val="none" w:sz="0" w:space="0" w:color="auto"/>
        <w:right w:val="none" w:sz="0" w:space="0" w:color="auto"/>
      </w:divBdr>
    </w:div>
    <w:div w:id="1839617774">
      <w:bodyDiv w:val="1"/>
      <w:marLeft w:val="0"/>
      <w:marRight w:val="0"/>
      <w:marTop w:val="0"/>
      <w:marBottom w:val="0"/>
      <w:divBdr>
        <w:top w:val="none" w:sz="0" w:space="0" w:color="auto"/>
        <w:left w:val="none" w:sz="0" w:space="0" w:color="auto"/>
        <w:bottom w:val="none" w:sz="0" w:space="0" w:color="auto"/>
        <w:right w:val="none" w:sz="0" w:space="0" w:color="auto"/>
      </w:divBdr>
    </w:div>
    <w:div w:id="1890265874">
      <w:bodyDiv w:val="1"/>
      <w:marLeft w:val="0"/>
      <w:marRight w:val="0"/>
      <w:marTop w:val="0"/>
      <w:marBottom w:val="0"/>
      <w:divBdr>
        <w:top w:val="none" w:sz="0" w:space="0" w:color="auto"/>
        <w:left w:val="none" w:sz="0" w:space="0" w:color="auto"/>
        <w:bottom w:val="none" w:sz="0" w:space="0" w:color="auto"/>
        <w:right w:val="none" w:sz="0" w:space="0" w:color="auto"/>
      </w:divBdr>
    </w:div>
    <w:div w:id="1956131443">
      <w:bodyDiv w:val="1"/>
      <w:marLeft w:val="0"/>
      <w:marRight w:val="0"/>
      <w:marTop w:val="0"/>
      <w:marBottom w:val="0"/>
      <w:divBdr>
        <w:top w:val="none" w:sz="0" w:space="0" w:color="auto"/>
        <w:left w:val="none" w:sz="0" w:space="0" w:color="auto"/>
        <w:bottom w:val="none" w:sz="0" w:space="0" w:color="auto"/>
        <w:right w:val="none" w:sz="0" w:space="0" w:color="auto"/>
      </w:divBdr>
      <w:divsChild>
        <w:div w:id="874275296">
          <w:marLeft w:val="547"/>
          <w:marRight w:val="0"/>
          <w:marTop w:val="154"/>
          <w:marBottom w:val="0"/>
          <w:divBdr>
            <w:top w:val="none" w:sz="0" w:space="0" w:color="auto"/>
            <w:left w:val="none" w:sz="0" w:space="0" w:color="auto"/>
            <w:bottom w:val="none" w:sz="0" w:space="0" w:color="auto"/>
            <w:right w:val="none" w:sz="0" w:space="0" w:color="auto"/>
          </w:divBdr>
        </w:div>
        <w:div w:id="1799520084">
          <w:marLeft w:val="547"/>
          <w:marRight w:val="0"/>
          <w:marTop w:val="154"/>
          <w:marBottom w:val="0"/>
          <w:divBdr>
            <w:top w:val="none" w:sz="0" w:space="0" w:color="auto"/>
            <w:left w:val="none" w:sz="0" w:space="0" w:color="auto"/>
            <w:bottom w:val="none" w:sz="0" w:space="0" w:color="auto"/>
            <w:right w:val="none" w:sz="0" w:space="0" w:color="auto"/>
          </w:divBdr>
        </w:div>
      </w:divsChild>
    </w:div>
    <w:div w:id="2028366028">
      <w:bodyDiv w:val="1"/>
      <w:marLeft w:val="0"/>
      <w:marRight w:val="0"/>
      <w:marTop w:val="0"/>
      <w:marBottom w:val="0"/>
      <w:divBdr>
        <w:top w:val="none" w:sz="0" w:space="0" w:color="auto"/>
        <w:left w:val="none" w:sz="0" w:space="0" w:color="auto"/>
        <w:bottom w:val="none" w:sz="0" w:space="0" w:color="auto"/>
        <w:right w:val="none" w:sz="0" w:space="0" w:color="auto"/>
      </w:divBdr>
    </w:div>
    <w:div w:id="2070565735">
      <w:bodyDiv w:val="1"/>
      <w:marLeft w:val="0"/>
      <w:marRight w:val="0"/>
      <w:marTop w:val="0"/>
      <w:marBottom w:val="0"/>
      <w:divBdr>
        <w:top w:val="none" w:sz="0" w:space="0" w:color="auto"/>
        <w:left w:val="none" w:sz="0" w:space="0" w:color="auto"/>
        <w:bottom w:val="none" w:sz="0" w:space="0" w:color="auto"/>
        <w:right w:val="none" w:sz="0" w:space="0" w:color="auto"/>
      </w:divBdr>
    </w:div>
    <w:div w:id="207312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pov.int/pluto/en/"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35055"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meetings/en/details.jsp?meeting_id=29783"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edocs/mdocs/upov/en/caj_ag_13_8/caj_ag_13_8_www_285383.pdf" TargetMode="External"/><Relationship Id="rId2" Type="http://schemas.openxmlformats.org/officeDocument/2006/relationships/hyperlink" Target="http://www.upov.int/edocs/mdocs/upov/en/caj_ag_13_8/caj_ag_13_8_www_285383.pdf" TargetMode="External"/><Relationship Id="rId1" Type="http://schemas.openxmlformats.org/officeDocument/2006/relationships/hyperlink" Target="http://www.upov.int/edocs/mdocs/upov/en/caj_ag_13_8/caj_ag_13_8_www_285383.pdf" TargetMode="External"/><Relationship Id="rId6" Type="http://schemas.openxmlformats.org/officeDocument/2006/relationships/hyperlink" Target="http://www.upov.int/edocs/mdocs/upov/en/caj_ag_13_8/caj_ag_13_8_www_285391.pdf" TargetMode="External"/><Relationship Id="rId5" Type="http://schemas.openxmlformats.org/officeDocument/2006/relationships/hyperlink" Target="http://www.upov.int/edocs/mdocs/upov/en/caj_ag_13_8/caj_ag_13_8_www_285391.pdf" TargetMode="External"/><Relationship Id="rId4" Type="http://schemas.openxmlformats.org/officeDocument/2006/relationships/hyperlink" Target="http://www.upov.int/edocs/mdocs/upov/en/caj_ag_13_8/caj_ag_13_8_www_28539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9D00-4423-4D36-AB9B-D0FEB341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Template>
  <TotalTime>8</TotalTime>
  <Pages>9</Pages>
  <Words>3261</Words>
  <Characters>18320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BESSE Ariane</dc:creator>
  <cp:lastModifiedBy>LONG Victoria</cp:lastModifiedBy>
  <cp:revision>6</cp:revision>
  <cp:lastPrinted>2015-05-26T13:31:00Z</cp:lastPrinted>
  <dcterms:created xsi:type="dcterms:W3CDTF">2015-05-22T15:15:00Z</dcterms:created>
  <dcterms:modified xsi:type="dcterms:W3CDTF">2015-05-26T13:31:00Z</dcterms:modified>
</cp:coreProperties>
</file>