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2D7093">
        <w:tc>
          <w:tcPr>
            <w:tcW w:w="6512" w:type="dxa"/>
            <w:tcBorders>
              <w:bottom w:val="single" w:sz="4" w:space="0" w:color="auto"/>
            </w:tcBorders>
          </w:tcPr>
          <w:p w:rsidR="00EB4E9C" w:rsidRPr="00AC2883" w:rsidRDefault="00EB2FCB" w:rsidP="00AC2883">
            <w:pPr>
              <w:pStyle w:val="Sessiontc"/>
              <w:spacing w:line="240" w:lineRule="auto"/>
            </w:pPr>
            <w:r w:rsidRPr="00EB2FCB">
              <w:t xml:space="preserve">Working Group </w:t>
            </w:r>
            <w:r w:rsidR="00C63F40">
              <w:t xml:space="preserve">on </w:t>
            </w:r>
            <w:r w:rsidRPr="00EB2FCB">
              <w:t>Essentially Derived Varieties</w:t>
            </w:r>
          </w:p>
          <w:p w:rsidR="00EB2FCB" w:rsidRDefault="00EB2FCB" w:rsidP="00EB2FCB">
            <w:pPr>
              <w:pStyle w:val="Sessiontcplacedate"/>
            </w:pPr>
            <w:r>
              <w:t>First Meeting</w:t>
            </w:r>
          </w:p>
          <w:p w:rsidR="00EB4E9C" w:rsidRPr="00DC3802" w:rsidRDefault="00EB2FCB" w:rsidP="00EB2FCB">
            <w:pPr>
              <w:pStyle w:val="Sessiontcplacedate"/>
              <w:rPr>
                <w:sz w:val="22"/>
              </w:rPr>
            </w:pPr>
            <w:r>
              <w:t xml:space="preserve">Geneva, </w:t>
            </w:r>
            <w:r w:rsidRPr="00F73AFC">
              <w:t>December</w:t>
            </w:r>
            <w:r w:rsidR="00B622E6" w:rsidRPr="00F73AFC">
              <w:t xml:space="preserve"> </w:t>
            </w:r>
            <w:r w:rsidR="00E559F0" w:rsidRPr="00F73AFC">
              <w:t>8</w:t>
            </w:r>
            <w:r w:rsidR="00F31412" w:rsidRPr="00F73AFC">
              <w:t xml:space="preserve">, </w:t>
            </w:r>
            <w:r w:rsidR="00E559F0" w:rsidRPr="00F73AFC">
              <w:t>2020</w:t>
            </w:r>
          </w:p>
        </w:tc>
        <w:tc>
          <w:tcPr>
            <w:tcW w:w="3127" w:type="dxa"/>
            <w:tcBorders>
              <w:bottom w:val="single" w:sz="4" w:space="0" w:color="auto"/>
            </w:tcBorders>
          </w:tcPr>
          <w:p w:rsidR="00EB4E9C" w:rsidRPr="002D7093" w:rsidRDefault="00EB2FCB" w:rsidP="003C7FBE">
            <w:pPr>
              <w:pStyle w:val="Doccode"/>
              <w:rPr>
                <w:u w:val="single"/>
              </w:rPr>
            </w:pPr>
            <w:r>
              <w:t>UPOV/WG-EDV/1/2</w:t>
            </w:r>
            <w:r w:rsidR="00AE100B">
              <w:t>.</w:t>
            </w:r>
            <w:bookmarkStart w:id="0" w:name="_GoBack"/>
            <w:bookmarkEnd w:id="0"/>
          </w:p>
          <w:p w:rsidR="00EB4E9C" w:rsidRPr="003C7FBE" w:rsidRDefault="00EB4E9C" w:rsidP="003C7FBE">
            <w:pPr>
              <w:pStyle w:val="Docoriginal"/>
            </w:pPr>
            <w:r w:rsidRPr="00AC2883">
              <w:t>Original:</w:t>
            </w:r>
            <w:r w:rsidRPr="000E636A">
              <w:rPr>
                <w:b w:val="0"/>
                <w:spacing w:val="0"/>
              </w:rPr>
              <w:t xml:space="preserve">  English</w:t>
            </w:r>
          </w:p>
          <w:p w:rsidR="00EB4E9C" w:rsidRPr="00585AA6" w:rsidRDefault="00EB4E9C" w:rsidP="00767C8E">
            <w:pPr>
              <w:pStyle w:val="Docoriginal"/>
              <w:rPr>
                <w:spacing w:val="-2"/>
              </w:rPr>
            </w:pPr>
            <w:r w:rsidRPr="00585AA6">
              <w:rPr>
                <w:spacing w:val="-2"/>
              </w:rPr>
              <w:t>Date</w:t>
            </w:r>
            <w:r w:rsidRPr="008762E4">
              <w:rPr>
                <w:spacing w:val="-2"/>
              </w:rPr>
              <w:t>:</w:t>
            </w:r>
            <w:r w:rsidRPr="008762E4">
              <w:rPr>
                <w:b w:val="0"/>
                <w:spacing w:val="-2"/>
              </w:rPr>
              <w:t xml:space="preserve">  </w:t>
            </w:r>
            <w:r w:rsidR="00EB2FCB" w:rsidRPr="008762E4">
              <w:rPr>
                <w:b w:val="0"/>
                <w:spacing w:val="-2"/>
              </w:rPr>
              <w:t xml:space="preserve">November </w:t>
            </w:r>
            <w:r w:rsidR="00767C8E" w:rsidRPr="008762E4">
              <w:rPr>
                <w:b w:val="0"/>
                <w:spacing w:val="-2"/>
              </w:rPr>
              <w:t>2</w:t>
            </w:r>
            <w:r w:rsidR="00311307" w:rsidRPr="008762E4">
              <w:rPr>
                <w:b w:val="0"/>
                <w:spacing w:val="-2"/>
              </w:rPr>
              <w:t>6</w:t>
            </w:r>
            <w:r w:rsidR="00EB2FCB" w:rsidRPr="008762E4">
              <w:rPr>
                <w:b w:val="0"/>
                <w:spacing w:val="-2"/>
              </w:rPr>
              <w:t xml:space="preserve">, </w:t>
            </w:r>
            <w:r w:rsidR="00E65BE1" w:rsidRPr="008762E4">
              <w:rPr>
                <w:b w:val="0"/>
                <w:spacing w:val="-2"/>
              </w:rPr>
              <w:t>2020</w:t>
            </w:r>
          </w:p>
        </w:tc>
      </w:tr>
    </w:tbl>
    <w:p w:rsidR="00E65BE1" w:rsidRPr="00E65BE1" w:rsidRDefault="0037367E" w:rsidP="00E65BE1">
      <w:pPr>
        <w:spacing w:before="600" w:after="240"/>
        <w:jc w:val="left"/>
        <w:rPr>
          <w:b/>
          <w:caps/>
        </w:rPr>
      </w:pPr>
      <w:bookmarkStart w:id="1" w:name="TitleOfDoc"/>
      <w:bookmarkEnd w:id="1"/>
      <w:r w:rsidRPr="00F73AFC">
        <w:rPr>
          <w:b/>
          <w:caps/>
        </w:rPr>
        <w:t>Work</w:t>
      </w:r>
      <w:r w:rsidR="00FB3342">
        <w:rPr>
          <w:b/>
          <w:caps/>
        </w:rPr>
        <w:t xml:space="preserve"> </w:t>
      </w:r>
      <w:r w:rsidRPr="00F73AFC">
        <w:rPr>
          <w:b/>
          <w:caps/>
        </w:rPr>
        <w:t>plan</w:t>
      </w:r>
      <w:r w:rsidRPr="0037367E">
        <w:rPr>
          <w:b/>
          <w:caps/>
        </w:rPr>
        <w:t xml:space="preserve"> </w:t>
      </w:r>
    </w:p>
    <w:p w:rsidR="00E65BE1" w:rsidRPr="00E65BE1" w:rsidRDefault="00E65BE1" w:rsidP="00E65BE1">
      <w:pPr>
        <w:spacing w:after="240"/>
        <w:jc w:val="left"/>
        <w:rPr>
          <w:i/>
          <w:iCs/>
        </w:rPr>
      </w:pPr>
      <w:bookmarkStart w:id="2" w:name="Prepared"/>
      <w:bookmarkEnd w:id="2"/>
      <w:r w:rsidRPr="00E65BE1">
        <w:rPr>
          <w:i/>
          <w:iCs/>
        </w:rPr>
        <w:t>Document prepared by the Office of the Union</w:t>
      </w:r>
    </w:p>
    <w:p w:rsidR="00E65BE1" w:rsidRPr="00E65BE1" w:rsidRDefault="00E65BE1" w:rsidP="00E65BE1">
      <w:pPr>
        <w:spacing w:after="600"/>
        <w:jc w:val="left"/>
        <w:rPr>
          <w:i/>
          <w:iCs/>
          <w:color w:val="A6A6A6" w:themeColor="background1" w:themeShade="A6"/>
        </w:rPr>
      </w:pPr>
      <w:r w:rsidRPr="00E65BE1">
        <w:rPr>
          <w:i/>
          <w:iCs/>
          <w:color w:val="A6A6A6" w:themeColor="background1" w:themeShade="A6"/>
        </w:rPr>
        <w:t>Disclaimer:  this document does not represent UPOV policies or guidance</w:t>
      </w:r>
    </w:p>
    <w:p w:rsidR="00E65BE1" w:rsidRPr="00F9023A" w:rsidRDefault="00E65BE1" w:rsidP="00E65BE1">
      <w:pPr>
        <w:keepNext/>
        <w:outlineLvl w:val="0"/>
        <w:rPr>
          <w:caps/>
          <w:snapToGrid w:val="0"/>
        </w:rPr>
      </w:pPr>
      <w:bookmarkStart w:id="3" w:name="_Toc522523019"/>
      <w:bookmarkStart w:id="4" w:name="_Toc522523121"/>
      <w:bookmarkStart w:id="5" w:name="_Toc14799780"/>
      <w:bookmarkStart w:id="6" w:name="_Toc57304245"/>
      <w:r w:rsidRPr="00F9023A">
        <w:rPr>
          <w:caps/>
          <w:snapToGrid w:val="0"/>
        </w:rPr>
        <w:t>EXECUTIVE SUMMARY</w:t>
      </w:r>
      <w:bookmarkEnd w:id="3"/>
      <w:bookmarkEnd w:id="4"/>
      <w:bookmarkEnd w:id="5"/>
      <w:bookmarkEnd w:id="6"/>
    </w:p>
    <w:p w:rsidR="00E65BE1" w:rsidRPr="00F9023A" w:rsidRDefault="00E65BE1" w:rsidP="00E65BE1">
      <w:pPr>
        <w:keepNext/>
        <w:outlineLvl w:val="0"/>
        <w:rPr>
          <w:b/>
          <w:caps/>
          <w:snapToGrid w:val="0"/>
        </w:rPr>
      </w:pPr>
    </w:p>
    <w:p w:rsidR="00E65BE1" w:rsidRPr="00F9023A" w:rsidRDefault="00E65BE1" w:rsidP="00E65BE1">
      <w:r w:rsidRPr="00F9023A">
        <w:fldChar w:fldCharType="begin"/>
      </w:r>
      <w:r w:rsidRPr="00F9023A">
        <w:instrText xml:space="preserve"> AUTONUM  </w:instrText>
      </w:r>
      <w:r w:rsidRPr="00F9023A">
        <w:fldChar w:fldCharType="end"/>
      </w:r>
      <w:r w:rsidRPr="00F9023A">
        <w:tab/>
        <w:t xml:space="preserve">The purpose of this document is to present </w:t>
      </w:r>
      <w:r w:rsidR="00207502">
        <w:t xml:space="preserve">a </w:t>
      </w:r>
      <w:r w:rsidRPr="00F9023A">
        <w:t xml:space="preserve">proposal for consideration by the </w:t>
      </w:r>
      <w:r w:rsidR="00103595" w:rsidRPr="00F9023A">
        <w:rPr>
          <w:rFonts w:eastAsiaTheme="minorEastAsia" w:cs="Arial"/>
          <w:snapToGrid w:val="0"/>
        </w:rPr>
        <w:t xml:space="preserve">Working Group </w:t>
      </w:r>
      <w:r w:rsidR="00F01DC9" w:rsidRPr="00F9023A">
        <w:rPr>
          <w:rFonts w:eastAsiaTheme="minorEastAsia" w:cs="Arial"/>
          <w:snapToGrid w:val="0"/>
        </w:rPr>
        <w:t xml:space="preserve">on </w:t>
      </w:r>
      <w:r w:rsidR="00103595" w:rsidRPr="00F9023A">
        <w:rPr>
          <w:rFonts w:eastAsiaTheme="minorEastAsia" w:cs="Arial"/>
          <w:snapToGrid w:val="0"/>
        </w:rPr>
        <w:t>Essentially Derived Varieties</w:t>
      </w:r>
      <w:r w:rsidR="00F01DC9" w:rsidRPr="00F9023A">
        <w:rPr>
          <w:rFonts w:eastAsiaTheme="minorEastAsia" w:cs="Arial"/>
          <w:snapToGrid w:val="0"/>
        </w:rPr>
        <w:t xml:space="preserve"> (WG-EDV)</w:t>
      </w:r>
      <w:r w:rsidR="005B2101" w:rsidRPr="00F9023A">
        <w:rPr>
          <w:rFonts w:eastAsiaTheme="minorEastAsia" w:cs="Arial"/>
          <w:snapToGrid w:val="0"/>
        </w:rPr>
        <w:t xml:space="preserve"> </w:t>
      </w:r>
      <w:r w:rsidR="005F4A83" w:rsidRPr="00F9023A">
        <w:rPr>
          <w:rFonts w:cs="Arial"/>
        </w:rPr>
        <w:t xml:space="preserve">in relation to its </w:t>
      </w:r>
      <w:r w:rsidR="005D46AF" w:rsidRPr="00F9023A">
        <w:rPr>
          <w:rFonts w:cs="Arial"/>
        </w:rPr>
        <w:t>work plan</w:t>
      </w:r>
      <w:r w:rsidR="005F4A83" w:rsidRPr="00F9023A">
        <w:rPr>
          <w:rFonts w:cs="Arial"/>
        </w:rPr>
        <w:t>.</w:t>
      </w:r>
    </w:p>
    <w:p w:rsidR="00E65BE1" w:rsidRPr="00F9023A" w:rsidRDefault="00E65BE1" w:rsidP="00E65BE1">
      <w:pPr>
        <w:jc w:val="left"/>
      </w:pPr>
    </w:p>
    <w:p w:rsidR="002850CD" w:rsidRPr="00F9023A" w:rsidRDefault="00E65BE1" w:rsidP="00345ABF">
      <w:pPr>
        <w:jc w:val="left"/>
      </w:pPr>
      <w:r w:rsidRPr="00F9023A">
        <w:fldChar w:fldCharType="begin"/>
      </w:r>
      <w:r w:rsidRPr="00F9023A">
        <w:instrText xml:space="preserve"> AUTONUM  </w:instrText>
      </w:r>
      <w:r w:rsidRPr="00F9023A">
        <w:fldChar w:fldCharType="end"/>
      </w:r>
      <w:r w:rsidRPr="00F9023A">
        <w:tab/>
      </w:r>
      <w:r w:rsidR="00345ABF">
        <w:t xml:space="preserve">The WG-EDV is invited to </w:t>
      </w:r>
      <w:r w:rsidR="002850CD" w:rsidRPr="00F9023A">
        <w:t xml:space="preserve">consider the </w:t>
      </w:r>
      <w:r w:rsidR="00A16A31">
        <w:t>proposed work</w:t>
      </w:r>
      <w:r w:rsidR="005D4A68">
        <w:t xml:space="preserve"> </w:t>
      </w:r>
      <w:r w:rsidR="00A16A31">
        <w:t>plan</w:t>
      </w:r>
      <w:r w:rsidR="002850CD" w:rsidRPr="00F9023A">
        <w:t xml:space="preserve">, </w:t>
      </w:r>
      <w:r w:rsidR="00261AB1" w:rsidRPr="00F9023A">
        <w:t xml:space="preserve">as </w:t>
      </w:r>
      <w:r w:rsidR="002850CD" w:rsidRPr="00F9023A">
        <w:t xml:space="preserve">set out in </w:t>
      </w:r>
      <w:r w:rsidR="002850CD" w:rsidRPr="00311307">
        <w:t xml:space="preserve">paragraphs </w:t>
      </w:r>
      <w:r w:rsidR="00771780">
        <w:t>8</w:t>
      </w:r>
      <w:r w:rsidR="002850CD" w:rsidRPr="00311307">
        <w:t xml:space="preserve"> to </w:t>
      </w:r>
      <w:r w:rsidR="00771780">
        <w:t>12</w:t>
      </w:r>
      <w:r w:rsidR="002850CD" w:rsidRPr="00311307">
        <w:t>.</w:t>
      </w:r>
      <w:r w:rsidR="002850CD" w:rsidRPr="00F9023A">
        <w:t xml:space="preserve"> </w:t>
      </w:r>
    </w:p>
    <w:p w:rsidR="00E65BE1" w:rsidRPr="00F9023A" w:rsidRDefault="00E65BE1" w:rsidP="00E65BE1"/>
    <w:p w:rsidR="00E65BE1" w:rsidRPr="00311307" w:rsidRDefault="00E65BE1" w:rsidP="00311307">
      <w:pPr>
        <w:jc w:val="left"/>
        <w:rPr>
          <w:rFonts w:cs="Arial"/>
          <w:color w:val="000000"/>
        </w:rPr>
      </w:pPr>
      <w:r w:rsidRPr="00F9023A">
        <w:rPr>
          <w:rFonts w:cs="Arial"/>
        </w:rPr>
        <w:fldChar w:fldCharType="begin"/>
      </w:r>
      <w:r w:rsidRPr="00F9023A">
        <w:rPr>
          <w:rFonts w:cs="Arial"/>
        </w:rPr>
        <w:instrText xml:space="preserve"> AUTONUM  </w:instrText>
      </w:r>
      <w:r w:rsidRPr="00F9023A">
        <w:rPr>
          <w:rFonts w:cs="Arial"/>
        </w:rPr>
        <w:fldChar w:fldCharType="end"/>
      </w:r>
      <w:r w:rsidRPr="00F9023A">
        <w:rPr>
          <w:rFonts w:cs="Arial"/>
        </w:rPr>
        <w:tab/>
      </w:r>
      <w:r w:rsidRPr="00F9023A">
        <w:rPr>
          <w:rFonts w:cs="Arial"/>
          <w:lang w:eastAsia="ja-JP"/>
        </w:rPr>
        <w:t>The structure o</w:t>
      </w:r>
      <w:r w:rsidR="00201343" w:rsidRPr="00F9023A">
        <w:rPr>
          <w:rFonts w:cs="Arial"/>
          <w:lang w:eastAsia="ja-JP"/>
        </w:rPr>
        <w:t>f this document is as follows:</w:t>
      </w:r>
    </w:p>
    <w:sdt>
      <w:sdtPr>
        <w:rPr>
          <w:i/>
          <w:caps w:val="0"/>
          <w:noProof/>
          <w:lang w:val="fr-FR"/>
        </w:rPr>
        <w:id w:val="1042878008"/>
        <w:docPartObj>
          <w:docPartGallery w:val="Table of Contents"/>
          <w:docPartUnique/>
        </w:docPartObj>
      </w:sdtPr>
      <w:sdtEndPr>
        <w:rPr>
          <w:b/>
          <w:bCs/>
          <w:i w:val="0"/>
          <w:lang w:val="en-US"/>
        </w:rPr>
      </w:sdtEndPr>
      <w:sdtContent>
        <w:p w:rsidR="007337E5" w:rsidRDefault="00E65BE1" w:rsidP="00492AE5">
          <w:pPr>
            <w:pStyle w:val="TOC1"/>
            <w:rPr>
              <w:rFonts w:asciiTheme="minorHAnsi" w:eastAsiaTheme="minorEastAsia" w:hAnsiTheme="minorHAnsi" w:cstheme="minorBidi"/>
              <w:noProof/>
              <w:sz w:val="22"/>
              <w:szCs w:val="22"/>
            </w:rPr>
          </w:pPr>
          <w:r w:rsidRPr="00311307">
            <w:fldChar w:fldCharType="begin"/>
          </w:r>
          <w:r w:rsidRPr="00311307">
            <w:instrText xml:space="preserve"> TOC \o "1-3" \h \z \u </w:instrText>
          </w:r>
          <w:r w:rsidRPr="00311307">
            <w:fldChar w:fldCharType="separate"/>
          </w:r>
          <w:hyperlink w:anchor="_Toc57304245" w:history="1">
            <w:r w:rsidR="007337E5" w:rsidRPr="00EA167C">
              <w:rPr>
                <w:rStyle w:val="Hyperlink"/>
                <w:noProof/>
                <w:snapToGrid w:val="0"/>
              </w:rPr>
              <w:t>EXECUTIVE SUMMARY</w:t>
            </w:r>
            <w:r w:rsidR="007337E5">
              <w:rPr>
                <w:noProof/>
                <w:webHidden/>
              </w:rPr>
              <w:tab/>
            </w:r>
            <w:r w:rsidR="007337E5">
              <w:rPr>
                <w:noProof/>
                <w:webHidden/>
              </w:rPr>
              <w:fldChar w:fldCharType="begin"/>
            </w:r>
            <w:r w:rsidR="007337E5">
              <w:rPr>
                <w:noProof/>
                <w:webHidden/>
              </w:rPr>
              <w:instrText xml:space="preserve"> PAGEREF _Toc57304245 \h </w:instrText>
            </w:r>
            <w:r w:rsidR="007337E5">
              <w:rPr>
                <w:noProof/>
                <w:webHidden/>
              </w:rPr>
            </w:r>
            <w:r w:rsidR="007337E5">
              <w:rPr>
                <w:noProof/>
                <w:webHidden/>
              </w:rPr>
              <w:fldChar w:fldCharType="separate"/>
            </w:r>
            <w:r w:rsidR="00AE100B">
              <w:rPr>
                <w:noProof/>
                <w:webHidden/>
              </w:rPr>
              <w:t>1</w:t>
            </w:r>
            <w:r w:rsidR="007337E5">
              <w:rPr>
                <w:noProof/>
                <w:webHidden/>
              </w:rPr>
              <w:fldChar w:fldCharType="end"/>
            </w:r>
          </w:hyperlink>
        </w:p>
        <w:p w:rsidR="007337E5" w:rsidRDefault="00AE100B" w:rsidP="00492AE5">
          <w:pPr>
            <w:pStyle w:val="TOC1"/>
            <w:rPr>
              <w:rFonts w:asciiTheme="minorHAnsi" w:eastAsiaTheme="minorEastAsia" w:hAnsiTheme="minorHAnsi" w:cstheme="minorBidi"/>
              <w:noProof/>
              <w:sz w:val="22"/>
              <w:szCs w:val="22"/>
            </w:rPr>
          </w:pPr>
          <w:hyperlink w:anchor="_Toc57304246" w:history="1">
            <w:r w:rsidR="007337E5" w:rsidRPr="00EA167C">
              <w:rPr>
                <w:rStyle w:val="Hyperlink"/>
                <w:noProof/>
              </w:rPr>
              <w:t>work plan FOR THE REVISION OF THE GUIDANCE ON essentially derived varieties PROVIDED IN DOCUMENT UPOV/EXN/EDV/2 “EXPLANATORY NOTES ON ESSENTIALLY DERIVED VARIETIES UNDER THE 1991 ACT OF THE UPOV CONVENTION”</w:t>
            </w:r>
            <w:r w:rsidR="007337E5">
              <w:rPr>
                <w:noProof/>
                <w:webHidden/>
              </w:rPr>
              <w:tab/>
            </w:r>
            <w:r w:rsidR="007337E5">
              <w:rPr>
                <w:noProof/>
                <w:webHidden/>
              </w:rPr>
              <w:fldChar w:fldCharType="begin"/>
            </w:r>
            <w:r w:rsidR="007337E5">
              <w:rPr>
                <w:noProof/>
                <w:webHidden/>
              </w:rPr>
              <w:instrText xml:space="preserve"> PAGEREF _Toc57304246 \h </w:instrText>
            </w:r>
            <w:r w:rsidR="007337E5">
              <w:rPr>
                <w:noProof/>
                <w:webHidden/>
              </w:rPr>
            </w:r>
            <w:r w:rsidR="007337E5">
              <w:rPr>
                <w:noProof/>
                <w:webHidden/>
              </w:rPr>
              <w:fldChar w:fldCharType="separate"/>
            </w:r>
            <w:r>
              <w:rPr>
                <w:noProof/>
                <w:webHidden/>
              </w:rPr>
              <w:t>1</w:t>
            </w:r>
            <w:r w:rsidR="007337E5">
              <w:rPr>
                <w:noProof/>
                <w:webHidden/>
              </w:rPr>
              <w:fldChar w:fldCharType="end"/>
            </w:r>
          </w:hyperlink>
        </w:p>
        <w:p w:rsidR="007337E5" w:rsidRDefault="00AE100B">
          <w:pPr>
            <w:pStyle w:val="TOC2"/>
            <w:rPr>
              <w:rFonts w:asciiTheme="minorHAnsi" w:eastAsiaTheme="minorEastAsia" w:hAnsiTheme="minorHAnsi" w:cstheme="minorBidi"/>
              <w:sz w:val="22"/>
              <w:szCs w:val="22"/>
            </w:rPr>
          </w:pPr>
          <w:hyperlink w:anchor="_Toc57304247" w:history="1">
            <w:r w:rsidR="007337E5" w:rsidRPr="00EA167C">
              <w:rPr>
                <w:rStyle w:val="Hyperlink"/>
              </w:rPr>
              <w:t>Introduction</w:t>
            </w:r>
            <w:r w:rsidR="007337E5">
              <w:rPr>
                <w:webHidden/>
              </w:rPr>
              <w:tab/>
            </w:r>
            <w:r w:rsidR="007337E5">
              <w:rPr>
                <w:webHidden/>
              </w:rPr>
              <w:fldChar w:fldCharType="begin"/>
            </w:r>
            <w:r w:rsidR="007337E5">
              <w:rPr>
                <w:webHidden/>
              </w:rPr>
              <w:instrText xml:space="preserve"> PAGEREF _Toc57304247 \h </w:instrText>
            </w:r>
            <w:r w:rsidR="007337E5">
              <w:rPr>
                <w:webHidden/>
              </w:rPr>
            </w:r>
            <w:r w:rsidR="007337E5">
              <w:rPr>
                <w:webHidden/>
              </w:rPr>
              <w:fldChar w:fldCharType="separate"/>
            </w:r>
            <w:r>
              <w:rPr>
                <w:webHidden/>
              </w:rPr>
              <w:t>1</w:t>
            </w:r>
            <w:r w:rsidR="007337E5">
              <w:rPr>
                <w:webHidden/>
              </w:rPr>
              <w:fldChar w:fldCharType="end"/>
            </w:r>
          </w:hyperlink>
        </w:p>
        <w:p w:rsidR="00F9023A" w:rsidRPr="00311307" w:rsidRDefault="00AE100B" w:rsidP="00311307">
          <w:pPr>
            <w:pStyle w:val="TOC2"/>
            <w:rPr>
              <w:b/>
              <w:bCs/>
            </w:rPr>
          </w:pPr>
          <w:hyperlink w:anchor="_Toc57304248" w:history="1">
            <w:r w:rsidR="007337E5" w:rsidRPr="00EA167C">
              <w:rPr>
                <w:rStyle w:val="Hyperlink"/>
                <w:snapToGrid w:val="0"/>
              </w:rPr>
              <w:t>Proposal for work plan</w:t>
            </w:r>
            <w:r w:rsidR="007337E5">
              <w:rPr>
                <w:webHidden/>
              </w:rPr>
              <w:tab/>
            </w:r>
            <w:r w:rsidR="007337E5">
              <w:rPr>
                <w:webHidden/>
              </w:rPr>
              <w:fldChar w:fldCharType="begin"/>
            </w:r>
            <w:r w:rsidR="007337E5">
              <w:rPr>
                <w:webHidden/>
              </w:rPr>
              <w:instrText xml:space="preserve"> PAGEREF _Toc57304248 \h </w:instrText>
            </w:r>
            <w:r w:rsidR="007337E5">
              <w:rPr>
                <w:webHidden/>
              </w:rPr>
            </w:r>
            <w:r w:rsidR="007337E5">
              <w:rPr>
                <w:webHidden/>
              </w:rPr>
              <w:fldChar w:fldCharType="separate"/>
            </w:r>
            <w:r>
              <w:rPr>
                <w:webHidden/>
              </w:rPr>
              <w:t>2</w:t>
            </w:r>
            <w:r w:rsidR="007337E5">
              <w:rPr>
                <w:webHidden/>
              </w:rPr>
              <w:fldChar w:fldCharType="end"/>
            </w:r>
          </w:hyperlink>
          <w:r w:rsidR="00E65BE1" w:rsidRPr="00311307">
            <w:fldChar w:fldCharType="end"/>
          </w:r>
        </w:p>
      </w:sdtContent>
    </w:sdt>
    <w:p w:rsidR="00E65BE1" w:rsidRPr="00311307" w:rsidRDefault="00E65BE1" w:rsidP="00E901EF">
      <w:pPr>
        <w:spacing w:before="120"/>
        <w:ind w:left="1134" w:hanging="1134"/>
        <w:rPr>
          <w:sz w:val="18"/>
        </w:rPr>
      </w:pPr>
      <w:r w:rsidRPr="00311307">
        <w:rPr>
          <w:spacing w:val="-2"/>
          <w:sz w:val="18"/>
        </w:rPr>
        <w:t>ANNEX I</w:t>
      </w:r>
      <w:r w:rsidRPr="00311307">
        <w:rPr>
          <w:spacing w:val="-4"/>
          <w:sz w:val="18"/>
        </w:rPr>
        <w:tab/>
      </w:r>
      <w:r w:rsidR="00E901EF" w:rsidRPr="00311307">
        <w:rPr>
          <w:spacing w:val="-4"/>
          <w:sz w:val="18"/>
        </w:rPr>
        <w:t>TERMS OF REFERENCE OF THE WORKING GROUP ON ES</w:t>
      </w:r>
      <w:r w:rsidR="007B76E5" w:rsidRPr="00311307">
        <w:rPr>
          <w:spacing w:val="-4"/>
          <w:sz w:val="18"/>
        </w:rPr>
        <w:t>SENTIALLY DERIVED VARIETIES (WG</w:t>
      </w:r>
      <w:r w:rsidR="007B76E5" w:rsidRPr="00311307">
        <w:rPr>
          <w:spacing w:val="-4"/>
          <w:sz w:val="18"/>
        </w:rPr>
        <w:noBreakHyphen/>
      </w:r>
      <w:r w:rsidR="00E901EF" w:rsidRPr="00311307">
        <w:rPr>
          <w:spacing w:val="-4"/>
          <w:sz w:val="18"/>
        </w:rPr>
        <w:t>EDV)</w:t>
      </w:r>
    </w:p>
    <w:p w:rsidR="00E901EF" w:rsidRPr="00311307" w:rsidRDefault="007B76E5" w:rsidP="00E901EF">
      <w:pPr>
        <w:spacing w:before="120"/>
        <w:ind w:left="1134" w:hanging="1134"/>
        <w:rPr>
          <w:spacing w:val="-2"/>
          <w:sz w:val="18"/>
        </w:rPr>
      </w:pPr>
      <w:r w:rsidRPr="00311307">
        <w:rPr>
          <w:sz w:val="18"/>
        </w:rPr>
        <w:t>ANNEX II</w:t>
      </w:r>
      <w:r w:rsidRPr="00311307">
        <w:rPr>
          <w:sz w:val="18"/>
        </w:rPr>
        <w:tab/>
      </w:r>
      <w:r w:rsidR="00E901EF" w:rsidRPr="00311307">
        <w:rPr>
          <w:spacing w:val="-2"/>
          <w:sz w:val="18"/>
        </w:rPr>
        <w:t>POLICY ISSUES IN CONJUNCTION WITH THE BREEDERS’ CUSTOMS AND PRACTICES</w:t>
      </w:r>
    </w:p>
    <w:p w:rsidR="00E901EF" w:rsidRPr="00311307" w:rsidRDefault="004821A3" w:rsidP="00E62011">
      <w:pPr>
        <w:tabs>
          <w:tab w:val="left" w:pos="1985"/>
        </w:tabs>
        <w:spacing w:before="60"/>
        <w:ind w:left="1134"/>
        <w:rPr>
          <w:sz w:val="18"/>
        </w:rPr>
      </w:pPr>
      <w:r w:rsidRPr="00311307">
        <w:rPr>
          <w:sz w:val="18"/>
        </w:rPr>
        <w:t>Appendix I:</w:t>
      </w:r>
      <w:r w:rsidRPr="00311307">
        <w:rPr>
          <w:sz w:val="18"/>
        </w:rPr>
        <w:tab/>
      </w:r>
      <w:r w:rsidR="00E901EF" w:rsidRPr="00311307">
        <w:rPr>
          <w:sz w:val="18"/>
        </w:rPr>
        <w:t>Policy issues</w:t>
      </w:r>
    </w:p>
    <w:p w:rsidR="00E901EF" w:rsidRPr="00311307" w:rsidRDefault="004821A3" w:rsidP="00E62011">
      <w:pPr>
        <w:tabs>
          <w:tab w:val="left" w:pos="1985"/>
        </w:tabs>
        <w:spacing w:before="60"/>
        <w:ind w:left="1134"/>
        <w:rPr>
          <w:sz w:val="18"/>
        </w:rPr>
      </w:pPr>
      <w:r w:rsidRPr="00311307">
        <w:rPr>
          <w:sz w:val="18"/>
        </w:rPr>
        <w:t>Appendix II:</w:t>
      </w:r>
      <w:r w:rsidRPr="00311307">
        <w:rPr>
          <w:sz w:val="18"/>
        </w:rPr>
        <w:tab/>
      </w:r>
      <w:r w:rsidR="00E901EF" w:rsidRPr="00311307">
        <w:rPr>
          <w:sz w:val="18"/>
        </w:rPr>
        <w:t xml:space="preserve">Breeders’ customs and practices </w:t>
      </w:r>
    </w:p>
    <w:p w:rsidR="00E901EF" w:rsidRPr="00311307" w:rsidRDefault="007B76E5" w:rsidP="00E901EF">
      <w:pPr>
        <w:spacing w:before="120"/>
        <w:ind w:left="1134" w:hanging="1134"/>
        <w:rPr>
          <w:sz w:val="18"/>
        </w:rPr>
      </w:pPr>
      <w:r w:rsidRPr="00311307">
        <w:rPr>
          <w:sz w:val="18"/>
        </w:rPr>
        <w:t>ANNEX III</w:t>
      </w:r>
      <w:r w:rsidRPr="00311307">
        <w:rPr>
          <w:sz w:val="18"/>
        </w:rPr>
        <w:tab/>
      </w:r>
      <w:r w:rsidRPr="00311307">
        <w:rPr>
          <w:spacing w:val="-2"/>
          <w:sz w:val="18"/>
        </w:rPr>
        <w:t>BACKGROUND</w:t>
      </w:r>
    </w:p>
    <w:p w:rsidR="00382791" w:rsidRPr="00F9023A" w:rsidRDefault="00382791" w:rsidP="00772B0B"/>
    <w:p w:rsidR="00382791" w:rsidRPr="00F9023A" w:rsidRDefault="00382791" w:rsidP="00772B0B">
      <w:bookmarkStart w:id="7" w:name="_Toc14799781"/>
    </w:p>
    <w:bookmarkEnd w:id="7"/>
    <w:p w:rsidR="00F9023A" w:rsidRDefault="00F9023A">
      <w:pPr>
        <w:jc w:val="left"/>
      </w:pPr>
    </w:p>
    <w:p w:rsidR="00382791" w:rsidRPr="00F9023A" w:rsidRDefault="00F73AFC" w:rsidP="001275B9">
      <w:pPr>
        <w:keepNext/>
        <w:outlineLvl w:val="0"/>
        <w:rPr>
          <w:caps/>
        </w:rPr>
      </w:pPr>
      <w:bookmarkStart w:id="8" w:name="_Toc51936361"/>
      <w:bookmarkStart w:id="9" w:name="_Toc57304246"/>
      <w:r w:rsidRPr="00F9023A">
        <w:rPr>
          <w:caps/>
        </w:rPr>
        <w:t>work</w:t>
      </w:r>
      <w:r w:rsidR="005D4A68">
        <w:rPr>
          <w:caps/>
        </w:rPr>
        <w:t xml:space="preserve"> </w:t>
      </w:r>
      <w:r w:rsidRPr="00F9023A">
        <w:rPr>
          <w:caps/>
        </w:rPr>
        <w:t>plan</w:t>
      </w:r>
      <w:r w:rsidR="00382791" w:rsidRPr="00F9023A">
        <w:rPr>
          <w:caps/>
        </w:rPr>
        <w:t xml:space="preserve"> FOR THE REVISION OF THE GUIDANCE ON essentially derived varieties PROVIDED IN DOCUMENT UPOV/EXN/EDV/2 “EXPLANATORY NOTES ON ESSENTIA</w:t>
      </w:r>
      <w:r w:rsidR="001275B9" w:rsidRPr="00F9023A">
        <w:rPr>
          <w:caps/>
        </w:rPr>
        <w:t>LLY DERIVED VARIETIES UNDER THE </w:t>
      </w:r>
      <w:r w:rsidR="00382791" w:rsidRPr="00F9023A">
        <w:rPr>
          <w:caps/>
        </w:rPr>
        <w:t>1991 ACT OF THE UPOV CONVENTION”</w:t>
      </w:r>
      <w:bookmarkEnd w:id="8"/>
      <w:bookmarkEnd w:id="9"/>
    </w:p>
    <w:p w:rsidR="00382791" w:rsidRPr="00F9023A" w:rsidRDefault="00382791" w:rsidP="00382791"/>
    <w:p w:rsidR="00261AB1" w:rsidRPr="00F9023A" w:rsidRDefault="007C2406" w:rsidP="00FB3342">
      <w:pPr>
        <w:pStyle w:val="Heading2"/>
      </w:pPr>
      <w:bookmarkStart w:id="10" w:name="_Toc57304247"/>
      <w:r>
        <w:t>Introduction</w:t>
      </w:r>
      <w:bookmarkEnd w:id="10"/>
    </w:p>
    <w:p w:rsidR="00261AB1" w:rsidRPr="00F9023A" w:rsidRDefault="00261AB1" w:rsidP="00382791"/>
    <w:p w:rsidR="00261AB1" w:rsidRPr="00311307" w:rsidRDefault="00261AB1" w:rsidP="00261AB1">
      <w:pPr>
        <w:rPr>
          <w:rFonts w:eastAsiaTheme="minorEastAsia"/>
          <w:spacing w:val="-2"/>
        </w:rPr>
      </w:pPr>
      <w:r w:rsidRPr="00311307">
        <w:rPr>
          <w:rFonts w:eastAsiaTheme="minorEastAsia"/>
          <w:spacing w:val="-2"/>
        </w:rPr>
        <w:fldChar w:fldCharType="begin"/>
      </w:r>
      <w:r w:rsidRPr="00311307">
        <w:rPr>
          <w:rFonts w:eastAsiaTheme="minorEastAsia"/>
          <w:spacing w:val="-2"/>
        </w:rPr>
        <w:instrText xml:space="preserve"> AUTONUM  </w:instrText>
      </w:r>
      <w:r w:rsidRPr="00311307">
        <w:rPr>
          <w:rFonts w:eastAsiaTheme="minorEastAsia"/>
          <w:spacing w:val="-2"/>
        </w:rPr>
        <w:fldChar w:fldCharType="end"/>
      </w:r>
      <w:r w:rsidRPr="00311307">
        <w:rPr>
          <w:rFonts w:eastAsiaTheme="minorEastAsia"/>
          <w:spacing w:val="-2"/>
        </w:rPr>
        <w:tab/>
      </w:r>
      <w:r w:rsidRPr="00311307">
        <w:rPr>
          <w:rFonts w:eastAsiaTheme="minorEastAsia"/>
          <w:spacing w:val="-4"/>
        </w:rPr>
        <w:t xml:space="preserve">On the basis of the outcome of the </w:t>
      </w:r>
      <w:r w:rsidR="007C2406" w:rsidRPr="00311307">
        <w:rPr>
          <w:snapToGrid w:val="0"/>
          <w:spacing w:val="-4"/>
        </w:rPr>
        <w:t>“Seminar on the impact of policy on essentially derived varieties (EDVs) on breeding strategy”, held in Geneva on the morning of October 30, 2019,</w:t>
      </w:r>
      <w:r w:rsidRPr="00311307">
        <w:rPr>
          <w:rFonts w:eastAsiaTheme="minorEastAsia"/>
          <w:spacing w:val="-4"/>
        </w:rPr>
        <w:t xml:space="preserve"> the </w:t>
      </w:r>
      <w:r w:rsidR="007C2406" w:rsidRPr="00311307">
        <w:rPr>
          <w:rFonts w:eastAsiaTheme="minorEastAsia" w:cs="Arial"/>
          <w:color w:val="000000"/>
          <w:spacing w:val="-4"/>
        </w:rPr>
        <w:t>Administrative and Legal Committee (</w:t>
      </w:r>
      <w:r w:rsidR="007C2406" w:rsidRPr="00311307">
        <w:rPr>
          <w:spacing w:val="-4"/>
        </w:rPr>
        <w:t>CAJ)</w:t>
      </w:r>
      <w:r w:rsidR="007C2406" w:rsidRPr="00311307">
        <w:rPr>
          <w:spacing w:val="-2"/>
        </w:rPr>
        <w:t xml:space="preserve"> </w:t>
      </w:r>
      <w:r w:rsidR="00FB3342" w:rsidRPr="00311307">
        <w:rPr>
          <w:rFonts w:eastAsiaTheme="minorEastAsia"/>
          <w:spacing w:val="-2"/>
        </w:rPr>
        <w:t>at its seventy-sixth session, held in Geneva on </w:t>
      </w:r>
      <w:r w:rsidR="007C2406" w:rsidRPr="00311307">
        <w:rPr>
          <w:rFonts w:eastAsiaTheme="minorEastAsia"/>
          <w:spacing w:val="-2"/>
        </w:rPr>
        <w:t xml:space="preserve">the afternoon of </w:t>
      </w:r>
      <w:r w:rsidR="00FB3342" w:rsidRPr="00311307">
        <w:rPr>
          <w:rFonts w:eastAsiaTheme="minorEastAsia"/>
          <w:spacing w:val="-2"/>
        </w:rPr>
        <w:t xml:space="preserve">October 30, 2019, </w:t>
      </w:r>
      <w:r w:rsidR="007C2406" w:rsidRPr="00311307">
        <w:rPr>
          <w:rFonts w:eastAsiaTheme="minorEastAsia"/>
          <w:spacing w:val="-2"/>
        </w:rPr>
        <w:t>agreed to open up the “</w:t>
      </w:r>
      <w:r w:rsidRPr="00311307">
        <w:rPr>
          <w:rFonts w:eastAsiaTheme="minorEastAsia"/>
          <w:spacing w:val="-2"/>
        </w:rPr>
        <w:t>Explanatory Notes on Essentially D</w:t>
      </w:r>
      <w:r w:rsidR="00FB3342" w:rsidRPr="00311307">
        <w:rPr>
          <w:rFonts w:eastAsiaTheme="minorEastAsia"/>
          <w:spacing w:val="-2"/>
        </w:rPr>
        <w:t>erived Varieties under the 1991 </w:t>
      </w:r>
      <w:r w:rsidR="007C2406" w:rsidRPr="00311307">
        <w:rPr>
          <w:rFonts w:eastAsiaTheme="minorEastAsia"/>
          <w:spacing w:val="-2"/>
        </w:rPr>
        <w:t>Act of the UPOV Convention”</w:t>
      </w:r>
      <w:r w:rsidR="00311307">
        <w:rPr>
          <w:rFonts w:eastAsiaTheme="minorEastAsia"/>
          <w:spacing w:val="-2"/>
        </w:rPr>
        <w:t xml:space="preserve"> (document </w:t>
      </w:r>
      <w:r w:rsidRPr="00311307">
        <w:rPr>
          <w:rFonts w:eastAsiaTheme="minorEastAsia"/>
          <w:spacing w:val="-2"/>
        </w:rPr>
        <w:t>UPOV/EXN/EDV/2) for revision.  As a first step, the CAJ agreed that the Office of the Union would:</w:t>
      </w:r>
    </w:p>
    <w:p w:rsidR="00261AB1" w:rsidRPr="00F9023A" w:rsidRDefault="00261AB1" w:rsidP="00261AB1">
      <w:pPr>
        <w:rPr>
          <w:rFonts w:eastAsiaTheme="minorEastAsia"/>
          <w:spacing w:val="-4"/>
          <w:sz w:val="16"/>
          <w:szCs w:val="16"/>
        </w:rPr>
      </w:pPr>
    </w:p>
    <w:p w:rsidR="00261AB1" w:rsidRPr="00945782" w:rsidRDefault="00261AB1" w:rsidP="001B392E">
      <w:pPr>
        <w:ind w:right="567" w:firstLine="567"/>
        <w:rPr>
          <w:rFonts w:eastAsiaTheme="minorEastAsia"/>
          <w:spacing w:val="-4"/>
          <w:sz w:val="18"/>
          <w:szCs w:val="18"/>
        </w:rPr>
      </w:pPr>
      <w:r w:rsidRPr="00945782">
        <w:rPr>
          <w:rFonts w:eastAsiaTheme="minorEastAsia"/>
          <w:spacing w:val="-4"/>
          <w:sz w:val="18"/>
          <w:szCs w:val="18"/>
        </w:rPr>
        <w:t>“(a)</w:t>
      </w:r>
      <w:r w:rsidRPr="00945782">
        <w:rPr>
          <w:rFonts w:eastAsiaTheme="minorEastAsia"/>
          <w:spacing w:val="-4"/>
          <w:sz w:val="18"/>
          <w:szCs w:val="18"/>
        </w:rPr>
        <w:tab/>
        <w:t>invite members and observers to make contributions by correspondence on policy issues;</w:t>
      </w:r>
    </w:p>
    <w:p w:rsidR="00261AB1" w:rsidRPr="00F9023A" w:rsidRDefault="00261AB1" w:rsidP="001B392E">
      <w:pPr>
        <w:ind w:right="567"/>
        <w:rPr>
          <w:rFonts w:eastAsiaTheme="minorEastAsia"/>
          <w:spacing w:val="-4"/>
          <w:sz w:val="16"/>
          <w:szCs w:val="16"/>
        </w:rPr>
      </w:pPr>
    </w:p>
    <w:p w:rsidR="00261AB1" w:rsidRPr="00945782" w:rsidRDefault="00261AB1" w:rsidP="001B392E">
      <w:pPr>
        <w:ind w:right="567" w:firstLine="567"/>
        <w:rPr>
          <w:rFonts w:eastAsiaTheme="minorEastAsia"/>
          <w:spacing w:val="-4"/>
          <w:sz w:val="18"/>
          <w:szCs w:val="18"/>
        </w:rPr>
      </w:pPr>
      <w:r w:rsidRPr="00945782">
        <w:rPr>
          <w:rFonts w:eastAsiaTheme="minorEastAsia"/>
          <w:spacing w:val="-4"/>
          <w:sz w:val="18"/>
          <w:szCs w:val="18"/>
        </w:rPr>
        <w:t>“(b)</w:t>
      </w:r>
      <w:r w:rsidRPr="00945782">
        <w:rPr>
          <w:rFonts w:eastAsiaTheme="minorEastAsia"/>
          <w:spacing w:val="-4"/>
          <w:sz w:val="18"/>
          <w:szCs w:val="18"/>
        </w:rPr>
        <w:tab/>
        <w:t xml:space="preserve">invite breeders to provide information on customs and practices on EDV;  and </w:t>
      </w:r>
    </w:p>
    <w:p w:rsidR="00261AB1" w:rsidRPr="00F9023A" w:rsidRDefault="00261AB1" w:rsidP="001B392E">
      <w:pPr>
        <w:ind w:right="567"/>
        <w:rPr>
          <w:rFonts w:eastAsiaTheme="minorEastAsia"/>
          <w:spacing w:val="-4"/>
          <w:sz w:val="16"/>
          <w:szCs w:val="16"/>
        </w:rPr>
      </w:pPr>
    </w:p>
    <w:p w:rsidR="00261AB1" w:rsidRDefault="00261AB1" w:rsidP="001B392E">
      <w:pPr>
        <w:ind w:right="567" w:firstLine="567"/>
        <w:rPr>
          <w:rFonts w:eastAsiaTheme="minorEastAsia"/>
          <w:spacing w:val="-4"/>
          <w:sz w:val="18"/>
          <w:szCs w:val="18"/>
        </w:rPr>
      </w:pPr>
      <w:r w:rsidRPr="00945782">
        <w:rPr>
          <w:rFonts w:eastAsiaTheme="minorEastAsia"/>
          <w:spacing w:val="-4"/>
          <w:sz w:val="18"/>
          <w:szCs w:val="18"/>
        </w:rPr>
        <w:t>“(c)</w:t>
      </w:r>
      <w:r w:rsidRPr="00945782">
        <w:rPr>
          <w:rFonts w:eastAsiaTheme="minorEastAsia"/>
          <w:spacing w:val="-4"/>
          <w:sz w:val="18"/>
          <w:szCs w:val="18"/>
        </w:rPr>
        <w:tab/>
        <w:t>based on the replies to (a) and (b), prepare a preliminary analysis on the EDVs issues and practices</w:t>
      </w:r>
      <w:r>
        <w:rPr>
          <w:rFonts w:eastAsiaTheme="minorEastAsia"/>
          <w:spacing w:val="-4"/>
          <w:sz w:val="18"/>
          <w:szCs w:val="18"/>
        </w:rPr>
        <w:t xml:space="preserve">. </w:t>
      </w:r>
      <w:r w:rsidR="00FB3342">
        <w:rPr>
          <w:rFonts w:eastAsiaTheme="minorEastAsia"/>
          <w:spacing w:val="-4"/>
          <w:sz w:val="18"/>
          <w:szCs w:val="18"/>
        </w:rPr>
        <w:t xml:space="preserve"> </w:t>
      </w:r>
      <w:r>
        <w:rPr>
          <w:rFonts w:eastAsiaTheme="minorEastAsia"/>
          <w:spacing w:val="-4"/>
          <w:sz w:val="18"/>
          <w:szCs w:val="18"/>
        </w:rPr>
        <w:t>[…]”</w:t>
      </w:r>
    </w:p>
    <w:p w:rsidR="00261AB1" w:rsidRPr="00F9023A" w:rsidRDefault="00261AB1" w:rsidP="00261AB1">
      <w:pPr>
        <w:rPr>
          <w:rFonts w:eastAsiaTheme="minorEastAsia"/>
          <w:spacing w:val="-4"/>
          <w:sz w:val="16"/>
          <w:szCs w:val="16"/>
        </w:rPr>
      </w:pPr>
      <w:r>
        <w:rPr>
          <w:rFonts w:eastAsiaTheme="minorEastAsia"/>
          <w:spacing w:val="-4"/>
          <w:sz w:val="18"/>
          <w:szCs w:val="18"/>
        </w:rPr>
        <w:t xml:space="preserve"> </w:t>
      </w:r>
    </w:p>
    <w:p w:rsidR="00F9023A" w:rsidRDefault="00261AB1" w:rsidP="00FB3342">
      <w:pPr>
        <w:rPr>
          <w:snapToGrid w:val="0"/>
          <w:spacing w:val="-2"/>
        </w:rPr>
      </w:pPr>
      <w:r>
        <w:rPr>
          <w:snapToGrid w:val="0"/>
          <w:spacing w:val="-2"/>
        </w:rPr>
        <w:t xml:space="preserve">(see </w:t>
      </w:r>
      <w:r w:rsidRPr="00CB526A">
        <w:rPr>
          <w:snapToGrid w:val="0"/>
          <w:spacing w:val="-2"/>
        </w:rPr>
        <w:t>docume</w:t>
      </w:r>
      <w:r>
        <w:rPr>
          <w:snapToGrid w:val="0"/>
          <w:spacing w:val="-2"/>
        </w:rPr>
        <w:t>nt CAJ/76/9 “Report”, paragraph 12).</w:t>
      </w:r>
      <w:r w:rsidR="00FB3342">
        <w:rPr>
          <w:snapToGrid w:val="0"/>
          <w:spacing w:val="-2"/>
        </w:rPr>
        <w:t xml:space="preserve"> </w:t>
      </w:r>
    </w:p>
    <w:p w:rsidR="00FB3342" w:rsidRDefault="00FB3342" w:rsidP="00FB3342">
      <w:pPr>
        <w:rPr>
          <w:snapToGrid w:val="0"/>
          <w:spacing w:val="-2"/>
        </w:rPr>
      </w:pPr>
    </w:p>
    <w:p w:rsidR="00315CD3" w:rsidRPr="008F5A88" w:rsidRDefault="00315CD3" w:rsidP="008F5A88">
      <w:pPr>
        <w:keepLines/>
        <w:rPr>
          <w:snapToGrid w:val="0"/>
          <w:spacing w:val="-4"/>
        </w:rPr>
      </w:pPr>
      <w:r w:rsidRPr="008F5A88">
        <w:rPr>
          <w:rFonts w:cs="Arial"/>
          <w:spacing w:val="-2"/>
        </w:rPr>
        <w:lastRenderedPageBreak/>
        <w:fldChar w:fldCharType="begin"/>
      </w:r>
      <w:r w:rsidRPr="008F5A88">
        <w:rPr>
          <w:rFonts w:cs="Arial"/>
          <w:spacing w:val="-2"/>
        </w:rPr>
        <w:instrText xml:space="preserve"> AUTONUM  </w:instrText>
      </w:r>
      <w:r w:rsidRPr="008F5A88">
        <w:rPr>
          <w:rFonts w:cs="Arial"/>
          <w:spacing w:val="-2"/>
        </w:rPr>
        <w:fldChar w:fldCharType="end"/>
      </w:r>
      <w:r w:rsidRPr="008F5A88">
        <w:rPr>
          <w:rFonts w:cs="Arial"/>
          <w:spacing w:val="-2"/>
        </w:rPr>
        <w:tab/>
      </w:r>
      <w:r w:rsidRPr="008F5A88">
        <w:rPr>
          <w:rFonts w:cs="Arial"/>
          <w:spacing w:val="-2"/>
          <w:lang w:eastAsia="ja-JP" w:bidi="th-TH"/>
        </w:rPr>
        <w:t xml:space="preserve">The </w:t>
      </w:r>
      <w:r w:rsidR="007C2406" w:rsidRPr="008F5A88">
        <w:rPr>
          <w:rFonts w:eastAsiaTheme="minorEastAsia" w:cs="Arial"/>
          <w:color w:val="000000"/>
          <w:spacing w:val="-2"/>
        </w:rPr>
        <w:t xml:space="preserve">CAJ </w:t>
      </w:r>
      <w:r w:rsidR="001F4F19" w:rsidRPr="008F5A88">
        <w:t xml:space="preserve">agreed </w:t>
      </w:r>
      <w:r w:rsidR="00261AB1" w:rsidRPr="008F5A88">
        <w:t xml:space="preserve">by correspondence on October 25, 2020, </w:t>
      </w:r>
      <w:r w:rsidR="001F4F19" w:rsidRPr="008F5A88">
        <w:t xml:space="preserve">to establish </w:t>
      </w:r>
      <w:r w:rsidR="00207502" w:rsidRPr="008F5A88">
        <w:t xml:space="preserve">a </w:t>
      </w:r>
      <w:r w:rsidR="00207502" w:rsidRPr="008F5A88">
        <w:rPr>
          <w:rFonts w:eastAsiaTheme="minorEastAsia" w:cs="Arial"/>
          <w:snapToGrid w:val="0"/>
        </w:rPr>
        <w:t>Working Group on Essentially Derived Varieties (WG-EDV)</w:t>
      </w:r>
      <w:r w:rsidR="001F4F19" w:rsidRPr="008F5A88">
        <w:t xml:space="preserve">. </w:t>
      </w:r>
      <w:r w:rsidR="001B392E" w:rsidRPr="008F5A88">
        <w:t xml:space="preserve"> </w:t>
      </w:r>
      <w:r w:rsidR="008762E4" w:rsidRPr="008F5A88">
        <w:rPr>
          <w:snapToGrid w:val="0"/>
          <w:spacing w:val="-4"/>
        </w:rPr>
        <w:t>The CAJ, on October 25, 2020, also approved the terms of reference for the WG</w:t>
      </w:r>
      <w:r w:rsidR="008762E4" w:rsidRPr="008F5A88">
        <w:rPr>
          <w:snapToGrid w:val="0"/>
          <w:spacing w:val="-4"/>
        </w:rPr>
        <w:noBreakHyphen/>
        <w:t xml:space="preserve">EDV and the “Policy issues in conjunction with the breeders’ customs and practices” (see Annexes I and II of this document).  </w:t>
      </w:r>
      <w:r w:rsidR="001F4F19" w:rsidRPr="008F5A88">
        <w:t>The background to this matter and the com</w:t>
      </w:r>
      <w:r w:rsidR="00C65682" w:rsidRPr="008F5A88">
        <w:t xml:space="preserve">position of the WG-EDV </w:t>
      </w:r>
      <w:r w:rsidR="008762E4" w:rsidRPr="008F5A88">
        <w:t>are</w:t>
      </w:r>
      <w:r w:rsidR="001F4F19" w:rsidRPr="008F5A88">
        <w:t xml:space="preserve"> reproduced in Annex</w:t>
      </w:r>
      <w:r w:rsidR="00207502" w:rsidRPr="008F5A88">
        <w:t> </w:t>
      </w:r>
      <w:r w:rsidR="001F4F19" w:rsidRPr="008F5A88">
        <w:t>III to this document</w:t>
      </w:r>
      <w:r w:rsidR="00C65682" w:rsidRPr="008F5A88">
        <w:t xml:space="preserve"> </w:t>
      </w:r>
      <w:r w:rsidR="00C65682" w:rsidRPr="008F5A88">
        <w:rPr>
          <w:rFonts w:eastAsiaTheme="minorEastAsia" w:cs="Arial"/>
          <w:spacing w:val="-2"/>
        </w:rPr>
        <w:t xml:space="preserve">(see document CAJ/77/10 “Report”, </w:t>
      </w:r>
      <w:r w:rsidR="00C65682" w:rsidRPr="008F5A88">
        <w:rPr>
          <w:snapToGrid w:val="0"/>
          <w:spacing w:val="2"/>
        </w:rPr>
        <w:t>paragraphs 24 and 25</w:t>
      </w:r>
      <w:r w:rsidR="00C65682" w:rsidRPr="008F5A88">
        <w:rPr>
          <w:rFonts w:eastAsiaTheme="minorEastAsia" w:cs="Arial"/>
          <w:spacing w:val="-2"/>
        </w:rPr>
        <w:t>).</w:t>
      </w:r>
    </w:p>
    <w:p w:rsidR="00AE5C02" w:rsidRPr="008F5A88" w:rsidRDefault="00AE5C02" w:rsidP="00E901EF">
      <w:pPr>
        <w:rPr>
          <w:snapToGrid w:val="0"/>
          <w:spacing w:val="-2"/>
        </w:rPr>
      </w:pPr>
    </w:p>
    <w:p w:rsidR="00D666E1" w:rsidRPr="008F5A88" w:rsidRDefault="00016514" w:rsidP="00016514">
      <w:pPr>
        <w:rPr>
          <w:snapToGrid w:val="0"/>
          <w:spacing w:val="-2"/>
        </w:rPr>
      </w:pPr>
      <w:r w:rsidRPr="008F5A88">
        <w:rPr>
          <w:snapToGrid w:val="0"/>
          <w:spacing w:val="-4"/>
        </w:rPr>
        <w:fldChar w:fldCharType="begin"/>
      </w:r>
      <w:r w:rsidRPr="008F5A88">
        <w:rPr>
          <w:snapToGrid w:val="0"/>
          <w:spacing w:val="-4"/>
        </w:rPr>
        <w:instrText xml:space="preserve"> AUTONUM  </w:instrText>
      </w:r>
      <w:r w:rsidRPr="008F5A88">
        <w:rPr>
          <w:snapToGrid w:val="0"/>
          <w:spacing w:val="-4"/>
        </w:rPr>
        <w:fldChar w:fldCharType="end"/>
      </w:r>
      <w:r w:rsidR="008762E4" w:rsidRPr="008F5A88">
        <w:rPr>
          <w:snapToGrid w:val="0"/>
          <w:spacing w:val="-4"/>
        </w:rPr>
        <w:tab/>
      </w:r>
      <w:r w:rsidR="00D666E1" w:rsidRPr="008F5A88">
        <w:rPr>
          <w:snapToGrid w:val="0"/>
          <w:spacing w:val="-2"/>
        </w:rPr>
        <w:t xml:space="preserve">The </w:t>
      </w:r>
      <w:r w:rsidR="000900AC" w:rsidRPr="008F5A88">
        <w:rPr>
          <w:snapToGrid w:val="0"/>
          <w:spacing w:val="-2"/>
        </w:rPr>
        <w:t xml:space="preserve">CAJ, on October 25, 2020, </w:t>
      </w:r>
      <w:r w:rsidR="00D666E1" w:rsidRPr="008F5A88">
        <w:rPr>
          <w:snapToGrid w:val="0"/>
          <w:spacing w:val="-2"/>
        </w:rPr>
        <w:t>agreed to request the WG-EDV</w:t>
      </w:r>
      <w:r w:rsidR="00207502" w:rsidRPr="008F5A88">
        <w:rPr>
          <w:snapToGrid w:val="0"/>
          <w:spacing w:val="-2"/>
        </w:rPr>
        <w:t>,</w:t>
      </w:r>
      <w:r w:rsidR="00D666E1" w:rsidRPr="008F5A88">
        <w:rPr>
          <w:snapToGrid w:val="0"/>
          <w:spacing w:val="-2"/>
        </w:rPr>
        <w:t xml:space="preserve"> </w:t>
      </w:r>
      <w:r w:rsidR="00207502" w:rsidRPr="008F5A88">
        <w:rPr>
          <w:snapToGrid w:val="0"/>
          <w:spacing w:val="-2"/>
        </w:rPr>
        <w:t xml:space="preserve">at its first meeting, </w:t>
      </w:r>
      <w:r w:rsidR="00D666E1" w:rsidRPr="008F5A88">
        <w:rPr>
          <w:snapToGrid w:val="0"/>
          <w:spacing w:val="-2"/>
        </w:rPr>
        <w:t>to propose a tim</w:t>
      </w:r>
      <w:r w:rsidR="001B392E" w:rsidRPr="008F5A88">
        <w:rPr>
          <w:snapToGrid w:val="0"/>
          <w:spacing w:val="-2"/>
        </w:rPr>
        <w:t>eline for its work</w:t>
      </w:r>
      <w:r w:rsidR="00207502" w:rsidRPr="008F5A88">
        <w:rPr>
          <w:snapToGrid w:val="0"/>
          <w:spacing w:val="-2"/>
        </w:rPr>
        <w:t>,</w:t>
      </w:r>
      <w:r w:rsidR="001B392E" w:rsidRPr="008F5A88">
        <w:rPr>
          <w:snapToGrid w:val="0"/>
          <w:spacing w:val="-2"/>
        </w:rPr>
        <w:t xml:space="preserve"> </w:t>
      </w:r>
      <w:r w:rsidR="00D666E1" w:rsidRPr="008F5A88">
        <w:rPr>
          <w:snapToGrid w:val="0"/>
          <w:spacing w:val="-2"/>
        </w:rPr>
        <w:t>for consideration by the CAJ at its session in 2021</w:t>
      </w:r>
      <w:r w:rsidR="000900AC" w:rsidRPr="008F5A88">
        <w:rPr>
          <w:snapToGrid w:val="0"/>
          <w:spacing w:val="-2"/>
        </w:rPr>
        <w:t xml:space="preserve"> (</w:t>
      </w:r>
      <w:r w:rsidR="000900AC" w:rsidRPr="008F5A88">
        <w:rPr>
          <w:snapToGrid w:val="0"/>
          <w:spacing w:val="2"/>
        </w:rPr>
        <w:t>CAJ/77/9 “Outcome of the consideration of documents by correspondence”, paragraph 40)</w:t>
      </w:r>
      <w:r w:rsidR="000900AC" w:rsidRPr="008F5A88">
        <w:rPr>
          <w:snapToGrid w:val="0"/>
          <w:spacing w:val="-2"/>
        </w:rPr>
        <w:t>.</w:t>
      </w:r>
    </w:p>
    <w:p w:rsidR="00954540" w:rsidRPr="008F5A88" w:rsidRDefault="00954540" w:rsidP="00016514">
      <w:pPr>
        <w:rPr>
          <w:snapToGrid w:val="0"/>
          <w:spacing w:val="-2"/>
        </w:rPr>
      </w:pPr>
    </w:p>
    <w:p w:rsidR="00D718B5" w:rsidRPr="008F5A88" w:rsidRDefault="00D718B5" w:rsidP="00D718B5">
      <w:pPr>
        <w:rPr>
          <w:snapToGrid w:val="0"/>
          <w:spacing w:val="-2"/>
        </w:rPr>
      </w:pPr>
      <w:r w:rsidRPr="008F5A88">
        <w:rPr>
          <w:snapToGrid w:val="0"/>
          <w:spacing w:val="-2"/>
        </w:rPr>
        <w:fldChar w:fldCharType="begin"/>
      </w:r>
      <w:r w:rsidRPr="008F5A88">
        <w:rPr>
          <w:snapToGrid w:val="0"/>
          <w:spacing w:val="-2"/>
        </w:rPr>
        <w:instrText xml:space="preserve"> AUTONUM  </w:instrText>
      </w:r>
      <w:r w:rsidRPr="008F5A88">
        <w:rPr>
          <w:snapToGrid w:val="0"/>
          <w:spacing w:val="-2"/>
        </w:rPr>
        <w:fldChar w:fldCharType="end"/>
      </w:r>
      <w:r w:rsidRPr="008F5A88">
        <w:rPr>
          <w:snapToGrid w:val="0"/>
          <w:spacing w:val="-2"/>
        </w:rPr>
        <w:tab/>
        <w:t xml:space="preserve">The WG-EDV terms of reference, provide as follows in relation to the organization </w:t>
      </w:r>
      <w:r w:rsidR="00771780" w:rsidRPr="008F5A88">
        <w:rPr>
          <w:snapToGrid w:val="0"/>
          <w:spacing w:val="-2"/>
        </w:rPr>
        <w:t>of the work of the WG</w:t>
      </w:r>
      <w:r w:rsidR="00771780" w:rsidRPr="008F5A88">
        <w:rPr>
          <w:snapToGrid w:val="0"/>
          <w:spacing w:val="-2"/>
        </w:rPr>
        <w:noBreakHyphen/>
        <w:t>EDV (see s</w:t>
      </w:r>
      <w:r w:rsidRPr="008F5A88">
        <w:rPr>
          <w:snapToGrid w:val="0"/>
          <w:spacing w:val="-2"/>
        </w:rPr>
        <w:t>ections (b) and (c) of the Modus Operandi, Annex I):</w:t>
      </w:r>
    </w:p>
    <w:p w:rsidR="001B392E" w:rsidRPr="008F5A88" w:rsidRDefault="001B392E" w:rsidP="00771780">
      <w:pPr>
        <w:ind w:right="567"/>
        <w:rPr>
          <w:rFonts w:cs="Arial"/>
          <w:spacing w:val="-2"/>
          <w:sz w:val="18"/>
          <w:szCs w:val="18"/>
        </w:rPr>
      </w:pPr>
    </w:p>
    <w:p w:rsidR="00D718B5" w:rsidRPr="008F5A88" w:rsidRDefault="00D718B5" w:rsidP="001B392E">
      <w:pPr>
        <w:ind w:left="567" w:right="567"/>
        <w:rPr>
          <w:rFonts w:cs="Arial"/>
          <w:spacing w:val="-2"/>
          <w:sz w:val="18"/>
          <w:szCs w:val="18"/>
        </w:rPr>
      </w:pPr>
      <w:r w:rsidRPr="008F5A88">
        <w:rPr>
          <w:rFonts w:cs="Arial"/>
          <w:spacing w:val="-2"/>
          <w:sz w:val="18"/>
          <w:szCs w:val="18"/>
        </w:rPr>
        <w:t xml:space="preserve">“(b) </w:t>
      </w:r>
      <w:r w:rsidRPr="008F5A88">
        <w:rPr>
          <w:rFonts w:cs="Arial"/>
          <w:spacing w:val="-2"/>
          <w:sz w:val="18"/>
          <w:szCs w:val="18"/>
        </w:rPr>
        <w:tab/>
        <w:t>the WG-EDV to meet at a time and frequency to address its mandate, by physical and/or virtual means, as agreed by the WG-EDV;</w:t>
      </w:r>
    </w:p>
    <w:p w:rsidR="00D718B5" w:rsidRPr="008F5A88" w:rsidRDefault="00D718B5" w:rsidP="001B392E">
      <w:pPr>
        <w:ind w:left="567" w:right="567"/>
        <w:rPr>
          <w:rFonts w:cs="Arial"/>
          <w:spacing w:val="-2"/>
          <w:sz w:val="18"/>
          <w:szCs w:val="18"/>
        </w:rPr>
      </w:pPr>
    </w:p>
    <w:p w:rsidR="00D718B5" w:rsidRPr="00CB526A" w:rsidRDefault="00D718B5" w:rsidP="001B392E">
      <w:pPr>
        <w:ind w:left="567" w:right="567"/>
        <w:rPr>
          <w:sz w:val="18"/>
          <w:szCs w:val="18"/>
        </w:rPr>
      </w:pPr>
      <w:r w:rsidRPr="008F5A88">
        <w:rPr>
          <w:rFonts w:cs="Arial"/>
          <w:spacing w:val="-2"/>
          <w:sz w:val="18"/>
          <w:szCs w:val="18"/>
        </w:rPr>
        <w:t>“(</w:t>
      </w:r>
      <w:r w:rsidRPr="008F5A88">
        <w:rPr>
          <w:sz w:val="18"/>
          <w:szCs w:val="18"/>
        </w:rPr>
        <w:t xml:space="preserve">c) </w:t>
      </w:r>
      <w:r w:rsidRPr="008F5A88">
        <w:rPr>
          <w:sz w:val="18"/>
          <w:szCs w:val="18"/>
        </w:rPr>
        <w:tab/>
        <w:t>the WG-EDV</w:t>
      </w:r>
      <w:r w:rsidRPr="005D46AF">
        <w:rPr>
          <w:sz w:val="18"/>
          <w:szCs w:val="18"/>
        </w:rPr>
        <w:t xml:space="preserve"> to report to the CAJ on progress of its work and to seek further guidance from the CAJ, as appropriate;</w:t>
      </w:r>
      <w:r>
        <w:rPr>
          <w:sz w:val="18"/>
          <w:szCs w:val="18"/>
        </w:rPr>
        <w:t>”</w:t>
      </w:r>
    </w:p>
    <w:p w:rsidR="00D718B5" w:rsidRPr="008F5A88" w:rsidRDefault="00D718B5" w:rsidP="00016514">
      <w:pPr>
        <w:rPr>
          <w:snapToGrid w:val="0"/>
          <w:spacing w:val="-2"/>
        </w:rPr>
      </w:pPr>
    </w:p>
    <w:p w:rsidR="001B392E" w:rsidRPr="008F5A88" w:rsidRDefault="001B392E" w:rsidP="00016514">
      <w:pPr>
        <w:rPr>
          <w:snapToGrid w:val="0"/>
          <w:spacing w:val="-2"/>
        </w:rPr>
      </w:pPr>
    </w:p>
    <w:p w:rsidR="00261AB1" w:rsidRPr="008F5A88" w:rsidRDefault="00261AB1" w:rsidP="001B392E">
      <w:pPr>
        <w:pStyle w:val="Heading2"/>
        <w:rPr>
          <w:snapToGrid w:val="0"/>
        </w:rPr>
      </w:pPr>
      <w:bookmarkStart w:id="11" w:name="_Toc57304248"/>
      <w:r w:rsidRPr="008F5A88">
        <w:rPr>
          <w:snapToGrid w:val="0"/>
        </w:rPr>
        <w:t xml:space="preserve">Proposal for </w:t>
      </w:r>
      <w:r w:rsidR="00207502" w:rsidRPr="008F5A88">
        <w:rPr>
          <w:snapToGrid w:val="0"/>
        </w:rPr>
        <w:t>work</w:t>
      </w:r>
      <w:r w:rsidR="005D4A68" w:rsidRPr="008F5A88">
        <w:rPr>
          <w:snapToGrid w:val="0"/>
        </w:rPr>
        <w:t xml:space="preserve"> </w:t>
      </w:r>
      <w:r w:rsidR="00207502" w:rsidRPr="008F5A88">
        <w:rPr>
          <w:snapToGrid w:val="0"/>
        </w:rPr>
        <w:t>plan</w:t>
      </w:r>
      <w:bookmarkEnd w:id="11"/>
    </w:p>
    <w:p w:rsidR="00261AB1" w:rsidRPr="008F5A88" w:rsidRDefault="00261AB1" w:rsidP="00016514">
      <w:pPr>
        <w:rPr>
          <w:snapToGrid w:val="0"/>
          <w:spacing w:val="-2"/>
        </w:rPr>
      </w:pPr>
    </w:p>
    <w:p w:rsidR="00954540" w:rsidRPr="00954540" w:rsidRDefault="00954540" w:rsidP="00954540">
      <w:pPr>
        <w:rPr>
          <w:snapToGrid w:val="0"/>
          <w:spacing w:val="-2"/>
        </w:rPr>
      </w:pPr>
      <w:r w:rsidRPr="008F5A88">
        <w:rPr>
          <w:snapToGrid w:val="0"/>
          <w:spacing w:val="-2"/>
        </w:rPr>
        <w:fldChar w:fldCharType="begin"/>
      </w:r>
      <w:r w:rsidRPr="008F5A88">
        <w:rPr>
          <w:snapToGrid w:val="0"/>
          <w:spacing w:val="-2"/>
        </w:rPr>
        <w:instrText xml:space="preserve"> AUTONUM  </w:instrText>
      </w:r>
      <w:r w:rsidRPr="008F5A88">
        <w:rPr>
          <w:snapToGrid w:val="0"/>
          <w:spacing w:val="-2"/>
        </w:rPr>
        <w:fldChar w:fldCharType="end"/>
      </w:r>
      <w:r w:rsidRPr="008F5A88">
        <w:rPr>
          <w:snapToGrid w:val="0"/>
          <w:spacing w:val="-2"/>
        </w:rPr>
        <w:tab/>
      </w:r>
      <w:r w:rsidR="00CB526A" w:rsidRPr="008F5A88">
        <w:rPr>
          <w:snapToGrid w:val="0"/>
          <w:spacing w:val="-2"/>
        </w:rPr>
        <w:t>The WG-EDV terms of reference provide as follows (see s</w:t>
      </w:r>
      <w:r w:rsidRPr="008F5A88">
        <w:rPr>
          <w:snapToGrid w:val="0"/>
          <w:spacing w:val="-2"/>
        </w:rPr>
        <w:t>ect</w:t>
      </w:r>
      <w:r w:rsidR="00CB526A" w:rsidRPr="008F5A88">
        <w:rPr>
          <w:snapToGrid w:val="0"/>
          <w:spacing w:val="-2"/>
        </w:rPr>
        <w:t>ion (a) of the Modus Operandi, Annex I):</w:t>
      </w:r>
    </w:p>
    <w:p w:rsidR="00954540" w:rsidRPr="008F5A88" w:rsidRDefault="00954540" w:rsidP="00954540">
      <w:pPr>
        <w:rPr>
          <w:snapToGrid w:val="0"/>
          <w:spacing w:val="-2"/>
          <w:sz w:val="18"/>
          <w:szCs w:val="18"/>
        </w:rPr>
      </w:pPr>
    </w:p>
    <w:p w:rsidR="00954540" w:rsidRPr="008F5A88" w:rsidRDefault="00CB526A" w:rsidP="00F328A3">
      <w:pPr>
        <w:tabs>
          <w:tab w:val="left" w:pos="1134"/>
        </w:tabs>
        <w:ind w:right="567" w:firstLine="567"/>
        <w:rPr>
          <w:snapToGrid w:val="0"/>
          <w:spacing w:val="-2"/>
          <w:sz w:val="18"/>
          <w:szCs w:val="18"/>
        </w:rPr>
      </w:pPr>
      <w:r w:rsidRPr="008F5A88">
        <w:rPr>
          <w:snapToGrid w:val="0"/>
          <w:spacing w:val="-2"/>
          <w:sz w:val="18"/>
          <w:szCs w:val="18"/>
        </w:rPr>
        <w:t>“</w:t>
      </w:r>
      <w:r w:rsidR="00954540" w:rsidRPr="008F5A88">
        <w:rPr>
          <w:snapToGrid w:val="0"/>
          <w:spacing w:val="-2"/>
          <w:sz w:val="18"/>
          <w:szCs w:val="18"/>
        </w:rPr>
        <w:t xml:space="preserve">(a) </w:t>
      </w:r>
      <w:r w:rsidR="00954540" w:rsidRPr="008F5A88">
        <w:rPr>
          <w:snapToGrid w:val="0"/>
          <w:spacing w:val="-2"/>
          <w:sz w:val="18"/>
          <w:szCs w:val="18"/>
        </w:rPr>
        <w:tab/>
        <w:t>in drafting the revision of document UPOV/EXN/EDV/2, the WG-EDV to consider:</w:t>
      </w:r>
    </w:p>
    <w:p w:rsidR="00954540" w:rsidRPr="008F5A88" w:rsidRDefault="00954540" w:rsidP="00954540">
      <w:pPr>
        <w:rPr>
          <w:snapToGrid w:val="0"/>
          <w:spacing w:val="-2"/>
          <w:sz w:val="18"/>
          <w:szCs w:val="18"/>
        </w:rPr>
      </w:pPr>
    </w:p>
    <w:p w:rsidR="00954540" w:rsidRPr="008F5A88" w:rsidRDefault="00F328A3" w:rsidP="00F328A3">
      <w:pPr>
        <w:tabs>
          <w:tab w:val="left" w:pos="1701"/>
        </w:tabs>
        <w:ind w:left="1134" w:right="567"/>
        <w:rPr>
          <w:snapToGrid w:val="0"/>
          <w:spacing w:val="-2"/>
          <w:sz w:val="18"/>
          <w:szCs w:val="18"/>
        </w:rPr>
      </w:pPr>
      <w:r w:rsidRPr="008F5A88">
        <w:rPr>
          <w:snapToGrid w:val="0"/>
          <w:spacing w:val="-4"/>
          <w:sz w:val="18"/>
          <w:szCs w:val="18"/>
        </w:rPr>
        <w:t>“</w:t>
      </w:r>
      <w:r w:rsidR="00954540" w:rsidRPr="008F5A88">
        <w:rPr>
          <w:snapToGrid w:val="0"/>
          <w:spacing w:val="-4"/>
          <w:sz w:val="18"/>
          <w:szCs w:val="18"/>
        </w:rPr>
        <w:t>(i)</w:t>
      </w:r>
      <w:r w:rsidR="00954540" w:rsidRPr="008F5A88">
        <w:rPr>
          <w:snapToGrid w:val="0"/>
          <w:spacing w:val="-4"/>
          <w:sz w:val="18"/>
          <w:szCs w:val="18"/>
        </w:rPr>
        <w:tab/>
        <w:t>the outcome of the 2019 Seminar on the Impact of Policy on Essentially Derived Varieties (EDVs)</w:t>
      </w:r>
      <w:r w:rsidR="00954540" w:rsidRPr="008F5A88">
        <w:rPr>
          <w:snapToGrid w:val="0"/>
          <w:spacing w:val="-2"/>
          <w:sz w:val="18"/>
          <w:szCs w:val="18"/>
        </w:rPr>
        <w:t xml:space="preserve"> on Breeding Strategy:</w:t>
      </w:r>
    </w:p>
    <w:p w:rsidR="00954540" w:rsidRPr="008F5A88" w:rsidRDefault="00954540" w:rsidP="001B392E">
      <w:pPr>
        <w:ind w:left="567" w:right="567"/>
        <w:rPr>
          <w:snapToGrid w:val="0"/>
          <w:spacing w:val="-2"/>
          <w:sz w:val="18"/>
          <w:szCs w:val="18"/>
        </w:rPr>
      </w:pPr>
    </w:p>
    <w:p w:rsidR="00954540" w:rsidRPr="008F5A88" w:rsidRDefault="00F328A3" w:rsidP="00F328A3">
      <w:pPr>
        <w:ind w:left="1701" w:right="567"/>
        <w:rPr>
          <w:snapToGrid w:val="0"/>
          <w:spacing w:val="-2"/>
          <w:sz w:val="18"/>
          <w:szCs w:val="18"/>
        </w:rPr>
      </w:pPr>
      <w:r w:rsidRPr="008F5A88">
        <w:rPr>
          <w:snapToGrid w:val="0"/>
          <w:spacing w:val="-2"/>
          <w:sz w:val="18"/>
          <w:szCs w:val="18"/>
        </w:rPr>
        <w:t>“‘</w:t>
      </w:r>
      <w:r w:rsidR="00954540" w:rsidRPr="008F5A88">
        <w:rPr>
          <w:snapToGrid w:val="0"/>
          <w:spacing w:val="-2"/>
          <w:sz w:val="18"/>
          <w:szCs w:val="18"/>
        </w:rPr>
        <w:t>- Evidence that the current UPOV guidance does not reflect the practice amongst breeders in the understanding of essentially derived varieties;</w:t>
      </w:r>
    </w:p>
    <w:p w:rsidR="00954540" w:rsidRPr="008F5A88" w:rsidRDefault="00954540" w:rsidP="00F328A3">
      <w:pPr>
        <w:ind w:left="1701" w:right="567"/>
        <w:rPr>
          <w:snapToGrid w:val="0"/>
          <w:spacing w:val="-2"/>
          <w:sz w:val="18"/>
          <w:szCs w:val="18"/>
        </w:rPr>
      </w:pPr>
    </w:p>
    <w:p w:rsidR="00954540" w:rsidRPr="008F5A88" w:rsidRDefault="00F328A3" w:rsidP="00F328A3">
      <w:pPr>
        <w:ind w:left="1701" w:right="567"/>
        <w:rPr>
          <w:snapToGrid w:val="0"/>
          <w:spacing w:val="-2"/>
          <w:sz w:val="18"/>
          <w:szCs w:val="18"/>
        </w:rPr>
      </w:pPr>
      <w:r w:rsidRPr="008F5A88">
        <w:rPr>
          <w:snapToGrid w:val="0"/>
          <w:spacing w:val="-2"/>
          <w:sz w:val="18"/>
          <w:szCs w:val="18"/>
        </w:rPr>
        <w:t>“‘</w:t>
      </w:r>
      <w:r w:rsidR="00954540" w:rsidRPr="008F5A88">
        <w:rPr>
          <w:snapToGrid w:val="0"/>
          <w:spacing w:val="-2"/>
          <w:sz w:val="18"/>
          <w:szCs w:val="18"/>
        </w:rPr>
        <w:t>- Evolution of breeding technologies has created new opportunities/incentives for predominantly deriving varieties from initial varieties, more rapidly and at a lower cost;</w:t>
      </w:r>
    </w:p>
    <w:p w:rsidR="00954540" w:rsidRPr="008F5A88" w:rsidRDefault="00954540" w:rsidP="00F328A3">
      <w:pPr>
        <w:ind w:left="1701" w:right="567"/>
        <w:rPr>
          <w:snapToGrid w:val="0"/>
          <w:spacing w:val="-2"/>
          <w:sz w:val="18"/>
          <w:szCs w:val="18"/>
        </w:rPr>
      </w:pPr>
    </w:p>
    <w:p w:rsidR="00954540" w:rsidRPr="008F5A88" w:rsidRDefault="00F328A3" w:rsidP="00F328A3">
      <w:pPr>
        <w:ind w:left="1701" w:right="567"/>
        <w:rPr>
          <w:snapToGrid w:val="0"/>
          <w:spacing w:val="-4"/>
          <w:sz w:val="18"/>
          <w:szCs w:val="18"/>
        </w:rPr>
      </w:pPr>
      <w:r w:rsidRPr="008F5A88">
        <w:rPr>
          <w:snapToGrid w:val="0"/>
          <w:spacing w:val="-4"/>
          <w:sz w:val="18"/>
          <w:szCs w:val="18"/>
        </w:rPr>
        <w:t>“‘</w:t>
      </w:r>
      <w:r w:rsidR="00954540" w:rsidRPr="008F5A88">
        <w:rPr>
          <w:snapToGrid w:val="0"/>
          <w:spacing w:val="-4"/>
          <w:sz w:val="18"/>
          <w:szCs w:val="18"/>
        </w:rPr>
        <w:t xml:space="preserve">- Clear indication from presentations and discussions that the understanding and implementation of the EDV concept influences breeding strategy – therefore, it is important that UPOV guidance is tuned to maximize benefits to society in terms of </w:t>
      </w:r>
      <w:r w:rsidRPr="008F5A88">
        <w:rPr>
          <w:snapToGrid w:val="0"/>
          <w:spacing w:val="-4"/>
          <w:sz w:val="18"/>
          <w:szCs w:val="18"/>
        </w:rPr>
        <w:t>maximizing progress in breeding.’</w:t>
      </w:r>
      <w:r w:rsidR="00954540" w:rsidRPr="008F5A88">
        <w:rPr>
          <w:snapToGrid w:val="0"/>
          <w:spacing w:val="-4"/>
          <w:sz w:val="18"/>
          <w:szCs w:val="18"/>
        </w:rPr>
        <w:t>;  and</w:t>
      </w:r>
    </w:p>
    <w:p w:rsidR="00954540" w:rsidRPr="008F5A88" w:rsidRDefault="00954540" w:rsidP="001B392E">
      <w:pPr>
        <w:ind w:left="567" w:right="567"/>
        <w:rPr>
          <w:snapToGrid w:val="0"/>
          <w:spacing w:val="-2"/>
          <w:sz w:val="18"/>
          <w:szCs w:val="18"/>
        </w:rPr>
      </w:pPr>
    </w:p>
    <w:p w:rsidR="00954540" w:rsidRPr="008F5A88" w:rsidRDefault="00F328A3" w:rsidP="00F328A3">
      <w:pPr>
        <w:tabs>
          <w:tab w:val="left" w:pos="1701"/>
        </w:tabs>
        <w:ind w:left="1134" w:right="567"/>
        <w:rPr>
          <w:snapToGrid w:val="0"/>
          <w:spacing w:val="-2"/>
          <w:sz w:val="18"/>
          <w:szCs w:val="18"/>
        </w:rPr>
      </w:pPr>
      <w:r w:rsidRPr="008F5A88">
        <w:rPr>
          <w:snapToGrid w:val="0"/>
          <w:spacing w:val="-2"/>
          <w:sz w:val="18"/>
          <w:szCs w:val="18"/>
        </w:rPr>
        <w:t>“</w:t>
      </w:r>
      <w:r w:rsidR="00954540" w:rsidRPr="008F5A88">
        <w:rPr>
          <w:snapToGrid w:val="0"/>
          <w:spacing w:val="-2"/>
          <w:sz w:val="18"/>
          <w:szCs w:val="18"/>
        </w:rPr>
        <w:t>(ii)</w:t>
      </w:r>
      <w:r w:rsidR="00954540" w:rsidRPr="008F5A88">
        <w:rPr>
          <w:snapToGrid w:val="0"/>
          <w:spacing w:val="-2"/>
          <w:sz w:val="18"/>
          <w:szCs w:val="18"/>
        </w:rPr>
        <w:tab/>
        <w:t>the policy issues in conjunction with the breeders’ customs and</w:t>
      </w:r>
      <w:r w:rsidRPr="008F5A88">
        <w:rPr>
          <w:snapToGrid w:val="0"/>
          <w:spacing w:val="-2"/>
          <w:sz w:val="18"/>
          <w:szCs w:val="18"/>
        </w:rPr>
        <w:t xml:space="preserve"> practices, as set out in Annex II of this document;”</w:t>
      </w:r>
    </w:p>
    <w:p w:rsidR="007C2406" w:rsidRPr="008F5A88" w:rsidRDefault="007C2406" w:rsidP="007C2406">
      <w:pPr>
        <w:ind w:firstLine="567"/>
        <w:rPr>
          <w:snapToGrid w:val="0"/>
          <w:spacing w:val="-2"/>
        </w:rPr>
      </w:pPr>
    </w:p>
    <w:p w:rsidR="00261AB1" w:rsidRPr="008F5A88" w:rsidRDefault="007C2406" w:rsidP="007C2406">
      <w:pPr>
        <w:rPr>
          <w:snapToGrid w:val="0"/>
          <w:spacing w:val="-2"/>
        </w:rPr>
      </w:pPr>
      <w:r w:rsidRPr="008F5A88">
        <w:rPr>
          <w:snapToGrid w:val="0"/>
          <w:spacing w:val="-2"/>
        </w:rPr>
        <w:fldChar w:fldCharType="begin"/>
      </w:r>
      <w:r w:rsidRPr="008F5A88">
        <w:rPr>
          <w:snapToGrid w:val="0"/>
          <w:spacing w:val="-2"/>
        </w:rPr>
        <w:instrText xml:space="preserve"> AUTONUM  </w:instrText>
      </w:r>
      <w:r w:rsidRPr="008F5A88">
        <w:rPr>
          <w:snapToGrid w:val="0"/>
          <w:spacing w:val="-2"/>
        </w:rPr>
        <w:fldChar w:fldCharType="end"/>
      </w:r>
      <w:r w:rsidRPr="008F5A88">
        <w:rPr>
          <w:snapToGrid w:val="0"/>
          <w:spacing w:val="-2"/>
        </w:rPr>
        <w:tab/>
      </w:r>
      <w:r w:rsidR="00261AB1" w:rsidRPr="008F5A88">
        <w:rPr>
          <w:snapToGrid w:val="0"/>
          <w:spacing w:val="-2"/>
        </w:rPr>
        <w:t xml:space="preserve">As indicated in the WG-EDV terms of reference, a key consideration by the CAJ in deciding to </w:t>
      </w:r>
      <w:r w:rsidR="00F328A3" w:rsidRPr="008F5A88">
        <w:rPr>
          <w:rFonts w:eastAsiaTheme="minorEastAsia"/>
          <w:spacing w:val="-2"/>
        </w:rPr>
        <w:t xml:space="preserve">open up </w:t>
      </w:r>
      <w:r w:rsidRPr="008F5A88">
        <w:rPr>
          <w:rFonts w:eastAsiaTheme="minorEastAsia"/>
        </w:rPr>
        <w:t xml:space="preserve">document UPOV/EXN/EDV/2 for revision </w:t>
      </w:r>
      <w:r w:rsidR="00261AB1" w:rsidRPr="008F5A88">
        <w:rPr>
          <w:rFonts w:eastAsiaTheme="minorEastAsia"/>
        </w:rPr>
        <w:t>and create the WG-EDV was that the current UPOV guidance does not reflect the practice amongst breeders in the understanding of essentially derived varieties</w:t>
      </w:r>
      <w:r w:rsidR="00E55C9B" w:rsidRPr="008F5A88">
        <w:rPr>
          <w:rFonts w:eastAsiaTheme="minorEastAsia"/>
        </w:rPr>
        <w:t>.  Therefore, as a first ste</w:t>
      </w:r>
      <w:r w:rsidR="00F328A3" w:rsidRPr="008F5A88">
        <w:rPr>
          <w:rFonts w:eastAsiaTheme="minorEastAsia"/>
        </w:rPr>
        <w:t>p in informing its work, the WG</w:t>
      </w:r>
      <w:r w:rsidR="00F328A3" w:rsidRPr="008F5A88">
        <w:rPr>
          <w:rFonts w:eastAsiaTheme="minorEastAsia"/>
        </w:rPr>
        <w:noBreakHyphen/>
      </w:r>
      <w:r w:rsidR="00E55C9B" w:rsidRPr="008F5A88">
        <w:rPr>
          <w:rFonts w:eastAsiaTheme="minorEastAsia"/>
        </w:rPr>
        <w:t>EDV may wish to invite the breeders’ organization</w:t>
      </w:r>
      <w:r w:rsidRPr="008F5A88">
        <w:rPr>
          <w:rFonts w:eastAsiaTheme="minorEastAsia"/>
        </w:rPr>
        <w:t>s</w:t>
      </w:r>
      <w:r w:rsidR="00E55C9B" w:rsidRPr="008F5A88">
        <w:rPr>
          <w:rFonts w:eastAsiaTheme="minorEastAsia"/>
        </w:rPr>
        <w:t xml:space="preserve"> to present an</w:t>
      </w:r>
      <w:r w:rsidRPr="008F5A88">
        <w:rPr>
          <w:rFonts w:eastAsiaTheme="minorEastAsia"/>
        </w:rPr>
        <w:t xml:space="preserve"> overview of the aspects of document UPOV/EXN/EDV/2 </w:t>
      </w:r>
      <w:r w:rsidR="00E55C9B" w:rsidRPr="008F5A88">
        <w:rPr>
          <w:rFonts w:eastAsiaTheme="minorEastAsia"/>
        </w:rPr>
        <w:t>that they would wish to be reviewed to reflect the practice and understanding of breeders and to present proposals on these aspects</w:t>
      </w:r>
      <w:r w:rsidR="00F328A3" w:rsidRPr="008F5A88">
        <w:rPr>
          <w:rFonts w:eastAsiaTheme="minorEastAsia"/>
        </w:rPr>
        <w:t>.</w:t>
      </w:r>
    </w:p>
    <w:p w:rsidR="00261AB1" w:rsidRPr="008F5A88" w:rsidRDefault="00261AB1" w:rsidP="00016514">
      <w:pPr>
        <w:rPr>
          <w:snapToGrid w:val="0"/>
          <w:highlight w:val="yellow"/>
        </w:rPr>
      </w:pPr>
    </w:p>
    <w:p w:rsidR="00431207" w:rsidRPr="008F5A88" w:rsidRDefault="00BB579C" w:rsidP="00016514">
      <w:pPr>
        <w:rPr>
          <w:snapToGrid w:val="0"/>
        </w:rPr>
      </w:pPr>
      <w:r w:rsidRPr="008F5A88">
        <w:rPr>
          <w:snapToGrid w:val="0"/>
        </w:rPr>
        <w:fldChar w:fldCharType="begin"/>
      </w:r>
      <w:r w:rsidRPr="008F5A88">
        <w:rPr>
          <w:snapToGrid w:val="0"/>
        </w:rPr>
        <w:instrText xml:space="preserve"> AUTONUM  </w:instrText>
      </w:r>
      <w:r w:rsidRPr="008F5A88">
        <w:rPr>
          <w:snapToGrid w:val="0"/>
        </w:rPr>
        <w:fldChar w:fldCharType="end"/>
      </w:r>
      <w:r w:rsidRPr="008F5A88">
        <w:rPr>
          <w:snapToGrid w:val="0"/>
        </w:rPr>
        <w:tab/>
      </w:r>
      <w:r w:rsidR="00E55C9B" w:rsidRPr="008F5A88">
        <w:rPr>
          <w:snapToGrid w:val="0"/>
        </w:rPr>
        <w:t xml:space="preserve">Subject to agreement </w:t>
      </w:r>
      <w:r w:rsidR="00207502" w:rsidRPr="008F5A88">
        <w:rPr>
          <w:snapToGrid w:val="0"/>
        </w:rPr>
        <w:t xml:space="preserve">to this first step </w:t>
      </w:r>
      <w:r w:rsidRPr="008F5A88">
        <w:rPr>
          <w:snapToGrid w:val="0"/>
        </w:rPr>
        <w:t>by the WG-EDV</w:t>
      </w:r>
      <w:r w:rsidR="00CB526A" w:rsidRPr="008F5A88">
        <w:rPr>
          <w:snapToGrid w:val="0"/>
        </w:rPr>
        <w:t xml:space="preserve"> at its </w:t>
      </w:r>
      <w:r w:rsidR="00207502" w:rsidRPr="008F5A88">
        <w:rPr>
          <w:snapToGrid w:val="0"/>
        </w:rPr>
        <w:t xml:space="preserve">first </w:t>
      </w:r>
      <w:r w:rsidR="00CB526A" w:rsidRPr="008F5A88">
        <w:rPr>
          <w:snapToGrid w:val="0"/>
        </w:rPr>
        <w:t>meeting</w:t>
      </w:r>
      <w:r w:rsidRPr="008F5A88">
        <w:rPr>
          <w:snapToGrid w:val="0"/>
        </w:rPr>
        <w:t xml:space="preserve">, it is proposed </w:t>
      </w:r>
      <w:r w:rsidR="00F328A3" w:rsidRPr="008F5A88">
        <w:rPr>
          <w:snapToGrid w:val="0"/>
        </w:rPr>
        <w:t xml:space="preserve">to invite </w:t>
      </w:r>
      <w:r w:rsidR="00E55C9B" w:rsidRPr="008F5A88">
        <w:rPr>
          <w:snapToGrid w:val="0"/>
        </w:rPr>
        <w:t xml:space="preserve">a </w:t>
      </w:r>
      <w:r w:rsidRPr="008F5A88">
        <w:rPr>
          <w:snapToGrid w:val="0"/>
        </w:rPr>
        <w:t xml:space="preserve">joint presentation by </w:t>
      </w:r>
      <w:r w:rsidR="00E55C9B" w:rsidRPr="008F5A88">
        <w:rPr>
          <w:snapToGrid w:val="0"/>
        </w:rPr>
        <w:t xml:space="preserve">the international </w:t>
      </w:r>
      <w:r w:rsidRPr="008F5A88">
        <w:rPr>
          <w:snapToGrid w:val="0"/>
        </w:rPr>
        <w:t>breeders</w:t>
      </w:r>
      <w:r w:rsidR="00E55C9B" w:rsidRPr="008F5A88">
        <w:rPr>
          <w:snapToGrid w:val="0"/>
        </w:rPr>
        <w:t xml:space="preserve">’ organizations </w:t>
      </w:r>
      <w:r w:rsidR="00207502" w:rsidRPr="008F5A88">
        <w:rPr>
          <w:snapToGrid w:val="0"/>
        </w:rPr>
        <w:t xml:space="preserve">that are </w:t>
      </w:r>
      <w:r w:rsidR="00F67250" w:rsidRPr="008F5A88">
        <w:rPr>
          <w:snapToGrid w:val="0"/>
        </w:rPr>
        <w:t>members of the WG-EDV</w:t>
      </w:r>
      <w:r w:rsidR="00207502" w:rsidRPr="008F5A88">
        <w:rPr>
          <w:snapToGrid w:val="0"/>
        </w:rPr>
        <w:t>,</w:t>
      </w:r>
      <w:r w:rsidR="00F67250" w:rsidRPr="008F5A88">
        <w:rPr>
          <w:snapToGrid w:val="0"/>
        </w:rPr>
        <w:t xml:space="preserve"> </w:t>
      </w:r>
      <w:r w:rsidR="00F328A3" w:rsidRPr="008F5A88">
        <w:rPr>
          <w:snapToGrid w:val="0"/>
        </w:rPr>
        <w:t xml:space="preserve">to </w:t>
      </w:r>
      <w:r w:rsidR="00E55C9B" w:rsidRPr="008F5A88">
        <w:rPr>
          <w:snapToGrid w:val="0"/>
        </w:rPr>
        <w:t xml:space="preserve">be </w:t>
      </w:r>
      <w:r w:rsidR="00F328A3" w:rsidRPr="008F5A88">
        <w:rPr>
          <w:snapToGrid w:val="0"/>
        </w:rPr>
        <w:t xml:space="preserve">made </w:t>
      </w:r>
      <w:r w:rsidR="00311307" w:rsidRPr="008F5A88">
        <w:rPr>
          <w:snapToGrid w:val="0"/>
        </w:rPr>
        <w:t>at the second </w:t>
      </w:r>
      <w:r w:rsidRPr="008F5A88">
        <w:rPr>
          <w:snapToGrid w:val="0"/>
        </w:rPr>
        <w:t>meeting of the WG-EDV</w:t>
      </w:r>
      <w:r w:rsidR="00E55C9B" w:rsidRPr="008F5A88">
        <w:rPr>
          <w:snapToGrid w:val="0"/>
        </w:rPr>
        <w:t>, followed by discussion and consideration of the presentation by the WG-EDV in relation to the issues identified in Annex II</w:t>
      </w:r>
      <w:r w:rsidR="00F67250" w:rsidRPr="008F5A88">
        <w:rPr>
          <w:snapToGrid w:val="0"/>
        </w:rPr>
        <w:t xml:space="preserve"> to this document</w:t>
      </w:r>
      <w:r w:rsidR="00E55C9B" w:rsidRPr="008F5A88">
        <w:rPr>
          <w:snapToGrid w:val="0"/>
        </w:rPr>
        <w:t>.</w:t>
      </w:r>
    </w:p>
    <w:p w:rsidR="00431207" w:rsidRPr="008F5A88" w:rsidRDefault="00431207" w:rsidP="00016514">
      <w:pPr>
        <w:rPr>
          <w:snapToGrid w:val="0"/>
        </w:rPr>
      </w:pPr>
    </w:p>
    <w:p w:rsidR="00D666E1" w:rsidRPr="008F5A88" w:rsidRDefault="00431207" w:rsidP="00016514">
      <w:pPr>
        <w:rPr>
          <w:snapToGrid w:val="0"/>
          <w:spacing w:val="-2"/>
        </w:rPr>
      </w:pPr>
      <w:r w:rsidRPr="008F5A88">
        <w:rPr>
          <w:snapToGrid w:val="0"/>
          <w:spacing w:val="-2"/>
        </w:rPr>
        <w:fldChar w:fldCharType="begin"/>
      </w:r>
      <w:r w:rsidRPr="008F5A88">
        <w:rPr>
          <w:snapToGrid w:val="0"/>
          <w:spacing w:val="-2"/>
        </w:rPr>
        <w:instrText xml:space="preserve"> AUTONUM  </w:instrText>
      </w:r>
      <w:r w:rsidRPr="008F5A88">
        <w:rPr>
          <w:snapToGrid w:val="0"/>
          <w:spacing w:val="-2"/>
        </w:rPr>
        <w:fldChar w:fldCharType="end"/>
      </w:r>
      <w:r w:rsidRPr="008F5A88">
        <w:rPr>
          <w:snapToGrid w:val="0"/>
          <w:spacing w:val="-2"/>
        </w:rPr>
        <w:tab/>
      </w:r>
      <w:r w:rsidR="00E55C9B" w:rsidRPr="008F5A88">
        <w:rPr>
          <w:snapToGrid w:val="0"/>
          <w:spacing w:val="-2"/>
        </w:rPr>
        <w:t>On the basis of the discussion</w:t>
      </w:r>
      <w:r w:rsidR="00D718B5" w:rsidRPr="008F5A88">
        <w:rPr>
          <w:snapToGrid w:val="0"/>
          <w:spacing w:val="-2"/>
        </w:rPr>
        <w:t xml:space="preserve"> at the </w:t>
      </w:r>
      <w:r w:rsidR="00F67250" w:rsidRPr="008F5A88">
        <w:rPr>
          <w:snapToGrid w:val="0"/>
          <w:spacing w:val="-2"/>
        </w:rPr>
        <w:t>second</w:t>
      </w:r>
      <w:r w:rsidR="00D718B5" w:rsidRPr="008F5A88">
        <w:rPr>
          <w:snapToGrid w:val="0"/>
          <w:spacing w:val="-2"/>
        </w:rPr>
        <w:t xml:space="preserve"> meeting of the WG-EDV</w:t>
      </w:r>
      <w:r w:rsidRPr="008F5A88">
        <w:rPr>
          <w:snapToGrid w:val="0"/>
          <w:spacing w:val="-2"/>
        </w:rPr>
        <w:t xml:space="preserve">, the WG-EDV may wish to request the Office of the Union to prepare </w:t>
      </w:r>
      <w:r w:rsidR="00640808" w:rsidRPr="008F5A88">
        <w:rPr>
          <w:snapToGrid w:val="0"/>
          <w:spacing w:val="-2"/>
        </w:rPr>
        <w:t xml:space="preserve">a </w:t>
      </w:r>
      <w:r w:rsidR="00D718B5" w:rsidRPr="008F5A88">
        <w:rPr>
          <w:snapToGrid w:val="0"/>
          <w:spacing w:val="-2"/>
        </w:rPr>
        <w:t xml:space="preserve">preliminary </w:t>
      </w:r>
      <w:r w:rsidRPr="008F5A88">
        <w:rPr>
          <w:snapToGrid w:val="0"/>
          <w:spacing w:val="-2"/>
        </w:rPr>
        <w:t xml:space="preserve">draft text </w:t>
      </w:r>
      <w:r w:rsidR="00D718B5" w:rsidRPr="008F5A88">
        <w:rPr>
          <w:snapToGrid w:val="0"/>
          <w:spacing w:val="-2"/>
        </w:rPr>
        <w:t>for a revision of UPOV/EXN/EDV/2</w:t>
      </w:r>
      <w:r w:rsidR="00640808" w:rsidRPr="008F5A88">
        <w:rPr>
          <w:snapToGrid w:val="0"/>
          <w:spacing w:val="-2"/>
        </w:rPr>
        <w:t xml:space="preserve"> </w:t>
      </w:r>
      <w:r w:rsidRPr="008F5A88">
        <w:rPr>
          <w:snapToGrid w:val="0"/>
          <w:spacing w:val="-2"/>
        </w:rPr>
        <w:t>for consideration by the WG-EDV at its third meeting.</w:t>
      </w:r>
    </w:p>
    <w:p w:rsidR="005B2E17" w:rsidRPr="008F5A88" w:rsidRDefault="005B2E17" w:rsidP="00E65BE1">
      <w:pPr>
        <w:rPr>
          <w:rFonts w:cs="Arial"/>
          <w:spacing w:val="-2"/>
          <w:sz w:val="18"/>
        </w:rPr>
      </w:pPr>
    </w:p>
    <w:p w:rsidR="00997037" w:rsidRPr="007A74A9" w:rsidRDefault="00997037" w:rsidP="00311307">
      <w:pPr>
        <w:keepNext/>
      </w:pPr>
      <w:r w:rsidRPr="00F67250">
        <w:lastRenderedPageBreak/>
        <w:fldChar w:fldCharType="begin"/>
      </w:r>
      <w:r w:rsidRPr="00F67250">
        <w:instrText xml:space="preserve"> AUTONUM  </w:instrText>
      </w:r>
      <w:r w:rsidRPr="00F67250">
        <w:fldChar w:fldCharType="end"/>
      </w:r>
      <w:r w:rsidRPr="007A74A9">
        <w:tab/>
      </w:r>
      <w:r w:rsidR="00D718B5">
        <w:t>On the above basis</w:t>
      </w:r>
      <w:r w:rsidRPr="007A74A9">
        <w:t xml:space="preserve">, </w:t>
      </w:r>
      <w:r w:rsidR="00CB526A">
        <w:t xml:space="preserve">the following timeline </w:t>
      </w:r>
      <w:r w:rsidR="00D718B5">
        <w:t>is proposed</w:t>
      </w:r>
      <w:r w:rsidRPr="007A74A9">
        <w:t>:</w:t>
      </w:r>
    </w:p>
    <w:p w:rsidR="00997037" w:rsidRPr="00735B15" w:rsidRDefault="00997037" w:rsidP="00311307">
      <w:pPr>
        <w:keepNext/>
      </w:pPr>
    </w:p>
    <w:tbl>
      <w:tblPr>
        <w:tblStyle w:val="TableGrid"/>
        <w:tblW w:w="9180" w:type="dxa"/>
        <w:tblInd w:w="562" w:type="dxa"/>
        <w:tblLook w:val="01E0" w:firstRow="1" w:lastRow="1" w:firstColumn="1" w:lastColumn="1" w:noHBand="0" w:noVBand="0"/>
      </w:tblPr>
      <w:tblGrid>
        <w:gridCol w:w="2127"/>
        <w:gridCol w:w="7053"/>
      </w:tblGrid>
      <w:tr w:rsidR="00997037" w:rsidRPr="007A74A9" w:rsidTr="00856F83">
        <w:trPr>
          <w:cantSplit/>
        </w:trPr>
        <w:tc>
          <w:tcPr>
            <w:tcW w:w="2127" w:type="dxa"/>
          </w:tcPr>
          <w:p w:rsidR="00997037" w:rsidRPr="007A74A9" w:rsidRDefault="00997037" w:rsidP="00997037">
            <w:pPr>
              <w:keepNext/>
              <w:rPr>
                <w:u w:val="single"/>
              </w:rPr>
            </w:pPr>
            <w:r w:rsidRPr="007A74A9">
              <w:rPr>
                <w:u w:val="single"/>
              </w:rPr>
              <w:t xml:space="preserve">February </w:t>
            </w:r>
            <w:r w:rsidR="00D718B5">
              <w:rPr>
                <w:u w:val="single"/>
              </w:rPr>
              <w:t xml:space="preserve">4, </w:t>
            </w:r>
            <w:r w:rsidRPr="007A74A9">
              <w:rPr>
                <w:u w:val="single"/>
              </w:rPr>
              <w:t>2021</w:t>
            </w:r>
          </w:p>
        </w:tc>
        <w:tc>
          <w:tcPr>
            <w:tcW w:w="7053" w:type="dxa"/>
          </w:tcPr>
          <w:p w:rsidR="00997037" w:rsidRDefault="00997037" w:rsidP="00311307">
            <w:pPr>
              <w:keepNext/>
              <w:jc w:val="left"/>
              <w:rPr>
                <w:rFonts w:eastAsia="MS Mincho"/>
                <w:lang w:eastAsia="ja-JP"/>
              </w:rPr>
            </w:pPr>
            <w:r w:rsidRPr="007A74A9">
              <w:rPr>
                <w:rFonts w:eastAsia="MS Mincho"/>
                <w:lang w:eastAsia="ja-JP"/>
              </w:rPr>
              <w:t>Second Meeting</w:t>
            </w:r>
            <w:r w:rsidR="00D718B5">
              <w:rPr>
                <w:rFonts w:eastAsia="MS Mincho"/>
                <w:lang w:eastAsia="ja-JP"/>
              </w:rPr>
              <w:t xml:space="preserve"> of </w:t>
            </w:r>
            <w:r w:rsidR="00771780">
              <w:rPr>
                <w:rFonts w:eastAsia="MS Mincho"/>
                <w:lang w:eastAsia="ja-JP"/>
              </w:rPr>
              <w:t xml:space="preserve">the </w:t>
            </w:r>
            <w:r w:rsidR="00D718B5">
              <w:rPr>
                <w:rFonts w:eastAsia="MS Mincho"/>
                <w:lang w:eastAsia="ja-JP"/>
              </w:rPr>
              <w:t>WG-EDV</w:t>
            </w:r>
            <w:r w:rsidR="00CB526A">
              <w:rPr>
                <w:rFonts w:eastAsia="MS Mincho"/>
                <w:lang w:eastAsia="ja-JP"/>
              </w:rPr>
              <w:t xml:space="preserve"> (by virtual means)</w:t>
            </w:r>
            <w:r w:rsidR="00F328A3">
              <w:rPr>
                <w:rFonts w:eastAsia="MS Mincho"/>
                <w:lang w:eastAsia="ja-JP"/>
              </w:rPr>
              <w:t>:</w:t>
            </w:r>
          </w:p>
          <w:p w:rsidR="00F328A3" w:rsidRPr="008F5A88" w:rsidRDefault="00F328A3" w:rsidP="00311307">
            <w:pPr>
              <w:keepNext/>
              <w:jc w:val="left"/>
              <w:rPr>
                <w:rFonts w:eastAsia="MS Mincho"/>
                <w:sz w:val="16"/>
                <w:lang w:eastAsia="ja-JP"/>
              </w:rPr>
            </w:pPr>
          </w:p>
          <w:p w:rsidR="00B93087" w:rsidRPr="007A74A9" w:rsidRDefault="00640808" w:rsidP="008F5A88">
            <w:pPr>
              <w:pStyle w:val="ListParagraph"/>
              <w:keepNext/>
              <w:numPr>
                <w:ilvl w:val="0"/>
                <w:numId w:val="46"/>
              </w:numPr>
              <w:spacing w:after="160"/>
              <w:ind w:left="811" w:hanging="357"/>
              <w:jc w:val="left"/>
            </w:pPr>
            <w:r>
              <w:t xml:space="preserve">Joint presentation by </w:t>
            </w:r>
            <w:r w:rsidRPr="00640808">
              <w:t>breeders</w:t>
            </w:r>
            <w:r w:rsidR="00FC79BD">
              <w:t>’ organization</w:t>
            </w:r>
            <w:r w:rsidR="00F67250">
              <w:t>s</w:t>
            </w:r>
            <w:r w:rsidR="00FC79BD">
              <w:t xml:space="preserve"> and discussion in relation to issues for consideration</w:t>
            </w:r>
            <w:r w:rsidR="00F328A3">
              <w:t>.</w:t>
            </w:r>
          </w:p>
        </w:tc>
      </w:tr>
      <w:tr w:rsidR="00997037" w:rsidRPr="007A74A9" w:rsidTr="00856F83">
        <w:trPr>
          <w:cantSplit/>
        </w:trPr>
        <w:tc>
          <w:tcPr>
            <w:tcW w:w="2127" w:type="dxa"/>
          </w:tcPr>
          <w:p w:rsidR="00997037" w:rsidRDefault="00A16A31" w:rsidP="00315CD3">
            <w:pPr>
              <w:rPr>
                <w:u w:val="single"/>
              </w:rPr>
            </w:pPr>
            <w:r>
              <w:rPr>
                <w:u w:val="single"/>
              </w:rPr>
              <w:t>April/</w:t>
            </w:r>
            <w:r w:rsidR="00767C8E">
              <w:rPr>
                <w:u w:val="single"/>
              </w:rPr>
              <w:t>May</w:t>
            </w:r>
            <w:r w:rsidR="00997037" w:rsidRPr="007A74A9">
              <w:rPr>
                <w:u w:val="single"/>
              </w:rPr>
              <w:t xml:space="preserve"> 2021</w:t>
            </w:r>
          </w:p>
          <w:p w:rsidR="00F328A3" w:rsidRPr="00F67250" w:rsidRDefault="00F328A3" w:rsidP="00F328A3">
            <w:pPr>
              <w:jc w:val="left"/>
            </w:pPr>
            <w:r w:rsidRPr="00771780">
              <w:t>[date to be decided]</w:t>
            </w:r>
          </w:p>
        </w:tc>
        <w:tc>
          <w:tcPr>
            <w:tcW w:w="7053" w:type="dxa"/>
          </w:tcPr>
          <w:p w:rsidR="00997037" w:rsidRDefault="00767C8E" w:rsidP="00311307">
            <w:pPr>
              <w:jc w:val="left"/>
              <w:rPr>
                <w:rFonts w:eastAsia="MS Mincho"/>
                <w:lang w:eastAsia="ja-JP"/>
              </w:rPr>
            </w:pPr>
            <w:r>
              <w:rPr>
                <w:rFonts w:eastAsia="MS Mincho"/>
                <w:lang w:eastAsia="ja-JP"/>
              </w:rPr>
              <w:t>Third</w:t>
            </w:r>
            <w:r w:rsidR="00997037" w:rsidRPr="007A74A9">
              <w:rPr>
                <w:rFonts w:eastAsia="MS Mincho"/>
                <w:lang w:eastAsia="ja-JP"/>
              </w:rPr>
              <w:t xml:space="preserve"> Meeting</w:t>
            </w:r>
            <w:r w:rsidR="00D718B5">
              <w:rPr>
                <w:rFonts w:eastAsia="MS Mincho"/>
                <w:lang w:eastAsia="ja-JP"/>
              </w:rPr>
              <w:t xml:space="preserve"> of </w:t>
            </w:r>
            <w:r w:rsidR="00771780">
              <w:rPr>
                <w:rFonts w:eastAsia="MS Mincho"/>
                <w:lang w:eastAsia="ja-JP"/>
              </w:rPr>
              <w:t xml:space="preserve">the </w:t>
            </w:r>
            <w:r w:rsidR="00D718B5">
              <w:rPr>
                <w:rFonts w:eastAsia="MS Mincho"/>
                <w:lang w:eastAsia="ja-JP"/>
              </w:rPr>
              <w:t>WG-EDV</w:t>
            </w:r>
            <w:r w:rsidR="00CB526A">
              <w:rPr>
                <w:rFonts w:eastAsia="MS Mincho"/>
                <w:lang w:eastAsia="ja-JP"/>
              </w:rPr>
              <w:t xml:space="preserve"> (</w:t>
            </w:r>
            <w:r w:rsidR="00CB526A" w:rsidRPr="007A74A9">
              <w:t>by virtual means</w:t>
            </w:r>
            <w:r w:rsidR="00CB526A">
              <w:t>)</w:t>
            </w:r>
            <w:r w:rsidR="00F328A3">
              <w:t>:</w:t>
            </w:r>
          </w:p>
          <w:p w:rsidR="00B93087" w:rsidRPr="008F5A88" w:rsidRDefault="00B93087" w:rsidP="00311307">
            <w:pPr>
              <w:jc w:val="left"/>
              <w:rPr>
                <w:rFonts w:eastAsia="MS Mincho"/>
                <w:sz w:val="16"/>
                <w:lang w:eastAsia="ja-JP"/>
              </w:rPr>
            </w:pPr>
          </w:p>
          <w:p w:rsidR="00311307" w:rsidRPr="00311307" w:rsidRDefault="00F328A3" w:rsidP="00311307">
            <w:pPr>
              <w:pStyle w:val="ListParagraph"/>
              <w:numPr>
                <w:ilvl w:val="0"/>
                <w:numId w:val="46"/>
              </w:numPr>
              <w:jc w:val="left"/>
              <w:rPr>
                <w:rFonts w:eastAsia="MS Mincho"/>
                <w:lang w:eastAsia="ja-JP"/>
              </w:rPr>
            </w:pPr>
            <w:r w:rsidRPr="00311307">
              <w:rPr>
                <w:rFonts w:eastAsia="MS Mincho"/>
                <w:spacing w:val="-4"/>
                <w:lang w:eastAsia="ja-JP"/>
              </w:rPr>
              <w:t>c</w:t>
            </w:r>
            <w:r w:rsidR="00B93087" w:rsidRPr="00311307">
              <w:rPr>
                <w:rFonts w:eastAsia="MS Mincho"/>
                <w:spacing w:val="-4"/>
                <w:lang w:eastAsia="ja-JP"/>
              </w:rPr>
              <w:t xml:space="preserve">onsideration by the WG-EDV of </w:t>
            </w:r>
            <w:r w:rsidR="00F67250" w:rsidRPr="00311307">
              <w:rPr>
                <w:rFonts w:eastAsia="MS Mincho"/>
                <w:spacing w:val="-4"/>
                <w:lang w:eastAsia="ja-JP"/>
              </w:rPr>
              <w:t xml:space="preserve">a </w:t>
            </w:r>
            <w:r w:rsidR="00D718B5" w:rsidRPr="00311307">
              <w:rPr>
                <w:rFonts w:eastAsia="MS Mincho"/>
                <w:spacing w:val="-4"/>
                <w:lang w:eastAsia="ja-JP"/>
              </w:rPr>
              <w:t xml:space="preserve">preliminary </w:t>
            </w:r>
            <w:r w:rsidR="00B93087" w:rsidRPr="00311307">
              <w:rPr>
                <w:rFonts w:eastAsia="MS Mincho"/>
                <w:spacing w:val="-4"/>
                <w:lang w:eastAsia="ja-JP"/>
              </w:rPr>
              <w:t>draft text</w:t>
            </w:r>
            <w:r w:rsidR="00D718B5">
              <w:rPr>
                <w:rFonts w:eastAsia="MS Mincho"/>
                <w:lang w:eastAsia="ja-JP"/>
              </w:rPr>
              <w:t xml:space="preserve"> for revision of </w:t>
            </w:r>
            <w:r w:rsidR="00D718B5">
              <w:rPr>
                <w:snapToGrid w:val="0"/>
                <w:spacing w:val="-2"/>
              </w:rPr>
              <w:t>UPOV/EXN/EDV/2</w:t>
            </w:r>
            <w:r w:rsidR="00FC79BD">
              <w:rPr>
                <w:snapToGrid w:val="0"/>
                <w:spacing w:val="-2"/>
              </w:rPr>
              <w:t xml:space="preserve"> </w:t>
            </w:r>
          </w:p>
          <w:p w:rsidR="00D7287F" w:rsidRPr="00F328A3" w:rsidRDefault="00FC79BD" w:rsidP="008F5A88">
            <w:pPr>
              <w:pStyle w:val="ListParagraph"/>
              <w:spacing w:after="160"/>
              <w:ind w:left="811"/>
              <w:jc w:val="left"/>
              <w:rPr>
                <w:rFonts w:eastAsia="MS Mincho"/>
                <w:lang w:eastAsia="ja-JP"/>
              </w:rPr>
            </w:pPr>
            <w:r w:rsidRPr="00F67250">
              <w:rPr>
                <w:snapToGrid w:val="0"/>
                <w:spacing w:val="-2"/>
              </w:rPr>
              <w:t xml:space="preserve">(to be </w:t>
            </w:r>
            <w:r w:rsidR="00F67250">
              <w:rPr>
                <w:snapToGrid w:val="0"/>
                <w:spacing w:val="-2"/>
              </w:rPr>
              <w:t>posted</w:t>
            </w:r>
            <w:r w:rsidRPr="00F67250">
              <w:rPr>
                <w:snapToGrid w:val="0"/>
                <w:spacing w:val="-2"/>
              </w:rPr>
              <w:t xml:space="preserve"> </w:t>
            </w:r>
            <w:r w:rsidR="00311307" w:rsidRPr="00311307">
              <w:rPr>
                <w:snapToGrid w:val="0"/>
                <w:spacing w:val="-2"/>
              </w:rPr>
              <w:t>at </w:t>
            </w:r>
            <w:r w:rsidR="00F67250" w:rsidRPr="00311307">
              <w:rPr>
                <w:snapToGrid w:val="0"/>
                <w:spacing w:val="-2"/>
              </w:rPr>
              <w:t>least 4</w:t>
            </w:r>
            <w:r w:rsidRPr="00311307">
              <w:rPr>
                <w:snapToGrid w:val="0"/>
                <w:spacing w:val="-2"/>
              </w:rPr>
              <w:t xml:space="preserve"> weeks</w:t>
            </w:r>
            <w:r w:rsidRPr="00F67250">
              <w:rPr>
                <w:snapToGrid w:val="0"/>
                <w:spacing w:val="-2"/>
              </w:rPr>
              <w:t xml:space="preserve"> before </w:t>
            </w:r>
            <w:r w:rsidR="00F67250">
              <w:rPr>
                <w:snapToGrid w:val="0"/>
                <w:spacing w:val="-2"/>
              </w:rPr>
              <w:t xml:space="preserve">the third </w:t>
            </w:r>
            <w:r w:rsidRPr="00F67250">
              <w:rPr>
                <w:snapToGrid w:val="0"/>
                <w:spacing w:val="-2"/>
              </w:rPr>
              <w:t>meeting)</w:t>
            </w:r>
          </w:p>
        </w:tc>
      </w:tr>
      <w:tr w:rsidR="00997037" w:rsidRPr="007A74A9" w:rsidTr="00856F83">
        <w:trPr>
          <w:cantSplit/>
        </w:trPr>
        <w:tc>
          <w:tcPr>
            <w:tcW w:w="2127" w:type="dxa"/>
          </w:tcPr>
          <w:p w:rsidR="00D718B5" w:rsidRDefault="00A16A31" w:rsidP="00F328A3">
            <w:pPr>
              <w:rPr>
                <w:u w:val="single"/>
              </w:rPr>
            </w:pPr>
            <w:r>
              <w:rPr>
                <w:u w:val="single"/>
              </w:rPr>
              <w:t>June/</w:t>
            </w:r>
            <w:r w:rsidR="00F328A3" w:rsidRPr="00F328A3">
              <w:rPr>
                <w:u w:val="single"/>
              </w:rPr>
              <w:t>July 2021</w:t>
            </w:r>
          </w:p>
          <w:p w:rsidR="00F67250" w:rsidRPr="008F5A88" w:rsidRDefault="00F67250" w:rsidP="008F5A88">
            <w:pPr>
              <w:spacing w:after="120"/>
              <w:jc w:val="left"/>
            </w:pPr>
            <w:r w:rsidRPr="00771780">
              <w:t>[date to be decided]</w:t>
            </w:r>
          </w:p>
        </w:tc>
        <w:tc>
          <w:tcPr>
            <w:tcW w:w="7053" w:type="dxa"/>
          </w:tcPr>
          <w:p w:rsidR="00A16A31" w:rsidRPr="008F5A88" w:rsidRDefault="00D718B5" w:rsidP="008F5A88">
            <w:pPr>
              <w:spacing w:after="160"/>
              <w:jc w:val="left"/>
              <w:rPr>
                <w:snapToGrid w:val="0"/>
                <w:spacing w:val="-2"/>
              </w:rPr>
            </w:pPr>
            <w:r>
              <w:t xml:space="preserve">Consideration of </w:t>
            </w:r>
            <w:r w:rsidR="00FC79BD">
              <w:rPr>
                <w:snapToGrid w:val="0"/>
                <w:spacing w:val="-2"/>
              </w:rPr>
              <w:t>UPOV/EXN/EDV/</w:t>
            </w:r>
            <w:r w:rsidR="00F328A3">
              <w:rPr>
                <w:snapToGrid w:val="0"/>
                <w:spacing w:val="-2"/>
              </w:rPr>
              <w:t>3/Draft </w:t>
            </w:r>
            <w:r w:rsidR="00FC79BD">
              <w:rPr>
                <w:snapToGrid w:val="0"/>
                <w:spacing w:val="-2"/>
              </w:rPr>
              <w:t>1</w:t>
            </w:r>
            <w:r w:rsidR="00311307">
              <w:rPr>
                <w:snapToGrid w:val="0"/>
                <w:spacing w:val="-2"/>
              </w:rPr>
              <w:t xml:space="preserve"> by correspondence </w:t>
            </w:r>
            <w:r w:rsidR="00856F83">
              <w:rPr>
                <w:snapToGrid w:val="0"/>
                <w:spacing w:val="-2"/>
              </w:rPr>
              <w:br/>
            </w:r>
            <w:r w:rsidR="00311307">
              <w:rPr>
                <w:snapToGrid w:val="0"/>
                <w:spacing w:val="-2"/>
              </w:rPr>
              <w:t>(6 </w:t>
            </w:r>
            <w:r>
              <w:rPr>
                <w:snapToGrid w:val="0"/>
                <w:spacing w:val="-2"/>
              </w:rPr>
              <w:t>weeks for comments)</w:t>
            </w:r>
          </w:p>
        </w:tc>
      </w:tr>
      <w:tr w:rsidR="00D7287F" w:rsidRPr="00D7287F" w:rsidTr="00856F83">
        <w:tblPrEx>
          <w:tblLook w:val="04A0" w:firstRow="1" w:lastRow="0" w:firstColumn="1" w:lastColumn="0" w:noHBand="0" w:noVBand="1"/>
        </w:tblPrEx>
        <w:tc>
          <w:tcPr>
            <w:tcW w:w="2127" w:type="dxa"/>
          </w:tcPr>
          <w:p w:rsidR="00D7287F" w:rsidRDefault="00D7287F" w:rsidP="008F5A88">
            <w:pPr>
              <w:rPr>
                <w:u w:val="single"/>
              </w:rPr>
            </w:pPr>
            <w:r>
              <w:rPr>
                <w:u w:val="single"/>
              </w:rPr>
              <w:t>October</w:t>
            </w:r>
            <w:r w:rsidRPr="007A74A9">
              <w:rPr>
                <w:u w:val="single"/>
              </w:rPr>
              <w:t xml:space="preserve"> 2021</w:t>
            </w:r>
          </w:p>
          <w:p w:rsidR="00F328A3" w:rsidRPr="00F67250" w:rsidRDefault="00F328A3" w:rsidP="008F5A88">
            <w:pPr>
              <w:jc w:val="left"/>
            </w:pPr>
            <w:r w:rsidRPr="00771780">
              <w:t>[date to be decided]</w:t>
            </w:r>
          </w:p>
        </w:tc>
        <w:tc>
          <w:tcPr>
            <w:tcW w:w="7053" w:type="dxa"/>
          </w:tcPr>
          <w:p w:rsidR="00D7287F" w:rsidRPr="00311307" w:rsidRDefault="00D7287F" w:rsidP="008F5A88">
            <w:pPr>
              <w:jc w:val="left"/>
              <w:rPr>
                <w:spacing w:val="-4"/>
              </w:rPr>
            </w:pPr>
            <w:r w:rsidRPr="00311307">
              <w:rPr>
                <w:spacing w:val="-4"/>
              </w:rPr>
              <w:t>Fourth Meeting</w:t>
            </w:r>
            <w:r w:rsidR="00CB526A" w:rsidRPr="00311307">
              <w:rPr>
                <w:spacing w:val="-4"/>
              </w:rPr>
              <w:t xml:space="preserve"> </w:t>
            </w:r>
            <w:r w:rsidR="00772BC1" w:rsidRPr="00311307">
              <w:rPr>
                <w:spacing w:val="-4"/>
              </w:rPr>
              <w:t xml:space="preserve">of the WG-EDV </w:t>
            </w:r>
            <w:r w:rsidR="00CB526A" w:rsidRPr="00311307">
              <w:rPr>
                <w:spacing w:val="-4"/>
              </w:rPr>
              <w:t>(at the fringes of the CAJ session)</w:t>
            </w:r>
          </w:p>
          <w:p w:rsidR="00D7287F" w:rsidRPr="008F5A88" w:rsidRDefault="00D7287F" w:rsidP="008F5A88">
            <w:pPr>
              <w:jc w:val="left"/>
              <w:rPr>
                <w:sz w:val="16"/>
              </w:rPr>
            </w:pPr>
          </w:p>
          <w:p w:rsidR="00311307" w:rsidRDefault="00311307" w:rsidP="008F5A88">
            <w:pPr>
              <w:pStyle w:val="ListParagraph"/>
              <w:numPr>
                <w:ilvl w:val="0"/>
                <w:numId w:val="46"/>
              </w:numPr>
              <w:jc w:val="left"/>
            </w:pPr>
            <w:r>
              <w:t>c</w:t>
            </w:r>
            <w:r w:rsidR="00FC79BD">
              <w:t xml:space="preserve">onsideration of </w:t>
            </w:r>
            <w:r w:rsidR="00F67250" w:rsidRPr="00311307">
              <w:t xml:space="preserve">UPOV/EXN/EDV/3/Draft </w:t>
            </w:r>
            <w:r w:rsidR="00FC79BD" w:rsidRPr="00311307">
              <w:t xml:space="preserve">2 by correspondence </w:t>
            </w:r>
          </w:p>
          <w:p w:rsidR="00D7287F" w:rsidRPr="008F5A88" w:rsidRDefault="00FC79BD" w:rsidP="008F5A88">
            <w:pPr>
              <w:pStyle w:val="ListParagraph"/>
              <w:spacing w:after="160"/>
              <w:ind w:left="811"/>
              <w:rPr>
                <w:spacing w:val="-4"/>
              </w:rPr>
            </w:pPr>
            <w:r w:rsidRPr="00311307">
              <w:rPr>
                <w:spacing w:val="-4"/>
              </w:rPr>
              <w:t xml:space="preserve">(to be posted 6 weeks before </w:t>
            </w:r>
            <w:r w:rsidR="00F67250" w:rsidRPr="00311307">
              <w:rPr>
                <w:spacing w:val="-4"/>
              </w:rPr>
              <w:t xml:space="preserve">the fourth </w:t>
            </w:r>
            <w:r w:rsidRPr="00311307">
              <w:rPr>
                <w:spacing w:val="-4"/>
              </w:rPr>
              <w:t xml:space="preserve">meeting in English) </w:t>
            </w:r>
          </w:p>
        </w:tc>
      </w:tr>
    </w:tbl>
    <w:p w:rsidR="002850CD" w:rsidRPr="00311307" w:rsidRDefault="002850CD" w:rsidP="00E65BE1">
      <w:pPr>
        <w:rPr>
          <w:sz w:val="24"/>
        </w:rPr>
      </w:pPr>
    </w:p>
    <w:p w:rsidR="00ED6168" w:rsidRPr="00F328A3" w:rsidRDefault="00345ABF" w:rsidP="00345ABF">
      <w:pPr>
        <w:tabs>
          <w:tab w:val="left" w:pos="5387"/>
          <w:tab w:val="left" w:pos="5954"/>
        </w:tabs>
        <w:ind w:left="4820"/>
        <w:rPr>
          <w:rFonts w:cs="Arial"/>
          <w:i/>
        </w:rPr>
      </w:pPr>
      <w:r>
        <w:rPr>
          <w:rFonts w:cs="Arial"/>
          <w:i/>
        </w:rPr>
        <w:fldChar w:fldCharType="begin"/>
      </w:r>
      <w:r>
        <w:rPr>
          <w:rFonts w:cs="Arial"/>
          <w:i/>
        </w:rPr>
        <w:instrText xml:space="preserve"> AUTONUM  </w:instrText>
      </w:r>
      <w:r>
        <w:rPr>
          <w:rFonts w:cs="Arial"/>
          <w:i/>
        </w:rPr>
        <w:fldChar w:fldCharType="end"/>
      </w:r>
      <w:r>
        <w:rPr>
          <w:rFonts w:cs="Arial"/>
          <w:i/>
        </w:rPr>
        <w:tab/>
      </w:r>
      <w:r w:rsidR="00E65BE1" w:rsidRPr="00F328A3">
        <w:rPr>
          <w:rFonts w:cs="Arial"/>
          <w:i/>
        </w:rPr>
        <w:t xml:space="preserve">The </w:t>
      </w:r>
      <w:r>
        <w:rPr>
          <w:rFonts w:cs="Arial"/>
          <w:i/>
        </w:rPr>
        <w:t xml:space="preserve">WG-EDV is invited to </w:t>
      </w:r>
      <w:r w:rsidR="00F328A3" w:rsidRPr="00F328A3">
        <w:rPr>
          <w:rFonts w:cs="Arial"/>
          <w:i/>
        </w:rPr>
        <w:t xml:space="preserve">consider the </w:t>
      </w:r>
      <w:r w:rsidR="00A16A31">
        <w:rPr>
          <w:rFonts w:cs="Arial"/>
          <w:i/>
        </w:rPr>
        <w:t>proposed work</w:t>
      </w:r>
      <w:r w:rsidR="005D4A68">
        <w:rPr>
          <w:rFonts w:cs="Arial"/>
          <w:i/>
        </w:rPr>
        <w:t xml:space="preserve"> </w:t>
      </w:r>
      <w:r w:rsidR="00A16A31">
        <w:rPr>
          <w:rFonts w:cs="Arial"/>
          <w:i/>
        </w:rPr>
        <w:t>plan</w:t>
      </w:r>
      <w:r w:rsidR="00F328A3" w:rsidRPr="00F328A3">
        <w:rPr>
          <w:rFonts w:cs="Arial"/>
          <w:i/>
        </w:rPr>
        <w:t xml:space="preserve">, as set out in </w:t>
      </w:r>
      <w:r w:rsidR="00F328A3" w:rsidRPr="00311307">
        <w:rPr>
          <w:rFonts w:cs="Arial"/>
          <w:i/>
        </w:rPr>
        <w:t xml:space="preserve">paragraphs </w:t>
      </w:r>
      <w:r w:rsidR="00771780">
        <w:rPr>
          <w:rFonts w:cs="Arial"/>
          <w:i/>
        </w:rPr>
        <w:t>8</w:t>
      </w:r>
      <w:r w:rsidR="00F328A3" w:rsidRPr="00311307">
        <w:rPr>
          <w:rFonts w:cs="Arial"/>
          <w:i/>
        </w:rPr>
        <w:t xml:space="preserve"> to </w:t>
      </w:r>
      <w:r w:rsidR="00771780">
        <w:rPr>
          <w:rFonts w:cs="Arial"/>
          <w:i/>
        </w:rPr>
        <w:t>12</w:t>
      </w:r>
      <w:r w:rsidR="00E30570" w:rsidRPr="00311307">
        <w:rPr>
          <w:rFonts w:cs="Arial"/>
          <w:i/>
        </w:rPr>
        <w:t>.</w:t>
      </w:r>
    </w:p>
    <w:p w:rsidR="00F328A3" w:rsidRDefault="00F328A3" w:rsidP="00E30570">
      <w:pPr>
        <w:tabs>
          <w:tab w:val="left" w:pos="5387"/>
          <w:tab w:val="left" w:pos="5954"/>
        </w:tabs>
        <w:ind w:left="4820"/>
        <w:rPr>
          <w:rFonts w:cs="Arial"/>
          <w:i/>
        </w:rPr>
      </w:pPr>
    </w:p>
    <w:p w:rsidR="00F328A3" w:rsidRPr="00E30570" w:rsidRDefault="00F328A3" w:rsidP="00E30570">
      <w:pPr>
        <w:tabs>
          <w:tab w:val="left" w:pos="5387"/>
          <w:tab w:val="left" w:pos="5954"/>
        </w:tabs>
        <w:ind w:left="4820"/>
        <w:rPr>
          <w:rFonts w:cs="Arial"/>
          <w:i/>
        </w:rPr>
      </w:pPr>
    </w:p>
    <w:p w:rsidR="00E65BE1" w:rsidRPr="00E65BE1" w:rsidRDefault="00E65BE1" w:rsidP="00B24E50">
      <w:pPr>
        <w:jc w:val="right"/>
      </w:pPr>
      <w:r w:rsidRPr="00E65BE1">
        <w:t>[Annex I follows]</w:t>
      </w:r>
    </w:p>
    <w:p w:rsidR="00E65BE1" w:rsidRDefault="00E65BE1" w:rsidP="00E65BE1">
      <w:pPr>
        <w:jc w:val="left"/>
      </w:pPr>
    </w:p>
    <w:p w:rsidR="00ED6168" w:rsidRPr="00E65BE1" w:rsidRDefault="00ED6168" w:rsidP="00E65BE1">
      <w:pPr>
        <w:jc w:val="left"/>
        <w:sectPr w:rsidR="00ED6168" w:rsidRPr="00E65BE1" w:rsidSect="00F9023A">
          <w:headerReference w:type="default" r:id="rId9"/>
          <w:endnotePr>
            <w:numFmt w:val="lowerLetter"/>
          </w:endnotePr>
          <w:pgSz w:w="11907" w:h="16840" w:code="9"/>
          <w:pgMar w:top="510" w:right="1134" w:bottom="993" w:left="1134" w:header="510" w:footer="680" w:gutter="0"/>
          <w:cols w:space="720"/>
          <w:titlePg/>
        </w:sectPr>
      </w:pPr>
    </w:p>
    <w:p w:rsidR="00E901EF" w:rsidRPr="00E65BE1" w:rsidRDefault="00E901EF" w:rsidP="00E901EF">
      <w:pPr>
        <w:jc w:val="center"/>
        <w:rPr>
          <w:rFonts w:cs="Arial"/>
        </w:rPr>
      </w:pPr>
      <w:bookmarkStart w:id="12" w:name="_Toc48316461"/>
      <w:r w:rsidRPr="00E65BE1">
        <w:rPr>
          <w:rFonts w:cs="Arial"/>
        </w:rPr>
        <w:lastRenderedPageBreak/>
        <w:t>TERMS OF REFERENCE OF THE WORKING GROUP ON ESSENTIALLY DERIVED VARIETIES</w:t>
      </w:r>
    </w:p>
    <w:p w:rsidR="00E901EF" w:rsidRPr="00E65BE1" w:rsidRDefault="00E901EF" w:rsidP="00E901EF">
      <w:pPr>
        <w:jc w:val="center"/>
        <w:rPr>
          <w:rFonts w:cs="Arial"/>
        </w:rPr>
      </w:pPr>
      <w:r w:rsidRPr="00E65BE1">
        <w:rPr>
          <w:rFonts w:cs="Arial"/>
        </w:rPr>
        <w:t>(WG-EDV)</w:t>
      </w:r>
    </w:p>
    <w:p w:rsidR="00E901EF" w:rsidRPr="00E65BE1" w:rsidRDefault="00E901EF" w:rsidP="00E901EF">
      <w:pPr>
        <w:jc w:val="center"/>
      </w:pPr>
    </w:p>
    <w:p w:rsidR="00E901EF" w:rsidRPr="00E65BE1" w:rsidRDefault="00E901EF" w:rsidP="00E901EF">
      <w:pPr>
        <w:jc w:val="center"/>
        <w:rPr>
          <w:rFonts w:cs="Arial"/>
        </w:rPr>
      </w:pPr>
      <w:r w:rsidRPr="00E65BE1">
        <w:rPr>
          <w:rFonts w:cs="Arial"/>
        </w:rPr>
        <w:t>[</w:t>
      </w:r>
      <w:r>
        <w:rPr>
          <w:rFonts w:cs="Arial"/>
        </w:rPr>
        <w:t>adopted by the CAJ on October 25, 2020, by correspondence</w:t>
      </w:r>
      <w:r w:rsidRPr="00E65BE1">
        <w:rPr>
          <w:rFonts w:cs="Arial"/>
        </w:rPr>
        <w:t>]</w:t>
      </w:r>
    </w:p>
    <w:p w:rsidR="00E901EF" w:rsidRPr="00E44453" w:rsidRDefault="00E901EF" w:rsidP="00E901EF">
      <w:pPr>
        <w:jc w:val="center"/>
        <w:rPr>
          <w:sz w:val="16"/>
        </w:rPr>
      </w:pPr>
    </w:p>
    <w:p w:rsidR="00E901EF" w:rsidRPr="00E44453" w:rsidRDefault="00E901EF" w:rsidP="00E901EF">
      <w:pPr>
        <w:jc w:val="center"/>
        <w:rPr>
          <w:sz w:val="16"/>
        </w:rPr>
      </w:pPr>
    </w:p>
    <w:p w:rsidR="00E901EF" w:rsidRPr="00E65BE1" w:rsidRDefault="00E901EF" w:rsidP="00E901EF">
      <w:r w:rsidRPr="00E65BE1">
        <w:t xml:space="preserve">PURPOSE: </w:t>
      </w:r>
    </w:p>
    <w:p w:rsidR="00E901EF" w:rsidRPr="00E44453" w:rsidRDefault="00E901EF" w:rsidP="00E901EF">
      <w:pPr>
        <w:contextualSpacing/>
        <w:rPr>
          <w:rFonts w:cs="Arial"/>
          <w:sz w:val="18"/>
        </w:rPr>
      </w:pPr>
    </w:p>
    <w:p w:rsidR="00E901EF" w:rsidRPr="00E65BE1" w:rsidRDefault="00E901EF" w:rsidP="00E901EF">
      <w:pPr>
        <w:contextualSpacing/>
        <w:rPr>
          <w:rFonts w:cs="Arial"/>
        </w:rPr>
      </w:pPr>
      <w:r w:rsidRPr="00E65BE1">
        <w:rPr>
          <w:rFonts w:cs="Arial"/>
        </w:rPr>
        <w:t>The purpose of the WG-EDV is to draft a revision of the “Explanatory Notes on Essentially Derived Varieties under the 1991 Act of the UPOV Convention” (document UPOV/EXN/EDV/2) for consideration by the Administrative and Legal Committee (CAJ).</w:t>
      </w:r>
    </w:p>
    <w:p w:rsidR="00E901EF" w:rsidRPr="00E44453" w:rsidRDefault="00E901EF" w:rsidP="00E901EF">
      <w:pPr>
        <w:rPr>
          <w:sz w:val="18"/>
          <w:szCs w:val="18"/>
        </w:rPr>
      </w:pPr>
    </w:p>
    <w:p w:rsidR="00E901EF" w:rsidRPr="00E44453" w:rsidRDefault="00E901EF" w:rsidP="00E901EF">
      <w:pPr>
        <w:rPr>
          <w:sz w:val="18"/>
          <w:szCs w:val="18"/>
        </w:rPr>
      </w:pPr>
    </w:p>
    <w:p w:rsidR="00E901EF" w:rsidRPr="00E44453" w:rsidRDefault="00E901EF" w:rsidP="00E901EF">
      <w:pPr>
        <w:rPr>
          <w:sz w:val="18"/>
          <w:szCs w:val="18"/>
        </w:rPr>
      </w:pPr>
    </w:p>
    <w:p w:rsidR="00E901EF" w:rsidRPr="00E65BE1" w:rsidRDefault="00E901EF" w:rsidP="00E901EF">
      <w:r w:rsidRPr="00E65BE1">
        <w:t>COMPOSITION:</w:t>
      </w:r>
    </w:p>
    <w:p w:rsidR="00E901EF" w:rsidRPr="00E44453" w:rsidRDefault="00E901EF" w:rsidP="00E901EF">
      <w:pPr>
        <w:rPr>
          <w:rFonts w:cs="Arial"/>
          <w:sz w:val="18"/>
          <w:szCs w:val="18"/>
        </w:rPr>
      </w:pPr>
    </w:p>
    <w:p w:rsidR="00E901EF" w:rsidRPr="00E65BE1" w:rsidRDefault="00E901EF" w:rsidP="00E901EF">
      <w:pPr>
        <w:ind w:firstLine="567"/>
        <w:rPr>
          <w:rFonts w:cs="Arial"/>
          <w:color w:val="000000"/>
        </w:rPr>
      </w:pPr>
      <w:r w:rsidRPr="00E65BE1">
        <w:rPr>
          <w:rFonts w:cs="Arial"/>
        </w:rPr>
        <w:t>(a)</w:t>
      </w:r>
      <w:r w:rsidRPr="00E65BE1">
        <w:rPr>
          <w:rFonts w:cs="Arial"/>
        </w:rPr>
        <w:tab/>
        <w:t xml:space="preserve">to be composed of the members of the Union and the observers agreed by the </w:t>
      </w:r>
      <w:r w:rsidRPr="00E65BE1">
        <w:rPr>
          <w:rFonts w:cs="Arial"/>
          <w:color w:val="000000"/>
        </w:rPr>
        <w:t xml:space="preserve">CAJ; </w:t>
      </w:r>
    </w:p>
    <w:p w:rsidR="00E901EF" w:rsidRPr="00E44453" w:rsidRDefault="00E901EF" w:rsidP="00E901EF">
      <w:pPr>
        <w:rPr>
          <w:rFonts w:cs="Arial"/>
          <w:sz w:val="18"/>
          <w:szCs w:val="18"/>
        </w:rPr>
      </w:pPr>
    </w:p>
    <w:p w:rsidR="00E901EF" w:rsidRPr="00E65BE1" w:rsidRDefault="00E901EF" w:rsidP="00E901EF">
      <w:pPr>
        <w:ind w:firstLine="567"/>
        <w:rPr>
          <w:rFonts w:cs="Arial"/>
        </w:rPr>
      </w:pPr>
      <w:r w:rsidRPr="00E65BE1">
        <w:rPr>
          <w:rFonts w:cs="Arial"/>
        </w:rPr>
        <w:t>(b)</w:t>
      </w:r>
      <w:r w:rsidRPr="00E65BE1">
        <w:rPr>
          <w:rFonts w:cs="Arial"/>
        </w:rPr>
        <w:tab/>
        <w:t>other members of the Union would be free to participate at any meeting of the WG-EDV and make comments, where so desired;</w:t>
      </w:r>
    </w:p>
    <w:p w:rsidR="00E901EF" w:rsidRPr="00E44453" w:rsidRDefault="00E901EF" w:rsidP="00E901EF">
      <w:pPr>
        <w:rPr>
          <w:rFonts w:cs="Arial"/>
          <w:sz w:val="18"/>
          <w:szCs w:val="18"/>
        </w:rPr>
      </w:pPr>
    </w:p>
    <w:p w:rsidR="00E901EF" w:rsidRPr="00E65BE1" w:rsidRDefault="00E901EF" w:rsidP="00E901EF">
      <w:pPr>
        <w:ind w:firstLine="567"/>
        <w:rPr>
          <w:rFonts w:cs="Arial"/>
        </w:rPr>
      </w:pPr>
      <w:r w:rsidRPr="00E65BE1">
        <w:rPr>
          <w:rFonts w:cs="Arial"/>
        </w:rPr>
        <w:t>(c)</w:t>
      </w:r>
      <w:r w:rsidRPr="00E65BE1">
        <w:rPr>
          <w:rFonts w:cs="Arial"/>
        </w:rPr>
        <w:tab/>
        <w:t xml:space="preserve">the WG-EDV would revert back to the CAJ if the WG-EDV recommended to invite other observers or experts to any of its meetings;  and   </w:t>
      </w:r>
    </w:p>
    <w:p w:rsidR="00E901EF" w:rsidRPr="00E44453" w:rsidRDefault="00E901EF" w:rsidP="00E901EF">
      <w:pPr>
        <w:rPr>
          <w:rFonts w:cs="Arial"/>
          <w:sz w:val="18"/>
          <w:szCs w:val="18"/>
        </w:rPr>
      </w:pPr>
    </w:p>
    <w:p w:rsidR="00E901EF" w:rsidRPr="00E65BE1" w:rsidRDefault="00E901EF" w:rsidP="00E901EF">
      <w:pPr>
        <w:tabs>
          <w:tab w:val="left" w:pos="1134"/>
        </w:tabs>
        <w:ind w:firstLine="567"/>
        <w:rPr>
          <w:rFonts w:cs="Arial"/>
        </w:rPr>
      </w:pPr>
      <w:r w:rsidRPr="00E65BE1">
        <w:rPr>
          <w:rFonts w:cs="Arial"/>
        </w:rPr>
        <w:t>(d)</w:t>
      </w:r>
      <w:r w:rsidRPr="00E65BE1">
        <w:rPr>
          <w:rFonts w:cs="Arial"/>
        </w:rPr>
        <w:tab/>
        <w:t>meetings to be chaired by the Vice Secretary</w:t>
      </w:r>
      <w:r w:rsidRPr="00E65BE1">
        <w:rPr>
          <w:rFonts w:cs="Arial"/>
        </w:rPr>
        <w:noBreakHyphen/>
        <w:t>General.</w:t>
      </w:r>
    </w:p>
    <w:p w:rsidR="00E901EF" w:rsidRPr="00E44453" w:rsidRDefault="00E901EF" w:rsidP="00E901EF">
      <w:pPr>
        <w:rPr>
          <w:sz w:val="18"/>
        </w:rPr>
      </w:pPr>
    </w:p>
    <w:p w:rsidR="00E901EF" w:rsidRPr="00E44453" w:rsidRDefault="00E901EF" w:rsidP="00E901EF">
      <w:pPr>
        <w:rPr>
          <w:sz w:val="18"/>
        </w:rPr>
      </w:pPr>
    </w:p>
    <w:p w:rsidR="00E901EF" w:rsidRPr="00E44453" w:rsidRDefault="00E901EF" w:rsidP="00E901EF">
      <w:pPr>
        <w:rPr>
          <w:sz w:val="18"/>
        </w:rPr>
      </w:pPr>
    </w:p>
    <w:p w:rsidR="00E901EF" w:rsidRPr="00E65BE1" w:rsidRDefault="00E901EF" w:rsidP="00E901EF">
      <w:r w:rsidRPr="00E65BE1">
        <w:t>MODUS OPERANDI:</w:t>
      </w:r>
    </w:p>
    <w:p w:rsidR="00E901EF" w:rsidRPr="00E44453" w:rsidRDefault="00E901EF" w:rsidP="00E901EF">
      <w:pPr>
        <w:rPr>
          <w:rFonts w:cs="Arial"/>
          <w:sz w:val="18"/>
          <w:szCs w:val="18"/>
          <w:u w:val="single"/>
        </w:rPr>
      </w:pPr>
    </w:p>
    <w:p w:rsidR="00E901EF" w:rsidRPr="00E65BE1" w:rsidRDefault="00E901EF" w:rsidP="00E901EF">
      <w:pPr>
        <w:ind w:firstLine="360"/>
        <w:rPr>
          <w:rFonts w:cs="Arial"/>
        </w:rPr>
      </w:pPr>
      <w:r w:rsidRPr="00E65BE1">
        <w:rPr>
          <w:rFonts w:cs="Arial"/>
        </w:rPr>
        <w:t xml:space="preserve">(a) </w:t>
      </w:r>
      <w:r w:rsidRPr="00E65BE1">
        <w:rPr>
          <w:rFonts w:cs="Arial"/>
        </w:rPr>
        <w:tab/>
        <w:t>in drafting the revision of document UPOV/EXN/EDV/2, the WG-EDV to consider:</w:t>
      </w:r>
    </w:p>
    <w:p w:rsidR="00E901EF" w:rsidRPr="00E44453" w:rsidRDefault="00E901EF" w:rsidP="00E901EF">
      <w:pPr>
        <w:rPr>
          <w:rFonts w:cs="Arial"/>
          <w:sz w:val="18"/>
          <w:szCs w:val="18"/>
        </w:rPr>
      </w:pPr>
    </w:p>
    <w:p w:rsidR="00E901EF" w:rsidRPr="00E65BE1" w:rsidRDefault="00E901EF" w:rsidP="00E901EF">
      <w:pPr>
        <w:numPr>
          <w:ilvl w:val="0"/>
          <w:numId w:val="39"/>
        </w:numPr>
        <w:tabs>
          <w:tab w:val="left" w:pos="1701"/>
        </w:tabs>
        <w:ind w:left="1701" w:hanging="567"/>
        <w:contextualSpacing/>
        <w:rPr>
          <w:rFonts w:cs="Arial"/>
        </w:rPr>
      </w:pPr>
      <w:r w:rsidRPr="00E65BE1">
        <w:rPr>
          <w:rFonts w:cs="Arial"/>
        </w:rPr>
        <w:t>the outcome of the 2019 Seminar on the Impact of Policy on Essentially Derived Varieties (EDVs) on Breeding Strategy:</w:t>
      </w:r>
    </w:p>
    <w:p w:rsidR="00E901EF" w:rsidRPr="00E44453" w:rsidRDefault="00E901EF" w:rsidP="00E901EF">
      <w:pPr>
        <w:rPr>
          <w:sz w:val="18"/>
        </w:rPr>
      </w:pPr>
    </w:p>
    <w:p w:rsidR="00E901EF" w:rsidRPr="00E65BE1" w:rsidRDefault="00E901EF" w:rsidP="00E901EF">
      <w:pPr>
        <w:ind w:left="1701"/>
        <w:contextualSpacing/>
        <w:rPr>
          <w:rFonts w:cs="Arial"/>
        </w:rPr>
      </w:pPr>
      <w:r w:rsidRPr="00E65BE1">
        <w:rPr>
          <w:rFonts w:cs="Arial"/>
        </w:rPr>
        <w:t>“- Evidence that the current UPOV guidance does not reflect the practice amongst breeders in the understanding of essentially derived varieties;</w:t>
      </w:r>
    </w:p>
    <w:p w:rsidR="00E901EF" w:rsidRPr="00E44453" w:rsidRDefault="00E901EF" w:rsidP="00E901EF">
      <w:pPr>
        <w:rPr>
          <w:sz w:val="18"/>
        </w:rPr>
      </w:pPr>
    </w:p>
    <w:p w:rsidR="00E901EF" w:rsidRPr="00E65BE1" w:rsidRDefault="00E901EF" w:rsidP="00E901EF">
      <w:pPr>
        <w:ind w:left="1701"/>
        <w:contextualSpacing/>
        <w:rPr>
          <w:rFonts w:cs="Arial"/>
        </w:rPr>
      </w:pPr>
      <w:r w:rsidRPr="00E65BE1">
        <w:rPr>
          <w:rFonts w:cs="Arial"/>
        </w:rPr>
        <w:t xml:space="preserve"> “- Evolution of breeding technologies has created new opportunities/incentives for predominantly deriving varieties from initial varieties, more rapidly and at a lower cost;</w:t>
      </w:r>
    </w:p>
    <w:p w:rsidR="00E901EF" w:rsidRPr="00E44453" w:rsidRDefault="00E901EF" w:rsidP="00E901EF">
      <w:pPr>
        <w:ind w:left="1701"/>
        <w:contextualSpacing/>
        <w:rPr>
          <w:rFonts w:cs="Arial"/>
          <w:sz w:val="18"/>
        </w:rPr>
      </w:pPr>
    </w:p>
    <w:p w:rsidR="00E901EF" w:rsidRPr="00E65BE1" w:rsidRDefault="00E901EF" w:rsidP="00E901EF">
      <w:pPr>
        <w:ind w:left="1701"/>
        <w:rPr>
          <w:rFonts w:cs="Arial"/>
        </w:rPr>
      </w:pPr>
      <w:r w:rsidRPr="00E65BE1">
        <w:rPr>
          <w:rFonts w:cs="Arial"/>
        </w:rPr>
        <w:t>“- Clear indication from presentations and discussions that the understanding and implementation of the EDV concept influences breeding strategy – therefore, it is important that UPOV guidance is tuned to maximize benefits to society in terms of maximizing progress in breeding.”;  and</w:t>
      </w:r>
    </w:p>
    <w:p w:rsidR="00E901EF" w:rsidRPr="00E44453" w:rsidRDefault="00E901EF" w:rsidP="00E901EF">
      <w:pPr>
        <w:ind w:left="1644"/>
        <w:rPr>
          <w:rFonts w:cs="Arial"/>
          <w:sz w:val="18"/>
        </w:rPr>
      </w:pPr>
    </w:p>
    <w:p w:rsidR="00E901EF" w:rsidRPr="00CB47C4" w:rsidRDefault="00E901EF" w:rsidP="00E901EF">
      <w:pPr>
        <w:numPr>
          <w:ilvl w:val="0"/>
          <w:numId w:val="39"/>
        </w:numPr>
        <w:ind w:left="1701" w:hanging="567"/>
        <w:contextualSpacing/>
        <w:rPr>
          <w:rFonts w:cs="Arial"/>
        </w:rPr>
      </w:pPr>
      <w:r w:rsidRPr="00E65BE1">
        <w:rPr>
          <w:rFonts w:cs="Arial"/>
        </w:rPr>
        <w:t xml:space="preserve">the policy issues in conjunction with the breeders’ customs and practices, as set out in </w:t>
      </w:r>
      <w:r w:rsidRPr="00CB47C4">
        <w:rPr>
          <w:rFonts w:cs="Arial"/>
        </w:rPr>
        <w:t>Annex I</w:t>
      </w:r>
      <w:r w:rsidR="00DF618C">
        <w:rPr>
          <w:rFonts w:cs="Arial"/>
        </w:rPr>
        <w:t>I</w:t>
      </w:r>
      <w:r w:rsidRPr="00CB47C4">
        <w:rPr>
          <w:rFonts w:cs="Arial"/>
        </w:rPr>
        <w:t xml:space="preserve"> of this document; </w:t>
      </w:r>
    </w:p>
    <w:p w:rsidR="00E901EF" w:rsidRPr="00E44453" w:rsidRDefault="00E901EF" w:rsidP="00E901EF">
      <w:pPr>
        <w:rPr>
          <w:rFonts w:cs="Arial"/>
          <w:sz w:val="18"/>
          <w:u w:val="single"/>
        </w:rPr>
      </w:pPr>
    </w:p>
    <w:p w:rsidR="00E901EF" w:rsidRPr="00E65BE1" w:rsidRDefault="00E901EF" w:rsidP="00E901EF">
      <w:pPr>
        <w:tabs>
          <w:tab w:val="left" w:pos="1134"/>
        </w:tabs>
        <w:ind w:firstLine="567"/>
        <w:rPr>
          <w:rFonts w:cs="Arial"/>
          <w:u w:val="single"/>
        </w:rPr>
      </w:pPr>
      <w:r w:rsidRPr="00E65BE1">
        <w:rPr>
          <w:rFonts w:cs="Arial"/>
        </w:rPr>
        <w:t xml:space="preserve">(b) </w:t>
      </w:r>
      <w:r w:rsidRPr="00E65BE1">
        <w:rPr>
          <w:rFonts w:cs="Arial"/>
        </w:rPr>
        <w:tab/>
        <w:t>the WG-EDV to meet at a time and frequency to address its mandate, by physical and/or virtual means, as agreed by the WG-EDV;</w:t>
      </w:r>
    </w:p>
    <w:p w:rsidR="00E901EF" w:rsidRPr="00E44453" w:rsidRDefault="00E901EF" w:rsidP="00E901EF">
      <w:pPr>
        <w:tabs>
          <w:tab w:val="left" w:pos="1134"/>
        </w:tabs>
        <w:rPr>
          <w:rFonts w:cs="Arial"/>
          <w:sz w:val="18"/>
          <w:u w:val="single"/>
        </w:rPr>
      </w:pPr>
    </w:p>
    <w:p w:rsidR="00E901EF" w:rsidRPr="00E65BE1" w:rsidRDefault="00E901EF" w:rsidP="00E901EF">
      <w:pPr>
        <w:tabs>
          <w:tab w:val="left" w:pos="1134"/>
        </w:tabs>
        <w:ind w:firstLine="567"/>
        <w:rPr>
          <w:rFonts w:cs="Arial"/>
        </w:rPr>
      </w:pPr>
      <w:r w:rsidRPr="00E65BE1">
        <w:rPr>
          <w:rFonts w:cs="Arial"/>
        </w:rPr>
        <w:t xml:space="preserve">(c) </w:t>
      </w:r>
      <w:r w:rsidRPr="00E65BE1">
        <w:rPr>
          <w:rFonts w:cs="Arial"/>
        </w:rPr>
        <w:tab/>
        <w:t>the WG-EDV to report to the CAJ on progress of its work and to seek further guidance from the CAJ, as appropriate;</w:t>
      </w:r>
    </w:p>
    <w:p w:rsidR="00E901EF" w:rsidRPr="00E44453" w:rsidRDefault="00E901EF" w:rsidP="00E901EF">
      <w:pPr>
        <w:tabs>
          <w:tab w:val="left" w:pos="1134"/>
        </w:tabs>
        <w:rPr>
          <w:rFonts w:cs="Arial"/>
          <w:sz w:val="18"/>
        </w:rPr>
      </w:pPr>
    </w:p>
    <w:p w:rsidR="00E901EF" w:rsidRPr="00E65BE1" w:rsidRDefault="00E901EF" w:rsidP="00E901EF">
      <w:pPr>
        <w:tabs>
          <w:tab w:val="left" w:pos="1134"/>
        </w:tabs>
        <w:ind w:firstLine="567"/>
        <w:rPr>
          <w:rFonts w:cs="Arial"/>
          <w:u w:val="single"/>
        </w:rPr>
      </w:pPr>
      <w:r w:rsidRPr="00E65BE1">
        <w:rPr>
          <w:rFonts w:cs="Arial"/>
        </w:rPr>
        <w:t>(d)</w:t>
      </w:r>
      <w:r w:rsidRPr="00E65BE1">
        <w:rPr>
          <w:rFonts w:cs="Arial"/>
        </w:rPr>
        <w:tab/>
        <w:t>WG-EDV documents to be made available to the CAJ.</w:t>
      </w:r>
    </w:p>
    <w:p w:rsidR="00E901EF" w:rsidRDefault="00E901EF" w:rsidP="00E65BE1">
      <w:pPr>
        <w:jc w:val="center"/>
      </w:pPr>
    </w:p>
    <w:p w:rsidR="00E901EF" w:rsidRDefault="00E901EF" w:rsidP="00E65BE1">
      <w:pPr>
        <w:jc w:val="center"/>
      </w:pPr>
    </w:p>
    <w:p w:rsidR="00E901EF" w:rsidRPr="00E65BE1" w:rsidRDefault="00E901EF" w:rsidP="00E901EF">
      <w:pPr>
        <w:jc w:val="right"/>
      </w:pPr>
      <w:r w:rsidRPr="00E65BE1">
        <w:t>[</w:t>
      </w:r>
      <w:r>
        <w:t>Annex II</w:t>
      </w:r>
      <w:r w:rsidRPr="00E65BE1">
        <w:t xml:space="preserve"> follows]</w:t>
      </w:r>
    </w:p>
    <w:p w:rsidR="00E901EF" w:rsidRDefault="00E901EF" w:rsidP="00E65BE1">
      <w:pPr>
        <w:jc w:val="center"/>
      </w:pPr>
    </w:p>
    <w:p w:rsidR="00E901EF" w:rsidRDefault="00E901EF" w:rsidP="00E65BE1">
      <w:pPr>
        <w:jc w:val="center"/>
      </w:pPr>
    </w:p>
    <w:p w:rsidR="00B24E50" w:rsidRDefault="00B24E50" w:rsidP="00E65BE1">
      <w:pPr>
        <w:jc w:val="center"/>
        <w:sectPr w:rsidR="00B24E50" w:rsidSect="00F50020">
          <w:headerReference w:type="first" r:id="rId10"/>
          <w:endnotePr>
            <w:numFmt w:val="lowerLetter"/>
          </w:endnotePr>
          <w:pgSz w:w="11907" w:h="16840" w:code="9"/>
          <w:pgMar w:top="567" w:right="1134" w:bottom="567" w:left="1134" w:header="510" w:footer="624" w:gutter="0"/>
          <w:cols w:space="720"/>
          <w:titlePg/>
          <w:docGrid w:linePitch="272"/>
        </w:sectPr>
      </w:pPr>
    </w:p>
    <w:p w:rsidR="00E901EF" w:rsidRDefault="00E901EF" w:rsidP="00E65BE1">
      <w:pPr>
        <w:jc w:val="center"/>
      </w:pPr>
    </w:p>
    <w:p w:rsidR="00E65BE1" w:rsidRPr="00E65BE1" w:rsidRDefault="00E65BE1" w:rsidP="00E901EF">
      <w:r w:rsidRPr="00E65BE1">
        <w:t>POLICY ISSUES IN CONJUNCTION WITH THE BREEDERS’ CUSTOMS AND PRACTICES</w:t>
      </w:r>
      <w:bookmarkEnd w:id="12"/>
    </w:p>
    <w:p w:rsidR="00E65BE1" w:rsidRPr="00E65BE1" w:rsidRDefault="00E65BE1" w:rsidP="00E65BE1">
      <w:pPr>
        <w:ind w:left="-142"/>
        <w:jc w:val="center"/>
        <w:rPr>
          <w:rFonts w:cs="Arial"/>
        </w:rPr>
      </w:pPr>
    </w:p>
    <w:p w:rsidR="00E65BE1" w:rsidRPr="00E65BE1" w:rsidRDefault="00E65BE1" w:rsidP="00E65BE1">
      <w:r w:rsidRPr="00E65BE1">
        <w:t>This Annex contains the following:</w:t>
      </w:r>
    </w:p>
    <w:p w:rsidR="00E65BE1" w:rsidRPr="00E65BE1" w:rsidRDefault="00E65BE1" w:rsidP="00E65BE1"/>
    <w:p w:rsidR="00E65BE1" w:rsidRPr="00E65BE1" w:rsidRDefault="00E65BE1" w:rsidP="00E65BE1">
      <w:pPr>
        <w:tabs>
          <w:tab w:val="left" w:pos="1134"/>
        </w:tabs>
        <w:ind w:firstLine="360"/>
      </w:pPr>
      <w:r w:rsidRPr="00E65BE1">
        <w:t>(a)</w:t>
      </w:r>
      <w:r w:rsidRPr="00E65BE1">
        <w:tab/>
        <w:t>Appendix I:  Policy issues;  and</w:t>
      </w:r>
    </w:p>
    <w:p w:rsidR="00E65BE1" w:rsidRPr="00E65BE1" w:rsidRDefault="00E65BE1" w:rsidP="00E65BE1">
      <w:pPr>
        <w:ind w:left="720"/>
        <w:contextualSpacing/>
      </w:pPr>
    </w:p>
    <w:p w:rsidR="00E65BE1" w:rsidRPr="00E65BE1" w:rsidRDefault="00E65BE1" w:rsidP="00E65BE1">
      <w:pPr>
        <w:ind w:firstLine="360"/>
      </w:pPr>
      <w:r w:rsidRPr="00E65BE1">
        <w:t>(b)</w:t>
      </w:r>
      <w:r w:rsidRPr="00E65BE1">
        <w:tab/>
        <w:t xml:space="preserve">Appendix II:  Breeders’ customs and practices. </w:t>
      </w:r>
    </w:p>
    <w:p w:rsidR="00E65BE1" w:rsidRPr="00E65BE1" w:rsidRDefault="00E65BE1" w:rsidP="00E65BE1"/>
    <w:p w:rsidR="00E65BE1" w:rsidRPr="00E65BE1" w:rsidRDefault="00E65BE1" w:rsidP="00E65BE1">
      <w:pPr>
        <w:jc w:val="left"/>
      </w:pPr>
    </w:p>
    <w:p w:rsidR="00E65BE1" w:rsidRPr="00E65BE1" w:rsidRDefault="00E65BE1" w:rsidP="00E65BE1">
      <w:pPr>
        <w:jc w:val="left"/>
      </w:pPr>
    </w:p>
    <w:p w:rsidR="00E65BE1" w:rsidRPr="00E65BE1" w:rsidRDefault="00E65BE1" w:rsidP="00E65BE1">
      <w:pPr>
        <w:jc w:val="right"/>
      </w:pPr>
      <w:r w:rsidRPr="00E65BE1">
        <w:t>[Appendix I follows]</w:t>
      </w:r>
    </w:p>
    <w:p w:rsidR="00E65BE1" w:rsidRPr="00E65BE1" w:rsidRDefault="00E65BE1" w:rsidP="00E65BE1">
      <w:pPr>
        <w:autoSpaceDE w:val="0"/>
        <w:autoSpaceDN w:val="0"/>
        <w:contextualSpacing/>
        <w:rPr>
          <w:rFonts w:eastAsia="Calibri" w:cs="Arial"/>
          <w:iCs/>
          <w:spacing w:val="-2"/>
          <w:highlight w:val="lightGray"/>
        </w:rPr>
      </w:pPr>
    </w:p>
    <w:p w:rsidR="00E65BE1" w:rsidRPr="00E65BE1" w:rsidRDefault="00E65BE1" w:rsidP="00E65BE1">
      <w:pPr>
        <w:autoSpaceDE w:val="0"/>
        <w:autoSpaceDN w:val="0"/>
        <w:contextualSpacing/>
      </w:pPr>
    </w:p>
    <w:p w:rsidR="00E65BE1" w:rsidRPr="00E65BE1" w:rsidRDefault="00E65BE1" w:rsidP="00E65BE1">
      <w:pPr>
        <w:autoSpaceDE w:val="0"/>
        <w:autoSpaceDN w:val="0"/>
        <w:contextualSpacing/>
      </w:pPr>
    </w:p>
    <w:p w:rsidR="00E65BE1" w:rsidRPr="00E65BE1" w:rsidRDefault="00E65BE1" w:rsidP="00E65BE1">
      <w:pPr>
        <w:autoSpaceDE w:val="0"/>
        <w:autoSpaceDN w:val="0"/>
        <w:contextualSpacing/>
      </w:pPr>
    </w:p>
    <w:p w:rsidR="00E65BE1" w:rsidRPr="00E65BE1" w:rsidRDefault="00E65BE1" w:rsidP="00E65BE1">
      <w:pPr>
        <w:autoSpaceDE w:val="0"/>
        <w:autoSpaceDN w:val="0"/>
        <w:contextualSpacing/>
      </w:pPr>
    </w:p>
    <w:p w:rsidR="00E65BE1" w:rsidRPr="00E65BE1" w:rsidRDefault="00E65BE1" w:rsidP="00E65BE1"/>
    <w:p w:rsidR="00E65BE1" w:rsidRPr="00E65BE1" w:rsidRDefault="00E65BE1" w:rsidP="00E65BE1"/>
    <w:p w:rsidR="00E65BE1" w:rsidRPr="00E65BE1" w:rsidRDefault="00E65BE1" w:rsidP="00E65BE1"/>
    <w:p w:rsidR="00E65BE1" w:rsidRPr="00E65BE1" w:rsidRDefault="00E65BE1" w:rsidP="00E65BE1"/>
    <w:p w:rsidR="00E65BE1" w:rsidRPr="00E65BE1" w:rsidRDefault="00E65BE1" w:rsidP="00E65BE1">
      <w:pPr>
        <w:jc w:val="left"/>
        <w:sectPr w:rsidR="00E65BE1" w:rsidRPr="00E65BE1" w:rsidSect="00F50020">
          <w:headerReference w:type="first" r:id="rId11"/>
          <w:endnotePr>
            <w:numFmt w:val="lowerLetter"/>
          </w:endnotePr>
          <w:pgSz w:w="11907" w:h="16840" w:code="9"/>
          <w:pgMar w:top="567" w:right="1134" w:bottom="567" w:left="1134" w:header="510" w:footer="624" w:gutter="0"/>
          <w:cols w:space="720"/>
          <w:titlePg/>
          <w:docGrid w:linePitch="272"/>
        </w:sectPr>
      </w:pPr>
    </w:p>
    <w:p w:rsidR="00E65BE1" w:rsidRPr="00E65BE1" w:rsidRDefault="00E65BE1" w:rsidP="00E65BE1">
      <w:pPr>
        <w:jc w:val="center"/>
      </w:pPr>
      <w:r w:rsidRPr="00E65BE1">
        <w:lastRenderedPageBreak/>
        <w:t>POLICY ISSUES</w:t>
      </w:r>
    </w:p>
    <w:p w:rsidR="00E65BE1" w:rsidRPr="00E65BE1" w:rsidRDefault="00E65BE1" w:rsidP="00E65BE1"/>
    <w:p w:rsidR="00E65BE1" w:rsidRPr="00E65BE1" w:rsidRDefault="00E65BE1" w:rsidP="00E65BE1"/>
    <w:p w:rsidR="00E65BE1" w:rsidRPr="00E65BE1" w:rsidRDefault="00E65BE1" w:rsidP="00E65BE1">
      <w:pPr>
        <w:rPr>
          <w:caps/>
        </w:rPr>
      </w:pPr>
      <w:bookmarkStart w:id="13" w:name="_Toc47557366"/>
      <w:bookmarkStart w:id="14" w:name="_Toc48316462"/>
      <w:r w:rsidRPr="00E65BE1">
        <w:t>GENERAL ISSUES</w:t>
      </w:r>
      <w:bookmarkEnd w:id="13"/>
      <w:r w:rsidRPr="00E65BE1">
        <w:rPr>
          <w:caps/>
          <w:vertAlign w:val="superscript"/>
        </w:rPr>
        <w:footnoteReference w:id="2"/>
      </w:r>
      <w:bookmarkEnd w:id="14"/>
    </w:p>
    <w:p w:rsidR="00E65BE1" w:rsidRPr="00E65BE1" w:rsidRDefault="00E65BE1" w:rsidP="00E65BE1"/>
    <w:p w:rsidR="00E65BE1" w:rsidRPr="00E65BE1" w:rsidRDefault="00E65BE1" w:rsidP="00E65BE1">
      <w:pPr>
        <w:tabs>
          <w:tab w:val="left" w:pos="1134"/>
        </w:tabs>
        <w:ind w:firstLine="567"/>
      </w:pPr>
      <w:r w:rsidRPr="00E65BE1">
        <w:t>(a)</w:t>
      </w:r>
      <w:r w:rsidRPr="00E65BE1">
        <w:tab/>
        <w:t>The role of the EDV concept “to maximize benefits to society in terms of maximizing progress in breeding” (see summary by the Chair of the CAJ concerning the outcome of the “Seminar on the impact of policy on essentially derived varieties (EDVs) on breeding strategy”, document CAJ/76/9 “Report”, paragraph 11), and, in particular:</w:t>
      </w:r>
    </w:p>
    <w:p w:rsidR="00E65BE1" w:rsidRPr="00E65BE1" w:rsidRDefault="00E65BE1" w:rsidP="00E65BE1">
      <w:pPr>
        <w:tabs>
          <w:tab w:val="left" w:pos="567"/>
        </w:tabs>
        <w:ind w:left="567"/>
        <w:contextualSpacing/>
      </w:pPr>
    </w:p>
    <w:p w:rsidR="00E65BE1" w:rsidRPr="00E65BE1" w:rsidRDefault="00E65BE1" w:rsidP="00E65BE1">
      <w:pPr>
        <w:tabs>
          <w:tab w:val="left" w:pos="1701"/>
        </w:tabs>
        <w:ind w:left="1701" w:hanging="567"/>
      </w:pPr>
      <w:r w:rsidRPr="00E65BE1">
        <w:t>(i)</w:t>
      </w:r>
      <w:r w:rsidRPr="00E65BE1">
        <w:tab/>
      </w:r>
      <w:r w:rsidRPr="00E65BE1">
        <w:rPr>
          <w:spacing w:val="-2"/>
        </w:rPr>
        <w:t>providing incentives for breeders to use genetic diversity (see issues 5, 6, practices 4, 9, 24);</w:t>
      </w:r>
    </w:p>
    <w:p w:rsidR="00E65BE1" w:rsidRPr="00E65BE1" w:rsidRDefault="00E65BE1" w:rsidP="00E65BE1">
      <w:pPr>
        <w:tabs>
          <w:tab w:val="left" w:pos="1701"/>
        </w:tabs>
        <w:ind w:left="1701" w:hanging="567"/>
        <w:contextualSpacing/>
      </w:pPr>
    </w:p>
    <w:p w:rsidR="00E65BE1" w:rsidRPr="00E65BE1" w:rsidRDefault="00E65BE1" w:rsidP="00E65BE1">
      <w:pPr>
        <w:tabs>
          <w:tab w:val="left" w:pos="1701"/>
        </w:tabs>
        <w:ind w:left="1701" w:hanging="567"/>
        <w:contextualSpacing/>
      </w:pPr>
      <w:r w:rsidRPr="00E65BE1">
        <w:t>(ii)</w:t>
      </w:r>
      <w:r w:rsidRPr="00E65BE1">
        <w:tab/>
        <w:t>predominant derivation to be considered the key element of the EDV concept (see issues  29, 32, 50, 51, 54, 60, practices 6, 7, 22 and 23);</w:t>
      </w:r>
    </w:p>
    <w:p w:rsidR="00E65BE1" w:rsidRPr="00E65BE1" w:rsidRDefault="00E65BE1" w:rsidP="00E65BE1">
      <w:pPr>
        <w:tabs>
          <w:tab w:val="left" w:pos="1701"/>
        </w:tabs>
        <w:ind w:left="1701" w:hanging="567"/>
        <w:contextualSpacing/>
      </w:pPr>
    </w:p>
    <w:p w:rsidR="00E65BE1" w:rsidRPr="00E65BE1" w:rsidRDefault="00E65BE1" w:rsidP="00E65BE1">
      <w:pPr>
        <w:tabs>
          <w:tab w:val="left" w:pos="1701"/>
        </w:tabs>
        <w:ind w:left="1701" w:hanging="567"/>
      </w:pPr>
      <w:r w:rsidRPr="00E65BE1">
        <w:t>(iii)</w:t>
      </w:r>
      <w:r w:rsidRPr="00E65BE1">
        <w:tab/>
        <w:t>whether mutants should be considered to be EDVs (see issues 18, 21, 25, 29, 32, 64, practices 10, 11, 13, 15);</w:t>
      </w:r>
    </w:p>
    <w:p w:rsidR="00E65BE1" w:rsidRPr="00E65BE1" w:rsidRDefault="00E65BE1" w:rsidP="00E65BE1">
      <w:pPr>
        <w:tabs>
          <w:tab w:val="left" w:pos="1701"/>
        </w:tabs>
        <w:ind w:left="1701" w:hanging="567"/>
      </w:pPr>
    </w:p>
    <w:p w:rsidR="00E65BE1" w:rsidRPr="00E65BE1" w:rsidRDefault="00E65BE1" w:rsidP="00E65BE1">
      <w:pPr>
        <w:numPr>
          <w:ilvl w:val="0"/>
          <w:numId w:val="38"/>
        </w:numPr>
        <w:tabs>
          <w:tab w:val="left" w:pos="1701"/>
        </w:tabs>
        <w:ind w:left="1701" w:hanging="567"/>
        <w:contextualSpacing/>
      </w:pPr>
      <w:r w:rsidRPr="00E65BE1">
        <w:t>whether “except for the differences which result from the act of derivation” in the Convention should be understood as not setting a limit to the amount of difference that may exist between the initial variety and the EDV (e.g. mutations induced by radiation) (see issues 16,17,18);</w:t>
      </w:r>
    </w:p>
    <w:p w:rsidR="00E65BE1" w:rsidRPr="00E65BE1" w:rsidRDefault="00E65BE1" w:rsidP="00E65BE1">
      <w:pPr>
        <w:tabs>
          <w:tab w:val="left" w:pos="1701"/>
        </w:tabs>
        <w:ind w:left="1134"/>
      </w:pPr>
    </w:p>
    <w:p w:rsidR="00E65BE1" w:rsidRPr="00E65BE1" w:rsidRDefault="00E65BE1" w:rsidP="00E65BE1">
      <w:pPr>
        <w:tabs>
          <w:tab w:val="left" w:pos="1701"/>
        </w:tabs>
        <w:ind w:left="1701" w:hanging="567"/>
      </w:pPr>
      <w:r w:rsidRPr="00E65BE1">
        <w:t>(v)</w:t>
      </w:r>
      <w:r w:rsidRPr="00E65BE1">
        <w:tab/>
        <w:t>the role of DNA analysis and genetic thresholds in assessing genetic conformity with the initial variety.  How many backcrossings should be considered? (see issues 31, 51, 54, 60, 64, practices 22, 23, 28);  and</w:t>
      </w:r>
    </w:p>
    <w:p w:rsidR="00E65BE1" w:rsidRPr="00E65BE1" w:rsidRDefault="00E65BE1" w:rsidP="00E65BE1">
      <w:pPr>
        <w:tabs>
          <w:tab w:val="left" w:pos="1701"/>
        </w:tabs>
        <w:ind w:left="1134"/>
      </w:pPr>
    </w:p>
    <w:p w:rsidR="00E65BE1" w:rsidRPr="00E65BE1" w:rsidRDefault="00E65BE1" w:rsidP="00E65BE1">
      <w:pPr>
        <w:tabs>
          <w:tab w:val="left" w:pos="1701"/>
        </w:tabs>
        <w:ind w:left="1701" w:hanging="567"/>
      </w:pPr>
      <w:r w:rsidRPr="00E65BE1">
        <w:t>(vi)</w:t>
      </w:r>
      <w:r w:rsidRPr="00E65BE1">
        <w:tab/>
        <w:t>impact of modern breeding methods on the EDV concept “</w:t>
      </w:r>
      <w:r w:rsidRPr="00E65BE1">
        <w:rPr>
          <w:rFonts w:cs="Arial"/>
        </w:rPr>
        <w:t>evolution of breeding technologies has created new opportunities/incentives for predominantly deriving varieties from initial varieties, more rapidly and at a lower cost”</w:t>
      </w:r>
      <w:r w:rsidRPr="00E65BE1">
        <w:t xml:space="preserve"> (see draft ToR on outcome of 2019 EDV Seminar and issues 9, 22, 27, 30, 31, 32, 33, 64, practices 5, 9);</w:t>
      </w:r>
    </w:p>
    <w:p w:rsidR="00E65BE1" w:rsidRPr="00E65BE1" w:rsidRDefault="00E65BE1" w:rsidP="00E65BE1">
      <w:pPr>
        <w:tabs>
          <w:tab w:val="left" w:pos="1701"/>
        </w:tabs>
        <w:ind w:left="1134"/>
        <w:contextualSpacing/>
      </w:pPr>
    </w:p>
    <w:p w:rsidR="00E65BE1" w:rsidRPr="00E65BE1" w:rsidRDefault="00E65BE1" w:rsidP="00E65BE1">
      <w:pPr>
        <w:tabs>
          <w:tab w:val="left" w:pos="1701"/>
        </w:tabs>
        <w:ind w:left="1701" w:hanging="567"/>
      </w:pPr>
      <w:r w:rsidRPr="00E65BE1">
        <w:t>(vii)</w:t>
      </w:r>
      <w:r w:rsidRPr="00E65BE1">
        <w:tab/>
        <w:t xml:space="preserve">what should be considered necessary for an EDV to conform with the essential characteristics of the initial variety? (see issues 11, 13, 15, 52, 57); </w:t>
      </w:r>
    </w:p>
    <w:p w:rsidR="00E65BE1" w:rsidRPr="00E65BE1" w:rsidRDefault="00E65BE1" w:rsidP="00E65BE1"/>
    <w:p w:rsidR="00E65BE1" w:rsidRPr="00E65BE1" w:rsidRDefault="00E65BE1" w:rsidP="00E65BE1">
      <w:pPr>
        <w:tabs>
          <w:tab w:val="left" w:pos="1134"/>
        </w:tabs>
        <w:ind w:firstLine="567"/>
      </w:pPr>
      <w:r w:rsidRPr="00E65BE1">
        <w:t>(b)</w:t>
      </w:r>
      <w:r w:rsidRPr="00E65BE1">
        <w:tab/>
        <w:t xml:space="preserve">To ensure that the EDV guidance plays a clarifying role, prevents disputes and facilitates the breeder of the protected initial variety receiving equitable remuneration or negotiating suitable arrangements with the breeder of an EDV (e.g. cross-licenses) (see issues 5, 6, 7, 8, 10, 19, 20, 55, practice 21) and, in particular: </w:t>
      </w:r>
    </w:p>
    <w:p w:rsidR="00E65BE1" w:rsidRPr="00E65BE1" w:rsidRDefault="00E65BE1" w:rsidP="00E65BE1">
      <w:pPr>
        <w:tabs>
          <w:tab w:val="left" w:pos="1701"/>
        </w:tabs>
        <w:ind w:left="1134"/>
      </w:pPr>
    </w:p>
    <w:p w:rsidR="00E65BE1" w:rsidRPr="00E65BE1" w:rsidRDefault="00E65BE1" w:rsidP="00E65BE1">
      <w:pPr>
        <w:tabs>
          <w:tab w:val="left" w:pos="1701"/>
        </w:tabs>
        <w:ind w:left="1701" w:hanging="567"/>
        <w:contextualSpacing/>
      </w:pPr>
      <w:r w:rsidRPr="00E65BE1">
        <w:t>(i)</w:t>
      </w:r>
      <w:r w:rsidRPr="00E65BE1">
        <w:tab/>
        <w:t>how a clear and user-friendly guidance could assist in court, arbitration or mediation cases? (issues 7, 53, 54, 61, 64, 65, practices 18, 21);</w:t>
      </w:r>
    </w:p>
    <w:p w:rsidR="00E65BE1" w:rsidRPr="00E65BE1" w:rsidRDefault="00E65BE1" w:rsidP="00E65BE1">
      <w:pPr>
        <w:tabs>
          <w:tab w:val="left" w:pos="1701"/>
        </w:tabs>
        <w:ind w:left="1701" w:hanging="567"/>
        <w:contextualSpacing/>
      </w:pPr>
    </w:p>
    <w:p w:rsidR="00E65BE1" w:rsidRPr="00E65BE1" w:rsidRDefault="00E65BE1" w:rsidP="00E65BE1">
      <w:pPr>
        <w:tabs>
          <w:tab w:val="left" w:pos="1134"/>
        </w:tabs>
        <w:ind w:left="1701" w:hanging="567"/>
      </w:pPr>
      <w:r w:rsidRPr="00E65BE1">
        <w:t>(ii)</w:t>
      </w:r>
      <w:r w:rsidRPr="00E65BE1">
        <w:tab/>
        <w:t>the role of DNA analysis and molecular markers in reducing the burden on the breeder of the initial protected variety in EDV assessment (see issues 54, 58, 60,  64, practice 17);</w:t>
      </w:r>
    </w:p>
    <w:p w:rsidR="00E65BE1" w:rsidRPr="00E65BE1" w:rsidRDefault="00E65BE1" w:rsidP="00E65BE1">
      <w:pPr>
        <w:tabs>
          <w:tab w:val="left" w:pos="1701"/>
        </w:tabs>
        <w:ind w:left="1701" w:hanging="567"/>
      </w:pPr>
    </w:p>
    <w:p w:rsidR="00E65BE1" w:rsidRPr="00E65BE1" w:rsidRDefault="00E65BE1" w:rsidP="00E65BE1">
      <w:pPr>
        <w:tabs>
          <w:tab w:val="left" w:pos="1701"/>
        </w:tabs>
        <w:ind w:left="1701" w:hanging="567"/>
      </w:pPr>
      <w:r w:rsidRPr="00E65BE1">
        <w:t>(iii)</w:t>
      </w:r>
      <w:r w:rsidRPr="00E65BE1">
        <w:tab/>
        <w:t xml:space="preserve">whether PVP Offices or </w:t>
      </w:r>
      <w:r w:rsidRPr="00CB47C4">
        <w:t>its experts may have or not a role in EDV</w:t>
      </w:r>
      <w:r w:rsidRPr="00E65BE1">
        <w:t xml:space="preserve"> assessment (see issues 41, 53, 65, practice 21);  and</w:t>
      </w:r>
    </w:p>
    <w:p w:rsidR="00E65BE1" w:rsidRPr="00E65BE1" w:rsidRDefault="00E65BE1" w:rsidP="00E65BE1">
      <w:pPr>
        <w:tabs>
          <w:tab w:val="left" w:pos="1701"/>
        </w:tabs>
        <w:ind w:left="1701" w:hanging="567"/>
      </w:pPr>
    </w:p>
    <w:p w:rsidR="00E65BE1" w:rsidRPr="00E65BE1" w:rsidRDefault="00E65BE1" w:rsidP="00E65BE1">
      <w:pPr>
        <w:tabs>
          <w:tab w:val="left" w:pos="1701"/>
        </w:tabs>
        <w:ind w:left="1701" w:hanging="567"/>
      </w:pPr>
      <w:r w:rsidRPr="00E65BE1">
        <w:t>(iv)</w:t>
      </w:r>
      <w:r w:rsidRPr="00E65BE1">
        <w:tab/>
        <w:t xml:space="preserve">whether </w:t>
      </w:r>
      <w:r w:rsidRPr="00CB47C4">
        <w:t>it would be appropriate for the application form for a breeder’s right to facilitate the disclosure of information on EDV matters on a voluntary basis (see issues</w:t>
      </w:r>
      <w:r w:rsidRPr="00E65BE1">
        <w:t xml:space="preserve"> 38, 39, 40, 41, 59,  practice 21).</w:t>
      </w:r>
    </w:p>
    <w:p w:rsidR="00E65BE1" w:rsidRPr="00E65BE1" w:rsidRDefault="00E65BE1" w:rsidP="00E65BE1">
      <w:pPr>
        <w:rPr>
          <w:b/>
        </w:rPr>
      </w:pPr>
    </w:p>
    <w:p w:rsidR="00E65BE1" w:rsidRPr="00E65BE1" w:rsidRDefault="00E65BE1" w:rsidP="00E65BE1">
      <w:pPr>
        <w:rPr>
          <w:b/>
        </w:rPr>
      </w:pPr>
    </w:p>
    <w:p w:rsidR="00E65BE1" w:rsidRPr="00E65BE1" w:rsidRDefault="00E65BE1" w:rsidP="00E65BE1">
      <w:pPr>
        <w:jc w:val="left"/>
        <w:rPr>
          <w:b/>
        </w:rPr>
      </w:pPr>
      <w:r w:rsidRPr="00E65BE1">
        <w:rPr>
          <w:b/>
        </w:rPr>
        <w:br w:type="page"/>
      </w:r>
    </w:p>
    <w:p w:rsidR="00E65BE1" w:rsidRPr="00E65BE1" w:rsidRDefault="00E65BE1" w:rsidP="00E65BE1">
      <w:pPr>
        <w:jc w:val="left"/>
      </w:pPr>
      <w:bookmarkStart w:id="15" w:name="_Toc47557367"/>
      <w:bookmarkStart w:id="16" w:name="_Toc48316463"/>
      <w:r w:rsidRPr="00E65BE1">
        <w:lastRenderedPageBreak/>
        <w:t>ISSUES CONCERNING SPECIFIC ASPECTS OF THE CURRENT EXPLANATORY NOTES</w:t>
      </w:r>
      <w:bookmarkEnd w:id="15"/>
      <w:bookmarkEnd w:id="16"/>
    </w:p>
    <w:p w:rsidR="00E65BE1" w:rsidRPr="00E65BE1" w:rsidRDefault="00E65BE1" w:rsidP="00E65BE1">
      <w:pPr>
        <w:keepNext/>
      </w:pP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gridCol w:w="10"/>
      </w:tblGrid>
      <w:tr w:rsidR="00E65BE1" w:rsidRPr="00E65BE1" w:rsidTr="00F50020">
        <w:trPr>
          <w:gridAfter w:val="1"/>
          <w:wAfter w:w="10" w:type="dxa"/>
          <w:cantSplit/>
        </w:trPr>
        <w:tc>
          <w:tcPr>
            <w:tcW w:w="1305" w:type="dxa"/>
          </w:tcPr>
          <w:p w:rsidR="00E65BE1" w:rsidRPr="00E65BE1" w:rsidRDefault="00E65BE1" w:rsidP="00E65BE1"/>
        </w:tc>
        <w:tc>
          <w:tcPr>
            <w:tcW w:w="7155" w:type="dxa"/>
          </w:tcPr>
          <w:p w:rsidR="00E65BE1" w:rsidRPr="00E65BE1" w:rsidRDefault="00E65BE1" w:rsidP="00E65BE1">
            <w:pPr>
              <w:jc w:val="left"/>
              <w:rPr>
                <w:highlight w:val="yellow"/>
              </w:rPr>
            </w:pPr>
            <w:r w:rsidRPr="00E65BE1">
              <w:t>PREAMBLE</w:t>
            </w:r>
          </w:p>
        </w:tc>
        <w:tc>
          <w:tcPr>
            <w:tcW w:w="1513" w:type="dxa"/>
          </w:tcPr>
          <w:p w:rsidR="00E65BE1" w:rsidRPr="00E65BE1" w:rsidRDefault="00E65BE1" w:rsidP="00E65BE1">
            <w:pPr>
              <w:jc w:val="left"/>
              <w:rPr>
                <w:i/>
              </w:rPr>
            </w:pPr>
            <w:r w:rsidRPr="00E65BE1">
              <w:rPr>
                <w:i/>
              </w:rPr>
              <w:t>Contributions by</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w:t>
            </w:r>
          </w:p>
        </w:tc>
        <w:tc>
          <w:tcPr>
            <w:tcW w:w="7155" w:type="dxa"/>
          </w:tcPr>
          <w:p w:rsidR="00E65BE1" w:rsidRPr="00E65BE1" w:rsidRDefault="00E65BE1" w:rsidP="00E65BE1">
            <w:pPr>
              <w:jc w:val="left"/>
              <w:rPr>
                <w:i/>
              </w:rPr>
            </w:pPr>
            <w:r w:rsidRPr="00E65BE1">
              <w:rPr>
                <w:i/>
              </w:rPr>
              <w:t>to consider if the reference to the “Resolution on Article 14(5)” of the 1991 Diplomatic Conference is necessary</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2</w:t>
            </w:r>
          </w:p>
        </w:tc>
        <w:tc>
          <w:tcPr>
            <w:tcW w:w="7155" w:type="dxa"/>
          </w:tcPr>
          <w:p w:rsidR="00E65BE1" w:rsidRPr="00E65BE1" w:rsidRDefault="00E65BE1" w:rsidP="00E65BE1">
            <w:pPr>
              <w:jc w:val="left"/>
              <w:rPr>
                <w:i/>
              </w:rPr>
            </w:pPr>
            <w:r w:rsidRPr="00E65BE1">
              <w:rPr>
                <w:i/>
              </w:rPr>
              <w:t>to consider reviewing and reducing the text in the Preamble to avoid repetitions</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SECTION I:  PROVISIONS OF ESSENTIALLY DERIVED VARIETIES</w:t>
            </w:r>
          </w:p>
          <w:p w:rsidR="00E65BE1" w:rsidRPr="00E65BE1" w:rsidRDefault="00E65BE1" w:rsidP="00E65BE1">
            <w:pPr>
              <w:jc w:val="left"/>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(a)</w:t>
            </w:r>
            <w:r w:rsidRPr="00E65BE1">
              <w:tab/>
              <w:t>Relevant provisions of the 1991 Act of the UPOV Convention</w:t>
            </w:r>
          </w:p>
          <w:p w:rsidR="00E65BE1" w:rsidRPr="00E65BE1" w:rsidRDefault="00E65BE1" w:rsidP="00E65BE1">
            <w:pPr>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3</w:t>
            </w:r>
          </w:p>
        </w:tc>
        <w:tc>
          <w:tcPr>
            <w:tcW w:w="7155" w:type="dxa"/>
          </w:tcPr>
          <w:p w:rsidR="00E65BE1" w:rsidRPr="00E65BE1" w:rsidRDefault="00E65BE1" w:rsidP="00E65BE1">
            <w:pPr>
              <w:jc w:val="left"/>
              <w:rPr>
                <w:i/>
              </w:rPr>
            </w:pPr>
            <w:r w:rsidRPr="00E65BE1">
              <w:rPr>
                <w:i/>
              </w:rPr>
              <w:t>to consider removing the provisions of Article 14(5)(ii) and (iii) of the 1991 Act and those in the footnote (page 4).</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4</w:t>
            </w:r>
          </w:p>
        </w:tc>
        <w:tc>
          <w:tcPr>
            <w:tcW w:w="7155" w:type="dxa"/>
          </w:tcPr>
          <w:p w:rsidR="00E65BE1" w:rsidRPr="00E65BE1" w:rsidRDefault="00E65BE1" w:rsidP="00E65BE1">
            <w:pPr>
              <w:jc w:val="left"/>
              <w:rPr>
                <w:i/>
                <w:spacing w:val="-2"/>
              </w:rPr>
            </w:pPr>
            <w:r w:rsidRPr="00E65BE1">
              <w:rPr>
                <w:i/>
                <w:spacing w:val="-2"/>
              </w:rPr>
              <w:t xml:space="preserve">to consider not to divide relevant provisions on EDVs in subsections (a) and (b) </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 xml:space="preserve">Issue5 [6] </w:t>
            </w:r>
          </w:p>
        </w:tc>
        <w:tc>
          <w:tcPr>
            <w:tcW w:w="7155" w:type="dxa"/>
          </w:tcPr>
          <w:p w:rsidR="00E65BE1" w:rsidRPr="00E65BE1" w:rsidRDefault="00E65BE1" w:rsidP="00E65BE1">
            <w:pPr>
              <w:jc w:val="left"/>
              <w:rPr>
                <w:i/>
              </w:rPr>
            </w:pPr>
            <w:r w:rsidRPr="00E65BE1">
              <w:rPr>
                <w:i/>
              </w:rPr>
              <w:t>to address the issue identified by breeders in the survey that “50% of the respondents have rated the effectiveness of the EDV provision in making sure that the breeder of the initial variety get the necessary compensation as being absent or low.”</w:t>
            </w:r>
          </w:p>
        </w:tc>
        <w:tc>
          <w:tcPr>
            <w:tcW w:w="1513" w:type="dxa"/>
          </w:tcPr>
          <w:p w:rsidR="00E65BE1" w:rsidRPr="00E65BE1" w:rsidRDefault="00E65BE1" w:rsidP="00E65BE1">
            <w:pPr>
              <w:jc w:val="left"/>
              <w:rPr>
                <w:i/>
              </w:rPr>
            </w:pPr>
            <w:r w:rsidRPr="00E65BE1">
              <w:rPr>
                <w:i/>
              </w:rPr>
              <w:t>Joint contribution by breeders</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6 [7]</w:t>
            </w:r>
          </w:p>
        </w:tc>
        <w:tc>
          <w:tcPr>
            <w:tcW w:w="7155" w:type="dxa"/>
          </w:tcPr>
          <w:p w:rsidR="00E65BE1" w:rsidRPr="00E65BE1" w:rsidRDefault="00E65BE1" w:rsidP="00E65BE1">
            <w:pPr>
              <w:jc w:val="left"/>
              <w:rPr>
                <w:i/>
              </w:rPr>
            </w:pPr>
            <w:r w:rsidRPr="00E65BE1">
              <w:rPr>
                <w:i/>
              </w:rPr>
              <w:t xml:space="preserve">to consider the scope of the EDV concept in relation to the following policy matters “To a large group of the respondents, the EDV provision has proven to be valuable, nonetheless it is also clear that further clarification is needed. Any attempt to diminish its value by narrowing its scope or otherwise, would greatly endanger the breeding incentive for cross breeding and could possibly lead to a decrease in breeding effort, genetic variation and biodiversity. This will eventually result in fewer varieties for users which might threaten the whole UPOV system.” </w:t>
            </w:r>
          </w:p>
        </w:tc>
        <w:tc>
          <w:tcPr>
            <w:tcW w:w="1513" w:type="dxa"/>
          </w:tcPr>
          <w:p w:rsidR="00E65BE1" w:rsidRPr="00E65BE1" w:rsidRDefault="00E65BE1" w:rsidP="00E65BE1">
            <w:pPr>
              <w:jc w:val="left"/>
              <w:rPr>
                <w:i/>
              </w:rPr>
            </w:pPr>
            <w:r w:rsidRPr="00E65BE1">
              <w:rPr>
                <w:i/>
              </w:rPr>
              <w:t>Joint contribution by breeders, AIPH</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7 [8]</w:t>
            </w:r>
          </w:p>
        </w:tc>
        <w:tc>
          <w:tcPr>
            <w:tcW w:w="7155" w:type="dxa"/>
          </w:tcPr>
          <w:p w:rsidR="00E65BE1" w:rsidRPr="00E65BE1" w:rsidRDefault="00E65BE1" w:rsidP="00E65BE1">
            <w:pPr>
              <w:jc w:val="left"/>
              <w:rPr>
                <w:i/>
              </w:rPr>
            </w:pPr>
            <w:r w:rsidRPr="00E65BE1">
              <w:rPr>
                <w:i/>
              </w:rPr>
              <w:t xml:space="preserve">to consider how to address the needs of small companies in the following comment “small companies note that it is hard for them to get the full picture of the evolution of the EDV concept (interpretation of UPOV Explanatory Notes, court cases with different outcomes). Maybe they would benefit from clearer guidance / more simplified explanatory material from UPOV” </w:t>
            </w:r>
          </w:p>
        </w:tc>
        <w:tc>
          <w:tcPr>
            <w:tcW w:w="1513" w:type="dxa"/>
          </w:tcPr>
          <w:p w:rsidR="00E65BE1" w:rsidRPr="00E65BE1" w:rsidRDefault="00E65BE1" w:rsidP="00E65BE1">
            <w:pPr>
              <w:jc w:val="left"/>
              <w:rPr>
                <w:i/>
                <w:highlight w:val="green"/>
              </w:rPr>
            </w:pPr>
            <w:r w:rsidRPr="00E65BE1">
              <w:rPr>
                <w:i/>
              </w:rPr>
              <w:t>Joint contribution by breeders, AIPH</w:t>
            </w:r>
          </w:p>
        </w:tc>
      </w:tr>
      <w:tr w:rsidR="00E65BE1" w:rsidRPr="00E65BE1" w:rsidTr="00F50020">
        <w:trPr>
          <w:gridAfter w:val="1"/>
          <w:wAfter w:w="10" w:type="dxa"/>
          <w:cantSplit/>
        </w:trPr>
        <w:tc>
          <w:tcPr>
            <w:tcW w:w="1305" w:type="dxa"/>
          </w:tcPr>
          <w:p w:rsidR="00E65BE1" w:rsidRPr="00CB47C4" w:rsidRDefault="00E65BE1" w:rsidP="00E65BE1">
            <w:pPr>
              <w:rPr>
                <w:i/>
              </w:rPr>
            </w:pPr>
            <w:r w:rsidRPr="00CB47C4">
              <w:rPr>
                <w:i/>
              </w:rPr>
              <w:t xml:space="preserve">Issue 8 </w:t>
            </w:r>
          </w:p>
        </w:tc>
        <w:tc>
          <w:tcPr>
            <w:tcW w:w="7155" w:type="dxa"/>
          </w:tcPr>
          <w:p w:rsidR="00E65BE1" w:rsidRPr="00CB47C4" w:rsidRDefault="00E65BE1" w:rsidP="00E65BE1">
            <w:pPr>
              <w:jc w:val="left"/>
              <w:rPr>
                <w:i/>
              </w:rPr>
            </w:pPr>
            <w:r w:rsidRPr="00CB47C4">
              <w:rPr>
                <w:i/>
              </w:rPr>
              <w:t>to consider the role of the EDV concept in relation to the following policy matter:  “without a good EDV policy the value of the PVR system will be considerably lower. Protection would be sought through a restricted licensing policy in which the new varieties might no longer be available for small growers.”</w:t>
            </w:r>
          </w:p>
        </w:tc>
        <w:tc>
          <w:tcPr>
            <w:tcW w:w="1513" w:type="dxa"/>
          </w:tcPr>
          <w:p w:rsidR="00E65BE1" w:rsidRPr="00CB47C4" w:rsidRDefault="00E65BE1" w:rsidP="00E65BE1">
            <w:pPr>
              <w:jc w:val="left"/>
              <w:rPr>
                <w:i/>
              </w:rPr>
            </w:pPr>
            <w:r w:rsidRPr="00CB47C4">
              <w:rPr>
                <w:i/>
              </w:rPr>
              <w:t>AIPH</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(b)     Defining an essentially derived variety</w:t>
            </w:r>
          </w:p>
          <w:p w:rsidR="00E65BE1" w:rsidRPr="00E65BE1" w:rsidRDefault="00E65BE1" w:rsidP="00E65BE1">
            <w:pPr>
              <w:jc w:val="left"/>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9</w:t>
            </w:r>
          </w:p>
        </w:tc>
        <w:tc>
          <w:tcPr>
            <w:tcW w:w="7155" w:type="dxa"/>
          </w:tcPr>
          <w:p w:rsidR="00E65BE1" w:rsidRPr="00E65BE1" w:rsidRDefault="00E65BE1" w:rsidP="00E65BE1">
            <w:pPr>
              <w:jc w:val="left"/>
              <w:rPr>
                <w:i/>
              </w:rPr>
            </w:pPr>
            <w:r w:rsidRPr="00E65BE1">
              <w:rPr>
                <w:i/>
              </w:rPr>
              <w:t xml:space="preserve">to consider the inclusion of plant breeding innovations such as genome editing in the [definition of EDV]/[EDV concept] </w:t>
            </w:r>
          </w:p>
        </w:tc>
        <w:tc>
          <w:tcPr>
            <w:tcW w:w="1513" w:type="dxa"/>
          </w:tcPr>
          <w:p w:rsidR="00E65BE1" w:rsidRPr="00E65BE1" w:rsidRDefault="00E65BE1" w:rsidP="00E65BE1">
            <w:pPr>
              <w:jc w:val="left"/>
              <w:rPr>
                <w:i/>
              </w:rPr>
            </w:pPr>
            <w:r w:rsidRPr="00E65BE1">
              <w:rPr>
                <w:i/>
              </w:rPr>
              <w:t>ZA</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10 [11]</w:t>
            </w:r>
          </w:p>
        </w:tc>
        <w:tc>
          <w:tcPr>
            <w:tcW w:w="7155" w:type="dxa"/>
          </w:tcPr>
          <w:p w:rsidR="00E65BE1" w:rsidRPr="00E65BE1" w:rsidRDefault="00E65BE1" w:rsidP="00E65BE1">
            <w:pPr>
              <w:jc w:val="left"/>
              <w:rPr>
                <w:i/>
              </w:rPr>
            </w:pPr>
            <w:r w:rsidRPr="00E65BE1">
              <w:rPr>
                <w:i/>
              </w:rPr>
              <w:t xml:space="preserve">to consider how to provide clarity and certainty in relation to the following “respondents note that some further clarity on the concept, on genetic thresholds or on essential characteristics would be welcome. Additionally, concerns have been raised as regards the multiple interpretations of how to apply the EDV concept in different jurisdictions.” </w:t>
            </w:r>
          </w:p>
        </w:tc>
        <w:tc>
          <w:tcPr>
            <w:tcW w:w="1513" w:type="dxa"/>
          </w:tcPr>
          <w:p w:rsidR="00E65BE1" w:rsidRPr="00E65BE1" w:rsidRDefault="00E65BE1" w:rsidP="00E65BE1">
            <w:pPr>
              <w:jc w:val="left"/>
              <w:rPr>
                <w:i/>
              </w:rPr>
            </w:pPr>
            <w:r w:rsidRPr="00E65BE1">
              <w:rPr>
                <w:i/>
              </w:rPr>
              <w:t>Joint contribution by breeders, AIPH</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Predominantly derived from the initial variety (Article 14(5)(b)(i))</w:t>
            </w:r>
          </w:p>
          <w:p w:rsidR="00E65BE1" w:rsidRPr="00E65BE1" w:rsidRDefault="00E65BE1" w:rsidP="00E65BE1">
            <w:pPr>
              <w:ind w:left="565" w:hanging="283"/>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11 [12]</w:t>
            </w:r>
          </w:p>
        </w:tc>
        <w:tc>
          <w:tcPr>
            <w:tcW w:w="7155" w:type="dxa"/>
          </w:tcPr>
          <w:p w:rsidR="00E65BE1" w:rsidRPr="00E65BE1" w:rsidRDefault="00E65BE1" w:rsidP="00E65BE1">
            <w:pPr>
              <w:jc w:val="left"/>
              <w:rPr>
                <w:i/>
                <w:highlight w:val="yellow"/>
              </w:rPr>
            </w:pPr>
            <w:r w:rsidRPr="00E65BE1">
              <w:rPr>
                <w:i/>
              </w:rPr>
              <w:t>to clarify the terms in Article 14(5)(b)(i) concerning “while retaining the expression of the essential characteristics that results from the genotype and combination of genotypes”</w:t>
            </w:r>
          </w:p>
        </w:tc>
        <w:tc>
          <w:tcPr>
            <w:tcW w:w="1513" w:type="dxa"/>
          </w:tcPr>
          <w:p w:rsidR="00E65BE1" w:rsidRPr="00E65BE1" w:rsidRDefault="00E65BE1" w:rsidP="00E65BE1">
            <w:pPr>
              <w:jc w:val="left"/>
              <w:rPr>
                <w:i/>
              </w:rPr>
            </w:pPr>
            <w:r w:rsidRPr="00E65BE1">
              <w:rPr>
                <w:i/>
              </w:rPr>
              <w:t>EU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12 [13]</w:t>
            </w:r>
          </w:p>
        </w:tc>
        <w:tc>
          <w:tcPr>
            <w:tcW w:w="7155" w:type="dxa"/>
          </w:tcPr>
          <w:p w:rsidR="00E65BE1" w:rsidRPr="00E65BE1" w:rsidRDefault="00E65BE1" w:rsidP="00E65BE1">
            <w:pPr>
              <w:jc w:val="left"/>
              <w:rPr>
                <w:i/>
              </w:rPr>
            </w:pPr>
            <w:r w:rsidRPr="00E65BE1">
              <w:rPr>
                <w:i/>
              </w:rPr>
              <w:t>to clarify the explanations in paragraphs 4 and 5</w:t>
            </w:r>
          </w:p>
        </w:tc>
        <w:tc>
          <w:tcPr>
            <w:tcW w:w="1513" w:type="dxa"/>
          </w:tcPr>
          <w:p w:rsidR="00E65BE1" w:rsidRPr="00E65BE1" w:rsidRDefault="00E65BE1" w:rsidP="00E65BE1">
            <w:pPr>
              <w:jc w:val="left"/>
              <w:rPr>
                <w:i/>
              </w:rPr>
            </w:pPr>
            <w:r w:rsidRPr="00E65BE1">
              <w:rPr>
                <w:i/>
              </w:rPr>
              <w:t>RU</w:t>
            </w: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13 [14]</w:t>
            </w:r>
          </w:p>
        </w:tc>
        <w:tc>
          <w:tcPr>
            <w:tcW w:w="7155" w:type="dxa"/>
          </w:tcPr>
          <w:p w:rsidR="00E65BE1" w:rsidRPr="00E65BE1" w:rsidRDefault="00E65BE1" w:rsidP="00E65BE1">
            <w:pPr>
              <w:jc w:val="left"/>
              <w:rPr>
                <w:i/>
              </w:rPr>
            </w:pPr>
            <w:r w:rsidRPr="00E65BE1">
              <w:rPr>
                <w:i/>
              </w:rPr>
              <w:t>to clarify the notion of essential characteristics and how they relate or not to DUS characteristics (see paragraph 6)</w:t>
            </w:r>
          </w:p>
        </w:tc>
        <w:tc>
          <w:tcPr>
            <w:tcW w:w="1513" w:type="dxa"/>
          </w:tcPr>
          <w:p w:rsidR="00E65BE1" w:rsidRPr="00E65BE1" w:rsidRDefault="00E65BE1" w:rsidP="00E65BE1">
            <w:pPr>
              <w:jc w:val="left"/>
              <w:rPr>
                <w:i/>
              </w:rPr>
            </w:pPr>
            <w:r w:rsidRPr="00E65BE1">
              <w:rPr>
                <w:i/>
              </w:rPr>
              <w:t>RU, ZA</w:t>
            </w:r>
          </w:p>
        </w:tc>
      </w:tr>
      <w:tr w:rsidR="00E65BE1" w:rsidRPr="00E65BE1" w:rsidTr="00F50020">
        <w:trPr>
          <w:gridAfter w:val="1"/>
          <w:wAfter w:w="10" w:type="dxa"/>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Clearly distinguishable from the initial variety (Article 14(5)(b)(ii))</w:t>
            </w:r>
          </w:p>
          <w:p w:rsidR="00E65BE1" w:rsidRPr="00E65BE1" w:rsidRDefault="00E65BE1" w:rsidP="00E65BE1">
            <w:pPr>
              <w:jc w:val="left"/>
              <w:rPr>
                <w:i/>
              </w:rPr>
            </w:pPr>
          </w:p>
        </w:tc>
        <w:tc>
          <w:tcPr>
            <w:tcW w:w="1513" w:type="dxa"/>
          </w:tcPr>
          <w:p w:rsidR="00E65BE1" w:rsidRPr="00E65BE1" w:rsidRDefault="00E65BE1" w:rsidP="00E65BE1">
            <w:pPr>
              <w:jc w:val="left"/>
              <w:rPr>
                <w:i/>
              </w:rPr>
            </w:pPr>
          </w:p>
        </w:tc>
      </w:tr>
      <w:tr w:rsidR="00E65BE1" w:rsidRPr="00E65BE1" w:rsidTr="00F50020">
        <w:trPr>
          <w:gridAfter w:val="1"/>
          <w:wAfter w:w="10" w:type="dxa"/>
          <w:cantSplit/>
        </w:trPr>
        <w:tc>
          <w:tcPr>
            <w:tcW w:w="1305" w:type="dxa"/>
          </w:tcPr>
          <w:p w:rsidR="00E65BE1" w:rsidRPr="00E65BE1" w:rsidRDefault="00E65BE1" w:rsidP="00E65BE1">
            <w:pPr>
              <w:rPr>
                <w:i/>
              </w:rPr>
            </w:pPr>
            <w:r w:rsidRPr="00E65BE1">
              <w:rPr>
                <w:i/>
              </w:rPr>
              <w:t>Issue 14 [15]</w:t>
            </w:r>
          </w:p>
        </w:tc>
        <w:tc>
          <w:tcPr>
            <w:tcW w:w="7155" w:type="dxa"/>
          </w:tcPr>
          <w:p w:rsidR="00E65BE1" w:rsidRPr="00E65BE1" w:rsidRDefault="00E65BE1" w:rsidP="00E65BE1">
            <w:pPr>
              <w:jc w:val="left"/>
              <w:rPr>
                <w:i/>
              </w:rPr>
            </w:pPr>
            <w:r w:rsidRPr="00E65BE1">
              <w:rPr>
                <w:i/>
              </w:rPr>
              <w:t>to clarify the notion of “clearly distinguishable” in Article 14(5)(b)(ii) and to consider if the reference to Article 14(5)(a)(ii) in paragraph 7 is relevant</w:t>
            </w:r>
          </w:p>
        </w:tc>
        <w:tc>
          <w:tcPr>
            <w:tcW w:w="1513" w:type="dxa"/>
          </w:tcPr>
          <w:p w:rsidR="00E65BE1" w:rsidRPr="00E65BE1" w:rsidRDefault="00E65BE1" w:rsidP="00E65BE1">
            <w:pPr>
              <w:jc w:val="left"/>
              <w:rPr>
                <w:i/>
              </w:rPr>
            </w:pPr>
            <w:r w:rsidRPr="00E65BE1">
              <w:rPr>
                <w:i/>
              </w:rPr>
              <w:t xml:space="preserve">SE, RU </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Conformity with the initial variety in the expression of the essential characteristics (Article 14(5)(b)(iii))</w:t>
            </w:r>
          </w:p>
          <w:p w:rsidR="00E65BE1" w:rsidRPr="00E65BE1" w:rsidRDefault="00E65BE1" w:rsidP="00E65BE1">
            <w:pPr>
              <w:jc w:val="left"/>
              <w:rPr>
                <w:i/>
                <w:highlight w:val="yellow"/>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15 [16]</w:t>
            </w:r>
          </w:p>
        </w:tc>
        <w:tc>
          <w:tcPr>
            <w:tcW w:w="7155" w:type="dxa"/>
          </w:tcPr>
          <w:p w:rsidR="00E65BE1" w:rsidRPr="00E65BE1" w:rsidRDefault="00E65BE1" w:rsidP="00E65BE1">
            <w:pPr>
              <w:jc w:val="left"/>
              <w:rPr>
                <w:i/>
              </w:rPr>
            </w:pPr>
            <w:r w:rsidRPr="00E65BE1">
              <w:rPr>
                <w:i/>
              </w:rPr>
              <w:t>to determine how many differences and how important such differences are necessary for an EDV to conform “essentially” with the initial variety</w:t>
            </w:r>
          </w:p>
        </w:tc>
        <w:tc>
          <w:tcPr>
            <w:tcW w:w="1523" w:type="dxa"/>
            <w:gridSpan w:val="2"/>
          </w:tcPr>
          <w:p w:rsidR="00E65BE1" w:rsidRPr="00E65BE1" w:rsidRDefault="00E65BE1" w:rsidP="00E65BE1">
            <w:pPr>
              <w:jc w:val="left"/>
              <w:rPr>
                <w:i/>
              </w:rPr>
            </w:pPr>
            <w:r w:rsidRPr="00E65BE1">
              <w:rPr>
                <w:i/>
              </w:rPr>
              <w:t>EU, ZA</w:t>
            </w:r>
          </w:p>
        </w:tc>
      </w:tr>
      <w:tr w:rsidR="00E65BE1" w:rsidRPr="00E65BE1" w:rsidTr="00F50020">
        <w:trPr>
          <w:cantSplit/>
        </w:trPr>
        <w:tc>
          <w:tcPr>
            <w:tcW w:w="1305" w:type="dxa"/>
          </w:tcPr>
          <w:p w:rsidR="00E65BE1" w:rsidRPr="00E65BE1" w:rsidRDefault="00E65BE1" w:rsidP="00E65BE1">
            <w:pPr>
              <w:rPr>
                <w:i/>
              </w:rPr>
            </w:pPr>
            <w:r w:rsidRPr="00E65BE1">
              <w:rPr>
                <w:i/>
              </w:rPr>
              <w:t>Issue 16 [17]</w:t>
            </w:r>
          </w:p>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 xml:space="preserve">to consider removing the sentence “differences should be one or very few” in paragraph 10 </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17 [18]</w:t>
            </w:r>
          </w:p>
        </w:tc>
        <w:tc>
          <w:tcPr>
            <w:tcW w:w="7155" w:type="dxa"/>
          </w:tcPr>
          <w:p w:rsidR="00E65BE1" w:rsidRPr="00E65BE1" w:rsidRDefault="00E65BE1" w:rsidP="00E65BE1">
            <w:pPr>
              <w:jc w:val="left"/>
              <w:rPr>
                <w:i/>
              </w:rPr>
            </w:pPr>
            <w:r w:rsidRPr="00E65BE1">
              <w:rPr>
                <w:i/>
              </w:rPr>
              <w:t xml:space="preserve">to clarify the meaning of “except for the differences which result from the act of derivation” and whether there can be any differences which do not result from the act of derivation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18 [19]</w:t>
            </w:r>
          </w:p>
        </w:tc>
        <w:tc>
          <w:tcPr>
            <w:tcW w:w="7155" w:type="dxa"/>
          </w:tcPr>
          <w:p w:rsidR="00E65BE1" w:rsidRPr="00E65BE1" w:rsidRDefault="00E65BE1" w:rsidP="00E65BE1">
            <w:pPr>
              <w:jc w:val="left"/>
              <w:rPr>
                <w:i/>
              </w:rPr>
            </w:pPr>
            <w:r w:rsidRPr="00E65BE1">
              <w:rPr>
                <w:i/>
              </w:rPr>
              <w:t>to consider what justifies a limit on the number of differences for purposes of determining whether a variety is essentially derived or not, if the wording “except for the differences which result from the act of derivation” “do not set a limit to the amount of difference that may exist” (e.g. mutations induced by irradiation) (see paragraph 9)</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19 [20]</w:t>
            </w:r>
          </w:p>
        </w:tc>
        <w:tc>
          <w:tcPr>
            <w:tcW w:w="7155" w:type="dxa"/>
          </w:tcPr>
          <w:p w:rsidR="00E65BE1" w:rsidRPr="00E65BE1" w:rsidRDefault="00E65BE1" w:rsidP="00E65BE1">
            <w:pPr>
              <w:jc w:val="left"/>
              <w:rPr>
                <w:i/>
              </w:rPr>
            </w:pPr>
            <w:r w:rsidRPr="00E65BE1">
              <w:rPr>
                <w:i/>
              </w:rPr>
              <w:t xml:space="preserve">to review the explanations in paragraphs 8 to 11 to provide clear guidance concerning the provisions in Article 14(5)(b)(iii)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20 [21]</w:t>
            </w:r>
          </w:p>
        </w:tc>
        <w:tc>
          <w:tcPr>
            <w:tcW w:w="7155" w:type="dxa"/>
          </w:tcPr>
          <w:p w:rsidR="00E65BE1" w:rsidRPr="00E65BE1" w:rsidRDefault="00E65BE1" w:rsidP="00E65BE1">
            <w:pPr>
              <w:jc w:val="left"/>
            </w:pPr>
            <w:r w:rsidRPr="00E65BE1">
              <w:rPr>
                <w:i/>
              </w:rPr>
              <w:t>to consider how to provide certainty in relation to the following “the existence of an EDV is sometimes hard to prove, and uncertainty exists due to the lack of clarity around the EDV concept and what the unaltered expression of essential characteristics means for a specific crop.”</w:t>
            </w:r>
          </w:p>
        </w:tc>
        <w:tc>
          <w:tcPr>
            <w:tcW w:w="1523" w:type="dxa"/>
            <w:gridSpan w:val="2"/>
          </w:tcPr>
          <w:p w:rsidR="00E65BE1" w:rsidRPr="00E65BE1" w:rsidRDefault="00E65BE1" w:rsidP="00E65BE1">
            <w:pPr>
              <w:jc w:val="left"/>
              <w:rPr>
                <w:i/>
              </w:rPr>
            </w:pPr>
            <w:r w:rsidRPr="00E65BE1">
              <w:rPr>
                <w:i/>
              </w:rPr>
              <w:t>Joint contribution by breeders</w:t>
            </w:r>
          </w:p>
        </w:tc>
      </w:tr>
      <w:tr w:rsidR="00E65BE1" w:rsidRPr="00E65BE1" w:rsidTr="00F50020">
        <w:trPr>
          <w:cantSplit/>
        </w:trPr>
        <w:tc>
          <w:tcPr>
            <w:tcW w:w="1305" w:type="dxa"/>
          </w:tcPr>
          <w:p w:rsidR="00E65BE1" w:rsidRPr="00E65BE1" w:rsidRDefault="00E65BE1" w:rsidP="00E65BE1">
            <w:pPr>
              <w:rPr>
                <w:i/>
              </w:rPr>
            </w:pPr>
            <w:r w:rsidRPr="00E65BE1">
              <w:rPr>
                <w:i/>
              </w:rPr>
              <w:t>Issue 21 [22]</w:t>
            </w:r>
          </w:p>
        </w:tc>
        <w:tc>
          <w:tcPr>
            <w:tcW w:w="7155" w:type="dxa"/>
          </w:tcPr>
          <w:p w:rsidR="00E65BE1" w:rsidRPr="00E65BE1" w:rsidRDefault="00E65BE1" w:rsidP="00E65BE1">
            <w:pPr>
              <w:jc w:val="left"/>
              <w:rPr>
                <w:i/>
              </w:rPr>
            </w:pPr>
            <w:r w:rsidRPr="00E65BE1">
              <w:rPr>
                <w:i/>
              </w:rPr>
              <w:t>to consider how to clarify the following “Respondents see that the EDV concept provided by UPOV is a way to solve disputes upfront between breeders. However, the latest UPOV Explanatory Notes on EDV (2017) created confusion among the breeders, particularly if that would mean that mutants of protected initial varieties are no longer seen as EDVs.”</w:t>
            </w:r>
          </w:p>
        </w:tc>
        <w:tc>
          <w:tcPr>
            <w:tcW w:w="1523" w:type="dxa"/>
            <w:gridSpan w:val="2"/>
          </w:tcPr>
          <w:p w:rsidR="00E65BE1" w:rsidRPr="00E65BE1" w:rsidRDefault="00E65BE1" w:rsidP="00E65BE1">
            <w:pPr>
              <w:jc w:val="left"/>
              <w:rPr>
                <w:i/>
              </w:rPr>
            </w:pPr>
            <w:r w:rsidRPr="00E65BE1">
              <w:rPr>
                <w:i/>
              </w:rPr>
              <w:t>Joint contribution by breeders, AIPH</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Examples on ways in which an essentially derived variety may be obtained (Article 14(5)(c))- paragraphs 12 and 13</w:t>
            </w:r>
          </w:p>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22 [23]</w:t>
            </w:r>
          </w:p>
        </w:tc>
        <w:tc>
          <w:tcPr>
            <w:tcW w:w="7155" w:type="dxa"/>
          </w:tcPr>
          <w:p w:rsidR="00E65BE1" w:rsidRPr="00E65BE1" w:rsidRDefault="00E65BE1" w:rsidP="00E65BE1">
            <w:pPr>
              <w:jc w:val="left"/>
              <w:rPr>
                <w:i/>
              </w:rPr>
            </w:pPr>
            <w:r w:rsidRPr="00E65BE1">
              <w:rPr>
                <w:i/>
              </w:rPr>
              <w:t>to consider explaining the term 'induced mutant' in relation to the “techniques of genome editing'”</w:t>
            </w:r>
          </w:p>
        </w:tc>
        <w:tc>
          <w:tcPr>
            <w:tcW w:w="1523" w:type="dxa"/>
            <w:gridSpan w:val="2"/>
          </w:tcPr>
          <w:p w:rsidR="00E65BE1" w:rsidRPr="00E65BE1" w:rsidRDefault="00E65BE1" w:rsidP="00E65BE1">
            <w:pPr>
              <w:jc w:val="left"/>
              <w:rPr>
                <w:i/>
              </w:rPr>
            </w:pPr>
            <w:r w:rsidRPr="00E65BE1">
              <w:rPr>
                <w:i/>
              </w:rPr>
              <w:t>SE</w:t>
            </w:r>
          </w:p>
        </w:tc>
      </w:tr>
      <w:tr w:rsidR="00E65BE1" w:rsidRPr="00E65BE1" w:rsidTr="00F50020">
        <w:trPr>
          <w:cantSplit/>
        </w:trPr>
        <w:tc>
          <w:tcPr>
            <w:tcW w:w="1305" w:type="dxa"/>
          </w:tcPr>
          <w:p w:rsidR="00E65BE1" w:rsidRPr="00E65BE1" w:rsidRDefault="00E65BE1" w:rsidP="00E65BE1">
            <w:pPr>
              <w:rPr>
                <w:i/>
              </w:rPr>
            </w:pPr>
            <w:r w:rsidRPr="00E65BE1">
              <w:rPr>
                <w:i/>
              </w:rPr>
              <w:t>Issue 23 [24]</w:t>
            </w:r>
          </w:p>
        </w:tc>
        <w:tc>
          <w:tcPr>
            <w:tcW w:w="7155" w:type="dxa"/>
          </w:tcPr>
          <w:p w:rsidR="00E65BE1" w:rsidRPr="00E65BE1" w:rsidRDefault="00E65BE1" w:rsidP="00E65BE1">
            <w:pPr>
              <w:jc w:val="left"/>
              <w:rPr>
                <w:i/>
              </w:rPr>
            </w:pPr>
            <w:r w:rsidRPr="00E65BE1">
              <w:rPr>
                <w:i/>
              </w:rPr>
              <w:t xml:space="preserve">to review the need to keep the text of Article 14(5)(c), in paragraph 12, as it is already included in  Section I (a)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24 [25]</w:t>
            </w:r>
          </w:p>
        </w:tc>
        <w:tc>
          <w:tcPr>
            <w:tcW w:w="7155" w:type="dxa"/>
          </w:tcPr>
          <w:p w:rsidR="00E65BE1" w:rsidRPr="00E65BE1" w:rsidRDefault="00E65BE1" w:rsidP="00E65BE1">
            <w:pPr>
              <w:jc w:val="left"/>
              <w:rPr>
                <w:i/>
              </w:rPr>
            </w:pPr>
            <w:r w:rsidRPr="00E65BE1">
              <w:rPr>
                <w:i/>
              </w:rPr>
              <w:t>to consider the need to retain the first sentence in paragraph 13 and whether  to review the second sentence to explain that “for example” in Article 14(5)(c) means that those are examples and do not exclude the possibility of an essentially derived variety being obtained in other ways.</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keepNext/>
              <w:rPr>
                <w:i/>
              </w:rPr>
            </w:pPr>
          </w:p>
        </w:tc>
        <w:tc>
          <w:tcPr>
            <w:tcW w:w="7155" w:type="dxa"/>
          </w:tcPr>
          <w:p w:rsidR="00E65BE1" w:rsidRPr="00E65BE1" w:rsidRDefault="00E65BE1" w:rsidP="00E65BE1">
            <w:pPr>
              <w:keepNext/>
              <w:jc w:val="left"/>
              <w:rPr>
                <w:i/>
              </w:rPr>
            </w:pPr>
            <w:r w:rsidRPr="00E65BE1">
              <w:rPr>
                <w:i/>
              </w:rPr>
              <w:t>Method of breeding</w:t>
            </w:r>
          </w:p>
          <w:p w:rsidR="00E65BE1" w:rsidRPr="00E65BE1" w:rsidRDefault="00E65BE1" w:rsidP="00E65BE1">
            <w:pPr>
              <w:keepNext/>
              <w:jc w:val="left"/>
              <w:rPr>
                <w:i/>
              </w:rPr>
            </w:pPr>
          </w:p>
        </w:tc>
        <w:tc>
          <w:tcPr>
            <w:tcW w:w="1523" w:type="dxa"/>
            <w:gridSpan w:val="2"/>
          </w:tcPr>
          <w:p w:rsidR="00E65BE1" w:rsidRPr="00E65BE1" w:rsidRDefault="00E65BE1" w:rsidP="00E65BE1">
            <w:pPr>
              <w:keepNext/>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25 [26]</w:t>
            </w:r>
          </w:p>
        </w:tc>
        <w:tc>
          <w:tcPr>
            <w:tcW w:w="7155" w:type="dxa"/>
          </w:tcPr>
          <w:p w:rsidR="00E65BE1" w:rsidRPr="00E65BE1" w:rsidRDefault="00E65BE1" w:rsidP="00E65BE1">
            <w:pPr>
              <w:spacing w:after="60"/>
              <w:ind w:right="567"/>
              <w:jc w:val="left"/>
              <w:rPr>
                <w:rFonts w:eastAsia="Calibri" w:cs="Arial"/>
                <w:i/>
                <w:iCs/>
              </w:rPr>
            </w:pPr>
            <w:r w:rsidRPr="00E65BE1">
              <w:rPr>
                <w:rFonts w:eastAsia="Calibri" w:cs="Arial"/>
                <w:i/>
                <w:iCs/>
              </w:rPr>
              <w:t xml:space="preserve">to consider the need to revise the second sentence of paragraph 15  “[..].  For instance, the genetic change may result in a mutant that no longer retains the expression of the essential characteristics that result from the genotype of the initial variety.” </w:t>
            </w:r>
          </w:p>
        </w:tc>
        <w:tc>
          <w:tcPr>
            <w:tcW w:w="1523" w:type="dxa"/>
            <w:gridSpan w:val="2"/>
          </w:tcPr>
          <w:p w:rsidR="00E65BE1" w:rsidRPr="00E65BE1" w:rsidRDefault="00E65BE1" w:rsidP="00E65BE1">
            <w:pPr>
              <w:jc w:val="left"/>
              <w:rPr>
                <w:i/>
              </w:rPr>
            </w:pPr>
            <w:r w:rsidRPr="00E65BE1">
              <w:rPr>
                <w:i/>
              </w:rPr>
              <w:t>DE</w:t>
            </w:r>
          </w:p>
        </w:tc>
      </w:tr>
      <w:tr w:rsidR="00E65BE1" w:rsidRPr="00E65BE1" w:rsidTr="00F50020">
        <w:trPr>
          <w:cantSplit/>
        </w:trPr>
        <w:tc>
          <w:tcPr>
            <w:tcW w:w="1305" w:type="dxa"/>
          </w:tcPr>
          <w:p w:rsidR="00E65BE1" w:rsidRPr="00E65BE1" w:rsidRDefault="00E65BE1" w:rsidP="00E65BE1">
            <w:pPr>
              <w:rPr>
                <w:i/>
              </w:rPr>
            </w:pPr>
            <w:r w:rsidRPr="00E65BE1">
              <w:rPr>
                <w:i/>
              </w:rPr>
              <w:t>Issue 26 [27]</w:t>
            </w:r>
          </w:p>
        </w:tc>
        <w:tc>
          <w:tcPr>
            <w:tcW w:w="7155" w:type="dxa"/>
          </w:tcPr>
          <w:p w:rsidR="00E65BE1" w:rsidRPr="00E65BE1" w:rsidRDefault="00E65BE1" w:rsidP="00E65BE1">
            <w:pPr>
              <w:spacing w:after="60"/>
              <w:ind w:right="567"/>
              <w:jc w:val="left"/>
              <w:rPr>
                <w:rFonts w:eastAsia="Calibri" w:cs="Arial"/>
                <w:i/>
                <w:iCs/>
              </w:rPr>
            </w:pPr>
            <w:r w:rsidRPr="00E65BE1">
              <w:rPr>
                <w:rFonts w:eastAsia="Calibri" w:cs="Arial"/>
                <w:i/>
                <w:iCs/>
              </w:rPr>
              <w:t>to consider the following revision of paragraph 15  "While the genetic change may result in a mutant that no longer retains the expression of the essential characteristics that result from the genotype of the initial variety, this is rarely the effect of point mutations."</w:t>
            </w:r>
          </w:p>
        </w:tc>
        <w:tc>
          <w:tcPr>
            <w:tcW w:w="1523" w:type="dxa"/>
            <w:gridSpan w:val="2"/>
          </w:tcPr>
          <w:p w:rsidR="00E65BE1" w:rsidRPr="00E65BE1" w:rsidRDefault="00E65BE1" w:rsidP="00E65BE1">
            <w:pPr>
              <w:jc w:val="left"/>
              <w:rPr>
                <w:i/>
              </w:rPr>
            </w:pPr>
            <w:r w:rsidRPr="00E65BE1">
              <w:rPr>
                <w:i/>
              </w:rPr>
              <w:t>SE</w:t>
            </w:r>
          </w:p>
        </w:tc>
      </w:tr>
      <w:tr w:rsidR="00E65BE1" w:rsidRPr="00E65BE1" w:rsidTr="00F50020">
        <w:trPr>
          <w:cantSplit/>
        </w:trPr>
        <w:tc>
          <w:tcPr>
            <w:tcW w:w="1305" w:type="dxa"/>
          </w:tcPr>
          <w:p w:rsidR="00E65BE1" w:rsidRPr="00E65BE1" w:rsidRDefault="00E65BE1" w:rsidP="00E65BE1">
            <w:pPr>
              <w:rPr>
                <w:i/>
              </w:rPr>
            </w:pPr>
            <w:r w:rsidRPr="00E65BE1">
              <w:rPr>
                <w:i/>
              </w:rPr>
              <w:t>Issue 27 [28]</w:t>
            </w:r>
          </w:p>
        </w:tc>
        <w:tc>
          <w:tcPr>
            <w:tcW w:w="7155" w:type="dxa"/>
          </w:tcPr>
          <w:p w:rsidR="00E65BE1" w:rsidRPr="00E65BE1" w:rsidRDefault="00E65BE1" w:rsidP="00E65BE1">
            <w:pPr>
              <w:jc w:val="left"/>
              <w:rPr>
                <w:i/>
              </w:rPr>
            </w:pPr>
            <w:r w:rsidRPr="00E65BE1">
              <w:rPr>
                <w:i/>
              </w:rPr>
              <w:t xml:space="preserve">to consider if the breeding method used should not have an impact on the EDV concept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28 [29]</w:t>
            </w:r>
          </w:p>
        </w:tc>
        <w:tc>
          <w:tcPr>
            <w:tcW w:w="7155" w:type="dxa"/>
          </w:tcPr>
          <w:p w:rsidR="00E65BE1" w:rsidRPr="00E65BE1" w:rsidRDefault="00E65BE1" w:rsidP="00E65BE1">
            <w:pPr>
              <w:jc w:val="left"/>
              <w:rPr>
                <w:i/>
              </w:rPr>
            </w:pPr>
            <w:r w:rsidRPr="00E65BE1">
              <w:rPr>
                <w:i/>
              </w:rPr>
              <w:t>to consider the need to clarify the contents of paragraphs 14 and 15 to facilitate the EDV determination process</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Issue 29 [30]</w:t>
            </w:r>
          </w:p>
        </w:tc>
        <w:tc>
          <w:tcPr>
            <w:tcW w:w="7155" w:type="dxa"/>
          </w:tcPr>
          <w:p w:rsidR="00E65BE1" w:rsidRPr="00E65BE1" w:rsidRDefault="00E65BE1" w:rsidP="00E65BE1">
            <w:pPr>
              <w:jc w:val="left"/>
              <w:rPr>
                <w:i/>
              </w:rPr>
            </w:pPr>
            <w:r w:rsidRPr="00E65BE1">
              <w:rPr>
                <w:i/>
              </w:rPr>
              <w:t xml:space="preserve">to consider the following proposals in relation to mutants: (a) in the majority of cases mutants are EDVs; (b) </w:t>
            </w:r>
            <w:r w:rsidRPr="00E65BE1">
              <w:rPr>
                <w:rFonts w:eastAsia="Calibri" w:cs="Arial"/>
                <w:i/>
                <w:iCs/>
              </w:rPr>
              <w:t>Mutants are always predominantly derived; (c) the mutant is completely derived from the initial variety.</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30 [31]</w:t>
            </w:r>
          </w:p>
        </w:tc>
        <w:tc>
          <w:tcPr>
            <w:tcW w:w="7155" w:type="dxa"/>
          </w:tcPr>
          <w:p w:rsidR="00E65BE1" w:rsidRPr="00E65BE1" w:rsidRDefault="00E65BE1" w:rsidP="00E65BE1">
            <w:pPr>
              <w:jc w:val="left"/>
              <w:rPr>
                <w:i/>
              </w:rPr>
            </w:pPr>
            <w:r w:rsidRPr="00E65BE1">
              <w:rPr>
                <w:i/>
              </w:rPr>
              <w:t>to consider reaching a common understanding on mutagenesis and the different kinds of mutagenesis techniques (e.g. spontaneous or induced mutagenesis provoking a single or several mutations)</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31 [32]</w:t>
            </w:r>
          </w:p>
        </w:tc>
        <w:tc>
          <w:tcPr>
            <w:tcW w:w="7155" w:type="dxa"/>
          </w:tcPr>
          <w:p w:rsidR="00E65BE1" w:rsidRPr="00E65BE1" w:rsidRDefault="00E65BE1" w:rsidP="00E65BE1">
            <w:pPr>
              <w:jc w:val="left"/>
              <w:rPr>
                <w:i/>
              </w:rPr>
            </w:pPr>
            <w:r w:rsidRPr="00E65BE1">
              <w:rPr>
                <w:i/>
              </w:rPr>
              <w:t xml:space="preserve">to consider, in relation to backcrossing, if thresholds can be defined to establish predominant derivation and to shift the burden of proof which might not be the case with mutants  “The difference between backcrossing and mutation is that in case of backcrossing there are two parent varieties providing each of them their genome. In order to avoid a limitation of the breeder’s exemption it is therefore particularly important to draw a borderline regarding the conformity. This can be done by using the terminology ‘repeated backcrossing’. It should also be stated that in relation to repeated backcrossing the limitation to ‘one or a few differences’ would remain an important principle for the conformity assessment.” (see also issue 17) </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32 [33]</w:t>
            </w:r>
          </w:p>
        </w:tc>
        <w:tc>
          <w:tcPr>
            <w:tcW w:w="7155" w:type="dxa"/>
          </w:tcPr>
          <w:p w:rsidR="00E65BE1" w:rsidRPr="00E65BE1" w:rsidRDefault="00E65BE1" w:rsidP="00E65BE1">
            <w:pPr>
              <w:jc w:val="left"/>
              <w:rPr>
                <w:i/>
              </w:rPr>
            </w:pPr>
            <w:r w:rsidRPr="00E65BE1">
              <w:rPr>
                <w:i/>
              </w:rPr>
              <w:t xml:space="preserve">to consider if the use of new breeding techniques (e.g. targeted mutagenesis) should in all cases lead to the conclusion that the variety is predominantly derived from the initial variety. </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33 [34]</w:t>
            </w:r>
          </w:p>
        </w:tc>
        <w:tc>
          <w:tcPr>
            <w:tcW w:w="7155" w:type="dxa"/>
          </w:tcPr>
          <w:p w:rsidR="00E65BE1" w:rsidRPr="00E65BE1" w:rsidRDefault="00E65BE1" w:rsidP="00E65BE1">
            <w:pPr>
              <w:jc w:val="left"/>
              <w:rPr>
                <w:i/>
              </w:rPr>
            </w:pPr>
            <w:r w:rsidRPr="00E65BE1">
              <w:rPr>
                <w:i/>
              </w:rPr>
              <w:t>to consider providing a more elaborated explanation of the terms “somaclonal variant” and “selected variant individual” as those terms just indicate the origin of a natural or induced mutant</w:t>
            </w:r>
          </w:p>
        </w:tc>
        <w:tc>
          <w:tcPr>
            <w:tcW w:w="1523" w:type="dxa"/>
            <w:gridSpan w:val="2"/>
          </w:tcPr>
          <w:p w:rsidR="00E65BE1" w:rsidRPr="00E65BE1" w:rsidRDefault="00E65BE1" w:rsidP="00E65BE1">
            <w:pPr>
              <w:jc w:val="left"/>
              <w:rPr>
                <w:i/>
              </w:rPr>
            </w:pPr>
            <w:r w:rsidRPr="00E65BE1">
              <w:rPr>
                <w:i/>
              </w:rPr>
              <w:t>DE</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r w:rsidRPr="00E65BE1">
              <w:rPr>
                <w:i/>
              </w:rPr>
              <w:t>Direct and indirect derivation</w:t>
            </w:r>
          </w:p>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34 [35]</w:t>
            </w:r>
          </w:p>
        </w:tc>
        <w:tc>
          <w:tcPr>
            <w:tcW w:w="7155" w:type="dxa"/>
          </w:tcPr>
          <w:p w:rsidR="00E65BE1" w:rsidRPr="00E65BE1" w:rsidRDefault="00E65BE1" w:rsidP="00E65BE1">
            <w:pPr>
              <w:jc w:val="left"/>
              <w:rPr>
                <w:i/>
              </w:rPr>
            </w:pPr>
            <w:r w:rsidRPr="00E65BE1">
              <w:rPr>
                <w:i/>
              </w:rPr>
              <w:t>to improve Figure 2 in order to clarify that ‘Z’ is clearly distinguishable from ’A’ but also clearly distinguishable from ‘B’ to ‘Y’.</w:t>
            </w:r>
          </w:p>
        </w:tc>
        <w:tc>
          <w:tcPr>
            <w:tcW w:w="1523" w:type="dxa"/>
            <w:gridSpan w:val="2"/>
          </w:tcPr>
          <w:p w:rsidR="00E65BE1" w:rsidRPr="00E65BE1" w:rsidRDefault="00E65BE1" w:rsidP="00E65BE1">
            <w:pPr>
              <w:jc w:val="left"/>
              <w:rPr>
                <w:i/>
              </w:rPr>
            </w:pPr>
            <w:r w:rsidRPr="00E65BE1">
              <w:rPr>
                <w:i/>
              </w:rPr>
              <w:t>DE</w:t>
            </w:r>
          </w:p>
        </w:tc>
      </w:tr>
      <w:tr w:rsidR="00E65BE1" w:rsidRPr="00E65BE1" w:rsidTr="00F50020">
        <w:trPr>
          <w:cantSplit/>
        </w:trPr>
        <w:tc>
          <w:tcPr>
            <w:tcW w:w="1305" w:type="dxa"/>
          </w:tcPr>
          <w:p w:rsidR="00E65BE1" w:rsidRPr="00E65BE1" w:rsidRDefault="00E65BE1" w:rsidP="00E65BE1">
            <w:pPr>
              <w:rPr>
                <w:i/>
              </w:rPr>
            </w:pPr>
            <w:r w:rsidRPr="00E65BE1">
              <w:rPr>
                <w:i/>
              </w:rPr>
              <w:t>Issue 35 [36]</w:t>
            </w:r>
          </w:p>
        </w:tc>
        <w:tc>
          <w:tcPr>
            <w:tcW w:w="7155" w:type="dxa"/>
          </w:tcPr>
          <w:p w:rsidR="00E65BE1" w:rsidRPr="00E65BE1" w:rsidRDefault="00E65BE1" w:rsidP="00E65BE1">
            <w:pPr>
              <w:jc w:val="left"/>
              <w:rPr>
                <w:i/>
              </w:rPr>
            </w:pPr>
            <w:r w:rsidRPr="00E65BE1">
              <w:rPr>
                <w:i/>
              </w:rPr>
              <w:t>to consider the following comment: “While the scheme in Figure 2 is theoretically, and legally, correct, it may be inferred that subsequent derivation lowers the likelihood that EDVs 'further away' from the initial variety A will retain the expression of essential characteristics of "A" and / or conform to "A" in essential characteristics.”</w:t>
            </w:r>
          </w:p>
        </w:tc>
        <w:tc>
          <w:tcPr>
            <w:tcW w:w="1523" w:type="dxa"/>
            <w:gridSpan w:val="2"/>
          </w:tcPr>
          <w:p w:rsidR="00E65BE1" w:rsidRPr="00E65BE1" w:rsidRDefault="00E65BE1" w:rsidP="00E65BE1">
            <w:pPr>
              <w:jc w:val="left"/>
              <w:rPr>
                <w:i/>
              </w:rPr>
            </w:pPr>
            <w:r w:rsidRPr="00E65BE1">
              <w:rPr>
                <w:i/>
              </w:rPr>
              <w:t>SE</w:t>
            </w:r>
          </w:p>
        </w:tc>
      </w:tr>
      <w:tr w:rsidR="00E65BE1" w:rsidRPr="00E65BE1" w:rsidTr="00F50020">
        <w:trPr>
          <w:cantSplit/>
        </w:trPr>
        <w:tc>
          <w:tcPr>
            <w:tcW w:w="1305" w:type="dxa"/>
          </w:tcPr>
          <w:p w:rsidR="00E65BE1" w:rsidRPr="00E65BE1" w:rsidRDefault="00E65BE1" w:rsidP="00E65BE1">
            <w:pPr>
              <w:rPr>
                <w:i/>
              </w:rPr>
            </w:pPr>
            <w:r w:rsidRPr="00E65BE1">
              <w:rPr>
                <w:i/>
              </w:rPr>
              <w:t>Issue 36 [37]</w:t>
            </w:r>
          </w:p>
        </w:tc>
        <w:tc>
          <w:tcPr>
            <w:tcW w:w="7155" w:type="dxa"/>
          </w:tcPr>
          <w:p w:rsidR="00E65BE1" w:rsidRPr="00E65BE1" w:rsidRDefault="00E65BE1" w:rsidP="00E65BE1">
            <w:pPr>
              <w:jc w:val="left"/>
              <w:rPr>
                <w:i/>
              </w:rPr>
            </w:pPr>
            <w:r w:rsidRPr="00E65BE1">
              <w:rPr>
                <w:i/>
              </w:rPr>
              <w:t>to review paragraphs 17, 18 and 19 in order to avoid repetitions</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keepNext/>
              <w:rPr>
                <w:i/>
              </w:rPr>
            </w:pPr>
          </w:p>
        </w:tc>
        <w:tc>
          <w:tcPr>
            <w:tcW w:w="7155" w:type="dxa"/>
          </w:tcPr>
          <w:p w:rsidR="00E65BE1" w:rsidRPr="00E65BE1" w:rsidRDefault="00E65BE1" w:rsidP="00E65BE1">
            <w:pPr>
              <w:keepNext/>
              <w:jc w:val="left"/>
            </w:pPr>
            <w:r w:rsidRPr="00E65BE1">
              <w:t>(c)</w:t>
            </w:r>
            <w:r w:rsidRPr="00E65BE1">
              <w:tab/>
              <w:t>Scope of the breeder’s right with respect to initial varieties and essentially derived varieties</w:t>
            </w:r>
          </w:p>
          <w:p w:rsidR="00E65BE1" w:rsidRPr="00E65BE1" w:rsidRDefault="00E65BE1" w:rsidP="00E65BE1">
            <w:pPr>
              <w:keepNext/>
              <w:jc w:val="left"/>
              <w:rPr>
                <w:i/>
              </w:rPr>
            </w:pPr>
          </w:p>
        </w:tc>
        <w:tc>
          <w:tcPr>
            <w:tcW w:w="1523" w:type="dxa"/>
            <w:gridSpan w:val="2"/>
          </w:tcPr>
          <w:p w:rsidR="00E65BE1" w:rsidRPr="00E65BE1" w:rsidRDefault="00E65BE1" w:rsidP="00E65BE1">
            <w:pPr>
              <w:keepNext/>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37 [38]</w:t>
            </w:r>
          </w:p>
        </w:tc>
        <w:tc>
          <w:tcPr>
            <w:tcW w:w="7155" w:type="dxa"/>
          </w:tcPr>
          <w:p w:rsidR="00E65BE1" w:rsidRPr="00E65BE1" w:rsidRDefault="00E65BE1" w:rsidP="00E65BE1">
            <w:pPr>
              <w:jc w:val="left"/>
              <w:rPr>
                <w:i/>
              </w:rPr>
            </w:pPr>
            <w:r w:rsidRPr="00E65BE1">
              <w:rPr>
                <w:i/>
              </w:rPr>
              <w:t xml:space="preserve">to consider whether the breeder of the initial protected variety should be granted a breeder’ right at the same time as the breeder of the EDV, without any additional examination by the authority and that the grant of the breeder’s right for the EDV shall not depend on additional conditions except for the designation of a denomination for the EDV and compliance with the formalities and payment of required fees.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38 [39]</w:t>
            </w:r>
          </w:p>
        </w:tc>
        <w:tc>
          <w:tcPr>
            <w:tcW w:w="7155" w:type="dxa"/>
          </w:tcPr>
          <w:p w:rsidR="00E65BE1" w:rsidRPr="00E65BE1" w:rsidRDefault="00E65BE1" w:rsidP="00E65BE1">
            <w:pPr>
              <w:jc w:val="left"/>
              <w:rPr>
                <w:i/>
              </w:rPr>
            </w:pPr>
            <w:r w:rsidRPr="00E65BE1">
              <w:rPr>
                <w:i/>
              </w:rPr>
              <w:t>to consider whether information about the origin of the variety be specified in the application form and not be considered a commercial secret</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39 [40]</w:t>
            </w:r>
          </w:p>
        </w:tc>
        <w:tc>
          <w:tcPr>
            <w:tcW w:w="7155" w:type="dxa"/>
          </w:tcPr>
          <w:p w:rsidR="00E65BE1" w:rsidRPr="00E65BE1" w:rsidRDefault="00E65BE1" w:rsidP="00E65BE1">
            <w:pPr>
              <w:numPr>
                <w:ilvl w:val="0"/>
                <w:numId w:val="16"/>
              </w:numPr>
              <w:contextualSpacing/>
              <w:jc w:val="left"/>
              <w:rPr>
                <w:i/>
              </w:rPr>
            </w:pPr>
            <w:r w:rsidRPr="00E65BE1">
              <w:rPr>
                <w:i/>
              </w:rPr>
              <w:t xml:space="preserve">to consider whether application forms should be amended to disclose from which variety a variety was derived, what the act of derivation was, what are the essential characteristics of the initial protected variety and what are the essential characteristics of the derived variety. </w:t>
            </w:r>
          </w:p>
          <w:p w:rsidR="00E65BE1" w:rsidRPr="00E65BE1" w:rsidRDefault="00E65BE1" w:rsidP="00E65BE1">
            <w:pPr>
              <w:jc w:val="left"/>
              <w:rPr>
                <w:i/>
              </w:rPr>
            </w:pPr>
          </w:p>
          <w:p w:rsidR="00E65BE1" w:rsidRPr="00E65BE1" w:rsidRDefault="00E65BE1" w:rsidP="00E65BE1">
            <w:pPr>
              <w:numPr>
                <w:ilvl w:val="0"/>
                <w:numId w:val="16"/>
              </w:numPr>
              <w:contextualSpacing/>
              <w:jc w:val="left"/>
              <w:rPr>
                <w:i/>
              </w:rPr>
            </w:pPr>
            <w:r w:rsidRPr="00E65BE1">
              <w:rPr>
                <w:i/>
              </w:rPr>
              <w:t>to consider if the above proposal for the amendment of the application form could provide the basis for the breeder of the protected initial variety to  oppose  to the application on the basis that the applicant has failed to admit or agree that the variety is an essentially derived variety,</w:t>
            </w:r>
          </w:p>
          <w:p w:rsidR="00E65BE1" w:rsidRPr="00E65BE1" w:rsidRDefault="00E65BE1" w:rsidP="00E65BE1">
            <w:pPr>
              <w:jc w:val="left"/>
              <w:rPr>
                <w:i/>
              </w:rPr>
            </w:pPr>
          </w:p>
          <w:p w:rsidR="00E65BE1" w:rsidRPr="00E65BE1" w:rsidRDefault="00E65BE1" w:rsidP="00E65BE1">
            <w:pPr>
              <w:numPr>
                <w:ilvl w:val="0"/>
                <w:numId w:val="16"/>
              </w:numPr>
              <w:contextualSpacing/>
              <w:jc w:val="left"/>
              <w:rPr>
                <w:i/>
              </w:rPr>
            </w:pPr>
            <w:r w:rsidRPr="00E65BE1">
              <w:rPr>
                <w:i/>
              </w:rPr>
              <w:t>to consider if the above opposition procedure could provide the basis for the candidate variety be deemed to be essentially derived pending the final determination by the PBR Authority to the contrary.</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CB47C4" w:rsidRDefault="00E65BE1" w:rsidP="00E65BE1">
            <w:pPr>
              <w:rPr>
                <w:i/>
              </w:rPr>
            </w:pPr>
            <w:r w:rsidRPr="00CB47C4">
              <w:rPr>
                <w:i/>
              </w:rPr>
              <w:lastRenderedPageBreak/>
              <w:t xml:space="preserve">Issue 40 </w:t>
            </w:r>
          </w:p>
        </w:tc>
        <w:tc>
          <w:tcPr>
            <w:tcW w:w="7155" w:type="dxa"/>
          </w:tcPr>
          <w:p w:rsidR="00E65BE1" w:rsidRPr="00CB47C4" w:rsidRDefault="00E65BE1" w:rsidP="00E65BE1">
            <w:pPr>
              <w:contextualSpacing/>
              <w:jc w:val="left"/>
              <w:rPr>
                <w:i/>
              </w:rPr>
            </w:pPr>
            <w:r w:rsidRPr="00CB47C4">
              <w:rPr>
                <w:i/>
              </w:rPr>
              <w:t xml:space="preserve">to consider that it would not be appropriate  to discuss any requirement for variety origination disclosure requirements to be included in the Explanatory Note on EDV. </w:t>
            </w:r>
          </w:p>
        </w:tc>
        <w:tc>
          <w:tcPr>
            <w:tcW w:w="1523" w:type="dxa"/>
            <w:gridSpan w:val="2"/>
          </w:tcPr>
          <w:p w:rsidR="00E65BE1" w:rsidRPr="00CB47C4" w:rsidRDefault="00E65BE1" w:rsidP="00E65BE1">
            <w:pPr>
              <w:jc w:val="left"/>
              <w:rPr>
                <w:i/>
              </w:rPr>
            </w:pPr>
            <w:r w:rsidRPr="00CB47C4">
              <w:rPr>
                <w:i/>
              </w:rPr>
              <w:t>US</w:t>
            </w:r>
          </w:p>
        </w:tc>
      </w:tr>
      <w:tr w:rsidR="00E65BE1" w:rsidRPr="00E65BE1" w:rsidTr="00F50020">
        <w:trPr>
          <w:cantSplit/>
        </w:trPr>
        <w:tc>
          <w:tcPr>
            <w:tcW w:w="1305" w:type="dxa"/>
          </w:tcPr>
          <w:p w:rsidR="00E65BE1" w:rsidRPr="00CB47C4" w:rsidRDefault="00E65BE1" w:rsidP="00E65BE1">
            <w:pPr>
              <w:rPr>
                <w:i/>
              </w:rPr>
            </w:pPr>
            <w:r w:rsidRPr="00CB47C4">
              <w:rPr>
                <w:i/>
              </w:rPr>
              <w:t>Issue 41</w:t>
            </w:r>
          </w:p>
        </w:tc>
        <w:tc>
          <w:tcPr>
            <w:tcW w:w="7155" w:type="dxa"/>
          </w:tcPr>
          <w:p w:rsidR="00E65BE1" w:rsidRPr="00CB47C4" w:rsidRDefault="00E65BE1" w:rsidP="00E65BE1">
            <w:pPr>
              <w:contextualSpacing/>
              <w:jc w:val="left"/>
              <w:rPr>
                <w:i/>
              </w:rPr>
            </w:pPr>
            <w:r w:rsidRPr="00CB47C4">
              <w:rPr>
                <w:i/>
              </w:rPr>
              <w:t>to consider that it would not be appropriate  to (a)</w:t>
            </w:r>
            <w:r w:rsidRPr="00CB47C4">
              <w:rPr>
                <w:i/>
              </w:rPr>
              <w:tab/>
              <w:t>mandate examination practices at national or regional plant variety protection offices</w:t>
            </w:r>
          </w:p>
          <w:p w:rsidR="00E65BE1" w:rsidRPr="00CB47C4" w:rsidRDefault="00E65BE1" w:rsidP="00E65BE1">
            <w:pPr>
              <w:contextualSpacing/>
              <w:jc w:val="left"/>
              <w:rPr>
                <w:i/>
              </w:rPr>
            </w:pPr>
            <w:r w:rsidRPr="00CB47C4">
              <w:rPr>
                <w:i/>
              </w:rPr>
              <w:t>and (b)</w:t>
            </w:r>
            <w:r w:rsidRPr="00CB47C4">
              <w:rPr>
                <w:i/>
              </w:rPr>
              <w:tab/>
              <w:t xml:space="preserve"> for the working group to craft application forms or processes requiring certain information </w:t>
            </w:r>
          </w:p>
        </w:tc>
        <w:tc>
          <w:tcPr>
            <w:tcW w:w="1523" w:type="dxa"/>
            <w:gridSpan w:val="2"/>
          </w:tcPr>
          <w:p w:rsidR="00E65BE1" w:rsidRPr="00CB47C4" w:rsidRDefault="00E65BE1" w:rsidP="00E65BE1">
            <w:pPr>
              <w:jc w:val="left"/>
              <w:rPr>
                <w:i/>
              </w:rPr>
            </w:pPr>
            <w:r w:rsidRPr="00CB47C4">
              <w:rPr>
                <w:i/>
              </w:rPr>
              <w:t>US</w:t>
            </w:r>
          </w:p>
        </w:tc>
      </w:tr>
      <w:tr w:rsidR="00E65BE1" w:rsidRPr="00E65BE1" w:rsidTr="00F50020">
        <w:trPr>
          <w:cantSplit/>
        </w:trPr>
        <w:tc>
          <w:tcPr>
            <w:tcW w:w="1305" w:type="dxa"/>
          </w:tcPr>
          <w:p w:rsidR="00E65BE1" w:rsidRPr="00E65BE1" w:rsidRDefault="00E65BE1" w:rsidP="00E65BE1">
            <w:pPr>
              <w:rPr>
                <w:i/>
              </w:rPr>
            </w:pPr>
            <w:r w:rsidRPr="00E65BE1">
              <w:rPr>
                <w:i/>
              </w:rPr>
              <w:t>Issue 42 [41]</w:t>
            </w:r>
          </w:p>
        </w:tc>
        <w:tc>
          <w:tcPr>
            <w:tcW w:w="7155" w:type="dxa"/>
          </w:tcPr>
          <w:p w:rsidR="00E65BE1" w:rsidRPr="00E65BE1" w:rsidRDefault="00E65BE1" w:rsidP="00E65BE1">
            <w:pPr>
              <w:jc w:val="left"/>
              <w:rPr>
                <w:i/>
              </w:rPr>
            </w:pPr>
            <w:r w:rsidRPr="00E65BE1">
              <w:rPr>
                <w:i/>
              </w:rPr>
              <w:t xml:space="preserve">to consider whether UPOV and UPOV members should develop regulations for the legal registration of the right of the breeder of the initial protected variety in relation to the EDV and options for the operation of this right (see proposal in item 28).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43 [42]</w:t>
            </w:r>
          </w:p>
        </w:tc>
        <w:tc>
          <w:tcPr>
            <w:tcW w:w="7155" w:type="dxa"/>
          </w:tcPr>
          <w:p w:rsidR="00E65BE1" w:rsidRPr="00E65BE1" w:rsidRDefault="00E65BE1" w:rsidP="00E65BE1">
            <w:pPr>
              <w:jc w:val="left"/>
              <w:rPr>
                <w:i/>
              </w:rPr>
            </w:pPr>
            <w:r w:rsidRPr="00E65BE1">
              <w:rPr>
                <w:i/>
              </w:rPr>
              <w:t>to consider adding, after Figure 4, that the breeder of the protected derived variety may obtain an authorization for commercialization of the EDV in the form of an exclusive license from the breeder of initial protected variety</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CB47C4" w:rsidRDefault="00E65BE1" w:rsidP="00E65BE1">
            <w:pPr>
              <w:rPr>
                <w:i/>
              </w:rPr>
            </w:pPr>
            <w:r w:rsidRPr="00CB47C4">
              <w:rPr>
                <w:i/>
              </w:rPr>
              <w:t>Issue 44</w:t>
            </w:r>
          </w:p>
        </w:tc>
        <w:tc>
          <w:tcPr>
            <w:tcW w:w="7155" w:type="dxa"/>
          </w:tcPr>
          <w:p w:rsidR="00E65BE1" w:rsidRPr="00CB47C4" w:rsidRDefault="00E65BE1" w:rsidP="00E65BE1">
            <w:pPr>
              <w:jc w:val="left"/>
              <w:rPr>
                <w:i/>
              </w:rPr>
            </w:pPr>
            <w:r w:rsidRPr="00CB47C4">
              <w:rPr>
                <w:i/>
              </w:rPr>
              <w:t xml:space="preserve">to consider inclusion of guidance on the variety denomination for an unprotected EDV that an EDV must not have the same variety denomination as its Initial Variety. </w:t>
            </w:r>
          </w:p>
        </w:tc>
        <w:tc>
          <w:tcPr>
            <w:tcW w:w="1523" w:type="dxa"/>
            <w:gridSpan w:val="2"/>
          </w:tcPr>
          <w:p w:rsidR="00E65BE1" w:rsidRPr="00CB47C4" w:rsidRDefault="00E65BE1" w:rsidP="00E65BE1">
            <w:pPr>
              <w:jc w:val="left"/>
              <w:rPr>
                <w:i/>
              </w:rPr>
            </w:pPr>
            <w:r w:rsidRPr="00CB47C4">
              <w:rPr>
                <w:i/>
              </w:rPr>
              <w:t>Joint contribution by breeders</w:t>
            </w:r>
          </w:p>
          <w:p w:rsidR="00E65BE1" w:rsidRPr="00CB47C4" w:rsidRDefault="00E65BE1" w:rsidP="00E65BE1">
            <w:pPr>
              <w:jc w:val="left"/>
              <w:rPr>
                <w:i/>
              </w:rPr>
            </w:pPr>
          </w:p>
        </w:tc>
      </w:tr>
      <w:tr w:rsidR="00E65BE1" w:rsidRPr="00E65BE1" w:rsidTr="00F50020">
        <w:trPr>
          <w:cantSplit/>
        </w:trPr>
        <w:tc>
          <w:tcPr>
            <w:tcW w:w="1305" w:type="dxa"/>
          </w:tcPr>
          <w:p w:rsidR="00E65BE1" w:rsidRPr="00CB47C4" w:rsidRDefault="00E65BE1" w:rsidP="00E65BE1">
            <w:pPr>
              <w:rPr>
                <w:i/>
              </w:rPr>
            </w:pPr>
            <w:r w:rsidRPr="00CB47C4">
              <w:rPr>
                <w:i/>
              </w:rPr>
              <w:t>Issue 45</w:t>
            </w:r>
          </w:p>
        </w:tc>
        <w:tc>
          <w:tcPr>
            <w:tcW w:w="7155" w:type="dxa"/>
          </w:tcPr>
          <w:p w:rsidR="00E65BE1" w:rsidRPr="00CB47C4" w:rsidRDefault="00E65BE1" w:rsidP="00E65BE1">
            <w:pPr>
              <w:jc w:val="left"/>
              <w:rPr>
                <w:i/>
              </w:rPr>
            </w:pPr>
            <w:r w:rsidRPr="00CB47C4">
              <w:rPr>
                <w:i/>
              </w:rPr>
              <w:t>to consider if the PVP authority might be requested to confirm that an EDV is distinct from the initial variety.</w:t>
            </w:r>
          </w:p>
        </w:tc>
        <w:tc>
          <w:tcPr>
            <w:tcW w:w="1523" w:type="dxa"/>
            <w:gridSpan w:val="2"/>
          </w:tcPr>
          <w:p w:rsidR="00E65BE1" w:rsidRPr="00CB47C4" w:rsidRDefault="00E65BE1" w:rsidP="00E65BE1">
            <w:pPr>
              <w:jc w:val="left"/>
              <w:rPr>
                <w:i/>
              </w:rPr>
            </w:pPr>
            <w:r w:rsidRPr="00CB47C4">
              <w:rPr>
                <w:i/>
              </w:rPr>
              <w:t>Joint contribution by breeders</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 xml:space="preserve">(d) </w:t>
            </w:r>
            <w:r w:rsidRPr="00E65BE1">
              <w:tab/>
              <w:t>Territoriality of protection of initial varieties and essentially derived varieties</w:t>
            </w:r>
          </w:p>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46 [43]</w:t>
            </w:r>
          </w:p>
        </w:tc>
        <w:tc>
          <w:tcPr>
            <w:tcW w:w="7155" w:type="dxa"/>
          </w:tcPr>
          <w:p w:rsidR="00E65BE1" w:rsidRPr="00E65BE1" w:rsidRDefault="00E65BE1" w:rsidP="00E65BE1">
            <w:pPr>
              <w:jc w:val="left"/>
              <w:rPr>
                <w:i/>
              </w:rPr>
            </w:pPr>
            <w:r w:rsidRPr="00E65BE1">
              <w:rPr>
                <w:i/>
              </w:rPr>
              <w:t>to consider, in paragraph [24], replacing the terms “in the territory concerned" by “...in the same territory", to clarify that the territory to which the breeder's right of the initial variety applies should be the same for the initial variety and the EDV.</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47 [44]</w:t>
            </w:r>
          </w:p>
        </w:tc>
        <w:tc>
          <w:tcPr>
            <w:tcW w:w="7155" w:type="dxa"/>
          </w:tcPr>
          <w:p w:rsidR="00E65BE1" w:rsidRPr="00E65BE1" w:rsidRDefault="00E65BE1" w:rsidP="00E65BE1">
            <w:pPr>
              <w:jc w:val="left"/>
              <w:rPr>
                <w:i/>
              </w:rPr>
            </w:pPr>
            <w:r w:rsidRPr="00E65BE1">
              <w:rPr>
                <w:i/>
              </w:rPr>
              <w:t>to consider adding, at the end of paragraph [24], the following “In case of discrepancy between initial and the derived varieties’ protection territories the breeder’s right for the initial variety is extended to imported material of derived variety in the protection territory of the initial variety”.</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keepNext/>
              <w:rPr>
                <w:i/>
              </w:rPr>
            </w:pPr>
          </w:p>
        </w:tc>
        <w:tc>
          <w:tcPr>
            <w:tcW w:w="7155" w:type="dxa"/>
          </w:tcPr>
          <w:p w:rsidR="00E65BE1" w:rsidRPr="00E65BE1" w:rsidRDefault="00E65BE1" w:rsidP="00E65BE1">
            <w:pPr>
              <w:keepNext/>
              <w:jc w:val="left"/>
            </w:pPr>
            <w:r w:rsidRPr="00E65BE1">
              <w:t>(e)</w:t>
            </w:r>
            <w:r w:rsidRPr="00E65BE1">
              <w:tab/>
              <w:t>Transition from an earlier Act to the 1991 Act of the UPOV Convention</w:t>
            </w:r>
          </w:p>
          <w:p w:rsidR="00E65BE1" w:rsidRPr="00E65BE1" w:rsidRDefault="00E65BE1" w:rsidP="00E65BE1">
            <w:pPr>
              <w:keepNext/>
              <w:jc w:val="left"/>
            </w:pPr>
          </w:p>
        </w:tc>
        <w:tc>
          <w:tcPr>
            <w:tcW w:w="1523" w:type="dxa"/>
            <w:gridSpan w:val="2"/>
          </w:tcPr>
          <w:p w:rsidR="00E65BE1" w:rsidRPr="00E65BE1" w:rsidRDefault="00E65BE1" w:rsidP="00E65BE1">
            <w:pPr>
              <w:keepNext/>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48 [45]</w:t>
            </w:r>
          </w:p>
        </w:tc>
        <w:tc>
          <w:tcPr>
            <w:tcW w:w="7155" w:type="dxa"/>
          </w:tcPr>
          <w:p w:rsidR="00E65BE1" w:rsidRPr="00E65BE1" w:rsidRDefault="00E65BE1" w:rsidP="00E65BE1">
            <w:pPr>
              <w:jc w:val="left"/>
              <w:rPr>
                <w:i/>
              </w:rPr>
            </w:pPr>
            <w:r w:rsidRPr="00E65BE1">
              <w:rPr>
                <w:i/>
              </w:rPr>
              <w:t xml:space="preserve">to consider whether paragraph [25], should be amended as follows: </w:t>
            </w:r>
          </w:p>
          <w:p w:rsidR="00E65BE1" w:rsidRPr="00E65BE1" w:rsidRDefault="00E65BE1" w:rsidP="00E65BE1">
            <w:pPr>
              <w:jc w:val="left"/>
              <w:rPr>
                <w:i/>
              </w:rPr>
            </w:pPr>
          </w:p>
          <w:p w:rsidR="00E65BE1" w:rsidRPr="00E65BE1" w:rsidRDefault="00E65BE1" w:rsidP="00E65BE1">
            <w:pPr>
              <w:jc w:val="left"/>
              <w:rPr>
                <w:i/>
              </w:rPr>
            </w:pPr>
            <w:r w:rsidRPr="00E65BE1">
              <w:rPr>
                <w:i/>
              </w:rPr>
              <w:t xml:space="preserve">“Members of the Union which amend their legislation in line with the 1991 Act of the UPOV Convention should cover the extension of the provisions of Article 14(5) to the generally known varieties”  </w:t>
            </w:r>
          </w:p>
          <w:p w:rsidR="00E65BE1" w:rsidRPr="00E65BE1" w:rsidRDefault="00E65BE1" w:rsidP="00E65BE1">
            <w:pPr>
              <w:jc w:val="left"/>
              <w:rPr>
                <w:i/>
              </w:rPr>
            </w:pPr>
          </w:p>
          <w:p w:rsidR="00E65BE1" w:rsidRPr="00E65BE1" w:rsidRDefault="00E65BE1" w:rsidP="00E65BE1">
            <w:pPr>
              <w:jc w:val="left"/>
              <w:rPr>
                <w:i/>
              </w:rPr>
            </w:pPr>
            <w:r w:rsidRPr="00E65BE1">
              <w:rPr>
                <w:i/>
              </w:rPr>
              <w:t>for members of the Union bound by  the 1991 Act to apply provisions of Article 14(5) to all protected varieties regardless of the date of grant.</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49 [46]</w:t>
            </w:r>
          </w:p>
        </w:tc>
        <w:tc>
          <w:tcPr>
            <w:tcW w:w="7155" w:type="dxa"/>
          </w:tcPr>
          <w:p w:rsidR="00E65BE1" w:rsidRPr="00E65BE1" w:rsidRDefault="00E65BE1" w:rsidP="00E65BE1">
            <w:pPr>
              <w:jc w:val="left"/>
              <w:rPr>
                <w:highlight w:val="yellow"/>
              </w:rPr>
            </w:pPr>
            <w:r w:rsidRPr="00E65BE1">
              <w:rPr>
                <w:i/>
              </w:rPr>
              <w:t xml:space="preserve">to consider removing paragraph </w:t>
            </w:r>
            <w:r w:rsidRPr="00E65BE1">
              <w:t xml:space="preserve">[26] </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rPr>
                <w:i/>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7155" w:type="dxa"/>
          </w:tcPr>
          <w:p w:rsidR="00E65BE1" w:rsidRPr="00E65BE1" w:rsidRDefault="00E65BE1" w:rsidP="00E65BE1">
            <w:pPr>
              <w:jc w:val="left"/>
            </w:pPr>
            <w:r w:rsidRPr="00E65BE1">
              <w:t>SECTION II:  ASSESSMENT OF ESSENTIALLY DERIVED VARIETIES</w:t>
            </w:r>
          </w:p>
          <w:p w:rsidR="00E65BE1" w:rsidRPr="00E65BE1" w:rsidRDefault="00E65BE1" w:rsidP="00E65BE1">
            <w:pPr>
              <w:jc w:val="left"/>
              <w:rPr>
                <w:highlight w:val="yellow"/>
              </w:rPr>
            </w:pPr>
          </w:p>
        </w:tc>
        <w:tc>
          <w:tcPr>
            <w:tcW w:w="1523" w:type="dxa"/>
            <w:gridSpan w:val="2"/>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Issue 50 [47]</w:t>
            </w:r>
          </w:p>
        </w:tc>
        <w:tc>
          <w:tcPr>
            <w:tcW w:w="7155" w:type="dxa"/>
          </w:tcPr>
          <w:p w:rsidR="00E65BE1" w:rsidRPr="00E65BE1" w:rsidRDefault="00E65BE1" w:rsidP="00E65BE1">
            <w:pPr>
              <w:jc w:val="left"/>
              <w:rPr>
                <w:i/>
              </w:rPr>
            </w:pPr>
            <w:r w:rsidRPr="00E65BE1">
              <w:rPr>
                <w:i/>
              </w:rPr>
              <w:t>to consider whether predominant derivation from an initial variety, confirmed by a high genotypic conformity, could be a key requirement for determining EDV.</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51 [48]</w:t>
            </w:r>
          </w:p>
        </w:tc>
        <w:tc>
          <w:tcPr>
            <w:tcW w:w="7155" w:type="dxa"/>
          </w:tcPr>
          <w:p w:rsidR="00E65BE1" w:rsidRPr="00E65BE1" w:rsidRDefault="00E65BE1" w:rsidP="00E65BE1">
            <w:pPr>
              <w:jc w:val="left"/>
              <w:rPr>
                <w:rFonts w:cs="Arial"/>
                <w:i/>
              </w:rPr>
            </w:pPr>
            <w:r w:rsidRPr="00E65BE1">
              <w:rPr>
                <w:rFonts w:cs="Arial"/>
                <w:i/>
              </w:rPr>
              <w:t>to explore the role of DNA analysis for determining, with genetic thresholds, the requirement of “predominantly derived”.</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52 [49]</w:t>
            </w:r>
          </w:p>
        </w:tc>
        <w:tc>
          <w:tcPr>
            <w:tcW w:w="7155" w:type="dxa"/>
          </w:tcPr>
          <w:p w:rsidR="00E65BE1" w:rsidRPr="00E65BE1" w:rsidRDefault="00E65BE1" w:rsidP="00E65BE1">
            <w:pPr>
              <w:jc w:val="left"/>
              <w:rPr>
                <w:rFonts w:cs="Arial"/>
                <w:i/>
              </w:rPr>
            </w:pPr>
            <w:r w:rsidRPr="00E65BE1">
              <w:rPr>
                <w:rFonts w:cs="Arial"/>
                <w:i/>
              </w:rPr>
              <w:t>to consider if for conformity, both genotype and phenotype should be considered; and to explore if a judge could have access to the breeding book and information on phenotypical similarities in order to decide if a variety is an EDV.</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Issue 53 [50]</w:t>
            </w:r>
          </w:p>
        </w:tc>
        <w:tc>
          <w:tcPr>
            <w:tcW w:w="7155" w:type="dxa"/>
          </w:tcPr>
          <w:p w:rsidR="00E65BE1" w:rsidRPr="00E65BE1" w:rsidRDefault="00E65BE1" w:rsidP="00E65BE1">
            <w:pPr>
              <w:jc w:val="left"/>
              <w:rPr>
                <w:rFonts w:cs="Arial"/>
                <w:i/>
              </w:rPr>
            </w:pPr>
            <w:r w:rsidRPr="00E65BE1">
              <w:rPr>
                <w:rFonts w:cs="Arial"/>
                <w:i/>
              </w:rPr>
              <w:t>to consider reintroducing in the guidance the concept in document UPOV/EXN/EDV/1, paragraph 15, that the determination of whether a variety is an EDV should:</w:t>
            </w:r>
          </w:p>
          <w:p w:rsidR="00E65BE1" w:rsidRPr="00E65BE1" w:rsidRDefault="00E65BE1" w:rsidP="00E65BE1">
            <w:pPr>
              <w:jc w:val="left"/>
              <w:rPr>
                <w:rFonts w:cs="Arial"/>
                <w:i/>
              </w:rPr>
            </w:pPr>
          </w:p>
          <w:p w:rsidR="00E65BE1" w:rsidRPr="00E65BE1" w:rsidRDefault="00E65BE1" w:rsidP="00E65BE1">
            <w:pPr>
              <w:numPr>
                <w:ilvl w:val="0"/>
                <w:numId w:val="17"/>
              </w:numPr>
              <w:contextualSpacing/>
              <w:jc w:val="left"/>
              <w:rPr>
                <w:i/>
              </w:rPr>
            </w:pPr>
            <w:r w:rsidRPr="00E65BE1">
              <w:rPr>
                <w:rFonts w:cs="Arial"/>
                <w:i/>
              </w:rPr>
              <w:t xml:space="preserve"> be made by the industry and at the end through an arbitration process or by courts; </w:t>
            </w:r>
          </w:p>
          <w:p w:rsidR="00E65BE1" w:rsidRPr="00E65BE1" w:rsidRDefault="00E65BE1" w:rsidP="00E65BE1">
            <w:pPr>
              <w:ind w:left="720"/>
              <w:contextualSpacing/>
              <w:jc w:val="left"/>
              <w:rPr>
                <w:i/>
              </w:rPr>
            </w:pPr>
          </w:p>
          <w:p w:rsidR="00E65BE1" w:rsidRPr="00E65BE1" w:rsidRDefault="00E65BE1" w:rsidP="00E65BE1">
            <w:pPr>
              <w:numPr>
                <w:ilvl w:val="0"/>
                <w:numId w:val="17"/>
              </w:numPr>
              <w:contextualSpacing/>
              <w:jc w:val="left"/>
              <w:rPr>
                <w:i/>
              </w:rPr>
            </w:pPr>
            <w:r w:rsidRPr="00E65BE1">
              <w:rPr>
                <w:rFonts w:cs="Arial"/>
                <w:i/>
              </w:rPr>
              <w:t xml:space="preserve">the granting authorities not to play the dispute resolving role; </w:t>
            </w:r>
          </w:p>
          <w:p w:rsidR="00E65BE1" w:rsidRPr="00E65BE1" w:rsidRDefault="00E65BE1" w:rsidP="00E65BE1">
            <w:pPr>
              <w:jc w:val="left"/>
              <w:rPr>
                <w:i/>
              </w:rPr>
            </w:pPr>
          </w:p>
          <w:p w:rsidR="00E65BE1" w:rsidRPr="00E65BE1" w:rsidRDefault="00E65BE1" w:rsidP="00E65BE1">
            <w:pPr>
              <w:numPr>
                <w:ilvl w:val="0"/>
                <w:numId w:val="17"/>
              </w:numPr>
              <w:contextualSpacing/>
              <w:jc w:val="left"/>
              <w:rPr>
                <w:i/>
              </w:rPr>
            </w:pPr>
            <w:r w:rsidRPr="00E65BE1">
              <w:rPr>
                <w:rFonts w:cs="Arial"/>
                <w:i/>
              </w:rPr>
              <w:t>it is up to the holder of a breeder’s right to defend its right;</w:t>
            </w:r>
          </w:p>
          <w:p w:rsidR="00E65BE1" w:rsidRPr="00E65BE1" w:rsidRDefault="00E65BE1" w:rsidP="00E65BE1">
            <w:pPr>
              <w:jc w:val="left"/>
              <w:rPr>
                <w:i/>
              </w:rPr>
            </w:pPr>
          </w:p>
          <w:p w:rsidR="00E65BE1" w:rsidRPr="00E65BE1" w:rsidRDefault="00E65BE1" w:rsidP="00E65BE1">
            <w:pPr>
              <w:numPr>
                <w:ilvl w:val="0"/>
                <w:numId w:val="17"/>
              </w:numPr>
              <w:contextualSpacing/>
              <w:jc w:val="left"/>
              <w:rPr>
                <w:i/>
              </w:rPr>
            </w:pPr>
            <w:r w:rsidRPr="00E65BE1">
              <w:rPr>
                <w:rFonts w:cs="Arial"/>
                <w:i/>
              </w:rPr>
              <w:t>experts from plant variety examination offices could be called as experts by courts.</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54 [51]</w:t>
            </w:r>
          </w:p>
        </w:tc>
        <w:tc>
          <w:tcPr>
            <w:tcW w:w="7155" w:type="dxa"/>
          </w:tcPr>
          <w:p w:rsidR="00E65BE1" w:rsidRPr="00E65BE1" w:rsidRDefault="00E65BE1" w:rsidP="00E65BE1">
            <w:pPr>
              <w:jc w:val="left"/>
              <w:rPr>
                <w:rFonts w:cs="Arial"/>
                <w:i/>
              </w:rPr>
            </w:pPr>
            <w:r w:rsidRPr="00E65BE1">
              <w:rPr>
                <w:rFonts w:cs="Arial"/>
                <w:i/>
              </w:rPr>
              <w:t>to consider the following on the role of the position papers, for some species, developed by the industry:</w:t>
            </w:r>
          </w:p>
          <w:p w:rsidR="00E65BE1" w:rsidRPr="00E65BE1" w:rsidRDefault="00E65BE1" w:rsidP="00E65BE1">
            <w:pPr>
              <w:jc w:val="left"/>
              <w:rPr>
                <w:rFonts w:cs="Arial"/>
                <w:i/>
              </w:rPr>
            </w:pPr>
          </w:p>
          <w:p w:rsidR="00E65BE1" w:rsidRPr="00E65BE1" w:rsidRDefault="00E65BE1" w:rsidP="00E65BE1">
            <w:pPr>
              <w:numPr>
                <w:ilvl w:val="0"/>
                <w:numId w:val="18"/>
              </w:numPr>
              <w:contextualSpacing/>
              <w:jc w:val="left"/>
              <w:rPr>
                <w:rFonts w:cs="Arial"/>
                <w:i/>
              </w:rPr>
            </w:pPr>
            <w:r w:rsidRPr="00E65BE1">
              <w:rPr>
                <w:rFonts w:cs="Arial"/>
                <w:i/>
              </w:rPr>
              <w:t xml:space="preserve">such papers include thresholds on genetic similarities which could trigger the change of the burden of proof as to whether a variety is predominantly derived; </w:t>
            </w:r>
          </w:p>
          <w:p w:rsidR="00E65BE1" w:rsidRPr="00E65BE1" w:rsidRDefault="00E65BE1" w:rsidP="00E65BE1">
            <w:pPr>
              <w:jc w:val="left"/>
              <w:rPr>
                <w:rFonts w:cs="Arial"/>
                <w:i/>
              </w:rPr>
            </w:pPr>
          </w:p>
          <w:p w:rsidR="00E65BE1" w:rsidRPr="00E65BE1" w:rsidRDefault="00E65BE1" w:rsidP="00E65BE1">
            <w:pPr>
              <w:numPr>
                <w:ilvl w:val="0"/>
                <w:numId w:val="18"/>
              </w:numPr>
              <w:contextualSpacing/>
              <w:jc w:val="left"/>
              <w:rPr>
                <w:rFonts w:cs="Arial"/>
                <w:i/>
              </w:rPr>
            </w:pPr>
            <w:r w:rsidRPr="00E65BE1">
              <w:rPr>
                <w:rFonts w:cs="Arial"/>
                <w:i/>
              </w:rPr>
              <w:t xml:space="preserve">such papers do not include thresholds as regards how many characteristics must be similar/different when assessing if a variety is an EDV; </w:t>
            </w:r>
          </w:p>
          <w:p w:rsidR="00E65BE1" w:rsidRPr="00E65BE1" w:rsidRDefault="00E65BE1" w:rsidP="00E65BE1">
            <w:pPr>
              <w:ind w:left="720"/>
              <w:contextualSpacing/>
              <w:jc w:val="left"/>
              <w:rPr>
                <w:rFonts w:cs="Arial"/>
                <w:i/>
              </w:rPr>
            </w:pPr>
          </w:p>
          <w:p w:rsidR="00E65BE1" w:rsidRPr="00E65BE1" w:rsidRDefault="00E65BE1" w:rsidP="00E65BE1">
            <w:pPr>
              <w:numPr>
                <w:ilvl w:val="0"/>
                <w:numId w:val="18"/>
              </w:numPr>
              <w:contextualSpacing/>
              <w:jc w:val="left"/>
              <w:rPr>
                <w:rFonts w:cs="Arial"/>
                <w:i/>
              </w:rPr>
            </w:pPr>
            <w:r w:rsidRPr="00E65BE1">
              <w:rPr>
                <w:rFonts w:cs="Arial"/>
                <w:i/>
              </w:rPr>
              <w:t>a court is not bound by such papers but may take into account implementation practice when assessing a given case.</w:t>
            </w:r>
          </w:p>
        </w:tc>
        <w:tc>
          <w:tcPr>
            <w:tcW w:w="1523" w:type="dxa"/>
            <w:gridSpan w:val="2"/>
          </w:tcPr>
          <w:p w:rsidR="00E65BE1" w:rsidRPr="00E65BE1" w:rsidRDefault="00E65BE1" w:rsidP="00E65BE1">
            <w:pPr>
              <w:jc w:val="left"/>
              <w:rPr>
                <w:i/>
              </w:rPr>
            </w:pPr>
            <w:r w:rsidRPr="00E65BE1">
              <w:rPr>
                <w:i/>
              </w:rPr>
              <w:t>EU</w:t>
            </w:r>
          </w:p>
        </w:tc>
      </w:tr>
      <w:tr w:rsidR="00E65BE1" w:rsidRPr="00E65BE1" w:rsidTr="00F50020">
        <w:trPr>
          <w:cantSplit/>
        </w:trPr>
        <w:tc>
          <w:tcPr>
            <w:tcW w:w="1305" w:type="dxa"/>
          </w:tcPr>
          <w:p w:rsidR="00E65BE1" w:rsidRPr="00E65BE1" w:rsidRDefault="00E65BE1" w:rsidP="00E65BE1">
            <w:pPr>
              <w:rPr>
                <w:i/>
              </w:rPr>
            </w:pPr>
            <w:r w:rsidRPr="00E65BE1">
              <w:rPr>
                <w:i/>
              </w:rPr>
              <w:t>Issue 55 [52]</w:t>
            </w:r>
          </w:p>
        </w:tc>
        <w:tc>
          <w:tcPr>
            <w:tcW w:w="7155" w:type="dxa"/>
          </w:tcPr>
          <w:p w:rsidR="00E65BE1" w:rsidRPr="00E65BE1" w:rsidRDefault="00E65BE1" w:rsidP="00E65BE1">
            <w:pPr>
              <w:jc w:val="left"/>
              <w:rPr>
                <w:rFonts w:cs="Arial"/>
                <w:i/>
              </w:rPr>
            </w:pPr>
            <w:r w:rsidRPr="00E65BE1">
              <w:rPr>
                <w:rFonts w:cs="Arial"/>
                <w:i/>
              </w:rPr>
              <w:t>to explore the need for a clearer explanation and criteria to identify a variety could be an EDV to avoid unnecessary law case.</w:t>
            </w:r>
          </w:p>
        </w:tc>
        <w:tc>
          <w:tcPr>
            <w:tcW w:w="1523" w:type="dxa"/>
            <w:gridSpan w:val="2"/>
          </w:tcPr>
          <w:p w:rsidR="00E65BE1" w:rsidRPr="00E65BE1" w:rsidRDefault="00E65BE1" w:rsidP="00E65BE1">
            <w:pPr>
              <w:jc w:val="left"/>
              <w:rPr>
                <w:i/>
              </w:rPr>
            </w:pPr>
            <w:r w:rsidRPr="00E65BE1">
              <w:rPr>
                <w:i/>
              </w:rPr>
              <w:t>JP</w:t>
            </w:r>
          </w:p>
        </w:tc>
      </w:tr>
      <w:tr w:rsidR="00E65BE1" w:rsidRPr="00E65BE1" w:rsidTr="00F50020">
        <w:trPr>
          <w:cantSplit/>
        </w:trPr>
        <w:tc>
          <w:tcPr>
            <w:tcW w:w="1305" w:type="dxa"/>
          </w:tcPr>
          <w:p w:rsidR="00E65BE1" w:rsidRPr="00E65BE1" w:rsidRDefault="00E65BE1" w:rsidP="00E65BE1">
            <w:pPr>
              <w:rPr>
                <w:i/>
              </w:rPr>
            </w:pPr>
            <w:r w:rsidRPr="00E65BE1">
              <w:rPr>
                <w:i/>
              </w:rPr>
              <w:t>Issue 56 [53]</w:t>
            </w:r>
          </w:p>
        </w:tc>
        <w:tc>
          <w:tcPr>
            <w:tcW w:w="7155" w:type="dxa"/>
          </w:tcPr>
          <w:p w:rsidR="00E65BE1" w:rsidRPr="00E65BE1" w:rsidRDefault="00E65BE1" w:rsidP="00E65BE1">
            <w:pPr>
              <w:jc w:val="left"/>
              <w:rPr>
                <w:rFonts w:cs="Arial"/>
                <w:i/>
              </w:rPr>
            </w:pPr>
            <w:r w:rsidRPr="00E65BE1">
              <w:rPr>
                <w:rFonts w:cs="Arial"/>
                <w:i/>
              </w:rPr>
              <w:t>to consider whether:</w:t>
            </w:r>
          </w:p>
          <w:p w:rsidR="00E65BE1" w:rsidRPr="00E65BE1" w:rsidRDefault="00E65BE1" w:rsidP="00E65BE1">
            <w:pPr>
              <w:jc w:val="left"/>
              <w:rPr>
                <w:rFonts w:cs="Arial"/>
                <w:i/>
              </w:rPr>
            </w:pPr>
          </w:p>
          <w:p w:rsidR="00E65BE1" w:rsidRPr="00E65BE1" w:rsidRDefault="00E65BE1" w:rsidP="00E65BE1">
            <w:pPr>
              <w:numPr>
                <w:ilvl w:val="0"/>
                <w:numId w:val="19"/>
              </w:numPr>
              <w:contextualSpacing/>
              <w:jc w:val="left"/>
              <w:rPr>
                <w:rFonts w:cs="Arial"/>
                <w:i/>
              </w:rPr>
            </w:pPr>
            <w:r w:rsidRPr="00E65BE1">
              <w:rPr>
                <w:rFonts w:cs="Arial"/>
                <w:i/>
              </w:rPr>
              <w:t>additional expertise regarding the origin of a new EDV variety to be required in rare court cases and only if the parties disagree;</w:t>
            </w:r>
          </w:p>
          <w:p w:rsidR="00E65BE1" w:rsidRPr="00E65BE1" w:rsidRDefault="00E65BE1" w:rsidP="00E65BE1">
            <w:pPr>
              <w:ind w:left="720"/>
              <w:contextualSpacing/>
              <w:jc w:val="left"/>
              <w:rPr>
                <w:rFonts w:cs="Arial"/>
                <w:i/>
              </w:rPr>
            </w:pPr>
          </w:p>
          <w:p w:rsidR="00E65BE1" w:rsidRPr="00E65BE1" w:rsidRDefault="00E65BE1" w:rsidP="00E65BE1">
            <w:pPr>
              <w:numPr>
                <w:ilvl w:val="0"/>
                <w:numId w:val="19"/>
              </w:numPr>
              <w:contextualSpacing/>
              <w:jc w:val="left"/>
              <w:rPr>
                <w:rFonts w:cs="Arial"/>
                <w:i/>
              </w:rPr>
            </w:pPr>
            <w:r w:rsidRPr="00E65BE1">
              <w:rPr>
                <w:rFonts w:cs="Arial"/>
                <w:i/>
              </w:rPr>
              <w:t>the methods of assessment in those court cases to depend on the method establishing the fact of origin and the conditions of commercialization;</w:t>
            </w:r>
          </w:p>
          <w:p w:rsidR="00E65BE1" w:rsidRPr="00E65BE1" w:rsidRDefault="00E65BE1" w:rsidP="00E65BE1">
            <w:pPr>
              <w:jc w:val="left"/>
              <w:rPr>
                <w:rFonts w:cs="Arial"/>
                <w:i/>
              </w:rPr>
            </w:pPr>
          </w:p>
          <w:p w:rsidR="00E65BE1" w:rsidRPr="00E65BE1" w:rsidRDefault="00E65BE1" w:rsidP="00E65BE1">
            <w:pPr>
              <w:numPr>
                <w:ilvl w:val="0"/>
                <w:numId w:val="19"/>
              </w:numPr>
              <w:contextualSpacing/>
              <w:jc w:val="left"/>
              <w:rPr>
                <w:rFonts w:cs="Arial"/>
                <w:i/>
              </w:rPr>
            </w:pPr>
            <w:r w:rsidRPr="00E65BE1">
              <w:rPr>
                <w:rFonts w:cs="Arial"/>
                <w:i/>
              </w:rPr>
              <w:t>the settlement of such a dispute between the parties to be considered in accordance with the applicable law.</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57 [54]</w:t>
            </w:r>
          </w:p>
        </w:tc>
        <w:tc>
          <w:tcPr>
            <w:tcW w:w="7155" w:type="dxa"/>
          </w:tcPr>
          <w:p w:rsidR="00E65BE1" w:rsidRPr="00E65BE1" w:rsidRDefault="00E65BE1" w:rsidP="00E65BE1">
            <w:pPr>
              <w:jc w:val="left"/>
              <w:rPr>
                <w:rFonts w:eastAsia="Calibri" w:cs="Arial"/>
                <w:i/>
              </w:rPr>
            </w:pPr>
            <w:r w:rsidRPr="00E65BE1">
              <w:rPr>
                <w:rFonts w:eastAsia="Calibri" w:cs="Arial"/>
                <w:i/>
              </w:rPr>
              <w:t xml:space="preserve">to note that the guidance does not provide for a mechanism to determine whether a variety is essentially derived variety, or not; and therefore to be aware of that it is problematic to construct the concept of essentially derived varieties and make its determination dependent on an undefined number of differences in undefined “essential” characteristics and then leave the determination thereof to breeders with competing interests.”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t>Issue 58 [55]</w:t>
            </w:r>
          </w:p>
        </w:tc>
        <w:tc>
          <w:tcPr>
            <w:tcW w:w="7155" w:type="dxa"/>
          </w:tcPr>
          <w:p w:rsidR="00E65BE1" w:rsidRPr="00E65BE1" w:rsidRDefault="00E65BE1" w:rsidP="00E65BE1">
            <w:pPr>
              <w:jc w:val="left"/>
              <w:rPr>
                <w:rFonts w:eastAsia="Calibri" w:cs="Arial"/>
                <w:i/>
              </w:rPr>
            </w:pPr>
            <w:r w:rsidRPr="00E65BE1">
              <w:rPr>
                <w:rFonts w:eastAsia="Calibri" w:cs="Arial"/>
                <w:i/>
              </w:rPr>
              <w:t xml:space="preserve">to consider how to address the burden on the breeder of the protected initial variety, in particular, the responsibility and legal expenses to “force” a determination as essentially derived on a variety that was admittedly predominantly derived from the initial protected variety, and often in circumstances where the derived variety is commercialized in competition with the initial variety and causing the breeder initial variety irreparable harm. </w:t>
            </w:r>
          </w:p>
        </w:tc>
        <w:tc>
          <w:tcPr>
            <w:tcW w:w="1523" w:type="dxa"/>
            <w:gridSpan w:val="2"/>
          </w:tcPr>
          <w:p w:rsidR="00E65BE1" w:rsidRPr="00E65BE1" w:rsidRDefault="00E65BE1" w:rsidP="00E65BE1">
            <w:pPr>
              <w:jc w:val="left"/>
              <w:rPr>
                <w:i/>
              </w:rPr>
            </w:pPr>
            <w:r w:rsidRPr="00E65BE1">
              <w:rPr>
                <w:i/>
              </w:rPr>
              <w:t>ZA</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Issue 59 [56]</w:t>
            </w:r>
          </w:p>
        </w:tc>
        <w:tc>
          <w:tcPr>
            <w:tcW w:w="7155" w:type="dxa"/>
          </w:tcPr>
          <w:p w:rsidR="00E65BE1" w:rsidRPr="00E65BE1" w:rsidRDefault="00E65BE1" w:rsidP="00E65BE1">
            <w:pPr>
              <w:jc w:val="left"/>
              <w:rPr>
                <w:rFonts w:eastAsia="Calibri" w:cs="Arial"/>
                <w:i/>
              </w:rPr>
            </w:pPr>
            <w:r w:rsidRPr="00E65BE1">
              <w:rPr>
                <w:rFonts w:eastAsia="Calibri" w:cs="Arial"/>
                <w:i/>
              </w:rPr>
              <w:t>to consider whether to replace Section II by the following new Section II”</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“Section II “Registration of protected initial variety’s rights’ extension to essentially derived varieties”</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“An applicant (breeder) shall indicate the history of breeding (creation) of the variety in the application materials (the application form) for granting the breeder's right or application materials (the application form) for including the variety in the National List. At the stage of preliminary examination of the application the competent authority of the member of the Union examines the completeness of the information on the new variety and requests additional information if applicable.</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“A request to determine variety to the category ‘essentially derived varieties’ and to denominate the [</w:t>
            </w:r>
            <w:r w:rsidRPr="00E65BE1">
              <w:rPr>
                <w:rFonts w:eastAsia="Calibri" w:cs="Arial"/>
                <w:i/>
                <w:strike/>
              </w:rPr>
              <w:t>initial</w:t>
            </w:r>
            <w:r w:rsidRPr="00E65BE1">
              <w:rPr>
                <w:rFonts w:eastAsia="Calibri" w:cs="Arial"/>
                <w:i/>
              </w:rPr>
              <w:t>] variety is prepared by the authority based on the information containing the origin of the variety and DUS examination, and is published in the official Bulletin.</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“Comments on the application materials submitted within six months after the publication are to be agreed with stakeholders.</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“The decision of competent authority concerning the determination of variety to the category of essentially derived varieties and denomination of the [</w:t>
            </w:r>
            <w:r w:rsidRPr="00E65BE1">
              <w:rPr>
                <w:rFonts w:eastAsia="Calibri" w:cs="Arial"/>
                <w:i/>
                <w:strike/>
              </w:rPr>
              <w:t>initial</w:t>
            </w:r>
            <w:r w:rsidRPr="00E65BE1">
              <w:rPr>
                <w:rFonts w:eastAsia="Calibri" w:cs="Arial"/>
                <w:i/>
              </w:rPr>
              <w:t>] variety may be appealed in accordance with national legislation.</w:t>
            </w:r>
          </w:p>
          <w:p w:rsidR="00E65BE1" w:rsidRPr="00E65BE1" w:rsidRDefault="00E65BE1" w:rsidP="00E65BE1">
            <w:pPr>
              <w:jc w:val="left"/>
              <w:rPr>
                <w:rFonts w:eastAsia="Calibri" w:cs="Arial"/>
                <w:i/>
              </w:rPr>
            </w:pPr>
            <w:r w:rsidRPr="00E65BE1">
              <w:rPr>
                <w:rFonts w:eastAsia="Calibri" w:cs="Arial"/>
                <w:i/>
              </w:rPr>
              <w:t xml:space="preserve"> </w:t>
            </w:r>
          </w:p>
          <w:p w:rsidR="00E65BE1" w:rsidRPr="00E65BE1" w:rsidRDefault="00E65BE1" w:rsidP="00E65BE1">
            <w:pPr>
              <w:jc w:val="left"/>
              <w:rPr>
                <w:rFonts w:eastAsia="Calibri" w:cs="Arial"/>
                <w:i/>
              </w:rPr>
            </w:pPr>
            <w:r w:rsidRPr="00E65BE1">
              <w:rPr>
                <w:rFonts w:eastAsia="Calibri" w:cs="Arial"/>
                <w:i/>
              </w:rPr>
              <w:t>“In the case of the protection of the initial variety in the territory of the member of the Union, the competent authority request to submit a license agreement with the breeder of the initial variety about the conditions commercialization of the propagating material of the EDV when registering the breeder’s right for EDV.</w:t>
            </w:r>
          </w:p>
          <w:p w:rsidR="00E65BE1" w:rsidRPr="00E65BE1" w:rsidRDefault="00E65BE1" w:rsidP="00E65BE1">
            <w:pPr>
              <w:jc w:val="left"/>
              <w:rPr>
                <w:rFonts w:eastAsia="Calibri" w:cs="Arial"/>
                <w:i/>
              </w:rPr>
            </w:pPr>
          </w:p>
          <w:p w:rsidR="00E65BE1" w:rsidRPr="00E65BE1" w:rsidRDefault="00E65BE1" w:rsidP="00E65BE1">
            <w:pPr>
              <w:jc w:val="left"/>
              <w:rPr>
                <w:rFonts w:eastAsia="Calibri" w:cs="Arial"/>
                <w:i/>
              </w:rPr>
            </w:pPr>
            <w:r w:rsidRPr="00E65BE1">
              <w:rPr>
                <w:rFonts w:eastAsia="Calibri" w:cs="Arial"/>
                <w:i/>
              </w:rPr>
              <w:t>“Interrelation  between essentially  derived varieties (protected and unprotected  by private right) and the protected initial variety is reflected by the competent  authority by publishing the  information about varieties used in own territory, including the UPOV website.”</w:t>
            </w:r>
          </w:p>
        </w:tc>
        <w:tc>
          <w:tcPr>
            <w:tcW w:w="1523" w:type="dxa"/>
            <w:gridSpan w:val="2"/>
          </w:tcPr>
          <w:p w:rsidR="00E65BE1" w:rsidRPr="00E65BE1" w:rsidRDefault="00E65BE1" w:rsidP="00E65BE1">
            <w:pPr>
              <w:jc w:val="left"/>
              <w:rPr>
                <w:i/>
              </w:rPr>
            </w:pPr>
            <w:r w:rsidRPr="00E65BE1">
              <w:rPr>
                <w:i/>
              </w:rPr>
              <w:t>RU</w:t>
            </w:r>
          </w:p>
        </w:tc>
      </w:tr>
      <w:tr w:rsidR="00E65BE1" w:rsidRPr="00E65BE1" w:rsidTr="00F50020">
        <w:trPr>
          <w:cantSplit/>
        </w:trPr>
        <w:tc>
          <w:tcPr>
            <w:tcW w:w="1305" w:type="dxa"/>
          </w:tcPr>
          <w:p w:rsidR="00E65BE1" w:rsidRPr="00E65BE1" w:rsidRDefault="00E65BE1" w:rsidP="00E65BE1">
            <w:pPr>
              <w:rPr>
                <w:i/>
              </w:rPr>
            </w:pPr>
            <w:r w:rsidRPr="00E65BE1">
              <w:rPr>
                <w:i/>
              </w:rPr>
              <w:t>Issue 60 [57]</w:t>
            </w:r>
          </w:p>
        </w:tc>
        <w:tc>
          <w:tcPr>
            <w:tcW w:w="7155" w:type="dxa"/>
          </w:tcPr>
          <w:p w:rsidR="00E65BE1" w:rsidRPr="00E65BE1" w:rsidRDefault="00E65BE1" w:rsidP="00E65BE1">
            <w:pPr>
              <w:jc w:val="left"/>
              <w:rPr>
                <w:i/>
              </w:rPr>
            </w:pPr>
            <w:r w:rsidRPr="00E65BE1">
              <w:rPr>
                <w:i/>
              </w:rPr>
              <w:t>to consider if the “initiatives from the private sector, valuing the work of breeders,”  should be encouraged and further developed (see issue 51 above)</w:t>
            </w:r>
          </w:p>
        </w:tc>
        <w:tc>
          <w:tcPr>
            <w:tcW w:w="1523" w:type="dxa"/>
            <w:gridSpan w:val="2"/>
          </w:tcPr>
          <w:p w:rsidR="00E65BE1" w:rsidRPr="00E65BE1" w:rsidRDefault="00E65BE1" w:rsidP="00E65BE1">
            <w:pPr>
              <w:jc w:val="left"/>
              <w:rPr>
                <w:i/>
              </w:rPr>
            </w:pPr>
            <w:r w:rsidRPr="00E65BE1">
              <w:rPr>
                <w:i/>
              </w:rPr>
              <w:t>Joint contribution by breeders</w:t>
            </w:r>
          </w:p>
        </w:tc>
      </w:tr>
      <w:tr w:rsidR="00E65BE1" w:rsidRPr="00E65BE1" w:rsidTr="00F50020">
        <w:trPr>
          <w:cantSplit/>
        </w:trPr>
        <w:tc>
          <w:tcPr>
            <w:tcW w:w="1305" w:type="dxa"/>
          </w:tcPr>
          <w:p w:rsidR="00E65BE1" w:rsidRPr="00E65BE1" w:rsidRDefault="00E65BE1" w:rsidP="00E65BE1">
            <w:pPr>
              <w:rPr>
                <w:i/>
              </w:rPr>
            </w:pPr>
            <w:r w:rsidRPr="00E65BE1">
              <w:rPr>
                <w:i/>
              </w:rPr>
              <w:t>Issue 61 [58]</w:t>
            </w:r>
          </w:p>
        </w:tc>
        <w:tc>
          <w:tcPr>
            <w:tcW w:w="7155" w:type="dxa"/>
          </w:tcPr>
          <w:p w:rsidR="00E65BE1" w:rsidRPr="00E65BE1" w:rsidRDefault="00E65BE1" w:rsidP="00E65BE1">
            <w:pPr>
              <w:jc w:val="left"/>
              <w:rPr>
                <w:i/>
              </w:rPr>
            </w:pPr>
            <w:r w:rsidRPr="00E65BE1">
              <w:rPr>
                <w:i/>
              </w:rPr>
              <w:t>to consider “the interest of the alternative dispute resolutions put in place by trade associations.”</w:t>
            </w:r>
          </w:p>
        </w:tc>
        <w:tc>
          <w:tcPr>
            <w:tcW w:w="1523" w:type="dxa"/>
            <w:gridSpan w:val="2"/>
          </w:tcPr>
          <w:p w:rsidR="00E65BE1" w:rsidRPr="00E65BE1" w:rsidRDefault="00E65BE1" w:rsidP="00E65BE1">
            <w:pPr>
              <w:jc w:val="left"/>
              <w:rPr>
                <w:i/>
              </w:rPr>
            </w:pPr>
            <w:r w:rsidRPr="00E65BE1">
              <w:rPr>
                <w:i/>
              </w:rPr>
              <w:t>Joint contribution by breeders</w:t>
            </w:r>
          </w:p>
        </w:tc>
      </w:tr>
      <w:tr w:rsidR="00E65BE1" w:rsidRPr="00E65BE1" w:rsidTr="00F50020">
        <w:trPr>
          <w:cantSplit/>
        </w:trPr>
        <w:tc>
          <w:tcPr>
            <w:tcW w:w="1305" w:type="dxa"/>
          </w:tcPr>
          <w:p w:rsidR="00E65BE1" w:rsidRPr="00CB47C4" w:rsidRDefault="00E65BE1" w:rsidP="00E65BE1">
            <w:pPr>
              <w:rPr>
                <w:i/>
              </w:rPr>
            </w:pPr>
            <w:r w:rsidRPr="00CB47C4">
              <w:rPr>
                <w:i/>
              </w:rPr>
              <w:t>Issue 62</w:t>
            </w:r>
          </w:p>
        </w:tc>
        <w:tc>
          <w:tcPr>
            <w:tcW w:w="7155" w:type="dxa"/>
          </w:tcPr>
          <w:p w:rsidR="00E65BE1" w:rsidRPr="00CB47C4" w:rsidRDefault="00E65BE1" w:rsidP="00E65BE1">
            <w:pPr>
              <w:jc w:val="left"/>
              <w:rPr>
                <w:i/>
              </w:rPr>
            </w:pPr>
            <w:r w:rsidRPr="00CB47C4">
              <w:rPr>
                <w:i/>
              </w:rPr>
              <w:t xml:space="preserve">to consider that standardization of genetic thresholds for EDV may be useful for the international community, yet at the same time UPOV members ultimately should value any such genetic evidence of EDV consistent with their own evidentiary regimes. </w:t>
            </w:r>
          </w:p>
        </w:tc>
        <w:tc>
          <w:tcPr>
            <w:tcW w:w="1523" w:type="dxa"/>
            <w:gridSpan w:val="2"/>
          </w:tcPr>
          <w:p w:rsidR="00E65BE1" w:rsidRPr="00CB47C4" w:rsidRDefault="00E65BE1" w:rsidP="00E65BE1">
            <w:pPr>
              <w:jc w:val="left"/>
              <w:rPr>
                <w:i/>
              </w:rPr>
            </w:pPr>
            <w:r w:rsidRPr="00CB47C4">
              <w:rPr>
                <w:i/>
              </w:rPr>
              <w:t>US</w:t>
            </w:r>
          </w:p>
        </w:tc>
      </w:tr>
      <w:tr w:rsidR="00E65BE1" w:rsidRPr="00E65BE1" w:rsidTr="00F50020">
        <w:trPr>
          <w:cantSplit/>
        </w:trPr>
        <w:tc>
          <w:tcPr>
            <w:tcW w:w="1305" w:type="dxa"/>
          </w:tcPr>
          <w:p w:rsidR="00E65BE1" w:rsidRPr="00CB47C4" w:rsidRDefault="00E65BE1" w:rsidP="00E65BE1">
            <w:pPr>
              <w:rPr>
                <w:i/>
              </w:rPr>
            </w:pPr>
            <w:r w:rsidRPr="00CB47C4">
              <w:rPr>
                <w:i/>
              </w:rPr>
              <w:t>Issue 63</w:t>
            </w:r>
          </w:p>
        </w:tc>
        <w:tc>
          <w:tcPr>
            <w:tcW w:w="7155" w:type="dxa"/>
          </w:tcPr>
          <w:p w:rsidR="00E65BE1" w:rsidRPr="00CB47C4" w:rsidRDefault="00E65BE1" w:rsidP="00E65BE1">
            <w:pPr>
              <w:jc w:val="left"/>
              <w:rPr>
                <w:i/>
              </w:rPr>
            </w:pPr>
            <w:r w:rsidRPr="00CB47C4">
              <w:rPr>
                <w:i/>
              </w:rPr>
              <w:t>to consider seeking “to find support for particular examples of EDV, either from case law of member jurisdictions, or from other areas of consensus which the group can elaborate on the terms used in the treaty text (e.g., ‘predominantly derived,’ ‘clearly distinguishable from the initial variety,’ and/or “conforms to the initial variety in the expression of the essential characteristics”, etc.).”</w:t>
            </w:r>
          </w:p>
        </w:tc>
        <w:tc>
          <w:tcPr>
            <w:tcW w:w="1523" w:type="dxa"/>
            <w:gridSpan w:val="2"/>
          </w:tcPr>
          <w:p w:rsidR="00E65BE1" w:rsidRPr="00CB47C4" w:rsidRDefault="00E65BE1" w:rsidP="00E65BE1">
            <w:pPr>
              <w:jc w:val="left"/>
              <w:rPr>
                <w:i/>
              </w:rPr>
            </w:pPr>
            <w:r w:rsidRPr="00CB47C4">
              <w:rPr>
                <w:i/>
              </w:rPr>
              <w:t>US</w:t>
            </w:r>
          </w:p>
        </w:tc>
      </w:tr>
      <w:tr w:rsidR="00E65BE1" w:rsidRPr="00E65BE1" w:rsidTr="00F50020">
        <w:trPr>
          <w:cantSplit/>
        </w:trPr>
        <w:tc>
          <w:tcPr>
            <w:tcW w:w="1305" w:type="dxa"/>
          </w:tcPr>
          <w:p w:rsidR="00E65BE1" w:rsidRPr="00CB47C4" w:rsidRDefault="00E65BE1" w:rsidP="00E65BE1">
            <w:pPr>
              <w:rPr>
                <w:i/>
              </w:rPr>
            </w:pPr>
            <w:r w:rsidRPr="00CB47C4">
              <w:rPr>
                <w:i/>
              </w:rPr>
              <w:t>Issue 64</w:t>
            </w:r>
          </w:p>
        </w:tc>
        <w:tc>
          <w:tcPr>
            <w:tcW w:w="7155" w:type="dxa"/>
          </w:tcPr>
          <w:p w:rsidR="00E65BE1" w:rsidRPr="00CB47C4" w:rsidRDefault="00E65BE1" w:rsidP="00E65BE1">
            <w:pPr>
              <w:jc w:val="left"/>
              <w:rPr>
                <w:i/>
              </w:rPr>
            </w:pPr>
            <w:r w:rsidRPr="00CB47C4">
              <w:rPr>
                <w:i/>
              </w:rPr>
              <w:t>to consider that “the process of establishing any useful threshold values for genetic conformity assessments should be mutually arrived at by all interested UPOV members and stakeholders. The costs and impacts on small and medium sized entities should be considered (i.e., is genetic testing so cost prohibitive that small breeders cannot access the technology). Moreover, the working group should consider if certain classes of breeding techniques should trigger a prima facie (but rebuttable) case of ‘predominant derivations.’ Such classes of techniques could include, but not be limited to derivation of mutants by irradiation, point gene edits, or other techniques.”</w:t>
            </w:r>
          </w:p>
        </w:tc>
        <w:tc>
          <w:tcPr>
            <w:tcW w:w="1523" w:type="dxa"/>
            <w:gridSpan w:val="2"/>
          </w:tcPr>
          <w:p w:rsidR="00E65BE1" w:rsidRPr="00CB47C4" w:rsidRDefault="00E65BE1" w:rsidP="00E65BE1">
            <w:pPr>
              <w:jc w:val="left"/>
              <w:rPr>
                <w:i/>
              </w:rPr>
            </w:pPr>
            <w:r w:rsidRPr="00CB47C4">
              <w:rPr>
                <w:i/>
              </w:rPr>
              <w:t>US</w:t>
            </w:r>
          </w:p>
        </w:tc>
      </w:tr>
      <w:tr w:rsidR="00E65BE1" w:rsidRPr="00E65BE1" w:rsidTr="00F50020">
        <w:trPr>
          <w:cantSplit/>
        </w:trPr>
        <w:tc>
          <w:tcPr>
            <w:tcW w:w="1305" w:type="dxa"/>
          </w:tcPr>
          <w:p w:rsidR="00E65BE1" w:rsidRPr="00CB47C4" w:rsidRDefault="00E65BE1" w:rsidP="00E65BE1">
            <w:pPr>
              <w:rPr>
                <w:i/>
              </w:rPr>
            </w:pPr>
            <w:r w:rsidRPr="00CB47C4">
              <w:rPr>
                <w:i/>
              </w:rPr>
              <w:lastRenderedPageBreak/>
              <w:t>Issue 65</w:t>
            </w:r>
          </w:p>
        </w:tc>
        <w:tc>
          <w:tcPr>
            <w:tcW w:w="7155" w:type="dxa"/>
          </w:tcPr>
          <w:p w:rsidR="00E65BE1" w:rsidRPr="00CB47C4" w:rsidRDefault="00E65BE1" w:rsidP="00E65BE1">
            <w:pPr>
              <w:jc w:val="left"/>
              <w:rPr>
                <w:i/>
              </w:rPr>
            </w:pPr>
            <w:r w:rsidRPr="00CB47C4">
              <w:rPr>
                <w:i/>
              </w:rPr>
              <w:t>to consider that “ultimate EDV determinations are best left to national courts or to an arbitration process. Any granting authority decision on EDV could be used as rebuttable evidence of an EDV in national courts or arbitration processes.  However, […] the 1991 Act of the Convention does not require offices to carry out EDV determinations, and the working group cannot serve as a means to create such a requirement.”</w:t>
            </w:r>
          </w:p>
        </w:tc>
        <w:tc>
          <w:tcPr>
            <w:tcW w:w="1523" w:type="dxa"/>
            <w:gridSpan w:val="2"/>
          </w:tcPr>
          <w:p w:rsidR="00E65BE1" w:rsidRPr="00CB47C4" w:rsidRDefault="00E65BE1" w:rsidP="00E65BE1">
            <w:pPr>
              <w:jc w:val="left"/>
              <w:rPr>
                <w:i/>
              </w:rPr>
            </w:pPr>
            <w:r w:rsidRPr="00CB47C4">
              <w:rPr>
                <w:i/>
              </w:rPr>
              <w:t>US</w:t>
            </w:r>
          </w:p>
        </w:tc>
      </w:tr>
    </w:tbl>
    <w:p w:rsidR="00E65BE1" w:rsidRPr="00E65BE1" w:rsidRDefault="00E65BE1" w:rsidP="00E65BE1">
      <w:pPr>
        <w:jc w:val="right"/>
      </w:pPr>
    </w:p>
    <w:p w:rsidR="00E65BE1" w:rsidRPr="00E65BE1" w:rsidRDefault="00E65BE1" w:rsidP="00E65BE1">
      <w:pPr>
        <w:jc w:val="right"/>
      </w:pPr>
    </w:p>
    <w:p w:rsidR="00E65BE1" w:rsidRPr="00E65BE1" w:rsidRDefault="00E65BE1" w:rsidP="00E65BE1">
      <w:pPr>
        <w:jc w:val="right"/>
      </w:pPr>
      <w:r w:rsidRPr="00E65BE1">
        <w:t>[Appendix II follows]</w:t>
      </w:r>
    </w:p>
    <w:p w:rsidR="00E65BE1" w:rsidRPr="00E65BE1" w:rsidRDefault="00E65BE1" w:rsidP="00E65BE1">
      <w:pPr>
        <w:keepNext/>
        <w:jc w:val="center"/>
        <w:rPr>
          <w:rFonts w:cs="Arial"/>
        </w:rPr>
      </w:pPr>
    </w:p>
    <w:p w:rsidR="00E65BE1" w:rsidRPr="00E65BE1" w:rsidRDefault="00E65BE1" w:rsidP="00E65BE1">
      <w:pPr>
        <w:keepNext/>
        <w:jc w:val="center"/>
        <w:rPr>
          <w:rFonts w:cs="Arial"/>
        </w:rPr>
        <w:sectPr w:rsidR="00E65BE1" w:rsidRPr="00E65BE1" w:rsidSect="00F50020">
          <w:headerReference w:type="default" r:id="rId12"/>
          <w:headerReference w:type="first" r:id="rId13"/>
          <w:endnotePr>
            <w:numFmt w:val="lowerLetter"/>
          </w:endnotePr>
          <w:pgSz w:w="11907" w:h="16840" w:code="9"/>
          <w:pgMar w:top="510" w:right="1134" w:bottom="993" w:left="1134" w:header="510" w:footer="624" w:gutter="0"/>
          <w:pgNumType w:start="1"/>
          <w:cols w:space="720"/>
          <w:titlePg/>
        </w:sectPr>
      </w:pPr>
    </w:p>
    <w:p w:rsidR="00E65BE1" w:rsidRPr="00E65BE1" w:rsidRDefault="00E65BE1" w:rsidP="00E65BE1">
      <w:pPr>
        <w:jc w:val="center"/>
      </w:pPr>
      <w:r w:rsidRPr="00E65BE1">
        <w:lastRenderedPageBreak/>
        <w:t>BREEDERS’ CUSTOMS AND PRACTICES</w:t>
      </w:r>
    </w:p>
    <w:p w:rsidR="00E65BE1" w:rsidRPr="00E65BE1" w:rsidRDefault="00E65BE1" w:rsidP="00E65BE1">
      <w:pPr>
        <w:keepNext/>
        <w:jc w:val="center"/>
        <w:rPr>
          <w:rFonts w:cs="Arial"/>
        </w:rPr>
      </w:pPr>
    </w:p>
    <w:p w:rsidR="00E65BE1" w:rsidRPr="00E65BE1" w:rsidRDefault="00E65BE1" w:rsidP="00E65BE1">
      <w:pPr>
        <w:keepNext/>
        <w:rPr>
          <w:rFonts w:cs="Arial"/>
        </w:rPr>
      </w:pPr>
      <w:r w:rsidRPr="00E65BE1">
        <w:rPr>
          <w:rFonts w:cs="Arial"/>
        </w:rPr>
        <w:t>In reply to Circular E-233 with a request to provide information on EDV customs and practices of breeders, the Office of the Union received:</w:t>
      </w:r>
    </w:p>
    <w:p w:rsidR="00E65BE1" w:rsidRPr="00E65BE1" w:rsidRDefault="00E65BE1" w:rsidP="00E65BE1">
      <w:pPr>
        <w:keepNext/>
        <w:rPr>
          <w:rFonts w:cs="Arial"/>
        </w:rPr>
      </w:pPr>
    </w:p>
    <w:p w:rsidR="00E65BE1" w:rsidRPr="00E65BE1" w:rsidRDefault="00E65BE1" w:rsidP="00E65BE1">
      <w:pPr>
        <w:tabs>
          <w:tab w:val="left" w:pos="1134"/>
        </w:tabs>
        <w:ind w:firstLine="567"/>
        <w:rPr>
          <w:rFonts w:cs="Arial"/>
        </w:rPr>
      </w:pPr>
      <w:r w:rsidRPr="00E65BE1">
        <w:rPr>
          <w:rFonts w:cs="Arial"/>
        </w:rPr>
        <w:t>(a)</w:t>
      </w:r>
      <w:r w:rsidRPr="00E65BE1">
        <w:rPr>
          <w:rFonts w:cs="Arial"/>
        </w:rPr>
        <w:tab/>
        <w:t>on April 9, 2020, a joint contribution by the International Seed Federation (ISF), the International Community of Breeders of Asexually Reproduced Horticultural Plants (CIOPORA), CropLife International, Euroseeds, the Asia and Pacific Seed Association (APSA), the African Seed Trade Association (AFSTA) and the Seed Association of the Americas (SAA) and the survey with the “Summary Report of EDV Survey Results and Comments from 98 actors active in various agricultural crops, ornamentals, fruits and vegetables and from various continents” (joint contribution by breeders);</w:t>
      </w:r>
    </w:p>
    <w:p w:rsidR="00E65BE1" w:rsidRPr="00E65BE1" w:rsidRDefault="00E65BE1" w:rsidP="00E65BE1">
      <w:pPr>
        <w:tabs>
          <w:tab w:val="left" w:pos="1134"/>
        </w:tabs>
        <w:ind w:firstLine="567"/>
        <w:rPr>
          <w:rFonts w:cs="Arial"/>
        </w:rPr>
      </w:pPr>
    </w:p>
    <w:p w:rsidR="00E65BE1" w:rsidRPr="00E65BE1" w:rsidRDefault="00E65BE1" w:rsidP="00E65BE1">
      <w:pPr>
        <w:tabs>
          <w:tab w:val="left" w:pos="1134"/>
        </w:tabs>
        <w:ind w:firstLine="567"/>
        <w:rPr>
          <w:rFonts w:cs="Arial"/>
        </w:rPr>
      </w:pPr>
      <w:r w:rsidRPr="00E65BE1">
        <w:rPr>
          <w:rFonts w:cs="Arial"/>
        </w:rPr>
        <w:t>(b)</w:t>
      </w:r>
      <w:r w:rsidRPr="00E65BE1">
        <w:rPr>
          <w:rFonts w:cs="Arial"/>
        </w:rPr>
        <w:tab/>
        <w:t xml:space="preserve">on May 27, 2020, a contribution from the International Association of Horticultural Producers (AIPH) expressing its support to certain findings in the survey referred to in (a), above.  </w:t>
      </w:r>
    </w:p>
    <w:p w:rsidR="00E65BE1" w:rsidRPr="00E65BE1" w:rsidRDefault="00E65BE1" w:rsidP="00E65BE1">
      <w:pPr>
        <w:rPr>
          <w:rFonts w:cs="Arial"/>
        </w:rPr>
      </w:pPr>
    </w:p>
    <w:p w:rsidR="00E65BE1" w:rsidRPr="00E65BE1" w:rsidRDefault="00E65BE1" w:rsidP="00E65BE1">
      <w:pPr>
        <w:rPr>
          <w:rFonts w:cs="Arial"/>
          <w:spacing w:val="-2"/>
        </w:rPr>
      </w:pPr>
      <w:r w:rsidRPr="00E65BE1">
        <w:rPr>
          <w:rFonts w:cs="Arial"/>
          <w:spacing w:val="-2"/>
        </w:rPr>
        <w:t>The following table presents relevant extracts from the survey (see (a) above).  The table also illustrates when the contribution of AIPH has indicated support to findings in the survey in the joint contribution by breeders.</w:t>
      </w:r>
    </w:p>
    <w:p w:rsidR="00E65BE1" w:rsidRPr="00E65BE1" w:rsidRDefault="00E65BE1" w:rsidP="00E65BE1">
      <w:pPr>
        <w:jc w:val="center"/>
        <w:rPr>
          <w:rFonts w:cs="Arial"/>
        </w:rPr>
      </w:pPr>
    </w:p>
    <w:p w:rsidR="00E65BE1" w:rsidRPr="00E65BE1" w:rsidRDefault="00E65BE1" w:rsidP="00E65BE1">
      <w:pPr>
        <w:jc w:val="center"/>
        <w:rPr>
          <w:rFonts w:cs="Arial"/>
        </w:rPr>
      </w:pPr>
    </w:p>
    <w:p w:rsidR="00E65BE1" w:rsidRPr="00E65BE1" w:rsidRDefault="00E65BE1" w:rsidP="00E65BE1">
      <w:pPr>
        <w:jc w:val="center"/>
      </w:pPr>
      <w:r w:rsidRPr="00E65BE1">
        <w:t>BREEDERS’ CUSTOMS AND PRACTICES</w:t>
      </w:r>
    </w:p>
    <w:p w:rsidR="00E65BE1" w:rsidRPr="00E65BE1" w:rsidRDefault="00E65BE1" w:rsidP="00E65BE1">
      <w:pPr>
        <w:jc w:val="center"/>
      </w:pPr>
      <w:r w:rsidRPr="00E65BE1">
        <w:t>CONCERNING SPECIFIC ASPECTS OF THE CURRENT EXPLANATORY NOTES</w:t>
      </w:r>
    </w:p>
    <w:p w:rsidR="00E65BE1" w:rsidRPr="00E65BE1" w:rsidRDefault="00E65BE1" w:rsidP="00E65BE1">
      <w:pPr>
        <w:jc w:val="cente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E65BE1" w:rsidRPr="00E65BE1" w:rsidTr="00F50020">
        <w:trPr>
          <w:cantSplit/>
          <w:tblHeader/>
        </w:trPr>
        <w:tc>
          <w:tcPr>
            <w:tcW w:w="1305" w:type="dxa"/>
            <w:tcBorders>
              <w:top w:val="dotted" w:sz="4" w:space="0" w:color="auto"/>
              <w:left w:val="dotted" w:sz="4" w:space="0" w:color="auto"/>
              <w:bottom w:val="dotted" w:sz="4" w:space="0" w:color="auto"/>
            </w:tcBorders>
          </w:tcPr>
          <w:p w:rsidR="00E65BE1" w:rsidRPr="00E65BE1" w:rsidRDefault="00E65BE1" w:rsidP="00E65BE1">
            <w:pPr>
              <w:keepNext/>
            </w:pPr>
          </w:p>
        </w:tc>
        <w:tc>
          <w:tcPr>
            <w:tcW w:w="8930" w:type="dxa"/>
            <w:shd w:val="clear" w:color="auto" w:fill="EAF1DD" w:themeFill="accent3" w:themeFillTint="33"/>
          </w:tcPr>
          <w:p w:rsidR="00E65BE1" w:rsidRPr="00E65BE1" w:rsidRDefault="00E65BE1" w:rsidP="00E65BE1">
            <w:pPr>
              <w:keepNext/>
              <w:rPr>
                <w:i/>
              </w:rPr>
            </w:pPr>
            <w:r w:rsidRPr="00E65BE1">
              <w:rPr>
                <w:i/>
              </w:rPr>
              <w:t>Joint contribution by ISF, CIOPORA, CropLife International, Euroseeds, APSA, AFSTA, SAA</w:t>
            </w:r>
          </w:p>
          <w:p w:rsidR="00E65BE1" w:rsidRPr="00E65BE1" w:rsidRDefault="00E65BE1" w:rsidP="00E65BE1">
            <w:pPr>
              <w:keepNext/>
              <w:rPr>
                <w:i/>
              </w:rPr>
            </w:pPr>
          </w:p>
          <w:p w:rsidR="00E65BE1" w:rsidRPr="00E65BE1" w:rsidRDefault="00E65BE1" w:rsidP="00E65BE1">
            <w:pPr>
              <w:keepNext/>
              <w:rPr>
                <w:i/>
              </w:rPr>
            </w:pPr>
            <w:r w:rsidRPr="00E65BE1">
              <w:rPr>
                <w:rFonts w:cs="Arial"/>
              </w:rPr>
              <w:t xml:space="preserve">An asterisk (“*”) in the left column means support expressed by AIPH to the joint contribution.  </w:t>
            </w:r>
          </w:p>
        </w:tc>
      </w:tr>
      <w:tr w:rsidR="00E65BE1" w:rsidRPr="00E65BE1" w:rsidTr="00F50020">
        <w:trPr>
          <w:cantSplit/>
        </w:trPr>
        <w:tc>
          <w:tcPr>
            <w:tcW w:w="1305" w:type="dxa"/>
            <w:tcBorders>
              <w:top w:val="dotted" w:sz="4" w:space="0" w:color="auto"/>
            </w:tcBorders>
          </w:tcPr>
          <w:p w:rsidR="00E65BE1" w:rsidRPr="00E65BE1" w:rsidRDefault="00E65BE1" w:rsidP="00E65BE1">
            <w:pPr>
              <w:rPr>
                <w:i/>
              </w:rPr>
            </w:pPr>
          </w:p>
        </w:tc>
        <w:tc>
          <w:tcPr>
            <w:tcW w:w="8930" w:type="dxa"/>
          </w:tcPr>
          <w:p w:rsidR="00E65BE1" w:rsidRPr="00E65BE1" w:rsidRDefault="00E65BE1" w:rsidP="00E65BE1">
            <w:r w:rsidRPr="00E65BE1">
              <w:t>PREAMBULE</w:t>
            </w:r>
          </w:p>
          <w:p w:rsidR="00E65BE1" w:rsidRPr="00E65BE1" w:rsidRDefault="00E65BE1" w:rsidP="00E65BE1">
            <w:r w:rsidRPr="00E65BE1">
              <w:t xml:space="preserve"> </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r w:rsidRPr="00E65BE1">
              <w:t>SECTION I:  PROVISIONS OF ESSENTIALLY DERIVED VARIETIES</w:t>
            </w:r>
          </w:p>
          <w:p w:rsidR="00E65BE1" w:rsidRPr="00E65BE1" w:rsidRDefault="00E65BE1" w:rsidP="00E65BE1"/>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r w:rsidRPr="00E65BE1">
              <w:t>(a)</w:t>
            </w:r>
            <w:r w:rsidRPr="00E65BE1">
              <w:tab/>
              <w:t>Relevant provisions of the 1991 Act of the UPOV Convention</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Practice 1</w:t>
            </w:r>
          </w:p>
        </w:tc>
        <w:tc>
          <w:tcPr>
            <w:tcW w:w="8930" w:type="dxa"/>
          </w:tcPr>
          <w:p w:rsidR="00E65BE1" w:rsidRPr="00E65BE1" w:rsidRDefault="00E65BE1" w:rsidP="00E65BE1">
            <w:pPr>
              <w:jc w:val="left"/>
              <w:rPr>
                <w:i/>
              </w:rPr>
            </w:pPr>
            <w:r w:rsidRPr="00E65BE1">
              <w:rPr>
                <w:i/>
              </w:rPr>
              <w:t xml:space="preserve">“majority of respondents (80%) acknowledged the preventive and clarifying effect that the EDV provision of UPOV 1991 Act has had regarding the development and marketing of predominantly derived varieties without an agreement”. </w:t>
            </w:r>
          </w:p>
        </w:tc>
      </w:tr>
      <w:tr w:rsidR="00E65BE1" w:rsidRPr="00E65BE1" w:rsidTr="00F50020">
        <w:trPr>
          <w:cantSplit/>
        </w:trPr>
        <w:tc>
          <w:tcPr>
            <w:tcW w:w="1305" w:type="dxa"/>
          </w:tcPr>
          <w:p w:rsidR="00E65BE1" w:rsidRPr="00E65BE1" w:rsidRDefault="00E65BE1" w:rsidP="00E65BE1">
            <w:pPr>
              <w:rPr>
                <w:i/>
              </w:rPr>
            </w:pPr>
            <w:r w:rsidRPr="00E65BE1">
              <w:rPr>
                <w:i/>
              </w:rPr>
              <w:t>Practice 2</w:t>
            </w:r>
          </w:p>
        </w:tc>
        <w:tc>
          <w:tcPr>
            <w:tcW w:w="8930" w:type="dxa"/>
          </w:tcPr>
          <w:p w:rsidR="00E65BE1" w:rsidRPr="00E65BE1" w:rsidRDefault="00E65BE1" w:rsidP="00E65BE1">
            <w:pPr>
              <w:jc w:val="left"/>
              <w:rPr>
                <w:i/>
              </w:rPr>
            </w:pPr>
            <w:r w:rsidRPr="00E65BE1">
              <w:rPr>
                <w:i/>
              </w:rPr>
              <w:t>“It [EDV provision] has led breeding companies to monitor their practices and there has been an auto-regulation of practices”</w:t>
            </w:r>
          </w:p>
        </w:tc>
      </w:tr>
      <w:tr w:rsidR="00E65BE1" w:rsidRPr="00E65BE1" w:rsidTr="00F50020">
        <w:trPr>
          <w:cantSplit/>
        </w:trPr>
        <w:tc>
          <w:tcPr>
            <w:tcW w:w="1305" w:type="dxa"/>
          </w:tcPr>
          <w:p w:rsidR="00E65BE1" w:rsidRPr="00E65BE1" w:rsidRDefault="00E65BE1" w:rsidP="00E65BE1">
            <w:pPr>
              <w:rPr>
                <w:i/>
              </w:rPr>
            </w:pPr>
            <w:r w:rsidRPr="00E65BE1">
              <w:rPr>
                <w:i/>
              </w:rPr>
              <w:t>Practice 3</w:t>
            </w:r>
          </w:p>
        </w:tc>
        <w:tc>
          <w:tcPr>
            <w:tcW w:w="8930" w:type="dxa"/>
          </w:tcPr>
          <w:p w:rsidR="00E65BE1" w:rsidRPr="00E65BE1" w:rsidRDefault="00E65BE1" w:rsidP="00E65BE1">
            <w:pPr>
              <w:jc w:val="left"/>
              <w:rPr>
                <w:i/>
              </w:rPr>
            </w:pPr>
            <w:r w:rsidRPr="00E65BE1">
              <w:rPr>
                <w:i/>
              </w:rPr>
              <w:t xml:space="preserve">“Some breeders mention that the EDV concept is not preventing the development and marketing of EDV’s; it is regulating it. The occurrence of spontaneous mutants cannot be prevented anyway” </w:t>
            </w:r>
          </w:p>
        </w:tc>
      </w:tr>
      <w:tr w:rsidR="00E65BE1" w:rsidRPr="00E65BE1" w:rsidTr="00F50020">
        <w:trPr>
          <w:cantSplit/>
        </w:trPr>
        <w:tc>
          <w:tcPr>
            <w:tcW w:w="1305" w:type="dxa"/>
          </w:tcPr>
          <w:p w:rsidR="00E65BE1" w:rsidRPr="00E65BE1" w:rsidRDefault="00E65BE1" w:rsidP="00E65BE1">
            <w:pPr>
              <w:rPr>
                <w:i/>
              </w:rPr>
            </w:pPr>
            <w:r w:rsidRPr="00E65BE1">
              <w:rPr>
                <w:i/>
              </w:rPr>
              <w:t>Practice 4</w:t>
            </w:r>
            <w:r w:rsidRPr="00E65BE1">
              <w:rPr>
                <w:b/>
                <w:i/>
              </w:rPr>
              <w:t>*</w:t>
            </w:r>
          </w:p>
        </w:tc>
        <w:tc>
          <w:tcPr>
            <w:tcW w:w="8930" w:type="dxa"/>
          </w:tcPr>
          <w:p w:rsidR="00E65BE1" w:rsidRPr="00E65BE1" w:rsidRDefault="00E65BE1" w:rsidP="00E65BE1">
            <w:pPr>
              <w:jc w:val="left"/>
              <w:rPr>
                <w:i/>
                <w:spacing w:val="-2"/>
              </w:rPr>
            </w:pPr>
            <w:r w:rsidRPr="00E65BE1">
              <w:rPr>
                <w:i/>
                <w:spacing w:val="-2"/>
              </w:rPr>
              <w:t>“It was also noted that the concept of EDV does not restrict biodiversity but rather enhances it as breeders are incentivized to work with broader germplasm if they want to avoid developing an EDV.”</w:t>
            </w:r>
          </w:p>
        </w:tc>
      </w:tr>
      <w:tr w:rsidR="00E65BE1" w:rsidRPr="00E65BE1" w:rsidTr="00F50020">
        <w:trPr>
          <w:cantSplit/>
        </w:trPr>
        <w:tc>
          <w:tcPr>
            <w:tcW w:w="1305" w:type="dxa"/>
          </w:tcPr>
          <w:p w:rsidR="00E65BE1" w:rsidRPr="00E65BE1" w:rsidRDefault="00E65BE1" w:rsidP="00E65BE1">
            <w:pPr>
              <w:rPr>
                <w:i/>
              </w:rPr>
            </w:pPr>
            <w:r w:rsidRPr="00E65BE1">
              <w:rPr>
                <w:i/>
              </w:rPr>
              <w:t>Practice 5</w:t>
            </w:r>
            <w:r w:rsidRPr="00E65BE1">
              <w:rPr>
                <w:b/>
                <w:i/>
              </w:rPr>
              <w:t>*</w:t>
            </w:r>
          </w:p>
          <w:p w:rsidR="00E65BE1" w:rsidRPr="00E65BE1" w:rsidRDefault="00E65BE1" w:rsidP="00E65BE1">
            <w:pPr>
              <w:rPr>
                <w:i/>
                <w:highlight w:val="green"/>
              </w:rPr>
            </w:pPr>
          </w:p>
        </w:tc>
        <w:tc>
          <w:tcPr>
            <w:tcW w:w="8930" w:type="dxa"/>
          </w:tcPr>
          <w:p w:rsidR="00E65BE1" w:rsidRPr="00E65BE1" w:rsidRDefault="00E65BE1" w:rsidP="00E65BE1">
            <w:pPr>
              <w:jc w:val="left"/>
              <w:rPr>
                <w:i/>
              </w:rPr>
            </w:pPr>
            <w:r w:rsidRPr="00E65BE1">
              <w:rPr>
                <w:i/>
              </w:rPr>
              <w:t>“the modification of one or more characteristics in an initial variety, for example via the latest breeding methods, does not automatically lead the new variety to be out of the scope of EDVs;”</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Predominantly derived from the initial variety (Article 14(5)(b)(i))</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Practice 6</w:t>
            </w:r>
          </w:p>
        </w:tc>
        <w:tc>
          <w:tcPr>
            <w:tcW w:w="8930" w:type="dxa"/>
          </w:tcPr>
          <w:p w:rsidR="00E65BE1" w:rsidRPr="00E65BE1" w:rsidRDefault="00E65BE1" w:rsidP="00E65BE1">
            <w:pPr>
              <w:rPr>
                <w:i/>
              </w:rPr>
            </w:pPr>
            <w:r w:rsidRPr="00E65BE1">
              <w:rPr>
                <w:i/>
              </w:rPr>
              <w:t>“it does not matter whether the characteristic(s) in which the EDV differs from the protected initial variety is (are) of economic, agronomic or societal importance, essential or trivial. EDV principles remain the same and predominant derivation from an initial variety is a key requirement for a variety to be considered an EDV.”</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Clearly distinguishable from the initial variety (Article 14(5)(b)(ii))</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Conformity with the initial variety in the expression of the essential characteristics (Article 14(5)(b)(iii))</w:t>
            </w:r>
          </w:p>
          <w:p w:rsidR="00E65BE1" w:rsidRPr="00E65BE1" w:rsidRDefault="00E65BE1" w:rsidP="00E65BE1">
            <w:pPr>
              <w:rPr>
                <w:i/>
              </w:rPr>
            </w:pPr>
          </w:p>
        </w:tc>
      </w:tr>
      <w:tr w:rsidR="00E65BE1" w:rsidRPr="00E65BE1" w:rsidTr="00F50020">
        <w:trPr>
          <w:cantSplit/>
        </w:trPr>
        <w:tc>
          <w:tcPr>
            <w:tcW w:w="1305" w:type="dxa"/>
          </w:tcPr>
          <w:p w:rsidR="00E65BE1" w:rsidRPr="00E65BE1" w:rsidRDefault="00E65BE1" w:rsidP="00E65BE1">
            <w:pPr>
              <w:rPr>
                <w:i/>
              </w:rPr>
            </w:pPr>
            <w:r w:rsidRPr="00E65BE1">
              <w:rPr>
                <w:i/>
              </w:rPr>
              <w:lastRenderedPageBreak/>
              <w:t>Practice 7</w:t>
            </w:r>
            <w:r w:rsidRPr="00E65BE1">
              <w:rPr>
                <w:b/>
                <w:i/>
              </w:rPr>
              <w:t>*</w:t>
            </w:r>
          </w:p>
        </w:tc>
        <w:tc>
          <w:tcPr>
            <w:tcW w:w="8930" w:type="dxa"/>
          </w:tcPr>
          <w:p w:rsidR="00E65BE1" w:rsidRPr="00E65BE1" w:rsidRDefault="00E65BE1" w:rsidP="00E65BE1">
            <w:pPr>
              <w:rPr>
                <w:i/>
              </w:rPr>
            </w:pPr>
            <w:r w:rsidRPr="00E65BE1">
              <w:rPr>
                <w:i/>
              </w:rPr>
              <w:t>“[A] vast majority of respondents declared that it does not matter whether the characteristic(s) in which the EDV differs from the protected initial variety is of economic, agronomic or societal importance. They emphasized that as long as the variety is predominantly derived from the initial variety, it remains “derived from” and should be treated as an EDV.”</w:t>
            </w:r>
          </w:p>
        </w:tc>
      </w:tr>
      <w:tr w:rsidR="00E65BE1" w:rsidRPr="00E65BE1" w:rsidTr="00F50020">
        <w:trPr>
          <w:cantSplit/>
        </w:trPr>
        <w:tc>
          <w:tcPr>
            <w:tcW w:w="1305" w:type="dxa"/>
          </w:tcPr>
          <w:p w:rsidR="00E65BE1" w:rsidRPr="00E65BE1" w:rsidRDefault="00E65BE1" w:rsidP="00E65BE1">
            <w:pPr>
              <w:rPr>
                <w:i/>
              </w:rPr>
            </w:pPr>
            <w:r w:rsidRPr="00E65BE1">
              <w:rPr>
                <w:i/>
              </w:rPr>
              <w:t>Practice 8</w:t>
            </w:r>
          </w:p>
        </w:tc>
        <w:tc>
          <w:tcPr>
            <w:tcW w:w="8930" w:type="dxa"/>
          </w:tcPr>
          <w:p w:rsidR="00E65BE1" w:rsidRPr="00E65BE1" w:rsidRDefault="00E65BE1" w:rsidP="00E65BE1">
            <w:pPr>
              <w:rPr>
                <w:i/>
              </w:rPr>
            </w:pPr>
            <w:r w:rsidRPr="00E65BE1">
              <w:rPr>
                <w:i/>
              </w:rPr>
              <w:t>“Some companies indicate that the quality of the characteristics is important when entering into negotiations, with a more important trait the developer of the EDV can ask for a larger portion of the license fee”</w:t>
            </w:r>
          </w:p>
        </w:tc>
      </w:tr>
      <w:tr w:rsidR="00E65BE1" w:rsidRPr="00E65BE1" w:rsidTr="00F50020">
        <w:trPr>
          <w:cantSplit/>
        </w:trPr>
        <w:tc>
          <w:tcPr>
            <w:tcW w:w="1305" w:type="dxa"/>
          </w:tcPr>
          <w:p w:rsidR="00E65BE1" w:rsidRPr="00E65BE1" w:rsidRDefault="00E65BE1" w:rsidP="00E65BE1">
            <w:pPr>
              <w:rPr>
                <w:i/>
              </w:rPr>
            </w:pPr>
            <w:r w:rsidRPr="00E65BE1">
              <w:rPr>
                <w:i/>
              </w:rPr>
              <w:t>Practice 9</w:t>
            </w:r>
            <w:r w:rsidRPr="00E65BE1">
              <w:rPr>
                <w:b/>
                <w:i/>
              </w:rPr>
              <w:t>*</w:t>
            </w:r>
          </w:p>
        </w:tc>
        <w:tc>
          <w:tcPr>
            <w:tcW w:w="8930" w:type="dxa"/>
          </w:tcPr>
          <w:p w:rsidR="00E65BE1" w:rsidRPr="00E65BE1" w:rsidRDefault="00E65BE1" w:rsidP="00E65BE1">
            <w:pPr>
              <w:rPr>
                <w:i/>
              </w:rPr>
            </w:pPr>
            <w:r w:rsidRPr="00E65BE1">
              <w:rPr>
                <w:i/>
              </w:rPr>
              <w:t>“Almost all responding companies (more than 90%) consider it negative or very negative if varieties developed with latest breeding methods (such as CRISPR-Cas 9 or other recombinant DNA technologies) and differing in at least one characteristic from the protected initial variety were not considered as EDVs. They are of the opinion that this would give the users of these new technologies a very easy manner to take over varieties which would diminish the incentive to develop new varieties. It is expected that this will lower the development of segregating variation and thus reduce genetic gain.”</w:t>
            </w:r>
          </w:p>
        </w:tc>
      </w:tr>
      <w:tr w:rsidR="00E65BE1" w:rsidRPr="00E65BE1" w:rsidTr="00F50020">
        <w:trPr>
          <w:cantSplit/>
        </w:trPr>
        <w:tc>
          <w:tcPr>
            <w:tcW w:w="1305" w:type="dxa"/>
          </w:tcPr>
          <w:p w:rsidR="00E65BE1" w:rsidRPr="00E65BE1" w:rsidRDefault="00E65BE1" w:rsidP="00E65BE1">
            <w:pPr>
              <w:rPr>
                <w:i/>
              </w:rPr>
            </w:pPr>
            <w:r w:rsidRPr="00E65BE1">
              <w:rPr>
                <w:i/>
              </w:rPr>
              <w:t>Practice 10</w:t>
            </w:r>
          </w:p>
        </w:tc>
        <w:tc>
          <w:tcPr>
            <w:tcW w:w="8930" w:type="dxa"/>
          </w:tcPr>
          <w:p w:rsidR="00E65BE1" w:rsidRPr="00E65BE1" w:rsidRDefault="00E65BE1" w:rsidP="00E65BE1">
            <w:pPr>
              <w:jc w:val="left"/>
              <w:rPr>
                <w:i/>
              </w:rPr>
            </w:pPr>
            <w:r w:rsidRPr="00E65BE1">
              <w:rPr>
                <w:i/>
              </w:rPr>
              <w:t>“Some breeders mention that the EDV concept is not preventing the development and marketing of EDV’s; it is regulating it. The occurrence of spontaneous mutants cannot be prevented anyway. Some breeders mention that no one will prevent the commercialization of a truly valuable mutant, but the EDV concept can make sure no one in the industry is damaged by a multitude of unstable or inferior mutants being introduced on the market.”</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rPr>
                <w:i/>
              </w:rPr>
            </w:pPr>
            <w:r w:rsidRPr="00E65BE1">
              <w:rPr>
                <w:i/>
              </w:rPr>
              <w:t>Examples on ways in which an essentially derived variety may be obtained (Article 14(5)(c))</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 xml:space="preserve">Practice 11 </w:t>
            </w:r>
          </w:p>
        </w:tc>
        <w:tc>
          <w:tcPr>
            <w:tcW w:w="8930" w:type="dxa"/>
          </w:tcPr>
          <w:p w:rsidR="00E65BE1" w:rsidRPr="00E65BE1" w:rsidRDefault="00E65BE1" w:rsidP="00E65BE1">
            <w:pPr>
              <w:jc w:val="left"/>
              <w:rPr>
                <w:i/>
              </w:rPr>
            </w:pPr>
            <w:r w:rsidRPr="00E65BE1">
              <w:rPr>
                <w:i/>
              </w:rPr>
              <w:t>“If spontaneous mutants or sports were found by growers (e.g. in ornamentals or fruits) there are often contracts in place that require reporting.”</w:t>
            </w:r>
          </w:p>
          <w:p w:rsidR="00E65BE1" w:rsidRPr="00E65BE1" w:rsidRDefault="00E65BE1" w:rsidP="00E65BE1">
            <w:pPr>
              <w:jc w:val="left"/>
              <w:rPr>
                <w:i/>
              </w:rPr>
            </w:pPr>
          </w:p>
          <w:p w:rsidR="00E65BE1" w:rsidRPr="00E65BE1" w:rsidRDefault="00E65BE1" w:rsidP="00E65BE1">
            <w:pPr>
              <w:jc w:val="left"/>
              <w:rPr>
                <w:i/>
              </w:rPr>
            </w:pPr>
            <w:r w:rsidRPr="00E65BE1">
              <w:rPr>
                <w:i/>
              </w:rPr>
              <w:t xml:space="preserve">“Some companies report they have contracts with growers for the situation that spontaneous mutants occur.” </w:t>
            </w:r>
          </w:p>
        </w:tc>
      </w:tr>
      <w:tr w:rsidR="00E65BE1" w:rsidRPr="00E65BE1" w:rsidTr="00F50020">
        <w:trPr>
          <w:cantSplit/>
        </w:trPr>
        <w:tc>
          <w:tcPr>
            <w:tcW w:w="1305" w:type="dxa"/>
          </w:tcPr>
          <w:p w:rsidR="00E65BE1" w:rsidRPr="00E65BE1" w:rsidRDefault="00E65BE1" w:rsidP="00E65BE1">
            <w:pPr>
              <w:rPr>
                <w:i/>
              </w:rPr>
            </w:pPr>
            <w:r w:rsidRPr="00E65BE1">
              <w:rPr>
                <w:i/>
              </w:rPr>
              <w:t>Practice 12</w:t>
            </w:r>
          </w:p>
        </w:tc>
        <w:tc>
          <w:tcPr>
            <w:tcW w:w="8930" w:type="dxa"/>
          </w:tcPr>
          <w:p w:rsidR="00E65BE1" w:rsidRPr="00E65BE1" w:rsidRDefault="00E65BE1" w:rsidP="00E65BE1">
            <w:pPr>
              <w:jc w:val="left"/>
              <w:rPr>
                <w:i/>
              </w:rPr>
            </w:pPr>
            <w:r w:rsidRPr="00E65BE1">
              <w:rPr>
                <w:i/>
              </w:rPr>
              <w:t>“Other companies have a policy not to develop EDV’s themselves.”</w:t>
            </w:r>
          </w:p>
        </w:tc>
      </w:tr>
      <w:tr w:rsidR="00E65BE1" w:rsidRPr="00E65BE1" w:rsidTr="00F50020">
        <w:trPr>
          <w:cantSplit/>
        </w:trPr>
        <w:tc>
          <w:tcPr>
            <w:tcW w:w="1305" w:type="dxa"/>
          </w:tcPr>
          <w:p w:rsidR="00E65BE1" w:rsidRPr="00E65BE1" w:rsidRDefault="00E65BE1" w:rsidP="00E65BE1">
            <w:pPr>
              <w:rPr>
                <w:i/>
              </w:rPr>
            </w:pPr>
            <w:r w:rsidRPr="00E65BE1">
              <w:rPr>
                <w:i/>
              </w:rPr>
              <w:t>Practice 13</w:t>
            </w:r>
          </w:p>
        </w:tc>
        <w:tc>
          <w:tcPr>
            <w:tcW w:w="8930" w:type="dxa"/>
          </w:tcPr>
          <w:p w:rsidR="00E65BE1" w:rsidRPr="00E65BE1" w:rsidRDefault="00E65BE1" w:rsidP="00E65BE1">
            <w:pPr>
              <w:jc w:val="left"/>
              <w:rPr>
                <w:i/>
              </w:rPr>
            </w:pPr>
            <w:r w:rsidRPr="00E65BE1">
              <w:rPr>
                <w:i/>
              </w:rPr>
              <w:t>“Regarding spontaneous mutants that occur in ornamental and fruit crops mostly at the premises of growers, many breeders reply that their policy is to find agreement on commercializing the EDV if there is added value of bringing this mutant to the market.”</w:t>
            </w: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Method of breeding</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rPr>
                <w:i/>
              </w:rPr>
            </w:pPr>
            <w:r w:rsidRPr="00E65BE1">
              <w:rPr>
                <w:i/>
              </w:rPr>
              <w:t>Direct and indirect derivation</w:t>
            </w:r>
          </w:p>
          <w:p w:rsidR="00E65BE1" w:rsidRPr="00E65BE1" w:rsidRDefault="00E65BE1" w:rsidP="00E65BE1">
            <w:pPr>
              <w:jc w:val="left"/>
              <w:rPr>
                <w:i/>
              </w:rPr>
            </w:pPr>
          </w:p>
        </w:tc>
      </w:tr>
      <w:tr w:rsidR="00E65BE1" w:rsidRPr="00E65BE1" w:rsidTr="00F50020">
        <w:trPr>
          <w:cantSplit/>
          <w:trHeight w:val="547"/>
        </w:trPr>
        <w:tc>
          <w:tcPr>
            <w:tcW w:w="1305" w:type="dxa"/>
          </w:tcPr>
          <w:p w:rsidR="00E65BE1" w:rsidRPr="00E65BE1" w:rsidRDefault="00E65BE1" w:rsidP="00E65BE1">
            <w:pPr>
              <w:rPr>
                <w:i/>
              </w:rPr>
            </w:pPr>
          </w:p>
        </w:tc>
        <w:tc>
          <w:tcPr>
            <w:tcW w:w="8930" w:type="dxa"/>
          </w:tcPr>
          <w:p w:rsidR="00E65BE1" w:rsidRPr="00E65BE1" w:rsidRDefault="00E65BE1" w:rsidP="00E65BE1">
            <w:r w:rsidRPr="00E65BE1">
              <w:t>(c)</w:t>
            </w:r>
            <w:r w:rsidRPr="00E65BE1">
              <w:tab/>
              <w:t>Scope of the breeder’s right with respect to initial varieties and essentially derived varieties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r w:rsidRPr="00E65BE1">
              <w:t xml:space="preserve">(d) </w:t>
            </w:r>
            <w:r w:rsidRPr="00E65BE1">
              <w:tab/>
              <w:t>Territoriality of protection of initial varieties and essentially derived varieties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pPr>
            <w:r w:rsidRPr="00E65BE1">
              <w:t>(e)</w:t>
            </w:r>
            <w:r w:rsidRPr="00E65BE1">
              <w:tab/>
              <w:t>Transition from an earlier Act to the 1991 Act of the UPOV Convention</w:t>
            </w:r>
          </w:p>
          <w:p w:rsidR="00E65BE1" w:rsidRPr="00E65BE1" w:rsidRDefault="00E65BE1" w:rsidP="00E65BE1">
            <w:pPr>
              <w:jc w:val="left"/>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pPr>
          </w:p>
        </w:tc>
      </w:tr>
      <w:tr w:rsidR="00E65BE1" w:rsidRPr="00E65BE1" w:rsidTr="00F50020">
        <w:trPr>
          <w:cantSplit/>
        </w:trPr>
        <w:tc>
          <w:tcPr>
            <w:tcW w:w="1305" w:type="dxa"/>
          </w:tcPr>
          <w:p w:rsidR="00E65BE1" w:rsidRPr="00E65BE1" w:rsidRDefault="00E65BE1" w:rsidP="00E65BE1">
            <w:pPr>
              <w:rPr>
                <w:i/>
              </w:rPr>
            </w:pPr>
          </w:p>
        </w:tc>
        <w:tc>
          <w:tcPr>
            <w:tcW w:w="8930" w:type="dxa"/>
          </w:tcPr>
          <w:p w:rsidR="00E65BE1" w:rsidRPr="00E65BE1" w:rsidRDefault="00E65BE1" w:rsidP="00E65BE1">
            <w:pPr>
              <w:jc w:val="left"/>
            </w:pPr>
            <w:r w:rsidRPr="00E65BE1">
              <w:t>SECTION II:  ASSESSMENT OF ESSENTIALLY DERIVED VARIETIES</w:t>
            </w:r>
          </w:p>
        </w:tc>
      </w:tr>
      <w:tr w:rsidR="00E65BE1" w:rsidRPr="00E65BE1" w:rsidTr="00F50020">
        <w:trPr>
          <w:cantSplit/>
        </w:trPr>
        <w:tc>
          <w:tcPr>
            <w:tcW w:w="1305" w:type="dxa"/>
          </w:tcPr>
          <w:p w:rsidR="00E65BE1" w:rsidRPr="00E65BE1" w:rsidRDefault="00E65BE1" w:rsidP="00E65BE1">
            <w:pPr>
              <w:rPr>
                <w:i/>
              </w:rPr>
            </w:pPr>
            <w:r w:rsidRPr="00E65BE1">
              <w:rPr>
                <w:i/>
              </w:rPr>
              <w:t>Practice 14</w:t>
            </w:r>
          </w:p>
        </w:tc>
        <w:tc>
          <w:tcPr>
            <w:tcW w:w="8930" w:type="dxa"/>
          </w:tcPr>
          <w:p w:rsidR="00E65BE1" w:rsidRPr="00E65BE1" w:rsidRDefault="00E65BE1" w:rsidP="00E65BE1">
            <w:pPr>
              <w:jc w:val="left"/>
            </w:pPr>
            <w:r w:rsidRPr="00E65BE1">
              <w:rPr>
                <w:i/>
              </w:rPr>
              <w:t>“Some of those who commented state that when third parties developed EDVs it was possible to agree with the third parties and come to a settlement/license agreement</w:t>
            </w:r>
          </w:p>
        </w:tc>
      </w:tr>
      <w:tr w:rsidR="00E65BE1" w:rsidRPr="00E65BE1" w:rsidTr="00F50020">
        <w:trPr>
          <w:cantSplit/>
        </w:trPr>
        <w:tc>
          <w:tcPr>
            <w:tcW w:w="1305" w:type="dxa"/>
          </w:tcPr>
          <w:p w:rsidR="00E65BE1" w:rsidRPr="00E65BE1" w:rsidRDefault="00E65BE1" w:rsidP="00E65BE1">
            <w:pPr>
              <w:rPr>
                <w:i/>
              </w:rPr>
            </w:pPr>
            <w:r w:rsidRPr="00E65BE1">
              <w:rPr>
                <w:i/>
              </w:rPr>
              <w:t>Practice 15</w:t>
            </w:r>
          </w:p>
        </w:tc>
        <w:tc>
          <w:tcPr>
            <w:tcW w:w="8930" w:type="dxa"/>
          </w:tcPr>
          <w:p w:rsidR="00E65BE1" w:rsidRPr="00E65BE1" w:rsidRDefault="00E65BE1" w:rsidP="00E65BE1">
            <w:pPr>
              <w:spacing w:after="60"/>
              <w:rPr>
                <w:rFonts w:eastAsia="Calibri" w:cs="Arial"/>
                <w:i/>
                <w:iCs/>
              </w:rPr>
            </w:pPr>
            <w:r w:rsidRPr="00E65BE1">
              <w:rPr>
                <w:rFonts w:eastAsia="Calibri" w:cs="Arial"/>
                <w:i/>
                <w:iCs/>
              </w:rPr>
              <w:t>“</w:t>
            </w:r>
            <w:r w:rsidRPr="00E65BE1">
              <w:rPr>
                <w:rFonts w:eastAsia="Calibri" w:cs="Arial"/>
                <w:i/>
                <w:iCs/>
                <w:spacing w:val="-2"/>
              </w:rPr>
              <w:t>Many companies report that they monitor varieties of other breeders, some do this by use of DNA analysis. Some companies report they have contracts with growers for the situation that spontaneous mutants occur. Other companies have a policy not to develop EDV’s themselves. Some companies don’t see the need for a policy as EDV’s are not an issue in their crops or are considering to develop a policy in the near future. Regarding spontaneous mutants that occur in ornamental and fruit crops mostly at the premises of growers, many breeders reply that their policy is to find agreement on commercializing the EDV if there is added value of bringing this mutant to the market.”</w:t>
            </w:r>
          </w:p>
        </w:tc>
      </w:tr>
      <w:tr w:rsidR="00E65BE1" w:rsidRPr="00E65BE1" w:rsidTr="00F50020">
        <w:trPr>
          <w:cantSplit/>
        </w:trPr>
        <w:tc>
          <w:tcPr>
            <w:tcW w:w="1305" w:type="dxa"/>
          </w:tcPr>
          <w:p w:rsidR="00E65BE1" w:rsidRPr="00E65BE1" w:rsidRDefault="00E65BE1" w:rsidP="00E65BE1">
            <w:pPr>
              <w:rPr>
                <w:i/>
              </w:rPr>
            </w:pPr>
            <w:r w:rsidRPr="00E65BE1">
              <w:rPr>
                <w:i/>
              </w:rPr>
              <w:lastRenderedPageBreak/>
              <w:t>Practice 16</w:t>
            </w:r>
          </w:p>
        </w:tc>
        <w:tc>
          <w:tcPr>
            <w:tcW w:w="8930" w:type="dxa"/>
          </w:tcPr>
          <w:p w:rsidR="00E65BE1" w:rsidRPr="00E65BE1" w:rsidRDefault="00E65BE1" w:rsidP="00E65BE1">
            <w:pPr>
              <w:jc w:val="left"/>
              <w:rPr>
                <w:i/>
              </w:rPr>
            </w:pPr>
            <w:r w:rsidRPr="00E65BE1">
              <w:rPr>
                <w:i/>
              </w:rPr>
              <w:t>“Many companies conduct surveillance in this regard, sometimes with the help of molecular markers. 42% of the respondents have declared that their company has identified third party varieties that are potential EDV of their own protected varieties”</w:t>
            </w:r>
          </w:p>
        </w:tc>
      </w:tr>
      <w:tr w:rsidR="00E65BE1" w:rsidRPr="00E65BE1" w:rsidTr="00F50020">
        <w:trPr>
          <w:cantSplit/>
        </w:trPr>
        <w:tc>
          <w:tcPr>
            <w:tcW w:w="1305" w:type="dxa"/>
          </w:tcPr>
          <w:p w:rsidR="00E65BE1" w:rsidRPr="00E65BE1" w:rsidRDefault="00E65BE1" w:rsidP="00E65BE1">
            <w:pPr>
              <w:rPr>
                <w:i/>
              </w:rPr>
            </w:pPr>
            <w:r w:rsidRPr="00E65BE1">
              <w:rPr>
                <w:i/>
              </w:rPr>
              <w:t>Practice 17</w:t>
            </w:r>
          </w:p>
        </w:tc>
        <w:tc>
          <w:tcPr>
            <w:tcW w:w="8930" w:type="dxa"/>
          </w:tcPr>
          <w:p w:rsidR="00E65BE1" w:rsidRPr="00E65BE1" w:rsidRDefault="00E65BE1" w:rsidP="00E65BE1">
            <w:pPr>
              <w:jc w:val="left"/>
              <w:rPr>
                <w:i/>
              </w:rPr>
            </w:pPr>
            <w:r w:rsidRPr="00E65BE1">
              <w:rPr>
                <w:i/>
              </w:rPr>
              <w:t>“Most respondents consider that conditions (threshold, protocols, etc…) to classify varieties as an EDV should be developed by breeders or at least with the involvement of breeders familiar with the crops, preferably at the global level in order to avoid differences country by country. Some hold the view that independent authorities should also be involved in such work”</w:t>
            </w:r>
          </w:p>
        </w:tc>
      </w:tr>
      <w:tr w:rsidR="00E65BE1" w:rsidRPr="00E65BE1" w:rsidTr="00F50020">
        <w:trPr>
          <w:cantSplit/>
        </w:trPr>
        <w:tc>
          <w:tcPr>
            <w:tcW w:w="1305" w:type="dxa"/>
          </w:tcPr>
          <w:p w:rsidR="00E65BE1" w:rsidRPr="00E65BE1" w:rsidRDefault="00E65BE1" w:rsidP="00E65BE1">
            <w:pPr>
              <w:rPr>
                <w:i/>
              </w:rPr>
            </w:pPr>
            <w:r w:rsidRPr="00E65BE1">
              <w:rPr>
                <w:i/>
              </w:rPr>
              <w:t>Practice 18</w:t>
            </w:r>
          </w:p>
        </w:tc>
        <w:tc>
          <w:tcPr>
            <w:tcW w:w="8930" w:type="dxa"/>
          </w:tcPr>
          <w:p w:rsidR="00E65BE1" w:rsidRPr="00E65BE1" w:rsidRDefault="00E65BE1" w:rsidP="00E65BE1">
            <w:pPr>
              <w:jc w:val="left"/>
              <w:rPr>
                <w:i/>
              </w:rPr>
            </w:pPr>
            <w:r w:rsidRPr="00E65BE1">
              <w:rPr>
                <w:i/>
              </w:rPr>
              <w:t>“Some seed breeders consider that having an EDV threshold by the sector is important but state that having the possibility to go for a legal action and a final decision by an  independent body (e.g. a court) should be available.”</w:t>
            </w:r>
          </w:p>
        </w:tc>
      </w:tr>
      <w:tr w:rsidR="00E65BE1" w:rsidRPr="00E65BE1" w:rsidTr="00F50020">
        <w:trPr>
          <w:cantSplit/>
        </w:trPr>
        <w:tc>
          <w:tcPr>
            <w:tcW w:w="1305" w:type="dxa"/>
          </w:tcPr>
          <w:p w:rsidR="00E65BE1" w:rsidRPr="00E65BE1" w:rsidRDefault="00E65BE1" w:rsidP="00E65BE1">
            <w:pPr>
              <w:rPr>
                <w:i/>
              </w:rPr>
            </w:pPr>
            <w:r w:rsidRPr="00E65BE1">
              <w:rPr>
                <w:i/>
              </w:rPr>
              <w:t>Practice 19</w:t>
            </w:r>
          </w:p>
        </w:tc>
        <w:tc>
          <w:tcPr>
            <w:tcW w:w="8930" w:type="dxa"/>
          </w:tcPr>
          <w:p w:rsidR="00E65BE1" w:rsidRPr="00E65BE1" w:rsidRDefault="00E65BE1" w:rsidP="00E65BE1">
            <w:pPr>
              <w:jc w:val="left"/>
              <w:rPr>
                <w:i/>
              </w:rPr>
            </w:pPr>
            <w:r w:rsidRPr="00E65BE1">
              <w:rPr>
                <w:i/>
              </w:rPr>
              <w:t>“Some thought this question was not so easy to answer. Either because some felt that an independent authority would be better placed to delineate objectively between an EDV and the normal offspring from standard crosses; or because some considered that interests between breeders of the initial varieties and developers of EDVs will obviously differ.”</w:t>
            </w:r>
          </w:p>
        </w:tc>
      </w:tr>
      <w:tr w:rsidR="00E65BE1" w:rsidRPr="00E65BE1" w:rsidTr="00F50020">
        <w:trPr>
          <w:cantSplit/>
        </w:trPr>
        <w:tc>
          <w:tcPr>
            <w:tcW w:w="1305" w:type="dxa"/>
          </w:tcPr>
          <w:p w:rsidR="00E65BE1" w:rsidRPr="00E65BE1" w:rsidRDefault="00E65BE1" w:rsidP="00E65BE1">
            <w:pPr>
              <w:rPr>
                <w:i/>
              </w:rPr>
            </w:pPr>
            <w:r w:rsidRPr="00E65BE1">
              <w:rPr>
                <w:i/>
              </w:rPr>
              <w:t>Practice 20</w:t>
            </w:r>
            <w:r w:rsidRPr="00E65BE1">
              <w:rPr>
                <w:b/>
                <w:i/>
              </w:rPr>
              <w:t>*</w:t>
            </w:r>
          </w:p>
        </w:tc>
        <w:tc>
          <w:tcPr>
            <w:tcW w:w="8930" w:type="dxa"/>
          </w:tcPr>
          <w:p w:rsidR="00E65BE1" w:rsidRPr="00E65BE1" w:rsidRDefault="00E65BE1" w:rsidP="00E65BE1">
            <w:pPr>
              <w:jc w:val="left"/>
              <w:rPr>
                <w:i/>
              </w:rPr>
            </w:pPr>
            <w:r w:rsidRPr="00E65BE1">
              <w:rPr>
                <w:i/>
              </w:rPr>
              <w:t>“Most companies prefer decision by courts or arbitration, but some see also a role for PVP authorities in respect of technical questions.</w:t>
            </w:r>
          </w:p>
        </w:tc>
      </w:tr>
      <w:tr w:rsidR="00E65BE1" w:rsidRPr="00E65BE1" w:rsidTr="00F50020">
        <w:trPr>
          <w:cantSplit/>
        </w:trPr>
        <w:tc>
          <w:tcPr>
            <w:tcW w:w="1305" w:type="dxa"/>
          </w:tcPr>
          <w:p w:rsidR="00E65BE1" w:rsidRPr="00E65BE1" w:rsidRDefault="00E65BE1" w:rsidP="00E65BE1">
            <w:pPr>
              <w:rPr>
                <w:i/>
              </w:rPr>
            </w:pPr>
            <w:r w:rsidRPr="00E65BE1">
              <w:rPr>
                <w:i/>
              </w:rPr>
              <w:t>Practice 21</w:t>
            </w:r>
          </w:p>
        </w:tc>
        <w:tc>
          <w:tcPr>
            <w:tcW w:w="8930" w:type="dxa"/>
          </w:tcPr>
          <w:p w:rsidR="00E65BE1" w:rsidRPr="00E65BE1" w:rsidRDefault="00E65BE1" w:rsidP="00E65BE1">
            <w:pPr>
              <w:jc w:val="left"/>
              <w:rPr>
                <w:i/>
              </w:rPr>
            </w:pPr>
            <w:r w:rsidRPr="00E65BE1">
              <w:rPr>
                <w:i/>
              </w:rPr>
              <w:t>“It is often said that PVP authorities are expected to have a better (technical) knowledge than courts and/or arbitrators, depending on specific country situation. Therefore, the involvement of PVP offices as experts in a court or an arbitration panel can be valuable. Some would like to see that PVP authorities make a decision regarding potential EDV-status of a variety during the application procedure (which is expected to be cheaper than a court procedure) which could be followed by a procedure to go to court or arbitration. Others are of the opinion that PVP authorities should remain independent and not choose side in a dispute between companies. Furthermore, in a legal dispute many questions will be raised which require legal expertise and go beyond the expertise of a PVP authority, such as the validity of the title(s), the acts of infringement, liability and the level of compensation.”</w:t>
            </w:r>
          </w:p>
        </w:tc>
      </w:tr>
      <w:tr w:rsidR="00E65BE1" w:rsidRPr="00E65BE1" w:rsidTr="00F50020">
        <w:trPr>
          <w:cantSplit/>
        </w:trPr>
        <w:tc>
          <w:tcPr>
            <w:tcW w:w="1305" w:type="dxa"/>
          </w:tcPr>
          <w:p w:rsidR="00E65BE1" w:rsidRPr="00E65BE1" w:rsidRDefault="00E65BE1" w:rsidP="00E65BE1">
            <w:pPr>
              <w:rPr>
                <w:i/>
              </w:rPr>
            </w:pPr>
            <w:r w:rsidRPr="00E65BE1">
              <w:rPr>
                <w:i/>
              </w:rPr>
              <w:t>Practice 22</w:t>
            </w:r>
          </w:p>
        </w:tc>
        <w:tc>
          <w:tcPr>
            <w:tcW w:w="8930" w:type="dxa"/>
          </w:tcPr>
          <w:p w:rsidR="00E65BE1" w:rsidRPr="00E65BE1" w:rsidRDefault="00E65BE1" w:rsidP="00E65BE1">
            <w:pPr>
              <w:jc w:val="left"/>
              <w:rPr>
                <w:i/>
              </w:rPr>
            </w:pPr>
            <w:r w:rsidRPr="00E65BE1">
              <w:rPr>
                <w:i/>
              </w:rPr>
              <w:t>“many respondents from the seed sector indicated that they make use of the tools developed by the seed industry to prevent and help dispute resolutions.</w:t>
            </w:r>
          </w:p>
        </w:tc>
      </w:tr>
      <w:tr w:rsidR="00E65BE1" w:rsidRPr="00E65BE1" w:rsidTr="00F50020">
        <w:trPr>
          <w:cantSplit/>
        </w:trPr>
        <w:tc>
          <w:tcPr>
            <w:tcW w:w="1305" w:type="dxa"/>
          </w:tcPr>
          <w:p w:rsidR="00E65BE1" w:rsidRPr="00E65BE1" w:rsidRDefault="00E65BE1" w:rsidP="00E65BE1">
            <w:pPr>
              <w:rPr>
                <w:i/>
              </w:rPr>
            </w:pPr>
            <w:r w:rsidRPr="00E65BE1">
              <w:rPr>
                <w:i/>
              </w:rPr>
              <w:t>Practice 23</w:t>
            </w:r>
          </w:p>
        </w:tc>
        <w:tc>
          <w:tcPr>
            <w:tcW w:w="8930" w:type="dxa"/>
          </w:tcPr>
          <w:p w:rsidR="00E65BE1" w:rsidRPr="00E65BE1" w:rsidRDefault="00E65BE1" w:rsidP="00E65BE1">
            <w:pPr>
              <w:jc w:val="left"/>
              <w:rPr>
                <w:i/>
              </w:rPr>
            </w:pPr>
            <w:r w:rsidRPr="00E65BE1">
              <w:rPr>
                <w:i/>
              </w:rPr>
              <w:t xml:space="preserve">“ISF and Euroseeds have developed guidelines on EDV, setting genetic thresholds related to perennial ryegrass, maize, oilseed rape, cotton, lettuce and potatoes. </w:t>
            </w:r>
          </w:p>
          <w:p w:rsidR="00E65BE1" w:rsidRPr="00E65BE1" w:rsidRDefault="00AE100B" w:rsidP="00E65BE1">
            <w:pPr>
              <w:jc w:val="left"/>
              <w:rPr>
                <w:i/>
              </w:rPr>
            </w:pPr>
            <w:hyperlink r:id="rId14" w:anchor="essential-derivation" w:history="1">
              <w:r w:rsidR="00E65BE1" w:rsidRPr="00E65BE1">
                <w:rPr>
                  <w:i/>
                  <w:color w:val="0000FF"/>
                  <w:u w:val="single"/>
                </w:rPr>
                <w:t>https://www.worldseed.org/our-work/trade-rules/#essential-derivation</w:t>
              </w:r>
            </w:hyperlink>
            <w:r w:rsidR="00E65BE1" w:rsidRPr="00E65BE1">
              <w:rPr>
                <w:i/>
              </w:rPr>
              <w:t xml:space="preserve"> </w:t>
            </w:r>
          </w:p>
          <w:p w:rsidR="00E65BE1" w:rsidRPr="00E65BE1" w:rsidRDefault="00AE100B" w:rsidP="00E65BE1">
            <w:pPr>
              <w:jc w:val="left"/>
              <w:rPr>
                <w:i/>
              </w:rPr>
            </w:pPr>
            <w:hyperlink r:id="rId15" w:history="1">
              <w:r w:rsidR="00E65BE1" w:rsidRPr="00E65BE1">
                <w:rPr>
                  <w:i/>
                  <w:color w:val="0000FF"/>
                  <w:u w:val="single"/>
                </w:rPr>
                <w:t>https://www.euroseeds.eu/app/uploads/2019/07/12.0838.pdf</w:t>
              </w:r>
            </w:hyperlink>
            <w:r w:rsidR="00E65BE1" w:rsidRPr="00E65BE1">
              <w:rPr>
                <w:i/>
              </w:rPr>
              <w:t xml:space="preserve">” </w:t>
            </w:r>
          </w:p>
        </w:tc>
      </w:tr>
      <w:tr w:rsidR="00E65BE1" w:rsidRPr="00E65BE1" w:rsidTr="00F50020">
        <w:trPr>
          <w:cantSplit/>
        </w:trPr>
        <w:tc>
          <w:tcPr>
            <w:tcW w:w="1305" w:type="dxa"/>
          </w:tcPr>
          <w:p w:rsidR="00E65BE1" w:rsidRPr="00E65BE1" w:rsidRDefault="00E65BE1" w:rsidP="00E65BE1">
            <w:pPr>
              <w:rPr>
                <w:i/>
              </w:rPr>
            </w:pPr>
            <w:r w:rsidRPr="00E65BE1">
              <w:rPr>
                <w:i/>
              </w:rPr>
              <w:t>Practice 24</w:t>
            </w:r>
          </w:p>
        </w:tc>
        <w:tc>
          <w:tcPr>
            <w:tcW w:w="8930" w:type="dxa"/>
          </w:tcPr>
          <w:p w:rsidR="00E65BE1" w:rsidRPr="00E65BE1" w:rsidRDefault="00E65BE1" w:rsidP="00E65BE1">
            <w:pPr>
              <w:jc w:val="left"/>
            </w:pPr>
            <w:r w:rsidRPr="00E65BE1">
              <w:t>“82% of the respondents declared that their company did not actively develop varieties that are potential EDV of protected varieties from other companies.</w:t>
            </w:r>
          </w:p>
          <w:p w:rsidR="00E65BE1" w:rsidRPr="00E65BE1" w:rsidRDefault="00E65BE1" w:rsidP="00E65BE1">
            <w:pPr>
              <w:jc w:val="left"/>
            </w:pPr>
            <w:r w:rsidRPr="00E65BE1">
              <w:t>The vast majority of breeders try to avoid developing EDVs e.g. by working with their own material when conducting mutagenesis breeding or by performing cross breeding when working with material of competitors. However, some note that it is not the purpose to absolutely avoid EDV development, and they mention that they initiate dialog with the owner of the initial variety when needed.”</w:t>
            </w:r>
          </w:p>
        </w:tc>
      </w:tr>
      <w:tr w:rsidR="00E65BE1" w:rsidRPr="00E65BE1" w:rsidTr="00F50020">
        <w:trPr>
          <w:cantSplit/>
        </w:trPr>
        <w:tc>
          <w:tcPr>
            <w:tcW w:w="1305" w:type="dxa"/>
          </w:tcPr>
          <w:p w:rsidR="00E65BE1" w:rsidRPr="00E65BE1" w:rsidRDefault="00E65BE1" w:rsidP="00E65BE1">
            <w:pPr>
              <w:rPr>
                <w:i/>
              </w:rPr>
            </w:pPr>
            <w:r w:rsidRPr="00E65BE1">
              <w:rPr>
                <w:i/>
              </w:rPr>
              <w:t>Practice 25</w:t>
            </w:r>
          </w:p>
        </w:tc>
        <w:tc>
          <w:tcPr>
            <w:tcW w:w="8930" w:type="dxa"/>
          </w:tcPr>
          <w:p w:rsidR="00E65BE1" w:rsidRPr="00E65BE1" w:rsidRDefault="00E65BE1" w:rsidP="00E65BE1">
            <w:pPr>
              <w:rPr>
                <w:rFonts w:cs="Arial"/>
                <w:i/>
              </w:rPr>
            </w:pPr>
            <w:r w:rsidRPr="00E65BE1">
              <w:rPr>
                <w:rFonts w:cs="Arial"/>
                <w:i/>
              </w:rPr>
              <w:t>“Some note that they do not actively monitor EDV development by third parties.”</w:t>
            </w:r>
          </w:p>
          <w:p w:rsidR="00E65BE1" w:rsidRPr="00E65BE1" w:rsidRDefault="00E65BE1" w:rsidP="00E65BE1">
            <w:pPr>
              <w:jc w:val="left"/>
              <w:rPr>
                <w:i/>
              </w:rPr>
            </w:pPr>
          </w:p>
        </w:tc>
      </w:tr>
      <w:tr w:rsidR="00E65BE1" w:rsidRPr="00E65BE1" w:rsidTr="00F50020">
        <w:trPr>
          <w:cantSplit/>
        </w:trPr>
        <w:tc>
          <w:tcPr>
            <w:tcW w:w="1305" w:type="dxa"/>
          </w:tcPr>
          <w:p w:rsidR="00E65BE1" w:rsidRPr="00E65BE1" w:rsidRDefault="00E65BE1" w:rsidP="00E65BE1">
            <w:pPr>
              <w:rPr>
                <w:i/>
              </w:rPr>
            </w:pPr>
            <w:r w:rsidRPr="00E65BE1">
              <w:rPr>
                <w:i/>
              </w:rPr>
              <w:t>Practice 26</w:t>
            </w:r>
          </w:p>
        </w:tc>
        <w:tc>
          <w:tcPr>
            <w:tcW w:w="8930" w:type="dxa"/>
          </w:tcPr>
          <w:p w:rsidR="00E65BE1" w:rsidRPr="00E65BE1" w:rsidRDefault="00E65BE1" w:rsidP="00E65BE1">
            <w:pPr>
              <w:rPr>
                <w:rFonts w:cs="Arial"/>
                <w:i/>
              </w:rPr>
            </w:pPr>
            <w:r w:rsidRPr="00E65BE1">
              <w:rPr>
                <w:rFonts w:cs="Arial"/>
                <w:i/>
              </w:rPr>
              <w:t>“the majority of the respondents do not have a company policy in place to deal with EDV-related issues”</w:t>
            </w:r>
          </w:p>
        </w:tc>
      </w:tr>
      <w:tr w:rsidR="00E65BE1" w:rsidRPr="00E65BE1" w:rsidTr="00F50020">
        <w:trPr>
          <w:cantSplit/>
        </w:trPr>
        <w:tc>
          <w:tcPr>
            <w:tcW w:w="1305" w:type="dxa"/>
          </w:tcPr>
          <w:p w:rsidR="00E65BE1" w:rsidRPr="00E65BE1" w:rsidRDefault="00E65BE1" w:rsidP="00E65BE1">
            <w:pPr>
              <w:rPr>
                <w:i/>
              </w:rPr>
            </w:pPr>
            <w:r w:rsidRPr="00E65BE1">
              <w:rPr>
                <w:i/>
              </w:rPr>
              <w:t>Practice 27</w:t>
            </w:r>
          </w:p>
        </w:tc>
        <w:tc>
          <w:tcPr>
            <w:tcW w:w="8930" w:type="dxa"/>
          </w:tcPr>
          <w:p w:rsidR="00E65BE1" w:rsidRPr="00E65BE1" w:rsidRDefault="00E65BE1" w:rsidP="00E65BE1">
            <w:pPr>
              <w:rPr>
                <w:rFonts w:cs="Arial"/>
                <w:i/>
              </w:rPr>
            </w:pPr>
            <w:r w:rsidRPr="00E65BE1">
              <w:rPr>
                <w:rFonts w:cs="Arial"/>
                <w:i/>
              </w:rPr>
              <w:t>“Many companies have given instructions internally, to their breeders to avoid the making of EDV’s, either by using plant material of other breeders only for making crossings or by doing mutation breeding on own material only.”</w:t>
            </w:r>
          </w:p>
        </w:tc>
      </w:tr>
      <w:tr w:rsidR="00E65BE1" w:rsidRPr="00E65BE1" w:rsidTr="00F50020">
        <w:trPr>
          <w:cantSplit/>
        </w:trPr>
        <w:tc>
          <w:tcPr>
            <w:tcW w:w="1305" w:type="dxa"/>
          </w:tcPr>
          <w:p w:rsidR="00E65BE1" w:rsidRPr="00E65BE1" w:rsidRDefault="00E65BE1" w:rsidP="00E65BE1">
            <w:pPr>
              <w:rPr>
                <w:i/>
              </w:rPr>
            </w:pPr>
            <w:r w:rsidRPr="00E65BE1">
              <w:rPr>
                <w:i/>
              </w:rPr>
              <w:t>Practice 28</w:t>
            </w:r>
          </w:p>
        </w:tc>
        <w:tc>
          <w:tcPr>
            <w:tcW w:w="8930" w:type="dxa"/>
          </w:tcPr>
          <w:p w:rsidR="00E65BE1" w:rsidRPr="00E65BE1" w:rsidRDefault="00E65BE1" w:rsidP="00E65BE1">
            <w:pPr>
              <w:rPr>
                <w:rFonts w:cs="Arial"/>
                <w:i/>
              </w:rPr>
            </w:pPr>
            <w:r w:rsidRPr="00E65BE1">
              <w:rPr>
                <w:rFonts w:cs="Arial"/>
                <w:i/>
              </w:rPr>
              <w:t>“Some companies working with hybrid crops report instructions not to make too many back crossings and to check that the new variety is distinct enough. Some breeders report that although they have no written policy, their staff is aware of the issue.”</w:t>
            </w:r>
          </w:p>
        </w:tc>
      </w:tr>
    </w:tbl>
    <w:p w:rsidR="00E65BE1" w:rsidRPr="00E65BE1" w:rsidRDefault="00E65BE1" w:rsidP="00E65BE1">
      <w:pPr>
        <w:rPr>
          <w:rFonts w:cs="Arial"/>
        </w:rPr>
      </w:pPr>
    </w:p>
    <w:p w:rsidR="003564F1" w:rsidRDefault="003564F1" w:rsidP="00E65BE1">
      <w:pPr>
        <w:rPr>
          <w:rFonts w:cs="Arial"/>
        </w:rPr>
      </w:pPr>
    </w:p>
    <w:p w:rsidR="00771780" w:rsidRDefault="00771780" w:rsidP="00E65BE1">
      <w:pPr>
        <w:rPr>
          <w:rFonts w:cs="Arial"/>
        </w:rPr>
      </w:pPr>
    </w:p>
    <w:p w:rsidR="00771780" w:rsidRDefault="00771780" w:rsidP="00771780">
      <w:pPr>
        <w:jc w:val="right"/>
        <w:rPr>
          <w:rFonts w:cs="Arial"/>
        </w:rPr>
        <w:sectPr w:rsidR="00771780" w:rsidSect="00F50020">
          <w:headerReference w:type="default" r:id="rId16"/>
          <w:headerReference w:type="first" r:id="rId17"/>
          <w:endnotePr>
            <w:numFmt w:val="lowerLetter"/>
          </w:endnotePr>
          <w:pgSz w:w="11907" w:h="16840" w:code="9"/>
          <w:pgMar w:top="510" w:right="1134" w:bottom="993" w:left="1134" w:header="510" w:footer="624" w:gutter="0"/>
          <w:pgNumType w:start="1"/>
          <w:cols w:space="720"/>
          <w:titlePg/>
        </w:sectPr>
      </w:pPr>
      <w:r>
        <w:rPr>
          <w:rFonts w:cs="Arial"/>
        </w:rPr>
        <w:t>[Annex III follows]</w:t>
      </w:r>
    </w:p>
    <w:p w:rsidR="003564F1" w:rsidRPr="004F4639" w:rsidRDefault="004F4639" w:rsidP="004F4639">
      <w:r w:rsidRPr="004F4639">
        <w:lastRenderedPageBreak/>
        <w:t>BACKGROUND</w:t>
      </w:r>
    </w:p>
    <w:p w:rsidR="003564F1" w:rsidRPr="00E65BE1" w:rsidRDefault="003564F1" w:rsidP="003564F1">
      <w:pPr>
        <w:keepNext/>
        <w:jc w:val="left"/>
        <w:rPr>
          <w:rFonts w:cs="Arial"/>
          <w:u w:val="single"/>
        </w:rPr>
      </w:pPr>
    </w:p>
    <w:p w:rsidR="003564F1" w:rsidRPr="007A74A9" w:rsidRDefault="003564F1" w:rsidP="003564F1">
      <w:pPr>
        <w:keepNext/>
        <w:autoSpaceDE w:val="0"/>
        <w:autoSpaceDN w:val="0"/>
        <w:adjustRightInd w:val="0"/>
        <w:rPr>
          <w:rFonts w:cs="Arial"/>
          <w:szCs w:val="24"/>
          <w:lang w:eastAsia="ja-JP" w:bidi="th-TH"/>
        </w:rPr>
      </w:pPr>
      <w:r w:rsidRPr="007A74A9">
        <w:rPr>
          <w:rFonts w:cs="Arial"/>
          <w:lang w:eastAsia="ja-JP" w:bidi="th-TH"/>
        </w:rPr>
        <w:t xml:space="preserve">The </w:t>
      </w:r>
      <w:r w:rsidRPr="007A74A9">
        <w:rPr>
          <w:rFonts w:eastAsiaTheme="minorEastAsia" w:cs="Arial"/>
          <w:color w:val="000000"/>
        </w:rPr>
        <w:t>Administrative and Legal Committee (CAJ),</w:t>
      </w:r>
      <w:r w:rsidRPr="007A74A9">
        <w:rPr>
          <w:rFonts w:eastAsiaTheme="minorEastAsia" w:cs="Arial"/>
        </w:rPr>
        <w:t xml:space="preserve"> at its seventy-sixth session, held in Geneva on October 30, 2019, agreed the matters in the following paragraphs (see below extracts from document CAJ/76/9 “Report”, </w:t>
      </w:r>
      <w:r w:rsidRPr="007A74A9">
        <w:rPr>
          <w:rFonts w:cs="Arial"/>
          <w:szCs w:val="18"/>
          <w:lang w:eastAsia="ja-JP" w:bidi="th-TH"/>
        </w:rPr>
        <w:t>paragraphs 9 to 13</w:t>
      </w:r>
      <w:r w:rsidRPr="007A74A9">
        <w:rPr>
          <w:rFonts w:eastAsiaTheme="minorEastAsia" w:cs="Arial"/>
        </w:rPr>
        <w:t xml:space="preserve">). </w:t>
      </w:r>
    </w:p>
    <w:p w:rsidR="003564F1" w:rsidRPr="003564F1" w:rsidRDefault="003564F1" w:rsidP="003564F1">
      <w:pPr>
        <w:keepNext/>
        <w:tabs>
          <w:tab w:val="left" w:pos="284"/>
          <w:tab w:val="left" w:pos="851"/>
        </w:tabs>
        <w:autoSpaceDE w:val="0"/>
        <w:autoSpaceDN w:val="0"/>
        <w:adjustRightInd w:val="0"/>
        <w:rPr>
          <w:rFonts w:cs="Angsana New"/>
          <w:sz w:val="16"/>
          <w:szCs w:val="24"/>
          <w:lang w:eastAsia="ja-JP" w:bidi="th-TH"/>
        </w:rPr>
      </w:pPr>
    </w:p>
    <w:p w:rsidR="003564F1" w:rsidRPr="00E65BE1" w:rsidRDefault="003564F1" w:rsidP="003564F1">
      <w:pPr>
        <w:keepNext/>
        <w:ind w:left="567" w:right="567"/>
        <w:rPr>
          <w:sz w:val="18"/>
          <w:u w:val="single"/>
        </w:rPr>
      </w:pPr>
      <w:r w:rsidRPr="00E65BE1">
        <w:rPr>
          <w:sz w:val="18"/>
        </w:rPr>
        <w:t>“</w:t>
      </w:r>
      <w:r w:rsidRPr="00E65BE1">
        <w:rPr>
          <w:sz w:val="18"/>
          <w:u w:val="single"/>
        </w:rPr>
        <w:t xml:space="preserve">Essentially Derived Varieties </w:t>
      </w:r>
    </w:p>
    <w:p w:rsidR="003564F1" w:rsidRPr="003564F1" w:rsidRDefault="003564F1" w:rsidP="003564F1">
      <w:pPr>
        <w:keepNext/>
        <w:tabs>
          <w:tab w:val="left" w:pos="284"/>
          <w:tab w:val="left" w:pos="567"/>
          <w:tab w:val="left" w:pos="851"/>
        </w:tabs>
        <w:autoSpaceDE w:val="0"/>
        <w:autoSpaceDN w:val="0"/>
        <w:adjustRightInd w:val="0"/>
        <w:ind w:left="567" w:right="567"/>
        <w:rPr>
          <w:rFonts w:cs="Angsana New"/>
          <w:sz w:val="16"/>
          <w:szCs w:val="18"/>
          <w:lang w:eastAsia="ja-JP" w:bidi="th-TH"/>
        </w:rPr>
      </w:pPr>
    </w:p>
    <w:p w:rsidR="003564F1" w:rsidRPr="00E65BE1" w:rsidRDefault="003564F1" w:rsidP="003564F1">
      <w:pPr>
        <w:tabs>
          <w:tab w:val="left" w:pos="567"/>
          <w:tab w:val="left" w:pos="1134"/>
        </w:tabs>
        <w:ind w:left="567" w:right="567"/>
        <w:rPr>
          <w:sz w:val="18"/>
          <w:szCs w:val="18"/>
        </w:rPr>
      </w:pPr>
      <w:r w:rsidRPr="00E65BE1">
        <w:rPr>
          <w:sz w:val="18"/>
          <w:szCs w:val="18"/>
        </w:rPr>
        <w:t>“9.</w:t>
      </w:r>
      <w:r w:rsidRPr="00E65BE1">
        <w:rPr>
          <w:sz w:val="18"/>
          <w:szCs w:val="18"/>
        </w:rPr>
        <w:tab/>
        <w:t>The CAJ considered document CAJ/76/3.</w:t>
      </w:r>
    </w:p>
    <w:p w:rsidR="003564F1" w:rsidRPr="003564F1" w:rsidRDefault="003564F1" w:rsidP="003564F1">
      <w:pPr>
        <w:tabs>
          <w:tab w:val="left" w:pos="567"/>
        </w:tabs>
        <w:ind w:left="567" w:right="567"/>
        <w:rPr>
          <w:sz w:val="16"/>
          <w:szCs w:val="18"/>
        </w:rPr>
      </w:pPr>
    </w:p>
    <w:p w:rsidR="003564F1" w:rsidRPr="00E65BE1" w:rsidRDefault="003564F1" w:rsidP="003564F1">
      <w:pPr>
        <w:tabs>
          <w:tab w:val="left" w:pos="567"/>
        </w:tabs>
        <w:ind w:left="567" w:right="567"/>
        <w:rPr>
          <w:sz w:val="18"/>
          <w:szCs w:val="18"/>
        </w:rPr>
      </w:pPr>
      <w:r w:rsidRPr="00E65BE1">
        <w:rPr>
          <w:sz w:val="18"/>
          <w:szCs w:val="18"/>
        </w:rPr>
        <w:t>“10.</w:t>
      </w:r>
      <w:r w:rsidRPr="00E65BE1">
        <w:rPr>
          <w:sz w:val="18"/>
          <w:szCs w:val="18"/>
        </w:rPr>
        <w:tab/>
        <w:t>The CAJ noted the background information and developments concerning EDVs, including relevant matters on the ‘Seminar on the impact of policy on essentially derived varieties (EDVs) on breeding strategy’, as set out in paragraphs 4 to 15 of document CAJ/76/3.</w:t>
      </w:r>
    </w:p>
    <w:p w:rsidR="003564F1" w:rsidRPr="003564F1" w:rsidRDefault="003564F1" w:rsidP="003564F1">
      <w:pPr>
        <w:tabs>
          <w:tab w:val="left" w:pos="567"/>
        </w:tabs>
        <w:ind w:left="567" w:right="567"/>
        <w:rPr>
          <w:sz w:val="16"/>
          <w:szCs w:val="18"/>
        </w:rPr>
      </w:pPr>
    </w:p>
    <w:p w:rsidR="003564F1" w:rsidRPr="00E65BE1" w:rsidRDefault="003564F1" w:rsidP="003564F1">
      <w:pPr>
        <w:tabs>
          <w:tab w:val="left" w:pos="567"/>
        </w:tabs>
        <w:ind w:left="567" w:right="567"/>
        <w:rPr>
          <w:sz w:val="18"/>
          <w:szCs w:val="18"/>
        </w:rPr>
      </w:pPr>
      <w:r w:rsidRPr="00E65BE1">
        <w:rPr>
          <w:sz w:val="18"/>
          <w:szCs w:val="18"/>
        </w:rPr>
        <w:t>“11.</w:t>
      </w:r>
      <w:r w:rsidRPr="00E65BE1">
        <w:rPr>
          <w:sz w:val="18"/>
          <w:szCs w:val="18"/>
        </w:rPr>
        <w:tab/>
      </w:r>
      <w:r w:rsidRPr="00E65BE1">
        <w:rPr>
          <w:rFonts w:eastAsiaTheme="minorEastAsia"/>
          <w:sz w:val="18"/>
          <w:szCs w:val="18"/>
        </w:rPr>
        <w:t xml:space="preserve">The CAJ noted the information on the presentations and noted </w:t>
      </w:r>
      <w:r w:rsidRPr="00E65BE1">
        <w:rPr>
          <w:snapToGrid w:val="0"/>
          <w:sz w:val="18"/>
          <w:szCs w:val="18"/>
        </w:rPr>
        <w:t>the following oral summary by the Chair of the CAJ</w:t>
      </w:r>
      <w:r w:rsidRPr="00E65BE1">
        <w:rPr>
          <w:rFonts w:eastAsiaTheme="minorEastAsia"/>
          <w:sz w:val="18"/>
          <w:szCs w:val="18"/>
        </w:rPr>
        <w:t xml:space="preserve"> concerning the outcome of the ‘Seminar on the impact of policy on essentially derived varieties (EDVs) on breeding strategy’, held on the morning of October 30, 2019</w:t>
      </w:r>
      <w:r w:rsidRPr="00E65BE1">
        <w:rPr>
          <w:sz w:val="18"/>
          <w:szCs w:val="18"/>
        </w:rPr>
        <w:t>:</w:t>
      </w:r>
    </w:p>
    <w:p w:rsidR="003564F1" w:rsidRPr="003564F1" w:rsidRDefault="003564F1" w:rsidP="003564F1">
      <w:pPr>
        <w:tabs>
          <w:tab w:val="left" w:pos="567"/>
        </w:tabs>
        <w:ind w:left="360" w:right="567"/>
        <w:rPr>
          <w:sz w:val="12"/>
          <w:szCs w:val="18"/>
        </w:rPr>
      </w:pPr>
    </w:p>
    <w:p w:rsidR="003564F1" w:rsidRPr="00E65BE1" w:rsidRDefault="003564F1" w:rsidP="003564F1">
      <w:pPr>
        <w:numPr>
          <w:ilvl w:val="0"/>
          <w:numId w:val="3"/>
        </w:numPr>
        <w:tabs>
          <w:tab w:val="left" w:pos="567"/>
        </w:tabs>
        <w:ind w:left="1276" w:right="567"/>
        <w:contextualSpacing/>
        <w:rPr>
          <w:rFonts w:eastAsiaTheme="minorEastAsia"/>
          <w:sz w:val="18"/>
          <w:szCs w:val="18"/>
        </w:rPr>
      </w:pPr>
      <w:r w:rsidRPr="00E65BE1">
        <w:rPr>
          <w:rFonts w:eastAsiaTheme="minorEastAsia"/>
          <w:sz w:val="18"/>
          <w:szCs w:val="18"/>
        </w:rPr>
        <w:t xml:space="preserve">“‘Evidence that the current UPOV guidance does not reflect the practice amongst breeders in the understanding of essentially derived varieties </w:t>
      </w:r>
    </w:p>
    <w:p w:rsidR="003564F1" w:rsidRPr="003564F1" w:rsidRDefault="003564F1" w:rsidP="003564F1">
      <w:pPr>
        <w:tabs>
          <w:tab w:val="left" w:pos="567"/>
        </w:tabs>
        <w:ind w:left="1276" w:right="567"/>
        <w:rPr>
          <w:rFonts w:eastAsiaTheme="minorEastAsia"/>
          <w:sz w:val="16"/>
          <w:szCs w:val="18"/>
        </w:rPr>
      </w:pPr>
      <w:r w:rsidRPr="00E65BE1">
        <w:rPr>
          <w:rFonts w:eastAsiaTheme="minorEastAsia"/>
          <w:sz w:val="18"/>
          <w:szCs w:val="18"/>
        </w:rPr>
        <w:t xml:space="preserve"> </w:t>
      </w:r>
    </w:p>
    <w:p w:rsidR="003564F1" w:rsidRPr="00E65BE1" w:rsidRDefault="003564F1" w:rsidP="003564F1">
      <w:pPr>
        <w:numPr>
          <w:ilvl w:val="0"/>
          <w:numId w:val="3"/>
        </w:numPr>
        <w:tabs>
          <w:tab w:val="left" w:pos="567"/>
        </w:tabs>
        <w:ind w:left="1276" w:right="567"/>
        <w:contextualSpacing/>
        <w:rPr>
          <w:rFonts w:eastAsiaTheme="minorEastAsia"/>
          <w:sz w:val="18"/>
          <w:szCs w:val="18"/>
        </w:rPr>
      </w:pPr>
      <w:r w:rsidRPr="00E65BE1">
        <w:rPr>
          <w:rFonts w:eastAsiaTheme="minorEastAsia"/>
          <w:sz w:val="18"/>
          <w:szCs w:val="18"/>
        </w:rPr>
        <w:t xml:space="preserve">“‘Evolution of breeding technologies has created new opportunities/incentives for predominantly deriving varieties from initial varieties, more rapidly and at a lower cost  </w:t>
      </w:r>
    </w:p>
    <w:p w:rsidR="003564F1" w:rsidRPr="003564F1" w:rsidRDefault="003564F1" w:rsidP="003564F1">
      <w:pPr>
        <w:tabs>
          <w:tab w:val="left" w:pos="567"/>
        </w:tabs>
        <w:ind w:left="1276" w:right="567"/>
        <w:rPr>
          <w:rFonts w:eastAsiaTheme="minorEastAsia"/>
          <w:sz w:val="16"/>
          <w:szCs w:val="18"/>
        </w:rPr>
      </w:pPr>
      <w:r w:rsidRPr="00E65BE1">
        <w:rPr>
          <w:rFonts w:eastAsiaTheme="minorEastAsia"/>
          <w:sz w:val="18"/>
          <w:szCs w:val="18"/>
        </w:rPr>
        <w:t xml:space="preserve"> </w:t>
      </w:r>
    </w:p>
    <w:p w:rsidR="003564F1" w:rsidRPr="00E65BE1" w:rsidRDefault="003564F1" w:rsidP="003564F1">
      <w:pPr>
        <w:numPr>
          <w:ilvl w:val="0"/>
          <w:numId w:val="3"/>
        </w:numPr>
        <w:tabs>
          <w:tab w:val="left" w:pos="567"/>
        </w:tabs>
        <w:ind w:left="1276" w:right="567"/>
        <w:contextualSpacing/>
        <w:rPr>
          <w:rFonts w:eastAsiaTheme="minorEastAsia"/>
          <w:spacing w:val="-4"/>
          <w:sz w:val="18"/>
          <w:szCs w:val="18"/>
        </w:rPr>
      </w:pPr>
      <w:r w:rsidRPr="00E65BE1">
        <w:rPr>
          <w:rFonts w:eastAsiaTheme="minorEastAsia"/>
          <w:sz w:val="18"/>
          <w:szCs w:val="18"/>
        </w:rPr>
        <w:t>“‘Clear indication from presentations and discussions that the understanding and implementation of the EDV concept influences breeding strategy – therefore, it is important that UPOV guidance is tuned to maximize benefits to society in terms of maximizing progress in breeding.’</w:t>
      </w:r>
    </w:p>
    <w:p w:rsidR="003564F1" w:rsidRPr="003564F1" w:rsidRDefault="003564F1" w:rsidP="003564F1">
      <w:pPr>
        <w:tabs>
          <w:tab w:val="left" w:pos="567"/>
        </w:tabs>
        <w:ind w:left="360" w:right="567"/>
        <w:rPr>
          <w:rFonts w:eastAsiaTheme="minorEastAsia"/>
          <w:spacing w:val="-4"/>
          <w:sz w:val="16"/>
          <w:szCs w:val="18"/>
        </w:rPr>
      </w:pPr>
    </w:p>
    <w:p w:rsidR="003564F1" w:rsidRPr="00E65BE1" w:rsidRDefault="003564F1" w:rsidP="003564F1">
      <w:pPr>
        <w:tabs>
          <w:tab w:val="left" w:pos="567"/>
        </w:tabs>
        <w:ind w:left="567" w:right="567"/>
        <w:rPr>
          <w:rFonts w:eastAsiaTheme="minorEastAsia"/>
          <w:spacing w:val="-4"/>
          <w:sz w:val="18"/>
          <w:szCs w:val="18"/>
        </w:rPr>
      </w:pPr>
      <w:r w:rsidRPr="00E65BE1">
        <w:rPr>
          <w:spacing w:val="-4"/>
          <w:sz w:val="18"/>
          <w:szCs w:val="18"/>
        </w:rPr>
        <w:t>“12.</w:t>
      </w:r>
      <w:r w:rsidRPr="00E65BE1">
        <w:rPr>
          <w:spacing w:val="-4"/>
          <w:sz w:val="18"/>
          <w:szCs w:val="18"/>
        </w:rPr>
        <w:tab/>
      </w:r>
      <w:r w:rsidRPr="00E65BE1">
        <w:rPr>
          <w:rFonts w:eastAsiaTheme="minorEastAsia"/>
          <w:spacing w:val="-4"/>
          <w:sz w:val="18"/>
          <w:szCs w:val="18"/>
        </w:rPr>
        <w:t xml:space="preserve">On the basis of the outcome of the EDV Seminar, the CAJ agreed to open up the </w:t>
      </w:r>
      <w:r w:rsidRPr="00E65BE1">
        <w:rPr>
          <w:sz w:val="18"/>
          <w:szCs w:val="18"/>
        </w:rPr>
        <w:t>‘Explanatory Notes on Essentially Derived Varieties under the 1991 Act of the UPOV Convention’ (document UPOV/EXN/EDV/2) for revision.  As a first step, t</w:t>
      </w:r>
      <w:r w:rsidRPr="00E65BE1">
        <w:rPr>
          <w:rFonts w:eastAsiaTheme="minorEastAsia"/>
          <w:spacing w:val="-4"/>
          <w:sz w:val="18"/>
          <w:szCs w:val="18"/>
        </w:rPr>
        <w:t>he Office of the Union would:</w:t>
      </w:r>
    </w:p>
    <w:p w:rsidR="003564F1" w:rsidRPr="003564F1" w:rsidRDefault="003564F1" w:rsidP="003564F1">
      <w:pPr>
        <w:tabs>
          <w:tab w:val="left" w:pos="567"/>
        </w:tabs>
        <w:ind w:left="360" w:right="567"/>
        <w:rPr>
          <w:rFonts w:eastAsiaTheme="minorEastAsia"/>
          <w:spacing w:val="-4"/>
          <w:sz w:val="12"/>
          <w:szCs w:val="18"/>
        </w:rPr>
      </w:pPr>
    </w:p>
    <w:p w:rsidR="003564F1" w:rsidRPr="00E65BE1" w:rsidRDefault="003564F1" w:rsidP="003564F1">
      <w:pPr>
        <w:ind w:left="1134" w:right="567" w:firstLine="567"/>
        <w:rPr>
          <w:rFonts w:eastAsiaTheme="minorEastAsia"/>
          <w:spacing w:val="-4"/>
          <w:sz w:val="18"/>
          <w:szCs w:val="18"/>
        </w:rPr>
      </w:pPr>
      <w:r w:rsidRPr="00E65BE1">
        <w:rPr>
          <w:rFonts w:eastAsiaTheme="minorEastAsia"/>
          <w:spacing w:val="-4"/>
          <w:sz w:val="18"/>
          <w:szCs w:val="18"/>
        </w:rPr>
        <w:t>“(a)</w:t>
      </w:r>
      <w:r w:rsidRPr="00E65BE1">
        <w:rPr>
          <w:rFonts w:eastAsiaTheme="minorEastAsia"/>
          <w:spacing w:val="-4"/>
          <w:sz w:val="18"/>
          <w:szCs w:val="18"/>
        </w:rPr>
        <w:tab/>
        <w:t>invite members and observers to make contributions by correspondence on policy issues;</w:t>
      </w:r>
    </w:p>
    <w:p w:rsidR="003564F1" w:rsidRPr="003564F1" w:rsidRDefault="003564F1" w:rsidP="003564F1">
      <w:pPr>
        <w:ind w:left="1134" w:right="567" w:firstLine="567"/>
        <w:rPr>
          <w:rFonts w:eastAsiaTheme="minorEastAsia"/>
          <w:spacing w:val="-4"/>
          <w:sz w:val="16"/>
          <w:szCs w:val="18"/>
        </w:rPr>
      </w:pPr>
    </w:p>
    <w:p w:rsidR="003564F1" w:rsidRPr="00E65BE1" w:rsidRDefault="003564F1" w:rsidP="003564F1">
      <w:pPr>
        <w:ind w:left="1134" w:right="567" w:firstLine="567"/>
        <w:rPr>
          <w:rFonts w:eastAsiaTheme="minorEastAsia"/>
          <w:spacing w:val="-4"/>
          <w:sz w:val="18"/>
          <w:szCs w:val="18"/>
        </w:rPr>
      </w:pPr>
      <w:r w:rsidRPr="00E65BE1">
        <w:rPr>
          <w:rFonts w:eastAsiaTheme="minorEastAsia"/>
          <w:spacing w:val="-4"/>
          <w:sz w:val="18"/>
          <w:szCs w:val="18"/>
        </w:rPr>
        <w:t>“(b)</w:t>
      </w:r>
      <w:r w:rsidRPr="00E65BE1">
        <w:rPr>
          <w:rFonts w:eastAsiaTheme="minorEastAsia"/>
          <w:spacing w:val="-4"/>
          <w:sz w:val="18"/>
          <w:szCs w:val="18"/>
        </w:rPr>
        <w:tab/>
        <w:t xml:space="preserve">invite breeders to provide information on customs and practices on EDV;  and </w:t>
      </w:r>
    </w:p>
    <w:p w:rsidR="003564F1" w:rsidRPr="003564F1" w:rsidRDefault="003564F1" w:rsidP="003564F1">
      <w:pPr>
        <w:ind w:left="1134" w:right="567" w:firstLine="567"/>
        <w:rPr>
          <w:rFonts w:eastAsiaTheme="minorEastAsia"/>
          <w:spacing w:val="-4"/>
          <w:sz w:val="16"/>
          <w:szCs w:val="18"/>
        </w:rPr>
      </w:pPr>
    </w:p>
    <w:p w:rsidR="003564F1" w:rsidRPr="00E65BE1" w:rsidRDefault="003564F1" w:rsidP="003564F1">
      <w:pPr>
        <w:ind w:left="1134" w:right="567" w:firstLine="567"/>
        <w:rPr>
          <w:rFonts w:eastAsiaTheme="minorEastAsia"/>
          <w:spacing w:val="-4"/>
          <w:sz w:val="18"/>
          <w:szCs w:val="18"/>
        </w:rPr>
      </w:pPr>
      <w:r w:rsidRPr="00E65BE1">
        <w:rPr>
          <w:rFonts w:eastAsiaTheme="minorEastAsia"/>
          <w:spacing w:val="-4"/>
          <w:sz w:val="18"/>
          <w:szCs w:val="18"/>
        </w:rPr>
        <w:t>“(c)</w:t>
      </w:r>
      <w:r w:rsidRPr="00E65BE1">
        <w:rPr>
          <w:rFonts w:eastAsiaTheme="minorEastAsia"/>
          <w:spacing w:val="-4"/>
          <w:sz w:val="18"/>
          <w:szCs w:val="18"/>
        </w:rPr>
        <w:tab/>
        <w:t xml:space="preserve">based on the replies to (a) and (b), prepare a preliminary analysis on the EDVs issues and practices and draft terms of references for a working group on EDV, </w:t>
      </w:r>
      <w:r w:rsidRPr="00E65BE1">
        <w:rPr>
          <w:sz w:val="18"/>
          <w:szCs w:val="18"/>
        </w:rPr>
        <w:t>for comments by the CAJ by correspondence.</w:t>
      </w:r>
    </w:p>
    <w:p w:rsidR="003564F1" w:rsidRPr="003564F1" w:rsidRDefault="003564F1" w:rsidP="003564F1">
      <w:pPr>
        <w:tabs>
          <w:tab w:val="left" w:pos="567"/>
        </w:tabs>
        <w:ind w:left="567" w:right="567"/>
        <w:rPr>
          <w:sz w:val="16"/>
          <w:szCs w:val="18"/>
        </w:rPr>
      </w:pPr>
    </w:p>
    <w:p w:rsidR="003564F1" w:rsidRPr="008C57C1" w:rsidRDefault="003564F1" w:rsidP="003564F1">
      <w:pPr>
        <w:tabs>
          <w:tab w:val="left" w:pos="567"/>
        </w:tabs>
        <w:ind w:left="567" w:right="567"/>
        <w:rPr>
          <w:rFonts w:cs="Angsana New"/>
          <w:sz w:val="18"/>
          <w:szCs w:val="18"/>
          <w:lang w:eastAsia="ja-JP" w:bidi="th-TH"/>
        </w:rPr>
      </w:pPr>
      <w:r w:rsidRPr="00E65BE1">
        <w:rPr>
          <w:spacing w:val="-4"/>
          <w:sz w:val="18"/>
          <w:szCs w:val="18"/>
        </w:rPr>
        <w:t>“13.</w:t>
      </w:r>
      <w:r w:rsidRPr="00E65BE1">
        <w:rPr>
          <w:spacing w:val="-4"/>
          <w:sz w:val="18"/>
          <w:szCs w:val="18"/>
        </w:rPr>
        <w:tab/>
      </w:r>
      <w:r w:rsidRPr="00E65BE1">
        <w:rPr>
          <w:rFonts w:eastAsiaTheme="minorEastAsia"/>
          <w:spacing w:val="-4"/>
          <w:sz w:val="18"/>
          <w:szCs w:val="18"/>
        </w:rPr>
        <w:t>On the basis above</w:t>
      </w:r>
      <w:r w:rsidRPr="00E65BE1">
        <w:rPr>
          <w:sz w:val="18"/>
          <w:szCs w:val="18"/>
        </w:rPr>
        <w:t>, the Office of the Union would prepare a document for the consideration at the seventy</w:t>
      </w:r>
      <w:r w:rsidRPr="00E65BE1">
        <w:rPr>
          <w:sz w:val="18"/>
          <w:szCs w:val="18"/>
        </w:rPr>
        <w:noBreakHyphen/>
        <w:t>seventh session of the CAJ, to be held on October 28, 2020.</w:t>
      </w:r>
      <w:r>
        <w:rPr>
          <w:rFonts w:cs="Angsana New"/>
          <w:sz w:val="18"/>
          <w:szCs w:val="18"/>
          <w:lang w:eastAsia="ja-JP" w:bidi="th-TH"/>
        </w:rPr>
        <w:t>”</w:t>
      </w:r>
    </w:p>
    <w:p w:rsidR="003564F1" w:rsidRPr="003564F1" w:rsidRDefault="003564F1" w:rsidP="003564F1">
      <w:pPr>
        <w:rPr>
          <w:sz w:val="18"/>
        </w:rPr>
      </w:pPr>
    </w:p>
    <w:p w:rsidR="003564F1" w:rsidRPr="00E65BE1" w:rsidRDefault="003564F1" w:rsidP="003564F1">
      <w:pPr>
        <w:keepNext/>
        <w:autoSpaceDE w:val="0"/>
        <w:autoSpaceDN w:val="0"/>
        <w:adjustRightInd w:val="0"/>
        <w:rPr>
          <w:rFonts w:cs="Arial"/>
          <w:szCs w:val="24"/>
          <w:lang w:eastAsia="ja-JP" w:bidi="th-TH"/>
        </w:rPr>
      </w:pPr>
      <w:r w:rsidRPr="00E65BE1">
        <w:rPr>
          <w:rFonts w:cs="Arial"/>
          <w:spacing w:val="-2"/>
          <w:lang w:eastAsia="ja-JP" w:bidi="th-TH"/>
        </w:rPr>
        <w:t xml:space="preserve">The </w:t>
      </w:r>
      <w:r>
        <w:rPr>
          <w:rFonts w:eastAsiaTheme="minorEastAsia" w:cs="Arial"/>
          <w:color w:val="000000"/>
          <w:spacing w:val="-2"/>
        </w:rPr>
        <w:t>CAJ</w:t>
      </w:r>
      <w:r w:rsidRPr="00E65BE1">
        <w:rPr>
          <w:rFonts w:eastAsiaTheme="minorEastAsia" w:cs="Arial"/>
          <w:color w:val="000000"/>
          <w:spacing w:val="-2"/>
        </w:rPr>
        <w:t>,</w:t>
      </w:r>
      <w:r w:rsidRPr="00E65BE1">
        <w:rPr>
          <w:rFonts w:eastAsiaTheme="minorEastAsia" w:cs="Arial"/>
          <w:spacing w:val="-2"/>
        </w:rPr>
        <w:t xml:space="preserve"> </w:t>
      </w:r>
      <w:r w:rsidRPr="00103595">
        <w:rPr>
          <w:spacing w:val="2"/>
        </w:rPr>
        <w:t>on October 25, 2020</w:t>
      </w:r>
      <w:r w:rsidRPr="00FA7C49">
        <w:rPr>
          <w:spacing w:val="2"/>
        </w:rPr>
        <w:t>, agreed by correspondence</w:t>
      </w:r>
      <w:r w:rsidR="00C65682">
        <w:rPr>
          <w:spacing w:val="2"/>
        </w:rPr>
        <w:t>,</w:t>
      </w:r>
      <w:r>
        <w:rPr>
          <w:rFonts w:eastAsiaTheme="minorEastAsia" w:cs="Arial"/>
          <w:spacing w:val="-2"/>
        </w:rPr>
        <w:t xml:space="preserve"> </w:t>
      </w:r>
      <w:r w:rsidRPr="00E65BE1">
        <w:rPr>
          <w:rFonts w:eastAsiaTheme="minorEastAsia" w:cs="Arial"/>
          <w:spacing w:val="-2"/>
        </w:rPr>
        <w:t>the matters i</w:t>
      </w:r>
      <w:r w:rsidR="00B64091">
        <w:rPr>
          <w:rFonts w:eastAsiaTheme="minorEastAsia" w:cs="Arial"/>
          <w:spacing w:val="-2"/>
        </w:rPr>
        <w:t xml:space="preserve">n the following paragraphs (see </w:t>
      </w:r>
      <w:r w:rsidRPr="00E65BE1">
        <w:rPr>
          <w:rFonts w:eastAsiaTheme="minorEastAsia" w:cs="Arial"/>
          <w:spacing w:val="-2"/>
        </w:rPr>
        <w:t>bel</w:t>
      </w:r>
      <w:r>
        <w:rPr>
          <w:rFonts w:eastAsiaTheme="minorEastAsia" w:cs="Arial"/>
          <w:spacing w:val="-2"/>
        </w:rPr>
        <w:t xml:space="preserve">ow extracts from document </w:t>
      </w:r>
      <w:r w:rsidRPr="008C57C1">
        <w:rPr>
          <w:rFonts w:eastAsiaTheme="minorEastAsia" w:cs="Arial"/>
          <w:spacing w:val="-2"/>
        </w:rPr>
        <w:t>CAJ/77/9 “Outcome of the consideration of documents by correspondence”, paragraph</w:t>
      </w:r>
      <w:r w:rsidR="007810E4">
        <w:rPr>
          <w:rFonts w:eastAsiaTheme="minorEastAsia" w:cs="Arial"/>
          <w:spacing w:val="-2"/>
        </w:rPr>
        <w:t>s </w:t>
      </w:r>
      <w:r>
        <w:rPr>
          <w:rFonts w:eastAsiaTheme="minorEastAsia" w:cs="Arial"/>
          <w:spacing w:val="-2"/>
        </w:rPr>
        <w:t>36 to</w:t>
      </w:r>
      <w:r w:rsidRPr="008C57C1">
        <w:rPr>
          <w:rFonts w:eastAsiaTheme="minorEastAsia" w:cs="Arial"/>
          <w:spacing w:val="-2"/>
        </w:rPr>
        <w:t xml:space="preserve"> 40</w:t>
      </w:r>
      <w:r>
        <w:rPr>
          <w:rFonts w:eastAsiaTheme="minorEastAsia" w:cs="Arial"/>
          <w:spacing w:val="-2"/>
        </w:rPr>
        <w:t xml:space="preserve"> (see document CAJ/77/10 “Report”, </w:t>
      </w:r>
      <w:r>
        <w:rPr>
          <w:snapToGrid w:val="0"/>
          <w:spacing w:val="2"/>
        </w:rPr>
        <w:t>paragraphs 24 and 25</w:t>
      </w:r>
      <w:r>
        <w:rPr>
          <w:rFonts w:eastAsiaTheme="minorEastAsia" w:cs="Arial"/>
          <w:spacing w:val="-2"/>
        </w:rPr>
        <w:t>):</w:t>
      </w:r>
    </w:p>
    <w:p w:rsidR="003564F1" w:rsidRPr="003564F1" w:rsidRDefault="003564F1" w:rsidP="003564F1">
      <w:pPr>
        <w:rPr>
          <w:sz w:val="12"/>
        </w:rPr>
      </w:pPr>
    </w:p>
    <w:p w:rsidR="003564F1" w:rsidRPr="008C57C1" w:rsidRDefault="007A74A9" w:rsidP="003564F1">
      <w:pPr>
        <w:keepNext/>
        <w:ind w:left="567" w:right="567"/>
        <w:rPr>
          <w:snapToGrid w:val="0"/>
          <w:sz w:val="18"/>
        </w:rPr>
      </w:pPr>
      <w:r>
        <w:rPr>
          <w:sz w:val="18"/>
        </w:rPr>
        <w:t>“</w:t>
      </w:r>
      <w:r w:rsidR="003564F1">
        <w:rPr>
          <w:sz w:val="18"/>
        </w:rPr>
        <w:t>36.</w:t>
      </w:r>
      <w:r w:rsidR="003564F1" w:rsidRPr="008C57C1">
        <w:rPr>
          <w:sz w:val="18"/>
        </w:rPr>
        <w:tab/>
      </w:r>
      <w:r w:rsidR="003564F1" w:rsidRPr="008C57C1">
        <w:rPr>
          <w:snapToGrid w:val="0"/>
          <w:sz w:val="18"/>
        </w:rPr>
        <w:t>The CAJ considered document CAJ/77/4 Rev.</w:t>
      </w:r>
    </w:p>
    <w:p w:rsidR="003564F1" w:rsidRPr="003564F1" w:rsidRDefault="003564F1" w:rsidP="003564F1">
      <w:pPr>
        <w:keepNext/>
        <w:ind w:left="1134" w:right="567" w:hanging="567"/>
        <w:rPr>
          <w:sz w:val="16"/>
        </w:rPr>
      </w:pPr>
    </w:p>
    <w:p w:rsidR="003564F1" w:rsidRPr="008C57C1" w:rsidRDefault="007A74A9" w:rsidP="003564F1">
      <w:pPr>
        <w:ind w:left="567" w:right="567"/>
        <w:rPr>
          <w:sz w:val="18"/>
        </w:rPr>
      </w:pPr>
      <w:r>
        <w:rPr>
          <w:sz w:val="18"/>
        </w:rPr>
        <w:t>“</w:t>
      </w:r>
      <w:r w:rsidR="003564F1">
        <w:rPr>
          <w:sz w:val="18"/>
        </w:rPr>
        <w:t>37.</w:t>
      </w:r>
      <w:r w:rsidR="003564F1" w:rsidRPr="008C57C1">
        <w:rPr>
          <w:sz w:val="18"/>
        </w:rPr>
        <w:tab/>
      </w:r>
      <w:r w:rsidR="003564F1" w:rsidRPr="008C57C1">
        <w:rPr>
          <w:spacing w:val="-2"/>
          <w:sz w:val="18"/>
        </w:rPr>
        <w:t xml:space="preserve">The </w:t>
      </w:r>
      <w:r w:rsidR="003564F1" w:rsidRPr="008C57C1">
        <w:rPr>
          <w:snapToGrid w:val="0"/>
          <w:spacing w:val="-2"/>
          <w:sz w:val="18"/>
        </w:rPr>
        <w:t>CAJ agreed to</w:t>
      </w:r>
      <w:r w:rsidR="003564F1" w:rsidRPr="008C57C1">
        <w:rPr>
          <w:spacing w:val="-2"/>
          <w:sz w:val="18"/>
        </w:rPr>
        <w:t xml:space="preserve"> </w:t>
      </w:r>
      <w:r w:rsidR="003564F1" w:rsidRPr="008C57C1">
        <w:rPr>
          <w:sz w:val="18"/>
        </w:rPr>
        <w:t>establish the WG-EDV and approved the terms of reference for the WG-EDV, as set out in Annex II to document CAJ/77/4 Rev., in</w:t>
      </w:r>
      <w:r>
        <w:rPr>
          <w:sz w:val="18"/>
        </w:rPr>
        <w:t xml:space="preserve"> conjunction with the modified ‘</w:t>
      </w:r>
      <w:r w:rsidR="003564F1" w:rsidRPr="008C57C1">
        <w:rPr>
          <w:sz w:val="18"/>
        </w:rPr>
        <w:t xml:space="preserve">Policy issues in conjunction with the </w:t>
      </w:r>
      <w:r>
        <w:rPr>
          <w:sz w:val="18"/>
        </w:rPr>
        <w:t>breeders’ customs and practices’</w:t>
      </w:r>
      <w:r w:rsidR="003564F1" w:rsidRPr="008C57C1">
        <w:rPr>
          <w:sz w:val="18"/>
        </w:rPr>
        <w:t xml:space="preserve"> in Annex I of document CAJ/77/4 Rev.</w:t>
      </w:r>
    </w:p>
    <w:p w:rsidR="003564F1" w:rsidRPr="003564F1" w:rsidRDefault="003564F1" w:rsidP="003564F1">
      <w:pPr>
        <w:keepNext/>
        <w:ind w:left="1134" w:right="567" w:hanging="567"/>
        <w:rPr>
          <w:spacing w:val="2"/>
          <w:sz w:val="16"/>
        </w:rPr>
      </w:pPr>
    </w:p>
    <w:p w:rsidR="003564F1" w:rsidRPr="008C57C1" w:rsidRDefault="007A74A9" w:rsidP="003564F1">
      <w:pPr>
        <w:keepNext/>
        <w:ind w:left="567" w:right="567"/>
        <w:rPr>
          <w:snapToGrid w:val="0"/>
          <w:spacing w:val="-2"/>
          <w:sz w:val="18"/>
        </w:rPr>
      </w:pPr>
      <w:r>
        <w:rPr>
          <w:spacing w:val="-2"/>
          <w:sz w:val="18"/>
        </w:rPr>
        <w:t>“</w:t>
      </w:r>
      <w:r w:rsidR="003564F1">
        <w:rPr>
          <w:spacing w:val="-2"/>
          <w:sz w:val="18"/>
        </w:rPr>
        <w:t>38.</w:t>
      </w:r>
      <w:r w:rsidR="003564F1" w:rsidRPr="008C57C1">
        <w:rPr>
          <w:spacing w:val="-2"/>
          <w:sz w:val="18"/>
        </w:rPr>
        <w:tab/>
        <w:t xml:space="preserve">The </w:t>
      </w:r>
      <w:r w:rsidR="003564F1" w:rsidRPr="008C57C1">
        <w:rPr>
          <w:snapToGrid w:val="0"/>
          <w:spacing w:val="-2"/>
          <w:sz w:val="18"/>
        </w:rPr>
        <w:t>CAJ approved the following composition of the WG-EDV:  Australia, Brazil, Chile, China, Ecuador, European Union, France, Japan, Kenya, Netherlands, Sweden, United Republic of Tanzania, United States of America, APSA, APBREBES, CIOPORA, CropLife International, Euroseeds, ISF and SAA.</w:t>
      </w:r>
    </w:p>
    <w:p w:rsidR="003564F1" w:rsidRPr="003564F1" w:rsidRDefault="003564F1" w:rsidP="003564F1">
      <w:pPr>
        <w:ind w:left="567" w:right="567"/>
        <w:rPr>
          <w:sz w:val="16"/>
        </w:rPr>
      </w:pPr>
    </w:p>
    <w:p w:rsidR="003564F1" w:rsidRPr="008C57C1" w:rsidRDefault="007A74A9" w:rsidP="003564F1">
      <w:pPr>
        <w:keepNext/>
        <w:ind w:left="567" w:right="567"/>
        <w:rPr>
          <w:spacing w:val="-4"/>
          <w:sz w:val="18"/>
        </w:rPr>
      </w:pPr>
      <w:r>
        <w:rPr>
          <w:spacing w:val="-4"/>
          <w:sz w:val="18"/>
        </w:rPr>
        <w:t>“</w:t>
      </w:r>
      <w:r w:rsidR="003564F1">
        <w:rPr>
          <w:spacing w:val="-4"/>
          <w:sz w:val="18"/>
        </w:rPr>
        <w:t>39.</w:t>
      </w:r>
      <w:r w:rsidR="003564F1" w:rsidRPr="008C57C1">
        <w:rPr>
          <w:spacing w:val="-4"/>
          <w:sz w:val="18"/>
        </w:rPr>
        <w:tab/>
        <w:t xml:space="preserve">The </w:t>
      </w:r>
      <w:r w:rsidR="003564F1" w:rsidRPr="008C57C1">
        <w:rPr>
          <w:snapToGrid w:val="0"/>
          <w:spacing w:val="-4"/>
          <w:sz w:val="18"/>
        </w:rPr>
        <w:t>CAJ agreed</w:t>
      </w:r>
      <w:r w:rsidR="003564F1" w:rsidRPr="008C57C1">
        <w:rPr>
          <w:spacing w:val="-4"/>
          <w:sz w:val="18"/>
        </w:rPr>
        <w:t xml:space="preserve"> that the first meeting of the WG-EDV will take place on December 8, 2020, by virtual means.</w:t>
      </w:r>
    </w:p>
    <w:p w:rsidR="003564F1" w:rsidRPr="003564F1" w:rsidRDefault="003564F1" w:rsidP="003564F1">
      <w:pPr>
        <w:ind w:left="1134" w:right="567" w:hanging="567"/>
        <w:rPr>
          <w:sz w:val="16"/>
        </w:rPr>
      </w:pPr>
    </w:p>
    <w:p w:rsidR="003564F1" w:rsidRPr="008C57C1" w:rsidRDefault="007A74A9" w:rsidP="003564F1">
      <w:pPr>
        <w:keepNext/>
        <w:ind w:left="567" w:right="567"/>
        <w:rPr>
          <w:sz w:val="18"/>
        </w:rPr>
      </w:pPr>
      <w:r>
        <w:rPr>
          <w:sz w:val="18"/>
        </w:rPr>
        <w:t>“</w:t>
      </w:r>
      <w:r w:rsidR="003564F1">
        <w:rPr>
          <w:sz w:val="18"/>
        </w:rPr>
        <w:t>40.</w:t>
      </w:r>
      <w:r w:rsidR="003564F1" w:rsidRPr="008C57C1">
        <w:rPr>
          <w:sz w:val="18"/>
        </w:rPr>
        <w:tab/>
      </w:r>
      <w:r w:rsidR="003564F1" w:rsidRPr="008C57C1">
        <w:rPr>
          <w:spacing w:val="-2"/>
          <w:sz w:val="18"/>
        </w:rPr>
        <w:t xml:space="preserve">The </w:t>
      </w:r>
      <w:r w:rsidR="003564F1" w:rsidRPr="008C57C1">
        <w:rPr>
          <w:snapToGrid w:val="0"/>
          <w:spacing w:val="-2"/>
          <w:sz w:val="18"/>
        </w:rPr>
        <w:t>CAJ agreed to request the WG-EDV to propose a timeline for its work at its first meeting, for consideration by the CAJ at its session in 2021.</w:t>
      </w:r>
      <w:r>
        <w:rPr>
          <w:snapToGrid w:val="0"/>
          <w:spacing w:val="-2"/>
          <w:sz w:val="18"/>
        </w:rPr>
        <w:t>”</w:t>
      </w:r>
    </w:p>
    <w:p w:rsidR="003564F1" w:rsidRPr="00392FB6" w:rsidRDefault="003564F1" w:rsidP="00392FB6"/>
    <w:p w:rsidR="003564F1" w:rsidRPr="00392FB6" w:rsidRDefault="003564F1" w:rsidP="00392FB6"/>
    <w:p w:rsidR="00E65BE1" w:rsidRPr="00E901EF" w:rsidRDefault="00E901EF" w:rsidP="00E901EF">
      <w:pPr>
        <w:jc w:val="right"/>
      </w:pPr>
      <w:r w:rsidRPr="00E65BE1">
        <w:rPr>
          <w:rFonts w:cs="Arial"/>
        </w:rPr>
        <w:t xml:space="preserve">[End of Annex </w:t>
      </w:r>
      <w:r w:rsidR="003564F1">
        <w:rPr>
          <w:rFonts w:cs="Arial"/>
        </w:rPr>
        <w:t>I</w:t>
      </w:r>
      <w:r w:rsidRPr="00E65BE1">
        <w:rPr>
          <w:rFonts w:cs="Arial"/>
        </w:rPr>
        <w:t>II and of document]</w:t>
      </w:r>
    </w:p>
    <w:sectPr w:rsidR="00E65BE1" w:rsidRPr="00E901EF" w:rsidSect="00906DDC">
      <w:headerReference w:type="default" r:id="rId18"/>
      <w:headerReference w:type="first" r:id="rId19"/>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0C3" w:rsidRDefault="001910C3" w:rsidP="006655D3">
      <w:r>
        <w:separator/>
      </w:r>
    </w:p>
    <w:p w:rsidR="001910C3" w:rsidRDefault="001910C3" w:rsidP="006655D3"/>
  </w:endnote>
  <w:endnote w:type="continuationSeparator" w:id="0">
    <w:p w:rsidR="001910C3" w:rsidRDefault="001910C3" w:rsidP="006655D3">
      <w:r>
        <w:separator/>
      </w:r>
    </w:p>
    <w:p w:rsidR="001910C3" w:rsidRPr="00294751" w:rsidRDefault="001910C3">
      <w:pPr>
        <w:pStyle w:val="Footer"/>
        <w:spacing w:after="60"/>
        <w:rPr>
          <w:sz w:val="18"/>
          <w:lang w:val="fr-FR"/>
        </w:rPr>
      </w:pPr>
      <w:r w:rsidRPr="00294751">
        <w:rPr>
          <w:sz w:val="18"/>
          <w:lang w:val="fr-FR"/>
        </w:rPr>
        <w:t>[Suite de la note de la page précédente]</w:t>
      </w:r>
    </w:p>
    <w:p w:rsidR="001910C3" w:rsidRPr="00294751" w:rsidRDefault="001910C3" w:rsidP="006655D3">
      <w:pPr>
        <w:rPr>
          <w:lang w:val="fr-FR"/>
        </w:rPr>
      </w:pPr>
    </w:p>
    <w:p w:rsidR="001910C3" w:rsidRPr="00294751" w:rsidRDefault="001910C3" w:rsidP="006655D3">
      <w:pPr>
        <w:rPr>
          <w:lang w:val="fr-FR"/>
        </w:rPr>
      </w:pPr>
    </w:p>
  </w:endnote>
  <w:endnote w:type="continuationNotice" w:id="1">
    <w:p w:rsidR="001910C3" w:rsidRPr="00294751" w:rsidRDefault="001910C3" w:rsidP="006655D3">
      <w:pPr>
        <w:rPr>
          <w:lang w:val="fr-FR"/>
        </w:rPr>
      </w:pPr>
      <w:r w:rsidRPr="00294751">
        <w:rPr>
          <w:lang w:val="fr-FR"/>
        </w:rPr>
        <w:t>[Suite de la note page suivante]</w:t>
      </w:r>
    </w:p>
    <w:p w:rsidR="001910C3" w:rsidRPr="00294751" w:rsidRDefault="001910C3" w:rsidP="006655D3">
      <w:pPr>
        <w:rPr>
          <w:lang w:val="fr-FR"/>
        </w:rPr>
      </w:pPr>
    </w:p>
    <w:p w:rsidR="001910C3" w:rsidRPr="00294751" w:rsidRDefault="001910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0C3" w:rsidRDefault="001910C3" w:rsidP="006655D3">
      <w:r>
        <w:separator/>
      </w:r>
    </w:p>
  </w:footnote>
  <w:footnote w:type="continuationSeparator" w:id="0">
    <w:p w:rsidR="001910C3" w:rsidRDefault="001910C3" w:rsidP="006655D3">
      <w:r>
        <w:separator/>
      </w:r>
    </w:p>
  </w:footnote>
  <w:footnote w:type="continuationNotice" w:id="1">
    <w:p w:rsidR="001910C3" w:rsidRPr="00AB530F" w:rsidRDefault="001910C3" w:rsidP="00AB530F">
      <w:pPr>
        <w:pStyle w:val="Footer"/>
      </w:pPr>
    </w:p>
  </w:footnote>
  <w:footnote w:id="2">
    <w:p w:rsidR="00207502" w:rsidRPr="008A1FAB" w:rsidRDefault="00207502" w:rsidP="00F01DC9">
      <w:pPr>
        <w:tabs>
          <w:tab w:val="left" w:pos="567"/>
        </w:tabs>
        <w:rPr>
          <w:sz w:val="16"/>
          <w:szCs w:val="16"/>
        </w:rPr>
      </w:pPr>
      <w:r>
        <w:rPr>
          <w:rStyle w:val="FootnoteReference"/>
        </w:rPr>
        <w:footnoteRef/>
      </w:r>
      <w:r>
        <w:t xml:space="preserve"> </w:t>
      </w:r>
      <w:r>
        <w:tab/>
      </w:r>
      <w:r w:rsidRPr="008A1FAB">
        <w:rPr>
          <w:sz w:val="16"/>
          <w:szCs w:val="16"/>
        </w:rPr>
        <w:t>The cross references to the issues in the sub</w:t>
      </w:r>
      <w:r>
        <w:rPr>
          <w:sz w:val="16"/>
          <w:szCs w:val="16"/>
        </w:rPr>
        <w:t>section “General issues” have</w:t>
      </w:r>
      <w:r w:rsidRPr="008A1FAB">
        <w:rPr>
          <w:sz w:val="16"/>
          <w:szCs w:val="16"/>
        </w:rPr>
        <w:t xml:space="preserve"> been updated reflecting the new numbering in accordance with the comments and the new issues received in reply to Circular E-20/093.</w:t>
      </w:r>
      <w:r>
        <w:rPr>
          <w:sz w:val="16"/>
          <w:szCs w:val="16"/>
        </w:rPr>
        <w:t xml:space="preserve"> </w:t>
      </w:r>
      <w:r w:rsidRPr="008A1FAB">
        <w:rPr>
          <w:sz w:val="16"/>
          <w:szCs w:val="16"/>
        </w:rPr>
        <w:t xml:space="preserve"> In the subsection </w:t>
      </w:r>
      <w:r>
        <w:rPr>
          <w:sz w:val="16"/>
          <w:szCs w:val="16"/>
        </w:rPr>
        <w:t>“I</w:t>
      </w:r>
      <w:r w:rsidRPr="008A1FAB">
        <w:rPr>
          <w:sz w:val="16"/>
          <w:szCs w:val="16"/>
        </w:rPr>
        <w:t>ssues concerning specific aspects of the current explanatory notes</w:t>
      </w:r>
      <w:r>
        <w:rPr>
          <w:sz w:val="16"/>
          <w:szCs w:val="16"/>
        </w:rPr>
        <w:t xml:space="preserve">” </w:t>
      </w:r>
      <w:r w:rsidRPr="008A1FAB">
        <w:rPr>
          <w:sz w:val="16"/>
          <w:szCs w:val="16"/>
        </w:rPr>
        <w:t xml:space="preserve">the numbers of the </w:t>
      </w:r>
      <w:r>
        <w:rPr>
          <w:sz w:val="16"/>
          <w:szCs w:val="16"/>
        </w:rPr>
        <w:t xml:space="preserve">issues in the </w:t>
      </w:r>
      <w:r w:rsidRPr="008A1FAB">
        <w:rPr>
          <w:sz w:val="16"/>
          <w:szCs w:val="16"/>
        </w:rPr>
        <w:t>previous version have been kept in square brackets</w:t>
      </w:r>
      <w:r>
        <w:rPr>
          <w:sz w:val="16"/>
          <w:szCs w:val="16"/>
        </w:rPr>
        <w:t xml:space="preserve"> for ease of reference</w:t>
      </w:r>
      <w:r w:rsidRPr="008A1FA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7B76E5">
    <w:pPr>
      <w:pStyle w:val="Header"/>
      <w:rPr>
        <w:lang w:val="en-US"/>
      </w:rPr>
    </w:pPr>
    <w:r>
      <w:rPr>
        <w:lang w:val="en-US"/>
      </w:rPr>
      <w:t>UPOV/WG-EDV/1/2</w:t>
    </w:r>
  </w:p>
  <w:p w:rsidR="00207502" w:rsidRPr="00C5280D" w:rsidRDefault="00207502" w:rsidP="007B76E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100B">
      <w:rPr>
        <w:rStyle w:val="PageNumber"/>
        <w:noProof/>
        <w:lang w:val="en-US"/>
      </w:rPr>
      <w:t>3</w:t>
    </w:r>
    <w:r w:rsidRPr="00C5280D">
      <w:rPr>
        <w:rStyle w:val="PageNumber"/>
        <w:lang w:val="en-US"/>
      </w:rPr>
      <w:fldChar w:fldCharType="end"/>
    </w:r>
  </w:p>
  <w:p w:rsidR="00207502" w:rsidRPr="00C5280D" w:rsidRDefault="00207502" w:rsidP="007B76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5C6C83">
    <w:pPr>
      <w:pStyle w:val="Header"/>
      <w:rPr>
        <w:lang w:val="en-US"/>
      </w:rPr>
    </w:pPr>
    <w:r>
      <w:rPr>
        <w:lang w:val="en-US"/>
      </w:rPr>
      <w:t>UPOV/WG-EDV/1/2</w:t>
    </w:r>
  </w:p>
  <w:p w:rsidR="00207502" w:rsidRPr="00B24E50" w:rsidRDefault="00207502" w:rsidP="00F50020">
    <w:pPr>
      <w:pStyle w:val="Header"/>
      <w:rPr>
        <w:lang w:val="en-US"/>
      </w:rPr>
    </w:pPr>
  </w:p>
  <w:p w:rsidR="00207502" w:rsidRPr="00B24E50" w:rsidRDefault="00207502" w:rsidP="00F50020">
    <w:pPr>
      <w:pStyle w:val="Header"/>
      <w:rPr>
        <w:lang w:val="en-US"/>
      </w:rPr>
    </w:pPr>
    <w:r w:rsidRPr="00B24E50">
      <w:rPr>
        <w:lang w:val="en-US"/>
      </w:rPr>
      <w:t>ANNEX I</w:t>
    </w:r>
  </w:p>
  <w:p w:rsidR="00207502" w:rsidRPr="00B24E50" w:rsidRDefault="00207502" w:rsidP="00F50020">
    <w:pPr>
      <w:pStyle w:val="Header"/>
      <w:rPr>
        <w:lang w:val="en-US"/>
      </w:rPr>
    </w:pPr>
  </w:p>
  <w:p w:rsidR="00207502" w:rsidRPr="00B24E50" w:rsidRDefault="0020750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5C6C83">
    <w:pPr>
      <w:pStyle w:val="Header"/>
      <w:rPr>
        <w:lang w:val="en-US"/>
      </w:rPr>
    </w:pPr>
    <w:r>
      <w:rPr>
        <w:lang w:val="en-US"/>
      </w:rPr>
      <w:t>UPOV/WG-EDV/1/2</w:t>
    </w:r>
  </w:p>
  <w:p w:rsidR="00207502" w:rsidRPr="00B24E50" w:rsidRDefault="00207502" w:rsidP="00F50020">
    <w:pPr>
      <w:pStyle w:val="Header"/>
      <w:rPr>
        <w:lang w:val="en-US"/>
      </w:rPr>
    </w:pPr>
  </w:p>
  <w:p w:rsidR="00207502" w:rsidRPr="00B24E50" w:rsidRDefault="00207502" w:rsidP="00F50020">
    <w:pPr>
      <w:pStyle w:val="Header"/>
      <w:rPr>
        <w:lang w:val="en-US"/>
      </w:rPr>
    </w:pPr>
    <w:r w:rsidRPr="00B24E50">
      <w:rPr>
        <w:lang w:val="en-US"/>
      </w:rPr>
      <w:t>ANNEX I</w:t>
    </w:r>
    <w:r>
      <w:rPr>
        <w:lang w:val="en-US"/>
      </w:rPr>
      <w:t>I</w:t>
    </w:r>
  </w:p>
  <w:p w:rsidR="00207502" w:rsidRPr="00B24E50" w:rsidRDefault="00207502" w:rsidP="00F50020">
    <w:pPr>
      <w:pStyle w:val="Header"/>
      <w:rPr>
        <w:lang w:val="en-US"/>
      </w:rPr>
    </w:pPr>
  </w:p>
  <w:p w:rsidR="00207502" w:rsidRPr="00B24E50" w:rsidRDefault="0020750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5C6C83">
    <w:pPr>
      <w:pStyle w:val="Header"/>
      <w:rPr>
        <w:lang w:val="en-US"/>
      </w:rPr>
    </w:pPr>
    <w:r>
      <w:rPr>
        <w:lang w:val="en-US"/>
      </w:rPr>
      <w:t>UPOV/WG-EDV/1/2</w:t>
    </w:r>
  </w:p>
  <w:p w:rsidR="00207502" w:rsidRPr="00E901EF" w:rsidRDefault="00207502" w:rsidP="00F50020">
    <w:pPr>
      <w:jc w:val="center"/>
      <w:rPr>
        <w:lang w:val="fr-CH"/>
      </w:rPr>
    </w:pPr>
    <w:r w:rsidRPr="00E901EF">
      <w:rPr>
        <w:lang w:val="fr-CH"/>
      </w:rPr>
      <w:t xml:space="preserve">Annex II, Appendix I, page </w:t>
    </w:r>
    <w:r w:rsidRPr="00C5280D">
      <w:rPr>
        <w:rStyle w:val="PageNumber"/>
      </w:rPr>
      <w:fldChar w:fldCharType="begin"/>
    </w:r>
    <w:r w:rsidRPr="00E901EF">
      <w:rPr>
        <w:rStyle w:val="PageNumber"/>
        <w:lang w:val="fr-CH"/>
      </w:rPr>
      <w:instrText xml:space="preserve"> PAGE </w:instrText>
    </w:r>
    <w:r w:rsidRPr="00C5280D">
      <w:rPr>
        <w:rStyle w:val="PageNumber"/>
      </w:rPr>
      <w:fldChar w:fldCharType="separate"/>
    </w:r>
    <w:r w:rsidR="00AE100B">
      <w:rPr>
        <w:rStyle w:val="PageNumber"/>
        <w:noProof/>
        <w:lang w:val="fr-CH"/>
      </w:rPr>
      <w:t>8</w:t>
    </w:r>
    <w:r w:rsidRPr="00C5280D">
      <w:rPr>
        <w:rStyle w:val="PageNumber"/>
      </w:rPr>
      <w:fldChar w:fldCharType="end"/>
    </w:r>
  </w:p>
  <w:p w:rsidR="00207502" w:rsidRPr="00E901EF" w:rsidRDefault="00207502"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5C6C83">
    <w:pPr>
      <w:pStyle w:val="Header"/>
      <w:rPr>
        <w:lang w:val="en-US"/>
      </w:rPr>
    </w:pPr>
    <w:r>
      <w:rPr>
        <w:lang w:val="en-US"/>
      </w:rPr>
      <w:t>UPOV/WG-EDV/1/2</w:t>
    </w:r>
  </w:p>
  <w:p w:rsidR="00207502" w:rsidRPr="00D432C2" w:rsidRDefault="00207502" w:rsidP="00F50020">
    <w:pPr>
      <w:pStyle w:val="Header"/>
      <w:rPr>
        <w:lang w:val="en-US"/>
      </w:rPr>
    </w:pPr>
  </w:p>
  <w:p w:rsidR="00207502" w:rsidRDefault="00207502" w:rsidP="00F50020">
    <w:pPr>
      <w:jc w:val="center"/>
    </w:pPr>
    <w:r>
      <w:t xml:space="preserve">ANNEX II, </w:t>
    </w:r>
    <w:r w:rsidRPr="00535B8D">
      <w:t>APPENDIX I</w:t>
    </w:r>
  </w:p>
  <w:p w:rsidR="00207502" w:rsidRPr="00D432C2" w:rsidRDefault="00207502" w:rsidP="00F50020">
    <w:pPr>
      <w:pStyle w:val="Header"/>
      <w:rPr>
        <w:lang w:val="en-US"/>
      </w:rPr>
    </w:pPr>
  </w:p>
  <w:p w:rsidR="00207502" w:rsidRPr="00D432C2" w:rsidRDefault="0020750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E901EF" w:rsidRDefault="00207502" w:rsidP="005C6C83">
    <w:pPr>
      <w:pStyle w:val="Header"/>
      <w:rPr>
        <w:lang w:val="fr-CH"/>
      </w:rPr>
    </w:pPr>
    <w:r w:rsidRPr="00E901EF">
      <w:rPr>
        <w:lang w:val="fr-CH"/>
      </w:rPr>
      <w:t>UPOV/WG-EDV/1/2</w:t>
    </w:r>
  </w:p>
  <w:p w:rsidR="00207502" w:rsidRPr="00D432C2" w:rsidRDefault="00207502" w:rsidP="00F50020">
    <w:pPr>
      <w:jc w:val="center"/>
      <w:rPr>
        <w:lang w:val="fr-CH"/>
      </w:rPr>
    </w:pPr>
    <w:r w:rsidRPr="00D432C2">
      <w:rPr>
        <w:lang w:val="fr-CH"/>
      </w:rPr>
      <w:t>Annex</w:t>
    </w:r>
    <w:r>
      <w:rPr>
        <w:lang w:val="fr-CH"/>
      </w:rPr>
      <w:t xml:space="preserve"> II</w:t>
    </w:r>
    <w:r w:rsidRPr="00D432C2">
      <w:rPr>
        <w:lang w:val="fr-CH"/>
      </w:rPr>
      <w:t xml:space="preserve">, Appendix 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AE100B">
      <w:rPr>
        <w:rStyle w:val="PageNumber"/>
        <w:noProof/>
        <w:lang w:val="fr-CH"/>
      </w:rPr>
      <w:t>3</w:t>
    </w:r>
    <w:r w:rsidRPr="00C5280D">
      <w:rPr>
        <w:rStyle w:val="PageNumber"/>
      </w:rPr>
      <w:fldChar w:fldCharType="end"/>
    </w:r>
  </w:p>
  <w:p w:rsidR="00207502" w:rsidRPr="00D432C2" w:rsidRDefault="00207502"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5C6C83">
    <w:pPr>
      <w:pStyle w:val="Header"/>
      <w:rPr>
        <w:lang w:val="en-US"/>
      </w:rPr>
    </w:pPr>
    <w:r>
      <w:rPr>
        <w:lang w:val="en-US"/>
      </w:rPr>
      <w:t>UPOV/WG-EDV/1/2</w:t>
    </w:r>
  </w:p>
  <w:p w:rsidR="00207502" w:rsidRDefault="00207502" w:rsidP="00F50020">
    <w:pPr>
      <w:jc w:val="center"/>
    </w:pPr>
  </w:p>
  <w:p w:rsidR="00207502" w:rsidRPr="00535B8D" w:rsidRDefault="00207502" w:rsidP="00F50020">
    <w:pPr>
      <w:jc w:val="center"/>
    </w:pPr>
    <w:r>
      <w:t xml:space="preserve">ANNEX II, </w:t>
    </w:r>
    <w:r w:rsidRPr="00535B8D">
      <w:t>APPENDIX II</w:t>
    </w:r>
  </w:p>
  <w:p w:rsidR="00207502" w:rsidRPr="00AF32BD" w:rsidRDefault="00207502" w:rsidP="00F50020">
    <w:pPr>
      <w:pStyle w:val="Header"/>
      <w:rPr>
        <w:lang w:val="en-US"/>
      </w:rPr>
    </w:pPr>
  </w:p>
  <w:p w:rsidR="00207502" w:rsidRPr="00AF32BD" w:rsidRDefault="00207502">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C5280D" w:rsidRDefault="00207502" w:rsidP="00EB048E">
    <w:pPr>
      <w:pStyle w:val="Header"/>
      <w:rPr>
        <w:rStyle w:val="PageNumber"/>
        <w:lang w:val="en-US"/>
      </w:rPr>
    </w:pPr>
    <w:r>
      <w:rPr>
        <w:rStyle w:val="PageNumber"/>
        <w:lang w:val="en-US"/>
      </w:rPr>
      <w:t xml:space="preserve">CAJ/77/4 </w:t>
    </w:r>
    <w:r w:rsidRPr="002D7093">
      <w:rPr>
        <w:rStyle w:val="PageNumber"/>
        <w:highlight w:val="yellow"/>
        <w:u w:val="single"/>
        <w:lang w:val="en-US"/>
      </w:rPr>
      <w:t>Rev.</w:t>
    </w:r>
  </w:p>
  <w:p w:rsidR="00207502" w:rsidRPr="00C5280D" w:rsidRDefault="0020750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rsidR="00207502" w:rsidRPr="00C5280D" w:rsidRDefault="00207502"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02" w:rsidRPr="00AF32BD" w:rsidRDefault="00207502" w:rsidP="00B24E50">
    <w:pPr>
      <w:pStyle w:val="Header"/>
      <w:rPr>
        <w:lang w:val="en-US"/>
      </w:rPr>
    </w:pPr>
    <w:r>
      <w:rPr>
        <w:lang w:val="en-US"/>
      </w:rPr>
      <w:t>UPOV/WG-EDV/1/2</w:t>
    </w:r>
  </w:p>
  <w:p w:rsidR="00207502" w:rsidRPr="00B24E50" w:rsidRDefault="00207502" w:rsidP="00B24E50">
    <w:pPr>
      <w:pStyle w:val="Header"/>
      <w:rPr>
        <w:lang w:val="en-US"/>
      </w:rPr>
    </w:pPr>
  </w:p>
  <w:p w:rsidR="00207502" w:rsidRPr="00B24E50" w:rsidRDefault="00207502" w:rsidP="00B24E50">
    <w:pPr>
      <w:pStyle w:val="Header"/>
      <w:rPr>
        <w:lang w:val="en-US"/>
      </w:rPr>
    </w:pPr>
    <w:r w:rsidRPr="00B24E50">
      <w:rPr>
        <w:lang w:val="en-US"/>
      </w:rPr>
      <w:t>ANNEX I</w:t>
    </w:r>
    <w:r>
      <w:rPr>
        <w:lang w:val="en-US"/>
      </w:rPr>
      <w:t>II</w:t>
    </w:r>
  </w:p>
  <w:p w:rsidR="00207502" w:rsidRPr="00B24E50" w:rsidRDefault="00207502" w:rsidP="00B24E50">
    <w:pPr>
      <w:pStyle w:val="Header"/>
      <w:rPr>
        <w:lang w:val="en-US"/>
      </w:rPr>
    </w:pPr>
  </w:p>
  <w:p w:rsidR="00207502" w:rsidRPr="00B24E50" w:rsidRDefault="00207502" w:rsidP="00B24E5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9B5"/>
    <w:multiLevelType w:val="hybridMultilevel"/>
    <w:tmpl w:val="9186550E"/>
    <w:lvl w:ilvl="0" w:tplc="A75E6AA4">
      <w:start w:val="1"/>
      <w:numFmt w:val="lowerLetter"/>
      <w:lvlText w:val="(%1)"/>
      <w:lvlJc w:val="left"/>
      <w:pPr>
        <w:ind w:left="5948" w:hanging="564"/>
      </w:pPr>
      <w:rPr>
        <w:rFonts w:hint="default"/>
      </w:rPr>
    </w:lvl>
    <w:lvl w:ilvl="1" w:tplc="04090019" w:tentative="1">
      <w:start w:val="1"/>
      <w:numFmt w:val="lowerLetter"/>
      <w:lvlText w:val="%2."/>
      <w:lvlJc w:val="left"/>
      <w:pPr>
        <w:ind w:left="6464" w:hanging="360"/>
      </w:pPr>
    </w:lvl>
    <w:lvl w:ilvl="2" w:tplc="0409001B" w:tentative="1">
      <w:start w:val="1"/>
      <w:numFmt w:val="lowerRoman"/>
      <w:lvlText w:val="%3."/>
      <w:lvlJc w:val="right"/>
      <w:pPr>
        <w:ind w:left="7184" w:hanging="180"/>
      </w:pPr>
    </w:lvl>
    <w:lvl w:ilvl="3" w:tplc="0409000F" w:tentative="1">
      <w:start w:val="1"/>
      <w:numFmt w:val="decimal"/>
      <w:lvlText w:val="%4."/>
      <w:lvlJc w:val="left"/>
      <w:pPr>
        <w:ind w:left="7904" w:hanging="360"/>
      </w:pPr>
    </w:lvl>
    <w:lvl w:ilvl="4" w:tplc="04090019" w:tentative="1">
      <w:start w:val="1"/>
      <w:numFmt w:val="lowerLetter"/>
      <w:lvlText w:val="%5."/>
      <w:lvlJc w:val="left"/>
      <w:pPr>
        <w:ind w:left="8624" w:hanging="360"/>
      </w:pPr>
    </w:lvl>
    <w:lvl w:ilvl="5" w:tplc="0409001B" w:tentative="1">
      <w:start w:val="1"/>
      <w:numFmt w:val="lowerRoman"/>
      <w:lvlText w:val="%6."/>
      <w:lvlJc w:val="right"/>
      <w:pPr>
        <w:ind w:left="9344" w:hanging="180"/>
      </w:pPr>
    </w:lvl>
    <w:lvl w:ilvl="6" w:tplc="0409000F" w:tentative="1">
      <w:start w:val="1"/>
      <w:numFmt w:val="decimal"/>
      <w:lvlText w:val="%7."/>
      <w:lvlJc w:val="left"/>
      <w:pPr>
        <w:ind w:left="10064" w:hanging="360"/>
      </w:pPr>
    </w:lvl>
    <w:lvl w:ilvl="7" w:tplc="04090019" w:tentative="1">
      <w:start w:val="1"/>
      <w:numFmt w:val="lowerLetter"/>
      <w:lvlText w:val="%8."/>
      <w:lvlJc w:val="left"/>
      <w:pPr>
        <w:ind w:left="10784" w:hanging="360"/>
      </w:pPr>
    </w:lvl>
    <w:lvl w:ilvl="8" w:tplc="0409001B" w:tentative="1">
      <w:start w:val="1"/>
      <w:numFmt w:val="lowerRoman"/>
      <w:lvlText w:val="%9."/>
      <w:lvlJc w:val="right"/>
      <w:pPr>
        <w:ind w:left="1150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EAF"/>
    <w:multiLevelType w:val="hybridMultilevel"/>
    <w:tmpl w:val="B55C1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A25B4"/>
    <w:multiLevelType w:val="hybridMultilevel"/>
    <w:tmpl w:val="6AEC3858"/>
    <w:lvl w:ilvl="0" w:tplc="3B1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6B9B"/>
    <w:multiLevelType w:val="hybridMultilevel"/>
    <w:tmpl w:val="67FA5CFE"/>
    <w:lvl w:ilvl="0" w:tplc="A202C230">
      <w:start w:val="4"/>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460EE8"/>
    <w:multiLevelType w:val="hybridMultilevel"/>
    <w:tmpl w:val="2E5277F8"/>
    <w:lvl w:ilvl="0" w:tplc="BAC23F0C">
      <w:start w:val="9"/>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633AEE"/>
    <w:multiLevelType w:val="hybridMultilevel"/>
    <w:tmpl w:val="7A941162"/>
    <w:lvl w:ilvl="0" w:tplc="9F424946">
      <w:start w:val="9"/>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1CB4C33"/>
    <w:multiLevelType w:val="hybridMultilevel"/>
    <w:tmpl w:val="65921B0E"/>
    <w:lvl w:ilvl="0" w:tplc="CFACB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E323E"/>
    <w:multiLevelType w:val="hybridMultilevel"/>
    <w:tmpl w:val="F8323A64"/>
    <w:lvl w:ilvl="0" w:tplc="B9FA6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B576E"/>
    <w:multiLevelType w:val="hybridMultilevel"/>
    <w:tmpl w:val="D1C04F46"/>
    <w:lvl w:ilvl="0" w:tplc="7B9C9AC4">
      <w:start w:val="2"/>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16057589"/>
    <w:multiLevelType w:val="hybridMultilevel"/>
    <w:tmpl w:val="DFD23042"/>
    <w:lvl w:ilvl="0" w:tplc="3B92D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A86504"/>
    <w:multiLevelType w:val="hybridMultilevel"/>
    <w:tmpl w:val="68168630"/>
    <w:lvl w:ilvl="0" w:tplc="E14A6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4472B"/>
    <w:multiLevelType w:val="hybridMultilevel"/>
    <w:tmpl w:val="7F9289CC"/>
    <w:lvl w:ilvl="0" w:tplc="1C820274">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18DB2C68"/>
    <w:multiLevelType w:val="hybridMultilevel"/>
    <w:tmpl w:val="65921B0E"/>
    <w:lvl w:ilvl="0" w:tplc="CFACB2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37545"/>
    <w:multiLevelType w:val="hybridMultilevel"/>
    <w:tmpl w:val="313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A638D"/>
    <w:multiLevelType w:val="hybridMultilevel"/>
    <w:tmpl w:val="AEDCD394"/>
    <w:lvl w:ilvl="0" w:tplc="5AB4178E">
      <w:numFmt w:val="bullet"/>
      <w:lvlText w:val="-"/>
      <w:lvlJc w:val="left"/>
      <w:pPr>
        <w:ind w:left="1700" w:hanging="360"/>
      </w:pPr>
      <w:rPr>
        <w:rFonts w:ascii="Arial" w:eastAsia="Arial" w:hAnsi="Arial" w:cs="Arial" w:hint="default"/>
        <w:w w:val="100"/>
        <w:sz w:val="22"/>
        <w:szCs w:val="22"/>
      </w:rPr>
    </w:lvl>
    <w:lvl w:ilvl="1" w:tplc="219CA3DE">
      <w:numFmt w:val="bullet"/>
      <w:lvlText w:val="•"/>
      <w:lvlJc w:val="left"/>
      <w:pPr>
        <w:ind w:left="2626" w:hanging="360"/>
      </w:pPr>
      <w:rPr>
        <w:rFonts w:hint="default"/>
      </w:rPr>
    </w:lvl>
    <w:lvl w:ilvl="2" w:tplc="031C8780">
      <w:numFmt w:val="bullet"/>
      <w:lvlText w:val="•"/>
      <w:lvlJc w:val="left"/>
      <w:pPr>
        <w:ind w:left="3553" w:hanging="360"/>
      </w:pPr>
      <w:rPr>
        <w:rFonts w:hint="default"/>
      </w:rPr>
    </w:lvl>
    <w:lvl w:ilvl="3" w:tplc="B59A6658">
      <w:numFmt w:val="bullet"/>
      <w:lvlText w:val="•"/>
      <w:lvlJc w:val="left"/>
      <w:pPr>
        <w:ind w:left="4479" w:hanging="360"/>
      </w:pPr>
      <w:rPr>
        <w:rFonts w:hint="default"/>
      </w:rPr>
    </w:lvl>
    <w:lvl w:ilvl="4" w:tplc="9580DC40">
      <w:numFmt w:val="bullet"/>
      <w:lvlText w:val="•"/>
      <w:lvlJc w:val="left"/>
      <w:pPr>
        <w:ind w:left="5406" w:hanging="360"/>
      </w:pPr>
      <w:rPr>
        <w:rFonts w:hint="default"/>
      </w:rPr>
    </w:lvl>
    <w:lvl w:ilvl="5" w:tplc="066CD5B0">
      <w:numFmt w:val="bullet"/>
      <w:lvlText w:val="•"/>
      <w:lvlJc w:val="left"/>
      <w:pPr>
        <w:ind w:left="6333" w:hanging="360"/>
      </w:pPr>
      <w:rPr>
        <w:rFonts w:hint="default"/>
      </w:rPr>
    </w:lvl>
    <w:lvl w:ilvl="6" w:tplc="8146E6D4">
      <w:numFmt w:val="bullet"/>
      <w:lvlText w:val="•"/>
      <w:lvlJc w:val="left"/>
      <w:pPr>
        <w:ind w:left="7259" w:hanging="360"/>
      </w:pPr>
      <w:rPr>
        <w:rFonts w:hint="default"/>
      </w:rPr>
    </w:lvl>
    <w:lvl w:ilvl="7" w:tplc="DF763A88">
      <w:numFmt w:val="bullet"/>
      <w:lvlText w:val="•"/>
      <w:lvlJc w:val="left"/>
      <w:pPr>
        <w:ind w:left="8186" w:hanging="360"/>
      </w:pPr>
      <w:rPr>
        <w:rFonts w:hint="default"/>
      </w:rPr>
    </w:lvl>
    <w:lvl w:ilvl="8" w:tplc="CA84B0C2">
      <w:numFmt w:val="bullet"/>
      <w:lvlText w:val="•"/>
      <w:lvlJc w:val="left"/>
      <w:pPr>
        <w:ind w:left="9113" w:hanging="360"/>
      </w:pPr>
      <w:rPr>
        <w:rFonts w:hint="default"/>
      </w:rPr>
    </w:lvl>
  </w:abstractNum>
  <w:abstractNum w:abstractNumId="17"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8" w15:restartNumberingAfterBreak="0">
    <w:nsid w:val="215A41AC"/>
    <w:multiLevelType w:val="hybridMultilevel"/>
    <w:tmpl w:val="5DECC3F8"/>
    <w:lvl w:ilvl="0" w:tplc="6D340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F36BE"/>
    <w:multiLevelType w:val="hybridMultilevel"/>
    <w:tmpl w:val="5C5A44AE"/>
    <w:lvl w:ilvl="0" w:tplc="56569E10">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5F74138"/>
    <w:multiLevelType w:val="hybridMultilevel"/>
    <w:tmpl w:val="5BA67584"/>
    <w:lvl w:ilvl="0" w:tplc="34ECAA4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6A0E9B"/>
    <w:multiLevelType w:val="hybridMultilevel"/>
    <w:tmpl w:val="F126C86E"/>
    <w:lvl w:ilvl="0" w:tplc="A08E02A6">
      <w:start w:val="1"/>
      <w:numFmt w:val="lowerLetter"/>
      <w:lvlText w:val="(%1)"/>
      <w:lvlJc w:val="left"/>
      <w:pPr>
        <w:ind w:left="6027" w:hanging="360"/>
      </w:pPr>
      <w:rPr>
        <w:rFonts w:hint="default"/>
      </w:rPr>
    </w:lvl>
    <w:lvl w:ilvl="1" w:tplc="04090019" w:tentative="1">
      <w:start w:val="1"/>
      <w:numFmt w:val="lowerLetter"/>
      <w:lvlText w:val="%2."/>
      <w:lvlJc w:val="left"/>
      <w:pPr>
        <w:ind w:left="6747" w:hanging="360"/>
      </w:pPr>
    </w:lvl>
    <w:lvl w:ilvl="2" w:tplc="0409001B" w:tentative="1">
      <w:start w:val="1"/>
      <w:numFmt w:val="lowerRoman"/>
      <w:lvlText w:val="%3."/>
      <w:lvlJc w:val="right"/>
      <w:pPr>
        <w:ind w:left="7467" w:hanging="180"/>
      </w:pPr>
    </w:lvl>
    <w:lvl w:ilvl="3" w:tplc="0409000F" w:tentative="1">
      <w:start w:val="1"/>
      <w:numFmt w:val="decimal"/>
      <w:lvlText w:val="%4."/>
      <w:lvlJc w:val="left"/>
      <w:pPr>
        <w:ind w:left="8187" w:hanging="360"/>
      </w:pPr>
    </w:lvl>
    <w:lvl w:ilvl="4" w:tplc="04090019" w:tentative="1">
      <w:start w:val="1"/>
      <w:numFmt w:val="lowerLetter"/>
      <w:lvlText w:val="%5."/>
      <w:lvlJc w:val="left"/>
      <w:pPr>
        <w:ind w:left="8907" w:hanging="360"/>
      </w:pPr>
    </w:lvl>
    <w:lvl w:ilvl="5" w:tplc="0409001B" w:tentative="1">
      <w:start w:val="1"/>
      <w:numFmt w:val="lowerRoman"/>
      <w:lvlText w:val="%6."/>
      <w:lvlJc w:val="right"/>
      <w:pPr>
        <w:ind w:left="9627" w:hanging="180"/>
      </w:pPr>
    </w:lvl>
    <w:lvl w:ilvl="6" w:tplc="0409000F" w:tentative="1">
      <w:start w:val="1"/>
      <w:numFmt w:val="decimal"/>
      <w:lvlText w:val="%7."/>
      <w:lvlJc w:val="left"/>
      <w:pPr>
        <w:ind w:left="10347" w:hanging="360"/>
      </w:pPr>
    </w:lvl>
    <w:lvl w:ilvl="7" w:tplc="04090019" w:tentative="1">
      <w:start w:val="1"/>
      <w:numFmt w:val="lowerLetter"/>
      <w:lvlText w:val="%8."/>
      <w:lvlJc w:val="left"/>
      <w:pPr>
        <w:ind w:left="11067" w:hanging="360"/>
      </w:pPr>
    </w:lvl>
    <w:lvl w:ilvl="8" w:tplc="0409001B" w:tentative="1">
      <w:start w:val="1"/>
      <w:numFmt w:val="lowerRoman"/>
      <w:lvlText w:val="%9."/>
      <w:lvlJc w:val="right"/>
      <w:pPr>
        <w:ind w:left="11787" w:hanging="180"/>
      </w:pPr>
    </w:lvl>
  </w:abstractNum>
  <w:abstractNum w:abstractNumId="24" w15:restartNumberingAfterBreak="0">
    <w:nsid w:val="31612456"/>
    <w:multiLevelType w:val="hybridMultilevel"/>
    <w:tmpl w:val="069A9C1C"/>
    <w:lvl w:ilvl="0" w:tplc="E3FAA5AA">
      <w:start w:val="9"/>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7ED3C9B"/>
    <w:multiLevelType w:val="hybridMultilevel"/>
    <w:tmpl w:val="D5500204"/>
    <w:lvl w:ilvl="0" w:tplc="1228F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A3351A"/>
    <w:multiLevelType w:val="hybridMultilevel"/>
    <w:tmpl w:val="067C220E"/>
    <w:lvl w:ilvl="0" w:tplc="D5748508">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28" w15:restartNumberingAfterBreak="0">
    <w:nsid w:val="3BB00147"/>
    <w:multiLevelType w:val="hybridMultilevel"/>
    <w:tmpl w:val="B49C35B4"/>
    <w:lvl w:ilvl="0" w:tplc="13E20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C857576"/>
    <w:multiLevelType w:val="hybridMultilevel"/>
    <w:tmpl w:val="E0E0AF04"/>
    <w:lvl w:ilvl="0" w:tplc="D716F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72CA6"/>
    <w:multiLevelType w:val="hybridMultilevel"/>
    <w:tmpl w:val="6804B8D0"/>
    <w:lvl w:ilvl="0" w:tplc="C7A45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3FCB7D8E"/>
    <w:multiLevelType w:val="hybridMultilevel"/>
    <w:tmpl w:val="5BE8401A"/>
    <w:lvl w:ilvl="0" w:tplc="F9805A3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4D7B3F35"/>
    <w:multiLevelType w:val="hybridMultilevel"/>
    <w:tmpl w:val="245411EC"/>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3069B"/>
    <w:multiLevelType w:val="hybridMultilevel"/>
    <w:tmpl w:val="5152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E775829"/>
    <w:multiLevelType w:val="hybridMultilevel"/>
    <w:tmpl w:val="72CEB122"/>
    <w:lvl w:ilvl="0" w:tplc="A17EE2E4">
      <w:start w:val="2"/>
      <w:numFmt w:val="low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8" w15:restartNumberingAfterBreak="0">
    <w:nsid w:val="61E8496A"/>
    <w:multiLevelType w:val="hybridMultilevel"/>
    <w:tmpl w:val="756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762D9"/>
    <w:multiLevelType w:val="hybridMultilevel"/>
    <w:tmpl w:val="DBA4B7A0"/>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BB00274"/>
    <w:multiLevelType w:val="hybridMultilevel"/>
    <w:tmpl w:val="76A2CABA"/>
    <w:lvl w:ilvl="0" w:tplc="EB0A8D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482E14"/>
    <w:multiLevelType w:val="hybridMultilevel"/>
    <w:tmpl w:val="7AA8D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2" w15:restartNumberingAfterBreak="0">
    <w:nsid w:val="70000B86"/>
    <w:multiLevelType w:val="hybridMultilevel"/>
    <w:tmpl w:val="405A4FEE"/>
    <w:lvl w:ilvl="0" w:tplc="BB0AF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91ECF"/>
    <w:multiLevelType w:val="hybridMultilevel"/>
    <w:tmpl w:val="7BBC5FEC"/>
    <w:lvl w:ilvl="0" w:tplc="7FD81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32"/>
  </w:num>
  <w:num w:numId="3">
    <w:abstractNumId w:val="1"/>
  </w:num>
  <w:num w:numId="4">
    <w:abstractNumId w:val="15"/>
  </w:num>
  <w:num w:numId="5">
    <w:abstractNumId w:val="45"/>
  </w:num>
  <w:num w:numId="6">
    <w:abstractNumId w:val="21"/>
  </w:num>
  <w:num w:numId="7">
    <w:abstractNumId w:val="34"/>
  </w:num>
  <w:num w:numId="8">
    <w:abstractNumId w:val="44"/>
  </w:num>
  <w:num w:numId="9">
    <w:abstractNumId w:val="6"/>
  </w:num>
  <w:num w:numId="10">
    <w:abstractNumId w:val="31"/>
  </w:num>
  <w:num w:numId="11">
    <w:abstractNumId w:val="41"/>
  </w:num>
  <w:num w:numId="12">
    <w:abstractNumId w:val="38"/>
  </w:num>
  <w:num w:numId="13">
    <w:abstractNumId w:val="16"/>
  </w:num>
  <w:num w:numId="14">
    <w:abstractNumId w:val="2"/>
  </w:num>
  <w:num w:numId="15">
    <w:abstractNumId w:val="35"/>
  </w:num>
  <w:num w:numId="16">
    <w:abstractNumId w:val="43"/>
  </w:num>
  <w:num w:numId="17">
    <w:abstractNumId w:val="22"/>
  </w:num>
  <w:num w:numId="18">
    <w:abstractNumId w:val="18"/>
  </w:num>
  <w:num w:numId="19">
    <w:abstractNumId w:val="9"/>
  </w:num>
  <w:num w:numId="20">
    <w:abstractNumId w:val="26"/>
  </w:num>
  <w:num w:numId="21">
    <w:abstractNumId w:val="12"/>
  </w:num>
  <w:num w:numId="22">
    <w:abstractNumId w:val="3"/>
  </w:num>
  <w:num w:numId="23">
    <w:abstractNumId w:val="29"/>
  </w:num>
  <w:num w:numId="24">
    <w:abstractNumId w:val="11"/>
  </w:num>
  <w:num w:numId="25">
    <w:abstractNumId w:val="42"/>
  </w:num>
  <w:num w:numId="26">
    <w:abstractNumId w:val="7"/>
  </w:num>
  <w:num w:numId="27">
    <w:abstractNumId w:val="30"/>
  </w:num>
  <w:num w:numId="28">
    <w:abstractNumId w:val="5"/>
  </w:num>
  <w:num w:numId="29">
    <w:abstractNumId w:val="19"/>
  </w:num>
  <w:num w:numId="30">
    <w:abstractNumId w:val="37"/>
  </w:num>
  <w:num w:numId="31">
    <w:abstractNumId w:val="33"/>
  </w:num>
  <w:num w:numId="32">
    <w:abstractNumId w:val="39"/>
  </w:num>
  <w:num w:numId="33">
    <w:abstractNumId w:val="28"/>
  </w:num>
  <w:num w:numId="34">
    <w:abstractNumId w:val="20"/>
  </w:num>
  <w:num w:numId="35">
    <w:abstractNumId w:val="24"/>
  </w:num>
  <w:num w:numId="36">
    <w:abstractNumId w:val="10"/>
  </w:num>
  <w:num w:numId="37">
    <w:abstractNumId w:val="13"/>
  </w:num>
  <w:num w:numId="38">
    <w:abstractNumId w:val="4"/>
  </w:num>
  <w:num w:numId="39">
    <w:abstractNumId w:val="36"/>
  </w:num>
  <w:num w:numId="40">
    <w:abstractNumId w:val="0"/>
  </w:num>
  <w:num w:numId="41">
    <w:abstractNumId w:val="23"/>
  </w:num>
  <w:num w:numId="42">
    <w:abstractNumId w:val="27"/>
  </w:num>
  <w:num w:numId="43">
    <w:abstractNumId w:val="40"/>
  </w:num>
  <w:num w:numId="44">
    <w:abstractNumId w:val="8"/>
  </w:num>
  <w:num w:numId="45">
    <w:abstractNumId w:val="1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E1"/>
    <w:rsid w:val="00010CF3"/>
    <w:rsid w:val="00011E27"/>
    <w:rsid w:val="000148BC"/>
    <w:rsid w:val="00016514"/>
    <w:rsid w:val="00024AB8"/>
    <w:rsid w:val="00030854"/>
    <w:rsid w:val="00036028"/>
    <w:rsid w:val="00044642"/>
    <w:rsid w:val="000446B9"/>
    <w:rsid w:val="00047E21"/>
    <w:rsid w:val="00050E16"/>
    <w:rsid w:val="000709B5"/>
    <w:rsid w:val="00085505"/>
    <w:rsid w:val="000900AC"/>
    <w:rsid w:val="000B7639"/>
    <w:rsid w:val="000C4E25"/>
    <w:rsid w:val="000C7021"/>
    <w:rsid w:val="000D6BBC"/>
    <w:rsid w:val="000D7780"/>
    <w:rsid w:val="000E636A"/>
    <w:rsid w:val="000F0C4C"/>
    <w:rsid w:val="000F2F11"/>
    <w:rsid w:val="00103595"/>
    <w:rsid w:val="00105929"/>
    <w:rsid w:val="00110BED"/>
    <w:rsid w:val="00110C36"/>
    <w:rsid w:val="001131D5"/>
    <w:rsid w:val="001275B9"/>
    <w:rsid w:val="00141DB8"/>
    <w:rsid w:val="0016201B"/>
    <w:rsid w:val="00172084"/>
    <w:rsid w:val="0017474A"/>
    <w:rsid w:val="001758C6"/>
    <w:rsid w:val="00182B99"/>
    <w:rsid w:val="001910C3"/>
    <w:rsid w:val="001B392E"/>
    <w:rsid w:val="001C1525"/>
    <w:rsid w:val="001F4F19"/>
    <w:rsid w:val="00201343"/>
    <w:rsid w:val="00207502"/>
    <w:rsid w:val="0021332C"/>
    <w:rsid w:val="00213982"/>
    <w:rsid w:val="002171E8"/>
    <w:rsid w:val="0024416D"/>
    <w:rsid w:val="00261AB1"/>
    <w:rsid w:val="00271911"/>
    <w:rsid w:val="002800A0"/>
    <w:rsid w:val="002801B3"/>
    <w:rsid w:val="00281060"/>
    <w:rsid w:val="002850CD"/>
    <w:rsid w:val="002940E8"/>
    <w:rsid w:val="00294751"/>
    <w:rsid w:val="002A6E50"/>
    <w:rsid w:val="002B4298"/>
    <w:rsid w:val="002B7A36"/>
    <w:rsid w:val="002C256A"/>
    <w:rsid w:val="002D7093"/>
    <w:rsid w:val="00305A7F"/>
    <w:rsid w:val="00311307"/>
    <w:rsid w:val="003152FE"/>
    <w:rsid w:val="00315CD3"/>
    <w:rsid w:val="00327436"/>
    <w:rsid w:val="00344BD6"/>
    <w:rsid w:val="00345ABF"/>
    <w:rsid w:val="0035528D"/>
    <w:rsid w:val="003564F1"/>
    <w:rsid w:val="00361821"/>
    <w:rsid w:val="00361E9E"/>
    <w:rsid w:val="0036495F"/>
    <w:rsid w:val="0037367E"/>
    <w:rsid w:val="00382791"/>
    <w:rsid w:val="00392FB6"/>
    <w:rsid w:val="0039596E"/>
    <w:rsid w:val="003C7FBE"/>
    <w:rsid w:val="003D227C"/>
    <w:rsid w:val="003D2B4D"/>
    <w:rsid w:val="00431207"/>
    <w:rsid w:val="00444A88"/>
    <w:rsid w:val="00474DA4"/>
    <w:rsid w:val="00476B4D"/>
    <w:rsid w:val="004805FA"/>
    <w:rsid w:val="004821A3"/>
    <w:rsid w:val="00492AE5"/>
    <w:rsid w:val="004935D2"/>
    <w:rsid w:val="004B1215"/>
    <w:rsid w:val="004D047D"/>
    <w:rsid w:val="004D63E4"/>
    <w:rsid w:val="004F1E9E"/>
    <w:rsid w:val="004F305A"/>
    <w:rsid w:val="004F4639"/>
    <w:rsid w:val="00512164"/>
    <w:rsid w:val="0051667B"/>
    <w:rsid w:val="00520297"/>
    <w:rsid w:val="005338F9"/>
    <w:rsid w:val="0054281C"/>
    <w:rsid w:val="00544581"/>
    <w:rsid w:val="0055268D"/>
    <w:rsid w:val="00576BE4"/>
    <w:rsid w:val="005779DB"/>
    <w:rsid w:val="00585AA6"/>
    <w:rsid w:val="005A400A"/>
    <w:rsid w:val="005B2101"/>
    <w:rsid w:val="005B2E17"/>
    <w:rsid w:val="005C6C83"/>
    <w:rsid w:val="005D46AF"/>
    <w:rsid w:val="005D4A68"/>
    <w:rsid w:val="005D7476"/>
    <w:rsid w:val="005F4A83"/>
    <w:rsid w:val="005F7B92"/>
    <w:rsid w:val="00612379"/>
    <w:rsid w:val="006153B6"/>
    <w:rsid w:val="0061555F"/>
    <w:rsid w:val="00636CA6"/>
    <w:rsid w:val="00640808"/>
    <w:rsid w:val="00641200"/>
    <w:rsid w:val="00645CA8"/>
    <w:rsid w:val="006655D3"/>
    <w:rsid w:val="00667404"/>
    <w:rsid w:val="00687EB4"/>
    <w:rsid w:val="00695C56"/>
    <w:rsid w:val="006A5CDE"/>
    <w:rsid w:val="006A644A"/>
    <w:rsid w:val="006B17D2"/>
    <w:rsid w:val="006B22D9"/>
    <w:rsid w:val="006C224E"/>
    <w:rsid w:val="006D780A"/>
    <w:rsid w:val="0071271E"/>
    <w:rsid w:val="00732DEC"/>
    <w:rsid w:val="007337E5"/>
    <w:rsid w:val="00735B15"/>
    <w:rsid w:val="00735BD5"/>
    <w:rsid w:val="007451EC"/>
    <w:rsid w:val="00751613"/>
    <w:rsid w:val="00753EE9"/>
    <w:rsid w:val="007556F6"/>
    <w:rsid w:val="00760EEF"/>
    <w:rsid w:val="00767C8E"/>
    <w:rsid w:val="00771780"/>
    <w:rsid w:val="00772B0B"/>
    <w:rsid w:val="00772BC1"/>
    <w:rsid w:val="0077764C"/>
    <w:rsid w:val="00777EE5"/>
    <w:rsid w:val="00780A9A"/>
    <w:rsid w:val="007810E4"/>
    <w:rsid w:val="00784836"/>
    <w:rsid w:val="0079023E"/>
    <w:rsid w:val="007A2854"/>
    <w:rsid w:val="007A74A9"/>
    <w:rsid w:val="007B76E5"/>
    <w:rsid w:val="007C0C16"/>
    <w:rsid w:val="007C1D92"/>
    <w:rsid w:val="007C2406"/>
    <w:rsid w:val="007C4CB9"/>
    <w:rsid w:val="007D0B9D"/>
    <w:rsid w:val="007D19B0"/>
    <w:rsid w:val="007F498F"/>
    <w:rsid w:val="0080679D"/>
    <w:rsid w:val="0080737D"/>
    <w:rsid w:val="008108B0"/>
    <w:rsid w:val="00811B20"/>
    <w:rsid w:val="00812609"/>
    <w:rsid w:val="0081662D"/>
    <w:rsid w:val="008211B5"/>
    <w:rsid w:val="0082296E"/>
    <w:rsid w:val="00824099"/>
    <w:rsid w:val="0084391F"/>
    <w:rsid w:val="00846D7C"/>
    <w:rsid w:val="00856F83"/>
    <w:rsid w:val="00867AC1"/>
    <w:rsid w:val="00867C69"/>
    <w:rsid w:val="008762E4"/>
    <w:rsid w:val="00890DF8"/>
    <w:rsid w:val="008A743F"/>
    <w:rsid w:val="008C0970"/>
    <w:rsid w:val="008C57C1"/>
    <w:rsid w:val="008D0BC5"/>
    <w:rsid w:val="008D2CF7"/>
    <w:rsid w:val="008F5A88"/>
    <w:rsid w:val="00900C26"/>
    <w:rsid w:val="0090197F"/>
    <w:rsid w:val="00903264"/>
    <w:rsid w:val="00906DDC"/>
    <w:rsid w:val="00934E09"/>
    <w:rsid w:val="00936253"/>
    <w:rsid w:val="00940D46"/>
    <w:rsid w:val="009434CF"/>
    <w:rsid w:val="00945782"/>
    <w:rsid w:val="00952DD4"/>
    <w:rsid w:val="00954540"/>
    <w:rsid w:val="00965AE7"/>
    <w:rsid w:val="00966C9E"/>
    <w:rsid w:val="00970FED"/>
    <w:rsid w:val="00992D82"/>
    <w:rsid w:val="00997029"/>
    <w:rsid w:val="00997037"/>
    <w:rsid w:val="009A0294"/>
    <w:rsid w:val="009A7339"/>
    <w:rsid w:val="009B440E"/>
    <w:rsid w:val="009D690D"/>
    <w:rsid w:val="009E65B6"/>
    <w:rsid w:val="009F77CF"/>
    <w:rsid w:val="00A16A31"/>
    <w:rsid w:val="00A24C10"/>
    <w:rsid w:val="00A42AC3"/>
    <w:rsid w:val="00A430CF"/>
    <w:rsid w:val="00A54309"/>
    <w:rsid w:val="00A7016D"/>
    <w:rsid w:val="00A80F2A"/>
    <w:rsid w:val="00AB2B93"/>
    <w:rsid w:val="00AB530F"/>
    <w:rsid w:val="00AB7E5B"/>
    <w:rsid w:val="00AC2883"/>
    <w:rsid w:val="00AC4196"/>
    <w:rsid w:val="00AE0EF1"/>
    <w:rsid w:val="00AE100B"/>
    <w:rsid w:val="00AE2937"/>
    <w:rsid w:val="00AE5C02"/>
    <w:rsid w:val="00B05545"/>
    <w:rsid w:val="00B07301"/>
    <w:rsid w:val="00B11F3E"/>
    <w:rsid w:val="00B224DE"/>
    <w:rsid w:val="00B24E50"/>
    <w:rsid w:val="00B324D4"/>
    <w:rsid w:val="00B46575"/>
    <w:rsid w:val="00B61777"/>
    <w:rsid w:val="00B622E6"/>
    <w:rsid w:val="00B64091"/>
    <w:rsid w:val="00B84BBD"/>
    <w:rsid w:val="00B93087"/>
    <w:rsid w:val="00BA43FB"/>
    <w:rsid w:val="00BB579C"/>
    <w:rsid w:val="00BC127D"/>
    <w:rsid w:val="00BC1FE6"/>
    <w:rsid w:val="00BF171D"/>
    <w:rsid w:val="00C061B6"/>
    <w:rsid w:val="00C2446C"/>
    <w:rsid w:val="00C36AE5"/>
    <w:rsid w:val="00C41F17"/>
    <w:rsid w:val="00C527FA"/>
    <w:rsid w:val="00C5280D"/>
    <w:rsid w:val="00C53EB3"/>
    <w:rsid w:val="00C5791C"/>
    <w:rsid w:val="00C63F40"/>
    <w:rsid w:val="00C65682"/>
    <w:rsid w:val="00C66290"/>
    <w:rsid w:val="00C7115D"/>
    <w:rsid w:val="00C72B7A"/>
    <w:rsid w:val="00C973F2"/>
    <w:rsid w:val="00CA304C"/>
    <w:rsid w:val="00CA774A"/>
    <w:rsid w:val="00CB47C4"/>
    <w:rsid w:val="00CB526A"/>
    <w:rsid w:val="00CC11B0"/>
    <w:rsid w:val="00CC2841"/>
    <w:rsid w:val="00CD6638"/>
    <w:rsid w:val="00CF1330"/>
    <w:rsid w:val="00CF4CD0"/>
    <w:rsid w:val="00CF7E36"/>
    <w:rsid w:val="00D2749B"/>
    <w:rsid w:val="00D3708D"/>
    <w:rsid w:val="00D40426"/>
    <w:rsid w:val="00D57C96"/>
    <w:rsid w:val="00D57D18"/>
    <w:rsid w:val="00D666E1"/>
    <w:rsid w:val="00D66EA3"/>
    <w:rsid w:val="00D718B5"/>
    <w:rsid w:val="00D7287F"/>
    <w:rsid w:val="00D91203"/>
    <w:rsid w:val="00D95174"/>
    <w:rsid w:val="00DA4973"/>
    <w:rsid w:val="00DA6F36"/>
    <w:rsid w:val="00DB596E"/>
    <w:rsid w:val="00DB7773"/>
    <w:rsid w:val="00DC00EA"/>
    <w:rsid w:val="00DC357B"/>
    <w:rsid w:val="00DC3802"/>
    <w:rsid w:val="00DD6208"/>
    <w:rsid w:val="00DF618C"/>
    <w:rsid w:val="00E07D87"/>
    <w:rsid w:val="00E249C8"/>
    <w:rsid w:val="00E30570"/>
    <w:rsid w:val="00E32F7E"/>
    <w:rsid w:val="00E3542C"/>
    <w:rsid w:val="00E44453"/>
    <w:rsid w:val="00E5267B"/>
    <w:rsid w:val="00E559F0"/>
    <w:rsid w:val="00E55C9B"/>
    <w:rsid w:val="00E62011"/>
    <w:rsid w:val="00E63C0E"/>
    <w:rsid w:val="00E65BE1"/>
    <w:rsid w:val="00E72D49"/>
    <w:rsid w:val="00E7593C"/>
    <w:rsid w:val="00E7678A"/>
    <w:rsid w:val="00E901EF"/>
    <w:rsid w:val="00E935F1"/>
    <w:rsid w:val="00E94A81"/>
    <w:rsid w:val="00EA1FFB"/>
    <w:rsid w:val="00EB048E"/>
    <w:rsid w:val="00EB2FCB"/>
    <w:rsid w:val="00EB4E9C"/>
    <w:rsid w:val="00ED6168"/>
    <w:rsid w:val="00ED7116"/>
    <w:rsid w:val="00EE34DF"/>
    <w:rsid w:val="00EF2F89"/>
    <w:rsid w:val="00EF7BB4"/>
    <w:rsid w:val="00F01DC9"/>
    <w:rsid w:val="00F03E98"/>
    <w:rsid w:val="00F11CA3"/>
    <w:rsid w:val="00F1237A"/>
    <w:rsid w:val="00F22CBD"/>
    <w:rsid w:val="00F272F1"/>
    <w:rsid w:val="00F31412"/>
    <w:rsid w:val="00F328A3"/>
    <w:rsid w:val="00F37A27"/>
    <w:rsid w:val="00F44799"/>
    <w:rsid w:val="00F45372"/>
    <w:rsid w:val="00F50020"/>
    <w:rsid w:val="00F560F7"/>
    <w:rsid w:val="00F6334D"/>
    <w:rsid w:val="00F63599"/>
    <w:rsid w:val="00F67250"/>
    <w:rsid w:val="00F73AFC"/>
    <w:rsid w:val="00F9023A"/>
    <w:rsid w:val="00FA49AB"/>
    <w:rsid w:val="00FB3342"/>
    <w:rsid w:val="00FC79BD"/>
    <w:rsid w:val="00FE39C7"/>
    <w:rsid w:val="00FE444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E853DA"/>
  <w15:docId w15:val="{7578D6DC-A84D-4238-8EE9-FA26573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65BE1"/>
    <w:pPr>
      <w:outlineLvl w:val="5"/>
    </w:pPr>
    <w:rPr>
      <w:lang w:val="es-ES_tradnl"/>
    </w:rPr>
  </w:style>
  <w:style w:type="paragraph" w:styleId="Heading7">
    <w:name w:val="heading 7"/>
    <w:basedOn w:val="Normal"/>
    <w:next w:val="Normal"/>
    <w:link w:val="Heading7Char"/>
    <w:qFormat/>
    <w:rsid w:val="00E65BE1"/>
    <w:pPr>
      <w:spacing w:before="240" w:after="60"/>
      <w:outlineLvl w:val="6"/>
    </w:pPr>
    <w:rPr>
      <w:szCs w:val="24"/>
    </w:rPr>
  </w:style>
  <w:style w:type="paragraph" w:styleId="Heading8">
    <w:name w:val="heading 8"/>
    <w:basedOn w:val="Normal"/>
    <w:next w:val="Normal"/>
    <w:link w:val="Heading8Char"/>
    <w:qFormat/>
    <w:rsid w:val="00E65BE1"/>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9023A"/>
    <w:pPr>
      <w:tabs>
        <w:tab w:val="right" w:leader="dot" w:pos="9639"/>
      </w:tabs>
      <w:spacing w:before="120"/>
      <w:ind w:left="284" w:right="851"/>
      <w:jc w:val="both"/>
    </w:pPr>
    <w:rPr>
      <w:rFonts w:ascii="Arial" w:hAnsi="Arial"/>
      <w:noProof/>
      <w:sz w:val="18"/>
    </w:rPr>
  </w:style>
  <w:style w:type="paragraph" w:styleId="TOC3">
    <w:name w:val="toc 3"/>
    <w:next w:val="Normal"/>
    <w:autoRedefine/>
    <w:uiPriority w:val="39"/>
    <w:rsid w:val="002D7093"/>
    <w:pPr>
      <w:tabs>
        <w:tab w:val="right" w:leader="dot" w:pos="9639"/>
      </w:tabs>
      <w:spacing w:after="60"/>
      <w:ind w:left="567" w:right="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92AE5"/>
    <w:pPr>
      <w:tabs>
        <w:tab w:val="right" w:leader="dot" w:pos="9639"/>
      </w:tabs>
      <w:spacing w:before="120"/>
      <w:ind w:right="284"/>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65BE1"/>
    <w:rPr>
      <w:rFonts w:ascii="Arial" w:hAnsi="Arial"/>
      <w:lang w:val="es-ES_tradnl"/>
    </w:rPr>
  </w:style>
  <w:style w:type="character" w:customStyle="1" w:styleId="Heading7Char">
    <w:name w:val="Heading 7 Char"/>
    <w:basedOn w:val="DefaultParagraphFont"/>
    <w:link w:val="Heading7"/>
    <w:rsid w:val="00E65BE1"/>
    <w:rPr>
      <w:rFonts w:ascii="Arial" w:hAnsi="Arial"/>
      <w:szCs w:val="24"/>
    </w:rPr>
  </w:style>
  <w:style w:type="character" w:customStyle="1" w:styleId="Heading8Char">
    <w:name w:val="Heading 8 Char"/>
    <w:basedOn w:val="DefaultParagraphFont"/>
    <w:link w:val="Heading8"/>
    <w:rsid w:val="00E65BE1"/>
    <w:rPr>
      <w:rFonts w:ascii="Arial" w:hAnsi="Arial"/>
      <w:u w:val="single"/>
    </w:rPr>
  </w:style>
  <w:style w:type="character" w:customStyle="1" w:styleId="DecisionParagraphsChar">
    <w:name w:val="DecisionParagraphs Char"/>
    <w:basedOn w:val="DefaultParagraphFont"/>
    <w:link w:val="DecisionParagraphs"/>
    <w:rsid w:val="00E65BE1"/>
    <w:rPr>
      <w:rFonts w:ascii="Arial" w:hAnsi="Arial"/>
      <w:i/>
    </w:rPr>
  </w:style>
  <w:style w:type="paragraph" w:styleId="ListParagraph">
    <w:name w:val="List Paragraph"/>
    <w:basedOn w:val="Normal"/>
    <w:uiPriority w:val="34"/>
    <w:qFormat/>
    <w:rsid w:val="00E65BE1"/>
    <w:pPr>
      <w:ind w:left="720"/>
      <w:contextualSpacing/>
    </w:pPr>
  </w:style>
  <w:style w:type="character" w:customStyle="1" w:styleId="Heading1Char">
    <w:name w:val="Heading 1 Char"/>
    <w:basedOn w:val="DefaultParagraphFont"/>
    <w:link w:val="Heading1"/>
    <w:rsid w:val="00E65BE1"/>
    <w:rPr>
      <w:rFonts w:ascii="Arial" w:hAnsi="Arial"/>
      <w:caps/>
    </w:rPr>
  </w:style>
  <w:style w:type="paragraph" w:styleId="NormalWeb">
    <w:name w:val="Normal (Web)"/>
    <w:basedOn w:val="Normal"/>
    <w:rsid w:val="00E65BE1"/>
    <w:pPr>
      <w:spacing w:before="100" w:beforeAutospacing="1" w:after="100" w:afterAutospacing="1"/>
      <w:jc w:val="left"/>
    </w:pPr>
    <w:rPr>
      <w:szCs w:val="24"/>
    </w:rPr>
  </w:style>
  <w:style w:type="paragraph" w:customStyle="1" w:styleId="pdflink">
    <w:name w:val="pdflink"/>
    <w:basedOn w:val="Normal"/>
    <w:next w:val="Normal"/>
    <w:rsid w:val="00E65BE1"/>
    <w:rPr>
      <w:color w:val="800000"/>
      <w:u w:val="words"/>
    </w:rPr>
  </w:style>
  <w:style w:type="paragraph" w:customStyle="1" w:styleId="Draft">
    <w:name w:val="Draft"/>
    <w:basedOn w:val="Normal"/>
    <w:next w:val="preparedby"/>
    <w:rsid w:val="00E65BE1"/>
    <w:pPr>
      <w:spacing w:before="720" w:after="480"/>
      <w:jc w:val="center"/>
    </w:pPr>
    <w:rPr>
      <w:caps/>
      <w:sz w:val="28"/>
    </w:rPr>
  </w:style>
  <w:style w:type="paragraph" w:customStyle="1" w:styleId="quote1">
    <w:name w:val="quote1"/>
    <w:basedOn w:val="Normal"/>
    <w:semiHidden/>
    <w:rsid w:val="00E65BE1"/>
    <w:pPr>
      <w:ind w:left="567" w:right="565" w:firstLine="567"/>
    </w:pPr>
    <w:rPr>
      <w:snapToGrid w:val="0"/>
      <w:sz w:val="22"/>
      <w:szCs w:val="22"/>
    </w:rPr>
  </w:style>
  <w:style w:type="paragraph" w:customStyle="1" w:styleId="tqparabox">
    <w:name w:val="tqparabox"/>
    <w:basedOn w:val="Normal"/>
    <w:rsid w:val="00E65BE1"/>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65BE1"/>
    <w:pPr>
      <w:ind w:left="1200"/>
    </w:pPr>
  </w:style>
  <w:style w:type="paragraph" w:styleId="BodyTextIndent">
    <w:name w:val="Body Text Indent"/>
    <w:basedOn w:val="Normal"/>
    <w:link w:val="BodyTextIndentChar"/>
    <w:rsid w:val="00E65BE1"/>
    <w:pPr>
      <w:ind w:left="567"/>
    </w:pPr>
    <w:rPr>
      <w:lang w:val="es-ES_tradnl"/>
    </w:rPr>
  </w:style>
  <w:style w:type="character" w:customStyle="1" w:styleId="BodyTextIndentChar">
    <w:name w:val="Body Text Indent Char"/>
    <w:basedOn w:val="DefaultParagraphFont"/>
    <w:link w:val="BodyTextIndent"/>
    <w:rsid w:val="00E65BE1"/>
    <w:rPr>
      <w:rFonts w:ascii="Arial" w:hAnsi="Arial"/>
      <w:lang w:val="es-ES_tradnl"/>
    </w:rPr>
  </w:style>
  <w:style w:type="paragraph" w:customStyle="1" w:styleId="twpcheck">
    <w:name w:val="twpcheck"/>
    <w:basedOn w:val="Normal"/>
    <w:rsid w:val="00E65BE1"/>
    <w:pPr>
      <w:spacing w:before="80" w:after="80"/>
      <w:jc w:val="left"/>
    </w:pPr>
    <w:rPr>
      <w:rFonts w:cs="Arial"/>
      <w:snapToGrid w:val="0"/>
      <w:sz w:val="16"/>
      <w:szCs w:val="16"/>
    </w:rPr>
  </w:style>
  <w:style w:type="paragraph" w:customStyle="1" w:styleId="DecisionInvitingPara">
    <w:name w:val="Decision Inviting Para."/>
    <w:basedOn w:val="Normal"/>
    <w:rsid w:val="00E65BE1"/>
    <w:pPr>
      <w:ind w:left="4536"/>
    </w:pPr>
    <w:rPr>
      <w:i/>
      <w:lang w:val="es-ES_tradnl"/>
    </w:rPr>
  </w:style>
  <w:style w:type="paragraph" w:customStyle="1" w:styleId="Enttepair">
    <w:name w:val="Entête_pair"/>
    <w:basedOn w:val="Normal"/>
    <w:next w:val="Normal"/>
    <w:rsid w:val="00E65BE1"/>
    <w:pPr>
      <w:pBdr>
        <w:bottom w:val="single" w:sz="4" w:space="1" w:color="auto"/>
      </w:pBdr>
      <w:jc w:val="left"/>
    </w:pPr>
    <w:rPr>
      <w:szCs w:val="24"/>
    </w:rPr>
  </w:style>
  <w:style w:type="paragraph" w:customStyle="1" w:styleId="Entteimpair">
    <w:name w:val="Entête_impair"/>
    <w:basedOn w:val="Normal"/>
    <w:next w:val="Normal"/>
    <w:rsid w:val="00E65BE1"/>
    <w:pPr>
      <w:pBdr>
        <w:bottom w:val="single" w:sz="4" w:space="1" w:color="auto"/>
      </w:pBdr>
      <w:jc w:val="right"/>
    </w:pPr>
  </w:style>
  <w:style w:type="table" w:styleId="TableGrid">
    <w:name w:val="Table Grid"/>
    <w:basedOn w:val="TableNormal"/>
    <w:rsid w:val="00E65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E65BE1"/>
  </w:style>
  <w:style w:type="character" w:customStyle="1" w:styleId="E-mailSignatureChar">
    <w:name w:val="E-mail Signature Char"/>
    <w:basedOn w:val="DefaultParagraphFont"/>
    <w:link w:val="E-mailSignature"/>
    <w:semiHidden/>
    <w:rsid w:val="00E65BE1"/>
    <w:rPr>
      <w:rFonts w:ascii="Arial" w:hAnsi="Arial"/>
    </w:rPr>
  </w:style>
  <w:style w:type="character" w:styleId="Emphasis">
    <w:name w:val="Emphasis"/>
    <w:basedOn w:val="DefaultParagraphFont"/>
    <w:qFormat/>
    <w:rsid w:val="00E65BE1"/>
    <w:rPr>
      <w:i/>
      <w:iCs/>
    </w:rPr>
  </w:style>
  <w:style w:type="paragraph" w:styleId="EnvelopeAddress">
    <w:name w:val="envelope address"/>
    <w:basedOn w:val="Normal"/>
    <w:semiHidden/>
    <w:rsid w:val="00E65BE1"/>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E65BE1"/>
    <w:rPr>
      <w:rFonts w:cs="Arial"/>
    </w:rPr>
  </w:style>
  <w:style w:type="character" w:styleId="HTMLAcronym">
    <w:name w:val="HTML Acronym"/>
    <w:basedOn w:val="DefaultParagraphFont"/>
    <w:semiHidden/>
    <w:rsid w:val="00E65BE1"/>
  </w:style>
  <w:style w:type="paragraph" w:styleId="HTMLAddress">
    <w:name w:val="HTML Address"/>
    <w:basedOn w:val="Normal"/>
    <w:link w:val="HTMLAddressChar"/>
    <w:semiHidden/>
    <w:rsid w:val="00E65BE1"/>
    <w:rPr>
      <w:i/>
      <w:iCs/>
    </w:rPr>
  </w:style>
  <w:style w:type="character" w:customStyle="1" w:styleId="HTMLAddressChar">
    <w:name w:val="HTML Address Char"/>
    <w:basedOn w:val="DefaultParagraphFont"/>
    <w:link w:val="HTMLAddress"/>
    <w:semiHidden/>
    <w:rsid w:val="00E65BE1"/>
    <w:rPr>
      <w:rFonts w:ascii="Arial" w:hAnsi="Arial"/>
      <w:i/>
      <w:iCs/>
    </w:rPr>
  </w:style>
  <w:style w:type="character" w:styleId="HTMLCite">
    <w:name w:val="HTML Cite"/>
    <w:basedOn w:val="DefaultParagraphFont"/>
    <w:semiHidden/>
    <w:rsid w:val="00E65BE1"/>
    <w:rPr>
      <w:i/>
      <w:iCs/>
    </w:rPr>
  </w:style>
  <w:style w:type="character" w:styleId="HTMLCode">
    <w:name w:val="HTML Code"/>
    <w:basedOn w:val="DefaultParagraphFont"/>
    <w:semiHidden/>
    <w:rsid w:val="00E65BE1"/>
    <w:rPr>
      <w:rFonts w:ascii="Courier New" w:hAnsi="Courier New" w:cs="Courier New"/>
      <w:sz w:val="20"/>
      <w:szCs w:val="20"/>
    </w:rPr>
  </w:style>
  <w:style w:type="character" w:styleId="HTMLDefinition">
    <w:name w:val="HTML Definition"/>
    <w:basedOn w:val="DefaultParagraphFont"/>
    <w:semiHidden/>
    <w:rsid w:val="00E65BE1"/>
    <w:rPr>
      <w:i/>
      <w:iCs/>
    </w:rPr>
  </w:style>
  <w:style w:type="character" w:styleId="HTMLKeyboard">
    <w:name w:val="HTML Keyboard"/>
    <w:basedOn w:val="DefaultParagraphFont"/>
    <w:semiHidden/>
    <w:rsid w:val="00E65BE1"/>
    <w:rPr>
      <w:rFonts w:ascii="Courier New" w:hAnsi="Courier New" w:cs="Courier New"/>
      <w:sz w:val="20"/>
      <w:szCs w:val="20"/>
    </w:rPr>
  </w:style>
  <w:style w:type="paragraph" w:styleId="HTMLPreformatted">
    <w:name w:val="HTML Preformatted"/>
    <w:basedOn w:val="Normal"/>
    <w:link w:val="HTMLPreformattedChar"/>
    <w:semiHidden/>
    <w:rsid w:val="00E65BE1"/>
    <w:rPr>
      <w:rFonts w:ascii="Courier New" w:hAnsi="Courier New" w:cs="Courier New"/>
    </w:rPr>
  </w:style>
  <w:style w:type="character" w:customStyle="1" w:styleId="HTMLPreformattedChar">
    <w:name w:val="HTML Preformatted Char"/>
    <w:basedOn w:val="DefaultParagraphFont"/>
    <w:link w:val="HTMLPreformatted"/>
    <w:semiHidden/>
    <w:rsid w:val="00E65BE1"/>
    <w:rPr>
      <w:rFonts w:ascii="Courier New" w:hAnsi="Courier New" w:cs="Courier New"/>
    </w:rPr>
  </w:style>
  <w:style w:type="character" w:styleId="HTMLSample">
    <w:name w:val="HTML Sample"/>
    <w:basedOn w:val="DefaultParagraphFont"/>
    <w:semiHidden/>
    <w:rsid w:val="00E65BE1"/>
    <w:rPr>
      <w:rFonts w:ascii="Courier New" w:hAnsi="Courier New" w:cs="Courier New"/>
    </w:rPr>
  </w:style>
  <w:style w:type="character" w:styleId="HTMLTypewriter">
    <w:name w:val="HTML Typewriter"/>
    <w:basedOn w:val="DefaultParagraphFont"/>
    <w:semiHidden/>
    <w:rsid w:val="00E65BE1"/>
    <w:rPr>
      <w:rFonts w:ascii="Courier New" w:hAnsi="Courier New" w:cs="Courier New"/>
      <w:sz w:val="20"/>
      <w:szCs w:val="20"/>
    </w:rPr>
  </w:style>
  <w:style w:type="character" w:styleId="HTMLVariable">
    <w:name w:val="HTML Variable"/>
    <w:basedOn w:val="DefaultParagraphFont"/>
    <w:semiHidden/>
    <w:rsid w:val="00E65BE1"/>
    <w:rPr>
      <w:i/>
      <w:iCs/>
    </w:rPr>
  </w:style>
  <w:style w:type="character" w:styleId="LineNumber">
    <w:name w:val="line number"/>
    <w:basedOn w:val="DefaultParagraphFont"/>
    <w:semiHidden/>
    <w:rsid w:val="00E65BE1"/>
  </w:style>
  <w:style w:type="paragraph" w:styleId="List">
    <w:name w:val="List"/>
    <w:basedOn w:val="Normal"/>
    <w:semiHidden/>
    <w:rsid w:val="00E65BE1"/>
    <w:pPr>
      <w:ind w:left="360" w:hanging="360"/>
    </w:pPr>
  </w:style>
  <w:style w:type="paragraph" w:styleId="List2">
    <w:name w:val="List 2"/>
    <w:basedOn w:val="Normal"/>
    <w:semiHidden/>
    <w:rsid w:val="00E65BE1"/>
    <w:pPr>
      <w:ind w:left="720" w:hanging="360"/>
    </w:pPr>
  </w:style>
  <w:style w:type="paragraph" w:styleId="List3">
    <w:name w:val="List 3"/>
    <w:basedOn w:val="Normal"/>
    <w:semiHidden/>
    <w:rsid w:val="00E65BE1"/>
    <w:pPr>
      <w:ind w:left="1080" w:hanging="360"/>
    </w:pPr>
  </w:style>
  <w:style w:type="paragraph" w:styleId="List4">
    <w:name w:val="List 4"/>
    <w:basedOn w:val="Normal"/>
    <w:rsid w:val="00E65BE1"/>
    <w:pPr>
      <w:ind w:left="1440" w:hanging="360"/>
    </w:pPr>
  </w:style>
  <w:style w:type="paragraph" w:styleId="List5">
    <w:name w:val="List 5"/>
    <w:basedOn w:val="Normal"/>
    <w:rsid w:val="00E65BE1"/>
    <w:pPr>
      <w:ind w:left="1800" w:hanging="360"/>
    </w:pPr>
  </w:style>
  <w:style w:type="paragraph" w:styleId="ListBullet">
    <w:name w:val="List Bullet"/>
    <w:basedOn w:val="Normal"/>
    <w:autoRedefine/>
    <w:rsid w:val="00E65BE1"/>
    <w:pPr>
      <w:tabs>
        <w:tab w:val="num" w:pos="360"/>
      </w:tabs>
      <w:ind w:left="360" w:hanging="360"/>
    </w:pPr>
    <w:rPr>
      <w:bCs/>
      <w:szCs w:val="24"/>
      <w:lang w:val="es-ES" w:eastAsia="zh-CN"/>
    </w:rPr>
  </w:style>
  <w:style w:type="paragraph" w:styleId="ListBullet2">
    <w:name w:val="List Bullet 2"/>
    <w:basedOn w:val="Normal"/>
    <w:semiHidden/>
    <w:rsid w:val="00E65BE1"/>
    <w:pPr>
      <w:tabs>
        <w:tab w:val="num" w:pos="720"/>
      </w:tabs>
      <w:ind w:left="720" w:hanging="360"/>
    </w:pPr>
  </w:style>
  <w:style w:type="paragraph" w:styleId="ListBullet3">
    <w:name w:val="List Bullet 3"/>
    <w:basedOn w:val="Normal"/>
    <w:semiHidden/>
    <w:rsid w:val="00E65BE1"/>
    <w:pPr>
      <w:tabs>
        <w:tab w:val="num" w:pos="1080"/>
      </w:tabs>
      <w:ind w:left="1080" w:hanging="360"/>
    </w:pPr>
  </w:style>
  <w:style w:type="paragraph" w:styleId="ListBullet4">
    <w:name w:val="List Bullet 4"/>
    <w:basedOn w:val="Normal"/>
    <w:semiHidden/>
    <w:rsid w:val="00E65BE1"/>
    <w:pPr>
      <w:tabs>
        <w:tab w:val="num" w:pos="1440"/>
      </w:tabs>
      <w:ind w:left="1440" w:hanging="360"/>
    </w:pPr>
  </w:style>
  <w:style w:type="paragraph" w:styleId="ListBullet5">
    <w:name w:val="List Bullet 5"/>
    <w:basedOn w:val="Normal"/>
    <w:semiHidden/>
    <w:rsid w:val="00E65BE1"/>
    <w:pPr>
      <w:tabs>
        <w:tab w:val="num" w:pos="1800"/>
      </w:tabs>
      <w:ind w:left="1800" w:hanging="360"/>
    </w:pPr>
  </w:style>
  <w:style w:type="paragraph" w:styleId="ListContinue">
    <w:name w:val="List Continue"/>
    <w:basedOn w:val="Normal"/>
    <w:semiHidden/>
    <w:rsid w:val="00E65BE1"/>
    <w:pPr>
      <w:spacing w:after="120"/>
      <w:ind w:left="360"/>
    </w:pPr>
  </w:style>
  <w:style w:type="paragraph" w:styleId="ListContinue2">
    <w:name w:val="List Continue 2"/>
    <w:basedOn w:val="Normal"/>
    <w:semiHidden/>
    <w:rsid w:val="00E65BE1"/>
    <w:pPr>
      <w:spacing w:after="120"/>
      <w:ind w:left="720"/>
    </w:pPr>
  </w:style>
  <w:style w:type="paragraph" w:styleId="ListContinue3">
    <w:name w:val="List Continue 3"/>
    <w:basedOn w:val="Normal"/>
    <w:semiHidden/>
    <w:rsid w:val="00E65BE1"/>
    <w:pPr>
      <w:spacing w:after="120"/>
      <w:ind w:left="1080"/>
    </w:pPr>
  </w:style>
  <w:style w:type="paragraph" w:styleId="ListContinue4">
    <w:name w:val="List Continue 4"/>
    <w:basedOn w:val="Normal"/>
    <w:semiHidden/>
    <w:rsid w:val="00E65BE1"/>
    <w:pPr>
      <w:spacing w:after="120"/>
      <w:ind w:left="1440"/>
    </w:pPr>
  </w:style>
  <w:style w:type="paragraph" w:styleId="ListContinue5">
    <w:name w:val="List Continue 5"/>
    <w:basedOn w:val="Normal"/>
    <w:semiHidden/>
    <w:rsid w:val="00E65BE1"/>
    <w:pPr>
      <w:spacing w:after="120"/>
      <w:ind w:left="1800"/>
    </w:pPr>
  </w:style>
  <w:style w:type="paragraph" w:styleId="ListNumber">
    <w:name w:val="List Number"/>
    <w:basedOn w:val="Normal"/>
    <w:rsid w:val="00E65BE1"/>
    <w:pPr>
      <w:tabs>
        <w:tab w:val="num" w:pos="360"/>
      </w:tabs>
      <w:ind w:left="360" w:hanging="360"/>
    </w:pPr>
  </w:style>
  <w:style w:type="paragraph" w:styleId="ListNumber2">
    <w:name w:val="List Number 2"/>
    <w:basedOn w:val="Normal"/>
    <w:semiHidden/>
    <w:rsid w:val="00E65BE1"/>
    <w:pPr>
      <w:tabs>
        <w:tab w:val="num" w:pos="720"/>
      </w:tabs>
      <w:ind w:left="720" w:hanging="360"/>
    </w:pPr>
  </w:style>
  <w:style w:type="paragraph" w:styleId="ListNumber3">
    <w:name w:val="List Number 3"/>
    <w:basedOn w:val="Normal"/>
    <w:semiHidden/>
    <w:rsid w:val="00E65BE1"/>
    <w:pPr>
      <w:tabs>
        <w:tab w:val="num" w:pos="1080"/>
      </w:tabs>
      <w:ind w:left="1080" w:hanging="360"/>
    </w:pPr>
  </w:style>
  <w:style w:type="paragraph" w:styleId="ListNumber4">
    <w:name w:val="List Number 4"/>
    <w:basedOn w:val="Normal"/>
    <w:semiHidden/>
    <w:rsid w:val="00E65BE1"/>
    <w:pPr>
      <w:tabs>
        <w:tab w:val="num" w:pos="1440"/>
      </w:tabs>
      <w:ind w:left="1440" w:hanging="360"/>
    </w:pPr>
  </w:style>
  <w:style w:type="paragraph" w:styleId="ListNumber5">
    <w:name w:val="List Number 5"/>
    <w:basedOn w:val="Normal"/>
    <w:semiHidden/>
    <w:rsid w:val="00E65BE1"/>
    <w:pPr>
      <w:tabs>
        <w:tab w:val="num" w:pos="1800"/>
      </w:tabs>
      <w:ind w:left="1800" w:hanging="360"/>
    </w:pPr>
  </w:style>
  <w:style w:type="paragraph" w:styleId="MessageHeader">
    <w:name w:val="Message Header"/>
    <w:basedOn w:val="Normal"/>
    <w:link w:val="MessageHeaderChar"/>
    <w:semiHidden/>
    <w:rsid w:val="00E65BE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E65BE1"/>
    <w:rPr>
      <w:rFonts w:ascii="Arial" w:hAnsi="Arial" w:cs="Arial"/>
      <w:szCs w:val="24"/>
      <w:shd w:val="pct20" w:color="auto" w:fill="auto"/>
    </w:rPr>
  </w:style>
  <w:style w:type="paragraph" w:styleId="NoteHeading">
    <w:name w:val="Note Heading"/>
    <w:basedOn w:val="Normal"/>
    <w:next w:val="Normal"/>
    <w:link w:val="NoteHeadingChar"/>
    <w:semiHidden/>
    <w:rsid w:val="00E65BE1"/>
  </w:style>
  <w:style w:type="character" w:customStyle="1" w:styleId="NoteHeadingChar">
    <w:name w:val="Note Heading Char"/>
    <w:basedOn w:val="DefaultParagraphFont"/>
    <w:link w:val="NoteHeading"/>
    <w:semiHidden/>
    <w:rsid w:val="00E65BE1"/>
    <w:rPr>
      <w:rFonts w:ascii="Arial" w:hAnsi="Arial"/>
    </w:rPr>
  </w:style>
  <w:style w:type="paragraph" w:styleId="Salutation">
    <w:name w:val="Salutation"/>
    <w:basedOn w:val="Normal"/>
    <w:next w:val="Normal"/>
    <w:link w:val="SalutationChar"/>
    <w:rsid w:val="00E65BE1"/>
  </w:style>
  <w:style w:type="character" w:customStyle="1" w:styleId="SalutationChar">
    <w:name w:val="Salutation Char"/>
    <w:basedOn w:val="DefaultParagraphFont"/>
    <w:link w:val="Salutation"/>
    <w:rsid w:val="00E65BE1"/>
    <w:rPr>
      <w:rFonts w:ascii="Arial" w:hAnsi="Arial"/>
    </w:rPr>
  </w:style>
  <w:style w:type="character" w:styleId="Strong">
    <w:name w:val="Strong"/>
    <w:basedOn w:val="DefaultParagraphFont"/>
    <w:qFormat/>
    <w:rsid w:val="00E65BE1"/>
    <w:rPr>
      <w:b/>
      <w:bCs/>
    </w:rPr>
  </w:style>
  <w:style w:type="paragraph" w:styleId="Subtitle">
    <w:name w:val="Subtitle"/>
    <w:basedOn w:val="Normal"/>
    <w:link w:val="SubtitleChar"/>
    <w:qFormat/>
    <w:rsid w:val="00E65BE1"/>
    <w:pPr>
      <w:spacing w:after="60"/>
      <w:jc w:val="center"/>
      <w:outlineLvl w:val="1"/>
    </w:pPr>
    <w:rPr>
      <w:rFonts w:cs="Arial"/>
      <w:szCs w:val="24"/>
    </w:rPr>
  </w:style>
  <w:style w:type="character" w:customStyle="1" w:styleId="SubtitleChar">
    <w:name w:val="Subtitle Char"/>
    <w:basedOn w:val="DefaultParagraphFont"/>
    <w:link w:val="Subtitle"/>
    <w:rsid w:val="00E65BE1"/>
    <w:rPr>
      <w:rFonts w:ascii="Arial" w:hAnsi="Arial" w:cs="Arial"/>
      <w:szCs w:val="24"/>
    </w:rPr>
  </w:style>
  <w:style w:type="table" w:styleId="Table3Deffects1">
    <w:name w:val="Table 3D effects 1"/>
    <w:basedOn w:val="TableNormal"/>
    <w:semiHidden/>
    <w:rsid w:val="00E65BE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5BE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5BE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5BE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5BE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5BE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5BE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5BE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5BE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5BE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5BE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5BE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5BE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5BE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5BE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5BE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5BE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5BE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5BE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5BE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5BE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5BE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5BE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5BE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5BE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5BE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5BE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5BE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5BE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5B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5BE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5BE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5BE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5BE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5BE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5B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5BE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5BE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5BE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65BE1"/>
    <w:pPr>
      <w:ind w:left="1440"/>
    </w:pPr>
  </w:style>
  <w:style w:type="paragraph" w:styleId="TOC8">
    <w:name w:val="toc 8"/>
    <w:basedOn w:val="Normal"/>
    <w:next w:val="Normal"/>
    <w:autoRedefine/>
    <w:semiHidden/>
    <w:rsid w:val="00E65BE1"/>
    <w:pPr>
      <w:ind w:left="1680"/>
    </w:pPr>
  </w:style>
  <w:style w:type="paragraph" w:styleId="TOC9">
    <w:name w:val="toc 9"/>
    <w:basedOn w:val="Normal"/>
    <w:next w:val="Normal"/>
    <w:autoRedefine/>
    <w:semiHidden/>
    <w:rsid w:val="00E65BE1"/>
    <w:pPr>
      <w:ind w:left="1920"/>
    </w:pPr>
  </w:style>
  <w:style w:type="character" w:styleId="FollowedHyperlink">
    <w:name w:val="FollowedHyperlink"/>
    <w:basedOn w:val="DefaultParagraphFont"/>
    <w:rsid w:val="00E65BE1"/>
    <w:rPr>
      <w:color w:val="606420"/>
      <w:u w:val="single"/>
    </w:rPr>
  </w:style>
  <w:style w:type="paragraph" w:styleId="BlockText">
    <w:name w:val="Block Text"/>
    <w:basedOn w:val="Normal"/>
    <w:rsid w:val="00E65BE1"/>
    <w:pPr>
      <w:ind w:left="567" w:right="566"/>
    </w:pPr>
    <w:rPr>
      <w:sz w:val="22"/>
    </w:rPr>
  </w:style>
  <w:style w:type="paragraph" w:styleId="Caption">
    <w:name w:val="caption"/>
    <w:basedOn w:val="Normal"/>
    <w:next w:val="Normal"/>
    <w:qFormat/>
    <w:rsid w:val="00E65BE1"/>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65BE1"/>
    <w:rPr>
      <w:sz w:val="22"/>
      <w:lang w:val="es-ES_tradnl"/>
    </w:rPr>
  </w:style>
  <w:style w:type="character" w:customStyle="1" w:styleId="CommentTextChar">
    <w:name w:val="Comment Text Char"/>
    <w:basedOn w:val="DefaultParagraphFont"/>
    <w:link w:val="CommentText"/>
    <w:semiHidden/>
    <w:rsid w:val="00E65BE1"/>
    <w:rPr>
      <w:rFonts w:ascii="Arial" w:hAnsi="Arial"/>
      <w:sz w:val="22"/>
      <w:lang w:val="es-ES_tradnl"/>
    </w:rPr>
  </w:style>
  <w:style w:type="paragraph" w:customStyle="1" w:styleId="Committee">
    <w:name w:val="Committee"/>
    <w:basedOn w:val="Title"/>
    <w:rsid w:val="00E65BE1"/>
    <w:rPr>
      <w:caps w:val="0"/>
    </w:rPr>
  </w:style>
  <w:style w:type="paragraph" w:customStyle="1" w:styleId="n">
    <w:name w:val="n"/>
    <w:basedOn w:val="Header"/>
    <w:rsid w:val="00E65BE1"/>
  </w:style>
  <w:style w:type="paragraph" w:customStyle="1" w:styleId="TitleofSection">
    <w:name w:val="Title of Section"/>
    <w:basedOn w:val="TitleofDoc"/>
    <w:rsid w:val="00E65BE1"/>
    <w:pPr>
      <w:spacing w:before="120" w:after="120"/>
    </w:pPr>
    <w:rPr>
      <w:b/>
      <w:caps w:val="0"/>
      <w:lang w:eastAsia="de-DE"/>
    </w:rPr>
  </w:style>
  <w:style w:type="paragraph" w:customStyle="1" w:styleId="TOCAnnex">
    <w:name w:val="TOC Annex"/>
    <w:basedOn w:val="Normal"/>
    <w:rsid w:val="00E65BE1"/>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65BE1"/>
    <w:pPr>
      <w:jc w:val="center"/>
    </w:pPr>
    <w:rPr>
      <w:b/>
      <w:caps/>
      <w:szCs w:val="24"/>
    </w:rPr>
  </w:style>
  <w:style w:type="paragraph" w:customStyle="1" w:styleId="Notetoarticle">
    <w:name w:val="Note to article"/>
    <w:basedOn w:val="Normal"/>
    <w:semiHidden/>
    <w:rsid w:val="00E65BE1"/>
  </w:style>
  <w:style w:type="paragraph" w:styleId="PlainText">
    <w:name w:val="Plain Text"/>
    <w:basedOn w:val="Normal"/>
    <w:link w:val="PlainTextChar"/>
    <w:rsid w:val="00E65BE1"/>
    <w:rPr>
      <w:rFonts w:ascii="Courier New" w:hAnsi="Courier New" w:cs="Courier New"/>
      <w:lang w:eastAsia="fr-FR"/>
    </w:rPr>
  </w:style>
  <w:style w:type="character" w:customStyle="1" w:styleId="PlainTextChar">
    <w:name w:val="Plain Text Char"/>
    <w:basedOn w:val="DefaultParagraphFont"/>
    <w:link w:val="PlainText"/>
    <w:rsid w:val="00E65BE1"/>
    <w:rPr>
      <w:rFonts w:ascii="Courier New" w:hAnsi="Courier New" w:cs="Courier New"/>
      <w:lang w:eastAsia="fr-FR"/>
    </w:rPr>
  </w:style>
  <w:style w:type="table" w:customStyle="1" w:styleId="TableGrid10">
    <w:name w:val="Table Grid1"/>
    <w:basedOn w:val="TableNormal"/>
    <w:next w:val="TableGrid"/>
    <w:rsid w:val="00E65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uroseeds.eu/app/uploads/2019/07/12.0838.pdf"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orldseed.org/our-work/trade-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3A50-56BF-4354-B8A8-30E8C5CE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Template>
  <TotalTime>31</TotalTime>
  <Pages>17</Pages>
  <Words>7423</Words>
  <Characters>39987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SANTOS Carla Marina</dc:creator>
  <cp:lastModifiedBy>SANTOS Carla Marina</cp:lastModifiedBy>
  <cp:revision>15</cp:revision>
  <cp:lastPrinted>2020-12-01T12:56:00Z</cp:lastPrinted>
  <dcterms:created xsi:type="dcterms:W3CDTF">2020-11-26T08:38:00Z</dcterms:created>
  <dcterms:modified xsi:type="dcterms:W3CDTF">2020-12-01T12:57:00Z</dcterms:modified>
</cp:coreProperties>
</file>