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0C3905" w:rsidTr="00EB4E9C">
        <w:tc>
          <w:tcPr>
            <w:tcW w:w="6522" w:type="dxa"/>
          </w:tcPr>
          <w:p w:rsidR="00DC3802" w:rsidRPr="000C3905" w:rsidRDefault="00DC3802" w:rsidP="00AC2883">
            <w:r w:rsidRPr="000C3905">
              <w:rPr>
                <w:noProof/>
              </w:rPr>
              <w:drawing>
                <wp:inline distT="0" distB="0" distL="0" distR="0" wp14:anchorId="18D47D2A" wp14:editId="2AD27ED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0C3905" w:rsidRDefault="00DC3802" w:rsidP="00AC2883">
            <w:pPr>
              <w:pStyle w:val="Lettrine"/>
            </w:pPr>
            <w:r w:rsidRPr="000C3905">
              <w:t>E</w:t>
            </w:r>
          </w:p>
        </w:tc>
      </w:tr>
      <w:tr w:rsidR="00DC3802" w:rsidRPr="000C3905" w:rsidTr="00645CA8">
        <w:trPr>
          <w:trHeight w:val="219"/>
        </w:trPr>
        <w:tc>
          <w:tcPr>
            <w:tcW w:w="6522" w:type="dxa"/>
          </w:tcPr>
          <w:p w:rsidR="00DC3802" w:rsidRPr="000C3905" w:rsidRDefault="00DC3802" w:rsidP="00AC2883">
            <w:pPr>
              <w:pStyle w:val="upove"/>
            </w:pPr>
            <w:r w:rsidRPr="000C3905">
              <w:t>International Union for the Protection of New Varieties of Plants</w:t>
            </w:r>
          </w:p>
        </w:tc>
        <w:tc>
          <w:tcPr>
            <w:tcW w:w="3117" w:type="dxa"/>
          </w:tcPr>
          <w:p w:rsidR="00DC3802" w:rsidRPr="000C3905" w:rsidRDefault="00DC3802" w:rsidP="00DA4973"/>
        </w:tc>
      </w:tr>
    </w:tbl>
    <w:p w:rsidR="00DC3802" w:rsidRPr="000C3905" w:rsidRDefault="00DC3802" w:rsidP="00DC3802"/>
    <w:p w:rsidR="00DA4973" w:rsidRPr="000C3905"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0C3905" w:rsidTr="00EB4E9C">
        <w:tc>
          <w:tcPr>
            <w:tcW w:w="6512" w:type="dxa"/>
          </w:tcPr>
          <w:p w:rsidR="00EB4E9C" w:rsidRPr="000C3905" w:rsidRDefault="00A33150" w:rsidP="00AC2883">
            <w:pPr>
              <w:pStyle w:val="Sessiontc"/>
              <w:spacing w:line="240" w:lineRule="auto"/>
            </w:pPr>
            <w:r w:rsidRPr="000C3905">
              <w:t xml:space="preserve">Working Group on </w:t>
            </w:r>
            <w:r w:rsidR="00666DA5" w:rsidRPr="000C3905">
              <w:t>Variety Denominations</w:t>
            </w:r>
          </w:p>
          <w:p w:rsidR="00EB4E9C" w:rsidRPr="000C3905" w:rsidRDefault="005060EE" w:rsidP="005060EE">
            <w:pPr>
              <w:pStyle w:val="Sessiontcplacedate"/>
              <w:rPr>
                <w:sz w:val="22"/>
              </w:rPr>
            </w:pPr>
            <w:r>
              <w:t>Fourth</w:t>
            </w:r>
            <w:r w:rsidR="00A33150" w:rsidRPr="000C3905">
              <w:t xml:space="preserve"> Meeting</w:t>
            </w:r>
            <w:r w:rsidR="00EB4E9C" w:rsidRPr="000C3905">
              <w:br/>
              <w:t xml:space="preserve">Geneva, </w:t>
            </w:r>
            <w:r>
              <w:t>October</w:t>
            </w:r>
            <w:r w:rsidR="00EB4E9C" w:rsidRPr="000C3905">
              <w:t xml:space="preserve"> </w:t>
            </w:r>
            <w:r>
              <w:t>2</w:t>
            </w:r>
            <w:r w:rsidR="00666DA5" w:rsidRPr="000C3905">
              <w:t>7</w:t>
            </w:r>
            <w:r w:rsidR="00EB4E9C" w:rsidRPr="000C3905">
              <w:t>, 2017</w:t>
            </w:r>
          </w:p>
        </w:tc>
        <w:tc>
          <w:tcPr>
            <w:tcW w:w="3127" w:type="dxa"/>
          </w:tcPr>
          <w:p w:rsidR="008C3987" w:rsidRPr="000C3905" w:rsidRDefault="00246C00" w:rsidP="003C7FBE">
            <w:pPr>
              <w:pStyle w:val="Doccode"/>
              <w:rPr>
                <w:lang w:eastAsia="ja-JP"/>
              </w:rPr>
            </w:pPr>
            <w:r>
              <w:t>UPOV/WG-DEN/4/3</w:t>
            </w:r>
          </w:p>
          <w:p w:rsidR="00EB4E9C" w:rsidRPr="000C3905" w:rsidRDefault="00EB4E9C" w:rsidP="003C7FBE">
            <w:pPr>
              <w:pStyle w:val="Docoriginal"/>
            </w:pPr>
            <w:r w:rsidRPr="000C3905">
              <w:t>Original:</w:t>
            </w:r>
            <w:r w:rsidRPr="000C3905">
              <w:rPr>
                <w:b w:val="0"/>
                <w:spacing w:val="0"/>
              </w:rPr>
              <w:t xml:space="preserve">  English</w:t>
            </w:r>
          </w:p>
          <w:p w:rsidR="00EB4E9C" w:rsidRPr="000C3905" w:rsidRDefault="00EB4E9C" w:rsidP="00CA70B5">
            <w:pPr>
              <w:pStyle w:val="Docoriginal"/>
            </w:pPr>
            <w:r w:rsidRPr="000C3905">
              <w:t>Date:</w:t>
            </w:r>
            <w:r w:rsidRPr="000C3905">
              <w:rPr>
                <w:b w:val="0"/>
                <w:spacing w:val="0"/>
              </w:rPr>
              <w:t xml:space="preserve">  </w:t>
            </w:r>
            <w:r w:rsidR="00CA70B5">
              <w:rPr>
                <w:b w:val="0"/>
                <w:spacing w:val="0"/>
              </w:rPr>
              <w:t>September 3</w:t>
            </w:r>
            <w:r w:rsidR="00246C00">
              <w:rPr>
                <w:b w:val="0"/>
                <w:spacing w:val="0"/>
              </w:rPr>
              <w:t>, 2018</w:t>
            </w:r>
          </w:p>
        </w:tc>
      </w:tr>
    </w:tbl>
    <w:p w:rsidR="000D7780" w:rsidRPr="000C3905" w:rsidRDefault="000201F0" w:rsidP="006A644A">
      <w:pPr>
        <w:pStyle w:val="Titleofdoc0"/>
      </w:pPr>
      <w:bookmarkStart w:id="0" w:name="TitleOfDoc"/>
      <w:bookmarkEnd w:id="0"/>
      <w:r>
        <w:t>REPORT</w:t>
      </w:r>
    </w:p>
    <w:p w:rsidR="00A90381" w:rsidRPr="000C3905" w:rsidRDefault="00A90381" w:rsidP="00A90381">
      <w:pPr>
        <w:pStyle w:val="preparedby1"/>
        <w:jc w:val="left"/>
      </w:pPr>
      <w:bookmarkStart w:id="1" w:name="Prepared"/>
      <w:bookmarkEnd w:id="1"/>
      <w:r>
        <w:t xml:space="preserve">adopted by the </w:t>
      </w:r>
      <w:r w:rsidRPr="00DE0FB9">
        <w:rPr>
          <w:rFonts w:cs="Arial"/>
          <w:snapToGrid w:val="0"/>
          <w:lang w:eastAsia="ja-JP"/>
        </w:rPr>
        <w:t>Working</w:t>
      </w:r>
      <w:r>
        <w:rPr>
          <w:rFonts w:cs="Arial"/>
          <w:snapToGrid w:val="0"/>
          <w:lang w:eastAsia="ja-JP"/>
        </w:rPr>
        <w:t xml:space="preserve"> Group on Variety</w:t>
      </w:r>
      <w:bookmarkStart w:id="2" w:name="_GoBack"/>
      <w:bookmarkEnd w:id="2"/>
      <w:r>
        <w:rPr>
          <w:rFonts w:cs="Arial"/>
          <w:snapToGrid w:val="0"/>
          <w:lang w:eastAsia="ja-JP"/>
        </w:rPr>
        <w:t xml:space="preserve"> Denominations</w:t>
      </w:r>
    </w:p>
    <w:p w:rsidR="00050E16" w:rsidRPr="000C3905" w:rsidRDefault="00050E16" w:rsidP="006A644A">
      <w:pPr>
        <w:pStyle w:val="Disclaimer"/>
      </w:pPr>
      <w:r w:rsidRPr="000C3905">
        <w:t>Disclaimer:  this document does not represent UPOV policies or guidance</w:t>
      </w:r>
    </w:p>
    <w:p w:rsidR="00B03BD3" w:rsidRPr="007B07B2" w:rsidRDefault="00B03BD3" w:rsidP="00B03BD3">
      <w:pPr>
        <w:pStyle w:val="Heading1"/>
      </w:pPr>
      <w:r w:rsidRPr="007B07B2">
        <w:t>Opening of the meeting</w:t>
      </w:r>
    </w:p>
    <w:p w:rsidR="000201F0" w:rsidRPr="005E5D45" w:rsidRDefault="000201F0" w:rsidP="000201F0">
      <w:pPr>
        <w:rPr>
          <w:u w:val="single"/>
        </w:rPr>
      </w:pPr>
    </w:p>
    <w:p w:rsidR="000201F0" w:rsidRPr="005E5D45" w:rsidRDefault="000201F0" w:rsidP="000201F0">
      <w:pPr>
        <w:rPr>
          <w:rFonts w:cs="Arial"/>
        </w:rPr>
      </w:pPr>
      <w:r w:rsidRPr="005E5D45">
        <w:rPr>
          <w:rFonts w:cs="Arial"/>
        </w:rPr>
        <w:fldChar w:fldCharType="begin"/>
      </w:r>
      <w:r w:rsidRPr="005E5D45">
        <w:rPr>
          <w:rFonts w:cs="Arial"/>
        </w:rPr>
        <w:instrText xml:space="preserve"> AUTONUM  </w:instrText>
      </w:r>
      <w:r w:rsidRPr="005E5D45">
        <w:rPr>
          <w:rFonts w:cs="Arial"/>
        </w:rPr>
        <w:fldChar w:fldCharType="end"/>
      </w:r>
      <w:r w:rsidRPr="005E5D45">
        <w:rPr>
          <w:rFonts w:cs="Arial"/>
        </w:rPr>
        <w:tab/>
        <w:t>The Working Group on Variety Denominations (</w:t>
      </w:r>
      <w:r w:rsidRPr="005E5D45">
        <w:rPr>
          <w:rFonts w:cs="Arial"/>
          <w:lang w:eastAsia="ja-JP"/>
        </w:rPr>
        <w:t>WG-DEN</w:t>
      </w:r>
      <w:r w:rsidRPr="005E5D45">
        <w:rPr>
          <w:rFonts w:cs="Arial"/>
        </w:rPr>
        <w:t xml:space="preserve">) held its </w:t>
      </w:r>
      <w:r w:rsidR="005060EE">
        <w:rPr>
          <w:rFonts w:cs="Arial"/>
        </w:rPr>
        <w:t>fourth</w:t>
      </w:r>
      <w:r>
        <w:rPr>
          <w:rFonts w:cs="Arial"/>
          <w:lang w:eastAsia="ja-JP"/>
        </w:rPr>
        <w:t xml:space="preserve"> </w:t>
      </w:r>
      <w:r w:rsidRPr="005E5D45">
        <w:rPr>
          <w:rFonts w:cs="Arial"/>
        </w:rPr>
        <w:t xml:space="preserve">meeting in </w:t>
      </w:r>
      <w:r w:rsidRPr="005E5D45">
        <w:rPr>
          <w:rFonts w:cs="Arial"/>
          <w:lang w:eastAsia="ja-JP"/>
        </w:rPr>
        <w:t xml:space="preserve">Geneva </w:t>
      </w:r>
      <w:r w:rsidRPr="005E5D45">
        <w:rPr>
          <w:rFonts w:cs="Arial"/>
        </w:rPr>
        <w:t xml:space="preserve">on </w:t>
      </w:r>
      <w:r w:rsidR="00246C00">
        <w:rPr>
          <w:rFonts w:cs="Arial"/>
        </w:rPr>
        <w:t>October</w:t>
      </w:r>
      <w:r w:rsidR="00246C00">
        <w:rPr>
          <w:rFonts w:cs="Arial"/>
          <w:lang w:eastAsia="ja-JP"/>
        </w:rPr>
        <w:t> </w:t>
      </w:r>
      <w:r w:rsidR="005060EE">
        <w:rPr>
          <w:rFonts w:cs="Arial"/>
          <w:lang w:eastAsia="ja-JP"/>
        </w:rPr>
        <w:t>2</w:t>
      </w:r>
      <w:r>
        <w:rPr>
          <w:rFonts w:cs="Arial"/>
          <w:lang w:eastAsia="ja-JP"/>
        </w:rPr>
        <w:t>7</w:t>
      </w:r>
      <w:r w:rsidRPr="005E5D45">
        <w:rPr>
          <w:rFonts w:cs="Arial"/>
          <w:lang w:eastAsia="ja-JP"/>
        </w:rPr>
        <w:t>, 2</w:t>
      </w:r>
      <w:r w:rsidRPr="005E5D45">
        <w:rPr>
          <w:rFonts w:cs="Arial"/>
        </w:rPr>
        <w:t>01</w:t>
      </w:r>
      <w:r>
        <w:rPr>
          <w:rFonts w:cs="Arial"/>
          <w:lang w:eastAsia="ja-JP"/>
        </w:rPr>
        <w:t>7</w:t>
      </w:r>
      <w:r w:rsidRPr="005E5D45">
        <w:rPr>
          <w:rFonts w:cs="Arial"/>
        </w:rPr>
        <w:t>, under the chairmanship of the Vice Secretary</w:t>
      </w:r>
      <w:r w:rsidRPr="005E5D45">
        <w:rPr>
          <w:rFonts w:cs="Arial"/>
        </w:rPr>
        <w:noBreakHyphen/>
        <w:t>General</w:t>
      </w:r>
      <w:r w:rsidR="005060EE">
        <w:rPr>
          <w:rFonts w:cs="Arial"/>
        </w:rPr>
        <w:t xml:space="preserve"> </w:t>
      </w:r>
      <w:r w:rsidRPr="005E5D45">
        <w:rPr>
          <w:rFonts w:cs="Arial"/>
        </w:rPr>
        <w:t xml:space="preserve">of UPOV. </w:t>
      </w:r>
    </w:p>
    <w:p w:rsidR="000201F0" w:rsidRPr="005E5D45" w:rsidRDefault="000201F0" w:rsidP="000201F0">
      <w:pPr>
        <w:rPr>
          <w:rFonts w:cs="Arial"/>
        </w:rPr>
      </w:pPr>
    </w:p>
    <w:p w:rsidR="000201F0" w:rsidRPr="005E5D45" w:rsidRDefault="000201F0" w:rsidP="000201F0">
      <w:pPr>
        <w:rPr>
          <w:rFonts w:cs="Arial"/>
        </w:rPr>
      </w:pPr>
      <w:r w:rsidRPr="005E5D45">
        <w:rPr>
          <w:rFonts w:cs="Arial"/>
        </w:rPr>
        <w:fldChar w:fldCharType="begin"/>
      </w:r>
      <w:r w:rsidRPr="005E5D45">
        <w:rPr>
          <w:rFonts w:cs="Arial"/>
        </w:rPr>
        <w:instrText xml:space="preserve"> AUTONUM  </w:instrText>
      </w:r>
      <w:r w:rsidRPr="005E5D45">
        <w:rPr>
          <w:rFonts w:cs="Arial"/>
        </w:rPr>
        <w:fldChar w:fldCharType="end"/>
      </w:r>
      <w:r w:rsidRPr="005E5D45">
        <w:rPr>
          <w:rFonts w:cs="Arial"/>
        </w:rPr>
        <w:tab/>
        <w:t xml:space="preserve">The meeting was opened by </w:t>
      </w:r>
      <w:r w:rsidRPr="005E5D45">
        <w:rPr>
          <w:rFonts w:cs="Arial"/>
          <w:lang w:eastAsia="ja-JP"/>
        </w:rPr>
        <w:t xml:space="preserve">the Chair, </w:t>
      </w:r>
      <w:r w:rsidRPr="005E5D45">
        <w:rPr>
          <w:rFonts w:cs="Arial"/>
        </w:rPr>
        <w:t>who welcomed the participants</w:t>
      </w:r>
      <w:r w:rsidRPr="005E5D45">
        <w:rPr>
          <w:rFonts w:cs="Arial"/>
          <w:color w:val="000000"/>
        </w:rPr>
        <w:t>.</w:t>
      </w:r>
      <w:r w:rsidR="00DD4971">
        <w:rPr>
          <w:rFonts w:cs="Arial"/>
          <w:color w:val="000000"/>
        </w:rPr>
        <w:t xml:space="preserve"> </w:t>
      </w:r>
      <w:r w:rsidRPr="005E5D45">
        <w:rPr>
          <w:rFonts w:cs="Arial"/>
          <w:color w:val="000000"/>
        </w:rPr>
        <w:t xml:space="preserve"> </w:t>
      </w:r>
      <w:r w:rsidR="00B03BD3" w:rsidRPr="005E5D45">
        <w:rPr>
          <w:rFonts w:cs="Arial"/>
        </w:rPr>
        <w:t>The list of participants is reproduced in Annex</w:t>
      </w:r>
      <w:r w:rsidR="00B03BD3">
        <w:rPr>
          <w:rFonts w:cs="Arial"/>
        </w:rPr>
        <w:t xml:space="preserve"> I</w:t>
      </w:r>
      <w:r w:rsidR="00B03BD3" w:rsidRPr="005E5D45">
        <w:rPr>
          <w:rFonts w:cs="Arial"/>
        </w:rPr>
        <w:t> to this report.</w:t>
      </w:r>
    </w:p>
    <w:p w:rsidR="00B03BD3" w:rsidRPr="007B07B2" w:rsidRDefault="00B03BD3" w:rsidP="00B03BD3">
      <w:pPr>
        <w:rPr>
          <w:u w:val="single"/>
          <w:lang w:eastAsia="ja-JP"/>
        </w:rPr>
      </w:pPr>
    </w:p>
    <w:p w:rsidR="00B03BD3" w:rsidRPr="007B07B2" w:rsidRDefault="00B03BD3" w:rsidP="001A79D6">
      <w:pPr>
        <w:rPr>
          <w:u w:val="single"/>
          <w:lang w:eastAsia="ja-JP"/>
        </w:rPr>
      </w:pPr>
    </w:p>
    <w:p w:rsidR="00B03BD3" w:rsidRPr="007B07B2" w:rsidRDefault="00B03BD3" w:rsidP="00B03BD3">
      <w:pPr>
        <w:pStyle w:val="Heading1"/>
      </w:pPr>
      <w:r w:rsidRPr="007B07B2">
        <w:t>Adoption of the agenda</w:t>
      </w:r>
    </w:p>
    <w:p w:rsidR="00B03BD3" w:rsidRPr="007B07B2" w:rsidRDefault="00B03BD3" w:rsidP="00B03BD3"/>
    <w:p w:rsidR="000201F0" w:rsidRPr="005E5D45" w:rsidRDefault="000201F0" w:rsidP="000201F0">
      <w:pPr>
        <w:rPr>
          <w:lang w:eastAsia="ja-JP"/>
        </w:rPr>
      </w:pPr>
      <w:r w:rsidRPr="005E5D45">
        <w:fldChar w:fldCharType="begin"/>
      </w:r>
      <w:r w:rsidRPr="005E5D45">
        <w:instrText xml:space="preserve"> AUTONUM  </w:instrText>
      </w:r>
      <w:r w:rsidRPr="005E5D45">
        <w:fldChar w:fldCharType="end"/>
      </w:r>
      <w:r w:rsidRPr="005E5D45">
        <w:tab/>
        <w:t xml:space="preserve">The </w:t>
      </w:r>
      <w:r w:rsidRPr="005E5D45">
        <w:rPr>
          <w:lang w:eastAsia="ja-JP"/>
        </w:rPr>
        <w:t>WG-DEN</w:t>
      </w:r>
      <w:r w:rsidRPr="005E5D45">
        <w:t xml:space="preserve"> adopted the draft agenda as reproduced in document </w:t>
      </w:r>
      <w:r w:rsidRPr="005E5D45">
        <w:rPr>
          <w:lang w:eastAsia="ja-JP"/>
        </w:rPr>
        <w:t>UPOV/WG-DEN/</w:t>
      </w:r>
      <w:r w:rsidR="005060EE">
        <w:rPr>
          <w:lang w:eastAsia="ja-JP"/>
        </w:rPr>
        <w:t>4</w:t>
      </w:r>
      <w:r w:rsidRPr="005E5D45">
        <w:rPr>
          <w:lang w:eastAsia="ja-JP"/>
        </w:rPr>
        <w:t>/1.</w:t>
      </w:r>
    </w:p>
    <w:p w:rsidR="009C1248" w:rsidRDefault="009C1248" w:rsidP="009C1248">
      <w:pPr>
        <w:rPr>
          <w:rFonts w:cs="Arial"/>
        </w:rPr>
      </w:pPr>
    </w:p>
    <w:p w:rsidR="001A79D6" w:rsidRPr="007B07B2" w:rsidRDefault="001A79D6" w:rsidP="001A79D6">
      <w:pPr>
        <w:rPr>
          <w:lang w:eastAsia="ja-JP"/>
        </w:rPr>
      </w:pPr>
    </w:p>
    <w:p w:rsidR="00C10D07" w:rsidRPr="007B07B2" w:rsidRDefault="00C10D07" w:rsidP="00C10D07">
      <w:pPr>
        <w:pStyle w:val="Heading1"/>
        <w:rPr>
          <w:szCs w:val="24"/>
          <w:lang w:eastAsia="ja-JP"/>
        </w:rPr>
      </w:pPr>
      <w:r w:rsidRPr="007B07B2">
        <w:rPr>
          <w:szCs w:val="24"/>
          <w:lang w:eastAsia="ja-JP"/>
        </w:rPr>
        <w:t xml:space="preserve">Revision of document UPOV/INF/12/5 </w:t>
      </w:r>
      <w:r>
        <w:t>“Explanatory Notes on Variety Denominations”</w:t>
      </w:r>
    </w:p>
    <w:p w:rsidR="00C10D07" w:rsidRPr="007B07B2" w:rsidRDefault="00C10D07" w:rsidP="00C10D07">
      <w:pPr>
        <w:pStyle w:val="ListParagraph"/>
        <w:autoSpaceDE w:val="0"/>
        <w:autoSpaceDN w:val="0"/>
        <w:adjustRightInd w:val="0"/>
        <w:ind w:left="0"/>
        <w:contextualSpacing w:val="0"/>
        <w:jc w:val="left"/>
        <w:rPr>
          <w:szCs w:val="24"/>
          <w:lang w:eastAsia="ja-JP"/>
        </w:rPr>
      </w:pPr>
    </w:p>
    <w:p w:rsidR="000201F0" w:rsidRPr="005E5D45" w:rsidRDefault="000201F0" w:rsidP="000201F0">
      <w:pPr>
        <w:rPr>
          <w:lang w:eastAsia="ja-JP"/>
        </w:rPr>
      </w:pPr>
      <w:r w:rsidRPr="005E5D45">
        <w:fldChar w:fldCharType="begin"/>
      </w:r>
      <w:r w:rsidRPr="005E5D45">
        <w:instrText xml:space="preserve"> AUTONUM  </w:instrText>
      </w:r>
      <w:r w:rsidRPr="005E5D45">
        <w:fldChar w:fldCharType="end"/>
      </w:r>
      <w:r w:rsidRPr="005E5D45">
        <w:tab/>
        <w:t xml:space="preserve">The </w:t>
      </w:r>
      <w:r w:rsidRPr="005E5D45">
        <w:rPr>
          <w:lang w:eastAsia="ja-JP"/>
        </w:rPr>
        <w:t>WG-DEN</w:t>
      </w:r>
      <w:r w:rsidRPr="005E5D45">
        <w:t xml:space="preserve"> </w:t>
      </w:r>
      <w:r w:rsidRPr="005E5D45">
        <w:rPr>
          <w:lang w:eastAsia="ja-JP"/>
        </w:rPr>
        <w:t xml:space="preserve">considered </w:t>
      </w:r>
      <w:r w:rsidRPr="005E5D45">
        <w:t>documents</w:t>
      </w:r>
      <w:r w:rsidRPr="005E5D45">
        <w:rPr>
          <w:lang w:eastAsia="ja-JP"/>
        </w:rPr>
        <w:t xml:space="preserve"> UPOV/WG-DEN/</w:t>
      </w:r>
      <w:r w:rsidR="002D642D">
        <w:rPr>
          <w:lang w:eastAsia="ja-JP"/>
        </w:rPr>
        <w:t>4</w:t>
      </w:r>
      <w:r w:rsidRPr="005E5D45">
        <w:rPr>
          <w:lang w:eastAsia="ja-JP"/>
        </w:rPr>
        <w:t xml:space="preserve">/2 and UPOV/INF/12/6 Draft </w:t>
      </w:r>
      <w:r w:rsidR="002D642D">
        <w:rPr>
          <w:lang w:eastAsia="ja-JP"/>
        </w:rPr>
        <w:t>4</w:t>
      </w:r>
      <w:r w:rsidRPr="005E5D45">
        <w:rPr>
          <w:lang w:eastAsia="ja-JP"/>
        </w:rPr>
        <w:t>.</w:t>
      </w:r>
    </w:p>
    <w:p w:rsidR="000201F0" w:rsidRDefault="000201F0" w:rsidP="000201F0">
      <w:pPr>
        <w:pStyle w:val="ListParagraph"/>
        <w:autoSpaceDE w:val="0"/>
        <w:autoSpaceDN w:val="0"/>
        <w:adjustRightInd w:val="0"/>
        <w:ind w:left="0"/>
        <w:contextualSpacing w:val="0"/>
        <w:rPr>
          <w:szCs w:val="24"/>
          <w:lang w:eastAsia="ja-JP"/>
        </w:rPr>
      </w:pPr>
    </w:p>
    <w:p w:rsidR="000201F0" w:rsidRPr="000C3905" w:rsidRDefault="000201F0" w:rsidP="000201F0">
      <w:pPr>
        <w:rPr>
          <w:lang w:eastAsia="ja-JP"/>
        </w:rPr>
      </w:pPr>
      <w:r w:rsidRPr="000201F0">
        <w:fldChar w:fldCharType="begin"/>
      </w:r>
      <w:r w:rsidRPr="000201F0">
        <w:instrText xml:space="preserve"> AUTONUM  </w:instrText>
      </w:r>
      <w:r w:rsidRPr="000201F0">
        <w:fldChar w:fldCharType="end"/>
      </w:r>
      <w:r w:rsidRPr="000C3905">
        <w:tab/>
        <w:t xml:space="preserve">The WG-DEN </w:t>
      </w:r>
      <w:r w:rsidRPr="000C3905">
        <w:rPr>
          <w:lang w:eastAsia="ja-JP"/>
        </w:rPr>
        <w:t>note</w:t>
      </w:r>
      <w:r>
        <w:rPr>
          <w:lang w:eastAsia="ja-JP"/>
        </w:rPr>
        <w:t>d</w:t>
      </w:r>
      <w:r w:rsidRPr="000C3905">
        <w:rPr>
          <w:lang w:eastAsia="ja-JP"/>
        </w:rPr>
        <w:t xml:space="preserve"> the matters agreed by the WG-DEN at its </w:t>
      </w:r>
      <w:r w:rsidR="002D642D">
        <w:rPr>
          <w:lang w:eastAsia="ja-JP"/>
        </w:rPr>
        <w:t>third</w:t>
      </w:r>
      <w:r w:rsidRPr="000C3905">
        <w:rPr>
          <w:lang w:eastAsia="ja-JP"/>
        </w:rPr>
        <w:t xml:space="preserve"> meeting, as reported in document </w:t>
      </w:r>
      <w:r w:rsidRPr="005E5D45">
        <w:rPr>
          <w:szCs w:val="24"/>
          <w:lang w:eastAsia="ja-JP"/>
        </w:rPr>
        <w:t>UPOV/WG-DEN/</w:t>
      </w:r>
      <w:r w:rsidR="002D642D">
        <w:rPr>
          <w:szCs w:val="24"/>
          <w:lang w:eastAsia="ja-JP"/>
        </w:rPr>
        <w:t>4</w:t>
      </w:r>
      <w:r w:rsidRPr="005E5D45">
        <w:rPr>
          <w:szCs w:val="24"/>
          <w:lang w:eastAsia="ja-JP"/>
        </w:rPr>
        <w:t>/2</w:t>
      </w:r>
      <w:r>
        <w:rPr>
          <w:szCs w:val="24"/>
          <w:lang w:eastAsia="ja-JP"/>
        </w:rPr>
        <w:t xml:space="preserve">, </w:t>
      </w:r>
      <w:r>
        <w:rPr>
          <w:lang w:eastAsia="ja-JP"/>
        </w:rPr>
        <w:t>paragraph 6.</w:t>
      </w:r>
    </w:p>
    <w:p w:rsidR="00384E95" w:rsidRDefault="00384E95" w:rsidP="00384E95">
      <w:pPr>
        <w:pStyle w:val="ListParagraph"/>
        <w:autoSpaceDE w:val="0"/>
        <w:autoSpaceDN w:val="0"/>
        <w:adjustRightInd w:val="0"/>
        <w:ind w:left="0"/>
        <w:contextualSpacing w:val="0"/>
        <w:rPr>
          <w:szCs w:val="24"/>
          <w:lang w:eastAsia="ja-JP"/>
        </w:rPr>
      </w:pPr>
    </w:p>
    <w:p w:rsidR="00384E95" w:rsidRPr="00A02CB3" w:rsidRDefault="00384E95" w:rsidP="00384E95">
      <w:r>
        <w:rPr>
          <w:lang w:eastAsia="ja-JP"/>
        </w:rPr>
        <w:fldChar w:fldCharType="begin"/>
      </w:r>
      <w:r>
        <w:rPr>
          <w:lang w:eastAsia="ja-JP"/>
        </w:rPr>
        <w:instrText xml:space="preserve"> AUTONUM  </w:instrText>
      </w:r>
      <w:r>
        <w:rPr>
          <w:lang w:eastAsia="ja-JP"/>
        </w:rPr>
        <w:fldChar w:fldCharType="end"/>
      </w:r>
      <w:r>
        <w:rPr>
          <w:lang w:eastAsia="ja-JP"/>
        </w:rPr>
        <w:tab/>
        <w:t xml:space="preserve">The </w:t>
      </w:r>
      <w:r w:rsidRPr="003947ED">
        <w:t xml:space="preserve">WG-DEN </w:t>
      </w:r>
      <w:r>
        <w:t xml:space="preserve">agreed to </w:t>
      </w:r>
      <w:r w:rsidR="006918E2">
        <w:t xml:space="preserve">change the </w:t>
      </w:r>
      <w:r w:rsidRPr="000710A0">
        <w:t xml:space="preserve">reference </w:t>
      </w:r>
      <w:r w:rsidR="006918E2">
        <w:t>of the document from the “INF” series to the “EXN” series in accordance with the title and contents of the document “Explanatory Notes on Variety Denominations under the UPOV Convention”</w:t>
      </w:r>
      <w:r w:rsidRPr="00A02CB3">
        <w:t>.</w:t>
      </w:r>
    </w:p>
    <w:p w:rsidR="00384E95" w:rsidRDefault="00384E95" w:rsidP="00DD4971">
      <w:pPr>
        <w:rPr>
          <w:lang w:eastAsia="ja-JP"/>
        </w:rPr>
      </w:pPr>
    </w:p>
    <w:p w:rsidR="00384E95" w:rsidRPr="00DD4971" w:rsidRDefault="00384E95" w:rsidP="00DD4971">
      <w:pPr>
        <w:rPr>
          <w:lang w:eastAsia="ja-JP"/>
        </w:rPr>
      </w:pPr>
    </w:p>
    <w:p w:rsidR="00E427FC" w:rsidRPr="00E427FC" w:rsidRDefault="00E427FC" w:rsidP="00E427FC">
      <w:pPr>
        <w:pStyle w:val="Heading2"/>
        <w:rPr>
          <w:highlight w:val="yellow"/>
        </w:rPr>
      </w:pPr>
      <w:r w:rsidRPr="00E427FC">
        <w:t>P</w:t>
      </w:r>
      <w:r w:rsidR="00601EAB">
        <w:t>reamble</w:t>
      </w:r>
    </w:p>
    <w:p w:rsidR="00FA0C54" w:rsidRPr="00FA0C54" w:rsidRDefault="00FA0C54" w:rsidP="00FA0C54"/>
    <w:p w:rsidR="003947ED" w:rsidRPr="00A02CB3" w:rsidRDefault="00BC4247" w:rsidP="00DD4971">
      <w:r>
        <w:rPr>
          <w:lang w:eastAsia="ja-JP"/>
        </w:rPr>
        <w:fldChar w:fldCharType="begin"/>
      </w:r>
      <w:r>
        <w:rPr>
          <w:lang w:eastAsia="ja-JP"/>
        </w:rPr>
        <w:instrText xml:space="preserve"> AUTONUM  </w:instrText>
      </w:r>
      <w:r>
        <w:rPr>
          <w:lang w:eastAsia="ja-JP"/>
        </w:rPr>
        <w:fldChar w:fldCharType="end"/>
      </w:r>
      <w:r>
        <w:rPr>
          <w:lang w:eastAsia="ja-JP"/>
        </w:rPr>
        <w:tab/>
      </w:r>
      <w:r w:rsidR="0008321E">
        <w:rPr>
          <w:lang w:eastAsia="ja-JP"/>
        </w:rPr>
        <w:t xml:space="preserve">The </w:t>
      </w:r>
      <w:r w:rsidR="003947ED" w:rsidRPr="003947ED">
        <w:t xml:space="preserve">WG-DEN </w:t>
      </w:r>
      <w:r w:rsidR="000710A0">
        <w:t xml:space="preserve">agreed to </w:t>
      </w:r>
      <w:r w:rsidR="000710A0" w:rsidRPr="000710A0">
        <w:t xml:space="preserve">add a note that the term “variety” refers to the definition of variety in </w:t>
      </w:r>
      <w:r w:rsidR="00584387">
        <w:t xml:space="preserve">Article </w:t>
      </w:r>
      <w:r w:rsidR="00443FB4">
        <w:t> 1</w:t>
      </w:r>
      <w:r w:rsidR="00584387">
        <w:t xml:space="preserve"> (vi) of </w:t>
      </w:r>
      <w:r w:rsidR="000710A0" w:rsidRPr="000710A0">
        <w:t>the 1991</w:t>
      </w:r>
      <w:r w:rsidR="00584387">
        <w:t> </w:t>
      </w:r>
      <w:r w:rsidR="000710A0" w:rsidRPr="000710A0">
        <w:t>Act of the UPOV Convention</w:t>
      </w:r>
      <w:r w:rsidR="0008321E" w:rsidRPr="00A02CB3">
        <w:t>.</w:t>
      </w:r>
    </w:p>
    <w:p w:rsidR="000710A0" w:rsidRPr="00A02CB3" w:rsidRDefault="000710A0" w:rsidP="000710A0">
      <w:pPr>
        <w:pStyle w:val="ListParagraph"/>
        <w:autoSpaceDE w:val="0"/>
        <w:autoSpaceDN w:val="0"/>
        <w:adjustRightInd w:val="0"/>
        <w:ind w:left="0"/>
        <w:contextualSpacing w:val="0"/>
        <w:rPr>
          <w:szCs w:val="24"/>
          <w:lang w:eastAsia="ja-JP"/>
        </w:rPr>
      </w:pPr>
    </w:p>
    <w:p w:rsidR="000710A0" w:rsidRPr="00A02CB3" w:rsidRDefault="000710A0" w:rsidP="000710A0">
      <w:pPr>
        <w:pStyle w:val="ListParagraph"/>
        <w:autoSpaceDE w:val="0"/>
        <w:autoSpaceDN w:val="0"/>
        <w:adjustRightInd w:val="0"/>
        <w:ind w:left="0"/>
        <w:contextualSpacing w:val="0"/>
        <w:rPr>
          <w:szCs w:val="24"/>
          <w:lang w:eastAsia="ja-JP"/>
        </w:rPr>
      </w:pPr>
    </w:p>
    <w:p w:rsidR="000710A0" w:rsidRPr="00A02CB3" w:rsidRDefault="000710A0" w:rsidP="000710A0">
      <w:pPr>
        <w:pStyle w:val="Heading2"/>
      </w:pPr>
      <w:r w:rsidRPr="00A02CB3">
        <w:t xml:space="preserve">Paragraph </w:t>
      </w:r>
      <w:r>
        <w:t>1</w:t>
      </w:r>
      <w:r w:rsidRPr="00A02CB3">
        <w:t xml:space="preserve"> [</w:t>
      </w:r>
      <w:r w:rsidRPr="000710A0">
        <w:t>Designation of varieties by denominations;  use of the denomination</w:t>
      </w:r>
      <w:r w:rsidRPr="00A02CB3">
        <w:t>]</w:t>
      </w:r>
    </w:p>
    <w:p w:rsidR="000710A0" w:rsidRPr="00A02CB3" w:rsidRDefault="000710A0" w:rsidP="000710A0">
      <w:pPr>
        <w:pStyle w:val="ListParagraph"/>
        <w:autoSpaceDE w:val="0"/>
        <w:autoSpaceDN w:val="0"/>
        <w:adjustRightInd w:val="0"/>
        <w:ind w:left="0"/>
        <w:contextualSpacing w:val="0"/>
        <w:rPr>
          <w:szCs w:val="24"/>
          <w:lang w:eastAsia="ja-JP"/>
        </w:rPr>
      </w:pPr>
    </w:p>
    <w:p w:rsidR="00334E5F" w:rsidRDefault="00334E5F" w:rsidP="00334E5F">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rPr>
          <w:rFonts w:hint="eastAsia"/>
          <w:lang w:eastAsia="ja-JP"/>
        </w:rPr>
        <w:t xml:space="preserve">The WG-DEN agreed to add </w:t>
      </w:r>
      <w:r>
        <w:rPr>
          <w:lang w:eastAsia="ja-JP"/>
        </w:rPr>
        <w:t>a new Section 1.3</w:t>
      </w:r>
      <w:r w:rsidR="00DE5C67">
        <w:rPr>
          <w:lang w:eastAsia="ja-JP"/>
        </w:rPr>
        <w:t xml:space="preserve"> to read</w:t>
      </w:r>
      <w:r>
        <w:rPr>
          <w:rFonts w:hint="eastAsia"/>
          <w:lang w:eastAsia="ja-JP"/>
        </w:rPr>
        <w:t xml:space="preserve"> as </w:t>
      </w:r>
      <w:r>
        <w:rPr>
          <w:lang w:eastAsia="ja-JP"/>
        </w:rPr>
        <w:t>follows</w:t>
      </w:r>
      <w:r>
        <w:rPr>
          <w:rFonts w:hint="eastAsia"/>
          <w:lang w:eastAsia="ja-JP"/>
        </w:rPr>
        <w:t>:</w:t>
      </w:r>
    </w:p>
    <w:p w:rsidR="00334E5F" w:rsidRDefault="00334E5F" w:rsidP="00334E5F">
      <w:pPr>
        <w:pStyle w:val="ListParagraph"/>
        <w:autoSpaceDE w:val="0"/>
        <w:autoSpaceDN w:val="0"/>
        <w:adjustRightInd w:val="0"/>
        <w:ind w:left="0"/>
        <w:contextualSpacing w:val="0"/>
        <w:rPr>
          <w:lang w:eastAsia="ja-JP"/>
        </w:rPr>
      </w:pPr>
    </w:p>
    <w:p w:rsidR="00334E5F" w:rsidRDefault="00334E5F" w:rsidP="00334E5F">
      <w:pPr>
        <w:pStyle w:val="ListParagraph"/>
        <w:autoSpaceDE w:val="0"/>
        <w:autoSpaceDN w:val="0"/>
        <w:adjustRightInd w:val="0"/>
        <w:ind w:left="540" w:right="567" w:firstLine="27"/>
        <w:contextualSpacing w:val="0"/>
        <w:rPr>
          <w:lang w:eastAsia="ja-JP"/>
        </w:rPr>
      </w:pPr>
      <w:r>
        <w:rPr>
          <w:lang w:eastAsia="ja-JP"/>
        </w:rPr>
        <w:t>“</w:t>
      </w:r>
      <w:r w:rsidRPr="00334E5F">
        <w:rPr>
          <w:sz w:val="18"/>
          <w:lang w:eastAsia="ja-JP"/>
        </w:rPr>
        <w:t>1.3</w:t>
      </w:r>
      <w:r w:rsidRPr="00334E5F">
        <w:rPr>
          <w:sz w:val="18"/>
          <w:lang w:eastAsia="ja-JP"/>
        </w:rPr>
        <w:tab/>
        <w:t>If an authority allows a denomination to be registered when the breeder of the variety is also the holder of a trademark that is identical to the variety denomination, the authority should inform the breeder of the obligation to allow the use of the denomination in connection with the variety, even after the expiration of the breeder’s right.</w:t>
      </w:r>
      <w:r w:rsidRPr="003036ED">
        <w:rPr>
          <w:lang w:eastAsia="ja-JP"/>
        </w:rPr>
        <w:t>”</w:t>
      </w:r>
    </w:p>
    <w:p w:rsidR="00384E95" w:rsidRPr="00A02CB3" w:rsidRDefault="00384E95" w:rsidP="00384E95">
      <w:pPr>
        <w:pStyle w:val="ListParagraph"/>
        <w:autoSpaceDE w:val="0"/>
        <w:autoSpaceDN w:val="0"/>
        <w:adjustRightInd w:val="0"/>
        <w:ind w:left="0"/>
        <w:contextualSpacing w:val="0"/>
        <w:rPr>
          <w:szCs w:val="24"/>
          <w:lang w:eastAsia="ja-JP"/>
        </w:rPr>
      </w:pPr>
    </w:p>
    <w:p w:rsidR="00384E95" w:rsidRPr="00A02CB3" w:rsidRDefault="00384E95" w:rsidP="00384E95">
      <w:pPr>
        <w:pStyle w:val="ListParagraph"/>
        <w:autoSpaceDE w:val="0"/>
        <w:autoSpaceDN w:val="0"/>
        <w:adjustRightInd w:val="0"/>
        <w:ind w:left="0"/>
        <w:contextualSpacing w:val="0"/>
        <w:rPr>
          <w:szCs w:val="24"/>
          <w:lang w:eastAsia="ja-JP"/>
        </w:rPr>
      </w:pPr>
    </w:p>
    <w:p w:rsidR="00384E95" w:rsidRPr="00A02CB3" w:rsidRDefault="00384E95" w:rsidP="008767AA">
      <w:pPr>
        <w:pStyle w:val="Heading2"/>
      </w:pPr>
      <w:r w:rsidRPr="00A02CB3">
        <w:lastRenderedPageBreak/>
        <w:t xml:space="preserve">Paragraph </w:t>
      </w:r>
      <w:r>
        <w:t>2</w:t>
      </w:r>
      <w:r w:rsidRPr="00A02CB3">
        <w:t xml:space="preserve"> [</w:t>
      </w:r>
      <w:r w:rsidRPr="00384E95">
        <w:t>Characteristics of the denomination</w:t>
      </w:r>
      <w:r w:rsidRPr="00A02CB3">
        <w:t>]</w:t>
      </w:r>
    </w:p>
    <w:p w:rsidR="00384E95" w:rsidRPr="00A02CB3" w:rsidRDefault="00384E95" w:rsidP="008767AA">
      <w:pPr>
        <w:keepNext/>
        <w:rPr>
          <w:lang w:eastAsia="ja-JP"/>
        </w:rPr>
      </w:pPr>
    </w:p>
    <w:p w:rsidR="00384E95" w:rsidRPr="00A02CB3" w:rsidRDefault="00384E95" w:rsidP="00443FB4">
      <w:r w:rsidRPr="00A02CB3">
        <w:rPr>
          <w:lang w:eastAsia="ja-JP"/>
        </w:rPr>
        <w:fldChar w:fldCharType="begin"/>
      </w:r>
      <w:r w:rsidRPr="00A02CB3">
        <w:rPr>
          <w:lang w:eastAsia="ja-JP"/>
        </w:rPr>
        <w:instrText xml:space="preserve"> AUTONUM  </w:instrText>
      </w:r>
      <w:r w:rsidRPr="00A02CB3">
        <w:rPr>
          <w:lang w:eastAsia="ja-JP"/>
        </w:rPr>
        <w:fldChar w:fldCharType="end"/>
      </w:r>
      <w:r w:rsidRPr="00A02CB3">
        <w:rPr>
          <w:lang w:eastAsia="ja-JP"/>
        </w:rPr>
        <w:tab/>
        <w:t xml:space="preserve">The </w:t>
      </w:r>
      <w:r w:rsidRPr="00A02CB3">
        <w:t xml:space="preserve">WG-DEN welcomed the presentation </w:t>
      </w:r>
      <w:r w:rsidR="00584387">
        <w:t xml:space="preserve">made by the Delegation of </w:t>
      </w:r>
      <w:r w:rsidR="000F7C3B">
        <w:t xml:space="preserve">Argentina </w:t>
      </w:r>
      <w:r w:rsidRPr="00A02CB3">
        <w:t xml:space="preserve">on the </w:t>
      </w:r>
      <w:r w:rsidR="00584387">
        <w:t xml:space="preserve">Resolution on </w:t>
      </w:r>
      <w:r w:rsidR="000F7C3B">
        <w:t xml:space="preserve">Variety Denominations </w:t>
      </w:r>
      <w:r w:rsidR="00584387">
        <w:t>in Argentina</w:t>
      </w:r>
      <w:r w:rsidRPr="00A02CB3">
        <w:t xml:space="preserve">. </w:t>
      </w:r>
      <w:r w:rsidR="00584387">
        <w:t xml:space="preserve"> </w:t>
      </w:r>
      <w:r w:rsidRPr="00A02CB3">
        <w:t xml:space="preserve">The presentation by </w:t>
      </w:r>
      <w:r w:rsidR="00584387">
        <w:t xml:space="preserve">the Delegation of </w:t>
      </w:r>
      <w:r w:rsidR="000F7C3B">
        <w:t>Argentina</w:t>
      </w:r>
      <w:r w:rsidRPr="00A02CB3">
        <w:t xml:space="preserve"> is reproduced in </w:t>
      </w:r>
      <w:r w:rsidR="008B06A1">
        <w:t>Annex </w:t>
      </w:r>
      <w:r w:rsidRPr="009B3BBB">
        <w:t>II</w:t>
      </w:r>
      <w:r w:rsidRPr="00A02CB3">
        <w:t xml:space="preserve"> to this report.</w:t>
      </w:r>
    </w:p>
    <w:p w:rsidR="00334E5F" w:rsidRDefault="00334E5F" w:rsidP="00246C00">
      <w:pPr>
        <w:rPr>
          <w:lang w:eastAsia="ja-JP"/>
        </w:rPr>
      </w:pPr>
    </w:p>
    <w:p w:rsidR="00F82F02" w:rsidRPr="00777A3B" w:rsidRDefault="00F82F02" w:rsidP="00F82F02">
      <w:pPr>
        <w:pStyle w:val="Heading4"/>
        <w:rPr>
          <w:lang w:val="en-US"/>
        </w:rPr>
      </w:pPr>
      <w:bookmarkStart w:id="3" w:name="_Toc494473065"/>
      <w:r w:rsidRPr="00A02CB3">
        <w:rPr>
          <w:lang w:val="en-US"/>
        </w:rPr>
        <w:t xml:space="preserve">Section </w:t>
      </w:r>
      <w:r w:rsidRPr="00777A3B">
        <w:rPr>
          <w:lang w:val="en-US"/>
        </w:rPr>
        <w:t>2.3.1</w:t>
      </w:r>
      <w:r>
        <w:rPr>
          <w:lang w:val="en-US"/>
        </w:rPr>
        <w:t xml:space="preserve"> “</w:t>
      </w:r>
      <w:r w:rsidRPr="00777A3B">
        <w:rPr>
          <w:lang w:val="en-US"/>
        </w:rPr>
        <w:t>Characteristics of the variety</w:t>
      </w:r>
      <w:r>
        <w:rPr>
          <w:lang w:val="en-US"/>
        </w:rPr>
        <w:t>”</w:t>
      </w:r>
      <w:bookmarkEnd w:id="3"/>
    </w:p>
    <w:p w:rsidR="00384E95" w:rsidRDefault="00384E95" w:rsidP="00334E5F">
      <w:pPr>
        <w:pStyle w:val="ListParagraph"/>
        <w:autoSpaceDE w:val="0"/>
        <w:autoSpaceDN w:val="0"/>
        <w:adjustRightInd w:val="0"/>
        <w:ind w:left="0"/>
        <w:contextualSpacing w:val="0"/>
        <w:rPr>
          <w:lang w:eastAsia="ja-JP"/>
        </w:rPr>
      </w:pPr>
    </w:p>
    <w:p w:rsidR="00F82F02" w:rsidRDefault="00F82F02" w:rsidP="00F82F02">
      <w:pPr>
        <w:pStyle w:val="ListParagraph"/>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rPr>
          <w:rFonts w:hint="eastAsia"/>
          <w:lang w:eastAsia="ja-JP"/>
        </w:rPr>
        <w:t xml:space="preserve">The WG-DEN agreed to </w:t>
      </w:r>
      <w:r w:rsidR="001241EF">
        <w:rPr>
          <w:lang w:eastAsia="ja-JP"/>
        </w:rPr>
        <w:t>maintain</w:t>
      </w:r>
      <w:r>
        <w:rPr>
          <w:lang w:eastAsia="ja-JP"/>
        </w:rPr>
        <w:t xml:space="preserve"> </w:t>
      </w:r>
      <w:r w:rsidR="001241EF">
        <w:rPr>
          <w:lang w:eastAsia="ja-JP"/>
        </w:rPr>
        <w:t>Section 2.3.1</w:t>
      </w:r>
      <w:r>
        <w:rPr>
          <w:lang w:eastAsia="ja-JP"/>
        </w:rPr>
        <w:t xml:space="preserve"> (b)</w:t>
      </w:r>
      <w:r w:rsidR="00183628">
        <w:rPr>
          <w:lang w:eastAsia="ja-JP"/>
        </w:rPr>
        <w:t xml:space="preserve"> </w:t>
      </w:r>
      <w:r w:rsidR="00584387">
        <w:rPr>
          <w:lang w:eastAsia="ja-JP"/>
        </w:rPr>
        <w:t>unchanged.</w:t>
      </w:r>
    </w:p>
    <w:p w:rsidR="00F82F02" w:rsidRDefault="00F82F02" w:rsidP="00334E5F">
      <w:pPr>
        <w:pStyle w:val="ListParagraph"/>
        <w:autoSpaceDE w:val="0"/>
        <w:autoSpaceDN w:val="0"/>
        <w:adjustRightInd w:val="0"/>
        <w:ind w:left="0"/>
        <w:contextualSpacing w:val="0"/>
        <w:rPr>
          <w:lang w:eastAsia="ja-JP"/>
        </w:rPr>
      </w:pPr>
    </w:p>
    <w:p w:rsidR="001241EF" w:rsidRDefault="001241EF" w:rsidP="001241EF">
      <w:pPr>
        <w:pStyle w:val="ListParagraph"/>
        <w:autoSpaceDE w:val="0"/>
        <w:autoSpaceDN w:val="0"/>
        <w:adjustRightInd w:val="0"/>
        <w:ind w:left="0"/>
        <w:contextualSpacing w:val="0"/>
        <w:rPr>
          <w:lang w:eastAsia="ja-JP"/>
        </w:rPr>
      </w:pPr>
      <w:r w:rsidRPr="00235A41">
        <w:fldChar w:fldCharType="begin"/>
      </w:r>
      <w:r w:rsidRPr="00235A41">
        <w:instrText xml:space="preserve"> AUTONUM  </w:instrText>
      </w:r>
      <w:r w:rsidRPr="00235A41">
        <w:fldChar w:fldCharType="end"/>
      </w:r>
      <w:r w:rsidRPr="00235A41">
        <w:tab/>
      </w:r>
      <w:r w:rsidRPr="00235A41">
        <w:rPr>
          <w:rFonts w:hint="eastAsia"/>
          <w:lang w:eastAsia="ja-JP"/>
        </w:rPr>
        <w:t xml:space="preserve">The WG-DEN </w:t>
      </w:r>
      <w:r w:rsidRPr="00235A41">
        <w:rPr>
          <w:lang w:eastAsia="ja-JP"/>
        </w:rPr>
        <w:t xml:space="preserve">agreed </w:t>
      </w:r>
      <w:r w:rsidR="00AE1036" w:rsidRPr="00AE1036">
        <w:rPr>
          <w:lang w:eastAsia="ja-JP"/>
        </w:rPr>
        <w:t xml:space="preserve">that the Office of the Union should prepare </w:t>
      </w:r>
      <w:r w:rsidR="00AE1036">
        <w:rPr>
          <w:lang w:eastAsia="ja-JP"/>
        </w:rPr>
        <w:t>options</w:t>
      </w:r>
      <w:r w:rsidR="00AE1036" w:rsidRPr="00AE1036">
        <w:rPr>
          <w:lang w:eastAsia="ja-JP"/>
        </w:rPr>
        <w:t xml:space="preserve"> </w:t>
      </w:r>
      <w:r w:rsidRPr="00235A41">
        <w:rPr>
          <w:lang w:eastAsia="ja-JP"/>
        </w:rPr>
        <w:t>to amend</w:t>
      </w:r>
      <w:r w:rsidR="009B3BBB" w:rsidRPr="00235A41">
        <w:rPr>
          <w:lang w:eastAsia="ja-JP"/>
        </w:rPr>
        <w:t xml:space="preserve"> </w:t>
      </w:r>
      <w:r w:rsidRPr="00235A41">
        <w:rPr>
          <w:lang w:eastAsia="ja-JP"/>
        </w:rPr>
        <w:t xml:space="preserve">Section 2.3.1 </w:t>
      </w:r>
      <w:r w:rsidR="004D6DB6" w:rsidRPr="00235A41">
        <w:rPr>
          <w:lang w:eastAsia="ja-JP"/>
        </w:rPr>
        <w:t>(</w:t>
      </w:r>
      <w:r w:rsidRPr="00235A41">
        <w:rPr>
          <w:lang w:eastAsia="ja-JP"/>
        </w:rPr>
        <w:t xml:space="preserve">c) </w:t>
      </w:r>
      <w:r w:rsidR="009B3BBB" w:rsidRPr="00235A41">
        <w:rPr>
          <w:lang w:eastAsia="ja-JP"/>
        </w:rPr>
        <w:t xml:space="preserve">in order </w:t>
      </w:r>
      <w:r w:rsidRPr="00235A41">
        <w:rPr>
          <w:lang w:eastAsia="ja-JP"/>
        </w:rPr>
        <w:t>to r</w:t>
      </w:r>
      <w:r w:rsidR="004D6DB6" w:rsidRPr="00235A41">
        <w:rPr>
          <w:lang w:eastAsia="ja-JP"/>
        </w:rPr>
        <w:t>e</w:t>
      </w:r>
      <w:r w:rsidRPr="00235A41">
        <w:rPr>
          <w:lang w:eastAsia="ja-JP"/>
        </w:rPr>
        <w:t xml:space="preserve">flect </w:t>
      </w:r>
      <w:r w:rsidR="0046205D" w:rsidRPr="00235A41">
        <w:rPr>
          <w:lang w:eastAsia="ja-JP"/>
        </w:rPr>
        <w:t>the</w:t>
      </w:r>
      <w:r w:rsidR="00D663D8">
        <w:rPr>
          <w:lang w:eastAsia="ja-JP"/>
        </w:rPr>
        <w:t xml:space="preserve"> </w:t>
      </w:r>
      <w:r w:rsidR="00652157">
        <w:rPr>
          <w:lang w:eastAsia="ja-JP"/>
        </w:rPr>
        <w:t xml:space="preserve">different </w:t>
      </w:r>
      <w:r w:rsidRPr="00235A41">
        <w:rPr>
          <w:lang w:eastAsia="ja-JP"/>
        </w:rPr>
        <w:t>practices</w:t>
      </w:r>
      <w:r w:rsidR="00A71163" w:rsidRPr="00235A41">
        <w:rPr>
          <w:lang w:eastAsia="ja-JP"/>
        </w:rPr>
        <w:t xml:space="preserve"> of authorities</w:t>
      </w:r>
      <w:r w:rsidR="00D663D8">
        <w:rPr>
          <w:lang w:eastAsia="ja-JP"/>
        </w:rPr>
        <w:t xml:space="preserve"> </w:t>
      </w:r>
      <w:r w:rsidR="00082889">
        <w:rPr>
          <w:lang w:eastAsia="ja-JP"/>
        </w:rPr>
        <w:t xml:space="preserve">regarding </w:t>
      </w:r>
      <w:r w:rsidR="00652157">
        <w:rPr>
          <w:lang w:eastAsia="ja-JP"/>
        </w:rPr>
        <w:t xml:space="preserve">the acceptance or rejection of denominations in relation to </w:t>
      </w:r>
      <w:r w:rsidR="00082889">
        <w:rPr>
          <w:lang w:eastAsia="ja-JP"/>
        </w:rPr>
        <w:t>characteristics of the variety</w:t>
      </w:r>
      <w:r w:rsidR="00556966">
        <w:rPr>
          <w:lang w:eastAsia="ja-JP"/>
        </w:rPr>
        <w:t>.</w:t>
      </w:r>
      <w:r w:rsidR="0022012C" w:rsidRPr="00556966">
        <w:rPr>
          <w:lang w:eastAsia="ja-JP"/>
        </w:rPr>
        <w:t xml:space="preserve"> </w:t>
      </w:r>
      <w:r w:rsidR="009E456B">
        <w:rPr>
          <w:lang w:eastAsia="ja-JP"/>
        </w:rPr>
        <w:t xml:space="preserve"> </w:t>
      </w:r>
      <w:r w:rsidR="00556966">
        <w:rPr>
          <w:lang w:eastAsia="ja-JP"/>
        </w:rPr>
        <w:t>T</w:t>
      </w:r>
      <w:r w:rsidR="00652157" w:rsidRPr="00556966">
        <w:rPr>
          <w:lang w:eastAsia="ja-JP"/>
        </w:rPr>
        <w:t xml:space="preserve">he WG-DEN noted that </w:t>
      </w:r>
      <w:r w:rsidR="0022012C" w:rsidRPr="00556966">
        <w:rPr>
          <w:lang w:eastAsia="ja-JP"/>
        </w:rPr>
        <w:t xml:space="preserve">one </w:t>
      </w:r>
      <w:r w:rsidR="00652157" w:rsidRPr="00556966">
        <w:rPr>
          <w:lang w:eastAsia="ja-JP"/>
        </w:rPr>
        <w:t>authority could accept</w:t>
      </w:r>
      <w:r w:rsidR="0022012C" w:rsidRPr="00556966">
        <w:rPr>
          <w:lang w:eastAsia="ja-JP"/>
        </w:rPr>
        <w:t xml:space="preserve"> </w:t>
      </w:r>
      <w:r w:rsidR="00652157" w:rsidRPr="00556966">
        <w:rPr>
          <w:lang w:eastAsia="ja-JP"/>
        </w:rPr>
        <w:t xml:space="preserve">a </w:t>
      </w:r>
      <w:r w:rsidR="0022012C" w:rsidRPr="00556966">
        <w:rPr>
          <w:lang w:eastAsia="ja-JP"/>
        </w:rPr>
        <w:t xml:space="preserve">denomination </w:t>
      </w:r>
      <w:r w:rsidR="00500782" w:rsidRPr="00556966">
        <w:rPr>
          <w:lang w:eastAsia="ja-JP"/>
        </w:rPr>
        <w:t xml:space="preserve">for a variety </w:t>
      </w:r>
      <w:r w:rsidR="0022012C" w:rsidRPr="00556966">
        <w:rPr>
          <w:lang w:eastAsia="ja-JP"/>
        </w:rPr>
        <w:t xml:space="preserve">which </w:t>
      </w:r>
      <w:r w:rsidR="00652157" w:rsidRPr="00556966">
        <w:rPr>
          <w:lang w:eastAsia="ja-JP"/>
        </w:rPr>
        <w:t xml:space="preserve">was </w:t>
      </w:r>
      <w:r w:rsidR="0022012C" w:rsidRPr="00556966">
        <w:rPr>
          <w:lang w:eastAsia="ja-JP"/>
        </w:rPr>
        <w:t xml:space="preserve">similar to </w:t>
      </w:r>
      <w:r w:rsidR="00500782" w:rsidRPr="00556966">
        <w:rPr>
          <w:lang w:eastAsia="ja-JP"/>
        </w:rPr>
        <w:t xml:space="preserve">the denomination </w:t>
      </w:r>
      <w:r w:rsidR="0022012C" w:rsidRPr="00556966">
        <w:rPr>
          <w:lang w:eastAsia="ja-JP"/>
        </w:rPr>
        <w:t>of another variety</w:t>
      </w:r>
      <w:r w:rsidR="00500782" w:rsidRPr="00556966">
        <w:rPr>
          <w:lang w:eastAsia="ja-JP"/>
        </w:rPr>
        <w:t xml:space="preserve">, even though the two varieties </w:t>
      </w:r>
      <w:r w:rsidR="00041A2B" w:rsidRPr="00556966">
        <w:rPr>
          <w:lang w:eastAsia="ja-JP"/>
        </w:rPr>
        <w:t>were</w:t>
      </w:r>
      <w:r w:rsidR="00500782" w:rsidRPr="00556966">
        <w:rPr>
          <w:lang w:eastAsia="ja-JP"/>
        </w:rPr>
        <w:t xml:space="preserve"> unrelated and ha</w:t>
      </w:r>
      <w:r w:rsidR="00041A2B" w:rsidRPr="00556966">
        <w:rPr>
          <w:lang w:eastAsia="ja-JP"/>
        </w:rPr>
        <w:t>d</w:t>
      </w:r>
      <w:r w:rsidR="00500782" w:rsidRPr="00556966">
        <w:rPr>
          <w:lang w:eastAsia="ja-JP"/>
        </w:rPr>
        <w:t xml:space="preserve"> different characteristics,</w:t>
      </w:r>
      <w:r w:rsidR="0022012C" w:rsidRPr="00556966">
        <w:rPr>
          <w:lang w:eastAsia="ja-JP"/>
        </w:rPr>
        <w:t xml:space="preserve"> if </w:t>
      </w:r>
      <w:r w:rsidR="00500782" w:rsidRPr="00556966">
        <w:rPr>
          <w:lang w:eastAsia="ja-JP"/>
        </w:rPr>
        <w:t xml:space="preserve">the varieties were </w:t>
      </w:r>
      <w:r w:rsidR="00E33894" w:rsidRPr="00556966">
        <w:rPr>
          <w:lang w:eastAsia="ja-JP"/>
        </w:rPr>
        <w:t>from the same breeder;</w:t>
      </w:r>
      <w:r w:rsidR="009E456B">
        <w:rPr>
          <w:lang w:eastAsia="ja-JP"/>
        </w:rPr>
        <w:t xml:space="preserve"> </w:t>
      </w:r>
      <w:r w:rsidR="00E33894" w:rsidRPr="00556966">
        <w:rPr>
          <w:lang w:eastAsia="ja-JP"/>
        </w:rPr>
        <w:t xml:space="preserve"> another </w:t>
      </w:r>
      <w:r w:rsidR="00500782" w:rsidRPr="00556966">
        <w:rPr>
          <w:lang w:eastAsia="ja-JP"/>
        </w:rPr>
        <w:t xml:space="preserve">authority in the above scenario would reject the </w:t>
      </w:r>
      <w:r w:rsidR="00E33894" w:rsidRPr="00556966">
        <w:rPr>
          <w:lang w:eastAsia="ja-JP"/>
        </w:rPr>
        <w:t xml:space="preserve">denomination which </w:t>
      </w:r>
      <w:r w:rsidR="009E456B">
        <w:rPr>
          <w:lang w:eastAsia="ja-JP"/>
        </w:rPr>
        <w:t xml:space="preserve">was </w:t>
      </w:r>
      <w:r w:rsidR="00E33894" w:rsidRPr="00556966">
        <w:rPr>
          <w:lang w:eastAsia="ja-JP"/>
        </w:rPr>
        <w:t xml:space="preserve">similar to that of another variety </w:t>
      </w:r>
      <w:r w:rsidR="00500782" w:rsidRPr="00556966">
        <w:rPr>
          <w:lang w:eastAsia="ja-JP"/>
        </w:rPr>
        <w:t xml:space="preserve">if </w:t>
      </w:r>
      <w:r w:rsidR="00041A2B" w:rsidRPr="00556966">
        <w:rPr>
          <w:lang w:eastAsia="ja-JP"/>
        </w:rPr>
        <w:t>the</w:t>
      </w:r>
      <w:r w:rsidR="00500782" w:rsidRPr="00556966">
        <w:rPr>
          <w:lang w:eastAsia="ja-JP"/>
        </w:rPr>
        <w:t xml:space="preserve"> varieties had </w:t>
      </w:r>
      <w:r w:rsidR="00451239" w:rsidRPr="00556966">
        <w:rPr>
          <w:lang w:eastAsia="ja-JP"/>
        </w:rPr>
        <w:t xml:space="preserve">different </w:t>
      </w:r>
      <w:r w:rsidR="00E33894" w:rsidRPr="00556966">
        <w:rPr>
          <w:lang w:eastAsia="ja-JP"/>
        </w:rPr>
        <w:t>characteristics</w:t>
      </w:r>
      <w:r w:rsidR="00451239" w:rsidRPr="00556966">
        <w:rPr>
          <w:lang w:eastAsia="ja-JP"/>
        </w:rPr>
        <w:t xml:space="preserve"> and were not related</w:t>
      </w:r>
      <w:r w:rsidR="00556966">
        <w:rPr>
          <w:lang w:eastAsia="ja-JP"/>
        </w:rPr>
        <w:t>.</w:t>
      </w:r>
    </w:p>
    <w:p w:rsidR="00584387" w:rsidRDefault="00584387" w:rsidP="001241EF">
      <w:pPr>
        <w:pStyle w:val="ListParagraph"/>
        <w:autoSpaceDE w:val="0"/>
        <w:autoSpaceDN w:val="0"/>
        <w:adjustRightInd w:val="0"/>
        <w:ind w:left="0"/>
        <w:contextualSpacing w:val="0"/>
        <w:rPr>
          <w:lang w:eastAsia="ja-JP"/>
        </w:rPr>
      </w:pPr>
    </w:p>
    <w:p w:rsidR="003B7820" w:rsidRDefault="0046205D" w:rsidP="0046205D">
      <w:pPr>
        <w:pStyle w:val="ListParagraph"/>
        <w:autoSpaceDE w:val="0"/>
        <w:autoSpaceDN w:val="0"/>
        <w:adjustRightInd w:val="0"/>
        <w:ind w:left="0"/>
        <w:contextualSpacing w:val="0"/>
        <w:rPr>
          <w:lang w:eastAsia="ja-JP"/>
        </w:rPr>
      </w:pPr>
      <w:r w:rsidRPr="0046205D">
        <w:fldChar w:fldCharType="begin"/>
      </w:r>
      <w:r w:rsidRPr="0046205D">
        <w:instrText xml:space="preserve"> AUTONUM  </w:instrText>
      </w:r>
      <w:r w:rsidRPr="0046205D">
        <w:fldChar w:fldCharType="end"/>
      </w:r>
      <w:r w:rsidRPr="0046205D">
        <w:tab/>
      </w:r>
      <w:r w:rsidRPr="0046205D">
        <w:rPr>
          <w:rFonts w:hint="eastAsia"/>
          <w:lang w:eastAsia="ja-JP"/>
        </w:rPr>
        <w:t xml:space="preserve">The WG-DEN agreed to </w:t>
      </w:r>
      <w:r w:rsidR="001A6E82">
        <w:rPr>
          <w:lang w:eastAsia="ja-JP"/>
        </w:rPr>
        <w:t>i</w:t>
      </w:r>
      <w:r w:rsidR="001A6E82" w:rsidRPr="0046205D">
        <w:rPr>
          <w:lang w:eastAsia="ja-JP"/>
        </w:rPr>
        <w:t xml:space="preserve">nclude the examples of </w:t>
      </w:r>
      <w:r w:rsidR="001A6E82">
        <w:rPr>
          <w:lang w:eastAsia="ja-JP"/>
        </w:rPr>
        <w:t xml:space="preserve">paragraph </w:t>
      </w:r>
      <w:r w:rsidR="001A6E82" w:rsidRPr="0046205D">
        <w:rPr>
          <w:lang w:eastAsia="ja-JP"/>
        </w:rPr>
        <w:t xml:space="preserve">21.20 of </w:t>
      </w:r>
      <w:r w:rsidR="00FE15FC">
        <w:rPr>
          <w:lang w:eastAsia="ja-JP"/>
        </w:rPr>
        <w:t>the N</w:t>
      </w:r>
      <w:r w:rsidR="00FE15FC" w:rsidRPr="0046205D">
        <w:rPr>
          <w:lang w:eastAsia="ja-JP"/>
        </w:rPr>
        <w:t xml:space="preserve">inth </w:t>
      </w:r>
      <w:r w:rsidR="00FE15FC">
        <w:rPr>
          <w:lang w:eastAsia="ja-JP"/>
        </w:rPr>
        <w:t>E</w:t>
      </w:r>
      <w:r w:rsidR="00FE15FC" w:rsidRPr="0046205D">
        <w:rPr>
          <w:lang w:eastAsia="ja-JP"/>
        </w:rPr>
        <w:t xml:space="preserve">dition </w:t>
      </w:r>
      <w:r w:rsidR="00FE15FC">
        <w:rPr>
          <w:lang w:eastAsia="ja-JP"/>
        </w:rPr>
        <w:t xml:space="preserve">of </w:t>
      </w:r>
      <w:r w:rsidR="001A6E82" w:rsidRPr="0046205D">
        <w:rPr>
          <w:lang w:eastAsia="ja-JP"/>
        </w:rPr>
        <w:t xml:space="preserve">the </w:t>
      </w:r>
      <w:r w:rsidR="00FE15FC" w:rsidRPr="00FE15FC">
        <w:rPr>
          <w:lang w:eastAsia="ja-JP"/>
        </w:rPr>
        <w:t xml:space="preserve">International Code of Nomenclature for Cultivated Plants </w:t>
      </w:r>
      <w:r w:rsidR="00FE15FC">
        <w:rPr>
          <w:lang w:eastAsia="ja-JP"/>
        </w:rPr>
        <w:t>(</w:t>
      </w:r>
      <w:r w:rsidR="001A6E82" w:rsidRPr="0046205D">
        <w:rPr>
          <w:lang w:eastAsia="ja-JP"/>
        </w:rPr>
        <w:t>ICNCP</w:t>
      </w:r>
      <w:r w:rsidR="00FE15FC">
        <w:rPr>
          <w:lang w:eastAsia="ja-JP"/>
        </w:rPr>
        <w:t>)</w:t>
      </w:r>
      <w:r w:rsidR="00584387">
        <w:rPr>
          <w:lang w:eastAsia="ja-JP"/>
        </w:rPr>
        <w:t xml:space="preserve">, as follows: </w:t>
      </w:r>
    </w:p>
    <w:p w:rsidR="003B7820" w:rsidRDefault="003B7820" w:rsidP="0046205D">
      <w:pPr>
        <w:pStyle w:val="ListParagraph"/>
        <w:autoSpaceDE w:val="0"/>
        <w:autoSpaceDN w:val="0"/>
        <w:adjustRightInd w:val="0"/>
        <w:ind w:left="0"/>
        <w:contextualSpacing w:val="0"/>
        <w:rPr>
          <w:lang w:eastAsia="ja-JP"/>
        </w:rPr>
      </w:pPr>
    </w:p>
    <w:p w:rsidR="00B455AF" w:rsidRPr="00B455AF" w:rsidRDefault="00B455AF" w:rsidP="00B455AF">
      <w:pPr>
        <w:pStyle w:val="ListParagraph"/>
        <w:rPr>
          <w:sz w:val="18"/>
          <w:szCs w:val="18"/>
          <w:lang w:eastAsia="ja-JP"/>
        </w:rPr>
      </w:pPr>
      <w:r>
        <w:rPr>
          <w:sz w:val="18"/>
          <w:szCs w:val="18"/>
          <w:lang w:eastAsia="ja-JP"/>
        </w:rPr>
        <w:t>“</w:t>
      </w:r>
      <w:r w:rsidRPr="00B455AF">
        <w:rPr>
          <w:sz w:val="18"/>
          <w:szCs w:val="18"/>
          <w:lang w:eastAsia="ja-JP"/>
        </w:rPr>
        <w:t xml:space="preserve">21.20. </w:t>
      </w:r>
      <w:r w:rsidR="009E456B">
        <w:rPr>
          <w:sz w:val="18"/>
          <w:szCs w:val="18"/>
          <w:lang w:eastAsia="ja-JP"/>
        </w:rPr>
        <w:t xml:space="preserve"> </w:t>
      </w:r>
      <w:r w:rsidRPr="00B455AF">
        <w:rPr>
          <w:sz w:val="18"/>
          <w:szCs w:val="18"/>
          <w:lang w:eastAsia="ja-JP"/>
        </w:rPr>
        <w:t>Except where linguistic custom demands, a name is not established if on or after 1 January 1996 its cultivar epithet contains the Latin or common name(s) of the genus to which it is assigned.</w:t>
      </w:r>
    </w:p>
    <w:p w:rsidR="00B455AF" w:rsidRPr="00B455AF" w:rsidRDefault="00B455AF" w:rsidP="00B455AF">
      <w:pPr>
        <w:pStyle w:val="ListParagraph"/>
        <w:rPr>
          <w:sz w:val="18"/>
          <w:szCs w:val="18"/>
          <w:lang w:eastAsia="ja-JP"/>
        </w:rPr>
      </w:pPr>
    </w:p>
    <w:p w:rsidR="00B455AF" w:rsidRPr="00B455AF" w:rsidRDefault="00B455AF" w:rsidP="00B455AF">
      <w:pPr>
        <w:pStyle w:val="ListParagraph"/>
        <w:ind w:left="1134"/>
        <w:rPr>
          <w:i/>
          <w:sz w:val="18"/>
          <w:szCs w:val="18"/>
          <w:lang w:eastAsia="ja-JP"/>
        </w:rPr>
      </w:pPr>
      <w:r w:rsidRPr="00B455AF">
        <w:rPr>
          <w:i/>
          <w:sz w:val="18"/>
          <w:szCs w:val="18"/>
          <w:lang w:eastAsia="ja-JP"/>
        </w:rPr>
        <w:t>Ex. 33. Castanea ‘Pale Chestnut’, Gladiolus ‘Pink Gladiolus’, Narcissus ‘Davis Daff’, Narcissus ‘Granny’s Daffodil’, Paeonia ‘Sussex Peony’, Phlox ‘Phlox of Sheep’, and Rhododendron ‘Rhododendron Mad’ may not be established.</w:t>
      </w:r>
    </w:p>
    <w:p w:rsidR="00B455AF" w:rsidRPr="00B455AF" w:rsidRDefault="00B455AF" w:rsidP="00B455AF">
      <w:pPr>
        <w:pStyle w:val="ListParagraph"/>
        <w:ind w:left="1134"/>
        <w:rPr>
          <w:i/>
          <w:sz w:val="18"/>
          <w:szCs w:val="18"/>
          <w:lang w:eastAsia="ja-JP"/>
        </w:rPr>
      </w:pPr>
    </w:p>
    <w:p w:rsidR="00B455AF" w:rsidRPr="00B455AF" w:rsidRDefault="00B455AF" w:rsidP="00B455AF">
      <w:pPr>
        <w:pStyle w:val="ListParagraph"/>
        <w:ind w:left="1134"/>
        <w:rPr>
          <w:i/>
          <w:sz w:val="18"/>
          <w:szCs w:val="18"/>
          <w:lang w:eastAsia="ja-JP"/>
        </w:rPr>
      </w:pPr>
      <w:r w:rsidRPr="00B455AF">
        <w:rPr>
          <w:i/>
          <w:sz w:val="18"/>
          <w:szCs w:val="18"/>
          <w:lang w:eastAsia="ja-JP"/>
        </w:rPr>
        <w:t>Ex. 34. Dianthus ‘Rupert’s Pink’ is established; “pink” is not the common name for all plants in the genus Dianthus.</w:t>
      </w:r>
    </w:p>
    <w:p w:rsidR="00B455AF" w:rsidRPr="00B455AF" w:rsidRDefault="00B455AF" w:rsidP="00B455AF">
      <w:pPr>
        <w:pStyle w:val="ListParagraph"/>
        <w:ind w:left="1134"/>
        <w:rPr>
          <w:i/>
          <w:sz w:val="18"/>
          <w:szCs w:val="18"/>
          <w:lang w:eastAsia="ja-JP"/>
        </w:rPr>
      </w:pPr>
    </w:p>
    <w:p w:rsidR="00B455AF" w:rsidRPr="00B455AF" w:rsidRDefault="00B455AF" w:rsidP="00B455AF">
      <w:pPr>
        <w:pStyle w:val="ListParagraph"/>
        <w:ind w:left="1134"/>
        <w:rPr>
          <w:i/>
          <w:sz w:val="18"/>
          <w:szCs w:val="18"/>
          <w:lang w:eastAsia="ja-JP"/>
        </w:rPr>
      </w:pPr>
      <w:r w:rsidRPr="00B455AF">
        <w:rPr>
          <w:i/>
          <w:sz w:val="18"/>
          <w:szCs w:val="18"/>
          <w:lang w:eastAsia="ja-JP"/>
        </w:rPr>
        <w:t>Ex. 35. Prunus ‘Sato-zakura’ is established; “zakura” is the Japanese word for flowering cherries, rather than a name for the whole genus.</w:t>
      </w:r>
    </w:p>
    <w:p w:rsidR="00B455AF" w:rsidRPr="00B455AF" w:rsidRDefault="00B455AF" w:rsidP="00B455AF">
      <w:pPr>
        <w:pStyle w:val="ListParagraph"/>
        <w:ind w:left="1134"/>
        <w:rPr>
          <w:i/>
          <w:sz w:val="18"/>
          <w:szCs w:val="18"/>
          <w:lang w:eastAsia="ja-JP"/>
        </w:rPr>
      </w:pPr>
    </w:p>
    <w:p w:rsidR="0046205D" w:rsidRPr="00B455AF" w:rsidRDefault="00B455AF" w:rsidP="00B455AF">
      <w:pPr>
        <w:pStyle w:val="ListParagraph"/>
        <w:ind w:left="1134"/>
        <w:rPr>
          <w:sz w:val="18"/>
          <w:szCs w:val="18"/>
          <w:lang w:eastAsia="ja-JP"/>
        </w:rPr>
      </w:pPr>
      <w:r w:rsidRPr="00B455AF">
        <w:rPr>
          <w:i/>
          <w:sz w:val="18"/>
          <w:szCs w:val="18"/>
          <w:lang w:eastAsia="ja-JP"/>
        </w:rPr>
        <w:t>Ex. 36. Pyrus bretschneideri ‘Ya Li’ contains the word “li”, which is the Chinese common name for the genus Pyrus. According to Chinese linguistic custom, “li” is inseparable from “ya”, and its inclusion in the cultivar epithet is therefore necess</w:t>
      </w:r>
      <w:r w:rsidRPr="00B455AF">
        <w:rPr>
          <w:sz w:val="18"/>
          <w:szCs w:val="18"/>
          <w:lang w:eastAsia="ja-JP"/>
        </w:rPr>
        <w:t xml:space="preserve">ary and acceptable. </w:t>
      </w:r>
      <w:r>
        <w:rPr>
          <w:sz w:val="18"/>
          <w:szCs w:val="18"/>
          <w:lang w:eastAsia="ja-JP"/>
        </w:rPr>
        <w:t>”</w:t>
      </w:r>
    </w:p>
    <w:p w:rsidR="0079274E" w:rsidRDefault="0079274E" w:rsidP="00246C00">
      <w:pPr>
        <w:pStyle w:val="ListParagraph"/>
        <w:autoSpaceDE w:val="0"/>
        <w:autoSpaceDN w:val="0"/>
        <w:adjustRightInd w:val="0"/>
        <w:ind w:left="0"/>
        <w:contextualSpacing w:val="0"/>
        <w:rPr>
          <w:lang w:eastAsia="ja-JP"/>
        </w:rPr>
      </w:pPr>
    </w:p>
    <w:p w:rsidR="0079274E" w:rsidRPr="00777A3B" w:rsidRDefault="0079274E" w:rsidP="0079274E">
      <w:pPr>
        <w:pStyle w:val="Heading4"/>
        <w:rPr>
          <w:lang w:val="en-US"/>
        </w:rPr>
      </w:pPr>
      <w:r w:rsidRPr="00A02CB3">
        <w:rPr>
          <w:lang w:val="en-US"/>
        </w:rPr>
        <w:t xml:space="preserve">Section </w:t>
      </w:r>
      <w:r w:rsidRPr="00777A3B">
        <w:rPr>
          <w:lang w:val="en-US"/>
        </w:rPr>
        <w:t>2.3.</w:t>
      </w:r>
      <w:r>
        <w:rPr>
          <w:lang w:val="en-US"/>
        </w:rPr>
        <w:t>2 “</w:t>
      </w:r>
      <w:r w:rsidRPr="0079274E">
        <w:rPr>
          <w:lang w:val="en-US"/>
        </w:rPr>
        <w:t>Value of the variety</w:t>
      </w:r>
      <w:r>
        <w:rPr>
          <w:lang w:val="en-US"/>
        </w:rPr>
        <w:t>”</w:t>
      </w:r>
    </w:p>
    <w:p w:rsidR="0079274E" w:rsidRDefault="0079274E" w:rsidP="0079274E">
      <w:pPr>
        <w:pStyle w:val="ListParagraph"/>
        <w:autoSpaceDE w:val="0"/>
        <w:autoSpaceDN w:val="0"/>
        <w:adjustRightInd w:val="0"/>
        <w:ind w:left="0"/>
        <w:contextualSpacing w:val="0"/>
        <w:rPr>
          <w:lang w:eastAsia="ja-JP"/>
        </w:rPr>
      </w:pPr>
    </w:p>
    <w:p w:rsidR="009B3BBB" w:rsidRDefault="009B3BBB" w:rsidP="009B3BBB">
      <w:pPr>
        <w:pStyle w:val="ListParagraph"/>
        <w:autoSpaceDE w:val="0"/>
        <w:autoSpaceDN w:val="0"/>
        <w:adjustRightInd w:val="0"/>
        <w:ind w:left="0"/>
        <w:contextualSpacing w:val="0"/>
        <w:rPr>
          <w:lang w:eastAsia="ja-JP"/>
        </w:rPr>
      </w:pPr>
      <w:r w:rsidRPr="0046205D">
        <w:fldChar w:fldCharType="begin"/>
      </w:r>
      <w:r w:rsidRPr="0046205D">
        <w:instrText xml:space="preserve"> AUTONUM  </w:instrText>
      </w:r>
      <w:r w:rsidRPr="0046205D">
        <w:fldChar w:fldCharType="end"/>
      </w:r>
      <w:r w:rsidRPr="0046205D">
        <w:tab/>
      </w:r>
      <w:r w:rsidRPr="0046205D">
        <w:rPr>
          <w:rFonts w:hint="eastAsia"/>
          <w:lang w:eastAsia="ja-JP"/>
        </w:rPr>
        <w:t xml:space="preserve">The WG-DEN agreed to </w:t>
      </w:r>
      <w:r w:rsidRPr="0046205D">
        <w:rPr>
          <w:lang w:eastAsia="ja-JP"/>
        </w:rPr>
        <w:t>amend Section 2.3.</w:t>
      </w:r>
      <w:r>
        <w:rPr>
          <w:lang w:eastAsia="ja-JP"/>
        </w:rPr>
        <w:t xml:space="preserve">2 </w:t>
      </w:r>
      <w:r w:rsidR="00DE5C67">
        <w:rPr>
          <w:lang w:eastAsia="ja-JP"/>
        </w:rPr>
        <w:t xml:space="preserve">to read </w:t>
      </w:r>
      <w:r>
        <w:rPr>
          <w:lang w:eastAsia="ja-JP"/>
        </w:rPr>
        <w:t>as follows:</w:t>
      </w:r>
    </w:p>
    <w:p w:rsidR="009B3BBB" w:rsidRDefault="009B3BBB" w:rsidP="009B3BBB">
      <w:pPr>
        <w:pStyle w:val="ListParagraph"/>
        <w:autoSpaceDE w:val="0"/>
        <w:autoSpaceDN w:val="0"/>
        <w:adjustRightInd w:val="0"/>
        <w:ind w:left="0"/>
        <w:contextualSpacing w:val="0"/>
        <w:rPr>
          <w:lang w:eastAsia="ja-JP"/>
        </w:rPr>
      </w:pPr>
    </w:p>
    <w:p w:rsidR="009B3BBB" w:rsidRPr="009B3BBB" w:rsidRDefault="009B3BBB" w:rsidP="009B3BBB">
      <w:pPr>
        <w:pStyle w:val="ListParagraph"/>
        <w:autoSpaceDE w:val="0"/>
        <w:autoSpaceDN w:val="0"/>
        <w:adjustRightInd w:val="0"/>
        <w:ind w:left="540" w:right="567" w:firstLine="27"/>
        <w:rPr>
          <w:sz w:val="18"/>
          <w:lang w:eastAsia="ja-JP"/>
        </w:rPr>
      </w:pPr>
      <w:r>
        <w:rPr>
          <w:lang w:eastAsia="ja-JP"/>
        </w:rPr>
        <w:t>“</w:t>
      </w:r>
      <w:r w:rsidRPr="009B3BBB">
        <w:rPr>
          <w:sz w:val="18"/>
          <w:lang w:eastAsia="ja-JP"/>
        </w:rPr>
        <w:t xml:space="preserve">The denomination should not consist of, or contain, comparative or superlative designations </w:t>
      </w:r>
      <w:r w:rsidRPr="009B3BBB">
        <w:rPr>
          <w:sz w:val="18"/>
          <w:u w:val="single"/>
          <w:lang w:eastAsia="ja-JP"/>
        </w:rPr>
        <w:t>that are liable to mislead or to cause confusion concerning the characteristics or value of the variety</w:t>
      </w:r>
      <w:r w:rsidRPr="009B3BBB">
        <w:rPr>
          <w:sz w:val="18"/>
          <w:lang w:eastAsia="ja-JP"/>
        </w:rPr>
        <w:t xml:space="preserve">. </w:t>
      </w:r>
    </w:p>
    <w:p w:rsidR="009B3BBB" w:rsidRPr="009B3BBB" w:rsidRDefault="009B3BBB" w:rsidP="009B3BBB">
      <w:pPr>
        <w:pStyle w:val="ListParagraph"/>
        <w:autoSpaceDE w:val="0"/>
        <w:autoSpaceDN w:val="0"/>
        <w:adjustRightInd w:val="0"/>
        <w:ind w:left="540" w:right="567" w:firstLine="27"/>
        <w:rPr>
          <w:sz w:val="18"/>
          <w:lang w:eastAsia="ja-JP"/>
        </w:rPr>
      </w:pPr>
    </w:p>
    <w:p w:rsidR="009B3BBB" w:rsidRPr="009B3BBB" w:rsidRDefault="009B3BBB" w:rsidP="009B3BBB">
      <w:pPr>
        <w:pStyle w:val="ListParagraph"/>
        <w:autoSpaceDE w:val="0"/>
        <w:autoSpaceDN w:val="0"/>
        <w:adjustRightInd w:val="0"/>
        <w:ind w:left="540" w:right="567" w:firstLine="27"/>
        <w:rPr>
          <w:sz w:val="18"/>
          <w:lang w:eastAsia="ja-JP"/>
        </w:rPr>
      </w:pPr>
      <w:r w:rsidRPr="009B3BBB">
        <w:rPr>
          <w:i/>
          <w:sz w:val="18"/>
          <w:lang w:eastAsia="ja-JP"/>
        </w:rPr>
        <w:t>Example</w:t>
      </w:r>
      <w:r w:rsidRPr="009B3BBB">
        <w:rPr>
          <w:i/>
          <w:sz w:val="18"/>
          <w:u w:val="single"/>
          <w:lang w:eastAsia="ja-JP"/>
        </w:rPr>
        <w:t xml:space="preserve"> of unsuitable denominations</w:t>
      </w:r>
      <w:r w:rsidRPr="009B3BBB">
        <w:rPr>
          <w:i/>
          <w:sz w:val="18"/>
          <w:lang w:eastAsia="ja-JP"/>
        </w:rPr>
        <w:t>:</w:t>
      </w:r>
      <w:r w:rsidRPr="009B3BBB">
        <w:rPr>
          <w:sz w:val="18"/>
          <w:lang w:eastAsia="ja-JP"/>
        </w:rPr>
        <w:t xml:space="preserve"> </w:t>
      </w:r>
      <w:r w:rsidRPr="009B3BBB">
        <w:rPr>
          <w:strike/>
          <w:sz w:val="18"/>
          <w:lang w:eastAsia="ja-JP"/>
        </w:rPr>
        <w:t xml:space="preserve"> a denomination which includes terms such as</w:t>
      </w:r>
      <w:r w:rsidRPr="009B3BBB">
        <w:rPr>
          <w:sz w:val="18"/>
          <w:lang w:eastAsia="ja-JP"/>
        </w:rPr>
        <w:t xml:space="preserve"> “Best</w:t>
      </w:r>
      <w:r w:rsidRPr="009B3BBB">
        <w:rPr>
          <w:sz w:val="18"/>
          <w:u w:val="single"/>
          <w:lang w:eastAsia="ja-JP"/>
        </w:rPr>
        <w:t xml:space="preserve"> performer</w:t>
      </w:r>
      <w:r w:rsidRPr="009B3BBB">
        <w:rPr>
          <w:sz w:val="18"/>
          <w:lang w:eastAsia="ja-JP"/>
        </w:rPr>
        <w:t>”, “Superior</w:t>
      </w:r>
      <w:r w:rsidRPr="009B3BBB">
        <w:rPr>
          <w:sz w:val="18"/>
          <w:u w:val="single"/>
          <w:lang w:eastAsia="ja-JP"/>
        </w:rPr>
        <w:t xml:space="preserve"> taste</w:t>
      </w:r>
      <w:r w:rsidRPr="009B3BBB">
        <w:rPr>
          <w:sz w:val="18"/>
          <w:lang w:eastAsia="ja-JP"/>
        </w:rPr>
        <w:t>”, “Sweeter</w:t>
      </w:r>
      <w:r w:rsidRPr="009B3BBB">
        <w:rPr>
          <w:sz w:val="18"/>
          <w:u w:val="single"/>
          <w:lang w:eastAsia="ja-JP"/>
        </w:rPr>
        <w:t xml:space="preserve"> than the rest</w:t>
      </w:r>
      <w:r w:rsidRPr="009B3BBB">
        <w:rPr>
          <w:sz w:val="18"/>
          <w:lang w:eastAsia="ja-JP"/>
        </w:rPr>
        <w:t xml:space="preserve">”. </w:t>
      </w:r>
    </w:p>
    <w:p w:rsidR="009B3BBB" w:rsidRPr="009B3BBB" w:rsidRDefault="009B3BBB" w:rsidP="009B3BBB">
      <w:pPr>
        <w:pStyle w:val="ListParagraph"/>
        <w:autoSpaceDE w:val="0"/>
        <w:autoSpaceDN w:val="0"/>
        <w:adjustRightInd w:val="0"/>
        <w:ind w:left="540" w:right="567" w:firstLine="27"/>
        <w:rPr>
          <w:sz w:val="18"/>
          <w:lang w:eastAsia="ja-JP"/>
        </w:rPr>
      </w:pPr>
    </w:p>
    <w:p w:rsidR="009B3BBB" w:rsidRDefault="009B3BBB" w:rsidP="009B3BBB">
      <w:pPr>
        <w:pStyle w:val="ListParagraph"/>
        <w:autoSpaceDE w:val="0"/>
        <w:autoSpaceDN w:val="0"/>
        <w:adjustRightInd w:val="0"/>
        <w:ind w:left="540" w:right="567" w:firstLine="27"/>
        <w:rPr>
          <w:lang w:eastAsia="ja-JP"/>
        </w:rPr>
      </w:pPr>
      <w:r w:rsidRPr="009B3BBB">
        <w:rPr>
          <w:i/>
          <w:sz w:val="18"/>
          <w:u w:val="single"/>
          <w:lang w:eastAsia="ja-JP"/>
        </w:rPr>
        <w:t>Examples of suitable denominations:</w:t>
      </w:r>
      <w:r w:rsidRPr="009B3BBB">
        <w:rPr>
          <w:sz w:val="18"/>
          <w:u w:val="single"/>
          <w:lang w:eastAsia="ja-JP"/>
        </w:rPr>
        <w:t xml:space="preserve">  “Lake Superior”, “Best wishes”.</w:t>
      </w:r>
      <w:r w:rsidRPr="003036ED">
        <w:rPr>
          <w:lang w:eastAsia="ja-JP"/>
        </w:rPr>
        <w:t>”</w:t>
      </w:r>
    </w:p>
    <w:p w:rsidR="001A1EF4" w:rsidRDefault="001A1EF4" w:rsidP="00443FB4">
      <w:pPr>
        <w:pStyle w:val="ListParagraph"/>
        <w:autoSpaceDE w:val="0"/>
        <w:autoSpaceDN w:val="0"/>
        <w:adjustRightInd w:val="0"/>
        <w:spacing w:line="360" w:lineRule="auto"/>
        <w:ind w:left="0"/>
        <w:contextualSpacing w:val="0"/>
        <w:rPr>
          <w:lang w:eastAsia="ja-JP"/>
        </w:rPr>
      </w:pPr>
    </w:p>
    <w:p w:rsidR="001A1EF4" w:rsidRPr="00777A3B" w:rsidRDefault="001A1EF4" w:rsidP="001A1EF4">
      <w:pPr>
        <w:pStyle w:val="Heading4"/>
        <w:rPr>
          <w:lang w:val="en-US"/>
        </w:rPr>
      </w:pPr>
      <w:r w:rsidRPr="00A02CB3">
        <w:rPr>
          <w:lang w:val="en-US"/>
        </w:rPr>
        <w:t xml:space="preserve">Section </w:t>
      </w:r>
      <w:r w:rsidRPr="00777A3B">
        <w:rPr>
          <w:lang w:val="en-US"/>
        </w:rPr>
        <w:t>2.3.</w:t>
      </w:r>
      <w:r>
        <w:rPr>
          <w:lang w:val="en-US"/>
        </w:rPr>
        <w:t>3 “Identity</w:t>
      </w:r>
      <w:r w:rsidRPr="0079274E">
        <w:rPr>
          <w:lang w:val="en-US"/>
        </w:rPr>
        <w:t xml:space="preserve"> of the variety</w:t>
      </w:r>
      <w:r>
        <w:rPr>
          <w:lang w:val="en-US"/>
        </w:rPr>
        <w:t>”</w:t>
      </w:r>
    </w:p>
    <w:p w:rsidR="001A1EF4" w:rsidRDefault="001A1EF4" w:rsidP="001A1EF4">
      <w:pPr>
        <w:pStyle w:val="ListParagraph"/>
        <w:autoSpaceDE w:val="0"/>
        <w:autoSpaceDN w:val="0"/>
        <w:adjustRightInd w:val="0"/>
        <w:ind w:left="0"/>
        <w:contextualSpacing w:val="0"/>
        <w:rPr>
          <w:lang w:eastAsia="ja-JP"/>
        </w:rPr>
      </w:pPr>
    </w:p>
    <w:p w:rsidR="001A1EF4" w:rsidRPr="00556966" w:rsidRDefault="001A1EF4" w:rsidP="001A1EF4">
      <w:pPr>
        <w:pStyle w:val="ListParagraph"/>
        <w:autoSpaceDE w:val="0"/>
        <w:autoSpaceDN w:val="0"/>
        <w:adjustRightInd w:val="0"/>
        <w:ind w:left="0"/>
        <w:contextualSpacing w:val="0"/>
        <w:rPr>
          <w:lang w:eastAsia="ja-JP"/>
        </w:rPr>
      </w:pPr>
      <w:r w:rsidRPr="0046205D">
        <w:fldChar w:fldCharType="begin"/>
      </w:r>
      <w:r w:rsidRPr="0046205D">
        <w:instrText xml:space="preserve"> AUTONUM  </w:instrText>
      </w:r>
      <w:r w:rsidRPr="0046205D">
        <w:fldChar w:fldCharType="end"/>
      </w:r>
      <w:r w:rsidRPr="0046205D">
        <w:tab/>
      </w:r>
      <w:r w:rsidRPr="0046205D">
        <w:rPr>
          <w:rFonts w:hint="eastAsia"/>
          <w:lang w:eastAsia="ja-JP"/>
        </w:rPr>
        <w:t xml:space="preserve">The WG-DEN agreed to </w:t>
      </w:r>
      <w:r w:rsidR="00DE5C67">
        <w:rPr>
          <w:lang w:eastAsia="ja-JP"/>
        </w:rPr>
        <w:t>amend</w:t>
      </w:r>
      <w:r w:rsidR="00B22A40" w:rsidRPr="002457FA">
        <w:rPr>
          <w:lang w:eastAsia="ja-JP"/>
        </w:rPr>
        <w:t xml:space="preserve"> </w:t>
      </w:r>
      <w:r w:rsidR="00A539A2">
        <w:rPr>
          <w:lang w:eastAsia="ja-JP"/>
        </w:rPr>
        <w:t xml:space="preserve">the draft of </w:t>
      </w:r>
      <w:r w:rsidR="00B22A40">
        <w:rPr>
          <w:lang w:eastAsia="ja-JP"/>
        </w:rPr>
        <w:t xml:space="preserve">the example 2 of the </w:t>
      </w:r>
      <w:r w:rsidR="00B22A40" w:rsidRPr="0046205D">
        <w:rPr>
          <w:lang w:eastAsia="ja-JP"/>
        </w:rPr>
        <w:t>Section 2.3.</w:t>
      </w:r>
      <w:r w:rsidR="00B22A40">
        <w:rPr>
          <w:lang w:eastAsia="ja-JP"/>
        </w:rPr>
        <w:t>3</w:t>
      </w:r>
      <w:r w:rsidR="00B22A40" w:rsidRPr="0046205D">
        <w:rPr>
          <w:lang w:eastAsia="ja-JP"/>
        </w:rPr>
        <w:t xml:space="preserve"> (</w:t>
      </w:r>
      <w:r w:rsidR="00B22A40">
        <w:rPr>
          <w:lang w:eastAsia="ja-JP"/>
        </w:rPr>
        <w:t>a</w:t>
      </w:r>
      <w:r w:rsidR="00B22A40" w:rsidRPr="0046205D">
        <w:rPr>
          <w:lang w:eastAsia="ja-JP"/>
        </w:rPr>
        <w:t>)</w:t>
      </w:r>
      <w:r w:rsidR="00B22A40">
        <w:rPr>
          <w:lang w:eastAsia="ja-JP"/>
        </w:rPr>
        <w:t xml:space="preserve"> (i) to reflect the practices </w:t>
      </w:r>
      <w:r>
        <w:rPr>
          <w:lang w:eastAsia="ja-JP"/>
        </w:rPr>
        <w:t xml:space="preserve">of </w:t>
      </w:r>
      <w:r w:rsidR="00A71163">
        <w:rPr>
          <w:lang w:eastAsia="ja-JP"/>
        </w:rPr>
        <w:t>the authorities</w:t>
      </w:r>
      <w:r w:rsidRPr="00556966">
        <w:rPr>
          <w:lang w:eastAsia="ja-JP"/>
        </w:rPr>
        <w:t>.</w:t>
      </w:r>
      <w:r w:rsidR="00A539A2" w:rsidRPr="00556966">
        <w:rPr>
          <w:lang w:eastAsia="ja-JP"/>
        </w:rPr>
        <w:t xml:space="preserve"> </w:t>
      </w:r>
      <w:r w:rsidR="003B7820" w:rsidRPr="00556966">
        <w:rPr>
          <w:lang w:eastAsia="ja-JP"/>
        </w:rPr>
        <w:t xml:space="preserve">The WG-DEN requested the Office of the Union </w:t>
      </w:r>
      <w:r w:rsidR="00A539A2" w:rsidRPr="00556966">
        <w:rPr>
          <w:lang w:eastAsia="ja-JP"/>
        </w:rPr>
        <w:t>to issue a circular to invite the authorities to provide their guidance on</w:t>
      </w:r>
      <w:r w:rsidR="00DF0EEF" w:rsidRPr="00556966">
        <w:rPr>
          <w:lang w:eastAsia="ja-JP"/>
        </w:rPr>
        <w:t xml:space="preserve"> the cases which could cause confusion phonetically but not visually.</w:t>
      </w:r>
      <w:r w:rsidR="00A539A2" w:rsidRPr="00556966">
        <w:rPr>
          <w:lang w:eastAsia="ja-JP"/>
        </w:rPr>
        <w:t xml:space="preserve"> </w:t>
      </w:r>
    </w:p>
    <w:p w:rsidR="002457FA" w:rsidRPr="00556966" w:rsidRDefault="002457FA" w:rsidP="002457FA">
      <w:pPr>
        <w:pStyle w:val="ListParagraph"/>
        <w:autoSpaceDE w:val="0"/>
        <w:autoSpaceDN w:val="0"/>
        <w:adjustRightInd w:val="0"/>
        <w:ind w:left="0"/>
        <w:contextualSpacing w:val="0"/>
        <w:rPr>
          <w:lang w:eastAsia="ja-JP"/>
        </w:rPr>
      </w:pPr>
    </w:p>
    <w:p w:rsidR="002457FA" w:rsidRDefault="002457FA" w:rsidP="002457FA">
      <w:pPr>
        <w:pStyle w:val="ListParagraph"/>
        <w:autoSpaceDE w:val="0"/>
        <w:autoSpaceDN w:val="0"/>
        <w:adjustRightInd w:val="0"/>
        <w:ind w:left="0"/>
        <w:contextualSpacing w:val="0"/>
        <w:rPr>
          <w:lang w:eastAsia="ja-JP"/>
        </w:rPr>
      </w:pPr>
      <w:r w:rsidRPr="00556966">
        <w:fldChar w:fldCharType="begin"/>
      </w:r>
      <w:r w:rsidRPr="00556966">
        <w:instrText xml:space="preserve"> AUTONUM  </w:instrText>
      </w:r>
      <w:r w:rsidRPr="00556966">
        <w:fldChar w:fldCharType="end"/>
      </w:r>
      <w:r w:rsidRPr="00556966">
        <w:tab/>
      </w:r>
      <w:r w:rsidRPr="00556966">
        <w:rPr>
          <w:rFonts w:hint="eastAsia"/>
          <w:lang w:eastAsia="ja-JP"/>
        </w:rPr>
        <w:t xml:space="preserve">The WG-DEN agreed to </w:t>
      </w:r>
      <w:r w:rsidR="00DE5C67" w:rsidRPr="00556966">
        <w:rPr>
          <w:lang w:eastAsia="ja-JP"/>
        </w:rPr>
        <w:t>amend</w:t>
      </w:r>
      <w:r w:rsidR="00852060" w:rsidRPr="00556966">
        <w:rPr>
          <w:lang w:eastAsia="ja-JP"/>
        </w:rPr>
        <w:t xml:space="preserve"> the draft of </w:t>
      </w:r>
      <w:r w:rsidR="002E7E3B" w:rsidRPr="00556966">
        <w:rPr>
          <w:lang w:eastAsia="ja-JP"/>
        </w:rPr>
        <w:t xml:space="preserve">the new Section 2.3.3 (b) (currently, </w:t>
      </w:r>
      <w:r w:rsidRPr="009E456B">
        <w:rPr>
          <w:fitText w:val="2455" w:id="1650759168"/>
          <w:lang w:eastAsia="ja-JP"/>
        </w:rPr>
        <w:t xml:space="preserve">Section 2.3.3 (a) </w:t>
      </w:r>
      <w:r w:rsidR="00852060" w:rsidRPr="009E456B">
        <w:rPr>
          <w:fitText w:val="2455" w:id="1650759168"/>
          <w:lang w:eastAsia="ja-JP"/>
        </w:rPr>
        <w:t xml:space="preserve">(ii) and </w:t>
      </w:r>
      <w:r w:rsidRPr="009E456B">
        <w:rPr>
          <w:fitText w:val="2455" w:id="1650759168"/>
          <w:lang w:eastAsia="ja-JP"/>
        </w:rPr>
        <w:t>(iii)</w:t>
      </w:r>
      <w:r w:rsidR="002E7E3B" w:rsidRPr="00556966">
        <w:rPr>
          <w:lang w:eastAsia="ja-JP"/>
        </w:rPr>
        <w:t xml:space="preserve">). It agreed </w:t>
      </w:r>
      <w:r w:rsidR="003E2BD8" w:rsidRPr="00556966">
        <w:rPr>
          <w:lang w:eastAsia="ja-JP"/>
        </w:rPr>
        <w:t xml:space="preserve">that </w:t>
      </w:r>
      <w:r w:rsidR="00160B1F" w:rsidRPr="00556966">
        <w:rPr>
          <w:lang w:eastAsia="ja-JP"/>
        </w:rPr>
        <w:t>Brazil</w:t>
      </w:r>
      <w:r w:rsidR="003E2BD8" w:rsidRPr="00556966">
        <w:rPr>
          <w:lang w:eastAsia="ja-JP"/>
        </w:rPr>
        <w:t xml:space="preserve"> should</w:t>
      </w:r>
      <w:r w:rsidR="00160B1F" w:rsidRPr="00556966">
        <w:rPr>
          <w:lang w:eastAsia="ja-JP"/>
        </w:rPr>
        <w:t xml:space="preserve"> provide its guidance on </w:t>
      </w:r>
      <w:r w:rsidR="003B7820" w:rsidRPr="00556966">
        <w:rPr>
          <w:lang w:eastAsia="ja-JP"/>
        </w:rPr>
        <w:t xml:space="preserve">that </w:t>
      </w:r>
      <w:r w:rsidR="00160B1F" w:rsidRPr="00556966">
        <w:rPr>
          <w:lang w:eastAsia="ja-JP"/>
        </w:rPr>
        <w:t>matter</w:t>
      </w:r>
      <w:r w:rsidR="0087478F" w:rsidRPr="00556966">
        <w:rPr>
          <w:lang w:eastAsia="ja-JP"/>
        </w:rPr>
        <w:t xml:space="preserve">, which would be </w:t>
      </w:r>
      <w:r w:rsidR="00160B1F" w:rsidRPr="00556966">
        <w:rPr>
          <w:lang w:eastAsia="ja-JP"/>
        </w:rPr>
        <w:t xml:space="preserve">used as a basis </w:t>
      </w:r>
      <w:r w:rsidR="003B7820" w:rsidRPr="00556966">
        <w:rPr>
          <w:lang w:eastAsia="ja-JP"/>
        </w:rPr>
        <w:t xml:space="preserve">to develop </w:t>
      </w:r>
      <w:r w:rsidR="0087478F" w:rsidRPr="00556966">
        <w:rPr>
          <w:lang w:eastAsia="ja-JP"/>
        </w:rPr>
        <w:t>a</w:t>
      </w:r>
      <w:r w:rsidR="00160B1F" w:rsidRPr="00556966">
        <w:rPr>
          <w:lang w:eastAsia="ja-JP"/>
        </w:rPr>
        <w:t xml:space="preserve"> proposal</w:t>
      </w:r>
      <w:r w:rsidR="0087478F" w:rsidRPr="00556966">
        <w:rPr>
          <w:lang w:eastAsia="ja-JP"/>
        </w:rPr>
        <w:t xml:space="preserve"> for </w:t>
      </w:r>
      <w:r w:rsidR="000B279D" w:rsidRPr="00556966">
        <w:rPr>
          <w:lang w:eastAsia="ja-JP"/>
        </w:rPr>
        <w:t xml:space="preserve">a </w:t>
      </w:r>
      <w:r w:rsidR="002E7E3B" w:rsidRPr="00556966">
        <w:rPr>
          <w:lang w:eastAsia="ja-JP"/>
        </w:rPr>
        <w:t>revision</w:t>
      </w:r>
      <w:r w:rsidR="000B279D" w:rsidRPr="00556966">
        <w:rPr>
          <w:lang w:eastAsia="ja-JP"/>
        </w:rPr>
        <w:t xml:space="preserve"> to be considered at the fifth meeting of the WG-DEN</w:t>
      </w:r>
      <w:r w:rsidR="00556966">
        <w:rPr>
          <w:lang w:eastAsia="ja-JP"/>
        </w:rPr>
        <w:t>.</w:t>
      </w:r>
    </w:p>
    <w:p w:rsidR="001A1EF4" w:rsidRDefault="001A1EF4" w:rsidP="001A1EF4">
      <w:pPr>
        <w:pStyle w:val="ListParagraph"/>
        <w:autoSpaceDE w:val="0"/>
        <w:autoSpaceDN w:val="0"/>
        <w:adjustRightInd w:val="0"/>
        <w:ind w:left="0"/>
        <w:contextualSpacing w:val="0"/>
        <w:rPr>
          <w:lang w:eastAsia="ja-JP"/>
        </w:rPr>
      </w:pPr>
    </w:p>
    <w:p w:rsidR="004940F3" w:rsidRDefault="00F63818" w:rsidP="009E456B">
      <w:pPr>
        <w:spacing w:after="240"/>
        <w:rPr>
          <w:lang w:eastAsia="ja-JP"/>
        </w:rPr>
      </w:pPr>
      <w:r w:rsidRPr="0046205D">
        <w:fldChar w:fldCharType="begin"/>
      </w:r>
      <w:r w:rsidRPr="0046205D">
        <w:instrText xml:space="preserve"> AUTONUM  </w:instrText>
      </w:r>
      <w:r w:rsidRPr="0046205D">
        <w:fldChar w:fldCharType="end"/>
      </w:r>
      <w:r w:rsidRPr="0046205D">
        <w:tab/>
      </w:r>
      <w:r w:rsidR="004940F3">
        <w:t>With regard to the re-use of denomination</w:t>
      </w:r>
      <w:r w:rsidR="003B7820">
        <w:t>s</w:t>
      </w:r>
      <w:r w:rsidR="004940F3">
        <w:t xml:space="preserve"> in </w:t>
      </w:r>
      <w:r w:rsidR="004940F3" w:rsidRPr="0046205D">
        <w:rPr>
          <w:lang w:eastAsia="ja-JP"/>
        </w:rPr>
        <w:t>Section 2.3.</w:t>
      </w:r>
      <w:r w:rsidR="004940F3">
        <w:rPr>
          <w:lang w:eastAsia="ja-JP"/>
        </w:rPr>
        <w:t>3</w:t>
      </w:r>
      <w:r w:rsidR="004940F3" w:rsidRPr="0046205D">
        <w:rPr>
          <w:lang w:eastAsia="ja-JP"/>
        </w:rPr>
        <w:t xml:space="preserve"> (</w:t>
      </w:r>
      <w:r w:rsidR="004940F3">
        <w:rPr>
          <w:lang w:eastAsia="ja-JP"/>
        </w:rPr>
        <w:t>c</w:t>
      </w:r>
      <w:r w:rsidR="004940F3" w:rsidRPr="0046205D">
        <w:rPr>
          <w:lang w:eastAsia="ja-JP"/>
        </w:rPr>
        <w:t>)</w:t>
      </w:r>
      <w:r w:rsidR="004940F3">
        <w:t>, t</w:t>
      </w:r>
      <w:r w:rsidRPr="0046205D">
        <w:rPr>
          <w:rFonts w:hint="eastAsia"/>
          <w:lang w:eastAsia="ja-JP"/>
        </w:rPr>
        <w:t xml:space="preserve">he WG-DEN agreed to </w:t>
      </w:r>
      <w:r w:rsidR="004940F3" w:rsidRPr="004940F3">
        <w:rPr>
          <w:lang w:eastAsia="ja-JP"/>
        </w:rPr>
        <w:t>include the guidance</w:t>
      </w:r>
      <w:r w:rsidR="004940F3">
        <w:rPr>
          <w:lang w:eastAsia="ja-JP"/>
        </w:rPr>
        <w:t xml:space="preserve"> from </w:t>
      </w:r>
      <w:r w:rsidR="004940F3" w:rsidRPr="004940F3">
        <w:rPr>
          <w:lang w:eastAsia="ja-JP"/>
        </w:rPr>
        <w:t xml:space="preserve">Article 30.2 </w:t>
      </w:r>
      <w:r w:rsidR="004940F3">
        <w:rPr>
          <w:lang w:eastAsia="ja-JP"/>
        </w:rPr>
        <w:t xml:space="preserve">of the </w:t>
      </w:r>
      <w:r w:rsidR="003B7820">
        <w:rPr>
          <w:lang w:eastAsia="ja-JP"/>
        </w:rPr>
        <w:t>N</w:t>
      </w:r>
      <w:r w:rsidR="003B7820" w:rsidRPr="0046205D">
        <w:rPr>
          <w:lang w:eastAsia="ja-JP"/>
        </w:rPr>
        <w:t>inth</w:t>
      </w:r>
      <w:r w:rsidR="00FE15FC">
        <w:rPr>
          <w:lang w:eastAsia="ja-JP"/>
        </w:rPr>
        <w:t xml:space="preserve"> Edition of the </w:t>
      </w:r>
      <w:r w:rsidR="004940F3" w:rsidRPr="004940F3">
        <w:rPr>
          <w:lang w:eastAsia="ja-JP"/>
        </w:rPr>
        <w:t>ICNCP, for further discussion at the fifth meeting of the WG-DEN</w:t>
      </w:r>
      <w:r w:rsidR="00137995">
        <w:rPr>
          <w:lang w:eastAsia="ja-JP"/>
        </w:rPr>
        <w:t xml:space="preserve">, as </w:t>
      </w:r>
      <w:r w:rsidR="003B7820">
        <w:rPr>
          <w:lang w:eastAsia="ja-JP"/>
        </w:rPr>
        <w:t>reproduced below</w:t>
      </w:r>
      <w:r w:rsidR="00137995">
        <w:rPr>
          <w:lang w:eastAsia="ja-JP"/>
        </w:rPr>
        <w:t>:</w:t>
      </w:r>
      <w:r w:rsidR="004940F3">
        <w:rPr>
          <w:lang w:eastAsia="ja-JP"/>
        </w:rPr>
        <w:t xml:space="preserve"> </w:t>
      </w:r>
    </w:p>
    <w:p w:rsidR="003B7820" w:rsidRPr="00ED5383" w:rsidRDefault="00ED5383" w:rsidP="00A12AE5">
      <w:pPr>
        <w:pStyle w:val="ListParagraph"/>
        <w:ind w:right="567"/>
        <w:rPr>
          <w:sz w:val="18"/>
          <w:szCs w:val="18"/>
        </w:rPr>
      </w:pPr>
      <w:r w:rsidRPr="00ED5383">
        <w:rPr>
          <w:sz w:val="18"/>
          <w:szCs w:val="18"/>
        </w:rPr>
        <w:lastRenderedPageBreak/>
        <w:t>“</w:t>
      </w:r>
      <w:r w:rsidR="00137995" w:rsidRPr="00ED5383">
        <w:rPr>
          <w:sz w:val="18"/>
          <w:szCs w:val="18"/>
        </w:rPr>
        <w:t xml:space="preserve">30.2. </w:t>
      </w:r>
      <w:r w:rsidR="009E456B">
        <w:rPr>
          <w:sz w:val="18"/>
          <w:szCs w:val="18"/>
        </w:rPr>
        <w:t xml:space="preserve"> </w:t>
      </w:r>
      <w:r w:rsidR="00137995" w:rsidRPr="00ED5383">
        <w:rPr>
          <w:sz w:val="18"/>
          <w:szCs w:val="18"/>
        </w:rPr>
        <w:t>An International Cultivar Registration Authority may only accept re-use of a cultivar, Group or grex epithet if that authority is satisfied that the original cultivar, Group, or grex (a) is no longer in cultivation, and (b) has ceased to exist as breeding material, and (c) may not be found in a gene or seed bank, and (d) is not a known component in the pedigree of other cultivars, Groups, or grexes, and (e) the name has rarely been used in publications, and (f) re-use is unlikely to cause confusion.</w:t>
      </w:r>
      <w:r w:rsidR="00A12AE5">
        <w:rPr>
          <w:sz w:val="18"/>
          <w:szCs w:val="18"/>
        </w:rPr>
        <w:t>”</w:t>
      </w:r>
    </w:p>
    <w:p w:rsidR="00ED5383" w:rsidRDefault="00ED5383" w:rsidP="00443FB4">
      <w:pPr>
        <w:pStyle w:val="ListParagraph"/>
        <w:autoSpaceDE w:val="0"/>
        <w:autoSpaceDN w:val="0"/>
        <w:adjustRightInd w:val="0"/>
        <w:spacing w:line="360" w:lineRule="auto"/>
        <w:ind w:left="0"/>
        <w:contextualSpacing w:val="0"/>
        <w:rPr>
          <w:lang w:eastAsia="ja-JP"/>
        </w:rPr>
      </w:pPr>
    </w:p>
    <w:p w:rsidR="00BD1863" w:rsidRPr="00777A3B" w:rsidRDefault="00BD1863" w:rsidP="00BD1863">
      <w:pPr>
        <w:pStyle w:val="Heading4"/>
        <w:rPr>
          <w:lang w:val="en-US"/>
        </w:rPr>
      </w:pPr>
      <w:r w:rsidRPr="00A02CB3">
        <w:rPr>
          <w:lang w:val="en-US"/>
        </w:rPr>
        <w:t xml:space="preserve">Section </w:t>
      </w:r>
      <w:r w:rsidRPr="00777A3B">
        <w:rPr>
          <w:lang w:val="en-US"/>
        </w:rPr>
        <w:t>2.3.</w:t>
      </w:r>
      <w:r>
        <w:rPr>
          <w:lang w:val="en-US"/>
        </w:rPr>
        <w:t>4 “Identity</w:t>
      </w:r>
      <w:r w:rsidRPr="0079274E">
        <w:rPr>
          <w:lang w:val="en-US"/>
        </w:rPr>
        <w:t xml:space="preserve"> of the </w:t>
      </w:r>
      <w:r>
        <w:rPr>
          <w:lang w:val="en-US"/>
        </w:rPr>
        <w:t>breeder”</w:t>
      </w:r>
    </w:p>
    <w:p w:rsidR="00BD1863" w:rsidRDefault="00BD1863" w:rsidP="00BD1863">
      <w:pPr>
        <w:pStyle w:val="ListParagraph"/>
        <w:autoSpaceDE w:val="0"/>
        <w:autoSpaceDN w:val="0"/>
        <w:adjustRightInd w:val="0"/>
        <w:ind w:left="0"/>
        <w:contextualSpacing w:val="0"/>
        <w:rPr>
          <w:lang w:eastAsia="ja-JP"/>
        </w:rPr>
      </w:pPr>
    </w:p>
    <w:p w:rsidR="00EB558A" w:rsidRPr="00A02CB3" w:rsidRDefault="00EB558A" w:rsidP="00EB558A">
      <w:pPr>
        <w:spacing w:after="240"/>
      </w:pPr>
      <w:r w:rsidRPr="00A02CB3">
        <w:rPr>
          <w:lang w:eastAsia="ja-JP"/>
        </w:rPr>
        <w:fldChar w:fldCharType="begin"/>
      </w:r>
      <w:r w:rsidRPr="00A02CB3">
        <w:rPr>
          <w:lang w:eastAsia="ja-JP"/>
        </w:rPr>
        <w:instrText xml:space="preserve"> AUTONUM  </w:instrText>
      </w:r>
      <w:r w:rsidRPr="00A02CB3">
        <w:rPr>
          <w:lang w:eastAsia="ja-JP"/>
        </w:rPr>
        <w:fldChar w:fldCharType="end"/>
      </w:r>
      <w:r w:rsidRPr="00A02CB3">
        <w:rPr>
          <w:lang w:eastAsia="ja-JP"/>
        </w:rPr>
        <w:tab/>
        <w:t xml:space="preserve">The </w:t>
      </w:r>
      <w:r w:rsidRPr="00A02CB3">
        <w:t xml:space="preserve">WG-DEN </w:t>
      </w:r>
      <w:r w:rsidR="005D31C6">
        <w:t>received a</w:t>
      </w:r>
      <w:r w:rsidRPr="00A02CB3">
        <w:t xml:space="preserve"> presentation </w:t>
      </w:r>
      <w:r w:rsidR="005D31C6">
        <w:t xml:space="preserve">by Ms. </w:t>
      </w:r>
      <w:r w:rsidR="005D31C6" w:rsidRPr="005D31C6">
        <w:t>Marina Foschi, Legal Officer, Policy and Legislative Advice Section</w:t>
      </w:r>
      <w:r w:rsidR="005D31C6">
        <w:t xml:space="preserve">, WIPO, </w:t>
      </w:r>
      <w:r w:rsidR="003B7820">
        <w:t>entitled “</w:t>
      </w:r>
      <w:r w:rsidR="00E35A62">
        <w:t xml:space="preserve">Trademarks: </w:t>
      </w:r>
      <w:r w:rsidR="005D31C6">
        <w:t>General Overview</w:t>
      </w:r>
      <w:r w:rsidR="003B7820">
        <w:t>”</w:t>
      </w:r>
      <w:r w:rsidRPr="00A02CB3">
        <w:t xml:space="preserve">. The presentation by </w:t>
      </w:r>
      <w:r w:rsidR="005D31C6">
        <w:t>Ms. Foschi</w:t>
      </w:r>
      <w:r w:rsidRPr="00A02CB3">
        <w:t xml:space="preserve"> is reproduced in </w:t>
      </w:r>
      <w:r w:rsidRPr="009B3BBB">
        <w:t>Annex II</w:t>
      </w:r>
      <w:r w:rsidR="005D31C6">
        <w:t>I</w:t>
      </w:r>
      <w:r w:rsidRPr="00A02CB3">
        <w:t xml:space="preserve"> to this report.</w:t>
      </w:r>
    </w:p>
    <w:p w:rsidR="00BD1863" w:rsidRDefault="00BD1863" w:rsidP="00BD1863">
      <w:pPr>
        <w:pStyle w:val="ListParagraph"/>
        <w:autoSpaceDE w:val="0"/>
        <w:autoSpaceDN w:val="0"/>
        <w:adjustRightInd w:val="0"/>
        <w:ind w:left="0"/>
        <w:contextualSpacing w:val="0"/>
        <w:rPr>
          <w:lang w:eastAsia="ja-JP"/>
        </w:rPr>
      </w:pPr>
      <w:r w:rsidRPr="0046205D">
        <w:fldChar w:fldCharType="begin"/>
      </w:r>
      <w:r w:rsidRPr="0046205D">
        <w:instrText xml:space="preserve"> AUTONUM  </w:instrText>
      </w:r>
      <w:r w:rsidRPr="0046205D">
        <w:fldChar w:fldCharType="end"/>
      </w:r>
      <w:r w:rsidRPr="0046205D">
        <w:tab/>
      </w:r>
      <w:r w:rsidRPr="0046205D">
        <w:rPr>
          <w:rFonts w:hint="eastAsia"/>
          <w:lang w:eastAsia="ja-JP"/>
        </w:rPr>
        <w:t xml:space="preserve">The WG-DEN agreed </w:t>
      </w:r>
      <w:r w:rsidRPr="00BD1863">
        <w:rPr>
          <w:lang w:eastAsia="ja-JP"/>
        </w:rPr>
        <w:t>that themes with</w:t>
      </w:r>
      <w:r w:rsidR="00793CAA">
        <w:rPr>
          <w:lang w:eastAsia="ja-JP"/>
        </w:rPr>
        <w:t>out</w:t>
      </w:r>
      <w:r w:rsidR="00041A2B">
        <w:rPr>
          <w:lang w:eastAsia="ja-JP"/>
        </w:rPr>
        <w:t xml:space="preserve"> a</w:t>
      </w:r>
      <w:r w:rsidRPr="00BD1863">
        <w:rPr>
          <w:lang w:eastAsia="ja-JP"/>
        </w:rPr>
        <w:t xml:space="preserve"> common word, prefix </w:t>
      </w:r>
      <w:r w:rsidR="00793CAA">
        <w:rPr>
          <w:lang w:eastAsia="ja-JP"/>
        </w:rPr>
        <w:t>n</w:t>
      </w:r>
      <w:r w:rsidRPr="00BD1863">
        <w:rPr>
          <w:lang w:eastAsia="ja-JP"/>
        </w:rPr>
        <w:t>or su</w:t>
      </w:r>
      <w:r w:rsidR="00793CAA">
        <w:rPr>
          <w:lang w:eastAsia="ja-JP"/>
        </w:rPr>
        <w:t>f</w:t>
      </w:r>
      <w:r w:rsidRPr="00BD1863">
        <w:rPr>
          <w:lang w:eastAsia="ja-JP"/>
        </w:rPr>
        <w:t>fix</w:t>
      </w:r>
      <w:r w:rsidR="00793CAA">
        <w:rPr>
          <w:lang w:eastAsia="ja-JP"/>
        </w:rPr>
        <w:t>,</w:t>
      </w:r>
      <w:r w:rsidRPr="00BD1863">
        <w:rPr>
          <w:lang w:eastAsia="ja-JP"/>
        </w:rPr>
        <w:t xml:space="preserve"> </w:t>
      </w:r>
      <w:r w:rsidR="00041A2B">
        <w:rPr>
          <w:lang w:eastAsia="ja-JP"/>
        </w:rPr>
        <w:t>sh</w:t>
      </w:r>
      <w:r w:rsidR="00041A2B" w:rsidRPr="00BD1863">
        <w:rPr>
          <w:lang w:eastAsia="ja-JP"/>
        </w:rPr>
        <w:t xml:space="preserve">ould </w:t>
      </w:r>
      <w:r w:rsidRPr="00BD1863">
        <w:rPr>
          <w:lang w:eastAsia="ja-JP"/>
        </w:rPr>
        <w:t xml:space="preserve">not be </w:t>
      </w:r>
      <w:r w:rsidR="003B7820">
        <w:rPr>
          <w:lang w:eastAsia="ja-JP"/>
        </w:rPr>
        <w:t xml:space="preserve">an </w:t>
      </w:r>
      <w:r w:rsidRPr="00BD1863">
        <w:rPr>
          <w:lang w:eastAsia="ja-JP"/>
        </w:rPr>
        <w:t>acceptable practice</w:t>
      </w:r>
      <w:r>
        <w:rPr>
          <w:lang w:eastAsia="ja-JP"/>
        </w:rPr>
        <w:t>.</w:t>
      </w:r>
    </w:p>
    <w:p w:rsidR="00BD1863" w:rsidRDefault="00BD1863" w:rsidP="00BD1863">
      <w:pPr>
        <w:pStyle w:val="ListParagraph"/>
        <w:autoSpaceDE w:val="0"/>
        <w:autoSpaceDN w:val="0"/>
        <w:adjustRightInd w:val="0"/>
        <w:ind w:left="0"/>
        <w:contextualSpacing w:val="0"/>
        <w:rPr>
          <w:lang w:eastAsia="ja-JP"/>
        </w:rPr>
      </w:pPr>
    </w:p>
    <w:p w:rsidR="00793CAA" w:rsidRDefault="00793CAA" w:rsidP="00793CAA">
      <w:pPr>
        <w:pStyle w:val="ListParagraph"/>
        <w:autoSpaceDE w:val="0"/>
        <w:autoSpaceDN w:val="0"/>
        <w:adjustRightInd w:val="0"/>
        <w:ind w:left="0"/>
        <w:contextualSpacing w:val="0"/>
        <w:rPr>
          <w:lang w:eastAsia="ja-JP"/>
        </w:rPr>
      </w:pPr>
      <w:r w:rsidRPr="00556966">
        <w:fldChar w:fldCharType="begin"/>
      </w:r>
      <w:r w:rsidRPr="00556966">
        <w:instrText xml:space="preserve"> AUTONUM  </w:instrText>
      </w:r>
      <w:r w:rsidRPr="00556966">
        <w:fldChar w:fldCharType="end"/>
      </w:r>
      <w:r w:rsidRPr="00556966">
        <w:tab/>
      </w:r>
      <w:r w:rsidR="003B7820" w:rsidRPr="00556966">
        <w:rPr>
          <w:lang w:eastAsia="ja-JP"/>
        </w:rPr>
        <w:t xml:space="preserve">The WG-DEN requested the Office of the Union </w:t>
      </w:r>
      <w:r w:rsidR="00BC3C35" w:rsidRPr="00556966">
        <w:rPr>
          <w:lang w:eastAsia="ja-JP"/>
        </w:rPr>
        <w:t>to issue a circular to invite the authorities to provide their guidance on prefixes, suffixes and common word to identify the breeder or other practices by the breeder.</w:t>
      </w:r>
    </w:p>
    <w:p w:rsidR="004C3547" w:rsidRDefault="004C3547" w:rsidP="00443FB4">
      <w:pPr>
        <w:pStyle w:val="ListParagraph"/>
        <w:autoSpaceDE w:val="0"/>
        <w:autoSpaceDN w:val="0"/>
        <w:adjustRightInd w:val="0"/>
        <w:spacing w:line="360" w:lineRule="auto"/>
        <w:ind w:left="0"/>
        <w:contextualSpacing w:val="0"/>
        <w:rPr>
          <w:lang w:eastAsia="ja-JP"/>
        </w:rPr>
      </w:pPr>
    </w:p>
    <w:p w:rsidR="004C3547" w:rsidRPr="00777A3B" w:rsidRDefault="004C3547" w:rsidP="004C3547">
      <w:pPr>
        <w:pStyle w:val="Heading4"/>
        <w:rPr>
          <w:lang w:val="en-US"/>
        </w:rPr>
      </w:pPr>
      <w:r w:rsidRPr="00A02CB3">
        <w:rPr>
          <w:lang w:val="en-US"/>
        </w:rPr>
        <w:t xml:space="preserve">Section </w:t>
      </w:r>
      <w:r w:rsidRPr="00777A3B">
        <w:rPr>
          <w:lang w:val="en-US"/>
        </w:rPr>
        <w:t>2.</w:t>
      </w:r>
      <w:r>
        <w:rPr>
          <w:lang w:val="en-US"/>
        </w:rPr>
        <w:t>5 “Variety denomination classes”</w:t>
      </w:r>
    </w:p>
    <w:p w:rsidR="004C3547" w:rsidRDefault="004C3547" w:rsidP="004C3547">
      <w:pPr>
        <w:pStyle w:val="ListParagraph"/>
        <w:autoSpaceDE w:val="0"/>
        <w:autoSpaceDN w:val="0"/>
        <w:adjustRightInd w:val="0"/>
        <w:ind w:left="0"/>
        <w:contextualSpacing w:val="0"/>
        <w:rPr>
          <w:lang w:eastAsia="ja-JP"/>
        </w:rPr>
      </w:pPr>
    </w:p>
    <w:p w:rsidR="004C3547" w:rsidRPr="00556966" w:rsidRDefault="004C3547" w:rsidP="004C3547">
      <w:pPr>
        <w:pStyle w:val="ListParagraph"/>
        <w:autoSpaceDE w:val="0"/>
        <w:autoSpaceDN w:val="0"/>
        <w:adjustRightInd w:val="0"/>
        <w:ind w:left="0"/>
        <w:contextualSpacing w:val="0"/>
        <w:rPr>
          <w:lang w:eastAsia="ja-JP"/>
        </w:rPr>
      </w:pPr>
      <w:r w:rsidRPr="00556966">
        <w:fldChar w:fldCharType="begin"/>
      </w:r>
      <w:r w:rsidRPr="00556966">
        <w:instrText xml:space="preserve"> AUTONUM  </w:instrText>
      </w:r>
      <w:r w:rsidRPr="00556966">
        <w:fldChar w:fldCharType="end"/>
      </w:r>
      <w:r w:rsidRPr="00556966">
        <w:tab/>
      </w:r>
      <w:r w:rsidR="003B7820" w:rsidRPr="00556966">
        <w:rPr>
          <w:lang w:eastAsia="ja-JP"/>
        </w:rPr>
        <w:t xml:space="preserve">The WG-DEN requested the Office of the Union </w:t>
      </w:r>
      <w:r w:rsidRPr="00556966">
        <w:rPr>
          <w:lang w:eastAsia="ja-JP"/>
        </w:rPr>
        <w:t xml:space="preserve">to issue a circular to invite the authorities to </w:t>
      </w:r>
      <w:r w:rsidR="000B6727" w:rsidRPr="00556966">
        <w:rPr>
          <w:lang w:eastAsia="ja-JP"/>
        </w:rPr>
        <w:t>share examples and proposals on possible need to review or create new denomination classes.</w:t>
      </w:r>
    </w:p>
    <w:p w:rsidR="004C3547" w:rsidRPr="00556966" w:rsidRDefault="004C3547" w:rsidP="004C3547">
      <w:pPr>
        <w:pStyle w:val="ListParagraph"/>
        <w:autoSpaceDE w:val="0"/>
        <w:autoSpaceDN w:val="0"/>
        <w:adjustRightInd w:val="0"/>
        <w:ind w:left="0"/>
        <w:contextualSpacing w:val="0"/>
        <w:rPr>
          <w:lang w:eastAsia="ja-JP"/>
        </w:rPr>
      </w:pPr>
    </w:p>
    <w:p w:rsidR="004C3547" w:rsidRPr="00556966" w:rsidRDefault="004C3547" w:rsidP="00D178BD">
      <w:pPr>
        <w:pStyle w:val="ListParagraph"/>
        <w:autoSpaceDE w:val="0"/>
        <w:autoSpaceDN w:val="0"/>
        <w:adjustRightInd w:val="0"/>
        <w:ind w:left="0"/>
        <w:contextualSpacing w:val="0"/>
        <w:rPr>
          <w:lang w:eastAsia="ja-JP"/>
        </w:rPr>
      </w:pPr>
    </w:p>
    <w:p w:rsidR="00D178BD" w:rsidRDefault="00D178BD" w:rsidP="00D178BD">
      <w:pPr>
        <w:pStyle w:val="ListParagraph"/>
        <w:autoSpaceDE w:val="0"/>
        <w:autoSpaceDN w:val="0"/>
        <w:adjustRightInd w:val="0"/>
        <w:ind w:left="0"/>
        <w:contextualSpacing w:val="0"/>
        <w:rPr>
          <w:lang w:eastAsia="ja-JP"/>
        </w:rPr>
      </w:pPr>
      <w:r w:rsidRPr="00556966">
        <w:fldChar w:fldCharType="begin"/>
      </w:r>
      <w:r w:rsidRPr="00556966">
        <w:instrText xml:space="preserve"> AUTONUM  </w:instrText>
      </w:r>
      <w:r w:rsidRPr="00556966">
        <w:fldChar w:fldCharType="end"/>
      </w:r>
      <w:r w:rsidRPr="00556966">
        <w:tab/>
        <w:t xml:space="preserve">With regard to a new </w:t>
      </w:r>
      <w:r w:rsidR="004C3547" w:rsidRPr="00556966">
        <w:t>S</w:t>
      </w:r>
      <w:r w:rsidRPr="00556966">
        <w:t>ection 2.6 on UPOV denomination similarity search tool, t</w:t>
      </w:r>
      <w:r w:rsidRPr="00556966">
        <w:rPr>
          <w:lang w:eastAsia="ja-JP"/>
        </w:rPr>
        <w:t xml:space="preserve">he WG-DEN </w:t>
      </w:r>
      <w:r w:rsidR="003B7820" w:rsidRPr="00556966">
        <w:rPr>
          <w:lang w:eastAsia="ja-JP"/>
        </w:rPr>
        <w:t xml:space="preserve">requested the Office of the Union </w:t>
      </w:r>
      <w:r w:rsidRPr="00556966">
        <w:rPr>
          <w:lang w:eastAsia="ja-JP"/>
        </w:rPr>
        <w:t xml:space="preserve">to issue a circular to invite the authorities and users to provide </w:t>
      </w:r>
      <w:r w:rsidR="00AB1B8A" w:rsidRPr="00556966">
        <w:rPr>
          <w:lang w:eastAsia="ja-JP"/>
        </w:rPr>
        <w:t xml:space="preserve">their views on possible ways </w:t>
      </w:r>
      <w:r w:rsidRPr="00556966">
        <w:rPr>
          <w:lang w:eastAsia="ja-JP"/>
        </w:rPr>
        <w:t xml:space="preserve">to use the </w:t>
      </w:r>
      <w:r w:rsidRPr="00556966">
        <w:t>denomination similarity search tool</w:t>
      </w:r>
      <w:r w:rsidRPr="00556966">
        <w:rPr>
          <w:lang w:eastAsia="ja-JP"/>
        </w:rPr>
        <w:t>.</w:t>
      </w:r>
      <w:r>
        <w:rPr>
          <w:lang w:eastAsia="ja-JP"/>
        </w:rPr>
        <w:t xml:space="preserve"> </w:t>
      </w:r>
    </w:p>
    <w:p w:rsidR="00BD1863" w:rsidRDefault="00BD1863" w:rsidP="00FF3F5B">
      <w:pPr>
        <w:pStyle w:val="ListParagraph"/>
        <w:autoSpaceDE w:val="0"/>
        <w:autoSpaceDN w:val="0"/>
        <w:adjustRightInd w:val="0"/>
        <w:ind w:left="0"/>
        <w:contextualSpacing w:val="0"/>
        <w:rPr>
          <w:szCs w:val="24"/>
          <w:lang w:eastAsia="ja-JP"/>
        </w:rPr>
      </w:pPr>
    </w:p>
    <w:p w:rsidR="00667616" w:rsidRPr="00A02CB3" w:rsidRDefault="00667616" w:rsidP="00FF3F5B">
      <w:pPr>
        <w:pStyle w:val="ListParagraph"/>
        <w:autoSpaceDE w:val="0"/>
        <w:autoSpaceDN w:val="0"/>
        <w:adjustRightInd w:val="0"/>
        <w:ind w:left="0"/>
        <w:contextualSpacing w:val="0"/>
        <w:rPr>
          <w:szCs w:val="24"/>
          <w:lang w:eastAsia="ja-JP"/>
        </w:rPr>
      </w:pPr>
    </w:p>
    <w:p w:rsidR="00FF3F5B" w:rsidRPr="00A02CB3" w:rsidRDefault="00FF3F5B" w:rsidP="00FF3F5B">
      <w:pPr>
        <w:pStyle w:val="Heading2"/>
      </w:pPr>
      <w:r w:rsidRPr="00A02CB3">
        <w:t xml:space="preserve">Paragraph </w:t>
      </w:r>
      <w:r>
        <w:t>4</w:t>
      </w:r>
      <w:r w:rsidRPr="00A02CB3">
        <w:t xml:space="preserve"> [</w:t>
      </w:r>
      <w:r w:rsidR="00F260BD" w:rsidRPr="00F260BD">
        <w:rPr>
          <w:bCs/>
          <w:iCs/>
        </w:rPr>
        <w:t>Prior rights of third persons</w:t>
      </w:r>
      <w:r w:rsidRPr="00A02CB3">
        <w:t>]</w:t>
      </w:r>
    </w:p>
    <w:p w:rsidR="00FF3F5B" w:rsidRDefault="00FF3F5B" w:rsidP="00FF3F5B">
      <w:pPr>
        <w:pStyle w:val="ListParagraph"/>
        <w:autoSpaceDE w:val="0"/>
        <w:autoSpaceDN w:val="0"/>
        <w:adjustRightInd w:val="0"/>
        <w:ind w:left="0"/>
        <w:contextualSpacing w:val="0"/>
        <w:rPr>
          <w:lang w:eastAsia="ja-JP"/>
        </w:rPr>
      </w:pPr>
    </w:p>
    <w:p w:rsidR="00FF3F5B" w:rsidRDefault="00FF3F5B" w:rsidP="00FF3F5B">
      <w:pPr>
        <w:pStyle w:val="ListParagraph"/>
        <w:autoSpaceDE w:val="0"/>
        <w:autoSpaceDN w:val="0"/>
        <w:adjustRightInd w:val="0"/>
        <w:ind w:left="0"/>
        <w:contextualSpacing w:val="0"/>
        <w:rPr>
          <w:lang w:eastAsia="ja-JP"/>
        </w:rPr>
      </w:pPr>
      <w:r w:rsidRPr="0046205D">
        <w:fldChar w:fldCharType="begin"/>
      </w:r>
      <w:r w:rsidRPr="0046205D">
        <w:instrText xml:space="preserve"> AUTONUM  </w:instrText>
      </w:r>
      <w:r w:rsidRPr="0046205D">
        <w:fldChar w:fldCharType="end"/>
      </w:r>
      <w:r w:rsidRPr="0046205D">
        <w:tab/>
      </w:r>
      <w:r w:rsidRPr="0046205D">
        <w:rPr>
          <w:rFonts w:hint="eastAsia"/>
          <w:lang w:eastAsia="ja-JP"/>
        </w:rPr>
        <w:t xml:space="preserve">The WG-DEN </w:t>
      </w:r>
      <w:r w:rsidR="00DC3B6B">
        <w:rPr>
          <w:lang w:eastAsia="ja-JP"/>
        </w:rPr>
        <w:t xml:space="preserve">agreed </w:t>
      </w:r>
      <w:r w:rsidRPr="0046205D">
        <w:rPr>
          <w:rFonts w:hint="eastAsia"/>
          <w:lang w:eastAsia="ja-JP"/>
        </w:rPr>
        <w:t xml:space="preserve">to </w:t>
      </w:r>
      <w:r w:rsidRPr="002457FA">
        <w:rPr>
          <w:lang w:eastAsia="ja-JP"/>
        </w:rPr>
        <w:t xml:space="preserve">amend </w:t>
      </w:r>
      <w:r w:rsidRPr="0046205D">
        <w:rPr>
          <w:lang w:eastAsia="ja-JP"/>
        </w:rPr>
        <w:t xml:space="preserve">Section </w:t>
      </w:r>
      <w:r>
        <w:rPr>
          <w:lang w:eastAsia="ja-JP"/>
        </w:rPr>
        <w:t>4</w:t>
      </w:r>
      <w:r w:rsidRPr="0046205D">
        <w:rPr>
          <w:lang w:eastAsia="ja-JP"/>
        </w:rPr>
        <w:t xml:space="preserve"> (</w:t>
      </w:r>
      <w:r>
        <w:rPr>
          <w:lang w:eastAsia="ja-JP"/>
        </w:rPr>
        <w:t>a</w:t>
      </w:r>
      <w:r w:rsidRPr="0046205D">
        <w:rPr>
          <w:lang w:eastAsia="ja-JP"/>
        </w:rPr>
        <w:t>)</w:t>
      </w:r>
      <w:r>
        <w:rPr>
          <w:lang w:eastAsia="ja-JP"/>
        </w:rPr>
        <w:t xml:space="preserve"> </w:t>
      </w:r>
      <w:r w:rsidR="00DE5C67">
        <w:rPr>
          <w:lang w:eastAsia="ja-JP"/>
        </w:rPr>
        <w:t xml:space="preserve">to read </w:t>
      </w:r>
      <w:r>
        <w:rPr>
          <w:lang w:eastAsia="ja-JP"/>
        </w:rPr>
        <w:t>as follows:</w:t>
      </w:r>
    </w:p>
    <w:p w:rsidR="00FF3F5B" w:rsidRDefault="00FF3F5B" w:rsidP="00FF3F5B">
      <w:pPr>
        <w:pStyle w:val="ListParagraph"/>
        <w:autoSpaceDE w:val="0"/>
        <w:autoSpaceDN w:val="0"/>
        <w:adjustRightInd w:val="0"/>
        <w:ind w:left="0"/>
        <w:contextualSpacing w:val="0"/>
        <w:rPr>
          <w:lang w:eastAsia="ja-JP"/>
        </w:rPr>
      </w:pPr>
    </w:p>
    <w:p w:rsidR="00FF3F5B" w:rsidRDefault="00FF3F5B" w:rsidP="00FF3F5B">
      <w:pPr>
        <w:pStyle w:val="ListParagraph"/>
        <w:autoSpaceDE w:val="0"/>
        <w:autoSpaceDN w:val="0"/>
        <w:adjustRightInd w:val="0"/>
        <w:ind w:left="540" w:right="567" w:firstLine="27"/>
        <w:rPr>
          <w:lang w:eastAsia="ja-JP"/>
        </w:rPr>
      </w:pPr>
      <w:r>
        <w:rPr>
          <w:lang w:eastAsia="ja-JP"/>
        </w:rPr>
        <w:t>“</w:t>
      </w:r>
      <w:r w:rsidRPr="00FF3F5B">
        <w:rPr>
          <w:sz w:val="18"/>
          <w:lang w:eastAsia="ja-JP"/>
        </w:rPr>
        <w:t>(a)</w:t>
      </w:r>
      <w:r w:rsidR="009E456B">
        <w:rPr>
          <w:sz w:val="18"/>
          <w:lang w:eastAsia="ja-JP"/>
        </w:rPr>
        <w:t xml:space="preserve">  </w:t>
      </w:r>
      <w:r w:rsidRPr="00FF3F5B">
        <w:rPr>
          <w:sz w:val="18"/>
          <w:lang w:eastAsia="ja-JP"/>
        </w:rPr>
        <w:t xml:space="preserve">An authority should not accept a variety denomination if a </w:t>
      </w:r>
      <w:r w:rsidRPr="00FF3F5B">
        <w:rPr>
          <w:sz w:val="18"/>
          <w:u w:val="single"/>
          <w:lang w:eastAsia="ja-JP"/>
        </w:rPr>
        <w:t>there is an existing</w:t>
      </w:r>
      <w:r w:rsidRPr="00FF3F5B">
        <w:rPr>
          <w:sz w:val="18"/>
          <w:lang w:eastAsia="ja-JP"/>
        </w:rPr>
        <w:t xml:space="preserve"> prior right, the exercise of which may prevent the use of the proposed denomination</w:t>
      </w:r>
      <w:r w:rsidRPr="00FF3F5B">
        <w:rPr>
          <w:strike/>
          <w:sz w:val="18"/>
          <w:lang w:eastAsia="ja-JP"/>
        </w:rPr>
        <w:t>, has already been granted to a third party under plant breeder’s right law, trademark law or any other intellectual property legislation</w:t>
      </w:r>
      <w:r w:rsidRPr="00FF3F5B">
        <w:rPr>
          <w:sz w:val="18"/>
          <w:lang w:eastAsia="ja-JP"/>
        </w:rPr>
        <w:t>.  It is the responsibility of the title holder of a prior right to assert his rights through the available objection or court procedures.  However, authorities are encouraged to make prior searches in relevant publications (e.g. official</w:t>
      </w:r>
      <w:r w:rsidR="009E456B">
        <w:rPr>
          <w:sz w:val="18"/>
          <w:lang w:eastAsia="ja-JP"/>
        </w:rPr>
        <w:t xml:space="preserve"> gazettes) and databases (e.g. </w:t>
      </w:r>
      <w:r w:rsidRPr="00FF3F5B">
        <w:rPr>
          <w:sz w:val="18"/>
          <w:lang w:eastAsia="ja-JP"/>
        </w:rPr>
        <w:t xml:space="preserve">UPOV Plant Variety Database (PLUTO) </w:t>
      </w:r>
      <w:hyperlink r:id="rId9" w:history="1">
        <w:r w:rsidRPr="00FF3F5B">
          <w:rPr>
            <w:rStyle w:val="Hyperlink"/>
            <w:sz w:val="18"/>
            <w:lang w:eastAsia="ja-JP"/>
          </w:rPr>
          <w:t>http://www.upov.int/pluto/en/</w:t>
        </w:r>
      </w:hyperlink>
      <w:r w:rsidRPr="00FF3F5B">
        <w:rPr>
          <w:sz w:val="18"/>
          <w:lang w:eastAsia="ja-JP"/>
        </w:rPr>
        <w:t>) to identify prior rights for variety denominations.  They may also make searches in other registers, such as trademark registers, before accepting a variety denomination.</w:t>
      </w:r>
      <w:r w:rsidRPr="003036ED">
        <w:rPr>
          <w:lang w:eastAsia="ja-JP"/>
        </w:rPr>
        <w:t>”</w:t>
      </w:r>
    </w:p>
    <w:p w:rsidR="0098461A" w:rsidRDefault="0098461A" w:rsidP="0098461A">
      <w:pPr>
        <w:pStyle w:val="ListParagraph"/>
        <w:autoSpaceDE w:val="0"/>
        <w:autoSpaceDN w:val="0"/>
        <w:adjustRightInd w:val="0"/>
        <w:ind w:left="0"/>
        <w:contextualSpacing w:val="0"/>
        <w:rPr>
          <w:szCs w:val="24"/>
          <w:lang w:eastAsia="ja-JP"/>
        </w:rPr>
      </w:pPr>
    </w:p>
    <w:p w:rsidR="0098461A" w:rsidRPr="00A02CB3" w:rsidRDefault="0098461A" w:rsidP="0098461A">
      <w:pPr>
        <w:pStyle w:val="ListParagraph"/>
        <w:autoSpaceDE w:val="0"/>
        <w:autoSpaceDN w:val="0"/>
        <w:adjustRightInd w:val="0"/>
        <w:ind w:left="0"/>
        <w:contextualSpacing w:val="0"/>
        <w:rPr>
          <w:szCs w:val="24"/>
          <w:lang w:eastAsia="ja-JP"/>
        </w:rPr>
      </w:pPr>
    </w:p>
    <w:p w:rsidR="0098461A" w:rsidRPr="00A02CB3" w:rsidRDefault="0098461A" w:rsidP="0098461A">
      <w:pPr>
        <w:pStyle w:val="Heading2"/>
      </w:pPr>
      <w:r w:rsidRPr="00A02CB3">
        <w:t xml:space="preserve">Paragraph </w:t>
      </w:r>
      <w:r>
        <w:t>5</w:t>
      </w:r>
      <w:r w:rsidRPr="00A02CB3">
        <w:t xml:space="preserve"> [</w:t>
      </w:r>
      <w:r w:rsidR="00F260BD" w:rsidRPr="00F260BD">
        <w:rPr>
          <w:bCs/>
          <w:iCs/>
        </w:rPr>
        <w:t>Same denomination in all members of the Union</w:t>
      </w:r>
      <w:r w:rsidRPr="00A02CB3">
        <w:t>]</w:t>
      </w:r>
    </w:p>
    <w:p w:rsidR="0098461A" w:rsidRDefault="0098461A" w:rsidP="0098461A">
      <w:pPr>
        <w:pStyle w:val="ListParagraph"/>
        <w:autoSpaceDE w:val="0"/>
        <w:autoSpaceDN w:val="0"/>
        <w:adjustRightInd w:val="0"/>
        <w:ind w:left="0"/>
        <w:contextualSpacing w:val="0"/>
        <w:rPr>
          <w:szCs w:val="24"/>
          <w:lang w:eastAsia="ja-JP"/>
        </w:rPr>
      </w:pPr>
    </w:p>
    <w:p w:rsidR="00FB2307" w:rsidRDefault="00FB2307" w:rsidP="00FB2307">
      <w:pPr>
        <w:pStyle w:val="ListParagraph"/>
        <w:autoSpaceDE w:val="0"/>
        <w:autoSpaceDN w:val="0"/>
        <w:adjustRightInd w:val="0"/>
        <w:ind w:left="0"/>
        <w:contextualSpacing w:val="0"/>
        <w:rPr>
          <w:lang w:eastAsia="ja-JP"/>
        </w:rPr>
      </w:pPr>
      <w:r w:rsidRPr="0046205D">
        <w:fldChar w:fldCharType="begin"/>
      </w:r>
      <w:r w:rsidRPr="0046205D">
        <w:instrText xml:space="preserve"> AUTONUM  </w:instrText>
      </w:r>
      <w:r w:rsidRPr="0046205D">
        <w:fldChar w:fldCharType="end"/>
      </w:r>
      <w:r w:rsidRPr="0046205D">
        <w:tab/>
      </w:r>
      <w:r>
        <w:t xml:space="preserve">With regard to </w:t>
      </w:r>
      <w:r w:rsidRPr="0046205D">
        <w:rPr>
          <w:lang w:eastAsia="ja-JP"/>
        </w:rPr>
        <w:t xml:space="preserve">Section </w:t>
      </w:r>
      <w:r>
        <w:rPr>
          <w:lang w:eastAsia="ja-JP"/>
        </w:rPr>
        <w:t>5</w:t>
      </w:r>
      <w:r w:rsidRPr="0046205D">
        <w:rPr>
          <w:lang w:eastAsia="ja-JP"/>
        </w:rPr>
        <w:t>.</w:t>
      </w:r>
      <w:r>
        <w:rPr>
          <w:lang w:eastAsia="ja-JP"/>
        </w:rPr>
        <w:t>2</w:t>
      </w:r>
      <w:r w:rsidRPr="0046205D">
        <w:rPr>
          <w:lang w:eastAsia="ja-JP"/>
        </w:rPr>
        <w:t xml:space="preserve"> (</w:t>
      </w:r>
      <w:r>
        <w:rPr>
          <w:lang w:eastAsia="ja-JP"/>
        </w:rPr>
        <w:t>b</w:t>
      </w:r>
      <w:r w:rsidRPr="0046205D">
        <w:rPr>
          <w:lang w:eastAsia="ja-JP"/>
        </w:rPr>
        <w:t>)</w:t>
      </w:r>
      <w:r>
        <w:rPr>
          <w:lang w:eastAsia="ja-JP"/>
        </w:rPr>
        <w:t xml:space="preserve">, </w:t>
      </w:r>
      <w:r>
        <w:t>t</w:t>
      </w:r>
      <w:r w:rsidRPr="0046205D">
        <w:rPr>
          <w:rFonts w:hint="eastAsia"/>
          <w:lang w:eastAsia="ja-JP"/>
        </w:rPr>
        <w:t xml:space="preserve">he WG-DEN agreed </w:t>
      </w:r>
      <w:r>
        <w:rPr>
          <w:lang w:eastAsia="ja-JP"/>
        </w:rPr>
        <w:t xml:space="preserve">that the Office of the Union should </w:t>
      </w:r>
      <w:r w:rsidRPr="00FB2307">
        <w:rPr>
          <w:lang w:eastAsia="ja-JP"/>
        </w:rPr>
        <w:t>prepare a proposal f</w:t>
      </w:r>
      <w:r>
        <w:rPr>
          <w:lang w:eastAsia="ja-JP"/>
        </w:rPr>
        <w:t xml:space="preserve">or </w:t>
      </w:r>
      <w:r w:rsidRPr="004940F3">
        <w:rPr>
          <w:lang w:eastAsia="ja-JP"/>
        </w:rPr>
        <w:t>the fifth meeting of the WG-DEN</w:t>
      </w:r>
      <w:r>
        <w:rPr>
          <w:lang w:eastAsia="ja-JP"/>
        </w:rPr>
        <w:t xml:space="preserve">, </w:t>
      </w:r>
      <w:r w:rsidRPr="00235A41">
        <w:rPr>
          <w:lang w:eastAsia="ja-JP"/>
        </w:rPr>
        <w:t>in order to achieve</w:t>
      </w:r>
      <w:r w:rsidR="00307C06">
        <w:rPr>
          <w:lang w:eastAsia="ja-JP"/>
        </w:rPr>
        <w:t xml:space="preserve"> more realistic</w:t>
      </w:r>
      <w:r w:rsidRPr="00235A41">
        <w:rPr>
          <w:lang w:eastAsia="ja-JP"/>
        </w:rPr>
        <w:t xml:space="preserve"> guidance </w:t>
      </w:r>
      <w:r w:rsidR="00986228">
        <w:rPr>
          <w:lang w:eastAsia="ja-JP"/>
        </w:rPr>
        <w:t>reflecting</w:t>
      </w:r>
      <w:r w:rsidRPr="00235A41">
        <w:rPr>
          <w:lang w:eastAsia="ja-JP"/>
        </w:rPr>
        <w:t xml:space="preserve"> good practices</w:t>
      </w:r>
      <w:r w:rsidR="00307C06">
        <w:rPr>
          <w:lang w:eastAsia="ja-JP"/>
        </w:rPr>
        <w:t xml:space="preserve"> </w:t>
      </w:r>
      <w:r w:rsidR="00451239">
        <w:rPr>
          <w:lang w:eastAsia="ja-JP"/>
        </w:rPr>
        <w:t>by authorities</w:t>
      </w:r>
      <w:r w:rsidRPr="00235A41">
        <w:rPr>
          <w:lang w:eastAsia="ja-JP"/>
        </w:rPr>
        <w:t>.</w:t>
      </w:r>
      <w:r>
        <w:rPr>
          <w:lang w:eastAsia="ja-JP"/>
        </w:rPr>
        <w:t xml:space="preserve"> </w:t>
      </w:r>
    </w:p>
    <w:p w:rsidR="00171EF3" w:rsidRDefault="00171EF3" w:rsidP="00FB2307">
      <w:pPr>
        <w:pStyle w:val="ListParagraph"/>
        <w:autoSpaceDE w:val="0"/>
        <w:autoSpaceDN w:val="0"/>
        <w:adjustRightInd w:val="0"/>
        <w:ind w:left="0"/>
        <w:contextualSpacing w:val="0"/>
        <w:rPr>
          <w:lang w:eastAsia="ja-JP"/>
        </w:rPr>
      </w:pPr>
    </w:p>
    <w:p w:rsidR="00FB2307" w:rsidRDefault="00FB2307" w:rsidP="00FB2307">
      <w:pPr>
        <w:pStyle w:val="ListParagraph"/>
        <w:autoSpaceDE w:val="0"/>
        <w:autoSpaceDN w:val="0"/>
        <w:adjustRightInd w:val="0"/>
        <w:ind w:left="0"/>
        <w:contextualSpacing w:val="0"/>
        <w:rPr>
          <w:lang w:eastAsia="ja-JP"/>
        </w:rPr>
      </w:pPr>
      <w:r w:rsidRPr="00B33176">
        <w:fldChar w:fldCharType="begin"/>
      </w:r>
      <w:r w:rsidRPr="00B33176">
        <w:instrText xml:space="preserve"> AUTONUM  </w:instrText>
      </w:r>
      <w:r w:rsidRPr="00B33176">
        <w:fldChar w:fldCharType="end"/>
      </w:r>
      <w:r w:rsidRPr="00B33176">
        <w:tab/>
        <w:t>T</w:t>
      </w:r>
      <w:r w:rsidRPr="00B33176">
        <w:rPr>
          <w:lang w:eastAsia="ja-JP"/>
        </w:rPr>
        <w:t xml:space="preserve">he WG-DEN </w:t>
      </w:r>
      <w:r w:rsidR="006A51CC" w:rsidRPr="00B33176">
        <w:rPr>
          <w:lang w:eastAsia="ja-JP"/>
        </w:rPr>
        <w:t xml:space="preserve">noted the proposal from New Zealand to provide guidance for </w:t>
      </w:r>
      <w:r w:rsidR="00451239" w:rsidRPr="00B33176">
        <w:rPr>
          <w:lang w:eastAsia="ja-JP"/>
        </w:rPr>
        <w:t>a possible way forward</w:t>
      </w:r>
      <w:r w:rsidR="006A51CC" w:rsidRPr="00B33176">
        <w:rPr>
          <w:lang w:eastAsia="ja-JP"/>
        </w:rPr>
        <w:t xml:space="preserve"> where </w:t>
      </w:r>
      <w:r w:rsidR="000B279D" w:rsidRPr="00B33176">
        <w:rPr>
          <w:lang w:eastAsia="ja-JP"/>
        </w:rPr>
        <w:t xml:space="preserve">several </w:t>
      </w:r>
      <w:r w:rsidR="006A51CC" w:rsidRPr="00B33176">
        <w:rPr>
          <w:lang w:eastAsia="ja-JP"/>
        </w:rPr>
        <w:t xml:space="preserve">denominations </w:t>
      </w:r>
      <w:r w:rsidR="00451239" w:rsidRPr="00B33176">
        <w:rPr>
          <w:lang w:eastAsia="ja-JP"/>
        </w:rPr>
        <w:t xml:space="preserve">for the same variety </w:t>
      </w:r>
      <w:r w:rsidR="006A51CC" w:rsidRPr="00B33176">
        <w:rPr>
          <w:lang w:eastAsia="ja-JP"/>
        </w:rPr>
        <w:t>exist</w:t>
      </w:r>
      <w:r w:rsidR="00451239" w:rsidRPr="00B33176">
        <w:rPr>
          <w:lang w:eastAsia="ja-JP"/>
        </w:rPr>
        <w:t>ed</w:t>
      </w:r>
      <w:r w:rsidR="006A51CC" w:rsidRPr="00B33176">
        <w:rPr>
          <w:lang w:eastAsia="ja-JP"/>
        </w:rPr>
        <w:t xml:space="preserve"> and </w:t>
      </w:r>
      <w:r w:rsidR="003E2BD8" w:rsidRPr="00B33176">
        <w:rPr>
          <w:lang w:eastAsia="ja-JP"/>
        </w:rPr>
        <w:t xml:space="preserve">agreed that </w:t>
      </w:r>
      <w:r w:rsidRPr="00B33176">
        <w:rPr>
          <w:lang w:eastAsia="ja-JP"/>
        </w:rPr>
        <w:t xml:space="preserve">New Zealand </w:t>
      </w:r>
      <w:r w:rsidR="003E2BD8" w:rsidRPr="00B33176">
        <w:rPr>
          <w:lang w:eastAsia="ja-JP"/>
        </w:rPr>
        <w:t>should</w:t>
      </w:r>
      <w:r w:rsidRPr="00B33176">
        <w:rPr>
          <w:szCs w:val="24"/>
          <w:lang w:eastAsia="ja-JP"/>
        </w:rPr>
        <w:t xml:space="preserve"> prepare a proposal</w:t>
      </w:r>
      <w:r w:rsidR="009D5E1A" w:rsidRPr="00B33176">
        <w:rPr>
          <w:szCs w:val="24"/>
          <w:lang w:eastAsia="ja-JP"/>
        </w:rPr>
        <w:t xml:space="preserve"> for </w:t>
      </w:r>
      <w:r w:rsidR="009D5E1A" w:rsidRPr="00B33176">
        <w:rPr>
          <w:lang w:eastAsia="ja-JP"/>
        </w:rPr>
        <w:t>the fifth meeting of the WG</w:t>
      </w:r>
      <w:r w:rsidR="00DC3B6B" w:rsidRPr="00B33176">
        <w:rPr>
          <w:lang w:eastAsia="ja-JP"/>
        </w:rPr>
        <w:t> </w:t>
      </w:r>
      <w:r w:rsidR="009D5E1A" w:rsidRPr="00B33176">
        <w:rPr>
          <w:lang w:eastAsia="ja-JP"/>
        </w:rPr>
        <w:t xml:space="preserve">DEN, </w:t>
      </w:r>
      <w:r w:rsidR="009D5E1A" w:rsidRPr="00B33176">
        <w:rPr>
          <w:szCs w:val="24"/>
          <w:lang w:eastAsia="ja-JP"/>
        </w:rPr>
        <w:t xml:space="preserve">to address the </w:t>
      </w:r>
      <w:r w:rsidR="000B279D" w:rsidRPr="00B33176">
        <w:rPr>
          <w:szCs w:val="24"/>
          <w:lang w:eastAsia="ja-JP"/>
        </w:rPr>
        <w:t xml:space="preserve">above </w:t>
      </w:r>
      <w:r w:rsidR="009D5E1A" w:rsidRPr="00B33176">
        <w:rPr>
          <w:szCs w:val="24"/>
          <w:lang w:eastAsia="ja-JP"/>
        </w:rPr>
        <w:t>situation</w:t>
      </w:r>
      <w:r w:rsidR="000B279D" w:rsidRPr="00B33176">
        <w:rPr>
          <w:szCs w:val="24"/>
          <w:lang w:eastAsia="ja-JP"/>
        </w:rPr>
        <w:t>.</w:t>
      </w:r>
      <w:r>
        <w:rPr>
          <w:lang w:eastAsia="ja-JP"/>
        </w:rPr>
        <w:t xml:space="preserve"> </w:t>
      </w:r>
    </w:p>
    <w:p w:rsidR="00FB2307" w:rsidRDefault="00FB2307" w:rsidP="0098461A">
      <w:pPr>
        <w:pStyle w:val="ListParagraph"/>
        <w:autoSpaceDE w:val="0"/>
        <w:autoSpaceDN w:val="0"/>
        <w:adjustRightInd w:val="0"/>
        <w:ind w:left="0"/>
        <w:contextualSpacing w:val="0"/>
        <w:rPr>
          <w:szCs w:val="24"/>
          <w:lang w:eastAsia="ja-JP"/>
        </w:rPr>
      </w:pPr>
    </w:p>
    <w:p w:rsidR="00FB2307" w:rsidRPr="00A02CB3" w:rsidRDefault="00FB2307" w:rsidP="0098461A">
      <w:pPr>
        <w:pStyle w:val="ListParagraph"/>
        <w:autoSpaceDE w:val="0"/>
        <w:autoSpaceDN w:val="0"/>
        <w:adjustRightInd w:val="0"/>
        <w:ind w:left="0"/>
        <w:contextualSpacing w:val="0"/>
        <w:rPr>
          <w:szCs w:val="24"/>
          <w:lang w:eastAsia="ja-JP"/>
        </w:rPr>
      </w:pPr>
    </w:p>
    <w:p w:rsidR="0098461A" w:rsidRPr="00A02CB3" w:rsidRDefault="0098461A" w:rsidP="00B455AF">
      <w:pPr>
        <w:pStyle w:val="Heading2"/>
      </w:pPr>
      <w:r w:rsidRPr="00A02CB3">
        <w:t xml:space="preserve">Paragraph </w:t>
      </w:r>
      <w:r>
        <w:t>6</w:t>
      </w:r>
      <w:r w:rsidRPr="00A02CB3">
        <w:t xml:space="preserve"> [</w:t>
      </w:r>
      <w:r w:rsidRPr="0098461A">
        <w:t>Information among the authorities of members of the Union</w:t>
      </w:r>
      <w:r w:rsidRPr="00A02CB3">
        <w:t>]</w:t>
      </w:r>
    </w:p>
    <w:p w:rsidR="0098461A" w:rsidRPr="00A02CB3" w:rsidRDefault="0098461A" w:rsidP="00B455AF">
      <w:pPr>
        <w:pStyle w:val="ListParagraph"/>
        <w:keepNext/>
        <w:autoSpaceDE w:val="0"/>
        <w:autoSpaceDN w:val="0"/>
        <w:adjustRightInd w:val="0"/>
        <w:ind w:left="0"/>
        <w:contextualSpacing w:val="0"/>
        <w:rPr>
          <w:szCs w:val="24"/>
          <w:lang w:eastAsia="ja-JP"/>
        </w:rPr>
      </w:pPr>
    </w:p>
    <w:p w:rsidR="0098461A" w:rsidRDefault="0098461A" w:rsidP="00B455AF">
      <w:pPr>
        <w:pStyle w:val="ListParagraph"/>
        <w:keepNext/>
        <w:autoSpaceDE w:val="0"/>
        <w:autoSpaceDN w:val="0"/>
        <w:adjustRightInd w:val="0"/>
        <w:ind w:left="0"/>
        <w:contextualSpacing w:val="0"/>
        <w:rPr>
          <w:lang w:eastAsia="ja-JP"/>
        </w:rPr>
      </w:pPr>
      <w:r w:rsidRPr="007B07B2">
        <w:fldChar w:fldCharType="begin"/>
      </w:r>
      <w:r w:rsidRPr="007B07B2">
        <w:instrText xml:space="preserve"> AUTONUM  </w:instrText>
      </w:r>
      <w:r w:rsidRPr="007B07B2">
        <w:fldChar w:fldCharType="end"/>
      </w:r>
      <w:r w:rsidRPr="007B07B2">
        <w:tab/>
      </w:r>
      <w:r>
        <w:rPr>
          <w:rFonts w:hint="eastAsia"/>
          <w:lang w:eastAsia="ja-JP"/>
        </w:rPr>
        <w:t xml:space="preserve">The WG-DEN agreed to add </w:t>
      </w:r>
      <w:r>
        <w:rPr>
          <w:lang w:eastAsia="ja-JP"/>
        </w:rPr>
        <w:t>a new Section 6.8 to</w:t>
      </w:r>
      <w:r w:rsidR="00DE5C67">
        <w:rPr>
          <w:lang w:eastAsia="ja-JP"/>
        </w:rPr>
        <w:t xml:space="preserve"> read</w:t>
      </w:r>
      <w:r>
        <w:rPr>
          <w:rFonts w:hint="eastAsia"/>
          <w:lang w:eastAsia="ja-JP"/>
        </w:rPr>
        <w:t xml:space="preserve"> as </w:t>
      </w:r>
      <w:r>
        <w:rPr>
          <w:lang w:eastAsia="ja-JP"/>
        </w:rPr>
        <w:t>follows</w:t>
      </w:r>
      <w:r>
        <w:rPr>
          <w:rFonts w:hint="eastAsia"/>
          <w:lang w:eastAsia="ja-JP"/>
        </w:rPr>
        <w:t>:</w:t>
      </w:r>
    </w:p>
    <w:p w:rsidR="0098461A" w:rsidRDefault="0098461A" w:rsidP="00B455AF">
      <w:pPr>
        <w:pStyle w:val="ListParagraph"/>
        <w:keepNext/>
        <w:autoSpaceDE w:val="0"/>
        <w:autoSpaceDN w:val="0"/>
        <w:adjustRightInd w:val="0"/>
        <w:ind w:left="0"/>
        <w:contextualSpacing w:val="0"/>
        <w:rPr>
          <w:lang w:eastAsia="ja-JP"/>
        </w:rPr>
      </w:pPr>
    </w:p>
    <w:p w:rsidR="0098461A" w:rsidRDefault="0098461A" w:rsidP="00A90381">
      <w:pPr>
        <w:pStyle w:val="ListParagraph"/>
        <w:autoSpaceDE w:val="0"/>
        <w:autoSpaceDN w:val="0"/>
        <w:adjustRightInd w:val="0"/>
        <w:spacing w:after="240"/>
        <w:ind w:left="539" w:right="567" w:firstLine="28"/>
        <w:contextualSpacing w:val="0"/>
        <w:rPr>
          <w:lang w:eastAsia="ja-JP"/>
        </w:rPr>
      </w:pPr>
      <w:r>
        <w:rPr>
          <w:lang w:eastAsia="ja-JP"/>
        </w:rPr>
        <w:t>“</w:t>
      </w:r>
      <w:r w:rsidRPr="0098461A">
        <w:rPr>
          <w:sz w:val="18"/>
          <w:lang w:eastAsia="ja-JP"/>
        </w:rPr>
        <w:t>6.8</w:t>
      </w:r>
      <w:r w:rsidRPr="0098461A">
        <w:rPr>
          <w:sz w:val="18"/>
          <w:lang w:eastAsia="ja-JP"/>
        </w:rPr>
        <w:tab/>
        <w:t>The contribution of data by members of the Union to the PLUTO database provides support for the examination of variety denominations.   Members of the Union are encouraged to provide data as soon as practical after it is published by the authority(ies) concerned. The PLUTO database will be updated with new data as quickly as possible after receipt, in accordance with the uploading procedure. The PLUTO database can, as necessary, be updated with corrected data, in accordance with the uploading procedure.</w:t>
      </w:r>
      <w:r w:rsidRPr="003036ED">
        <w:rPr>
          <w:lang w:eastAsia="ja-JP"/>
        </w:rPr>
        <w:t>”</w:t>
      </w:r>
    </w:p>
    <w:p w:rsidR="00753F82" w:rsidRPr="00753F82" w:rsidRDefault="00753F82" w:rsidP="00753F82">
      <w:pPr>
        <w:rPr>
          <w:rFonts w:eastAsia="Times New Roman"/>
        </w:rPr>
      </w:pPr>
      <w:r w:rsidRPr="00753F82">
        <w:rPr>
          <w:rFonts w:eastAsia="Times New Roman"/>
          <w:lang w:eastAsia="ja-JP"/>
        </w:rPr>
        <w:lastRenderedPageBreak/>
        <w:fldChar w:fldCharType="begin"/>
      </w:r>
      <w:r w:rsidRPr="00753F82">
        <w:rPr>
          <w:rFonts w:eastAsia="Times New Roman"/>
          <w:lang w:eastAsia="ja-JP"/>
        </w:rPr>
        <w:instrText xml:space="preserve"> AUTONUM  </w:instrText>
      </w:r>
      <w:r w:rsidRPr="00753F82">
        <w:rPr>
          <w:rFonts w:eastAsia="Times New Roman"/>
          <w:lang w:eastAsia="ja-JP"/>
        </w:rPr>
        <w:fldChar w:fldCharType="end"/>
      </w:r>
      <w:r w:rsidRPr="00753F82">
        <w:rPr>
          <w:rFonts w:eastAsia="Times New Roman"/>
          <w:lang w:eastAsia="ja-JP"/>
        </w:rPr>
        <w:tab/>
      </w:r>
      <w:r w:rsidRPr="00753F82">
        <w:rPr>
          <w:rFonts w:eastAsia="Times New Roman" w:cs="Arial"/>
          <w:lang w:eastAsia="ja-JP"/>
        </w:rPr>
        <w:t xml:space="preserve">The WG-DEN </w:t>
      </w:r>
      <w:r w:rsidRPr="00753F82">
        <w:rPr>
          <w:rFonts w:eastAsia="Times New Roman"/>
          <w:lang w:eastAsia="ja-JP"/>
        </w:rPr>
        <w:t xml:space="preserve">agreed that </w:t>
      </w:r>
      <w:r w:rsidRPr="00753F82">
        <w:rPr>
          <w:rFonts w:eastAsia="Times New Roman"/>
        </w:rPr>
        <w:t xml:space="preserve">the Office of the Union should prepare, for its fifth meeting, a new draft of document </w:t>
      </w:r>
      <w:r w:rsidRPr="00753F82">
        <w:rPr>
          <w:lang w:eastAsia="ja-JP"/>
        </w:rPr>
        <w:t>“</w:t>
      </w:r>
      <w:r w:rsidRPr="00753F82">
        <w:rPr>
          <w:iCs/>
          <w:spacing w:val="-4"/>
        </w:rPr>
        <w:t>Explanatory Notes on Variety Denominations under the UPOV Convention”</w:t>
      </w:r>
      <w:r w:rsidRPr="00753F82">
        <w:rPr>
          <w:rFonts w:hint="eastAsia"/>
          <w:iCs/>
          <w:spacing w:val="-4"/>
          <w:lang w:eastAsia="ja-JP"/>
        </w:rPr>
        <w:t xml:space="preserve">, </w:t>
      </w:r>
      <w:r w:rsidRPr="00753F82">
        <w:rPr>
          <w:iCs/>
          <w:spacing w:val="-4"/>
          <w:lang w:eastAsia="ja-JP"/>
        </w:rPr>
        <w:t>incorporating the proposals that ha</w:t>
      </w:r>
      <w:r w:rsidR="00103649">
        <w:rPr>
          <w:iCs/>
          <w:spacing w:val="-4"/>
          <w:lang w:eastAsia="ja-JP"/>
        </w:rPr>
        <w:t>d</w:t>
      </w:r>
      <w:r w:rsidRPr="00753F82">
        <w:rPr>
          <w:iCs/>
          <w:spacing w:val="-4"/>
          <w:lang w:eastAsia="ja-JP"/>
        </w:rPr>
        <w:t xml:space="preserve"> been agreed by the WG-DEN or ha</w:t>
      </w:r>
      <w:r w:rsidR="00103649">
        <w:rPr>
          <w:iCs/>
          <w:spacing w:val="-4"/>
          <w:lang w:eastAsia="ja-JP"/>
        </w:rPr>
        <w:t>d</w:t>
      </w:r>
      <w:r w:rsidRPr="00753F82">
        <w:rPr>
          <w:iCs/>
          <w:spacing w:val="-4"/>
          <w:lang w:eastAsia="ja-JP"/>
        </w:rPr>
        <w:t xml:space="preserve"> been agreed to be considered further</w:t>
      </w:r>
      <w:r w:rsidRPr="00753F82">
        <w:rPr>
          <w:rFonts w:hint="eastAsia"/>
          <w:lang w:eastAsia="ja-JP"/>
        </w:rPr>
        <w:t>.</w:t>
      </w:r>
    </w:p>
    <w:p w:rsidR="00753F82" w:rsidRPr="00753F82" w:rsidRDefault="00753F82" w:rsidP="00753F82">
      <w:pPr>
        <w:rPr>
          <w:lang w:eastAsia="ja-JP"/>
        </w:rPr>
      </w:pPr>
    </w:p>
    <w:p w:rsidR="00753F82" w:rsidRPr="00753F82" w:rsidRDefault="00753F82" w:rsidP="00753F82">
      <w:pPr>
        <w:rPr>
          <w:rFonts w:eastAsia="Times New Roman"/>
        </w:rPr>
      </w:pPr>
      <w:r w:rsidRPr="00753F82">
        <w:rPr>
          <w:rFonts w:eastAsia="Times New Roman"/>
          <w:lang w:eastAsia="ja-JP"/>
        </w:rPr>
        <w:fldChar w:fldCharType="begin"/>
      </w:r>
      <w:r w:rsidRPr="00753F82">
        <w:rPr>
          <w:rFonts w:eastAsia="Times New Roman"/>
          <w:lang w:eastAsia="ja-JP"/>
        </w:rPr>
        <w:instrText xml:space="preserve"> AUTONUM  </w:instrText>
      </w:r>
      <w:r w:rsidRPr="00753F82">
        <w:rPr>
          <w:rFonts w:eastAsia="Times New Roman"/>
          <w:lang w:eastAsia="ja-JP"/>
        </w:rPr>
        <w:fldChar w:fldCharType="end"/>
      </w:r>
      <w:r w:rsidRPr="00753F82">
        <w:rPr>
          <w:rFonts w:eastAsia="Times New Roman"/>
          <w:lang w:eastAsia="ja-JP"/>
        </w:rPr>
        <w:tab/>
      </w:r>
      <w:r w:rsidRPr="00753F82">
        <w:rPr>
          <w:rFonts w:eastAsia="Times New Roman" w:cs="Arial"/>
          <w:lang w:eastAsia="ja-JP"/>
        </w:rPr>
        <w:t xml:space="preserve">The WG-DEN </w:t>
      </w:r>
      <w:r w:rsidRPr="00753F82">
        <w:rPr>
          <w:rFonts w:eastAsia="Times New Roman"/>
          <w:lang w:eastAsia="ja-JP"/>
        </w:rPr>
        <w:t>agreed to consider this matter at the fifth meeting of the WG-DEN</w:t>
      </w:r>
      <w:r w:rsidRPr="00753F82">
        <w:rPr>
          <w:rFonts w:hint="eastAsia"/>
          <w:lang w:eastAsia="ja-JP"/>
        </w:rPr>
        <w:t>.</w:t>
      </w:r>
    </w:p>
    <w:p w:rsidR="00753F82" w:rsidRDefault="00753F82" w:rsidP="000710A0">
      <w:pPr>
        <w:pStyle w:val="ListParagraph"/>
        <w:autoSpaceDE w:val="0"/>
        <w:autoSpaceDN w:val="0"/>
        <w:adjustRightInd w:val="0"/>
        <w:ind w:left="0"/>
        <w:contextualSpacing w:val="0"/>
        <w:rPr>
          <w:szCs w:val="24"/>
          <w:lang w:eastAsia="ja-JP"/>
        </w:rPr>
      </w:pPr>
    </w:p>
    <w:p w:rsidR="00753F82" w:rsidRDefault="00753F82" w:rsidP="000710A0">
      <w:pPr>
        <w:pStyle w:val="ListParagraph"/>
        <w:autoSpaceDE w:val="0"/>
        <w:autoSpaceDN w:val="0"/>
        <w:adjustRightInd w:val="0"/>
        <w:ind w:left="0"/>
        <w:contextualSpacing w:val="0"/>
        <w:rPr>
          <w:szCs w:val="24"/>
          <w:lang w:eastAsia="ja-JP"/>
        </w:rPr>
      </w:pPr>
    </w:p>
    <w:p w:rsidR="000201F0" w:rsidRPr="00D52109" w:rsidRDefault="000201F0" w:rsidP="00D52109">
      <w:pPr>
        <w:pStyle w:val="Heading1"/>
        <w:rPr>
          <w:snapToGrid w:val="0"/>
        </w:rPr>
      </w:pPr>
      <w:r w:rsidRPr="00D52109">
        <w:rPr>
          <w:snapToGrid w:val="0"/>
        </w:rPr>
        <w:t xml:space="preserve">UPOV </w:t>
      </w:r>
      <w:r w:rsidR="009B7DD3" w:rsidRPr="00D52109">
        <w:rPr>
          <w:snapToGrid w:val="0"/>
        </w:rPr>
        <w:t>Denomination Similarity Search Tool</w:t>
      </w:r>
    </w:p>
    <w:p w:rsidR="000201F0" w:rsidRPr="00D52109" w:rsidRDefault="000201F0" w:rsidP="000201F0">
      <w:pPr>
        <w:pStyle w:val="Heading1"/>
        <w:rPr>
          <w:snapToGrid w:val="0"/>
        </w:rPr>
      </w:pPr>
    </w:p>
    <w:p w:rsidR="00D52109" w:rsidRPr="0065302E" w:rsidRDefault="00D52109" w:rsidP="00D52109">
      <w:r w:rsidRPr="00D52109">
        <w:rPr>
          <w:lang w:eastAsia="ja-JP"/>
        </w:rPr>
        <w:fldChar w:fldCharType="begin"/>
      </w:r>
      <w:r w:rsidRPr="00D52109">
        <w:rPr>
          <w:lang w:eastAsia="ja-JP"/>
        </w:rPr>
        <w:instrText xml:space="preserve"> AUTONUM  </w:instrText>
      </w:r>
      <w:r w:rsidRPr="00D52109">
        <w:rPr>
          <w:lang w:eastAsia="ja-JP"/>
        </w:rPr>
        <w:fldChar w:fldCharType="end"/>
      </w:r>
      <w:r w:rsidRPr="00D52109">
        <w:rPr>
          <w:lang w:eastAsia="ja-JP"/>
        </w:rPr>
        <w:tab/>
      </w:r>
      <w:r>
        <w:rPr>
          <w:rFonts w:cs="Arial"/>
          <w:lang w:eastAsia="ja-JP"/>
        </w:rPr>
        <w:t>T</w:t>
      </w:r>
      <w:r w:rsidRPr="000C3F97">
        <w:rPr>
          <w:rFonts w:cs="Arial"/>
          <w:lang w:eastAsia="ja-JP"/>
        </w:rPr>
        <w:t xml:space="preserve">he </w:t>
      </w:r>
      <w:r w:rsidRPr="008F3A33">
        <w:rPr>
          <w:rFonts w:cs="Arial"/>
          <w:lang w:eastAsia="ja-JP"/>
        </w:rPr>
        <w:t>WG-DEN</w:t>
      </w:r>
      <w:r w:rsidRPr="008F3A33">
        <w:rPr>
          <w:lang w:eastAsia="ja-JP"/>
        </w:rPr>
        <w:t xml:space="preserve"> agreed that matters </w:t>
      </w:r>
      <w:r w:rsidR="00DC3B6B">
        <w:rPr>
          <w:lang w:eastAsia="ja-JP"/>
        </w:rPr>
        <w:t>under</w:t>
      </w:r>
      <w:r w:rsidR="00DC3B6B" w:rsidRPr="008F3A33">
        <w:rPr>
          <w:lang w:eastAsia="ja-JP"/>
        </w:rPr>
        <w:t xml:space="preserve"> </w:t>
      </w:r>
      <w:r w:rsidRPr="008F3A33">
        <w:rPr>
          <w:lang w:eastAsia="ja-JP"/>
        </w:rPr>
        <w:t>agenda item 4 “</w:t>
      </w:r>
      <w:r w:rsidRPr="008F3A33">
        <w:rPr>
          <w:snapToGrid w:val="0"/>
        </w:rPr>
        <w:t>UPOV Denomination Similarity Search Tool</w:t>
      </w:r>
      <w:r w:rsidRPr="008F3A33">
        <w:rPr>
          <w:lang w:eastAsia="ja-JP"/>
        </w:rPr>
        <w:t xml:space="preserve">” </w:t>
      </w:r>
      <w:r w:rsidRPr="0065302E">
        <w:rPr>
          <w:lang w:eastAsia="ja-JP"/>
        </w:rPr>
        <w:t>would be considered at a later meeting on the basis of the document presented at the second meeting</w:t>
      </w:r>
      <w:r w:rsidRPr="0065302E">
        <w:t>.</w:t>
      </w:r>
      <w:r w:rsidR="007E5580" w:rsidRPr="0065302E">
        <w:t xml:space="preserve"> </w:t>
      </w:r>
      <w:r w:rsidR="00DC3B6B">
        <w:t xml:space="preserve"> </w:t>
      </w:r>
      <w:r w:rsidR="007E5580" w:rsidRPr="0065302E">
        <w:t xml:space="preserve">It was agreed that the Office of the Union should propose how to progress the discussion on </w:t>
      </w:r>
      <w:r w:rsidR="00DC3B6B">
        <w:t>these</w:t>
      </w:r>
      <w:r w:rsidR="00DC3B6B" w:rsidRPr="0065302E">
        <w:t xml:space="preserve"> </w:t>
      </w:r>
      <w:r w:rsidR="007E5580" w:rsidRPr="0065302E">
        <w:t>matters at the fifth meeting</w:t>
      </w:r>
      <w:r w:rsidR="0065302E" w:rsidRPr="0065302E">
        <w:t xml:space="preserve"> of the WG-DEN</w:t>
      </w:r>
      <w:r w:rsidR="007E5580" w:rsidRPr="0065302E">
        <w:t>.</w:t>
      </w:r>
      <w:r w:rsidRPr="0065302E">
        <w:rPr>
          <w:rFonts w:hint="eastAsia"/>
        </w:rPr>
        <w:t xml:space="preserve"> </w:t>
      </w:r>
    </w:p>
    <w:p w:rsidR="004F3464" w:rsidRPr="0065302E" w:rsidRDefault="004F3464" w:rsidP="000201F0">
      <w:pPr>
        <w:rPr>
          <w:snapToGrid w:val="0"/>
        </w:rPr>
      </w:pPr>
    </w:p>
    <w:p w:rsidR="000201F0" w:rsidRPr="0065302E" w:rsidRDefault="000201F0" w:rsidP="000201F0">
      <w:pPr>
        <w:rPr>
          <w:snapToGrid w:val="0"/>
        </w:rPr>
      </w:pPr>
    </w:p>
    <w:p w:rsidR="000201F0" w:rsidRPr="0065302E" w:rsidRDefault="000201F0" w:rsidP="00D52109">
      <w:pPr>
        <w:pStyle w:val="Heading1"/>
        <w:rPr>
          <w:snapToGrid w:val="0"/>
        </w:rPr>
      </w:pPr>
      <w:r w:rsidRPr="0065302E">
        <w:rPr>
          <w:snapToGrid w:val="0"/>
        </w:rPr>
        <w:t>Expansion of the content of the PLUTO database</w:t>
      </w:r>
    </w:p>
    <w:p w:rsidR="00D52109" w:rsidRPr="0065302E" w:rsidRDefault="00D52109" w:rsidP="00D52109">
      <w:pPr>
        <w:pStyle w:val="Heading1"/>
        <w:rPr>
          <w:snapToGrid w:val="0"/>
        </w:rPr>
      </w:pPr>
    </w:p>
    <w:p w:rsidR="00D52109" w:rsidRPr="0065302E" w:rsidRDefault="00D52109" w:rsidP="00D52109">
      <w:r w:rsidRPr="0065302E">
        <w:rPr>
          <w:lang w:eastAsia="ja-JP"/>
        </w:rPr>
        <w:fldChar w:fldCharType="begin"/>
      </w:r>
      <w:r w:rsidRPr="0065302E">
        <w:rPr>
          <w:lang w:eastAsia="ja-JP"/>
        </w:rPr>
        <w:instrText xml:space="preserve"> AUTONUM  </w:instrText>
      </w:r>
      <w:r w:rsidRPr="0065302E">
        <w:rPr>
          <w:lang w:eastAsia="ja-JP"/>
        </w:rPr>
        <w:fldChar w:fldCharType="end"/>
      </w:r>
      <w:r w:rsidRPr="0065302E">
        <w:rPr>
          <w:lang w:eastAsia="ja-JP"/>
        </w:rPr>
        <w:tab/>
      </w:r>
      <w:r w:rsidRPr="0065302E">
        <w:rPr>
          <w:rFonts w:cs="Arial"/>
          <w:lang w:eastAsia="ja-JP"/>
        </w:rPr>
        <w:t>The WG-DEN</w:t>
      </w:r>
      <w:r w:rsidRPr="0065302E">
        <w:rPr>
          <w:lang w:eastAsia="ja-JP"/>
        </w:rPr>
        <w:t xml:space="preserve"> agreed that matters </w:t>
      </w:r>
      <w:r w:rsidR="00DC3B6B">
        <w:rPr>
          <w:lang w:eastAsia="ja-JP"/>
        </w:rPr>
        <w:t>under</w:t>
      </w:r>
      <w:r w:rsidR="00DC3B6B" w:rsidRPr="0065302E">
        <w:rPr>
          <w:lang w:eastAsia="ja-JP"/>
        </w:rPr>
        <w:t xml:space="preserve"> </w:t>
      </w:r>
      <w:r w:rsidRPr="0065302E">
        <w:rPr>
          <w:lang w:eastAsia="ja-JP"/>
        </w:rPr>
        <w:t>agenda item 5 “Expansion of the content of the PLUTO database” would be considered at a later meeting on the basis of the document presented at the second meeting</w:t>
      </w:r>
      <w:r w:rsidRPr="0065302E">
        <w:t>.</w:t>
      </w:r>
      <w:r w:rsidR="007E5580" w:rsidRPr="0065302E">
        <w:t xml:space="preserve"> </w:t>
      </w:r>
      <w:r w:rsidR="00DC3B6B">
        <w:t xml:space="preserve"> </w:t>
      </w:r>
      <w:r w:rsidR="007E5580" w:rsidRPr="0065302E">
        <w:t xml:space="preserve">It was agreed that the Office of the Union should propose how to progress the discussion on </w:t>
      </w:r>
      <w:r w:rsidR="00DC3B6B">
        <w:t xml:space="preserve">these </w:t>
      </w:r>
      <w:r w:rsidR="007E5580" w:rsidRPr="0065302E">
        <w:t>matters at the fifth meeting</w:t>
      </w:r>
      <w:r w:rsidR="0065302E" w:rsidRPr="0065302E">
        <w:t xml:space="preserve"> of the WG-DEN</w:t>
      </w:r>
      <w:r w:rsidR="007E5580" w:rsidRPr="0065302E">
        <w:t>.</w:t>
      </w:r>
      <w:r w:rsidRPr="0065302E">
        <w:rPr>
          <w:rFonts w:hint="eastAsia"/>
        </w:rPr>
        <w:t xml:space="preserve">  </w:t>
      </w:r>
    </w:p>
    <w:p w:rsidR="00D52109" w:rsidRPr="0065302E" w:rsidRDefault="00D52109" w:rsidP="00071149">
      <w:pPr>
        <w:rPr>
          <w:snapToGrid w:val="0"/>
        </w:rPr>
      </w:pPr>
    </w:p>
    <w:p w:rsidR="00D52109" w:rsidRPr="0065302E" w:rsidRDefault="00D52109" w:rsidP="00071149">
      <w:pPr>
        <w:rPr>
          <w:snapToGrid w:val="0"/>
        </w:rPr>
      </w:pPr>
    </w:p>
    <w:p w:rsidR="005A3B72" w:rsidRPr="0065302E" w:rsidRDefault="000201F0" w:rsidP="00D52109">
      <w:pPr>
        <w:pStyle w:val="Heading1"/>
        <w:rPr>
          <w:snapToGrid w:val="0"/>
        </w:rPr>
      </w:pPr>
      <w:r w:rsidRPr="0065302E">
        <w:rPr>
          <w:snapToGrid w:val="0"/>
        </w:rPr>
        <w:t>Non-acceptable terms</w:t>
      </w:r>
    </w:p>
    <w:p w:rsidR="005A3B72" w:rsidRPr="0065302E" w:rsidRDefault="005A3B72" w:rsidP="000201F0">
      <w:pPr>
        <w:pStyle w:val="Heading1"/>
        <w:rPr>
          <w:snapToGrid w:val="0"/>
        </w:rPr>
      </w:pPr>
    </w:p>
    <w:p w:rsidR="00D52109" w:rsidRPr="00A90381" w:rsidRDefault="00D52109" w:rsidP="00D52109">
      <w:pPr>
        <w:rPr>
          <w:spacing w:val="-2"/>
        </w:rPr>
      </w:pPr>
      <w:r w:rsidRPr="00A90381">
        <w:rPr>
          <w:spacing w:val="-2"/>
          <w:lang w:eastAsia="ja-JP"/>
        </w:rPr>
        <w:fldChar w:fldCharType="begin"/>
      </w:r>
      <w:r w:rsidRPr="00A90381">
        <w:rPr>
          <w:spacing w:val="-2"/>
          <w:lang w:eastAsia="ja-JP"/>
        </w:rPr>
        <w:instrText xml:space="preserve"> AUTONUM  </w:instrText>
      </w:r>
      <w:r w:rsidRPr="00A90381">
        <w:rPr>
          <w:spacing w:val="-2"/>
          <w:lang w:eastAsia="ja-JP"/>
        </w:rPr>
        <w:fldChar w:fldCharType="end"/>
      </w:r>
      <w:r w:rsidRPr="00A90381">
        <w:rPr>
          <w:spacing w:val="-2"/>
          <w:lang w:eastAsia="ja-JP"/>
        </w:rPr>
        <w:tab/>
      </w:r>
      <w:r w:rsidRPr="00A90381">
        <w:rPr>
          <w:rFonts w:cs="Arial"/>
          <w:spacing w:val="-2"/>
          <w:lang w:eastAsia="ja-JP"/>
        </w:rPr>
        <w:t>The WG-DEN</w:t>
      </w:r>
      <w:r w:rsidRPr="00A90381">
        <w:rPr>
          <w:spacing w:val="-2"/>
          <w:lang w:eastAsia="ja-JP"/>
        </w:rPr>
        <w:t xml:space="preserve"> agreed that matters </w:t>
      </w:r>
      <w:r w:rsidR="00DC3B6B" w:rsidRPr="00A90381">
        <w:rPr>
          <w:spacing w:val="-2"/>
          <w:lang w:eastAsia="ja-JP"/>
        </w:rPr>
        <w:t xml:space="preserve">under </w:t>
      </w:r>
      <w:r w:rsidRPr="00A90381">
        <w:rPr>
          <w:spacing w:val="-2"/>
          <w:lang w:eastAsia="ja-JP"/>
        </w:rPr>
        <w:t>agenda item 6 “Non-acceptable terms” would be considered at a later meeting on the basis of the document presented at the second meeting</w:t>
      </w:r>
      <w:r w:rsidRPr="00A90381">
        <w:rPr>
          <w:spacing w:val="-2"/>
        </w:rPr>
        <w:t>.</w:t>
      </w:r>
      <w:r w:rsidR="007E5580" w:rsidRPr="00A90381">
        <w:rPr>
          <w:spacing w:val="-2"/>
        </w:rPr>
        <w:t xml:space="preserve"> </w:t>
      </w:r>
      <w:r w:rsidR="00DC3B6B" w:rsidRPr="00A90381">
        <w:rPr>
          <w:spacing w:val="-2"/>
        </w:rPr>
        <w:t xml:space="preserve"> </w:t>
      </w:r>
      <w:r w:rsidR="007E5580" w:rsidRPr="00A90381">
        <w:rPr>
          <w:spacing w:val="-2"/>
        </w:rPr>
        <w:t xml:space="preserve">It was agreed that the Office of the Union should propose how to progress the discussion on </w:t>
      </w:r>
      <w:r w:rsidR="00DC3B6B" w:rsidRPr="00A90381">
        <w:rPr>
          <w:spacing w:val="-2"/>
        </w:rPr>
        <w:t xml:space="preserve">these </w:t>
      </w:r>
      <w:r w:rsidR="007E5580" w:rsidRPr="00A90381">
        <w:rPr>
          <w:spacing w:val="-2"/>
        </w:rPr>
        <w:t>matters at the fifth meeting</w:t>
      </w:r>
      <w:r w:rsidR="00A90381" w:rsidRPr="00A90381">
        <w:rPr>
          <w:spacing w:val="-2"/>
        </w:rPr>
        <w:t xml:space="preserve"> of the WG</w:t>
      </w:r>
      <w:r w:rsidR="00A90381" w:rsidRPr="00A90381">
        <w:rPr>
          <w:spacing w:val="-2"/>
        </w:rPr>
        <w:noBreakHyphen/>
      </w:r>
      <w:r w:rsidR="0065302E" w:rsidRPr="00A90381">
        <w:rPr>
          <w:spacing w:val="-2"/>
        </w:rPr>
        <w:t>DEN</w:t>
      </w:r>
      <w:r w:rsidR="007E5580" w:rsidRPr="00A90381">
        <w:rPr>
          <w:spacing w:val="-2"/>
        </w:rPr>
        <w:t>.</w:t>
      </w:r>
      <w:r w:rsidRPr="00A90381">
        <w:rPr>
          <w:rFonts w:hint="eastAsia"/>
          <w:spacing w:val="-2"/>
        </w:rPr>
        <w:t xml:space="preserve">  </w:t>
      </w:r>
    </w:p>
    <w:p w:rsidR="004922CE" w:rsidRDefault="004922CE" w:rsidP="000201F0">
      <w:pPr>
        <w:rPr>
          <w:snapToGrid w:val="0"/>
        </w:rPr>
      </w:pPr>
    </w:p>
    <w:p w:rsidR="007E5580" w:rsidRPr="00C23422" w:rsidRDefault="007E5580" w:rsidP="000201F0">
      <w:pPr>
        <w:rPr>
          <w:snapToGrid w:val="0"/>
        </w:rPr>
      </w:pPr>
    </w:p>
    <w:p w:rsidR="000201F0" w:rsidRPr="005E5D45" w:rsidRDefault="000201F0" w:rsidP="00D52109">
      <w:pPr>
        <w:pStyle w:val="Heading1"/>
        <w:rPr>
          <w:lang w:eastAsia="ja-JP"/>
        </w:rPr>
      </w:pPr>
      <w:r w:rsidRPr="005E5D45">
        <w:rPr>
          <w:lang w:eastAsia="ja-JP"/>
        </w:rPr>
        <w:t>Date</w:t>
      </w:r>
      <w:r>
        <w:rPr>
          <w:lang w:eastAsia="ja-JP"/>
        </w:rPr>
        <w:t xml:space="preserve">, </w:t>
      </w:r>
      <w:r w:rsidR="009B7DD3">
        <w:rPr>
          <w:lang w:eastAsia="ja-JP"/>
        </w:rPr>
        <w:t>place</w:t>
      </w:r>
      <w:r w:rsidR="009B7DD3" w:rsidRPr="005E5D45">
        <w:rPr>
          <w:lang w:eastAsia="ja-JP"/>
        </w:rPr>
        <w:t xml:space="preserve"> </w:t>
      </w:r>
      <w:r w:rsidRPr="005E5D45">
        <w:rPr>
          <w:lang w:eastAsia="ja-JP"/>
        </w:rPr>
        <w:t>and program of the next meeting</w:t>
      </w:r>
    </w:p>
    <w:p w:rsidR="000201F0" w:rsidRPr="005E5D45" w:rsidRDefault="000201F0" w:rsidP="000201F0">
      <w:pPr>
        <w:keepNext/>
        <w:rPr>
          <w:color w:val="000000" w:themeColor="text1"/>
          <w:lang w:eastAsia="ja-JP"/>
        </w:rPr>
      </w:pPr>
    </w:p>
    <w:p w:rsidR="000201F0" w:rsidRPr="005E5D45" w:rsidRDefault="00BC4247" w:rsidP="000201F0">
      <w:pPr>
        <w:rPr>
          <w:color w:val="000000" w:themeColor="text1"/>
          <w:lang w:eastAsia="ja-JP"/>
        </w:rPr>
      </w:pPr>
      <w:r>
        <w:rPr>
          <w:lang w:eastAsia="ja-JP"/>
        </w:rPr>
        <w:fldChar w:fldCharType="begin"/>
      </w:r>
      <w:r>
        <w:rPr>
          <w:lang w:eastAsia="ja-JP"/>
        </w:rPr>
        <w:instrText xml:space="preserve"> AUTONUM  </w:instrText>
      </w:r>
      <w:r>
        <w:rPr>
          <w:lang w:eastAsia="ja-JP"/>
        </w:rPr>
        <w:fldChar w:fldCharType="end"/>
      </w:r>
      <w:r>
        <w:rPr>
          <w:lang w:eastAsia="ja-JP"/>
        </w:rPr>
        <w:tab/>
      </w:r>
      <w:r w:rsidR="000201F0" w:rsidRPr="005E5D45">
        <w:rPr>
          <w:snapToGrid w:val="0"/>
          <w:lang w:eastAsia="ja-JP"/>
        </w:rPr>
        <w:t>T</w:t>
      </w:r>
      <w:r w:rsidR="000201F0" w:rsidRPr="005E5D45">
        <w:rPr>
          <w:rFonts w:cs="Arial"/>
        </w:rPr>
        <w:t xml:space="preserve">he </w:t>
      </w:r>
      <w:r w:rsidR="000201F0" w:rsidRPr="005E5D45">
        <w:rPr>
          <w:rFonts w:cs="Arial"/>
          <w:lang w:eastAsia="ja-JP"/>
        </w:rPr>
        <w:t xml:space="preserve">WG-DEN agreed </w:t>
      </w:r>
      <w:r w:rsidR="000201F0">
        <w:rPr>
          <w:color w:val="000000" w:themeColor="text1"/>
          <w:lang w:eastAsia="ja-JP"/>
        </w:rPr>
        <w:t xml:space="preserve">to hold its </w:t>
      </w:r>
      <w:r w:rsidR="009B7DD3">
        <w:rPr>
          <w:color w:val="000000" w:themeColor="text1"/>
          <w:lang w:eastAsia="ja-JP"/>
        </w:rPr>
        <w:t>f</w:t>
      </w:r>
      <w:r w:rsidR="004922CE">
        <w:rPr>
          <w:color w:val="000000" w:themeColor="text1"/>
          <w:lang w:eastAsia="ja-JP"/>
        </w:rPr>
        <w:t>ifth</w:t>
      </w:r>
      <w:r w:rsidR="009B7DD3">
        <w:rPr>
          <w:color w:val="000000" w:themeColor="text1"/>
          <w:lang w:eastAsia="ja-JP"/>
        </w:rPr>
        <w:t xml:space="preserve"> </w:t>
      </w:r>
      <w:r w:rsidR="000201F0" w:rsidRPr="005E5D45">
        <w:rPr>
          <w:color w:val="000000" w:themeColor="text1"/>
          <w:lang w:eastAsia="ja-JP"/>
        </w:rPr>
        <w:t xml:space="preserve">meeting in </w:t>
      </w:r>
      <w:r>
        <w:rPr>
          <w:color w:val="000000" w:themeColor="text1"/>
          <w:lang w:eastAsia="ja-JP"/>
        </w:rPr>
        <w:t xml:space="preserve">Geneva, in the </w:t>
      </w:r>
      <w:r w:rsidR="00476748">
        <w:rPr>
          <w:color w:val="000000" w:themeColor="text1"/>
          <w:lang w:eastAsia="ja-JP"/>
        </w:rPr>
        <w:t>evening</w:t>
      </w:r>
      <w:r>
        <w:rPr>
          <w:color w:val="000000" w:themeColor="text1"/>
          <w:lang w:eastAsia="ja-JP"/>
        </w:rPr>
        <w:t xml:space="preserve"> of October </w:t>
      </w:r>
      <w:r w:rsidR="004922CE">
        <w:rPr>
          <w:color w:val="000000" w:themeColor="text1"/>
          <w:lang w:eastAsia="ja-JP"/>
        </w:rPr>
        <w:t>30</w:t>
      </w:r>
      <w:r>
        <w:rPr>
          <w:color w:val="000000" w:themeColor="text1"/>
          <w:lang w:eastAsia="ja-JP"/>
        </w:rPr>
        <w:t>, 201</w:t>
      </w:r>
      <w:r w:rsidR="004922CE">
        <w:rPr>
          <w:color w:val="000000" w:themeColor="text1"/>
          <w:lang w:eastAsia="ja-JP"/>
        </w:rPr>
        <w:t>8</w:t>
      </w:r>
      <w:r w:rsidR="000201F0" w:rsidRPr="005E5D45">
        <w:rPr>
          <w:color w:val="000000" w:themeColor="text1"/>
          <w:lang w:eastAsia="ja-JP"/>
        </w:rPr>
        <w:t>.</w:t>
      </w:r>
    </w:p>
    <w:p w:rsidR="000201F0" w:rsidRPr="005E5D45" w:rsidRDefault="000201F0" w:rsidP="000201F0">
      <w:pPr>
        <w:rPr>
          <w:color w:val="000000" w:themeColor="text1"/>
          <w:lang w:eastAsia="ja-JP"/>
        </w:rPr>
      </w:pPr>
    </w:p>
    <w:p w:rsidR="000201F0" w:rsidRPr="005E5D45" w:rsidRDefault="00BC4247" w:rsidP="000201F0">
      <w:pPr>
        <w:rPr>
          <w:color w:val="000000" w:themeColor="text1"/>
          <w:lang w:eastAsia="ja-JP"/>
        </w:rPr>
      </w:pPr>
      <w:r>
        <w:rPr>
          <w:lang w:eastAsia="ja-JP"/>
        </w:rPr>
        <w:fldChar w:fldCharType="begin"/>
      </w:r>
      <w:r>
        <w:rPr>
          <w:lang w:eastAsia="ja-JP"/>
        </w:rPr>
        <w:instrText xml:space="preserve"> AUTONUM  </w:instrText>
      </w:r>
      <w:r>
        <w:rPr>
          <w:lang w:eastAsia="ja-JP"/>
        </w:rPr>
        <w:fldChar w:fldCharType="end"/>
      </w:r>
      <w:r>
        <w:rPr>
          <w:lang w:eastAsia="ja-JP"/>
        </w:rPr>
        <w:tab/>
      </w:r>
      <w:r w:rsidR="000201F0" w:rsidRPr="005E5D45">
        <w:t xml:space="preserve">The following program was agreed for the </w:t>
      </w:r>
      <w:r w:rsidR="007933FE">
        <w:t>f</w:t>
      </w:r>
      <w:r w:rsidR="00476748">
        <w:t>ifth</w:t>
      </w:r>
      <w:r w:rsidR="000201F0" w:rsidRPr="005E5D45">
        <w:t xml:space="preserve"> meeting of the </w:t>
      </w:r>
      <w:r w:rsidR="000201F0" w:rsidRPr="005E5D45">
        <w:rPr>
          <w:rFonts w:cs="Arial"/>
          <w:lang w:eastAsia="ja-JP"/>
        </w:rPr>
        <w:t>WG-DEN:</w:t>
      </w:r>
    </w:p>
    <w:p w:rsidR="000201F0" w:rsidRPr="005E5D45" w:rsidRDefault="000201F0" w:rsidP="00071149">
      <w:pPr>
        <w:rPr>
          <w:lang w:eastAsia="ja-JP"/>
        </w:rPr>
      </w:pPr>
    </w:p>
    <w:p w:rsidR="000201F0" w:rsidRPr="005E5D45" w:rsidRDefault="000201F0" w:rsidP="00071149">
      <w:pPr>
        <w:pStyle w:val="ListParagraph"/>
        <w:numPr>
          <w:ilvl w:val="0"/>
          <w:numId w:val="5"/>
        </w:numPr>
        <w:autoSpaceDE w:val="0"/>
        <w:autoSpaceDN w:val="0"/>
        <w:adjustRightInd w:val="0"/>
        <w:ind w:left="1134" w:hanging="567"/>
        <w:contextualSpacing w:val="0"/>
        <w:jc w:val="left"/>
        <w:rPr>
          <w:szCs w:val="24"/>
        </w:rPr>
      </w:pPr>
      <w:r w:rsidRPr="005E5D45">
        <w:rPr>
          <w:szCs w:val="24"/>
        </w:rPr>
        <w:t xml:space="preserve">Opening of the </w:t>
      </w:r>
      <w:r>
        <w:rPr>
          <w:szCs w:val="24"/>
        </w:rPr>
        <w:t>meeting</w:t>
      </w:r>
    </w:p>
    <w:p w:rsidR="000201F0" w:rsidRPr="005E5D45" w:rsidRDefault="000201F0" w:rsidP="00071149">
      <w:pPr>
        <w:ind w:left="1134" w:hanging="567"/>
      </w:pPr>
    </w:p>
    <w:p w:rsidR="000201F0" w:rsidRPr="005E5D45" w:rsidRDefault="000201F0" w:rsidP="00071149">
      <w:pPr>
        <w:pStyle w:val="ListParagraph"/>
        <w:numPr>
          <w:ilvl w:val="0"/>
          <w:numId w:val="5"/>
        </w:numPr>
        <w:autoSpaceDE w:val="0"/>
        <w:autoSpaceDN w:val="0"/>
        <w:adjustRightInd w:val="0"/>
        <w:ind w:left="1134" w:hanging="567"/>
        <w:contextualSpacing w:val="0"/>
        <w:jc w:val="left"/>
        <w:rPr>
          <w:szCs w:val="24"/>
        </w:rPr>
      </w:pPr>
      <w:r w:rsidRPr="005E5D45">
        <w:rPr>
          <w:szCs w:val="24"/>
        </w:rPr>
        <w:t>Adoption of the agenda</w:t>
      </w:r>
    </w:p>
    <w:p w:rsidR="000201F0" w:rsidRPr="005E5D45" w:rsidRDefault="000201F0" w:rsidP="00071149">
      <w:pPr>
        <w:ind w:left="1134" w:hanging="567"/>
      </w:pPr>
    </w:p>
    <w:p w:rsidR="000201F0" w:rsidRPr="005E5D45" w:rsidRDefault="000201F0" w:rsidP="00071149">
      <w:pPr>
        <w:pStyle w:val="ListParagraph"/>
        <w:numPr>
          <w:ilvl w:val="0"/>
          <w:numId w:val="5"/>
        </w:numPr>
        <w:autoSpaceDE w:val="0"/>
        <w:autoSpaceDN w:val="0"/>
        <w:adjustRightInd w:val="0"/>
        <w:ind w:left="1134" w:hanging="567"/>
        <w:contextualSpacing w:val="0"/>
        <w:rPr>
          <w:szCs w:val="24"/>
          <w:lang w:eastAsia="ja-JP"/>
        </w:rPr>
      </w:pPr>
      <w:r w:rsidRPr="005E5D45">
        <w:rPr>
          <w:szCs w:val="24"/>
          <w:lang w:eastAsia="ja-JP"/>
        </w:rPr>
        <w:t>Revision of document UPOV/INF/12/5 “Explanatory Notes on Variety Denominations under the UPOV Convention”</w:t>
      </w:r>
    </w:p>
    <w:p w:rsidR="000201F0" w:rsidRPr="005E5D45" w:rsidRDefault="000201F0" w:rsidP="00071149">
      <w:pPr>
        <w:ind w:left="1134" w:hanging="567"/>
        <w:rPr>
          <w:lang w:eastAsia="ja-JP"/>
        </w:rPr>
      </w:pPr>
    </w:p>
    <w:p w:rsidR="000201F0" w:rsidRPr="005E5D45" w:rsidRDefault="000201F0" w:rsidP="00071149">
      <w:pPr>
        <w:pStyle w:val="ListParagraph"/>
        <w:numPr>
          <w:ilvl w:val="0"/>
          <w:numId w:val="5"/>
        </w:numPr>
        <w:autoSpaceDE w:val="0"/>
        <w:autoSpaceDN w:val="0"/>
        <w:adjustRightInd w:val="0"/>
        <w:ind w:left="1134" w:hanging="567"/>
        <w:contextualSpacing w:val="0"/>
        <w:jc w:val="left"/>
        <w:rPr>
          <w:szCs w:val="24"/>
        </w:rPr>
      </w:pPr>
      <w:r w:rsidRPr="005E5D45">
        <w:rPr>
          <w:szCs w:val="24"/>
          <w:lang w:eastAsia="ja-JP"/>
        </w:rPr>
        <w:t>UPOV denomination similarity search tool</w:t>
      </w:r>
    </w:p>
    <w:p w:rsidR="000201F0" w:rsidRPr="005E5D45" w:rsidRDefault="000201F0" w:rsidP="00071149">
      <w:pPr>
        <w:autoSpaceDE w:val="0"/>
        <w:autoSpaceDN w:val="0"/>
        <w:adjustRightInd w:val="0"/>
        <w:ind w:left="1134" w:hanging="567"/>
        <w:jc w:val="left"/>
        <w:rPr>
          <w:szCs w:val="24"/>
          <w:lang w:eastAsia="ja-JP"/>
        </w:rPr>
      </w:pPr>
    </w:p>
    <w:p w:rsidR="000201F0" w:rsidRPr="005E5D45" w:rsidRDefault="000201F0" w:rsidP="00071149">
      <w:pPr>
        <w:pStyle w:val="ListParagraph"/>
        <w:numPr>
          <w:ilvl w:val="0"/>
          <w:numId w:val="5"/>
        </w:numPr>
        <w:autoSpaceDE w:val="0"/>
        <w:autoSpaceDN w:val="0"/>
        <w:adjustRightInd w:val="0"/>
        <w:ind w:left="1134" w:hanging="567"/>
        <w:contextualSpacing w:val="0"/>
        <w:jc w:val="left"/>
        <w:rPr>
          <w:szCs w:val="24"/>
        </w:rPr>
      </w:pPr>
      <w:r w:rsidRPr="005E5D45">
        <w:rPr>
          <w:szCs w:val="24"/>
        </w:rPr>
        <w:t>Expansion of the content of the PLUTO database</w:t>
      </w:r>
    </w:p>
    <w:p w:rsidR="000201F0" w:rsidRPr="005E5D45" w:rsidRDefault="000201F0" w:rsidP="00071149">
      <w:pPr>
        <w:ind w:left="1134" w:hanging="567"/>
      </w:pPr>
    </w:p>
    <w:p w:rsidR="000201F0" w:rsidRPr="005E5D45" w:rsidRDefault="000201F0" w:rsidP="00071149">
      <w:pPr>
        <w:pStyle w:val="ListParagraph"/>
        <w:numPr>
          <w:ilvl w:val="0"/>
          <w:numId w:val="5"/>
        </w:numPr>
        <w:autoSpaceDE w:val="0"/>
        <w:autoSpaceDN w:val="0"/>
        <w:adjustRightInd w:val="0"/>
        <w:ind w:left="1134" w:hanging="567"/>
        <w:contextualSpacing w:val="0"/>
        <w:jc w:val="left"/>
        <w:rPr>
          <w:szCs w:val="24"/>
        </w:rPr>
      </w:pPr>
      <w:r w:rsidRPr="005E5D45">
        <w:rPr>
          <w:szCs w:val="24"/>
        </w:rPr>
        <w:t>Non-acceptable terms</w:t>
      </w:r>
    </w:p>
    <w:p w:rsidR="000201F0" w:rsidRPr="005E5D45" w:rsidRDefault="000201F0" w:rsidP="00071149">
      <w:pPr>
        <w:ind w:left="1134" w:hanging="567"/>
        <w:rPr>
          <w:lang w:eastAsia="ja-JP"/>
        </w:rPr>
      </w:pPr>
    </w:p>
    <w:p w:rsidR="000201F0" w:rsidRPr="009E456B" w:rsidRDefault="000201F0" w:rsidP="00071149">
      <w:pPr>
        <w:pStyle w:val="ListParagraph"/>
        <w:numPr>
          <w:ilvl w:val="0"/>
          <w:numId w:val="5"/>
        </w:numPr>
        <w:autoSpaceDE w:val="0"/>
        <w:autoSpaceDN w:val="0"/>
        <w:adjustRightInd w:val="0"/>
        <w:ind w:left="1134" w:hanging="567"/>
        <w:contextualSpacing w:val="0"/>
        <w:jc w:val="left"/>
        <w:rPr>
          <w:szCs w:val="24"/>
          <w:lang w:eastAsia="ja-JP"/>
        </w:rPr>
      </w:pPr>
      <w:r w:rsidRPr="005E5D45">
        <w:t>Date</w:t>
      </w:r>
      <w:r w:rsidRPr="005E5D45">
        <w:rPr>
          <w:lang w:eastAsia="ja-JP"/>
        </w:rPr>
        <w:t>,</w:t>
      </w:r>
      <w:r w:rsidRPr="005E5D45">
        <w:t xml:space="preserve"> place </w:t>
      </w:r>
      <w:r w:rsidRPr="005E5D45">
        <w:rPr>
          <w:lang w:eastAsia="ja-JP"/>
        </w:rPr>
        <w:t xml:space="preserve">and program </w:t>
      </w:r>
      <w:r w:rsidRPr="005E5D45">
        <w:t>of the next meeting</w:t>
      </w:r>
    </w:p>
    <w:p w:rsidR="009E456B" w:rsidRDefault="009E456B" w:rsidP="009E456B">
      <w:pPr>
        <w:autoSpaceDE w:val="0"/>
        <w:autoSpaceDN w:val="0"/>
        <w:adjustRightInd w:val="0"/>
        <w:jc w:val="left"/>
        <w:rPr>
          <w:szCs w:val="24"/>
          <w:lang w:eastAsia="ja-JP"/>
        </w:rPr>
      </w:pPr>
    </w:p>
    <w:p w:rsidR="00A90381" w:rsidRPr="00083A28" w:rsidRDefault="00A90381" w:rsidP="00A90381">
      <w:pPr>
        <w:tabs>
          <w:tab w:val="left" w:pos="4820"/>
          <w:tab w:val="left" w:pos="5387"/>
        </w:tabs>
        <w:rPr>
          <w:i/>
        </w:rPr>
      </w:pPr>
      <w:r>
        <w:tab/>
      </w:r>
      <w:r w:rsidRPr="00083A28">
        <w:rPr>
          <w:i/>
        </w:rPr>
        <w:fldChar w:fldCharType="begin"/>
      </w:r>
      <w:r w:rsidRPr="00083A28">
        <w:rPr>
          <w:i/>
        </w:rPr>
        <w:instrText xml:space="preserve"> AUTONUM  </w:instrText>
      </w:r>
      <w:r w:rsidRPr="00083A28">
        <w:rPr>
          <w:i/>
        </w:rPr>
        <w:fldChar w:fldCharType="end"/>
      </w:r>
      <w:r w:rsidRPr="00083A28">
        <w:rPr>
          <w:i/>
        </w:rPr>
        <w:tab/>
        <w:t>This report was adopted by correspondence.</w:t>
      </w:r>
    </w:p>
    <w:p w:rsidR="009E456B" w:rsidRDefault="009E456B" w:rsidP="009E456B">
      <w:pPr>
        <w:autoSpaceDE w:val="0"/>
        <w:autoSpaceDN w:val="0"/>
        <w:adjustRightInd w:val="0"/>
        <w:jc w:val="left"/>
        <w:rPr>
          <w:szCs w:val="24"/>
          <w:lang w:eastAsia="ja-JP"/>
        </w:rPr>
      </w:pPr>
    </w:p>
    <w:p w:rsidR="009E456B" w:rsidRDefault="009E456B" w:rsidP="009E456B">
      <w:pPr>
        <w:autoSpaceDE w:val="0"/>
        <w:autoSpaceDN w:val="0"/>
        <w:adjustRightInd w:val="0"/>
        <w:jc w:val="left"/>
        <w:rPr>
          <w:szCs w:val="24"/>
          <w:lang w:eastAsia="ja-JP"/>
        </w:rPr>
      </w:pPr>
    </w:p>
    <w:p w:rsidR="00A90381" w:rsidRPr="009E456B" w:rsidRDefault="00A90381" w:rsidP="009E456B">
      <w:pPr>
        <w:autoSpaceDE w:val="0"/>
        <w:autoSpaceDN w:val="0"/>
        <w:adjustRightInd w:val="0"/>
        <w:jc w:val="left"/>
        <w:rPr>
          <w:szCs w:val="24"/>
          <w:lang w:eastAsia="ja-JP"/>
        </w:rPr>
      </w:pPr>
    </w:p>
    <w:p w:rsidR="009E456B" w:rsidRDefault="00E12E60" w:rsidP="00E51AA7">
      <w:pPr>
        <w:jc w:val="right"/>
      </w:pPr>
      <w:r>
        <w:t>[Annexes follow]</w:t>
      </w:r>
    </w:p>
    <w:p w:rsidR="009E456B" w:rsidRDefault="009E456B" w:rsidP="009E456B"/>
    <w:p w:rsidR="001524F7" w:rsidRDefault="001524F7" w:rsidP="009E456B">
      <w:pPr>
        <w:sectPr w:rsidR="001524F7" w:rsidSect="00906DDC">
          <w:headerReference w:type="default" r:id="rId10"/>
          <w:pgSz w:w="11907" w:h="16840" w:code="9"/>
          <w:pgMar w:top="510" w:right="1134" w:bottom="1134" w:left="1134" w:header="510" w:footer="680" w:gutter="0"/>
          <w:cols w:space="720"/>
          <w:titlePg/>
        </w:sectPr>
      </w:pPr>
    </w:p>
    <w:p w:rsidR="000842F7" w:rsidRPr="00C5280D" w:rsidRDefault="00246C00" w:rsidP="00B92599">
      <w:pPr>
        <w:pStyle w:val="Header"/>
        <w:rPr>
          <w:rStyle w:val="PageNumber"/>
          <w:lang w:val="en-US" w:eastAsia="ja-JP"/>
        </w:rPr>
      </w:pPr>
      <w:r>
        <w:rPr>
          <w:rStyle w:val="PageNumber"/>
          <w:lang w:val="en-US"/>
        </w:rPr>
        <w:lastRenderedPageBreak/>
        <w:t>UPOV/WG-DEN/4/3</w:t>
      </w:r>
    </w:p>
    <w:p w:rsidR="000842F7" w:rsidRPr="00C5280D" w:rsidRDefault="000842F7" w:rsidP="00B92599">
      <w:pPr>
        <w:pStyle w:val="Header"/>
        <w:rPr>
          <w:lang w:val="en-US"/>
        </w:rPr>
      </w:pPr>
    </w:p>
    <w:p w:rsidR="000842F7" w:rsidRPr="00EA3FF2" w:rsidRDefault="000842F7" w:rsidP="00B92599">
      <w:pPr>
        <w:jc w:val="center"/>
      </w:pPr>
      <w:r>
        <w:t>ANNEX I</w:t>
      </w:r>
    </w:p>
    <w:p w:rsidR="000842F7" w:rsidRDefault="000842F7" w:rsidP="00B92599">
      <w:pPr>
        <w:jc w:val="center"/>
      </w:pPr>
    </w:p>
    <w:p w:rsidR="000842F7" w:rsidRDefault="000842F7" w:rsidP="00B92599">
      <w:pPr>
        <w:jc w:val="center"/>
      </w:pPr>
    </w:p>
    <w:p w:rsidR="000842F7" w:rsidRDefault="000842F7" w:rsidP="00B92599">
      <w:pPr>
        <w:jc w:val="center"/>
      </w:pPr>
      <w:r>
        <w:t>LIST OF PARTICIPANTS</w:t>
      </w:r>
    </w:p>
    <w:p w:rsidR="00C17331" w:rsidRPr="00556966" w:rsidRDefault="00C17331" w:rsidP="007C2FB3">
      <w:pPr>
        <w:pStyle w:val="plheading"/>
      </w:pPr>
      <w:r w:rsidRPr="00556966">
        <w:t>I. MEMBerS</w:t>
      </w:r>
    </w:p>
    <w:p w:rsidR="00C17331" w:rsidRPr="004D23DE" w:rsidRDefault="00C17331" w:rsidP="007C2FB3">
      <w:pPr>
        <w:pStyle w:val="plcountry"/>
        <w:rPr>
          <w:lang w:val="es-ES_tradnl"/>
        </w:rPr>
      </w:pPr>
      <w:r w:rsidRPr="004D23DE">
        <w:rPr>
          <w:lang w:val="es-ES_tradnl"/>
        </w:rPr>
        <w:t>ARGENTINA</w:t>
      </w:r>
    </w:p>
    <w:p w:rsidR="00C17331" w:rsidRPr="004D23DE" w:rsidRDefault="00C17331" w:rsidP="007C2FB3">
      <w:pPr>
        <w:pStyle w:val="pldetails"/>
        <w:rPr>
          <w:lang w:val="es-ES_tradnl"/>
        </w:rPr>
      </w:pPr>
      <w:r w:rsidRPr="004D23DE">
        <w:rPr>
          <w:lang w:val="es-ES_tradnl"/>
        </w:rPr>
        <w:t>Raimundo LAVIGNOLLE</w:t>
      </w:r>
      <w:r>
        <w:rPr>
          <w:lang w:val="es-ES_tradnl"/>
        </w:rPr>
        <w:t xml:space="preserve"> (Sr.)</w:t>
      </w:r>
      <w:r w:rsidRPr="004D23DE">
        <w:rPr>
          <w:lang w:val="es-ES_tradnl"/>
        </w:rPr>
        <w:t xml:space="preserve">, Presidente del Directorio, Instituto Nacional de Semillas (INASE), </w:t>
      </w:r>
      <w:r>
        <w:rPr>
          <w:lang w:val="es-ES_tradnl"/>
        </w:rPr>
        <w:br/>
      </w:r>
      <w:r w:rsidRPr="004D23DE">
        <w:rPr>
          <w:lang w:val="es-ES_tradnl"/>
        </w:rPr>
        <w:t xml:space="preserve">Secretaría de Agricultura, Ganadería y Pesca, Ministerio de Economía, Buenos Aires  </w:t>
      </w:r>
      <w:r>
        <w:rPr>
          <w:lang w:val="es-ES_tradnl"/>
        </w:rPr>
        <w:br/>
      </w:r>
      <w:r w:rsidRPr="004D23DE">
        <w:rPr>
          <w:lang w:val="es-ES_tradnl"/>
        </w:rPr>
        <w:t xml:space="preserve">(e-mail: rlavignolle@inase.gov.ar) </w:t>
      </w:r>
    </w:p>
    <w:p w:rsidR="00C17331" w:rsidRDefault="00C17331" w:rsidP="007C2FB3">
      <w:pPr>
        <w:pStyle w:val="pldetails"/>
        <w:rPr>
          <w:lang w:val="es-ES_tradnl"/>
        </w:rPr>
      </w:pPr>
      <w:r w:rsidRPr="00F26CA1">
        <w:rPr>
          <w:lang w:val="es-ES_tradnl"/>
        </w:rPr>
        <w:t xml:space="preserve">María Laura VILLAMAYOR (Sra.), Abogada, Unidad Presidencia, </w:t>
      </w:r>
      <w:r w:rsidRPr="004D23DE">
        <w:rPr>
          <w:lang w:val="es-ES_tradnl"/>
        </w:rPr>
        <w:t>Instituto Nacional de Semillas (INASE)</w:t>
      </w:r>
      <w:r>
        <w:rPr>
          <w:lang w:val="es-ES_tradnl"/>
        </w:rPr>
        <w:t xml:space="preserve">, </w:t>
      </w:r>
      <w:r w:rsidRPr="00F26CA1">
        <w:rPr>
          <w:lang w:val="es-ES_tradnl"/>
        </w:rPr>
        <w:t xml:space="preserve">Secretaría de Agricultura, Ganadería y Pesca, Ministerio de Economía, Buenos Aires  </w:t>
      </w:r>
      <w:r>
        <w:rPr>
          <w:lang w:val="es-ES_tradnl"/>
        </w:rPr>
        <w:br/>
      </w:r>
      <w:r w:rsidRPr="00F26CA1">
        <w:rPr>
          <w:lang w:val="es-ES_tradnl"/>
        </w:rPr>
        <w:t xml:space="preserve">(e-mail: </w:t>
      </w:r>
      <w:r w:rsidRPr="003D3CDA">
        <w:rPr>
          <w:lang w:val="es-ES_tradnl"/>
        </w:rPr>
        <w:t xml:space="preserve">mlvillamayor@inase.gov.ar) </w:t>
      </w:r>
    </w:p>
    <w:p w:rsidR="00C17331" w:rsidRPr="004D23DE" w:rsidRDefault="00C17331" w:rsidP="00705429">
      <w:pPr>
        <w:pStyle w:val="plcountry"/>
      </w:pPr>
      <w:r w:rsidRPr="004D23DE">
        <w:t>AUSTRALIA</w:t>
      </w:r>
    </w:p>
    <w:p w:rsidR="00C17331" w:rsidRPr="004D23DE" w:rsidRDefault="00C17331" w:rsidP="00705429">
      <w:pPr>
        <w:pStyle w:val="pldetails"/>
      </w:pPr>
      <w:r w:rsidRPr="004D23DE">
        <w:t>Nik HULSE</w:t>
      </w:r>
      <w:r>
        <w:t xml:space="preserve"> (Mr.)</w:t>
      </w:r>
      <w:r w:rsidRPr="004D23DE">
        <w:t>, Chief of Plant Breeders</w:t>
      </w:r>
      <w:r>
        <w:t>’</w:t>
      </w:r>
      <w:r w:rsidRPr="004D23DE">
        <w:t xml:space="preserve"> Rights, Plant Breeder</w:t>
      </w:r>
      <w:r>
        <w:t>’</w:t>
      </w:r>
      <w:r w:rsidRPr="004D23DE">
        <w:t xml:space="preserve">s Rights Office, IP Australia, Woden </w:t>
      </w:r>
      <w:r>
        <w:br/>
      </w:r>
      <w:r w:rsidRPr="004D23DE">
        <w:t xml:space="preserve">(e-mail: nik.hulse@ipaustralia.gov.au) </w:t>
      </w:r>
    </w:p>
    <w:p w:rsidR="00C17331" w:rsidRPr="00601689" w:rsidRDefault="00C17331" w:rsidP="00601689">
      <w:pPr>
        <w:pStyle w:val="plcountry"/>
        <w:rPr>
          <w:lang w:val="es-ES_tradnl"/>
        </w:rPr>
      </w:pPr>
      <w:r w:rsidRPr="007F5DBB">
        <w:rPr>
          <w:lang w:val="es-ES_tradnl"/>
        </w:rPr>
        <w:t>BOLIVIA (PLURINATIONAL STATE OF)</w:t>
      </w:r>
    </w:p>
    <w:p w:rsidR="00C17331" w:rsidRDefault="00C17331" w:rsidP="00601689">
      <w:pPr>
        <w:pStyle w:val="pldetails"/>
        <w:rPr>
          <w:lang w:val="es-ES_tradnl"/>
        </w:rPr>
      </w:pPr>
      <w:r w:rsidRPr="00601689">
        <w:rPr>
          <w:lang w:val="es-ES_tradnl"/>
        </w:rPr>
        <w:t>Sergio Rider ANDRADE CÁCERES</w:t>
      </w:r>
      <w:r>
        <w:rPr>
          <w:lang w:val="es-ES_tradnl"/>
        </w:rPr>
        <w:t xml:space="preserve"> (Sr.)</w:t>
      </w:r>
      <w:r w:rsidRPr="00601689">
        <w:rPr>
          <w:lang w:val="es-ES_tradnl"/>
        </w:rPr>
        <w:t xml:space="preserve">, Director Nacional de Semillas, Instituto Nacional de Innovación Agropecuaria y Forestal (INIAF), La Paz </w:t>
      </w:r>
      <w:r>
        <w:rPr>
          <w:lang w:val="es-ES_tradnl"/>
        </w:rPr>
        <w:br/>
      </w:r>
      <w:r w:rsidRPr="00601689">
        <w:rPr>
          <w:lang w:val="es-ES_tradnl"/>
        </w:rPr>
        <w:t xml:space="preserve">(e-mail: </w:t>
      </w:r>
      <w:r w:rsidRPr="006E137A">
        <w:rPr>
          <w:lang w:val="es-ES_tradnl"/>
        </w:rPr>
        <w:t>rideran@yahoo.es</w:t>
      </w:r>
      <w:r w:rsidRPr="00601689">
        <w:rPr>
          <w:lang w:val="es-ES_tradnl"/>
        </w:rPr>
        <w:t xml:space="preserve">) </w:t>
      </w:r>
    </w:p>
    <w:p w:rsidR="00C17331" w:rsidRDefault="00C17331" w:rsidP="00601689">
      <w:pPr>
        <w:pStyle w:val="pldetails"/>
        <w:rPr>
          <w:lang w:val="es-ES_tradnl"/>
        </w:rPr>
      </w:pPr>
      <w:r w:rsidRPr="00601689">
        <w:rPr>
          <w:lang w:val="es-ES_tradnl"/>
        </w:rPr>
        <w:t>Freddy CABALLERO LEDEZMA</w:t>
      </w:r>
      <w:r>
        <w:rPr>
          <w:lang w:val="es-ES_tradnl"/>
        </w:rPr>
        <w:t xml:space="preserve"> (Sr.)</w:t>
      </w:r>
      <w:r w:rsidRPr="00601689">
        <w:rPr>
          <w:lang w:val="es-ES_tradnl"/>
        </w:rPr>
        <w:t xml:space="preserve">, Responsable de la Unidad de Fiscalización y Registro de Semillas, Registros y protección de Variedades Vegetales, Instituto Nacional de Innovación Agropecuaria y Forestal (INIAF), La Paz </w:t>
      </w:r>
      <w:r>
        <w:rPr>
          <w:lang w:val="es-ES_tradnl"/>
        </w:rPr>
        <w:br/>
      </w:r>
      <w:r w:rsidRPr="00601689">
        <w:rPr>
          <w:lang w:val="es-ES_tradnl"/>
        </w:rPr>
        <w:t xml:space="preserve">(e-mail: </w:t>
      </w:r>
      <w:r w:rsidRPr="006E137A">
        <w:rPr>
          <w:lang w:val="es-ES_tradnl"/>
        </w:rPr>
        <w:t>calefred@yahoo.es</w:t>
      </w:r>
      <w:r w:rsidRPr="00601689">
        <w:rPr>
          <w:lang w:val="es-ES_tradnl"/>
        </w:rPr>
        <w:t>)</w:t>
      </w:r>
    </w:p>
    <w:p w:rsidR="00C17331" w:rsidRPr="00C81650" w:rsidRDefault="00C17331" w:rsidP="007C2FB3">
      <w:pPr>
        <w:pStyle w:val="plcountry"/>
        <w:rPr>
          <w:lang w:val="es-ES"/>
        </w:rPr>
      </w:pPr>
      <w:r w:rsidRPr="00C81650">
        <w:rPr>
          <w:lang w:val="es-ES"/>
        </w:rPr>
        <w:t>BRAZIL</w:t>
      </w:r>
    </w:p>
    <w:p w:rsidR="00C17331" w:rsidRPr="004D00EE" w:rsidRDefault="00C17331" w:rsidP="007C2FB3">
      <w:pPr>
        <w:pStyle w:val="pldetails"/>
      </w:pPr>
      <w:r w:rsidRPr="00C81650">
        <w:rPr>
          <w:lang w:val="es-ES"/>
        </w:rPr>
        <w:t>Ricardo ZANATTA MACHADO</w:t>
      </w:r>
      <w:r>
        <w:rPr>
          <w:lang w:val="es-ES"/>
        </w:rPr>
        <w:t xml:space="preserve"> (Sr.)</w:t>
      </w:r>
      <w:r w:rsidRPr="00C81650">
        <w:rPr>
          <w:lang w:val="es-ES"/>
        </w:rPr>
        <w:t>, Fiscal Federal Agropecuário, Coordinador do SNPC, Serviço Nacional de Proteção de Cultivares (SNPC), M</w:t>
      </w:r>
      <w:r w:rsidRPr="004D23DE">
        <w:rPr>
          <w:lang w:val="es-ES_tradnl"/>
        </w:rPr>
        <w:t xml:space="preserve">inistério da Agricultura, Pecuária e Abastecimento, Brasilia , D.F. </w:t>
      </w:r>
      <w:r>
        <w:rPr>
          <w:lang w:val="es-ES_tradnl"/>
        </w:rPr>
        <w:br/>
      </w:r>
      <w:r w:rsidRPr="004D00EE">
        <w:t xml:space="preserve">(e-mail: ricardo.machado@agricultura.gov.br) </w:t>
      </w:r>
    </w:p>
    <w:p w:rsidR="00C17331" w:rsidRPr="004D00EE" w:rsidRDefault="00C17331" w:rsidP="007C2FB3">
      <w:pPr>
        <w:pStyle w:val="plcountry"/>
      </w:pPr>
      <w:r w:rsidRPr="004D00EE">
        <w:t>CANADA</w:t>
      </w:r>
    </w:p>
    <w:p w:rsidR="00C17331" w:rsidRPr="004D23DE" w:rsidRDefault="00C17331" w:rsidP="007C2FB3">
      <w:pPr>
        <w:pStyle w:val="pldetails"/>
      </w:pPr>
      <w:r w:rsidRPr="0055763C">
        <w:t>Anthony PARKER (Mr.), Commissioner, Plant Breeders</w:t>
      </w:r>
      <w:r>
        <w:t>’</w:t>
      </w:r>
      <w:r w:rsidRPr="0055763C">
        <w:t xml:space="preserve"> Rights Office, Canadian Food Inspection Agency (CFIA), Ottawa </w:t>
      </w:r>
      <w:r w:rsidRPr="0055763C">
        <w:br/>
        <w:t>(e-mail: anthony.parker@inspection.gc.ca)</w:t>
      </w:r>
      <w:r w:rsidRPr="004D23DE">
        <w:t xml:space="preserve"> </w:t>
      </w:r>
    </w:p>
    <w:p w:rsidR="00C17331" w:rsidRPr="0055763C" w:rsidRDefault="00C17331" w:rsidP="0055763C">
      <w:pPr>
        <w:pStyle w:val="pldetails"/>
      </w:pPr>
      <w:r>
        <w:t>Jennifer ROACH (Ms.), Examiner, Plant Breeders’ Rights Office, Canadian Food Inspection Agency (CFIA), Ottawa</w:t>
      </w:r>
      <w:r>
        <w:br/>
        <w:t>(e-</w:t>
      </w:r>
      <w:r w:rsidRPr="0055763C">
        <w:t>mail: Jennifer.Roach@inspection.gc.ca</w:t>
      </w:r>
      <w:r>
        <w:t>)</w:t>
      </w:r>
      <w:r w:rsidRPr="0055763C">
        <w:t xml:space="preserve"> </w:t>
      </w:r>
    </w:p>
    <w:p w:rsidR="00C17331" w:rsidRPr="00D5606A" w:rsidRDefault="00C17331" w:rsidP="007C2FB3">
      <w:pPr>
        <w:pStyle w:val="plcountry"/>
        <w:rPr>
          <w:lang w:val="es-ES_tradnl"/>
        </w:rPr>
      </w:pPr>
      <w:r w:rsidRPr="00D5606A">
        <w:rPr>
          <w:lang w:val="es-ES_tradnl"/>
        </w:rPr>
        <w:t>CHILE</w:t>
      </w:r>
    </w:p>
    <w:p w:rsidR="00C17331" w:rsidRDefault="00C17331" w:rsidP="00D43CEF">
      <w:pPr>
        <w:pStyle w:val="pldetails"/>
        <w:rPr>
          <w:lang w:val="es-ES_tradnl"/>
        </w:rPr>
      </w:pPr>
      <w:r w:rsidRPr="00D5606A">
        <w:rPr>
          <w:lang w:val="es-ES_tradnl"/>
        </w:rPr>
        <w:t>Manuel Antonio TORO UGALDE (Sr.), Jefe Sub Departamento, Registro de Variedades Protegidas, Divis</w:t>
      </w:r>
      <w:r w:rsidRPr="00D43CEF">
        <w:rPr>
          <w:lang w:val="es-ES_tradnl"/>
        </w:rPr>
        <w:t xml:space="preserve">ión Semillas, Servicio Agrícola y Ganadero (SAG), Santiago de Chile </w:t>
      </w:r>
      <w:r>
        <w:rPr>
          <w:lang w:val="es-ES_tradnl"/>
        </w:rPr>
        <w:br/>
      </w:r>
      <w:r w:rsidRPr="00D43CEF">
        <w:rPr>
          <w:lang w:val="es-ES_tradnl"/>
        </w:rPr>
        <w:t xml:space="preserve">(e-mail: </w:t>
      </w:r>
      <w:r w:rsidRPr="00DC63AB">
        <w:rPr>
          <w:lang w:val="es-ES_tradnl"/>
        </w:rPr>
        <w:t>manuel.toro@sag.gob.cl</w:t>
      </w:r>
      <w:r w:rsidRPr="00D43CEF">
        <w:rPr>
          <w:lang w:val="es-ES_tradnl"/>
        </w:rPr>
        <w:t>)</w:t>
      </w:r>
    </w:p>
    <w:p w:rsidR="00C17331" w:rsidRPr="004D23DE" w:rsidRDefault="00C17331" w:rsidP="00DC63AB">
      <w:pPr>
        <w:pStyle w:val="pldetails"/>
        <w:rPr>
          <w:lang w:val="es-ES_tradnl"/>
        </w:rPr>
      </w:pPr>
      <w:r w:rsidRPr="004D23DE">
        <w:rPr>
          <w:lang w:val="es-ES_tradnl"/>
        </w:rPr>
        <w:t>Natalia SOTOMAYOR CABRERA (Sra.), Abogado, Departamento de Asesoría Jurí</w:t>
      </w:r>
      <w:r>
        <w:rPr>
          <w:lang w:val="es-ES_tradnl"/>
        </w:rPr>
        <w:t>dica, Oficina de Estudios y Polí</w:t>
      </w:r>
      <w:r w:rsidRPr="004D23DE">
        <w:rPr>
          <w:lang w:val="es-ES_tradnl"/>
        </w:rPr>
        <w:t xml:space="preserve">ticas Agrarias (ODEPA), Santiago de Chile  </w:t>
      </w:r>
      <w:r>
        <w:rPr>
          <w:lang w:val="es-ES_tradnl"/>
        </w:rPr>
        <w:br/>
      </w:r>
      <w:r w:rsidRPr="004D23DE">
        <w:rPr>
          <w:lang w:val="es-ES_tradnl"/>
        </w:rPr>
        <w:t xml:space="preserve">(e-mail: nsotomayor@odepa.gob.cl) </w:t>
      </w:r>
    </w:p>
    <w:p w:rsidR="00C17331" w:rsidRPr="004D23DE" w:rsidRDefault="00C17331" w:rsidP="007C2FB3">
      <w:pPr>
        <w:pStyle w:val="plcountry"/>
      </w:pPr>
      <w:r w:rsidRPr="004D23DE">
        <w:t>CHINA</w:t>
      </w:r>
    </w:p>
    <w:p w:rsidR="00C17331" w:rsidRPr="00F45E2A" w:rsidRDefault="00C17331" w:rsidP="007C2FB3">
      <w:pPr>
        <w:pStyle w:val="pldetails"/>
      </w:pPr>
      <w:r w:rsidRPr="004D23DE">
        <w:t>Wenjun CHEN</w:t>
      </w:r>
      <w:r>
        <w:t xml:space="preserve"> (Mr.)</w:t>
      </w:r>
      <w:r w:rsidRPr="004D23DE">
        <w:t xml:space="preserve">, Project Officer, State Intellectual Property Office, </w:t>
      </w:r>
      <w:r w:rsidRPr="00F45E2A">
        <w:t xml:space="preserve">Beijing </w:t>
      </w:r>
      <w:r>
        <w:br/>
      </w:r>
      <w:r w:rsidRPr="00F45E2A">
        <w:t xml:space="preserve">(e-mail: chenwenjun@sipo.gov.cn) </w:t>
      </w:r>
    </w:p>
    <w:p w:rsidR="00C17331" w:rsidRPr="004D23DE" w:rsidRDefault="00C17331" w:rsidP="00107CCB">
      <w:pPr>
        <w:pStyle w:val="pldetails"/>
      </w:pPr>
      <w:r w:rsidRPr="00107CCB">
        <w:t>Yuanyuan</w:t>
      </w:r>
      <w:r>
        <w:t xml:space="preserve"> </w:t>
      </w:r>
      <w:r w:rsidRPr="00107CCB">
        <w:t>DU</w:t>
      </w:r>
      <w:r>
        <w:t xml:space="preserve"> (Mr.)</w:t>
      </w:r>
      <w:r w:rsidRPr="00107CCB">
        <w:t xml:space="preserve">, Senior Examiner, Division of PVP Examination, Development Center of Science and Technology, Ministry of Agriculture, Beijing </w:t>
      </w:r>
      <w:r>
        <w:br/>
      </w:r>
      <w:r w:rsidRPr="00107CCB">
        <w:t>(e-mail: duyuanyuan8@yahoo.com.cn)</w:t>
      </w:r>
      <w:r w:rsidRPr="004D23DE">
        <w:t xml:space="preserve"> </w:t>
      </w:r>
    </w:p>
    <w:p w:rsidR="00C17331" w:rsidRPr="004D23DE" w:rsidRDefault="00C17331" w:rsidP="007C2FB3">
      <w:pPr>
        <w:pStyle w:val="plcountry"/>
        <w:rPr>
          <w:lang w:val="es-ES_tradnl"/>
        </w:rPr>
      </w:pPr>
      <w:r>
        <w:rPr>
          <w:lang w:val="es-ES_tradnl"/>
        </w:rPr>
        <w:lastRenderedPageBreak/>
        <w:t>COLOMBIA</w:t>
      </w:r>
    </w:p>
    <w:p w:rsidR="00C17331" w:rsidRPr="00C81650" w:rsidRDefault="00C17331" w:rsidP="007C2FB3">
      <w:pPr>
        <w:pStyle w:val="pldetails"/>
        <w:rPr>
          <w:lang w:val="es-ES"/>
        </w:rPr>
      </w:pPr>
      <w:r w:rsidRPr="004D23DE">
        <w:rPr>
          <w:lang w:val="es-ES_tradnl"/>
        </w:rPr>
        <w:t xml:space="preserve">Ana Luisa DÍAZ JIMÉNEZ (Sra.), Directora, Dirección Técnica de Semillas, Instituto Colombiano Agropecuario (ICA), Bogotá D.C. </w:t>
      </w:r>
      <w:r>
        <w:rPr>
          <w:lang w:val="es-ES_tradnl"/>
        </w:rPr>
        <w:br/>
      </w:r>
      <w:r w:rsidRPr="00C81650">
        <w:rPr>
          <w:lang w:val="es-ES"/>
        </w:rPr>
        <w:t xml:space="preserve">(e-mail: </w:t>
      </w:r>
      <w:r w:rsidRPr="0056553C">
        <w:rPr>
          <w:lang w:val="es-ES"/>
        </w:rPr>
        <w:t>analuisadiazj@gmail.com</w:t>
      </w:r>
      <w:r>
        <w:rPr>
          <w:lang w:val="es-ES"/>
        </w:rPr>
        <w:t>; ana.diaz@ica.gov.co)</w:t>
      </w:r>
      <w:r w:rsidRPr="00C81650">
        <w:rPr>
          <w:lang w:val="es-ES"/>
        </w:rPr>
        <w:t xml:space="preserve">  </w:t>
      </w:r>
    </w:p>
    <w:p w:rsidR="00C17331" w:rsidRPr="00104B52" w:rsidRDefault="00C17331" w:rsidP="00062CDD">
      <w:pPr>
        <w:pStyle w:val="pldetails"/>
        <w:rPr>
          <w:lang w:val="es-ES_tradnl"/>
        </w:rPr>
      </w:pPr>
      <w:r w:rsidRPr="0020794D">
        <w:rPr>
          <w:lang w:val="es-ES_tradnl"/>
        </w:rPr>
        <w:t>Alfonso Alberto ROSERO (Sr.), Profesional especializado/Ingeniero agronomo, Dirección Técnica de Semillas, Instituto Colombiano Agropecuario (ICA), Bogotá D.C.</w:t>
      </w:r>
      <w:r w:rsidRPr="0020794D">
        <w:rPr>
          <w:lang w:val="es-ES_tradnl"/>
        </w:rPr>
        <w:br/>
        <w:t>(e-mail: alberto.rosero@ica.gov.co)</w:t>
      </w:r>
    </w:p>
    <w:p w:rsidR="00C17331" w:rsidRPr="0019003B" w:rsidRDefault="00C17331" w:rsidP="007C2FB3">
      <w:pPr>
        <w:pStyle w:val="plcountry"/>
      </w:pPr>
      <w:r w:rsidRPr="0019003B">
        <w:t>ESTONIA</w:t>
      </w:r>
    </w:p>
    <w:p w:rsidR="00C17331" w:rsidRDefault="00C17331" w:rsidP="007C2FB3">
      <w:pPr>
        <w:pStyle w:val="pldetails"/>
      </w:pPr>
      <w:r w:rsidRPr="004D23DE">
        <w:t xml:space="preserve">Laima PUUR (Ms.), Head, Variety Department, Estonian Agricultural Board, </w:t>
      </w:r>
      <w:r w:rsidRPr="00F45E2A">
        <w:t xml:space="preserve">Viljandi  </w:t>
      </w:r>
      <w:r w:rsidRPr="00F45E2A">
        <w:br/>
        <w:t xml:space="preserve">(e-mail: laima.puur@pma.agri.ee) </w:t>
      </w:r>
    </w:p>
    <w:p w:rsidR="00C17331" w:rsidRPr="00F45E2A" w:rsidRDefault="00C17331" w:rsidP="007C2FB3">
      <w:pPr>
        <w:pStyle w:val="pldetails"/>
      </w:pPr>
      <w:r w:rsidRPr="004D23DE">
        <w:t xml:space="preserve">Kristiina DIGRYTE (Ms.), Adviser, Plant Health Department, Tallinn  </w:t>
      </w:r>
      <w:r>
        <w:br/>
      </w:r>
      <w:r w:rsidRPr="004D23DE">
        <w:t>(e-</w:t>
      </w:r>
      <w:r w:rsidRPr="00F45E2A">
        <w:t xml:space="preserve">mail: kristiina.digryte@agri.ee) </w:t>
      </w:r>
    </w:p>
    <w:p w:rsidR="00C17331" w:rsidRDefault="00C17331" w:rsidP="00E228CD">
      <w:pPr>
        <w:pStyle w:val="pldetails"/>
      </w:pPr>
      <w:r w:rsidRPr="00B319B6">
        <w:t xml:space="preserve">Anu NEMVALTS (Ms.), Head of Department, Organic Farming and Seed Department, Saku </w:t>
      </w:r>
      <w:r>
        <w:br/>
      </w:r>
      <w:r w:rsidRPr="00B319B6">
        <w:t>(e-</w:t>
      </w:r>
      <w:r w:rsidRPr="00E228CD">
        <w:t xml:space="preserve">mail: </w:t>
      </w:r>
      <w:r w:rsidRPr="008319A6">
        <w:t>anu.nemvalts@pma.agri.ee</w:t>
      </w:r>
      <w:r w:rsidRPr="00E228CD">
        <w:t>)</w:t>
      </w:r>
    </w:p>
    <w:p w:rsidR="00C17331" w:rsidRPr="00A959F2" w:rsidRDefault="00C17331" w:rsidP="008319A6">
      <w:pPr>
        <w:pStyle w:val="plcountry"/>
      </w:pPr>
      <w:r w:rsidRPr="00A959F2">
        <w:t>EUROPEAN UNION</w:t>
      </w:r>
    </w:p>
    <w:p w:rsidR="00C17331" w:rsidRPr="00F45E2A" w:rsidRDefault="00C17331" w:rsidP="008319A6">
      <w:pPr>
        <w:pStyle w:val="pldetails"/>
      </w:pPr>
      <w:r w:rsidRPr="004D23DE">
        <w:t xml:space="preserve">Kristiina DIGRYTE (Ms.), Adviser, Plant Health Department, Tallinn  </w:t>
      </w:r>
      <w:r>
        <w:br/>
      </w:r>
      <w:r w:rsidRPr="004D23DE">
        <w:t>(e-</w:t>
      </w:r>
      <w:r w:rsidRPr="00F45E2A">
        <w:t xml:space="preserve">mail: kristiina.digryte@agri.ee) </w:t>
      </w:r>
    </w:p>
    <w:p w:rsidR="00C17331" w:rsidRPr="00A37CDF" w:rsidRDefault="00C17331" w:rsidP="008319A6">
      <w:pPr>
        <w:pStyle w:val="pldetails"/>
      </w:pPr>
      <w:r w:rsidRPr="002F4AA4">
        <w:t>Jean MAISON</w:t>
      </w:r>
      <w:r>
        <w:t xml:space="preserve"> (Mr.)</w:t>
      </w:r>
      <w:r w:rsidRPr="002F4AA4">
        <w:t xml:space="preserve">, Deputy Head, Technical Unit, Community Plant Variety Office (CPVO), Angers </w:t>
      </w:r>
      <w:r>
        <w:br/>
      </w:r>
      <w:r w:rsidRPr="002F4AA4">
        <w:t>(e-mail: maison@cpvo.europa.eu)</w:t>
      </w:r>
    </w:p>
    <w:p w:rsidR="00C17331" w:rsidRDefault="00C17331" w:rsidP="008319A6">
      <w:pPr>
        <w:pStyle w:val="pldetails"/>
      </w:pPr>
      <w:r w:rsidRPr="002F4AA4">
        <w:t>Bénédicte LEGRAND (M</w:t>
      </w:r>
      <w:r>
        <w:t>s.)</w:t>
      </w:r>
      <w:r w:rsidRPr="002F4AA4">
        <w:t xml:space="preserve">, Variety Denomination service, Community Plant Variety Office (CPVO), Angers </w:t>
      </w:r>
      <w:r>
        <w:br/>
      </w:r>
      <w:r w:rsidRPr="002F4AA4">
        <w:t xml:space="preserve">(e-mail: Legrand@cpvo.europa.eu) </w:t>
      </w:r>
    </w:p>
    <w:p w:rsidR="00C17331" w:rsidRPr="00A959F2" w:rsidRDefault="00C17331" w:rsidP="008319A6">
      <w:pPr>
        <w:pStyle w:val="plcountry"/>
        <w:rPr>
          <w:lang w:val="fr-CH"/>
        </w:rPr>
      </w:pPr>
      <w:r w:rsidRPr="00565AF6">
        <w:rPr>
          <w:lang w:val="fr-CH"/>
        </w:rPr>
        <w:t>FRANCE</w:t>
      </w:r>
    </w:p>
    <w:p w:rsidR="00C17331" w:rsidRPr="00A959F2" w:rsidRDefault="00C17331" w:rsidP="008319A6">
      <w:pPr>
        <w:pStyle w:val="pldetails"/>
        <w:rPr>
          <w:lang w:val="fr-CH"/>
        </w:rPr>
      </w:pPr>
      <w:r w:rsidRPr="00A959F2">
        <w:rPr>
          <w:lang w:val="fr-CH"/>
        </w:rPr>
        <w:t>Yvane MERESSE</w:t>
      </w:r>
      <w:r>
        <w:rPr>
          <w:lang w:val="fr-CH"/>
        </w:rPr>
        <w:t xml:space="preserve"> (Mme)</w:t>
      </w:r>
      <w:r w:rsidRPr="00A959F2">
        <w:rPr>
          <w:lang w:val="fr-CH"/>
        </w:rPr>
        <w:t>, Responsable juridique / Legal Expert, Groupe d</w:t>
      </w:r>
      <w:r>
        <w:rPr>
          <w:lang w:val="fr-CH"/>
        </w:rPr>
        <w:t>’</w:t>
      </w:r>
      <w:r w:rsidRPr="00A959F2">
        <w:rPr>
          <w:lang w:val="fr-CH"/>
        </w:rPr>
        <w:t xml:space="preserve">Etude et de Contrôle des Variétés et des Semences (GEVES), Beaucouzé </w:t>
      </w:r>
      <w:r>
        <w:rPr>
          <w:lang w:val="fr-CH"/>
        </w:rPr>
        <w:br/>
      </w:r>
      <w:r w:rsidRPr="00A959F2">
        <w:rPr>
          <w:lang w:val="fr-CH"/>
        </w:rPr>
        <w:t xml:space="preserve">(e-mail: yvane.meresse@geves.fr) </w:t>
      </w:r>
    </w:p>
    <w:p w:rsidR="00C17331" w:rsidRPr="009D0F71" w:rsidRDefault="00C17331" w:rsidP="007C2FB3">
      <w:pPr>
        <w:pStyle w:val="plcountry"/>
      </w:pPr>
      <w:r w:rsidRPr="009D0F71">
        <w:t>JAPAN</w:t>
      </w:r>
    </w:p>
    <w:p w:rsidR="00C17331" w:rsidRDefault="00C17331" w:rsidP="00680F15">
      <w:pPr>
        <w:pStyle w:val="pldetails"/>
      </w:pPr>
      <w:r w:rsidRPr="00C61381">
        <w:t>Atsuhiro MENO</w:t>
      </w:r>
      <w:r>
        <w:t xml:space="preserve"> (Mr.)</w:t>
      </w:r>
      <w:r w:rsidRPr="00C61381">
        <w:t xml:space="preserve">, Senior Policy Advisor, Intellectual Property Division, Food Industry Affairs Bureau, Ministry of Agriculture, Forestry and Fisheries (MAFF), Tokyo </w:t>
      </w:r>
      <w:r>
        <w:br/>
        <w:t>(</w:t>
      </w:r>
      <w:r w:rsidRPr="00C61381">
        <w:t>e-mail: atsuhiro_meno150@maff.go.jp)</w:t>
      </w:r>
    </w:p>
    <w:p w:rsidR="00C17331" w:rsidRDefault="00C17331" w:rsidP="00680F15">
      <w:pPr>
        <w:pStyle w:val="pldetails"/>
      </w:pPr>
      <w:r w:rsidRPr="009D0F71">
        <w:t xml:space="preserve">Kenji NUMAGUCHI (Mr.), Chief Examiner, Plant Variety Protection Office, Intellectual Property Division, Food Industry Affairs Bureau, Ministry of Agriculture, Forestry and Fisheries (MAFF), Tokyo  </w:t>
      </w:r>
      <w:r w:rsidRPr="009D0F71">
        <w:br/>
        <w:t>(e-mail: kenji_numaguchi760@maff.go.jp)</w:t>
      </w:r>
      <w:r w:rsidRPr="0001070A">
        <w:t xml:space="preserve"> </w:t>
      </w:r>
    </w:p>
    <w:p w:rsidR="00C17331" w:rsidRPr="009D0F71" w:rsidRDefault="00C17331" w:rsidP="00C61381">
      <w:pPr>
        <w:pStyle w:val="pldetails"/>
      </w:pPr>
      <w:r w:rsidRPr="009D0F71">
        <w:t>Manabu SUZUKI</w:t>
      </w:r>
      <w:r>
        <w:t xml:space="preserve"> (Mr.)</w:t>
      </w:r>
      <w:r w:rsidRPr="009D0F71">
        <w:t xml:space="preserve">, Deputy Director for International Affairs, Intellectual Property Division, Food Industry Affairs Bureau, Ministry of Agriculture, Forestry and Fisheries (MAFF), Tokyo </w:t>
      </w:r>
      <w:r w:rsidRPr="009D0F71">
        <w:br/>
        <w:t>(e-mail: manabu_suzuki410@maff.go.jp)</w:t>
      </w:r>
    </w:p>
    <w:p w:rsidR="00C17331" w:rsidRPr="0001070A" w:rsidRDefault="00C17331" w:rsidP="00C61381">
      <w:pPr>
        <w:pStyle w:val="pldetails"/>
      </w:pPr>
      <w:r w:rsidRPr="00C61381">
        <w:t>Manabu OSAKI</w:t>
      </w:r>
      <w:r>
        <w:t xml:space="preserve"> (Mr.)</w:t>
      </w:r>
      <w:r w:rsidRPr="00C61381">
        <w:t>, Senior Examiner, Intellectual Property Division</w:t>
      </w:r>
      <w:r>
        <w:t xml:space="preserve">, </w:t>
      </w:r>
      <w:r w:rsidRPr="00C61381">
        <w:t xml:space="preserve">Food Industry affairs Bureau, New Business and Intellectual Property Division, Food Industry Affairs Bureau, Ministry of Agriculture, Forestry and Fisheries, Tokyo </w:t>
      </w:r>
      <w:r>
        <w:br/>
      </w:r>
      <w:r w:rsidRPr="00C61381">
        <w:t>(e-mail: manabu_oosaki190@maff.go.jp)</w:t>
      </w:r>
    </w:p>
    <w:p w:rsidR="00C17331" w:rsidRPr="002416E8" w:rsidRDefault="00C17331" w:rsidP="005222A9">
      <w:pPr>
        <w:pStyle w:val="plcountry"/>
        <w:rPr>
          <w:lang w:val="es-ES_tradnl"/>
        </w:rPr>
      </w:pPr>
      <w:r w:rsidRPr="002416E8">
        <w:rPr>
          <w:lang w:val="es-ES_tradnl"/>
        </w:rPr>
        <w:t>MEXICO</w:t>
      </w:r>
    </w:p>
    <w:p w:rsidR="00C17331" w:rsidRDefault="00C17331" w:rsidP="00436072">
      <w:pPr>
        <w:pStyle w:val="pldetails"/>
        <w:rPr>
          <w:lang w:val="es-ES_tradnl"/>
        </w:rPr>
      </w:pPr>
      <w:r w:rsidRPr="00436072">
        <w:rPr>
          <w:lang w:val="es-ES_tradnl"/>
        </w:rPr>
        <w:t>Eduardo PADILLA VACA</w:t>
      </w:r>
      <w:r>
        <w:rPr>
          <w:lang w:val="es-ES_tradnl"/>
        </w:rPr>
        <w:t xml:space="preserve"> (Sr.)</w:t>
      </w:r>
      <w:r w:rsidRPr="00436072">
        <w:rPr>
          <w:lang w:val="es-ES_tradnl"/>
        </w:rPr>
        <w:t xml:space="preserve">, Director de Registro de Variedades Vegetales, Servicio Nacional de Inspección y Certificación de Semillas (SNICS), Ciudad de México </w:t>
      </w:r>
      <w:r>
        <w:rPr>
          <w:lang w:val="es-ES_tradnl"/>
        </w:rPr>
        <w:br/>
      </w:r>
      <w:r w:rsidRPr="00436072">
        <w:rPr>
          <w:lang w:val="es-ES_tradnl"/>
        </w:rPr>
        <w:t xml:space="preserve">(e-mail: </w:t>
      </w:r>
      <w:r w:rsidRPr="00E12061">
        <w:rPr>
          <w:lang w:val="es-ES_tradnl"/>
        </w:rPr>
        <w:t>eduardo.padilla@sagarpa.gob.mx</w:t>
      </w:r>
      <w:r w:rsidRPr="00436072">
        <w:rPr>
          <w:lang w:val="es-ES_tradnl"/>
        </w:rPr>
        <w:t>)</w:t>
      </w:r>
      <w:r>
        <w:rPr>
          <w:lang w:val="es-ES_tradnl"/>
        </w:rPr>
        <w:t xml:space="preserve"> </w:t>
      </w:r>
    </w:p>
    <w:p w:rsidR="00C17331" w:rsidRPr="00A959F2" w:rsidRDefault="00C17331" w:rsidP="00E12061">
      <w:pPr>
        <w:pStyle w:val="plcountry"/>
        <w:rPr>
          <w:lang w:val="fr-CH"/>
        </w:rPr>
      </w:pPr>
      <w:r w:rsidRPr="00A959F2">
        <w:rPr>
          <w:lang w:val="fr-CH"/>
        </w:rPr>
        <w:t>MOROCCO</w:t>
      </w:r>
    </w:p>
    <w:p w:rsidR="00C17331" w:rsidRDefault="00C17331" w:rsidP="00E12061">
      <w:pPr>
        <w:pStyle w:val="pldetails"/>
        <w:rPr>
          <w:lang w:val="fr-CH"/>
        </w:rPr>
      </w:pPr>
      <w:r>
        <w:rPr>
          <w:lang w:val="fr-CH"/>
        </w:rPr>
        <w:t>Zoubida TAOUSSI (M</w:t>
      </w:r>
      <w:r w:rsidRPr="0015583C">
        <w:rPr>
          <w:lang w:val="fr-CH"/>
        </w:rPr>
        <w:t xml:space="preserve">s.), Chargée de la protection des obtentions végétales, Office National de Sécurité de Produits Alimentaires, Rabat  </w:t>
      </w:r>
      <w:r w:rsidRPr="0015583C">
        <w:rPr>
          <w:lang w:val="fr-CH"/>
        </w:rPr>
        <w:br/>
        <w:t xml:space="preserve">(e-mail: ztaoussi67@gmail.com) </w:t>
      </w:r>
    </w:p>
    <w:p w:rsidR="00C17331" w:rsidRPr="00A959F2" w:rsidRDefault="00C17331" w:rsidP="007C2FB3">
      <w:pPr>
        <w:pStyle w:val="plcountry"/>
      </w:pPr>
      <w:r w:rsidRPr="00A959F2">
        <w:lastRenderedPageBreak/>
        <w:t>NORWAY</w:t>
      </w:r>
    </w:p>
    <w:p w:rsidR="00C17331" w:rsidRDefault="00C17331" w:rsidP="00A12AE5">
      <w:pPr>
        <w:pStyle w:val="pldetails"/>
        <w:keepNext/>
      </w:pPr>
      <w:r w:rsidRPr="00A959F2">
        <w:t>Tor Erik JØRGENSEN</w:t>
      </w:r>
      <w:r>
        <w:t xml:space="preserve"> (Mr.)</w:t>
      </w:r>
      <w:r w:rsidRPr="00A959F2">
        <w:t xml:space="preserve">, Head of Section, National Approvals, Norwegian Food Safety Authority, Brumunddal  </w:t>
      </w:r>
      <w:r>
        <w:br/>
      </w:r>
      <w:r w:rsidRPr="00A959F2">
        <w:t xml:space="preserve">(e-mail: tor.erik.jorgensen@mattilsynet.no) </w:t>
      </w:r>
    </w:p>
    <w:p w:rsidR="00C17331" w:rsidRPr="00554F46" w:rsidRDefault="00C17331" w:rsidP="00884054">
      <w:pPr>
        <w:pStyle w:val="pldetails"/>
      </w:pPr>
      <w:r w:rsidRPr="00884054">
        <w:t>Märtha Kristin OIEN FELTON</w:t>
      </w:r>
      <w:r>
        <w:t xml:space="preserve"> (Ms.)</w:t>
      </w:r>
      <w:r w:rsidRPr="00884054">
        <w:t xml:space="preserve">, Legal Advisor, Norwegian Food and Safety Authority, As </w:t>
      </w:r>
      <w:r>
        <w:br/>
      </w:r>
      <w:r w:rsidRPr="00884054">
        <w:t>(e-</w:t>
      </w:r>
      <w:r w:rsidRPr="00554F46">
        <w:t xml:space="preserve">mail: martha.kristin.oien.felton@mattilsynet.no) </w:t>
      </w:r>
    </w:p>
    <w:p w:rsidR="00C17331" w:rsidRPr="00F31FF3" w:rsidRDefault="00C17331" w:rsidP="007C2FB3">
      <w:pPr>
        <w:pStyle w:val="plcountry"/>
      </w:pPr>
      <w:r>
        <w:t>NEW ZEALAND</w:t>
      </w:r>
    </w:p>
    <w:p w:rsidR="00C17331" w:rsidRDefault="00C17331" w:rsidP="007C2FB3">
      <w:pPr>
        <w:pStyle w:val="pldetails"/>
      </w:pPr>
      <w:r w:rsidRPr="004D23DE">
        <w:t>Christopher J. BARNABY</w:t>
      </w:r>
      <w:r>
        <w:t xml:space="preserve"> (Mr.)</w:t>
      </w:r>
      <w:r w:rsidRPr="004D23DE">
        <w:t xml:space="preserve">, Assistant Commissioner / Principal Examiner for Plant Variety Rights, Plant Variety Rights Office, Intellectual Property Office of New Zealand, Ministry of Economic Development, Christchurch </w:t>
      </w:r>
      <w:r>
        <w:br/>
      </w:r>
      <w:r w:rsidRPr="004D23DE">
        <w:t xml:space="preserve">(e-mail: </w:t>
      </w:r>
      <w:r w:rsidRPr="00F82057">
        <w:t>Chris.Barnaby@pvr.govt.nz</w:t>
      </w:r>
      <w:r w:rsidRPr="004D23DE">
        <w:t xml:space="preserve">) </w:t>
      </w:r>
    </w:p>
    <w:p w:rsidR="00C17331" w:rsidRPr="007F5DBB" w:rsidRDefault="00C17331" w:rsidP="007C2FB3">
      <w:pPr>
        <w:pStyle w:val="plcountry"/>
      </w:pPr>
      <w:r w:rsidRPr="007F5DBB">
        <w:t>NETHERLANDS</w:t>
      </w:r>
    </w:p>
    <w:p w:rsidR="00C17331" w:rsidRPr="00CA557B" w:rsidRDefault="00C17331" w:rsidP="007C2FB3">
      <w:pPr>
        <w:pStyle w:val="pldetails"/>
      </w:pPr>
      <w:r w:rsidRPr="00CA557B">
        <w:t xml:space="preserve">Kees Jan GROENEWOUD (Mr.), Secretary, Dutch Board for Plant Variety (Raad voor Plantenrassen), Naktuinbouw, Roelofarendsveen  </w:t>
      </w:r>
      <w:r w:rsidRPr="00CA557B">
        <w:br/>
        <w:t xml:space="preserve">(e-mail: c.j.a.groenewoud@naktuinbouw.nl) </w:t>
      </w:r>
    </w:p>
    <w:p w:rsidR="00C17331" w:rsidRDefault="00C17331" w:rsidP="00E228CD">
      <w:pPr>
        <w:pStyle w:val="pldetails"/>
      </w:pPr>
      <w:r w:rsidRPr="00E228CD">
        <w:t>Marco HOFFMAN</w:t>
      </w:r>
      <w:r>
        <w:t xml:space="preserve"> (Mr.)</w:t>
      </w:r>
      <w:r w:rsidRPr="00E228CD">
        <w:t xml:space="preserve">, Taxonomist / DUS Ornamental &amp; Fruit Crops Specialist, Naktuinbouw DUS Ornamentals &amp; Fruit, Roelofarendsveen </w:t>
      </w:r>
      <w:r>
        <w:br/>
      </w:r>
      <w:r w:rsidRPr="00E228CD">
        <w:t xml:space="preserve">(e-mail: m.hoffman@naktuinbouw.nl) </w:t>
      </w:r>
      <w:r>
        <w:br/>
      </w:r>
      <w:r w:rsidRPr="00E228CD">
        <w:rPr>
          <w:highlight w:val="lightGray"/>
        </w:rPr>
        <w:t>[via WebEx]</w:t>
      </w:r>
      <w:r w:rsidRPr="00E228CD">
        <w:t xml:space="preserve"> </w:t>
      </w:r>
    </w:p>
    <w:p w:rsidR="00C17331" w:rsidRPr="0020794D" w:rsidRDefault="00C17331" w:rsidP="00E12061">
      <w:pPr>
        <w:pStyle w:val="plcountry"/>
      </w:pPr>
      <w:r w:rsidRPr="0020794D">
        <w:t>OMAN</w:t>
      </w:r>
    </w:p>
    <w:p w:rsidR="00C17331" w:rsidRPr="004D23DE" w:rsidRDefault="00C17331" w:rsidP="00E12061">
      <w:pPr>
        <w:pStyle w:val="pldetails"/>
      </w:pPr>
      <w:r w:rsidRPr="0020794D">
        <w:t xml:space="preserve">Mohammed AL-BALUSHI (Mr.), First Secretary, Permanent Mission, Geneva  </w:t>
      </w:r>
      <w:r w:rsidRPr="0020794D">
        <w:br/>
        <w:t>(e-mail: oman_wto@bluewin.ch)</w:t>
      </w:r>
      <w:r w:rsidRPr="004D23DE">
        <w:t xml:space="preserve"> </w:t>
      </w:r>
    </w:p>
    <w:p w:rsidR="00C17331" w:rsidRPr="00F31FF3" w:rsidRDefault="00C17331" w:rsidP="007C2FB3">
      <w:pPr>
        <w:pStyle w:val="plcountry"/>
      </w:pPr>
      <w:r w:rsidRPr="00F31FF3">
        <w:t>POLAND</w:t>
      </w:r>
    </w:p>
    <w:p w:rsidR="00C17331" w:rsidRPr="00F31FF3" w:rsidRDefault="00C17331" w:rsidP="00430D4F">
      <w:pPr>
        <w:pStyle w:val="pldetails"/>
      </w:pPr>
      <w:r w:rsidRPr="00430D4F">
        <w:t>Marcin BEHNKE</w:t>
      </w:r>
      <w:r>
        <w:t xml:space="preserve"> (Mr.)</w:t>
      </w:r>
      <w:r w:rsidRPr="00430D4F">
        <w:t xml:space="preserve">, Deputy Director General for Experimental Affairs, Research Centre for Cultivar Testing (COBORU), Slupia Wielka </w:t>
      </w:r>
      <w:r>
        <w:br/>
      </w:r>
      <w:r w:rsidRPr="00430D4F">
        <w:t>(e-mail: m.behnke@coboru.pl)</w:t>
      </w:r>
    </w:p>
    <w:p w:rsidR="00C17331" w:rsidRPr="00F31FF3" w:rsidRDefault="00C17331" w:rsidP="007C2FB3">
      <w:pPr>
        <w:pStyle w:val="pldetails"/>
      </w:pPr>
      <w:r w:rsidRPr="00A959F2">
        <w:t xml:space="preserve">Alicja </w:t>
      </w:r>
      <w:r w:rsidRPr="00F31FF3">
        <w:t>RUTKOWSKA-ŁOŚ</w:t>
      </w:r>
      <w:r>
        <w:t xml:space="preserve"> (M</w:t>
      </w:r>
      <w:r w:rsidRPr="00A959F2">
        <w:t>s.), Head, National Listing and Plant Breeders</w:t>
      </w:r>
      <w:r>
        <w:t>’ Rights Protection Office, The </w:t>
      </w:r>
      <w:r w:rsidRPr="00A959F2">
        <w:t xml:space="preserve">Research Centre for Cultivar Testing (COBORU), Slupia Wielka  </w:t>
      </w:r>
      <w:r>
        <w:br/>
      </w:r>
      <w:r w:rsidRPr="00A959F2">
        <w:t>(e-</w:t>
      </w:r>
      <w:r w:rsidRPr="00F31FF3">
        <w:t xml:space="preserve">mail: a.rutkowska@coboru.pl) </w:t>
      </w:r>
    </w:p>
    <w:p w:rsidR="00C17331" w:rsidRPr="004D00EE" w:rsidRDefault="00C17331" w:rsidP="007C2FB3">
      <w:pPr>
        <w:pStyle w:val="plcountry"/>
      </w:pPr>
      <w:r w:rsidRPr="004D00EE">
        <w:t>REPUBLIC OF MOLDOVA</w:t>
      </w:r>
    </w:p>
    <w:p w:rsidR="00C17331" w:rsidRDefault="00C17331" w:rsidP="007C2FB3">
      <w:pPr>
        <w:pStyle w:val="pldetails"/>
      </w:pPr>
      <w:r w:rsidRPr="004D23DE">
        <w:t>Mihail MACHIDON</w:t>
      </w:r>
      <w:r>
        <w:t xml:space="preserve"> (Mr.)</w:t>
      </w:r>
      <w:r w:rsidRPr="004D23DE">
        <w:t xml:space="preserve">, Chairman, State Commission for Crops Variety Testing and Registration (SCCVTR), Chisinau  </w:t>
      </w:r>
      <w:r>
        <w:br/>
      </w:r>
      <w:r w:rsidRPr="004D23DE">
        <w:t xml:space="preserve">(e-mail: info@cstsp.md) </w:t>
      </w:r>
    </w:p>
    <w:p w:rsidR="00C17331" w:rsidRPr="00DF3CAA" w:rsidRDefault="00C17331" w:rsidP="007C2FB3">
      <w:pPr>
        <w:pStyle w:val="plcountry"/>
      </w:pPr>
      <w:r w:rsidRPr="00DF3CAA">
        <w:t>ROMANIA</w:t>
      </w:r>
    </w:p>
    <w:p w:rsidR="00C17331" w:rsidRDefault="00C17331" w:rsidP="00DB5C7D">
      <w:pPr>
        <w:pStyle w:val="pldetails"/>
      </w:pPr>
      <w:r w:rsidRPr="00DB5C7D">
        <w:t>Mihai POPESCU</w:t>
      </w:r>
      <w:r>
        <w:t xml:space="preserve"> (Mr.)</w:t>
      </w:r>
      <w:r w:rsidRPr="00DB5C7D">
        <w:t xml:space="preserve">, Director, State Institute for Variety Testing and Registration (ISTIS), Bucharest </w:t>
      </w:r>
      <w:r>
        <w:br/>
      </w:r>
      <w:r w:rsidRPr="00DB5C7D">
        <w:t>(e-mail: mihai_popescu@istis.ro)</w:t>
      </w:r>
    </w:p>
    <w:p w:rsidR="00C17331" w:rsidRPr="00DF1952" w:rsidRDefault="00C17331" w:rsidP="007C2FB3">
      <w:pPr>
        <w:pStyle w:val="pldetails"/>
      </w:pPr>
      <w:r w:rsidRPr="004D23DE">
        <w:t>Cristian Irinel MOCANU</w:t>
      </w:r>
      <w:r>
        <w:t xml:space="preserve"> (Mr.)</w:t>
      </w:r>
      <w:r w:rsidRPr="004D23DE">
        <w:t xml:space="preserve">, Head of Legal Department, State Institute for Variety Testing and </w:t>
      </w:r>
      <w:r w:rsidRPr="00DF1952">
        <w:t xml:space="preserve">Registration, Bucarest  </w:t>
      </w:r>
      <w:r>
        <w:br/>
      </w:r>
      <w:r w:rsidRPr="00DF1952">
        <w:t xml:space="preserve">(e-mail: irinel_mocanu@istis.ro) </w:t>
      </w:r>
    </w:p>
    <w:p w:rsidR="00C17331" w:rsidRPr="004D23DE" w:rsidRDefault="00C17331" w:rsidP="007C2FB3">
      <w:pPr>
        <w:pStyle w:val="plcountry"/>
      </w:pPr>
      <w:r w:rsidRPr="004D23DE">
        <w:t>SLOVAKIA</w:t>
      </w:r>
    </w:p>
    <w:p w:rsidR="00C17331" w:rsidRPr="004D23DE" w:rsidRDefault="00C17331" w:rsidP="007C2FB3">
      <w:pPr>
        <w:pStyle w:val="pldetails"/>
      </w:pPr>
      <w:r w:rsidRPr="004D23DE">
        <w:t xml:space="preserve">Bronislava BÁTOROVÁ (Ms.), National Coordinator for the Cooperation of the Slovak Republic with UPOV/ Senior Officer, Department of Variety Testing, Central Controlling and Testing Institute in Agriculture (ÚKSÚP), Nitra  </w:t>
      </w:r>
      <w:r>
        <w:br/>
      </w:r>
      <w:r w:rsidRPr="004D23DE">
        <w:t xml:space="preserve">(e-mail: bronislava.batorova@uksup.sk) </w:t>
      </w:r>
    </w:p>
    <w:p w:rsidR="00C17331" w:rsidRPr="004D00EE" w:rsidRDefault="00C17331" w:rsidP="008314DE">
      <w:pPr>
        <w:pStyle w:val="plcountry"/>
      </w:pPr>
      <w:r w:rsidRPr="004D00EE">
        <w:t>SOUTH AFRICA</w:t>
      </w:r>
    </w:p>
    <w:p w:rsidR="00C17331" w:rsidRDefault="00C17331" w:rsidP="008314DE">
      <w:pPr>
        <w:pStyle w:val="pldetails"/>
      </w:pPr>
      <w:r w:rsidRPr="001838D6">
        <w:t xml:space="preserve">Noluthando NETNOU-NKOANA (Ms.), Director, Genetic Resources, Department of Agriculture, Agricultural Technical Service, Pretoria </w:t>
      </w:r>
      <w:r w:rsidRPr="001838D6">
        <w:br/>
        <w:t xml:space="preserve">(e-mail: </w:t>
      </w:r>
      <w:r w:rsidRPr="007D0253">
        <w:t>noluthandon@daff.gov.za</w:t>
      </w:r>
      <w:r w:rsidRPr="001838D6">
        <w:t>)</w:t>
      </w:r>
    </w:p>
    <w:p w:rsidR="00C17331" w:rsidRPr="00745E13" w:rsidRDefault="00C17331" w:rsidP="007D0253">
      <w:pPr>
        <w:pStyle w:val="plcountry"/>
      </w:pPr>
      <w:r w:rsidRPr="00745E13">
        <w:lastRenderedPageBreak/>
        <w:t>TURKEY</w:t>
      </w:r>
    </w:p>
    <w:p w:rsidR="00C17331" w:rsidRDefault="00C17331" w:rsidP="007D0253">
      <w:pPr>
        <w:pStyle w:val="pldetails"/>
      </w:pPr>
      <w:r w:rsidRPr="00227FC1">
        <w:t>Mehmet CAKMAK</w:t>
      </w:r>
      <w:r>
        <w:t xml:space="preserve"> (Mr.)</w:t>
      </w:r>
      <w:r w:rsidRPr="00227FC1">
        <w:t xml:space="preserve">, PBR Expert, Seed Department, General Directorate of Plant Production, Ministry of Food, Agriculture and Livestock, Ankara </w:t>
      </w:r>
      <w:r w:rsidRPr="00227FC1">
        <w:br/>
        <w:t>(e-mail: mehmet.cakmak@tarim.gov.tr)</w:t>
      </w:r>
    </w:p>
    <w:p w:rsidR="00C17331" w:rsidRPr="004D00EE" w:rsidRDefault="00C17331" w:rsidP="00E12061">
      <w:pPr>
        <w:pStyle w:val="plcountry"/>
      </w:pPr>
      <w:r w:rsidRPr="004D00EE">
        <w:t>UNITED REPUBLIC OF TANZANIA</w:t>
      </w:r>
    </w:p>
    <w:p w:rsidR="00C17331" w:rsidRDefault="00C17331" w:rsidP="00E12061">
      <w:pPr>
        <w:pStyle w:val="pldetails"/>
      </w:pPr>
      <w:r w:rsidRPr="001D29BE">
        <w:t>Patrick NGWEDIAGI</w:t>
      </w:r>
      <w:r>
        <w:t xml:space="preserve"> (Mr.)</w:t>
      </w:r>
      <w:r w:rsidRPr="001D29BE">
        <w:t xml:space="preserve">, Chief Executive Officer/Director General, Tanzania Official Seed Certification Institute (TOSCI), Dar es Salaam </w:t>
      </w:r>
      <w:r>
        <w:br/>
      </w:r>
      <w:r w:rsidRPr="001D29BE">
        <w:t>(e-mail: ngwedi@yahoo.com)</w:t>
      </w:r>
    </w:p>
    <w:p w:rsidR="00C17331" w:rsidRPr="00DF1952" w:rsidRDefault="00C17331" w:rsidP="00E12061">
      <w:pPr>
        <w:pStyle w:val="pldetails"/>
      </w:pPr>
      <w:r w:rsidRPr="001D29BE">
        <w:t>Joyce Eligi MOSILE (Ms.), Acting Registrar of Plant Breeders</w:t>
      </w:r>
      <w:r>
        <w:t>’</w:t>
      </w:r>
      <w:r w:rsidRPr="001D29BE">
        <w:t xml:space="preserve"> Rights, Ministry of Agriculture Livestock and Fisheries, Dodoma </w:t>
      </w:r>
      <w:r>
        <w:br/>
      </w:r>
      <w:r w:rsidRPr="001D29BE">
        <w:t>(e-mail: Joyce.mosile@kilimo.go.tz)</w:t>
      </w:r>
    </w:p>
    <w:p w:rsidR="00C17331" w:rsidRPr="00F45E2A" w:rsidRDefault="00C17331" w:rsidP="008319A6">
      <w:pPr>
        <w:pStyle w:val="plcountry"/>
      </w:pPr>
      <w:r w:rsidRPr="00F45E2A">
        <w:t>UNITED STATES OF AMERICA</w:t>
      </w:r>
    </w:p>
    <w:p w:rsidR="00C17331" w:rsidRDefault="00C17331" w:rsidP="008319A6">
      <w:pPr>
        <w:pStyle w:val="pldetails"/>
      </w:pPr>
      <w:r>
        <w:t xml:space="preserve">Ruihong GUO (Ms.), Deputy Administrator, AMS, Science &amp; Technology Program, United States Department of Agriculture (USDA), Washington D.C. </w:t>
      </w:r>
      <w:r>
        <w:br/>
        <w:t xml:space="preserve">(e-mail: </w:t>
      </w:r>
      <w:r w:rsidRPr="00062CDD">
        <w:t>ruihong.guo@ams.usda.gov</w:t>
      </w:r>
      <w:r>
        <w:t>)</w:t>
      </w:r>
    </w:p>
    <w:p w:rsidR="00C17331" w:rsidRPr="0020794D" w:rsidRDefault="00C17331" w:rsidP="008319A6">
      <w:pPr>
        <w:pStyle w:val="pldetails"/>
      </w:pPr>
      <w:r w:rsidRPr="0020794D">
        <w:t>Elaine WU (Ms.), Attorney – Advisor, Office of Policy and International Affairs, U.S. Patent and Trademark Office, U.S. Department of Commerce, Alexandria</w:t>
      </w:r>
      <w:r w:rsidRPr="0020794D">
        <w:br/>
        <w:t>(e-mail: elaine.wu@uspto.gov)</w:t>
      </w:r>
    </w:p>
    <w:p w:rsidR="00C17331" w:rsidRDefault="00C17331" w:rsidP="008319A6">
      <w:pPr>
        <w:pStyle w:val="pldetails"/>
      </w:pPr>
      <w:r w:rsidRPr="0020794D">
        <w:t>Christian HANNON (Mr.), Patent Attorney, Office of Policy and International Affairs (OPIA), U.S. Patent and Trademark Office, U.S. Department of Commerce, Alexandria</w:t>
      </w:r>
      <w:r w:rsidRPr="0020794D">
        <w:br/>
        <w:t>(e-mail: christian.hannon@uspto.gov)</w:t>
      </w:r>
    </w:p>
    <w:p w:rsidR="00C17331" w:rsidRDefault="00C17331" w:rsidP="008319A6">
      <w:pPr>
        <w:pStyle w:val="pldetails"/>
      </w:pPr>
      <w:r w:rsidRPr="0034063B">
        <w:t xml:space="preserve">Yasmine Nicole FULENA (Ms.), Intellectual Property Adviser, Permanent Mission, Chambésy </w:t>
      </w:r>
      <w:r w:rsidRPr="0034063B">
        <w:br/>
        <w:t>(e-mail: fulenayn@state.gov)</w:t>
      </w:r>
    </w:p>
    <w:p w:rsidR="00C17331" w:rsidRPr="000B1CE6" w:rsidRDefault="00C17331" w:rsidP="007C2FB3">
      <w:pPr>
        <w:pStyle w:val="plheading"/>
      </w:pPr>
      <w:r w:rsidRPr="000B1CE6">
        <w:t>II. OBSERVERS</w:t>
      </w:r>
    </w:p>
    <w:p w:rsidR="00C17331" w:rsidRPr="00371076" w:rsidRDefault="00C17331" w:rsidP="00371076">
      <w:pPr>
        <w:pStyle w:val="plcountry"/>
      </w:pPr>
      <w:r w:rsidRPr="00371076">
        <w:t>THAILAND</w:t>
      </w:r>
    </w:p>
    <w:p w:rsidR="00C17331" w:rsidRPr="00371076" w:rsidRDefault="00C17331" w:rsidP="00371076">
      <w:pPr>
        <w:pStyle w:val="pldetails"/>
      </w:pPr>
      <w:r w:rsidRPr="00371076">
        <w:t>Pornthep SRITANATORN</w:t>
      </w:r>
      <w:r>
        <w:t xml:space="preserve"> (Mr.)</w:t>
      </w:r>
      <w:r w:rsidRPr="00371076">
        <w:t xml:space="preserve">, Minister Counsellor, Permanent Mission of Thailand to the WTO, </w:t>
      </w:r>
      <w:r>
        <w:t>Geneva</w:t>
      </w:r>
      <w:r w:rsidRPr="00371076">
        <w:t xml:space="preserve"> </w:t>
      </w:r>
      <w:r w:rsidRPr="00371076">
        <w:br/>
        <w:t>(e-mail: pornthep@thaiwto.com)</w:t>
      </w:r>
    </w:p>
    <w:p w:rsidR="00C17331" w:rsidRPr="000B1CE6" w:rsidRDefault="00C17331" w:rsidP="007C2FB3">
      <w:pPr>
        <w:pStyle w:val="plheading"/>
      </w:pPr>
      <w:r w:rsidRPr="000B1CE6">
        <w:t>III. ORGANIZATIONS</w:t>
      </w:r>
    </w:p>
    <w:p w:rsidR="00C17331" w:rsidRPr="004D00EE" w:rsidRDefault="00C17331" w:rsidP="00A42BF1">
      <w:pPr>
        <w:pStyle w:val="plcountry"/>
      </w:pPr>
      <w:r w:rsidRPr="004D00EE">
        <w:t>AFRICAN REGIONAL INTELLECTUAL PROPERTY ORGANIZATION (ARIPO)</w:t>
      </w:r>
    </w:p>
    <w:p w:rsidR="00C17331" w:rsidRDefault="00C17331" w:rsidP="00A42BF1">
      <w:pPr>
        <w:pStyle w:val="pldetails"/>
      </w:pPr>
      <w:r w:rsidRPr="00A42BF1">
        <w:t>Emmanuel SACKEY</w:t>
      </w:r>
      <w:r>
        <w:t xml:space="preserve"> (Mr.)</w:t>
      </w:r>
      <w:r w:rsidRPr="00A42BF1">
        <w:t>, In</w:t>
      </w:r>
      <w:r>
        <w:t>tellectua</w:t>
      </w:r>
      <w:r w:rsidRPr="00A42BF1">
        <w:t xml:space="preserve">l Property Development Executive, Harare, </w:t>
      </w:r>
      <w:r w:rsidRPr="00880B4C">
        <w:t>Zimbabwe</w:t>
      </w:r>
      <w:r w:rsidRPr="00A42BF1">
        <w:t xml:space="preserve"> </w:t>
      </w:r>
      <w:r>
        <w:br/>
      </w:r>
      <w:r w:rsidRPr="00A42BF1">
        <w:t>(e-mail: esackey@aripo.org)</w:t>
      </w:r>
    </w:p>
    <w:p w:rsidR="00C17331" w:rsidRPr="00A42BF1" w:rsidRDefault="00C17331" w:rsidP="00A42BF1">
      <w:pPr>
        <w:pStyle w:val="pldetails"/>
      </w:pPr>
      <w:r w:rsidRPr="00A42BF1">
        <w:t>Pierre Claver RUNIGA</w:t>
      </w:r>
      <w:r>
        <w:t xml:space="preserve"> (Mr.)</w:t>
      </w:r>
      <w:r w:rsidRPr="00A42BF1">
        <w:t xml:space="preserve">, Head, Policy, Legal and International Cooperation, African Regional Intellectual Property Organization (ARIPO), </w:t>
      </w:r>
      <w:r>
        <w:t>Harare</w:t>
      </w:r>
      <w:r w:rsidRPr="00A42BF1">
        <w:t xml:space="preserve"> </w:t>
      </w:r>
      <w:r>
        <w:br/>
      </w:r>
      <w:r w:rsidRPr="00A42BF1">
        <w:t>(e-mail: pruniga@aripo.org)</w:t>
      </w:r>
    </w:p>
    <w:p w:rsidR="00C17331" w:rsidRPr="00841411" w:rsidRDefault="00C17331" w:rsidP="003C2235">
      <w:pPr>
        <w:pStyle w:val="plcountry"/>
      </w:pPr>
      <w:r w:rsidRPr="00382E92">
        <w:t>INTERNATIONA</w:t>
      </w:r>
      <w:r>
        <w:t xml:space="preserve">L COMMUNITY </w:t>
      </w:r>
      <w:r w:rsidRPr="00841411">
        <w:t>OF BREEDERS OF ASEXUALLY REPRODUCED ORNAMENTAL AND FRUIT PLANTS (CIOPORA)</w:t>
      </w:r>
    </w:p>
    <w:p w:rsidR="00C17331" w:rsidRPr="00A45272" w:rsidRDefault="00C17331" w:rsidP="00A45272">
      <w:pPr>
        <w:pStyle w:val="pldetails"/>
        <w:rPr>
          <w:lang w:val="fr-CH"/>
        </w:rPr>
      </w:pPr>
      <w:r w:rsidRPr="00A45272">
        <w:rPr>
          <w:lang w:val="fr-CH"/>
        </w:rPr>
        <w:t xml:space="preserve">Hélène JOURDAN (Madame), Secrétaire générale, AOHE, Responsible COV &amp; Marques, Meilland International S.A., Association des Obtenteurs Horticoles Européens (AOHE), Le Luc en Provence </w:t>
      </w:r>
      <w:r>
        <w:rPr>
          <w:lang w:val="fr-CH"/>
        </w:rPr>
        <w:br/>
      </w:r>
      <w:r w:rsidRPr="00A45272">
        <w:rPr>
          <w:lang w:val="fr-CH"/>
        </w:rPr>
        <w:t>(e-mail: licprot@meilland.com)</w:t>
      </w:r>
    </w:p>
    <w:p w:rsidR="00C17331" w:rsidRPr="004D00EE" w:rsidRDefault="00C17331" w:rsidP="007C2FB3">
      <w:pPr>
        <w:pStyle w:val="plcountry"/>
        <w:rPr>
          <w:lang w:val="fr-CH"/>
        </w:rPr>
      </w:pPr>
      <w:r w:rsidRPr="004D00EE">
        <w:rPr>
          <w:lang w:val="fr-CH"/>
        </w:rPr>
        <w:t>CROPLIFE INTERNATIONAL</w:t>
      </w:r>
    </w:p>
    <w:p w:rsidR="00C17331" w:rsidRPr="004D00EE" w:rsidRDefault="00C17331" w:rsidP="007C2FB3">
      <w:pPr>
        <w:pStyle w:val="pldetails"/>
        <w:rPr>
          <w:lang w:val="fr-CH"/>
        </w:rPr>
      </w:pPr>
      <w:r w:rsidRPr="004D00EE">
        <w:rPr>
          <w:lang w:val="fr-CH"/>
        </w:rPr>
        <w:t xml:space="preserve">Marcel BRUINS (Mr.), Consultant, CropLife International, Brussels </w:t>
      </w:r>
      <w:r w:rsidRPr="004D00EE">
        <w:rPr>
          <w:lang w:val="fr-CH"/>
        </w:rPr>
        <w:br/>
        <w:t xml:space="preserve">(e-mail: mbruins1964@gmail.com) </w:t>
      </w:r>
    </w:p>
    <w:p w:rsidR="00C17331" w:rsidRPr="004D00EE" w:rsidRDefault="00C17331" w:rsidP="007C2FB3">
      <w:pPr>
        <w:pStyle w:val="plcountry"/>
        <w:rPr>
          <w:lang w:val="fr-CH"/>
        </w:rPr>
      </w:pPr>
      <w:r w:rsidRPr="004D00EE">
        <w:rPr>
          <w:lang w:val="fr-CH"/>
        </w:rPr>
        <w:t>INTERNATIONAL SEED FEDERATION (ISF)</w:t>
      </w:r>
    </w:p>
    <w:p w:rsidR="00C17331" w:rsidRPr="004D00EE" w:rsidRDefault="00C17331" w:rsidP="00A45272">
      <w:pPr>
        <w:pStyle w:val="pldetails"/>
        <w:rPr>
          <w:lang w:val="fr-CH"/>
        </w:rPr>
      </w:pPr>
      <w:r w:rsidRPr="004D00EE">
        <w:rPr>
          <w:lang w:val="fr-CH"/>
        </w:rPr>
        <w:t xml:space="preserve">Astrid M. SCHENKEVELD (Ms.), Specialist, Variety Registration &amp; Protection, Rijk Zwaan Zaadteelt en Zaadhandel B.V., KX De Lier </w:t>
      </w:r>
      <w:r w:rsidRPr="004D00EE">
        <w:rPr>
          <w:lang w:val="fr-CH"/>
        </w:rPr>
        <w:br/>
        <w:t xml:space="preserve">(e-mail: a.schenkeveld@rijkzwaan.nl)  </w:t>
      </w:r>
    </w:p>
    <w:p w:rsidR="00C17331" w:rsidRPr="00171EF3" w:rsidRDefault="00C17331" w:rsidP="007C2FB3">
      <w:pPr>
        <w:pStyle w:val="plcountry"/>
        <w:rPr>
          <w:lang w:val="fr-CH"/>
        </w:rPr>
      </w:pPr>
      <w:r w:rsidRPr="00171EF3">
        <w:rPr>
          <w:lang w:val="fr-CH"/>
        </w:rPr>
        <w:lastRenderedPageBreak/>
        <w:t>EUROPEAN SEED ASSOCIATION (ESA)</w:t>
      </w:r>
    </w:p>
    <w:p w:rsidR="00C17331" w:rsidRPr="00171EF3" w:rsidRDefault="00C17331" w:rsidP="00A45272">
      <w:pPr>
        <w:pStyle w:val="pldetails"/>
        <w:rPr>
          <w:lang w:val="fr-CH"/>
        </w:rPr>
      </w:pPr>
      <w:r w:rsidRPr="00171EF3">
        <w:rPr>
          <w:lang w:val="fr-CH"/>
        </w:rPr>
        <w:t xml:space="preserve">Astrid M. SCHENKEVELD (Ms.), Specialist, Variety Registration &amp; Protection, Rijk Zwaan Zaadteelt en Zaadhandel B.V., KX De Lier </w:t>
      </w:r>
      <w:r w:rsidRPr="00171EF3">
        <w:rPr>
          <w:lang w:val="fr-CH"/>
        </w:rPr>
        <w:br/>
        <w:t xml:space="preserve">(e-mail: a.schenkeveld@rijkzwaan.nl)  </w:t>
      </w:r>
    </w:p>
    <w:p w:rsidR="00C17331" w:rsidRPr="00556966" w:rsidRDefault="00C17331" w:rsidP="00326429">
      <w:pPr>
        <w:pStyle w:val="plheading"/>
      </w:pPr>
      <w:r w:rsidRPr="00556966">
        <w:t>Iv. OFFICE OF WIPO</w:t>
      </w:r>
    </w:p>
    <w:p w:rsidR="00C17331" w:rsidRDefault="00C17331" w:rsidP="00326429">
      <w:pPr>
        <w:pStyle w:val="pldetails"/>
      </w:pPr>
      <w:r>
        <w:t>Marina FOSCHI</w:t>
      </w:r>
      <w:r w:rsidRPr="00731E91">
        <w:t xml:space="preserve"> (Ms.),</w:t>
      </w:r>
      <w:r>
        <w:t>Legal Officer</w:t>
      </w:r>
      <w:r w:rsidRPr="00731E91">
        <w:t xml:space="preserve">, </w:t>
      </w:r>
      <w:r>
        <w:t>Law and Legislative Advice Division</w:t>
      </w:r>
      <w:r w:rsidRPr="00731E91">
        <w:t xml:space="preserve">, </w:t>
      </w:r>
      <w:r>
        <w:t>Brands and Designs Sector</w:t>
      </w:r>
    </w:p>
    <w:p w:rsidR="00C17331" w:rsidRPr="00206E82" w:rsidRDefault="00C17331" w:rsidP="00F43124">
      <w:pPr>
        <w:pStyle w:val="plheading"/>
        <w:rPr>
          <w:rFonts w:cs="Arial"/>
        </w:rPr>
      </w:pPr>
      <w:r w:rsidRPr="00206E82">
        <w:rPr>
          <w:rFonts w:cs="Arial"/>
        </w:rPr>
        <w:t>V. O</w:t>
      </w:r>
      <w:r>
        <w:rPr>
          <w:rFonts w:cs="Arial"/>
        </w:rPr>
        <w:t>FFICER</w:t>
      </w:r>
    </w:p>
    <w:p w:rsidR="00C17331" w:rsidRPr="00841411" w:rsidRDefault="00C17331" w:rsidP="00206E82">
      <w:pPr>
        <w:pStyle w:val="pldetails"/>
      </w:pPr>
      <w:r w:rsidRPr="00841411">
        <w:t xml:space="preserve">Peter BUTTON, </w:t>
      </w:r>
      <w:r>
        <w:t>Chair</w:t>
      </w:r>
    </w:p>
    <w:p w:rsidR="00C17331" w:rsidRPr="004071DD" w:rsidRDefault="00C17331" w:rsidP="007C2FB3">
      <w:pPr>
        <w:pStyle w:val="plheading"/>
        <w:keepLines/>
        <w:rPr>
          <w:rFonts w:cs="Arial"/>
        </w:rPr>
      </w:pPr>
      <w:r w:rsidRPr="00C51639">
        <w:rPr>
          <w:rFonts w:cs="Arial"/>
        </w:rPr>
        <w:t>V</w:t>
      </w:r>
      <w:r>
        <w:rPr>
          <w:rFonts w:cs="Arial"/>
        </w:rPr>
        <w:t>I</w:t>
      </w:r>
      <w:r w:rsidRPr="00C51639">
        <w:rPr>
          <w:rFonts w:cs="Arial"/>
        </w:rPr>
        <w:t>. OFFICE OF UPOV</w:t>
      </w:r>
    </w:p>
    <w:p w:rsidR="00C17331" w:rsidRPr="00841411" w:rsidRDefault="00C17331" w:rsidP="007C2FB3">
      <w:pPr>
        <w:pStyle w:val="pldetails"/>
      </w:pPr>
      <w:r w:rsidRPr="00841411">
        <w:t>Peter BUTTON</w:t>
      </w:r>
      <w:r>
        <w:t xml:space="preserve"> (Mr.)</w:t>
      </w:r>
      <w:r w:rsidRPr="00841411">
        <w:t>, Vice Secretary-General</w:t>
      </w:r>
    </w:p>
    <w:p w:rsidR="00C17331" w:rsidRPr="00841411" w:rsidRDefault="00C17331" w:rsidP="007C2FB3">
      <w:pPr>
        <w:pStyle w:val="pldetails"/>
      </w:pPr>
      <w:r w:rsidRPr="00841411">
        <w:t>Yolanda HUERTA (Ms.), Legal Counsel</w:t>
      </w:r>
    </w:p>
    <w:p w:rsidR="00C17331" w:rsidRPr="00841411" w:rsidRDefault="00C17331" w:rsidP="007C2FB3">
      <w:pPr>
        <w:pStyle w:val="pldetails"/>
      </w:pPr>
      <w:r w:rsidRPr="00A479A8">
        <w:t>Tomochika MOTOMURA</w:t>
      </w:r>
      <w:r>
        <w:t xml:space="preserve"> (Mr.)</w:t>
      </w:r>
      <w:r w:rsidRPr="00841411">
        <w:t>, Technical/Regional Officer (Asia)</w:t>
      </w:r>
    </w:p>
    <w:p w:rsidR="00C17331" w:rsidRPr="00841411" w:rsidRDefault="00C17331" w:rsidP="007C2FB3">
      <w:pPr>
        <w:pStyle w:val="pldetails"/>
      </w:pPr>
      <w:r w:rsidRPr="00841411">
        <w:t>Ben RIVOIRE</w:t>
      </w:r>
      <w:r>
        <w:t xml:space="preserve"> (Mr.)</w:t>
      </w:r>
      <w:r w:rsidRPr="00841411">
        <w:t>, Technical/Regional Officer (Africa, Arab countries)</w:t>
      </w:r>
    </w:p>
    <w:p w:rsidR="00C17331" w:rsidRPr="00841411" w:rsidRDefault="00C17331" w:rsidP="007C2FB3">
      <w:pPr>
        <w:pStyle w:val="pldetails"/>
      </w:pPr>
      <w:r w:rsidRPr="00841411">
        <w:t>Leontino TAVEIRA</w:t>
      </w:r>
      <w:r>
        <w:t xml:space="preserve"> (Mr.)</w:t>
      </w:r>
      <w:r w:rsidRPr="00841411">
        <w:t>, Technical/Regional Officer (Latin America, Caribbean countries)</w:t>
      </w:r>
    </w:p>
    <w:p w:rsidR="00C17331" w:rsidRPr="00102871" w:rsidRDefault="00C17331" w:rsidP="00FB576C"/>
    <w:p w:rsidR="000842F7" w:rsidRDefault="000842F7" w:rsidP="00B92599">
      <w:pPr>
        <w:rPr>
          <w:highlight w:val="yellow"/>
        </w:rPr>
      </w:pPr>
    </w:p>
    <w:p w:rsidR="00C17331" w:rsidRPr="004922CE" w:rsidRDefault="00C17331" w:rsidP="00B92599">
      <w:pPr>
        <w:rPr>
          <w:highlight w:val="yellow"/>
        </w:rPr>
      </w:pPr>
    </w:p>
    <w:p w:rsidR="000842F7" w:rsidRPr="000842F7" w:rsidRDefault="000842F7" w:rsidP="00B92599">
      <w:pPr>
        <w:jc w:val="right"/>
      </w:pPr>
      <w:r w:rsidRPr="00B33AE6">
        <w:t>[Annex II follows]</w:t>
      </w:r>
    </w:p>
    <w:p w:rsidR="000842F7" w:rsidRPr="00004723" w:rsidRDefault="000842F7" w:rsidP="00B92599"/>
    <w:p w:rsidR="000842F7" w:rsidRPr="00004723" w:rsidRDefault="000842F7" w:rsidP="00B92599"/>
    <w:p w:rsidR="000842F7" w:rsidRPr="00004723" w:rsidRDefault="000842F7" w:rsidP="00B92599">
      <w:pPr>
        <w:sectPr w:rsidR="000842F7" w:rsidRPr="00004723" w:rsidSect="000842F7">
          <w:headerReference w:type="default" r:id="rId11"/>
          <w:pgSz w:w="11907" w:h="16840" w:code="9"/>
          <w:pgMar w:top="510" w:right="1134" w:bottom="1134" w:left="1134" w:header="510" w:footer="680" w:gutter="0"/>
          <w:pgNumType w:start="1"/>
          <w:cols w:space="720"/>
          <w:titlePg/>
        </w:sectPr>
      </w:pPr>
    </w:p>
    <w:p w:rsidR="000842F7" w:rsidRPr="00C5280D" w:rsidRDefault="00246C00" w:rsidP="00B92599">
      <w:pPr>
        <w:pStyle w:val="Header"/>
        <w:rPr>
          <w:rStyle w:val="PageNumber"/>
          <w:lang w:val="en-US" w:eastAsia="ja-JP"/>
        </w:rPr>
      </w:pPr>
      <w:r>
        <w:rPr>
          <w:rStyle w:val="PageNumber"/>
          <w:lang w:val="en-US"/>
        </w:rPr>
        <w:lastRenderedPageBreak/>
        <w:t>UPOV/WG-DEN/4/3</w:t>
      </w:r>
    </w:p>
    <w:p w:rsidR="000842F7" w:rsidRPr="00C5280D" w:rsidRDefault="000842F7" w:rsidP="00B92599">
      <w:pPr>
        <w:pStyle w:val="Header"/>
        <w:rPr>
          <w:lang w:val="en-US"/>
        </w:rPr>
      </w:pPr>
    </w:p>
    <w:p w:rsidR="000842F7" w:rsidRPr="00EA3FF2" w:rsidRDefault="000842F7" w:rsidP="00B92599">
      <w:pPr>
        <w:jc w:val="center"/>
      </w:pPr>
      <w:r>
        <w:t>ANNEX II</w:t>
      </w:r>
    </w:p>
    <w:p w:rsidR="000842F7" w:rsidRDefault="000842F7" w:rsidP="00B92599">
      <w:pPr>
        <w:jc w:val="center"/>
      </w:pPr>
    </w:p>
    <w:p w:rsidR="000842F7" w:rsidRDefault="000842F7" w:rsidP="00B92599">
      <w:pPr>
        <w:spacing w:line="360" w:lineRule="auto"/>
      </w:pPr>
    </w:p>
    <w:p w:rsidR="008748FB" w:rsidRPr="001B600C" w:rsidRDefault="008748FB" w:rsidP="008748FB"/>
    <w:p w:rsidR="008748FB" w:rsidRPr="00102871" w:rsidRDefault="008748FB" w:rsidP="008748FB">
      <w:pPr>
        <w:jc w:val="center"/>
        <w:rPr>
          <w:i/>
        </w:rPr>
      </w:pPr>
      <w:r w:rsidRPr="00102871">
        <w:rPr>
          <w:i/>
        </w:rPr>
        <w:t>[See the PDF version]</w:t>
      </w:r>
    </w:p>
    <w:p w:rsidR="008748FB" w:rsidRPr="00102871" w:rsidRDefault="008748FB" w:rsidP="008748FB"/>
    <w:p w:rsidR="000842F7" w:rsidRPr="00BC7F2E" w:rsidRDefault="000842F7" w:rsidP="00B92599"/>
    <w:p w:rsidR="000842F7" w:rsidRPr="00384E95" w:rsidRDefault="000842F7" w:rsidP="00B92599"/>
    <w:p w:rsidR="000842F7" w:rsidRPr="00384E95" w:rsidRDefault="000842F7" w:rsidP="00B92599"/>
    <w:p w:rsidR="000842F7" w:rsidRPr="000842F7" w:rsidRDefault="000842F7" w:rsidP="00B92599">
      <w:pPr>
        <w:jc w:val="right"/>
      </w:pPr>
      <w:r w:rsidRPr="000842F7">
        <w:t>[Annex III follows]</w:t>
      </w:r>
    </w:p>
    <w:p w:rsidR="000842F7" w:rsidRDefault="000842F7" w:rsidP="00B92599">
      <w:pPr>
        <w:spacing w:line="360" w:lineRule="auto"/>
        <w:jc w:val="left"/>
      </w:pPr>
    </w:p>
    <w:p w:rsidR="008748FB" w:rsidRDefault="008748FB" w:rsidP="00B92599">
      <w:pPr>
        <w:spacing w:line="360" w:lineRule="auto"/>
        <w:jc w:val="left"/>
      </w:pPr>
    </w:p>
    <w:p w:rsidR="008748FB" w:rsidRPr="000842F7" w:rsidRDefault="008748FB" w:rsidP="00B92599">
      <w:pPr>
        <w:spacing w:line="360" w:lineRule="auto"/>
        <w:jc w:val="left"/>
        <w:sectPr w:rsidR="008748FB" w:rsidRPr="000842F7" w:rsidSect="00B92599">
          <w:headerReference w:type="default" r:id="rId12"/>
          <w:headerReference w:type="first" r:id="rId13"/>
          <w:pgSz w:w="11907" w:h="16840" w:code="9"/>
          <w:pgMar w:top="510" w:right="1134" w:bottom="1134" w:left="1134" w:header="510" w:footer="680" w:gutter="0"/>
          <w:pgNumType w:start="1"/>
          <w:cols w:space="720"/>
          <w:noEndnote/>
          <w:titlePg/>
        </w:sectPr>
      </w:pPr>
    </w:p>
    <w:p w:rsidR="000842F7" w:rsidRPr="00C5280D" w:rsidRDefault="00246C00" w:rsidP="00B92599">
      <w:pPr>
        <w:pStyle w:val="Header"/>
        <w:rPr>
          <w:rStyle w:val="PageNumber"/>
          <w:lang w:val="en-US" w:eastAsia="ja-JP"/>
        </w:rPr>
      </w:pPr>
      <w:r>
        <w:rPr>
          <w:rStyle w:val="PageNumber"/>
          <w:lang w:val="en-US"/>
        </w:rPr>
        <w:lastRenderedPageBreak/>
        <w:t>UPOV/WG-DEN/4/3</w:t>
      </w:r>
    </w:p>
    <w:p w:rsidR="000842F7" w:rsidRPr="00C5280D" w:rsidRDefault="000842F7" w:rsidP="00B92599">
      <w:pPr>
        <w:pStyle w:val="Header"/>
        <w:rPr>
          <w:lang w:val="en-US"/>
        </w:rPr>
      </w:pPr>
    </w:p>
    <w:p w:rsidR="000842F7" w:rsidRPr="00EA3FF2" w:rsidRDefault="000842F7" w:rsidP="00B92599">
      <w:pPr>
        <w:jc w:val="center"/>
      </w:pPr>
      <w:r>
        <w:t>ANNEX III</w:t>
      </w:r>
    </w:p>
    <w:p w:rsidR="000842F7" w:rsidRDefault="000842F7" w:rsidP="00B92599"/>
    <w:p w:rsidR="000842F7" w:rsidRDefault="000842F7" w:rsidP="00B92599">
      <w:pPr>
        <w:spacing w:line="360" w:lineRule="auto"/>
      </w:pPr>
    </w:p>
    <w:p w:rsidR="008748FB" w:rsidRPr="00102871" w:rsidRDefault="008748FB" w:rsidP="008748FB">
      <w:pPr>
        <w:jc w:val="center"/>
        <w:rPr>
          <w:i/>
        </w:rPr>
      </w:pPr>
      <w:r w:rsidRPr="00102871">
        <w:rPr>
          <w:i/>
        </w:rPr>
        <w:t>[See the PDF version]</w:t>
      </w:r>
    </w:p>
    <w:p w:rsidR="008748FB" w:rsidRDefault="008748FB" w:rsidP="00B92599">
      <w:pPr>
        <w:spacing w:line="360" w:lineRule="auto"/>
      </w:pPr>
    </w:p>
    <w:p w:rsidR="006C75B9" w:rsidRDefault="006C75B9" w:rsidP="006C75B9">
      <w:pPr>
        <w:jc w:val="center"/>
      </w:pPr>
    </w:p>
    <w:p w:rsidR="000842F7" w:rsidRDefault="000842F7" w:rsidP="00B92599">
      <w:pPr>
        <w:spacing w:line="360" w:lineRule="auto"/>
        <w:jc w:val="left"/>
      </w:pPr>
    </w:p>
    <w:p w:rsidR="000842F7" w:rsidRDefault="000842F7" w:rsidP="00B92599">
      <w:pPr>
        <w:spacing w:line="360" w:lineRule="auto"/>
        <w:jc w:val="center"/>
      </w:pPr>
    </w:p>
    <w:p w:rsidR="000842F7" w:rsidRDefault="000842F7" w:rsidP="00B92599">
      <w:pPr>
        <w:spacing w:line="360" w:lineRule="auto"/>
        <w:jc w:val="center"/>
      </w:pPr>
    </w:p>
    <w:p w:rsidR="00974581" w:rsidRPr="000842F7" w:rsidRDefault="000842F7" w:rsidP="000842F7">
      <w:pPr>
        <w:jc w:val="right"/>
      </w:pPr>
      <w:r w:rsidRPr="000842F7">
        <w:t>[End of Annex III and of document]</w:t>
      </w:r>
    </w:p>
    <w:sectPr w:rsidR="00974581" w:rsidRPr="000842F7" w:rsidSect="00B92599">
      <w:headerReference w:type="default" r:id="rId14"/>
      <w:pgSz w:w="11907" w:h="16840" w:code="9"/>
      <w:pgMar w:top="510" w:right="1134" w:bottom="1134" w:left="1134" w:header="51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842" w:rsidRDefault="000F0842" w:rsidP="006655D3">
      <w:r>
        <w:separator/>
      </w:r>
    </w:p>
    <w:p w:rsidR="000F0842" w:rsidRDefault="000F0842" w:rsidP="006655D3"/>
    <w:p w:rsidR="000F0842" w:rsidRDefault="000F0842" w:rsidP="006655D3"/>
  </w:endnote>
  <w:endnote w:type="continuationSeparator" w:id="0">
    <w:p w:rsidR="000F0842" w:rsidRDefault="000F0842" w:rsidP="006655D3">
      <w:r>
        <w:separator/>
      </w:r>
    </w:p>
    <w:p w:rsidR="000F0842" w:rsidRPr="00294751" w:rsidRDefault="000F0842">
      <w:pPr>
        <w:pStyle w:val="Footer"/>
        <w:spacing w:after="60"/>
        <w:rPr>
          <w:sz w:val="18"/>
          <w:lang w:val="fr-FR"/>
        </w:rPr>
      </w:pPr>
      <w:r w:rsidRPr="00294751">
        <w:rPr>
          <w:sz w:val="18"/>
          <w:lang w:val="fr-FR"/>
        </w:rPr>
        <w:t>[Suite de la note de la page précédente]</w:t>
      </w:r>
    </w:p>
    <w:p w:rsidR="000F0842" w:rsidRPr="00294751" w:rsidRDefault="000F0842" w:rsidP="006655D3">
      <w:pPr>
        <w:rPr>
          <w:lang w:val="fr-FR"/>
        </w:rPr>
      </w:pPr>
    </w:p>
    <w:p w:rsidR="000F0842" w:rsidRPr="00294751" w:rsidRDefault="000F0842" w:rsidP="006655D3">
      <w:pPr>
        <w:rPr>
          <w:lang w:val="fr-FR"/>
        </w:rPr>
      </w:pPr>
    </w:p>
  </w:endnote>
  <w:endnote w:type="continuationNotice" w:id="1">
    <w:p w:rsidR="000F0842" w:rsidRPr="00294751" w:rsidRDefault="000F0842" w:rsidP="006655D3">
      <w:pPr>
        <w:rPr>
          <w:lang w:val="fr-FR"/>
        </w:rPr>
      </w:pPr>
      <w:r w:rsidRPr="00294751">
        <w:rPr>
          <w:lang w:val="fr-FR"/>
        </w:rPr>
        <w:t>[Suite de la note page suivante]</w:t>
      </w:r>
    </w:p>
    <w:p w:rsidR="000F0842" w:rsidRPr="00294751" w:rsidRDefault="000F0842" w:rsidP="006655D3">
      <w:pPr>
        <w:rPr>
          <w:lang w:val="fr-FR"/>
        </w:rPr>
      </w:pPr>
    </w:p>
    <w:p w:rsidR="000F0842" w:rsidRPr="00294751" w:rsidRDefault="000F084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842" w:rsidRDefault="000F0842" w:rsidP="006655D3">
      <w:r>
        <w:separator/>
      </w:r>
    </w:p>
  </w:footnote>
  <w:footnote w:type="continuationSeparator" w:id="0">
    <w:p w:rsidR="000F0842" w:rsidRDefault="000F0842" w:rsidP="006655D3">
      <w:r>
        <w:separator/>
      </w:r>
    </w:p>
  </w:footnote>
  <w:footnote w:type="continuationNotice" w:id="1">
    <w:p w:rsidR="000F0842" w:rsidRPr="00AB530F" w:rsidRDefault="000F0842"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B55" w:rsidRPr="00C5280D" w:rsidRDefault="00246C00" w:rsidP="00D72B55">
    <w:pPr>
      <w:pStyle w:val="Header"/>
      <w:rPr>
        <w:rStyle w:val="PageNumber"/>
        <w:lang w:val="en-US" w:eastAsia="ja-JP"/>
      </w:rPr>
    </w:pPr>
    <w:r>
      <w:rPr>
        <w:rStyle w:val="PageNumber"/>
        <w:lang w:val="en-US"/>
      </w:rPr>
      <w:t>UPOV/WG-DEN/4/3</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A70B5">
      <w:rPr>
        <w:rStyle w:val="PageNumber"/>
        <w:noProof/>
        <w:lang w:val="en-US"/>
      </w:rPr>
      <w:t>4</w:t>
    </w:r>
    <w:r w:rsidRPr="00C5280D">
      <w:rPr>
        <w:rStyle w:val="PageNumber"/>
        <w:lang w:val="en-US"/>
      </w:rPr>
      <w:fldChar w:fldCharType="end"/>
    </w:r>
  </w:p>
  <w:p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2F7" w:rsidRPr="00556966" w:rsidRDefault="00246C00" w:rsidP="00B92599">
    <w:pPr>
      <w:jc w:val="center"/>
      <w:rPr>
        <w:rFonts w:cs="Arial"/>
      </w:rPr>
    </w:pPr>
    <w:r>
      <w:rPr>
        <w:rFonts w:cs="Arial"/>
      </w:rPr>
      <w:t>UPOV/WG-DEN/4/3</w:t>
    </w:r>
  </w:p>
  <w:p w:rsidR="000842F7" w:rsidRPr="00556966" w:rsidRDefault="000842F7" w:rsidP="00B92599">
    <w:pPr>
      <w:jc w:val="center"/>
      <w:rPr>
        <w:rFonts w:cs="Arial"/>
      </w:rPr>
    </w:pPr>
    <w:r w:rsidRPr="00556966">
      <w:rPr>
        <w:rFonts w:cs="Arial"/>
      </w:rPr>
      <w:t xml:space="preserve">Annex I, page </w:t>
    </w:r>
    <w:r w:rsidRPr="00FE1D1B">
      <w:rPr>
        <w:rStyle w:val="PageNumber"/>
        <w:rFonts w:cs="Arial"/>
      </w:rPr>
      <w:fldChar w:fldCharType="begin"/>
    </w:r>
    <w:r w:rsidRPr="00556966">
      <w:rPr>
        <w:rStyle w:val="PageNumber"/>
        <w:rFonts w:cs="Arial"/>
      </w:rPr>
      <w:instrText xml:space="preserve"> PAGE </w:instrText>
    </w:r>
    <w:r w:rsidRPr="00FE1D1B">
      <w:rPr>
        <w:rStyle w:val="PageNumber"/>
        <w:rFonts w:cs="Arial"/>
      </w:rPr>
      <w:fldChar w:fldCharType="separate"/>
    </w:r>
    <w:r w:rsidR="00CA70B5">
      <w:rPr>
        <w:rStyle w:val="PageNumber"/>
        <w:rFonts w:cs="Arial"/>
        <w:noProof/>
      </w:rPr>
      <w:t>5</w:t>
    </w:r>
    <w:r w:rsidRPr="00FE1D1B">
      <w:rPr>
        <w:rStyle w:val="PageNumber"/>
        <w:rFonts w:cs="Arial"/>
      </w:rPr>
      <w:fldChar w:fldCharType="end"/>
    </w:r>
  </w:p>
  <w:p w:rsidR="000842F7" w:rsidRPr="00556966" w:rsidRDefault="000842F7">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2F7" w:rsidRPr="00CB3260" w:rsidRDefault="00DD4971" w:rsidP="00B92599">
    <w:pPr>
      <w:jc w:val="center"/>
      <w:rPr>
        <w:rFonts w:cs="Arial"/>
        <w:lang w:val="de-DE"/>
      </w:rPr>
    </w:pPr>
    <w:r>
      <w:rPr>
        <w:rFonts w:cs="Arial"/>
        <w:lang w:val="de-DE"/>
      </w:rPr>
      <w:t>UPOV/WG-DEN/3/3</w:t>
    </w:r>
  </w:p>
  <w:p w:rsidR="000842F7" w:rsidRPr="00CB3260" w:rsidRDefault="000842F7" w:rsidP="00B92599">
    <w:pPr>
      <w:jc w:val="center"/>
      <w:rPr>
        <w:rFonts w:cs="Arial"/>
        <w:lang w:val="de-DE"/>
      </w:rPr>
    </w:pPr>
    <w:r>
      <w:rPr>
        <w:rFonts w:cs="Arial"/>
        <w:lang w:val="de-DE"/>
      </w:rPr>
      <w:t xml:space="preserve">Annex II, </w:t>
    </w:r>
    <w:r w:rsidRPr="00CB3260">
      <w:rPr>
        <w:rFonts w:cs="Arial"/>
        <w:lang w:val="de-DE"/>
      </w:rPr>
      <w:t xml:space="preserve">page </w:t>
    </w:r>
    <w:r w:rsidRPr="00FE1D1B">
      <w:rPr>
        <w:rStyle w:val="PageNumber"/>
        <w:rFonts w:cs="Arial"/>
      </w:rPr>
      <w:fldChar w:fldCharType="begin"/>
    </w:r>
    <w:r w:rsidRPr="00CB3260">
      <w:rPr>
        <w:rStyle w:val="PageNumber"/>
        <w:rFonts w:cs="Arial"/>
        <w:lang w:val="de-DE"/>
      </w:rPr>
      <w:instrText xml:space="preserve"> PAGE </w:instrText>
    </w:r>
    <w:r w:rsidRPr="00FE1D1B">
      <w:rPr>
        <w:rStyle w:val="PageNumber"/>
        <w:rFonts w:cs="Arial"/>
      </w:rPr>
      <w:fldChar w:fldCharType="separate"/>
    </w:r>
    <w:r w:rsidR="00556966">
      <w:rPr>
        <w:rStyle w:val="PageNumber"/>
        <w:rFonts w:cs="Arial"/>
        <w:noProof/>
        <w:lang w:val="de-DE"/>
      </w:rPr>
      <w:t>1</w:t>
    </w:r>
    <w:r w:rsidRPr="00FE1D1B">
      <w:rPr>
        <w:rStyle w:val="PageNumber"/>
        <w:rFonts w:cs="Arial"/>
      </w:rPr>
      <w:fldChar w:fldCharType="end"/>
    </w:r>
  </w:p>
  <w:p w:rsidR="000842F7" w:rsidRPr="00CB3260" w:rsidRDefault="000842F7">
    <w:pPr>
      <w:pStyle w:val="Header"/>
      <w:rPr>
        <w:lang w:val="de-D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42F7" w:rsidRDefault="000842F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599" w:rsidRPr="00CB3260" w:rsidRDefault="00DD4971" w:rsidP="00B92599">
    <w:pPr>
      <w:jc w:val="center"/>
      <w:rPr>
        <w:rFonts w:cs="Arial"/>
        <w:lang w:val="de-DE"/>
      </w:rPr>
    </w:pPr>
    <w:r>
      <w:rPr>
        <w:rFonts w:cs="Arial"/>
        <w:lang w:val="de-DE"/>
      </w:rPr>
      <w:t>UPOV/WG-DEN/3/3</w:t>
    </w:r>
  </w:p>
  <w:p w:rsidR="00B92599" w:rsidRPr="00CB3260" w:rsidRDefault="005D4E6F" w:rsidP="00B92599">
    <w:pPr>
      <w:jc w:val="center"/>
      <w:rPr>
        <w:rFonts w:cs="Arial"/>
        <w:lang w:val="de-DE"/>
      </w:rPr>
    </w:pPr>
    <w:r>
      <w:rPr>
        <w:rFonts w:cs="Arial"/>
        <w:lang w:val="de-DE"/>
      </w:rPr>
      <w:t xml:space="preserve">Annex III, </w:t>
    </w:r>
    <w:r w:rsidRPr="00CB3260">
      <w:rPr>
        <w:rFonts w:cs="Arial"/>
        <w:lang w:val="de-DE"/>
      </w:rPr>
      <w:t xml:space="preserve">page </w:t>
    </w:r>
    <w:r w:rsidRPr="00FE1D1B">
      <w:rPr>
        <w:rStyle w:val="PageNumber"/>
        <w:rFonts w:cs="Arial"/>
      </w:rPr>
      <w:fldChar w:fldCharType="begin"/>
    </w:r>
    <w:r w:rsidRPr="00CB3260">
      <w:rPr>
        <w:rStyle w:val="PageNumber"/>
        <w:rFonts w:cs="Arial"/>
        <w:lang w:val="de-DE"/>
      </w:rPr>
      <w:instrText xml:space="preserve"> PAGE </w:instrText>
    </w:r>
    <w:r w:rsidRPr="00FE1D1B">
      <w:rPr>
        <w:rStyle w:val="PageNumber"/>
        <w:rFonts w:cs="Arial"/>
      </w:rPr>
      <w:fldChar w:fldCharType="separate"/>
    </w:r>
    <w:r w:rsidR="00556966">
      <w:rPr>
        <w:rStyle w:val="PageNumber"/>
        <w:rFonts w:cs="Arial"/>
        <w:noProof/>
        <w:lang w:val="de-DE"/>
      </w:rPr>
      <w:t>1</w:t>
    </w:r>
    <w:r w:rsidRPr="00FE1D1B">
      <w:rPr>
        <w:rStyle w:val="PageNumber"/>
        <w:rFonts w:cs="Arial"/>
      </w:rPr>
      <w:fldChar w:fldCharType="end"/>
    </w:r>
  </w:p>
  <w:p w:rsidR="00B92599" w:rsidRPr="00CB3260" w:rsidRDefault="00B92599">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976EA"/>
    <w:multiLevelType w:val="hybridMultilevel"/>
    <w:tmpl w:val="8E68AF96"/>
    <w:lvl w:ilvl="0" w:tplc="C4F44AD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35CF71DB"/>
    <w:multiLevelType w:val="hybridMultilevel"/>
    <w:tmpl w:val="91A27812"/>
    <w:lvl w:ilvl="0" w:tplc="BD9A55E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F1075D"/>
    <w:multiLevelType w:val="hybridMultilevel"/>
    <w:tmpl w:val="D60E6F0A"/>
    <w:lvl w:ilvl="0" w:tplc="BFA0E07E">
      <w:start w:val="1"/>
      <w:numFmt w:val="lowerRoman"/>
      <w:lvlText w:val="(%1)"/>
      <w:lvlJc w:val="left"/>
      <w:pPr>
        <w:ind w:left="2259" w:hanging="112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69692632"/>
    <w:multiLevelType w:val="hybridMultilevel"/>
    <w:tmpl w:val="217C1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363E61"/>
    <w:multiLevelType w:val="hybridMultilevel"/>
    <w:tmpl w:val="BD5641A4"/>
    <w:lvl w:ilvl="0" w:tplc="85D4BCC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0FE"/>
    <w:rsid w:val="00004723"/>
    <w:rsid w:val="00010CF3"/>
    <w:rsid w:val="00011941"/>
    <w:rsid w:val="00011E27"/>
    <w:rsid w:val="000148BC"/>
    <w:rsid w:val="00014BBC"/>
    <w:rsid w:val="00017D7E"/>
    <w:rsid w:val="000201F0"/>
    <w:rsid w:val="00021B46"/>
    <w:rsid w:val="00024AB8"/>
    <w:rsid w:val="00030854"/>
    <w:rsid w:val="00036028"/>
    <w:rsid w:val="00041A2B"/>
    <w:rsid w:val="00044642"/>
    <w:rsid w:val="000446B9"/>
    <w:rsid w:val="00045CCB"/>
    <w:rsid w:val="000477B4"/>
    <w:rsid w:val="00047E21"/>
    <w:rsid w:val="00050E16"/>
    <w:rsid w:val="000670D0"/>
    <w:rsid w:val="000710A0"/>
    <w:rsid w:val="00071149"/>
    <w:rsid w:val="00082889"/>
    <w:rsid w:val="0008321E"/>
    <w:rsid w:val="000842F7"/>
    <w:rsid w:val="00085505"/>
    <w:rsid w:val="000932FE"/>
    <w:rsid w:val="000B1449"/>
    <w:rsid w:val="000B279D"/>
    <w:rsid w:val="000B5B6A"/>
    <w:rsid w:val="000B6727"/>
    <w:rsid w:val="000C3905"/>
    <w:rsid w:val="000C4E25"/>
    <w:rsid w:val="000C7021"/>
    <w:rsid w:val="000D2175"/>
    <w:rsid w:val="000D6BBC"/>
    <w:rsid w:val="000D7780"/>
    <w:rsid w:val="000E636A"/>
    <w:rsid w:val="000E6F95"/>
    <w:rsid w:val="000F0842"/>
    <w:rsid w:val="000F2F11"/>
    <w:rsid w:val="000F7C3B"/>
    <w:rsid w:val="0010234B"/>
    <w:rsid w:val="00102871"/>
    <w:rsid w:val="00103649"/>
    <w:rsid w:val="00105929"/>
    <w:rsid w:val="00110C36"/>
    <w:rsid w:val="001131D5"/>
    <w:rsid w:val="00114A83"/>
    <w:rsid w:val="00123F5A"/>
    <w:rsid w:val="001241EF"/>
    <w:rsid w:val="001312AC"/>
    <w:rsid w:val="00131B31"/>
    <w:rsid w:val="00137995"/>
    <w:rsid w:val="00141DB8"/>
    <w:rsid w:val="001524F7"/>
    <w:rsid w:val="00155AA5"/>
    <w:rsid w:val="00160031"/>
    <w:rsid w:val="00160B1F"/>
    <w:rsid w:val="001610DB"/>
    <w:rsid w:val="0016516E"/>
    <w:rsid w:val="00171EF3"/>
    <w:rsid w:val="00172084"/>
    <w:rsid w:val="0017474A"/>
    <w:rsid w:val="001758C6"/>
    <w:rsid w:val="00182B99"/>
    <w:rsid w:val="00183628"/>
    <w:rsid w:val="0018746B"/>
    <w:rsid w:val="001944DC"/>
    <w:rsid w:val="001A1EF4"/>
    <w:rsid w:val="001A6E82"/>
    <w:rsid w:val="001A79D6"/>
    <w:rsid w:val="001B7F49"/>
    <w:rsid w:val="001C0100"/>
    <w:rsid w:val="001C1525"/>
    <w:rsid w:val="001C4AEA"/>
    <w:rsid w:val="001C5B71"/>
    <w:rsid w:val="001D0108"/>
    <w:rsid w:val="001E5FEF"/>
    <w:rsid w:val="001E7D12"/>
    <w:rsid w:val="00202E36"/>
    <w:rsid w:val="002048FC"/>
    <w:rsid w:val="0021332C"/>
    <w:rsid w:val="00213982"/>
    <w:rsid w:val="0022012C"/>
    <w:rsid w:val="00220BA4"/>
    <w:rsid w:val="00235A41"/>
    <w:rsid w:val="00243B9B"/>
    <w:rsid w:val="00243E0B"/>
    <w:rsid w:val="0024416D"/>
    <w:rsid w:val="002457FA"/>
    <w:rsid w:val="00246C00"/>
    <w:rsid w:val="00252EBB"/>
    <w:rsid w:val="002713DD"/>
    <w:rsid w:val="00271911"/>
    <w:rsid w:val="002800A0"/>
    <w:rsid w:val="002801B3"/>
    <w:rsid w:val="00281060"/>
    <w:rsid w:val="00293D67"/>
    <w:rsid w:val="002940E8"/>
    <w:rsid w:val="00294751"/>
    <w:rsid w:val="002952DA"/>
    <w:rsid w:val="00297BA2"/>
    <w:rsid w:val="002A0335"/>
    <w:rsid w:val="002A6E50"/>
    <w:rsid w:val="002B4298"/>
    <w:rsid w:val="002C256A"/>
    <w:rsid w:val="002D2345"/>
    <w:rsid w:val="002D642D"/>
    <w:rsid w:val="002E55AB"/>
    <w:rsid w:val="002E7E3B"/>
    <w:rsid w:val="002F3BC6"/>
    <w:rsid w:val="002F6090"/>
    <w:rsid w:val="00301532"/>
    <w:rsid w:val="00305A7F"/>
    <w:rsid w:val="00307C06"/>
    <w:rsid w:val="003152FE"/>
    <w:rsid w:val="00327436"/>
    <w:rsid w:val="00334E5F"/>
    <w:rsid w:val="00344BD6"/>
    <w:rsid w:val="0035528D"/>
    <w:rsid w:val="00361821"/>
    <w:rsid w:val="00361E9E"/>
    <w:rsid w:val="00364A39"/>
    <w:rsid w:val="00365FA1"/>
    <w:rsid w:val="00384E95"/>
    <w:rsid w:val="00390435"/>
    <w:rsid w:val="003931F6"/>
    <w:rsid w:val="003947ED"/>
    <w:rsid w:val="003B7820"/>
    <w:rsid w:val="003C7FBE"/>
    <w:rsid w:val="003D227C"/>
    <w:rsid w:val="003D276B"/>
    <w:rsid w:val="003D2B4D"/>
    <w:rsid w:val="003E2BD8"/>
    <w:rsid w:val="003E3B15"/>
    <w:rsid w:val="003F579F"/>
    <w:rsid w:val="004047A3"/>
    <w:rsid w:val="00413F49"/>
    <w:rsid w:val="00417379"/>
    <w:rsid w:val="00421120"/>
    <w:rsid w:val="00422032"/>
    <w:rsid w:val="00436500"/>
    <w:rsid w:val="00443FB4"/>
    <w:rsid w:val="00444A88"/>
    <w:rsid w:val="00451239"/>
    <w:rsid w:val="00461CDB"/>
    <w:rsid w:val="0046205D"/>
    <w:rsid w:val="00474DA4"/>
    <w:rsid w:val="00476748"/>
    <w:rsid w:val="00476B4D"/>
    <w:rsid w:val="004805FA"/>
    <w:rsid w:val="00487C5C"/>
    <w:rsid w:val="004904A1"/>
    <w:rsid w:val="004922CE"/>
    <w:rsid w:val="004935D2"/>
    <w:rsid w:val="004940F3"/>
    <w:rsid w:val="00494702"/>
    <w:rsid w:val="004978C8"/>
    <w:rsid w:val="004A7614"/>
    <w:rsid w:val="004B0CD8"/>
    <w:rsid w:val="004B1215"/>
    <w:rsid w:val="004C3547"/>
    <w:rsid w:val="004D047D"/>
    <w:rsid w:val="004D33E0"/>
    <w:rsid w:val="004D4743"/>
    <w:rsid w:val="004D6DB6"/>
    <w:rsid w:val="004F1E9E"/>
    <w:rsid w:val="004F305A"/>
    <w:rsid w:val="004F30FC"/>
    <w:rsid w:val="004F3464"/>
    <w:rsid w:val="00500782"/>
    <w:rsid w:val="005060EE"/>
    <w:rsid w:val="00510E9C"/>
    <w:rsid w:val="00512164"/>
    <w:rsid w:val="00520297"/>
    <w:rsid w:val="0052529F"/>
    <w:rsid w:val="005338F9"/>
    <w:rsid w:val="0054281C"/>
    <w:rsid w:val="00544581"/>
    <w:rsid w:val="005460AA"/>
    <w:rsid w:val="00547A00"/>
    <w:rsid w:val="0055268D"/>
    <w:rsid w:val="00556966"/>
    <w:rsid w:val="00573C12"/>
    <w:rsid w:val="00576BE4"/>
    <w:rsid w:val="00584387"/>
    <w:rsid w:val="005A3B72"/>
    <w:rsid w:val="005A400A"/>
    <w:rsid w:val="005A4667"/>
    <w:rsid w:val="005C2393"/>
    <w:rsid w:val="005D31C6"/>
    <w:rsid w:val="005D4E6F"/>
    <w:rsid w:val="005E101A"/>
    <w:rsid w:val="005E5496"/>
    <w:rsid w:val="005E7288"/>
    <w:rsid w:val="005F7B92"/>
    <w:rsid w:val="00601EAB"/>
    <w:rsid w:val="00612379"/>
    <w:rsid w:val="006136C8"/>
    <w:rsid w:val="006139C2"/>
    <w:rsid w:val="006153B6"/>
    <w:rsid w:val="0061555F"/>
    <w:rsid w:val="00623C68"/>
    <w:rsid w:val="00636CA6"/>
    <w:rsid w:val="00641200"/>
    <w:rsid w:val="00645CA8"/>
    <w:rsid w:val="006476BC"/>
    <w:rsid w:val="00652157"/>
    <w:rsid w:val="0065302E"/>
    <w:rsid w:val="006655D3"/>
    <w:rsid w:val="00666DA5"/>
    <w:rsid w:val="00667404"/>
    <w:rsid w:val="00667616"/>
    <w:rsid w:val="00671E1C"/>
    <w:rsid w:val="0068420B"/>
    <w:rsid w:val="00687EB4"/>
    <w:rsid w:val="006911DD"/>
    <w:rsid w:val="006918E2"/>
    <w:rsid w:val="00694E8E"/>
    <w:rsid w:val="00695C56"/>
    <w:rsid w:val="006964F4"/>
    <w:rsid w:val="006A51CC"/>
    <w:rsid w:val="006A5CDE"/>
    <w:rsid w:val="006A644A"/>
    <w:rsid w:val="006B17D2"/>
    <w:rsid w:val="006B5581"/>
    <w:rsid w:val="006B5F11"/>
    <w:rsid w:val="006C224E"/>
    <w:rsid w:val="006C75B9"/>
    <w:rsid w:val="006D0F39"/>
    <w:rsid w:val="006D780A"/>
    <w:rsid w:val="0070496E"/>
    <w:rsid w:val="00704A65"/>
    <w:rsid w:val="00704E37"/>
    <w:rsid w:val="007052EE"/>
    <w:rsid w:val="0071271E"/>
    <w:rsid w:val="00732DEC"/>
    <w:rsid w:val="00735BD5"/>
    <w:rsid w:val="0073660F"/>
    <w:rsid w:val="00751613"/>
    <w:rsid w:val="007527B4"/>
    <w:rsid w:val="00753F82"/>
    <w:rsid w:val="007556F6"/>
    <w:rsid w:val="00760EEF"/>
    <w:rsid w:val="007636D1"/>
    <w:rsid w:val="00763A36"/>
    <w:rsid w:val="00770386"/>
    <w:rsid w:val="00770851"/>
    <w:rsid w:val="007750FE"/>
    <w:rsid w:val="00777EE5"/>
    <w:rsid w:val="0078019E"/>
    <w:rsid w:val="00784836"/>
    <w:rsid w:val="007873B4"/>
    <w:rsid w:val="0079023E"/>
    <w:rsid w:val="0079274E"/>
    <w:rsid w:val="007933FE"/>
    <w:rsid w:val="00793CAA"/>
    <w:rsid w:val="007A2854"/>
    <w:rsid w:val="007A3A0E"/>
    <w:rsid w:val="007A54EA"/>
    <w:rsid w:val="007A55EA"/>
    <w:rsid w:val="007B4950"/>
    <w:rsid w:val="007B77CD"/>
    <w:rsid w:val="007C1D92"/>
    <w:rsid w:val="007C4CB9"/>
    <w:rsid w:val="007D0B9D"/>
    <w:rsid w:val="007D19B0"/>
    <w:rsid w:val="007E5580"/>
    <w:rsid w:val="007E66CF"/>
    <w:rsid w:val="007F498F"/>
    <w:rsid w:val="00802494"/>
    <w:rsid w:val="0080679D"/>
    <w:rsid w:val="008108B0"/>
    <w:rsid w:val="00811B20"/>
    <w:rsid w:val="00817B76"/>
    <w:rsid w:val="008211B5"/>
    <w:rsid w:val="0082296E"/>
    <w:rsid w:val="00824099"/>
    <w:rsid w:val="008337D3"/>
    <w:rsid w:val="00845EF3"/>
    <w:rsid w:val="00846D7C"/>
    <w:rsid w:val="00850A14"/>
    <w:rsid w:val="00852060"/>
    <w:rsid w:val="00867AC1"/>
    <w:rsid w:val="0087478F"/>
    <w:rsid w:val="008748FB"/>
    <w:rsid w:val="008767AA"/>
    <w:rsid w:val="00881C6A"/>
    <w:rsid w:val="008830CC"/>
    <w:rsid w:val="00890DF8"/>
    <w:rsid w:val="0089228B"/>
    <w:rsid w:val="008A743F"/>
    <w:rsid w:val="008B06A1"/>
    <w:rsid w:val="008B1C33"/>
    <w:rsid w:val="008B25C9"/>
    <w:rsid w:val="008C0970"/>
    <w:rsid w:val="008C3987"/>
    <w:rsid w:val="008C754C"/>
    <w:rsid w:val="008D0BC5"/>
    <w:rsid w:val="008D2CF7"/>
    <w:rsid w:val="008E20EE"/>
    <w:rsid w:val="008E6C60"/>
    <w:rsid w:val="008F3A33"/>
    <w:rsid w:val="00900C26"/>
    <w:rsid w:val="0090197F"/>
    <w:rsid w:val="00903264"/>
    <w:rsid w:val="00906309"/>
    <w:rsid w:val="00906DDC"/>
    <w:rsid w:val="0091710F"/>
    <w:rsid w:val="00920C1D"/>
    <w:rsid w:val="00927FFE"/>
    <w:rsid w:val="00934E09"/>
    <w:rsid w:val="00936253"/>
    <w:rsid w:val="00936254"/>
    <w:rsid w:val="00940D46"/>
    <w:rsid w:val="00952DD4"/>
    <w:rsid w:val="0095610C"/>
    <w:rsid w:val="00956294"/>
    <w:rsid w:val="00965AE7"/>
    <w:rsid w:val="00970FED"/>
    <w:rsid w:val="00974183"/>
    <w:rsid w:val="00974581"/>
    <w:rsid w:val="0098461A"/>
    <w:rsid w:val="00986228"/>
    <w:rsid w:val="00992D82"/>
    <w:rsid w:val="00997029"/>
    <w:rsid w:val="009A7339"/>
    <w:rsid w:val="009B0819"/>
    <w:rsid w:val="009B3BBB"/>
    <w:rsid w:val="009B440E"/>
    <w:rsid w:val="009B7DD3"/>
    <w:rsid w:val="009C1248"/>
    <w:rsid w:val="009C3B71"/>
    <w:rsid w:val="009C7DA2"/>
    <w:rsid w:val="009D5E1A"/>
    <w:rsid w:val="009D690D"/>
    <w:rsid w:val="009D7A1D"/>
    <w:rsid w:val="009E456B"/>
    <w:rsid w:val="009E65B6"/>
    <w:rsid w:val="009F5CA5"/>
    <w:rsid w:val="009F77CF"/>
    <w:rsid w:val="00A02CB3"/>
    <w:rsid w:val="00A06B46"/>
    <w:rsid w:val="00A12AE5"/>
    <w:rsid w:val="00A1323D"/>
    <w:rsid w:val="00A24C10"/>
    <w:rsid w:val="00A33150"/>
    <w:rsid w:val="00A42AC3"/>
    <w:rsid w:val="00A430CF"/>
    <w:rsid w:val="00A539A2"/>
    <w:rsid w:val="00A54309"/>
    <w:rsid w:val="00A71163"/>
    <w:rsid w:val="00A81778"/>
    <w:rsid w:val="00A90381"/>
    <w:rsid w:val="00A913EF"/>
    <w:rsid w:val="00A9389F"/>
    <w:rsid w:val="00AB1B8A"/>
    <w:rsid w:val="00AB2B93"/>
    <w:rsid w:val="00AB530F"/>
    <w:rsid w:val="00AB733D"/>
    <w:rsid w:val="00AB7E5B"/>
    <w:rsid w:val="00AC2883"/>
    <w:rsid w:val="00AD0D66"/>
    <w:rsid w:val="00AD658E"/>
    <w:rsid w:val="00AE0EF1"/>
    <w:rsid w:val="00AE1036"/>
    <w:rsid w:val="00AE2937"/>
    <w:rsid w:val="00AE32BD"/>
    <w:rsid w:val="00B01872"/>
    <w:rsid w:val="00B03359"/>
    <w:rsid w:val="00B03BD3"/>
    <w:rsid w:val="00B07301"/>
    <w:rsid w:val="00B11F3E"/>
    <w:rsid w:val="00B12B43"/>
    <w:rsid w:val="00B13C08"/>
    <w:rsid w:val="00B224DE"/>
    <w:rsid w:val="00B22A40"/>
    <w:rsid w:val="00B324D4"/>
    <w:rsid w:val="00B33176"/>
    <w:rsid w:val="00B33AE6"/>
    <w:rsid w:val="00B43DD4"/>
    <w:rsid w:val="00B455AF"/>
    <w:rsid w:val="00B46575"/>
    <w:rsid w:val="00B50C79"/>
    <w:rsid w:val="00B513E1"/>
    <w:rsid w:val="00B53797"/>
    <w:rsid w:val="00B61777"/>
    <w:rsid w:val="00B67675"/>
    <w:rsid w:val="00B84BBD"/>
    <w:rsid w:val="00B90677"/>
    <w:rsid w:val="00B92599"/>
    <w:rsid w:val="00B95C5B"/>
    <w:rsid w:val="00BA0823"/>
    <w:rsid w:val="00BA1AC8"/>
    <w:rsid w:val="00BA30BA"/>
    <w:rsid w:val="00BA43FB"/>
    <w:rsid w:val="00BA735F"/>
    <w:rsid w:val="00BB2C99"/>
    <w:rsid w:val="00BC127D"/>
    <w:rsid w:val="00BC1FE6"/>
    <w:rsid w:val="00BC3038"/>
    <w:rsid w:val="00BC3C35"/>
    <w:rsid w:val="00BC4247"/>
    <w:rsid w:val="00BC692E"/>
    <w:rsid w:val="00BD1863"/>
    <w:rsid w:val="00BD1AEE"/>
    <w:rsid w:val="00BE0494"/>
    <w:rsid w:val="00BF240D"/>
    <w:rsid w:val="00C061B6"/>
    <w:rsid w:val="00C10D07"/>
    <w:rsid w:val="00C17331"/>
    <w:rsid w:val="00C23422"/>
    <w:rsid w:val="00C2446C"/>
    <w:rsid w:val="00C26E67"/>
    <w:rsid w:val="00C34090"/>
    <w:rsid w:val="00C36AE5"/>
    <w:rsid w:val="00C41F17"/>
    <w:rsid w:val="00C527FA"/>
    <w:rsid w:val="00C5280D"/>
    <w:rsid w:val="00C53EB3"/>
    <w:rsid w:val="00C56169"/>
    <w:rsid w:val="00C56B98"/>
    <w:rsid w:val="00C5791C"/>
    <w:rsid w:val="00C66290"/>
    <w:rsid w:val="00C662AE"/>
    <w:rsid w:val="00C66EF3"/>
    <w:rsid w:val="00C6776B"/>
    <w:rsid w:val="00C721C9"/>
    <w:rsid w:val="00C72B7A"/>
    <w:rsid w:val="00C74034"/>
    <w:rsid w:val="00C87B21"/>
    <w:rsid w:val="00C90C8D"/>
    <w:rsid w:val="00C973F2"/>
    <w:rsid w:val="00CA304C"/>
    <w:rsid w:val="00CA70B5"/>
    <w:rsid w:val="00CA774A"/>
    <w:rsid w:val="00CC11B0"/>
    <w:rsid w:val="00CC1578"/>
    <w:rsid w:val="00CC2841"/>
    <w:rsid w:val="00CC7180"/>
    <w:rsid w:val="00CD763A"/>
    <w:rsid w:val="00CF1330"/>
    <w:rsid w:val="00CF7E36"/>
    <w:rsid w:val="00D024E0"/>
    <w:rsid w:val="00D116AC"/>
    <w:rsid w:val="00D178BD"/>
    <w:rsid w:val="00D229A8"/>
    <w:rsid w:val="00D34075"/>
    <w:rsid w:val="00D368C0"/>
    <w:rsid w:val="00D3708D"/>
    <w:rsid w:val="00D40426"/>
    <w:rsid w:val="00D52109"/>
    <w:rsid w:val="00D57C96"/>
    <w:rsid w:val="00D57D18"/>
    <w:rsid w:val="00D663D8"/>
    <w:rsid w:val="00D70C95"/>
    <w:rsid w:val="00D72B55"/>
    <w:rsid w:val="00D73C1A"/>
    <w:rsid w:val="00D875E3"/>
    <w:rsid w:val="00D90872"/>
    <w:rsid w:val="00D91203"/>
    <w:rsid w:val="00D95174"/>
    <w:rsid w:val="00D95A28"/>
    <w:rsid w:val="00DA4973"/>
    <w:rsid w:val="00DA6F36"/>
    <w:rsid w:val="00DB1EC7"/>
    <w:rsid w:val="00DB36EA"/>
    <w:rsid w:val="00DB4783"/>
    <w:rsid w:val="00DB596E"/>
    <w:rsid w:val="00DB7773"/>
    <w:rsid w:val="00DC00EA"/>
    <w:rsid w:val="00DC3802"/>
    <w:rsid w:val="00DC3B6B"/>
    <w:rsid w:val="00DD0FFE"/>
    <w:rsid w:val="00DD4971"/>
    <w:rsid w:val="00DE5C67"/>
    <w:rsid w:val="00DE5F3B"/>
    <w:rsid w:val="00DF00F3"/>
    <w:rsid w:val="00DF0EEF"/>
    <w:rsid w:val="00E0413C"/>
    <w:rsid w:val="00E0502E"/>
    <w:rsid w:val="00E07D87"/>
    <w:rsid w:val="00E12E60"/>
    <w:rsid w:val="00E141DD"/>
    <w:rsid w:val="00E17C93"/>
    <w:rsid w:val="00E304B9"/>
    <w:rsid w:val="00E318D4"/>
    <w:rsid w:val="00E32F7E"/>
    <w:rsid w:val="00E33894"/>
    <w:rsid w:val="00E35A62"/>
    <w:rsid w:val="00E363DB"/>
    <w:rsid w:val="00E427FC"/>
    <w:rsid w:val="00E51AA7"/>
    <w:rsid w:val="00E5267B"/>
    <w:rsid w:val="00E54B80"/>
    <w:rsid w:val="00E63C0E"/>
    <w:rsid w:val="00E677E0"/>
    <w:rsid w:val="00E72AAB"/>
    <w:rsid w:val="00E72D49"/>
    <w:rsid w:val="00E754D5"/>
    <w:rsid w:val="00E757FD"/>
    <w:rsid w:val="00E7593C"/>
    <w:rsid w:val="00E7678A"/>
    <w:rsid w:val="00E8182D"/>
    <w:rsid w:val="00E9293F"/>
    <w:rsid w:val="00E935F1"/>
    <w:rsid w:val="00E94A81"/>
    <w:rsid w:val="00E967CE"/>
    <w:rsid w:val="00E970DA"/>
    <w:rsid w:val="00EA1FFB"/>
    <w:rsid w:val="00EB040F"/>
    <w:rsid w:val="00EB048E"/>
    <w:rsid w:val="00EB4B6C"/>
    <w:rsid w:val="00EB4E9C"/>
    <w:rsid w:val="00EB558A"/>
    <w:rsid w:val="00ED43ED"/>
    <w:rsid w:val="00ED5383"/>
    <w:rsid w:val="00EE34DF"/>
    <w:rsid w:val="00EF2F89"/>
    <w:rsid w:val="00F03E98"/>
    <w:rsid w:val="00F11D29"/>
    <w:rsid w:val="00F1237A"/>
    <w:rsid w:val="00F15601"/>
    <w:rsid w:val="00F22CBD"/>
    <w:rsid w:val="00F260BD"/>
    <w:rsid w:val="00F272F1"/>
    <w:rsid w:val="00F43B1F"/>
    <w:rsid w:val="00F45372"/>
    <w:rsid w:val="00F45B5D"/>
    <w:rsid w:val="00F560F7"/>
    <w:rsid w:val="00F6334D"/>
    <w:rsid w:val="00F63599"/>
    <w:rsid w:val="00F63818"/>
    <w:rsid w:val="00F80211"/>
    <w:rsid w:val="00F82F02"/>
    <w:rsid w:val="00F9024A"/>
    <w:rsid w:val="00F936CF"/>
    <w:rsid w:val="00F9378E"/>
    <w:rsid w:val="00FA0C54"/>
    <w:rsid w:val="00FA49AB"/>
    <w:rsid w:val="00FB0E99"/>
    <w:rsid w:val="00FB2307"/>
    <w:rsid w:val="00FB5288"/>
    <w:rsid w:val="00FB6FC0"/>
    <w:rsid w:val="00FC1B98"/>
    <w:rsid w:val="00FC6E29"/>
    <w:rsid w:val="00FE15FC"/>
    <w:rsid w:val="00FE39C7"/>
    <w:rsid w:val="00FF3F5B"/>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D1C9DE9"/>
  <w15:docId w15:val="{90B5D8B1-ADE5-48D7-8176-2E955682A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E427FC"/>
    <w:pPr>
      <w:keepNext/>
      <w:jc w:val="both"/>
      <w:outlineLvl w:val="1"/>
    </w:pPr>
    <w:rPr>
      <w:rFonts w:ascii="Arial" w:hAnsi="Arial"/>
      <w:u w:val="single"/>
      <w:lang w:eastAsia="ja-JP"/>
    </w:rPr>
  </w:style>
  <w:style w:type="paragraph" w:styleId="Heading3">
    <w:name w:val="heading 3"/>
    <w:next w:val="Normal"/>
    <w:autoRedefine/>
    <w:qFormat/>
    <w:rsid w:val="00DD4971"/>
    <w:pPr>
      <w:keepNext/>
      <w:ind w:left="1134" w:hanging="1134"/>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semiHidden/>
    <w:unhideWhenUsed/>
    <w:qFormat/>
    <w:rsid w:val="00817B7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22032"/>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22032"/>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F9378E"/>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F9378E"/>
    <w:pPr>
      <w:tabs>
        <w:tab w:val="right" w:leader="dot" w:pos="9639"/>
      </w:tabs>
      <w:spacing w:after="60"/>
      <w:ind w:left="567" w:right="1418"/>
      <w:contextualSpacing/>
    </w:pPr>
    <w:rPr>
      <w:rFonts w:ascii="Arial" w:eastAsia="Times New Roman"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F9378E"/>
    <w:pPr>
      <w:tabs>
        <w:tab w:val="right" w:leader="dot" w:pos="9639"/>
      </w:tabs>
      <w:spacing w:before="120" w:after="60"/>
      <w:ind w:right="1418"/>
      <w:jc w:val="left"/>
    </w:pPr>
    <w:rPr>
      <w:rFonts w:eastAsia="Times New Roman" w:cs="Arial"/>
      <w:bCs/>
      <w:cap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FooterChar">
    <w:name w:val="Footer Char"/>
    <w:aliases w:val="doc_path_name Char"/>
    <w:basedOn w:val="DefaultParagraphFont"/>
    <w:link w:val="Footer"/>
    <w:rsid w:val="00C90C8D"/>
    <w:rPr>
      <w:rFonts w:ascii="Arial" w:hAnsi="Arial"/>
      <w:sz w:val="14"/>
    </w:rPr>
  </w:style>
  <w:style w:type="paragraph" w:styleId="ListParagraph">
    <w:name w:val="List Paragraph"/>
    <w:basedOn w:val="Normal"/>
    <w:uiPriority w:val="34"/>
    <w:qFormat/>
    <w:rsid w:val="009C7DA2"/>
    <w:pPr>
      <w:ind w:left="720"/>
      <w:contextualSpacing/>
    </w:pPr>
  </w:style>
  <w:style w:type="character" w:customStyle="1" w:styleId="Heading2Char">
    <w:name w:val="Heading 2 Char"/>
    <w:basedOn w:val="DefaultParagraphFont"/>
    <w:link w:val="Heading2"/>
    <w:rsid w:val="00E427FC"/>
    <w:rPr>
      <w:rFonts w:ascii="Arial" w:hAnsi="Arial"/>
      <w:u w:val="single"/>
      <w:lang w:eastAsia="ja-JP"/>
    </w:rPr>
  </w:style>
  <w:style w:type="paragraph" w:styleId="NoSpacing">
    <w:name w:val="No Spacing"/>
    <w:uiPriority w:val="1"/>
    <w:qFormat/>
    <w:rsid w:val="00D368C0"/>
    <w:pPr>
      <w:jc w:val="both"/>
    </w:pPr>
    <w:rPr>
      <w:rFonts w:ascii="Arial" w:hAnsi="Arial"/>
    </w:rPr>
  </w:style>
  <w:style w:type="paragraph" w:customStyle="1" w:styleId="DecisionInvitingPara">
    <w:name w:val="Decision Inviting Para."/>
    <w:basedOn w:val="Normal"/>
    <w:rsid w:val="005A3B72"/>
    <w:pPr>
      <w:ind w:left="4536"/>
    </w:pPr>
    <w:rPr>
      <w:i/>
      <w:lang w:val="es-ES_tradnl"/>
    </w:rPr>
  </w:style>
  <w:style w:type="character" w:customStyle="1" w:styleId="Heading6Char">
    <w:name w:val="Heading 6 Char"/>
    <w:basedOn w:val="DefaultParagraphFont"/>
    <w:link w:val="Heading6"/>
    <w:semiHidden/>
    <w:rsid w:val="00817B76"/>
    <w:rPr>
      <w:rFonts w:asciiTheme="majorHAnsi" w:eastAsiaTheme="majorEastAsia" w:hAnsiTheme="majorHAnsi" w:cstheme="majorBidi"/>
      <w:i/>
      <w:iCs/>
      <w:color w:val="243F60" w:themeColor="accent1" w:themeShade="7F"/>
    </w:rPr>
  </w:style>
  <w:style w:type="character" w:customStyle="1" w:styleId="HeaderChar">
    <w:name w:val="Header Char"/>
    <w:basedOn w:val="DefaultParagraphFont"/>
    <w:link w:val="Header"/>
    <w:rsid w:val="000842F7"/>
    <w:rPr>
      <w:rFonts w:ascii="Arial" w:hAnsi="Arial"/>
      <w:lang w:val="fr-FR"/>
    </w:rPr>
  </w:style>
  <w:style w:type="character" w:customStyle="1" w:styleId="pldetailsChar">
    <w:name w:val="pldetails Char"/>
    <w:link w:val="pldetails"/>
    <w:locked/>
    <w:rsid w:val="000842F7"/>
    <w:rPr>
      <w:rFonts w:ascii="Arial" w:hAnsi="Arial"/>
      <w:noProof/>
      <w:snapToGrid w:val="0"/>
    </w:rPr>
  </w:style>
  <w:style w:type="character" w:customStyle="1" w:styleId="plcountryChar">
    <w:name w:val="plcountry Char"/>
    <w:basedOn w:val="DefaultParagraphFont"/>
    <w:link w:val="plcountry"/>
    <w:rsid w:val="000842F7"/>
    <w:rPr>
      <w:rFonts w:ascii="Arial" w:hAnsi="Arial"/>
      <w:caps/>
      <w:noProof/>
      <w:snapToGrid w:val="0"/>
      <w:u w:val="single"/>
    </w:rPr>
  </w:style>
  <w:style w:type="character" w:styleId="LineNumber">
    <w:name w:val="line number"/>
    <w:basedOn w:val="DefaultParagraphFont"/>
    <w:rsid w:val="00B45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ov.int/pluto/en/" TargetMode="Externa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Ad%20hoc%20Working%20Groups\_WG-DEN_Variety_Denomination\WG-DEN_3\template\wg_den_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B543B-5D2F-4AA7-8148-C2654B1D7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wg_den_3.dotx</Template>
  <TotalTime>0</TotalTime>
  <Pages>11</Pages>
  <Words>3065</Words>
  <Characters>19444</Characters>
  <Application>Microsoft Office Word</Application>
  <DocSecurity>0</DocSecurity>
  <Lines>19444</Lines>
  <Paragraphs>803</Paragraphs>
  <ScaleCrop>false</ScaleCrop>
  <HeadingPairs>
    <vt:vector size="2" baseType="variant">
      <vt:variant>
        <vt:lpstr>Title</vt:lpstr>
      </vt:variant>
      <vt:variant>
        <vt:i4>1</vt:i4>
      </vt:variant>
    </vt:vector>
  </HeadingPairs>
  <TitlesOfParts>
    <vt:vector size="1" baseType="lpstr">
      <vt:lpstr>UPOV/WG-DEN/3/1</vt:lpstr>
    </vt:vector>
  </TitlesOfParts>
  <Company>UPOV</Company>
  <LinksUpToDate>false</LinksUpToDate>
  <CharactersWithSpaces>21706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UPOV/WG-DEN/3/1</dc:title>
  <dc:creator>SANCHEZ-VIZCAINO GOMEZ Rosa Maria</dc:creator>
  <cp:lastModifiedBy>BESSE Ariane</cp:lastModifiedBy>
  <cp:revision>4</cp:revision>
  <cp:lastPrinted>2018-08-31T13:43:00Z</cp:lastPrinted>
  <dcterms:created xsi:type="dcterms:W3CDTF">2018-08-31T08:25:00Z</dcterms:created>
  <dcterms:modified xsi:type="dcterms:W3CDTF">2018-08-31T13:49:00Z</dcterms:modified>
</cp:coreProperties>
</file>