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AC2883" w:rsidRDefault="00893C7D" w:rsidP="00893C7D">
            <w:pPr>
              <w:pStyle w:val="upove"/>
            </w:pPr>
            <w:r w:rsidRPr="00AC2883">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6F64C3" w:rsidRDefault="00893C7D" w:rsidP="00893C7D">
            <w:pPr>
              <w:rPr>
                <w:b/>
                <w:sz w:val="18"/>
              </w:rPr>
            </w:pPr>
          </w:p>
        </w:tc>
        <w:tc>
          <w:tcPr>
            <w:tcW w:w="3127" w:type="dxa"/>
          </w:tcPr>
          <w:p w:rsidR="00893C7D" w:rsidRPr="0058797E" w:rsidRDefault="00893C7D" w:rsidP="00893C7D">
            <w:pPr>
              <w:pStyle w:val="Doccode"/>
            </w:pPr>
            <w:r w:rsidRPr="0058797E">
              <w:t xml:space="preserve">UPOV/INF/12/6 Draft 4 </w:t>
            </w:r>
          </w:p>
          <w:p w:rsidR="00893C7D" w:rsidRPr="0058797E" w:rsidRDefault="00893C7D" w:rsidP="00893C7D">
            <w:pPr>
              <w:pStyle w:val="Docoriginal"/>
            </w:pPr>
            <w:r w:rsidRPr="0058797E">
              <w:t>Original:</w:t>
            </w:r>
            <w:r w:rsidRPr="0058797E">
              <w:rPr>
                <w:b w:val="0"/>
                <w:spacing w:val="0"/>
              </w:rPr>
              <w:t xml:space="preserve">  English</w:t>
            </w:r>
          </w:p>
          <w:p w:rsidR="00893C7D" w:rsidRPr="0058797E" w:rsidRDefault="00893C7D" w:rsidP="0058797E">
            <w:pPr>
              <w:pStyle w:val="Docoriginal"/>
              <w:rPr>
                <w:b w:val="0"/>
                <w:spacing w:val="0"/>
                <w:highlight w:val="yellow"/>
              </w:rPr>
            </w:pPr>
            <w:r w:rsidRPr="0058797E">
              <w:t>Date:</w:t>
            </w:r>
            <w:r w:rsidRPr="0058797E">
              <w:rPr>
                <w:b w:val="0"/>
                <w:spacing w:val="0"/>
              </w:rPr>
              <w:t xml:space="preserve">  September 2</w:t>
            </w:r>
            <w:r w:rsidR="0058797E" w:rsidRPr="0058797E">
              <w:rPr>
                <w:b w:val="0"/>
                <w:spacing w:val="0"/>
              </w:rPr>
              <w:t>9</w:t>
            </w:r>
            <w:r w:rsidRPr="0058797E">
              <w:rPr>
                <w:b w:val="0"/>
                <w:spacing w:val="0"/>
              </w:rPr>
              <w:t>, 2017</w:t>
            </w:r>
          </w:p>
        </w:tc>
      </w:tr>
    </w:tbl>
    <w:p w:rsidR="00893C7D" w:rsidRDefault="00893C7D" w:rsidP="00893C7D">
      <w:bookmarkStart w:id="0" w:name="TitleOfDoc"/>
      <w:bookmarkEnd w:id="0"/>
    </w:p>
    <w:p w:rsidR="00893C7D" w:rsidRDefault="00893C7D" w:rsidP="00893C7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893C7D" w:rsidRPr="00C5280D" w:rsidTr="00893C7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jc w:val="center"/>
              <w:rPr>
                <w:b/>
              </w:rPr>
            </w:pPr>
            <w:r w:rsidRPr="00455A54">
              <w:rPr>
                <w:b/>
              </w:rPr>
              <w:t>DRAFT</w:t>
            </w:r>
          </w:p>
          <w:p w:rsidR="00893C7D" w:rsidRPr="007C1D92" w:rsidRDefault="00893C7D" w:rsidP="00893C7D">
            <w:pPr>
              <w:jc w:val="center"/>
            </w:pPr>
            <w:r>
              <w:rPr>
                <w:b/>
              </w:rPr>
              <w:t>(REVISION)</w:t>
            </w:r>
          </w:p>
        </w:tc>
      </w:tr>
    </w:tbl>
    <w:p w:rsidR="00893C7D" w:rsidRPr="006A644A" w:rsidRDefault="00893C7D" w:rsidP="00893C7D">
      <w:pPr>
        <w:pStyle w:val="Titleofdoc0"/>
      </w:pPr>
      <w:r w:rsidRPr="00855BA4">
        <w:t>EXPLANATORY NOTES ON VARIETY DENOMINATIONS</w:t>
      </w:r>
      <w:r>
        <w:t xml:space="preserve"> </w:t>
      </w:r>
      <w:r w:rsidRPr="00855BA4">
        <w:t>UNDER THE UPOV CONVENTION</w:t>
      </w:r>
    </w:p>
    <w:p w:rsidR="00893C7D" w:rsidRDefault="00893C7D" w:rsidP="00893C7D">
      <w:pPr>
        <w:pStyle w:val="preparedby1"/>
        <w:jc w:val="left"/>
      </w:pPr>
      <w:bookmarkStart w:id="1" w:name="Prepared"/>
      <w:bookmarkEnd w:id="1"/>
      <w:r>
        <w:t xml:space="preserve">Document </w:t>
      </w:r>
      <w:r w:rsidRPr="000C4E25">
        <w:t>prepared by the Office of the Union</w:t>
      </w:r>
    </w:p>
    <w:p w:rsidR="00893C7D" w:rsidRDefault="00893C7D" w:rsidP="00893C7D">
      <w:pPr>
        <w:pStyle w:val="preparedby1"/>
        <w:spacing w:before="600"/>
        <w:jc w:val="left"/>
      </w:pPr>
      <w:r w:rsidRPr="00EA36B4">
        <w:rPr>
          <w:rFonts w:cs="Arial"/>
        </w:rPr>
        <w:t xml:space="preserve">to be considered by the </w:t>
      </w:r>
      <w:r w:rsidRPr="00EA36B4">
        <w:rPr>
          <w:rFonts w:cs="Arial"/>
          <w:snapToGrid w:val="0"/>
          <w:lang w:eastAsia="ja-JP"/>
        </w:rPr>
        <w:t>Working Group on Variety Denominations (WG</w:t>
      </w:r>
      <w:r w:rsidRPr="00EA36B4">
        <w:rPr>
          <w:rFonts w:cs="Arial"/>
          <w:snapToGrid w:val="0"/>
          <w:lang w:eastAsia="ja-JP"/>
        </w:rPr>
        <w:noBreakHyphen/>
        <w:t>DEN)</w:t>
      </w:r>
      <w:r w:rsidRPr="00EA36B4">
        <w:rPr>
          <w:rFonts w:cs="Arial"/>
          <w:snapToGrid w:val="0"/>
          <w:lang w:eastAsia="ja-JP"/>
        </w:rPr>
        <w:br/>
      </w:r>
      <w:r w:rsidRPr="00EA36B4">
        <w:rPr>
          <w:rFonts w:cs="Arial"/>
        </w:rPr>
        <w:t>at its fourth meeting, to be held in Geneva on October</w:t>
      </w:r>
      <w:r w:rsidRPr="00EA36B4">
        <w:rPr>
          <w:rFonts w:cs="Arial" w:hint="eastAsia"/>
          <w:lang w:eastAsia="ja-JP"/>
        </w:rPr>
        <w:t xml:space="preserve"> </w:t>
      </w:r>
      <w:r w:rsidRPr="00EA36B4">
        <w:rPr>
          <w:rFonts w:cs="Arial"/>
          <w:lang w:eastAsia="ja-JP"/>
        </w:rPr>
        <w:t>2</w:t>
      </w:r>
      <w:r w:rsidRPr="00EA36B4">
        <w:rPr>
          <w:rFonts w:cs="Arial" w:hint="eastAsia"/>
          <w:lang w:eastAsia="ja-JP"/>
        </w:rPr>
        <w:t>7, 2017</w:t>
      </w: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Ind w:w="256" w:type="dxa"/>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893C7D" w:rsidRPr="00893C7D" w:rsidTr="00893C7D">
        <w:trPr>
          <w:cantSplit/>
          <w:trHeight w:val="1690"/>
          <w:jc w:val="center"/>
        </w:trPr>
        <w:tc>
          <w:tcPr>
            <w:tcW w:w="8193" w:type="dxa"/>
            <w:shd w:val="clear" w:color="auto" w:fill="E6E6E6"/>
          </w:tcPr>
          <w:p w:rsidR="00893C7D" w:rsidRPr="00893C7D" w:rsidRDefault="00893C7D" w:rsidP="00893C7D">
            <w:pPr>
              <w:jc w:val="center"/>
              <w:rPr>
                <w:rFonts w:cs="Arial"/>
                <w:sz w:val="18"/>
                <w:szCs w:val="18"/>
                <w:u w:val="single"/>
              </w:rPr>
            </w:pPr>
            <w:r w:rsidRPr="00893C7D">
              <w:rPr>
                <w:rFonts w:cs="Arial"/>
                <w:sz w:val="18"/>
                <w:szCs w:val="18"/>
                <w:u w:val="single"/>
              </w:rPr>
              <w:t>Note for Draft version</w:t>
            </w:r>
          </w:p>
          <w:p w:rsidR="00893C7D" w:rsidRPr="00893C7D" w:rsidRDefault="00893C7D" w:rsidP="00893C7D">
            <w:pPr>
              <w:rPr>
                <w:rFonts w:cs="Arial"/>
                <w:sz w:val="18"/>
                <w:szCs w:val="18"/>
              </w:rPr>
            </w:pPr>
          </w:p>
          <w:p w:rsidR="00893C7D" w:rsidRPr="00893C7D" w:rsidRDefault="00893C7D" w:rsidP="00893C7D">
            <w:pPr>
              <w:rPr>
                <w:rFonts w:cs="Arial"/>
                <w:sz w:val="18"/>
                <w:szCs w:val="18"/>
              </w:rPr>
            </w:pPr>
            <w:r w:rsidRPr="00893C7D">
              <w:rPr>
                <w:rFonts w:cs="Arial"/>
                <w:b/>
                <w:sz w:val="18"/>
                <w:szCs w:val="18"/>
              </w:rPr>
              <w:t>Footnotes</w:t>
            </w:r>
            <w:r w:rsidRPr="00893C7D">
              <w:rPr>
                <w:rFonts w:cs="Arial"/>
                <w:sz w:val="18"/>
                <w:szCs w:val="18"/>
              </w:rPr>
              <w:t xml:space="preserve"> will be retained in published document.</w:t>
            </w:r>
          </w:p>
          <w:p w:rsidR="00893C7D" w:rsidRPr="00893C7D" w:rsidRDefault="00893C7D" w:rsidP="00893C7D">
            <w:pPr>
              <w:rPr>
                <w:rFonts w:cs="Arial"/>
                <w:sz w:val="18"/>
                <w:szCs w:val="18"/>
              </w:rPr>
            </w:pPr>
          </w:p>
          <w:p w:rsidR="00893C7D" w:rsidRPr="00893C7D" w:rsidRDefault="00893C7D" w:rsidP="00893C7D">
            <w:pPr>
              <w:rPr>
                <w:rFonts w:cs="Arial"/>
                <w:sz w:val="18"/>
                <w:szCs w:val="18"/>
                <w:lang w:eastAsia="ja-JP"/>
              </w:rPr>
            </w:pPr>
            <w:r w:rsidRPr="00893C7D">
              <w:rPr>
                <w:rFonts w:cs="Arial"/>
                <w:b/>
                <w:sz w:val="18"/>
                <w:szCs w:val="18"/>
              </w:rPr>
              <w:t>Endnotes</w:t>
            </w:r>
            <w:r w:rsidRPr="00893C7D">
              <w:rPr>
                <w:rFonts w:cs="Arial"/>
                <w:sz w:val="18"/>
                <w:szCs w:val="18"/>
              </w:rPr>
              <w:t xml:space="preserve"> and </w:t>
            </w:r>
            <w:r w:rsidRPr="00893C7D">
              <w:rPr>
                <w:rFonts w:cs="Arial"/>
                <w:b/>
                <w:sz w:val="18"/>
                <w:szCs w:val="18"/>
              </w:rPr>
              <w:t>highlighted boxes</w:t>
            </w:r>
            <w:r w:rsidRPr="00893C7D">
              <w:rPr>
                <w:rFonts w:cs="Arial"/>
                <w:sz w:val="18"/>
                <w:szCs w:val="18"/>
              </w:rPr>
              <w:t xml:space="preserve"> </w:t>
            </w:r>
            <w:r w:rsidRPr="00893C7D">
              <w:rPr>
                <w:rFonts w:cs="Arial" w:hint="eastAsia"/>
                <w:sz w:val="18"/>
                <w:szCs w:val="18"/>
                <w:lang w:eastAsia="ja-JP"/>
              </w:rPr>
              <w:t>are</w:t>
            </w:r>
            <w:r w:rsidRPr="00893C7D">
              <w:rPr>
                <w:rFonts w:cs="Arial"/>
                <w:sz w:val="18"/>
                <w:szCs w:val="18"/>
              </w:rPr>
              <w:t xml:space="preserve"> background information when considering this draft and will not appear in the final, published document.</w:t>
            </w:r>
          </w:p>
          <w:p w:rsidR="00893C7D" w:rsidRPr="00893C7D" w:rsidRDefault="00893C7D" w:rsidP="00893C7D">
            <w:pPr>
              <w:rPr>
                <w:rFonts w:cs="Arial"/>
                <w:b/>
                <w:sz w:val="18"/>
                <w:szCs w:val="18"/>
                <w:lang w:eastAsia="ja-JP"/>
              </w:rPr>
            </w:pPr>
          </w:p>
          <w:p w:rsidR="00893C7D" w:rsidRPr="00893C7D" w:rsidRDefault="00893C7D" w:rsidP="00893C7D">
            <w:pPr>
              <w:rPr>
                <w:rFonts w:cs="Arial"/>
                <w:sz w:val="18"/>
                <w:szCs w:val="18"/>
                <w:lang w:eastAsia="ja-JP"/>
              </w:rPr>
            </w:pPr>
            <w:r w:rsidRPr="00893C7D">
              <w:rPr>
                <w:rFonts w:cs="Arial"/>
                <w:b/>
                <w:strike/>
                <w:sz w:val="18"/>
                <w:szCs w:val="18"/>
              </w:rPr>
              <w:t>Strikethrough</w:t>
            </w:r>
            <w:r w:rsidRPr="00893C7D">
              <w:rPr>
                <w:rFonts w:cs="Arial"/>
                <w:b/>
                <w:sz w:val="18"/>
                <w:szCs w:val="18"/>
              </w:rPr>
              <w:t xml:space="preserve"> (highlighted in grey)</w:t>
            </w:r>
            <w:r w:rsidRPr="00893C7D">
              <w:rPr>
                <w:rFonts w:cs="Arial"/>
                <w:sz w:val="18"/>
                <w:szCs w:val="18"/>
              </w:rPr>
              <w:t xml:space="preserve"> indicates deletion from the text of document </w:t>
            </w:r>
            <w:r w:rsidRPr="00893C7D">
              <w:rPr>
                <w:rFonts w:cs="Arial" w:hint="eastAsia"/>
                <w:sz w:val="18"/>
                <w:szCs w:val="18"/>
                <w:lang w:eastAsia="ja-JP"/>
              </w:rPr>
              <w:t>UPOV/INF/12/5</w:t>
            </w:r>
            <w:r w:rsidRPr="00893C7D">
              <w:rPr>
                <w:rFonts w:cs="Arial"/>
                <w:sz w:val="18"/>
                <w:szCs w:val="18"/>
                <w:lang w:eastAsia="ja-JP"/>
              </w:rPr>
              <w:t>.</w:t>
            </w:r>
          </w:p>
          <w:p w:rsidR="00893C7D" w:rsidRPr="00893C7D" w:rsidRDefault="00893C7D" w:rsidP="00893C7D">
            <w:pPr>
              <w:rPr>
                <w:rFonts w:cs="Arial"/>
                <w:sz w:val="18"/>
                <w:szCs w:val="18"/>
                <w:lang w:eastAsia="ja-JP"/>
              </w:rPr>
            </w:pPr>
          </w:p>
          <w:p w:rsidR="00893C7D" w:rsidRPr="00893C7D" w:rsidRDefault="00893C7D" w:rsidP="00893C7D">
            <w:pPr>
              <w:rPr>
                <w:rFonts w:cs="Arial"/>
                <w:b/>
                <w:sz w:val="18"/>
                <w:szCs w:val="18"/>
                <w:lang w:eastAsia="ja-JP"/>
              </w:rPr>
            </w:pPr>
            <w:r w:rsidRPr="00893C7D">
              <w:rPr>
                <w:rFonts w:cs="Arial"/>
                <w:b/>
                <w:sz w:val="18"/>
                <w:szCs w:val="18"/>
                <w:u w:val="single"/>
              </w:rPr>
              <w:t>Underlining</w:t>
            </w:r>
            <w:r w:rsidRPr="00893C7D">
              <w:rPr>
                <w:rFonts w:cs="Arial"/>
                <w:b/>
                <w:sz w:val="18"/>
                <w:szCs w:val="18"/>
              </w:rPr>
              <w:t xml:space="preserve"> (highlighted in grey)</w:t>
            </w:r>
            <w:r w:rsidRPr="00893C7D">
              <w:rPr>
                <w:rFonts w:cs="Arial"/>
                <w:sz w:val="18"/>
                <w:szCs w:val="18"/>
              </w:rPr>
              <w:t xml:space="preserve"> indicates insertion to the text of document </w:t>
            </w:r>
            <w:r w:rsidRPr="00893C7D">
              <w:rPr>
                <w:rFonts w:cs="Arial" w:hint="eastAsia"/>
                <w:sz w:val="18"/>
                <w:szCs w:val="18"/>
                <w:lang w:eastAsia="ja-JP"/>
              </w:rPr>
              <w:t>UPOV/INF/12/5</w:t>
            </w:r>
            <w:r w:rsidRPr="00893C7D">
              <w:rPr>
                <w:rFonts w:cs="Arial"/>
                <w:sz w:val="18"/>
                <w:szCs w:val="18"/>
                <w:lang w:eastAsia="ja-JP"/>
              </w:rPr>
              <w:t>.</w:t>
            </w:r>
          </w:p>
          <w:p w:rsidR="00893C7D" w:rsidRPr="00893C7D" w:rsidRDefault="00893C7D" w:rsidP="00893C7D">
            <w:pPr>
              <w:rPr>
                <w:rFonts w:cs="Arial"/>
                <w:sz w:val="18"/>
                <w:szCs w:val="18"/>
              </w:rPr>
            </w:pPr>
          </w:p>
        </w:tc>
      </w:tr>
    </w:tbl>
    <w:p w:rsidR="00893C7D" w:rsidRDefault="00893C7D" w:rsidP="00893C7D">
      <w:pPr>
        <w:rPr>
          <w:snapToGrid w:val="0"/>
        </w:rPr>
      </w:pPr>
    </w:p>
    <w:p w:rsidR="00893C7D" w:rsidRDefault="00893C7D"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Pr="006312F9" w:rsidRDefault="00893C7D" w:rsidP="00893C7D">
      <w:pPr>
        <w:jc w:val="left"/>
      </w:pPr>
    </w:p>
    <w:p w:rsidR="00D46C27" w:rsidRDefault="00D46C27">
      <w:pPr>
        <w:pStyle w:val="TOC1"/>
        <w:rPr>
          <w:rFonts w:asciiTheme="minorHAnsi" w:eastAsiaTheme="minorEastAsia" w:hAnsiTheme="minorHAnsi" w:cstheme="minorBidi"/>
          <w:bCs w:val="0"/>
          <w:caps w:val="0"/>
          <w:sz w:val="22"/>
          <w:szCs w:val="22"/>
        </w:rPr>
      </w:pPr>
      <w:r>
        <w:rPr>
          <w:szCs w:val="18"/>
        </w:rPr>
        <w:fldChar w:fldCharType="begin"/>
      </w:r>
      <w:r>
        <w:rPr>
          <w:szCs w:val="18"/>
        </w:rPr>
        <w:instrText xml:space="preserve"> TOC \o "3-4" \h \z \t "Heading 1;1;Heading 2;2" </w:instrText>
      </w:r>
      <w:r>
        <w:rPr>
          <w:szCs w:val="18"/>
        </w:rPr>
        <w:fldChar w:fldCharType="separate"/>
      </w:r>
      <w:hyperlink w:anchor="_Toc494473057" w:history="1">
        <w:r w:rsidRPr="000C2884">
          <w:rPr>
            <w:rStyle w:val="Hyperlink"/>
          </w:rPr>
          <w:t>Preamble</w:t>
        </w:r>
        <w:r>
          <w:rPr>
            <w:webHidden/>
          </w:rPr>
          <w:tab/>
        </w:r>
        <w:r>
          <w:rPr>
            <w:webHidden/>
          </w:rPr>
          <w:fldChar w:fldCharType="begin"/>
        </w:r>
        <w:r>
          <w:rPr>
            <w:webHidden/>
          </w:rPr>
          <w:instrText xml:space="preserve"> PAGEREF _Toc494473057 \h </w:instrText>
        </w:r>
        <w:r>
          <w:rPr>
            <w:webHidden/>
          </w:rPr>
        </w:r>
        <w:r>
          <w:rPr>
            <w:webHidden/>
          </w:rPr>
          <w:fldChar w:fldCharType="separate"/>
        </w:r>
        <w:r>
          <w:rPr>
            <w:webHidden/>
          </w:rPr>
          <w:t>3</w:t>
        </w:r>
        <w:r>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58" w:history="1">
        <w:r w:rsidR="00D46C27" w:rsidRPr="000C2884">
          <w:rPr>
            <w:rStyle w:val="Hyperlink"/>
          </w:rPr>
          <w:t>Paragraph 1</w:t>
        </w:r>
        <w:r w:rsidR="00D46C27">
          <w:rPr>
            <w:webHidden/>
          </w:rPr>
          <w:tab/>
        </w:r>
        <w:r w:rsidR="00D46C27">
          <w:rPr>
            <w:webHidden/>
          </w:rPr>
          <w:fldChar w:fldCharType="begin"/>
        </w:r>
        <w:r w:rsidR="00D46C27">
          <w:rPr>
            <w:webHidden/>
          </w:rPr>
          <w:instrText xml:space="preserve"> PAGEREF _Toc494473058 \h </w:instrText>
        </w:r>
        <w:r w:rsidR="00D46C27">
          <w:rPr>
            <w:webHidden/>
          </w:rPr>
        </w:r>
        <w:r w:rsidR="00D46C27">
          <w:rPr>
            <w:webHidden/>
          </w:rPr>
          <w:fldChar w:fldCharType="separate"/>
        </w:r>
        <w:r w:rsidR="00D46C27">
          <w:rPr>
            <w:webHidden/>
          </w:rPr>
          <w:t>6</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59" w:history="1">
        <w:r w:rsidR="00D46C27" w:rsidRPr="000C2884">
          <w:rPr>
            <w:rStyle w:val="Hyperlink"/>
          </w:rPr>
          <w:t>[Designation of varieties by denominations;  use of the denomination]</w:t>
        </w:r>
        <w:r w:rsidR="00D46C27">
          <w:rPr>
            <w:webHidden/>
          </w:rPr>
          <w:tab/>
        </w:r>
        <w:r w:rsidR="00D46C27">
          <w:rPr>
            <w:webHidden/>
          </w:rPr>
          <w:fldChar w:fldCharType="begin"/>
        </w:r>
        <w:r w:rsidR="00D46C27">
          <w:rPr>
            <w:webHidden/>
          </w:rPr>
          <w:instrText xml:space="preserve"> PAGEREF _Toc494473059 \h </w:instrText>
        </w:r>
        <w:r w:rsidR="00D46C27">
          <w:rPr>
            <w:webHidden/>
          </w:rPr>
        </w:r>
        <w:r w:rsidR="00D46C27">
          <w:rPr>
            <w:webHidden/>
          </w:rPr>
          <w:fldChar w:fldCharType="separate"/>
        </w:r>
        <w:r w:rsidR="00D46C27">
          <w:rPr>
            <w:webHidden/>
          </w:rPr>
          <w:t>6</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60" w:history="1">
        <w:r w:rsidR="00D46C27" w:rsidRPr="000C2884">
          <w:rPr>
            <w:rStyle w:val="Hyperlink"/>
          </w:rPr>
          <w:t>Paragraph 2</w:t>
        </w:r>
        <w:r w:rsidR="00D46C27">
          <w:rPr>
            <w:webHidden/>
          </w:rPr>
          <w:tab/>
        </w:r>
        <w:r w:rsidR="00D46C27">
          <w:rPr>
            <w:webHidden/>
          </w:rPr>
          <w:fldChar w:fldCharType="begin"/>
        </w:r>
        <w:r w:rsidR="00D46C27">
          <w:rPr>
            <w:webHidden/>
          </w:rPr>
          <w:instrText xml:space="preserve"> PAGEREF _Toc494473060 \h </w:instrText>
        </w:r>
        <w:r w:rsidR="00D46C27">
          <w:rPr>
            <w:webHidden/>
          </w:rPr>
        </w:r>
        <w:r w:rsidR="00D46C27">
          <w:rPr>
            <w:webHidden/>
          </w:rPr>
          <w:fldChar w:fldCharType="separate"/>
        </w:r>
        <w:r w:rsidR="00D46C27">
          <w:rPr>
            <w:webHidden/>
          </w:rPr>
          <w:t>7</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61" w:history="1">
        <w:r w:rsidR="00D46C27" w:rsidRPr="000C2884">
          <w:rPr>
            <w:rStyle w:val="Hyperlink"/>
          </w:rPr>
          <w:t>[Characteristics of the denomination]</w:t>
        </w:r>
        <w:r w:rsidR="00D46C27">
          <w:rPr>
            <w:webHidden/>
          </w:rPr>
          <w:tab/>
        </w:r>
        <w:r w:rsidR="00D46C27">
          <w:rPr>
            <w:webHidden/>
          </w:rPr>
          <w:fldChar w:fldCharType="begin"/>
        </w:r>
        <w:r w:rsidR="00D46C27">
          <w:rPr>
            <w:webHidden/>
          </w:rPr>
          <w:instrText xml:space="preserve"> PAGEREF _Toc494473061 \h </w:instrText>
        </w:r>
        <w:r w:rsidR="00D46C27">
          <w:rPr>
            <w:webHidden/>
          </w:rPr>
        </w:r>
        <w:r w:rsidR="00D46C27">
          <w:rPr>
            <w:webHidden/>
          </w:rPr>
          <w:fldChar w:fldCharType="separate"/>
        </w:r>
        <w:r w:rsidR="00D46C27">
          <w:rPr>
            <w:webHidden/>
          </w:rPr>
          <w:t>7</w:t>
        </w:r>
        <w:r w:rsidR="00D46C27">
          <w:rPr>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62" w:history="1">
        <w:r w:rsidR="00D46C27" w:rsidRPr="000C2884">
          <w:rPr>
            <w:rStyle w:val="Hyperlink"/>
          </w:rPr>
          <w:t>2.1</w:t>
        </w:r>
        <w:r w:rsidR="00D46C27">
          <w:rPr>
            <w:rFonts w:asciiTheme="minorHAnsi" w:eastAsiaTheme="minorEastAsia" w:hAnsiTheme="minorHAnsi" w:cstheme="minorBidi"/>
            <w:i w:val="0"/>
            <w:sz w:val="22"/>
            <w:szCs w:val="22"/>
          </w:rPr>
          <w:tab/>
        </w:r>
        <w:r w:rsidR="00D46C27" w:rsidRPr="000C2884">
          <w:rPr>
            <w:rStyle w:val="Hyperlink"/>
          </w:rPr>
          <w:t>Identification</w:t>
        </w:r>
        <w:r w:rsidR="00D46C27">
          <w:rPr>
            <w:webHidden/>
          </w:rPr>
          <w:tab/>
        </w:r>
        <w:r w:rsidR="00D46C27">
          <w:rPr>
            <w:webHidden/>
          </w:rPr>
          <w:fldChar w:fldCharType="begin"/>
        </w:r>
        <w:r w:rsidR="00D46C27">
          <w:rPr>
            <w:webHidden/>
          </w:rPr>
          <w:instrText xml:space="preserve"> PAGEREF _Toc494473062 \h </w:instrText>
        </w:r>
        <w:r w:rsidR="00D46C27">
          <w:rPr>
            <w:webHidden/>
          </w:rPr>
        </w:r>
        <w:r w:rsidR="00D46C27">
          <w:rPr>
            <w:webHidden/>
          </w:rPr>
          <w:fldChar w:fldCharType="separate"/>
        </w:r>
        <w:r w:rsidR="00D46C27">
          <w:rPr>
            <w:webHidden/>
          </w:rPr>
          <w:t>7</w:t>
        </w:r>
        <w:r w:rsidR="00D46C27">
          <w:rPr>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63" w:history="1">
        <w:r w:rsidR="00D46C27" w:rsidRPr="000C2884">
          <w:rPr>
            <w:rStyle w:val="Hyperlink"/>
          </w:rPr>
          <w:t>2.2.</w:t>
        </w:r>
        <w:r w:rsidR="00D46C27">
          <w:rPr>
            <w:rFonts w:asciiTheme="minorHAnsi" w:eastAsiaTheme="minorEastAsia" w:hAnsiTheme="minorHAnsi" w:cstheme="minorBidi"/>
            <w:i w:val="0"/>
            <w:sz w:val="22"/>
            <w:szCs w:val="22"/>
          </w:rPr>
          <w:tab/>
        </w:r>
        <w:r w:rsidR="00D46C27" w:rsidRPr="000C2884">
          <w:rPr>
            <w:rStyle w:val="Hyperlink"/>
          </w:rPr>
          <w:t>Solely of figures</w:t>
        </w:r>
        <w:r w:rsidR="00D46C27">
          <w:rPr>
            <w:webHidden/>
          </w:rPr>
          <w:tab/>
        </w:r>
        <w:r w:rsidR="00D46C27">
          <w:rPr>
            <w:webHidden/>
          </w:rPr>
          <w:fldChar w:fldCharType="begin"/>
        </w:r>
        <w:r w:rsidR="00D46C27">
          <w:rPr>
            <w:webHidden/>
          </w:rPr>
          <w:instrText xml:space="preserve"> PAGEREF _Toc494473063 \h </w:instrText>
        </w:r>
        <w:r w:rsidR="00D46C27">
          <w:rPr>
            <w:webHidden/>
          </w:rPr>
        </w:r>
        <w:r w:rsidR="00D46C27">
          <w:rPr>
            <w:webHidden/>
          </w:rPr>
          <w:fldChar w:fldCharType="separate"/>
        </w:r>
        <w:r w:rsidR="00D46C27">
          <w:rPr>
            <w:webHidden/>
          </w:rPr>
          <w:t>7</w:t>
        </w:r>
        <w:r w:rsidR="00D46C27">
          <w:rPr>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64" w:history="1">
        <w:r w:rsidR="00D46C27" w:rsidRPr="000C2884">
          <w:rPr>
            <w:rStyle w:val="Hyperlink"/>
          </w:rPr>
          <w:t>2.3.</w:t>
        </w:r>
        <w:r w:rsidR="00D46C27">
          <w:rPr>
            <w:rFonts w:asciiTheme="minorHAnsi" w:eastAsiaTheme="minorEastAsia" w:hAnsiTheme="minorHAnsi" w:cstheme="minorBidi"/>
            <w:i w:val="0"/>
            <w:sz w:val="22"/>
            <w:szCs w:val="22"/>
          </w:rPr>
          <w:tab/>
        </w:r>
        <w:r w:rsidR="00D46C27" w:rsidRPr="000C2884">
          <w:rPr>
            <w:rStyle w:val="Hyperlink"/>
          </w:rPr>
          <w:t>Liable to mislead or to cause confusion</w:t>
        </w:r>
        <w:r w:rsidR="00D46C27">
          <w:rPr>
            <w:webHidden/>
          </w:rPr>
          <w:tab/>
        </w:r>
        <w:r w:rsidR="00D46C27">
          <w:rPr>
            <w:webHidden/>
          </w:rPr>
          <w:fldChar w:fldCharType="begin"/>
        </w:r>
        <w:r w:rsidR="00D46C27">
          <w:rPr>
            <w:webHidden/>
          </w:rPr>
          <w:instrText xml:space="preserve"> PAGEREF _Toc494473064 \h </w:instrText>
        </w:r>
        <w:r w:rsidR="00D46C27">
          <w:rPr>
            <w:webHidden/>
          </w:rPr>
        </w:r>
        <w:r w:rsidR="00D46C27">
          <w:rPr>
            <w:webHidden/>
          </w:rPr>
          <w:fldChar w:fldCharType="separate"/>
        </w:r>
        <w:r w:rsidR="00D46C27">
          <w:rPr>
            <w:webHidden/>
          </w:rPr>
          <w:t>7</w:t>
        </w:r>
        <w:r w:rsidR="00D46C27">
          <w:rPr>
            <w:webHidden/>
          </w:rPr>
          <w:fldChar w:fldCharType="end"/>
        </w:r>
      </w:hyperlink>
    </w:p>
    <w:p w:rsidR="00D46C27" w:rsidRDefault="00FD5299">
      <w:pPr>
        <w:pStyle w:val="TOC4"/>
        <w:rPr>
          <w:rFonts w:asciiTheme="minorHAnsi" w:eastAsiaTheme="minorEastAsia" w:hAnsiTheme="minorHAnsi" w:cstheme="minorBidi"/>
          <w:i w:val="0"/>
          <w:noProof/>
          <w:sz w:val="22"/>
          <w:szCs w:val="22"/>
          <w:lang w:val="en-US"/>
        </w:rPr>
      </w:pPr>
      <w:hyperlink w:anchor="_Toc494473065" w:history="1">
        <w:r w:rsidR="00D46C27" w:rsidRPr="000C2884">
          <w:rPr>
            <w:rStyle w:val="Hyperlink"/>
            <w:noProof/>
          </w:rPr>
          <w:t>2.3.1</w:t>
        </w:r>
        <w:r w:rsidR="00D46C27">
          <w:rPr>
            <w:rFonts w:asciiTheme="minorHAnsi" w:eastAsiaTheme="minorEastAsia" w:hAnsiTheme="minorHAnsi" w:cstheme="minorBidi"/>
            <w:i w:val="0"/>
            <w:noProof/>
            <w:sz w:val="22"/>
            <w:szCs w:val="22"/>
            <w:lang w:val="en-US"/>
          </w:rPr>
          <w:tab/>
        </w:r>
        <w:r w:rsidR="00D46C27" w:rsidRPr="000C2884">
          <w:rPr>
            <w:rStyle w:val="Hyperlink"/>
            <w:noProof/>
          </w:rPr>
          <w:t>Characteristics of the variety</w:t>
        </w:r>
        <w:r w:rsidR="00D46C27">
          <w:rPr>
            <w:noProof/>
            <w:webHidden/>
          </w:rPr>
          <w:tab/>
        </w:r>
        <w:r w:rsidR="00D46C27">
          <w:rPr>
            <w:noProof/>
            <w:webHidden/>
          </w:rPr>
          <w:fldChar w:fldCharType="begin"/>
        </w:r>
        <w:r w:rsidR="00D46C27">
          <w:rPr>
            <w:noProof/>
            <w:webHidden/>
          </w:rPr>
          <w:instrText xml:space="preserve"> PAGEREF _Toc494473065 \h </w:instrText>
        </w:r>
        <w:r w:rsidR="00D46C27">
          <w:rPr>
            <w:noProof/>
            <w:webHidden/>
          </w:rPr>
        </w:r>
        <w:r w:rsidR="00D46C27">
          <w:rPr>
            <w:noProof/>
            <w:webHidden/>
          </w:rPr>
          <w:fldChar w:fldCharType="separate"/>
        </w:r>
        <w:r w:rsidR="00D46C27">
          <w:rPr>
            <w:noProof/>
            <w:webHidden/>
          </w:rPr>
          <w:t>7</w:t>
        </w:r>
        <w:r w:rsidR="00D46C27">
          <w:rPr>
            <w:noProof/>
            <w:webHidden/>
          </w:rPr>
          <w:fldChar w:fldCharType="end"/>
        </w:r>
      </w:hyperlink>
    </w:p>
    <w:p w:rsidR="00D46C27" w:rsidRDefault="00FD5299">
      <w:pPr>
        <w:pStyle w:val="TOC4"/>
        <w:rPr>
          <w:rFonts w:asciiTheme="minorHAnsi" w:eastAsiaTheme="minorEastAsia" w:hAnsiTheme="minorHAnsi" w:cstheme="minorBidi"/>
          <w:i w:val="0"/>
          <w:noProof/>
          <w:sz w:val="22"/>
          <w:szCs w:val="22"/>
          <w:lang w:val="en-US"/>
        </w:rPr>
      </w:pPr>
      <w:hyperlink w:anchor="_Toc494473066" w:history="1">
        <w:r w:rsidR="00D46C27" w:rsidRPr="000C2884">
          <w:rPr>
            <w:rStyle w:val="Hyperlink"/>
            <w:noProof/>
          </w:rPr>
          <w:t>2.3.2</w:t>
        </w:r>
        <w:r w:rsidR="00D46C27">
          <w:rPr>
            <w:rFonts w:asciiTheme="minorHAnsi" w:eastAsiaTheme="minorEastAsia" w:hAnsiTheme="minorHAnsi" w:cstheme="minorBidi"/>
            <w:i w:val="0"/>
            <w:noProof/>
            <w:sz w:val="22"/>
            <w:szCs w:val="22"/>
            <w:lang w:val="en-US"/>
          </w:rPr>
          <w:tab/>
        </w:r>
        <w:r w:rsidR="00D46C27" w:rsidRPr="000C2884">
          <w:rPr>
            <w:rStyle w:val="Hyperlink"/>
            <w:noProof/>
          </w:rPr>
          <w:t>Value of the variety</w:t>
        </w:r>
        <w:r w:rsidR="00D46C27">
          <w:rPr>
            <w:noProof/>
            <w:webHidden/>
          </w:rPr>
          <w:tab/>
        </w:r>
        <w:r w:rsidR="00D46C27">
          <w:rPr>
            <w:noProof/>
            <w:webHidden/>
          </w:rPr>
          <w:fldChar w:fldCharType="begin"/>
        </w:r>
        <w:r w:rsidR="00D46C27">
          <w:rPr>
            <w:noProof/>
            <w:webHidden/>
          </w:rPr>
          <w:instrText xml:space="preserve"> PAGEREF _Toc494473066 \h </w:instrText>
        </w:r>
        <w:r w:rsidR="00D46C27">
          <w:rPr>
            <w:noProof/>
            <w:webHidden/>
          </w:rPr>
        </w:r>
        <w:r w:rsidR="00D46C27">
          <w:rPr>
            <w:noProof/>
            <w:webHidden/>
          </w:rPr>
          <w:fldChar w:fldCharType="separate"/>
        </w:r>
        <w:r w:rsidR="00D46C27">
          <w:rPr>
            <w:noProof/>
            <w:webHidden/>
          </w:rPr>
          <w:t>9</w:t>
        </w:r>
        <w:r w:rsidR="00D46C27">
          <w:rPr>
            <w:noProof/>
            <w:webHidden/>
          </w:rPr>
          <w:fldChar w:fldCharType="end"/>
        </w:r>
      </w:hyperlink>
    </w:p>
    <w:p w:rsidR="00D46C27" w:rsidRDefault="00FD5299">
      <w:pPr>
        <w:pStyle w:val="TOC4"/>
        <w:rPr>
          <w:rFonts w:asciiTheme="minorHAnsi" w:eastAsiaTheme="minorEastAsia" w:hAnsiTheme="minorHAnsi" w:cstheme="minorBidi"/>
          <w:i w:val="0"/>
          <w:noProof/>
          <w:sz w:val="22"/>
          <w:szCs w:val="22"/>
          <w:lang w:val="en-US"/>
        </w:rPr>
      </w:pPr>
      <w:hyperlink w:anchor="_Toc494473067" w:history="1">
        <w:r w:rsidR="00D46C27" w:rsidRPr="000C2884">
          <w:rPr>
            <w:rStyle w:val="Hyperlink"/>
            <w:noProof/>
          </w:rPr>
          <w:t>2.3.3</w:t>
        </w:r>
        <w:r w:rsidR="00D46C27">
          <w:rPr>
            <w:rFonts w:asciiTheme="minorHAnsi" w:eastAsiaTheme="minorEastAsia" w:hAnsiTheme="minorHAnsi" w:cstheme="minorBidi"/>
            <w:i w:val="0"/>
            <w:noProof/>
            <w:sz w:val="22"/>
            <w:szCs w:val="22"/>
            <w:lang w:val="en-US"/>
          </w:rPr>
          <w:tab/>
        </w:r>
        <w:r w:rsidR="00D46C27" w:rsidRPr="000C2884">
          <w:rPr>
            <w:rStyle w:val="Hyperlink"/>
            <w:noProof/>
          </w:rPr>
          <w:t>Identity of the variety</w:t>
        </w:r>
        <w:r w:rsidR="00D46C27">
          <w:rPr>
            <w:noProof/>
            <w:webHidden/>
          </w:rPr>
          <w:tab/>
        </w:r>
        <w:r w:rsidR="00D46C27">
          <w:rPr>
            <w:noProof/>
            <w:webHidden/>
          </w:rPr>
          <w:fldChar w:fldCharType="begin"/>
        </w:r>
        <w:r w:rsidR="00D46C27">
          <w:rPr>
            <w:noProof/>
            <w:webHidden/>
          </w:rPr>
          <w:instrText xml:space="preserve"> PAGEREF _Toc494473067 \h </w:instrText>
        </w:r>
        <w:r w:rsidR="00D46C27">
          <w:rPr>
            <w:noProof/>
            <w:webHidden/>
          </w:rPr>
        </w:r>
        <w:r w:rsidR="00D46C27">
          <w:rPr>
            <w:noProof/>
            <w:webHidden/>
          </w:rPr>
          <w:fldChar w:fldCharType="separate"/>
        </w:r>
        <w:r w:rsidR="00D46C27">
          <w:rPr>
            <w:noProof/>
            <w:webHidden/>
          </w:rPr>
          <w:t>9</w:t>
        </w:r>
        <w:r w:rsidR="00D46C27">
          <w:rPr>
            <w:noProof/>
            <w:webHidden/>
          </w:rPr>
          <w:fldChar w:fldCharType="end"/>
        </w:r>
      </w:hyperlink>
    </w:p>
    <w:p w:rsidR="00D46C27" w:rsidRDefault="00FD5299">
      <w:pPr>
        <w:pStyle w:val="TOC4"/>
        <w:rPr>
          <w:rFonts w:asciiTheme="minorHAnsi" w:eastAsiaTheme="minorEastAsia" w:hAnsiTheme="minorHAnsi" w:cstheme="minorBidi"/>
          <w:i w:val="0"/>
          <w:noProof/>
          <w:sz w:val="22"/>
          <w:szCs w:val="22"/>
          <w:lang w:val="en-US"/>
        </w:rPr>
      </w:pPr>
      <w:hyperlink w:anchor="_Toc494473068" w:history="1">
        <w:r w:rsidR="00D46C27" w:rsidRPr="000C2884">
          <w:rPr>
            <w:rStyle w:val="Hyperlink"/>
            <w:noProof/>
          </w:rPr>
          <w:t>2.3.4</w:t>
        </w:r>
        <w:r w:rsidR="00D46C27">
          <w:rPr>
            <w:rFonts w:asciiTheme="minorHAnsi" w:eastAsiaTheme="minorEastAsia" w:hAnsiTheme="minorHAnsi" w:cstheme="minorBidi"/>
            <w:i w:val="0"/>
            <w:noProof/>
            <w:sz w:val="22"/>
            <w:szCs w:val="22"/>
            <w:lang w:val="en-US"/>
          </w:rPr>
          <w:tab/>
        </w:r>
        <w:r w:rsidR="00D46C27" w:rsidRPr="000C2884">
          <w:rPr>
            <w:rStyle w:val="Hyperlink"/>
            <w:noProof/>
          </w:rPr>
          <w:t>Identity of the breeder</w:t>
        </w:r>
        <w:r w:rsidR="00D46C27">
          <w:rPr>
            <w:noProof/>
            <w:webHidden/>
          </w:rPr>
          <w:tab/>
        </w:r>
        <w:r w:rsidR="00D46C27">
          <w:rPr>
            <w:noProof/>
            <w:webHidden/>
          </w:rPr>
          <w:fldChar w:fldCharType="begin"/>
        </w:r>
        <w:r w:rsidR="00D46C27">
          <w:rPr>
            <w:noProof/>
            <w:webHidden/>
          </w:rPr>
          <w:instrText xml:space="preserve"> PAGEREF _Toc494473068 \h </w:instrText>
        </w:r>
        <w:r w:rsidR="00D46C27">
          <w:rPr>
            <w:noProof/>
            <w:webHidden/>
          </w:rPr>
        </w:r>
        <w:r w:rsidR="00D46C27">
          <w:rPr>
            <w:noProof/>
            <w:webHidden/>
          </w:rPr>
          <w:fldChar w:fldCharType="separate"/>
        </w:r>
        <w:r w:rsidR="00D46C27">
          <w:rPr>
            <w:noProof/>
            <w:webHidden/>
          </w:rPr>
          <w:t>10</w:t>
        </w:r>
        <w:r w:rsidR="00D46C27">
          <w:rPr>
            <w:noProof/>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69" w:history="1">
        <w:r w:rsidR="00D46C27" w:rsidRPr="000C2884">
          <w:rPr>
            <w:rStyle w:val="Hyperlink"/>
          </w:rPr>
          <w:t>2.4.</w:t>
        </w:r>
        <w:r w:rsidR="00D46C27">
          <w:rPr>
            <w:rFonts w:asciiTheme="minorHAnsi" w:eastAsiaTheme="minorEastAsia" w:hAnsiTheme="minorHAnsi" w:cstheme="minorBidi"/>
            <w:i w:val="0"/>
            <w:sz w:val="22"/>
            <w:szCs w:val="22"/>
          </w:rPr>
          <w:tab/>
        </w:r>
        <w:r w:rsidR="00D46C27" w:rsidRPr="000C2884">
          <w:rPr>
            <w:rStyle w:val="Hyperlink"/>
          </w:rPr>
          <w:t>Different from an existing variety of the same plant species or of a closely related species</w:t>
        </w:r>
        <w:r w:rsidR="00D46C27">
          <w:rPr>
            <w:webHidden/>
          </w:rPr>
          <w:tab/>
        </w:r>
        <w:r w:rsidR="00D46C27">
          <w:rPr>
            <w:webHidden/>
          </w:rPr>
          <w:fldChar w:fldCharType="begin"/>
        </w:r>
        <w:r w:rsidR="00D46C27">
          <w:rPr>
            <w:webHidden/>
          </w:rPr>
          <w:instrText xml:space="preserve"> PAGEREF _Toc494473069 \h </w:instrText>
        </w:r>
        <w:r w:rsidR="00D46C27">
          <w:rPr>
            <w:webHidden/>
          </w:rPr>
        </w:r>
        <w:r w:rsidR="00D46C27">
          <w:rPr>
            <w:webHidden/>
          </w:rPr>
          <w:fldChar w:fldCharType="separate"/>
        </w:r>
        <w:r w:rsidR="00D46C27">
          <w:rPr>
            <w:webHidden/>
          </w:rPr>
          <w:t>10</w:t>
        </w:r>
        <w:r w:rsidR="00D46C27">
          <w:rPr>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70" w:history="1">
        <w:r w:rsidR="00D46C27" w:rsidRPr="000C2884">
          <w:rPr>
            <w:rStyle w:val="Hyperlink"/>
          </w:rPr>
          <w:t>2.5.</w:t>
        </w:r>
        <w:r w:rsidR="00D46C27">
          <w:rPr>
            <w:rFonts w:asciiTheme="minorHAnsi" w:eastAsiaTheme="minorEastAsia" w:hAnsiTheme="minorHAnsi" w:cstheme="minorBidi"/>
            <w:i w:val="0"/>
            <w:sz w:val="22"/>
            <w:szCs w:val="22"/>
          </w:rPr>
          <w:tab/>
        </w:r>
        <w:r w:rsidR="00D46C27" w:rsidRPr="000C2884">
          <w:rPr>
            <w:rStyle w:val="Hyperlink"/>
          </w:rPr>
          <w:t>Variety denomination classes:  a variety denomination should not be used more than once in the same class</w:t>
        </w:r>
        <w:r w:rsidR="00D46C27">
          <w:rPr>
            <w:webHidden/>
          </w:rPr>
          <w:tab/>
        </w:r>
        <w:r w:rsidR="00D46C27">
          <w:rPr>
            <w:webHidden/>
          </w:rPr>
          <w:fldChar w:fldCharType="begin"/>
        </w:r>
        <w:r w:rsidR="00D46C27">
          <w:rPr>
            <w:webHidden/>
          </w:rPr>
          <w:instrText xml:space="preserve"> PAGEREF _Toc494473070 \h </w:instrText>
        </w:r>
        <w:r w:rsidR="00D46C27">
          <w:rPr>
            <w:webHidden/>
          </w:rPr>
        </w:r>
        <w:r w:rsidR="00D46C27">
          <w:rPr>
            <w:webHidden/>
          </w:rPr>
          <w:fldChar w:fldCharType="separate"/>
        </w:r>
        <w:r w:rsidR="00D46C27">
          <w:rPr>
            <w:webHidden/>
          </w:rPr>
          <w:t>11</w:t>
        </w:r>
        <w:r w:rsidR="00D46C27">
          <w:rPr>
            <w:webHidden/>
          </w:rPr>
          <w:fldChar w:fldCharType="end"/>
        </w:r>
      </w:hyperlink>
    </w:p>
    <w:p w:rsidR="00D46C27" w:rsidRDefault="00FD5299">
      <w:pPr>
        <w:pStyle w:val="TOC3"/>
        <w:tabs>
          <w:tab w:val="left" w:pos="1134"/>
        </w:tabs>
        <w:rPr>
          <w:rFonts w:asciiTheme="minorHAnsi" w:eastAsiaTheme="minorEastAsia" w:hAnsiTheme="minorHAnsi" w:cstheme="minorBidi"/>
          <w:i w:val="0"/>
          <w:sz w:val="22"/>
          <w:szCs w:val="22"/>
        </w:rPr>
      </w:pPr>
      <w:hyperlink w:anchor="_Toc494473071" w:history="1">
        <w:r w:rsidR="00D46C27" w:rsidRPr="000C2884">
          <w:rPr>
            <w:rStyle w:val="Hyperlink"/>
            <w:highlight w:val="lightGray"/>
          </w:rPr>
          <w:t>2.6</w:t>
        </w:r>
        <w:r w:rsidR="00D46C27">
          <w:rPr>
            <w:rFonts w:asciiTheme="minorHAnsi" w:eastAsiaTheme="minorEastAsia" w:hAnsiTheme="minorHAnsi" w:cstheme="minorBidi"/>
            <w:i w:val="0"/>
            <w:sz w:val="22"/>
            <w:szCs w:val="22"/>
          </w:rPr>
          <w:tab/>
        </w:r>
        <w:r w:rsidR="00D46C27" w:rsidRPr="000C2884">
          <w:rPr>
            <w:rStyle w:val="Hyperlink"/>
            <w:highlight w:val="lightGray"/>
          </w:rPr>
          <w:t>UPOV denomination similarity search tool</w:t>
        </w:r>
        <w:r w:rsidR="00D46C27">
          <w:rPr>
            <w:webHidden/>
          </w:rPr>
          <w:tab/>
        </w:r>
        <w:r w:rsidR="00D46C27">
          <w:rPr>
            <w:webHidden/>
          </w:rPr>
          <w:fldChar w:fldCharType="begin"/>
        </w:r>
        <w:r w:rsidR="00D46C27">
          <w:rPr>
            <w:webHidden/>
          </w:rPr>
          <w:instrText xml:space="preserve"> PAGEREF _Toc494473071 \h </w:instrText>
        </w:r>
        <w:r w:rsidR="00D46C27">
          <w:rPr>
            <w:webHidden/>
          </w:rPr>
        </w:r>
        <w:r w:rsidR="00D46C27">
          <w:rPr>
            <w:webHidden/>
          </w:rPr>
          <w:fldChar w:fldCharType="separate"/>
        </w:r>
        <w:r w:rsidR="00D46C27">
          <w:rPr>
            <w:webHidden/>
          </w:rPr>
          <w:t>11</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72" w:history="1">
        <w:r w:rsidR="00D46C27" w:rsidRPr="000C2884">
          <w:rPr>
            <w:rStyle w:val="Hyperlink"/>
          </w:rPr>
          <w:t>Paragraph 3</w:t>
        </w:r>
        <w:r w:rsidR="00D46C27">
          <w:rPr>
            <w:webHidden/>
          </w:rPr>
          <w:tab/>
        </w:r>
        <w:r w:rsidR="00D46C27">
          <w:rPr>
            <w:webHidden/>
          </w:rPr>
          <w:fldChar w:fldCharType="begin"/>
        </w:r>
        <w:r w:rsidR="00D46C27">
          <w:rPr>
            <w:webHidden/>
          </w:rPr>
          <w:instrText xml:space="preserve"> PAGEREF _Toc494473072 \h </w:instrText>
        </w:r>
        <w:r w:rsidR="00D46C27">
          <w:rPr>
            <w:webHidden/>
          </w:rPr>
        </w:r>
        <w:r w:rsidR="00D46C27">
          <w:rPr>
            <w:webHidden/>
          </w:rPr>
          <w:fldChar w:fldCharType="separate"/>
        </w:r>
        <w:r w:rsidR="00D46C27">
          <w:rPr>
            <w:webHidden/>
          </w:rPr>
          <w:t>12</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73" w:history="1">
        <w:r w:rsidR="00D46C27" w:rsidRPr="000C2884">
          <w:rPr>
            <w:rStyle w:val="Hyperlink"/>
          </w:rPr>
          <w:t>[Registration of the denomination]</w:t>
        </w:r>
        <w:r w:rsidR="00D46C27">
          <w:rPr>
            <w:webHidden/>
          </w:rPr>
          <w:tab/>
        </w:r>
        <w:r w:rsidR="00D46C27">
          <w:rPr>
            <w:webHidden/>
          </w:rPr>
          <w:fldChar w:fldCharType="begin"/>
        </w:r>
        <w:r w:rsidR="00D46C27">
          <w:rPr>
            <w:webHidden/>
          </w:rPr>
          <w:instrText xml:space="preserve"> PAGEREF _Toc494473073 \h </w:instrText>
        </w:r>
        <w:r w:rsidR="00D46C27">
          <w:rPr>
            <w:webHidden/>
          </w:rPr>
        </w:r>
        <w:r w:rsidR="00D46C27">
          <w:rPr>
            <w:webHidden/>
          </w:rPr>
          <w:fldChar w:fldCharType="separate"/>
        </w:r>
        <w:r w:rsidR="00D46C27">
          <w:rPr>
            <w:webHidden/>
          </w:rPr>
          <w:t>12</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74" w:history="1">
        <w:r w:rsidR="00D46C27" w:rsidRPr="000C2884">
          <w:rPr>
            <w:rStyle w:val="Hyperlink"/>
          </w:rPr>
          <w:t>Paragraph 4</w:t>
        </w:r>
        <w:r w:rsidR="00D46C27">
          <w:rPr>
            <w:webHidden/>
          </w:rPr>
          <w:tab/>
        </w:r>
        <w:r w:rsidR="00D46C27">
          <w:rPr>
            <w:webHidden/>
          </w:rPr>
          <w:fldChar w:fldCharType="begin"/>
        </w:r>
        <w:r w:rsidR="00D46C27">
          <w:rPr>
            <w:webHidden/>
          </w:rPr>
          <w:instrText xml:space="preserve"> PAGEREF _Toc494473074 \h </w:instrText>
        </w:r>
        <w:r w:rsidR="00D46C27">
          <w:rPr>
            <w:webHidden/>
          </w:rPr>
        </w:r>
        <w:r w:rsidR="00D46C27">
          <w:rPr>
            <w:webHidden/>
          </w:rPr>
          <w:fldChar w:fldCharType="separate"/>
        </w:r>
        <w:r w:rsidR="00D46C27">
          <w:rPr>
            <w:webHidden/>
          </w:rPr>
          <w:t>12</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75" w:history="1">
        <w:r w:rsidR="00D46C27" w:rsidRPr="000C2884">
          <w:rPr>
            <w:rStyle w:val="Hyperlink"/>
          </w:rPr>
          <w:t>[Prior rights of third persons]</w:t>
        </w:r>
        <w:r w:rsidR="00D46C27">
          <w:rPr>
            <w:webHidden/>
          </w:rPr>
          <w:tab/>
        </w:r>
        <w:r w:rsidR="00D46C27">
          <w:rPr>
            <w:webHidden/>
          </w:rPr>
          <w:fldChar w:fldCharType="begin"/>
        </w:r>
        <w:r w:rsidR="00D46C27">
          <w:rPr>
            <w:webHidden/>
          </w:rPr>
          <w:instrText xml:space="preserve"> PAGEREF _Toc494473075 \h </w:instrText>
        </w:r>
        <w:r w:rsidR="00D46C27">
          <w:rPr>
            <w:webHidden/>
          </w:rPr>
        </w:r>
        <w:r w:rsidR="00D46C27">
          <w:rPr>
            <w:webHidden/>
          </w:rPr>
          <w:fldChar w:fldCharType="separate"/>
        </w:r>
        <w:r w:rsidR="00D46C27">
          <w:rPr>
            <w:webHidden/>
          </w:rPr>
          <w:t>12</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76" w:history="1">
        <w:r w:rsidR="00D46C27" w:rsidRPr="000C2884">
          <w:rPr>
            <w:rStyle w:val="Hyperlink"/>
          </w:rPr>
          <w:t>Paragraph 5</w:t>
        </w:r>
        <w:r w:rsidR="00D46C27">
          <w:rPr>
            <w:webHidden/>
          </w:rPr>
          <w:tab/>
        </w:r>
        <w:r w:rsidR="00D46C27">
          <w:rPr>
            <w:webHidden/>
          </w:rPr>
          <w:fldChar w:fldCharType="begin"/>
        </w:r>
        <w:r w:rsidR="00D46C27">
          <w:rPr>
            <w:webHidden/>
          </w:rPr>
          <w:instrText xml:space="preserve"> PAGEREF _Toc494473076 \h </w:instrText>
        </w:r>
        <w:r w:rsidR="00D46C27">
          <w:rPr>
            <w:webHidden/>
          </w:rPr>
        </w:r>
        <w:r w:rsidR="00D46C27">
          <w:rPr>
            <w:webHidden/>
          </w:rPr>
          <w:fldChar w:fldCharType="separate"/>
        </w:r>
        <w:r w:rsidR="00D46C27">
          <w:rPr>
            <w:webHidden/>
          </w:rPr>
          <w:t>14</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77" w:history="1">
        <w:r w:rsidR="00D46C27" w:rsidRPr="000C2884">
          <w:rPr>
            <w:rStyle w:val="Hyperlink"/>
          </w:rPr>
          <w:t>[Same denomination in all members of the Union]</w:t>
        </w:r>
        <w:r w:rsidR="00D46C27">
          <w:rPr>
            <w:webHidden/>
          </w:rPr>
          <w:tab/>
        </w:r>
        <w:r w:rsidR="00D46C27">
          <w:rPr>
            <w:webHidden/>
          </w:rPr>
          <w:fldChar w:fldCharType="begin"/>
        </w:r>
        <w:r w:rsidR="00D46C27">
          <w:rPr>
            <w:webHidden/>
          </w:rPr>
          <w:instrText xml:space="preserve"> PAGEREF _Toc494473077 \h </w:instrText>
        </w:r>
        <w:r w:rsidR="00D46C27">
          <w:rPr>
            <w:webHidden/>
          </w:rPr>
        </w:r>
        <w:r w:rsidR="00D46C27">
          <w:rPr>
            <w:webHidden/>
          </w:rPr>
          <w:fldChar w:fldCharType="separate"/>
        </w:r>
        <w:r w:rsidR="00D46C27">
          <w:rPr>
            <w:webHidden/>
          </w:rPr>
          <w:t>14</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78" w:history="1">
        <w:r w:rsidR="00D46C27" w:rsidRPr="000C2884">
          <w:rPr>
            <w:rStyle w:val="Hyperlink"/>
          </w:rPr>
          <w:t>Paragraph 6</w:t>
        </w:r>
        <w:r w:rsidR="00D46C27">
          <w:rPr>
            <w:webHidden/>
          </w:rPr>
          <w:tab/>
        </w:r>
        <w:r w:rsidR="00D46C27">
          <w:rPr>
            <w:webHidden/>
          </w:rPr>
          <w:fldChar w:fldCharType="begin"/>
        </w:r>
        <w:r w:rsidR="00D46C27">
          <w:rPr>
            <w:webHidden/>
          </w:rPr>
          <w:instrText xml:space="preserve"> PAGEREF _Toc494473078 \h </w:instrText>
        </w:r>
        <w:r w:rsidR="00D46C27">
          <w:rPr>
            <w:webHidden/>
          </w:rPr>
        </w:r>
        <w:r w:rsidR="00D46C27">
          <w:rPr>
            <w:webHidden/>
          </w:rPr>
          <w:fldChar w:fldCharType="separate"/>
        </w:r>
        <w:r w:rsidR="00D46C27">
          <w:rPr>
            <w:webHidden/>
          </w:rPr>
          <w:t>15</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79" w:history="1">
        <w:r w:rsidR="00D46C27" w:rsidRPr="000C2884">
          <w:rPr>
            <w:rStyle w:val="Hyperlink"/>
          </w:rPr>
          <w:t>[Information among the authorities of members of the Union]</w:t>
        </w:r>
        <w:r w:rsidR="00D46C27">
          <w:rPr>
            <w:webHidden/>
          </w:rPr>
          <w:tab/>
        </w:r>
        <w:r w:rsidR="00D46C27">
          <w:rPr>
            <w:webHidden/>
          </w:rPr>
          <w:fldChar w:fldCharType="begin"/>
        </w:r>
        <w:r w:rsidR="00D46C27">
          <w:rPr>
            <w:webHidden/>
          </w:rPr>
          <w:instrText xml:space="preserve"> PAGEREF _Toc494473079 \h </w:instrText>
        </w:r>
        <w:r w:rsidR="00D46C27">
          <w:rPr>
            <w:webHidden/>
          </w:rPr>
        </w:r>
        <w:r w:rsidR="00D46C27">
          <w:rPr>
            <w:webHidden/>
          </w:rPr>
          <w:fldChar w:fldCharType="separate"/>
        </w:r>
        <w:r w:rsidR="00D46C27">
          <w:rPr>
            <w:webHidden/>
          </w:rPr>
          <w:t>15</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80" w:history="1">
        <w:r w:rsidR="00D46C27" w:rsidRPr="000C2884">
          <w:rPr>
            <w:rStyle w:val="Hyperlink"/>
          </w:rPr>
          <w:t>Paragraph 7</w:t>
        </w:r>
        <w:r w:rsidR="00D46C27">
          <w:rPr>
            <w:webHidden/>
          </w:rPr>
          <w:tab/>
        </w:r>
        <w:r w:rsidR="00D46C27">
          <w:rPr>
            <w:webHidden/>
          </w:rPr>
          <w:fldChar w:fldCharType="begin"/>
        </w:r>
        <w:r w:rsidR="00D46C27">
          <w:rPr>
            <w:webHidden/>
          </w:rPr>
          <w:instrText xml:space="preserve"> PAGEREF _Toc494473080 \h </w:instrText>
        </w:r>
        <w:r w:rsidR="00D46C27">
          <w:rPr>
            <w:webHidden/>
          </w:rPr>
        </w:r>
        <w:r w:rsidR="00D46C27">
          <w:rPr>
            <w:webHidden/>
          </w:rPr>
          <w:fldChar w:fldCharType="separate"/>
        </w:r>
        <w:r w:rsidR="00D46C27">
          <w:rPr>
            <w:webHidden/>
          </w:rPr>
          <w:t>16</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81" w:history="1">
        <w:r w:rsidR="00D46C27" w:rsidRPr="000C2884">
          <w:rPr>
            <w:rStyle w:val="Hyperlink"/>
          </w:rPr>
          <w:t>[Obligation to use the denomination]</w:t>
        </w:r>
        <w:r w:rsidR="00D46C27">
          <w:rPr>
            <w:webHidden/>
          </w:rPr>
          <w:tab/>
        </w:r>
        <w:r w:rsidR="00D46C27">
          <w:rPr>
            <w:webHidden/>
          </w:rPr>
          <w:fldChar w:fldCharType="begin"/>
        </w:r>
        <w:r w:rsidR="00D46C27">
          <w:rPr>
            <w:webHidden/>
          </w:rPr>
          <w:instrText xml:space="preserve"> PAGEREF _Toc494473081 \h </w:instrText>
        </w:r>
        <w:r w:rsidR="00D46C27">
          <w:rPr>
            <w:webHidden/>
          </w:rPr>
        </w:r>
        <w:r w:rsidR="00D46C27">
          <w:rPr>
            <w:webHidden/>
          </w:rPr>
          <w:fldChar w:fldCharType="separate"/>
        </w:r>
        <w:r w:rsidR="00D46C27">
          <w:rPr>
            <w:webHidden/>
          </w:rPr>
          <w:t>16</w:t>
        </w:r>
        <w:r w:rsidR="00D46C27">
          <w:rPr>
            <w:webHidden/>
          </w:rPr>
          <w:fldChar w:fldCharType="end"/>
        </w:r>
      </w:hyperlink>
    </w:p>
    <w:p w:rsidR="00D46C27" w:rsidRDefault="00FD5299">
      <w:pPr>
        <w:pStyle w:val="TOC1"/>
        <w:rPr>
          <w:rFonts w:asciiTheme="minorHAnsi" w:eastAsiaTheme="minorEastAsia" w:hAnsiTheme="minorHAnsi" w:cstheme="minorBidi"/>
          <w:bCs w:val="0"/>
          <w:caps w:val="0"/>
          <w:sz w:val="22"/>
          <w:szCs w:val="22"/>
        </w:rPr>
      </w:pPr>
      <w:hyperlink w:anchor="_Toc494473082" w:history="1">
        <w:r w:rsidR="00D46C27" w:rsidRPr="000C2884">
          <w:rPr>
            <w:rStyle w:val="Hyperlink"/>
          </w:rPr>
          <w:t>Paragraph 8</w:t>
        </w:r>
        <w:r w:rsidR="00D46C27">
          <w:rPr>
            <w:webHidden/>
          </w:rPr>
          <w:tab/>
        </w:r>
        <w:r w:rsidR="00D46C27">
          <w:rPr>
            <w:webHidden/>
          </w:rPr>
          <w:fldChar w:fldCharType="begin"/>
        </w:r>
        <w:r w:rsidR="00D46C27">
          <w:rPr>
            <w:webHidden/>
          </w:rPr>
          <w:instrText xml:space="preserve"> PAGEREF _Toc494473082 \h </w:instrText>
        </w:r>
        <w:r w:rsidR="00D46C27">
          <w:rPr>
            <w:webHidden/>
          </w:rPr>
        </w:r>
        <w:r w:rsidR="00D46C27">
          <w:rPr>
            <w:webHidden/>
          </w:rPr>
          <w:fldChar w:fldCharType="separate"/>
        </w:r>
        <w:r w:rsidR="00D46C27">
          <w:rPr>
            <w:webHidden/>
          </w:rPr>
          <w:t>16</w:t>
        </w:r>
        <w:r w:rsidR="00D46C27">
          <w:rPr>
            <w:webHidden/>
          </w:rPr>
          <w:fldChar w:fldCharType="end"/>
        </w:r>
      </w:hyperlink>
    </w:p>
    <w:p w:rsidR="00D46C27" w:rsidRDefault="00FD5299">
      <w:pPr>
        <w:pStyle w:val="TOC2"/>
        <w:rPr>
          <w:rFonts w:asciiTheme="minorHAnsi" w:eastAsiaTheme="minorEastAsia" w:hAnsiTheme="minorHAnsi" w:cstheme="minorBidi"/>
          <w:sz w:val="22"/>
          <w:szCs w:val="22"/>
        </w:rPr>
      </w:pPr>
      <w:hyperlink w:anchor="_Toc494473083" w:history="1">
        <w:r w:rsidR="00D46C27" w:rsidRPr="000C2884">
          <w:rPr>
            <w:rStyle w:val="Hyperlink"/>
          </w:rPr>
          <w:t>[Indications used in association with denominations]</w:t>
        </w:r>
        <w:r w:rsidR="00D46C27">
          <w:rPr>
            <w:webHidden/>
          </w:rPr>
          <w:tab/>
        </w:r>
        <w:r w:rsidR="00D46C27">
          <w:rPr>
            <w:webHidden/>
          </w:rPr>
          <w:fldChar w:fldCharType="begin"/>
        </w:r>
        <w:r w:rsidR="00D46C27">
          <w:rPr>
            <w:webHidden/>
          </w:rPr>
          <w:instrText xml:space="preserve"> PAGEREF _Toc494473083 \h </w:instrText>
        </w:r>
        <w:r w:rsidR="00D46C27">
          <w:rPr>
            <w:webHidden/>
          </w:rPr>
        </w:r>
        <w:r w:rsidR="00D46C27">
          <w:rPr>
            <w:webHidden/>
          </w:rPr>
          <w:fldChar w:fldCharType="separate"/>
        </w:r>
        <w:r w:rsidR="00D46C27">
          <w:rPr>
            <w:webHidden/>
          </w:rPr>
          <w:t>16</w:t>
        </w:r>
        <w:r w:rsidR="00D46C27">
          <w:rPr>
            <w:webHidden/>
          </w:rPr>
          <w:fldChar w:fldCharType="end"/>
        </w:r>
      </w:hyperlink>
    </w:p>
    <w:p w:rsidR="00893C7D" w:rsidRDefault="00D46C27" w:rsidP="00D706BE">
      <w:pPr>
        <w:rPr>
          <w:noProof/>
          <w:sz w:val="18"/>
        </w:rPr>
      </w:pPr>
      <w:r>
        <w:rPr>
          <w:rFonts w:cs="Arial"/>
          <w:noProof/>
          <w:sz w:val="18"/>
          <w:szCs w:val="18"/>
        </w:rPr>
        <w:fldChar w:fldCharType="end"/>
      </w:r>
    </w:p>
    <w:p w:rsidR="00D706BE" w:rsidRDefault="00D706BE" w:rsidP="00012886">
      <w:pPr>
        <w:ind w:left="1134" w:right="1275" w:hanging="1134"/>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012886">
      <w:pPr>
        <w:tabs>
          <w:tab w:val="left" w:pos="1134"/>
        </w:tabs>
        <w:ind w:left="1418" w:right="1275" w:hanging="1418"/>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012886">
      <w:pPr>
        <w:tabs>
          <w:tab w:val="left" w:pos="1134"/>
        </w:tabs>
        <w:ind w:left="1418" w:right="1275" w:hanging="1418"/>
        <w:jc w:val="left"/>
        <w:rPr>
          <w:noProof/>
          <w:sz w:val="18"/>
        </w:rPr>
      </w:pPr>
    </w:p>
    <w:p w:rsidR="00012886" w:rsidRPr="00D706BE" w:rsidRDefault="00012886" w:rsidP="00012886">
      <w:pPr>
        <w:tabs>
          <w:tab w:val="left" w:pos="1134"/>
        </w:tabs>
        <w:ind w:left="1418" w:right="1275" w:hanging="1418"/>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2E6475">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407B23" w:rsidRDefault="00893C7D" w:rsidP="00E3281E">
      <w:pPr>
        <w:pStyle w:val="Heading1"/>
      </w:pPr>
      <w:bookmarkStart w:id="2" w:name="_Toc494473057"/>
      <w:r w:rsidRPr="00407B23">
        <w:t>Preamble</w:t>
      </w:r>
      <w:bookmarkEnd w:id="2"/>
    </w:p>
    <w:p w:rsidR="00893C7D" w:rsidRPr="00407B23" w:rsidRDefault="00893C7D" w:rsidP="00893C7D"/>
    <w:p w:rsidR="00893C7D" w:rsidRPr="00407B23" w:rsidRDefault="00893C7D" w:rsidP="00893C7D">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407B23" w:rsidRDefault="00893C7D" w:rsidP="00893C7D"/>
    <w:p w:rsidR="00893C7D" w:rsidRPr="00407B23" w:rsidRDefault="00893C7D" w:rsidP="00893C7D">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407B23" w:rsidRDefault="00893C7D" w:rsidP="00893C7D"/>
    <w:p w:rsidR="00893C7D" w:rsidRPr="00407B23" w:rsidRDefault="00893C7D" w:rsidP="00893C7D">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893C7D" w:rsidRDefault="00893C7D" w:rsidP="00893C7D"/>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9B3D60" w:rsidRPr="00E3281E" w:rsidTr="009B3D60">
        <w:tc>
          <w:tcPr>
            <w:tcW w:w="9813" w:type="dxa"/>
            <w:shd w:val="clear" w:color="auto" w:fill="D9D9D9" w:themeFill="background1" w:themeFillShade="D9"/>
          </w:tcPr>
          <w:p w:rsidR="009B3D60" w:rsidRPr="00E3281E" w:rsidRDefault="009B3D60" w:rsidP="00E3281E">
            <w:pPr>
              <w:pageBreakBefore/>
              <w:rPr>
                <w:color w:val="000000"/>
                <w:sz w:val="18"/>
                <w:szCs w:val="18"/>
                <w:u w:val="single"/>
              </w:rPr>
            </w:pPr>
            <w:r w:rsidRPr="00E3281E">
              <w:rPr>
                <w:rFonts w:hint="eastAsia"/>
                <w:color w:val="000000"/>
                <w:sz w:val="18"/>
                <w:szCs w:val="18"/>
                <w:u w:val="single"/>
                <w:lang w:eastAsia="ja-JP"/>
              </w:rPr>
              <w:t>T</w:t>
            </w:r>
            <w:r w:rsidRPr="00E3281E">
              <w:rPr>
                <w:color w:val="000000"/>
                <w:sz w:val="18"/>
                <w:szCs w:val="18"/>
                <w:u w:val="single"/>
              </w:rPr>
              <w:t xml:space="preserve">he </w:t>
            </w:r>
            <w:r w:rsidRPr="00E3281E">
              <w:rPr>
                <w:rFonts w:hint="eastAsia"/>
                <w:color w:val="000000"/>
                <w:sz w:val="18"/>
                <w:szCs w:val="18"/>
                <w:u w:val="single"/>
                <w:lang w:eastAsia="ja-JP"/>
              </w:rPr>
              <w:t>WG-DEN</w:t>
            </w:r>
            <w:r w:rsidRPr="00E3281E">
              <w:rPr>
                <w:color w:val="000000"/>
                <w:sz w:val="18"/>
                <w:szCs w:val="18"/>
                <w:u w:val="single"/>
                <w:lang w:eastAsia="ja-JP"/>
              </w:rPr>
              <w:t>, at its third meeting</w:t>
            </w:r>
            <w:r w:rsidRPr="00E3281E">
              <w:rPr>
                <w:rStyle w:val="EndnoteReference"/>
                <w:color w:val="000000"/>
                <w:sz w:val="18"/>
                <w:szCs w:val="18"/>
              </w:rPr>
              <w:endnoteReference w:id="1"/>
            </w:r>
          </w:p>
          <w:p w:rsidR="009B3D60" w:rsidRPr="00E3281E" w:rsidRDefault="009B3D60" w:rsidP="009B3D60">
            <w:pPr>
              <w:rPr>
                <w:sz w:val="18"/>
                <w:szCs w:val="18"/>
                <w:lang w:eastAsia="ja-JP"/>
              </w:rPr>
            </w:pPr>
          </w:p>
          <w:p w:rsidR="009B3D60" w:rsidRPr="00E3281E" w:rsidRDefault="009B3D60" w:rsidP="00FC531A">
            <w:pPr>
              <w:rPr>
                <w:sz w:val="18"/>
                <w:szCs w:val="18"/>
              </w:rPr>
            </w:pPr>
            <w:r w:rsidRPr="00E3281E">
              <w:rPr>
                <w:sz w:val="18"/>
                <w:szCs w:val="18"/>
              </w:rPr>
              <w:t>The WG-DEN agreed to issue a circular in order to explore the frequency that UPOV members were faced with existing denominations that did not meet their own criteria and the frequency that synonyms were created as a result.  In addition, the WG-DEN agreed to issue a circular to users on whether the cur</w:t>
            </w:r>
            <w:r w:rsidR="00493FBE">
              <w:rPr>
                <w:sz w:val="18"/>
                <w:szCs w:val="18"/>
              </w:rPr>
              <w:t>rent practices created problems</w:t>
            </w:r>
            <w:r w:rsidR="00FC531A" w:rsidRPr="00E3281E">
              <w:rPr>
                <w:sz w:val="18"/>
                <w:szCs w:val="18"/>
              </w:rPr>
              <w:t xml:space="preserve"> </w:t>
            </w:r>
            <w:r w:rsidRPr="00E3281E">
              <w:rPr>
                <w:sz w:val="18"/>
                <w:szCs w:val="18"/>
              </w:rPr>
              <w:t>(</w:t>
            </w:r>
            <w:r w:rsidR="00493FBE" w:rsidRPr="00E3281E">
              <w:rPr>
                <w:sz w:val="18"/>
                <w:szCs w:val="18"/>
                <w:lang w:eastAsia="ja-JP"/>
              </w:rPr>
              <w:t xml:space="preserve">see </w:t>
            </w:r>
            <w:r w:rsidRPr="00E3281E">
              <w:rPr>
                <w:rFonts w:hint="eastAsia"/>
                <w:sz w:val="18"/>
                <w:szCs w:val="18"/>
                <w:lang w:eastAsia="ja-JP"/>
              </w:rPr>
              <w:t xml:space="preserve">document </w:t>
            </w:r>
            <w:hyperlink r:id="rId10" w:history="1">
              <w:r w:rsidRPr="00E3281E">
                <w:rPr>
                  <w:rStyle w:val="Hyperlink"/>
                  <w:rFonts w:hint="eastAsia"/>
                  <w:sz w:val="18"/>
                  <w:szCs w:val="18"/>
                  <w:lang w:eastAsia="ja-JP"/>
                </w:rPr>
                <w:t>UPOV/WG-DEN/</w:t>
              </w:r>
              <w:r w:rsidRPr="00E3281E">
                <w:rPr>
                  <w:rStyle w:val="Hyperlink"/>
                  <w:sz w:val="18"/>
                  <w:szCs w:val="18"/>
                  <w:lang w:eastAsia="ja-JP"/>
                </w:rPr>
                <w:t>4</w:t>
              </w:r>
              <w:r w:rsidRPr="00E3281E">
                <w:rPr>
                  <w:rStyle w:val="Hyperlink"/>
                  <w:rFonts w:hint="eastAsia"/>
                  <w:sz w:val="18"/>
                  <w:szCs w:val="18"/>
                  <w:lang w:eastAsia="ja-JP"/>
                </w:rPr>
                <w:t>/</w:t>
              </w:r>
              <w:r w:rsidRPr="00E3281E">
                <w:rPr>
                  <w:rStyle w:val="Hyperlink"/>
                  <w:sz w:val="18"/>
                  <w:szCs w:val="18"/>
                  <w:lang w:eastAsia="ja-JP"/>
                </w:rPr>
                <w:t>2</w:t>
              </w:r>
            </w:hyperlink>
            <w:r w:rsidRPr="00E3281E">
              <w:rPr>
                <w:rFonts w:hint="eastAsia"/>
                <w:sz w:val="18"/>
                <w:szCs w:val="18"/>
                <w:lang w:eastAsia="ja-JP"/>
              </w:rPr>
              <w:t xml:space="preserve"> </w:t>
            </w:r>
            <w:r w:rsidRPr="00E3281E">
              <w:rPr>
                <w:sz w:val="18"/>
                <w:szCs w:val="18"/>
                <w:lang w:eastAsia="ja-JP"/>
              </w:rPr>
              <w:t>“Revision of document UPOV/INF/12/5 ‘Explanatory Notes on Variety Denominations under the UPOV Convention’”</w:t>
            </w:r>
            <w:r w:rsidR="0033011F" w:rsidRPr="00E3281E">
              <w:rPr>
                <w:sz w:val="18"/>
                <w:szCs w:val="18"/>
                <w:lang w:eastAsia="ja-JP"/>
              </w:rPr>
              <w:t xml:space="preserve">, Annexes II to </w:t>
            </w:r>
            <w:r w:rsidR="00E3281E">
              <w:rPr>
                <w:sz w:val="18"/>
                <w:szCs w:val="18"/>
                <w:lang w:eastAsia="ja-JP"/>
              </w:rPr>
              <w:t>VIII</w:t>
            </w:r>
            <w:r w:rsidRPr="00E3281E">
              <w:rPr>
                <w:sz w:val="18"/>
                <w:szCs w:val="18"/>
              </w:rPr>
              <w:t>)</w:t>
            </w:r>
            <w:r w:rsidR="00493FBE">
              <w:rPr>
                <w:sz w:val="18"/>
                <w:szCs w:val="18"/>
              </w:rPr>
              <w:t>.</w:t>
            </w:r>
          </w:p>
          <w:p w:rsidR="00E3281E" w:rsidRDefault="00E3281E" w:rsidP="00FC531A">
            <w:pPr>
              <w:rPr>
                <w:sz w:val="18"/>
                <w:szCs w:val="18"/>
              </w:rPr>
            </w:pPr>
          </w:p>
          <w:p w:rsidR="00E3281E" w:rsidRPr="00E3281E" w:rsidRDefault="00E3281E" w:rsidP="00FC531A">
            <w:pPr>
              <w:rPr>
                <w:sz w:val="18"/>
                <w:szCs w:val="18"/>
              </w:rPr>
            </w:pPr>
          </w:p>
          <w:p w:rsidR="00E3281E" w:rsidRPr="00E3281E" w:rsidRDefault="00E3281E" w:rsidP="00E3281E">
            <w:pPr>
              <w:keepNext/>
              <w:rPr>
                <w:sz w:val="18"/>
                <w:szCs w:val="18"/>
                <w:u w:val="single"/>
              </w:rPr>
            </w:pPr>
            <w:r w:rsidRPr="00E3281E">
              <w:rPr>
                <w:sz w:val="18"/>
                <w:szCs w:val="18"/>
                <w:u w:val="single"/>
              </w:rPr>
              <w:t>Summary of results of circular E-17/135 to members of the Union</w:t>
            </w:r>
          </w:p>
          <w:p w:rsidR="00E3281E" w:rsidRPr="00E3281E" w:rsidRDefault="00E3281E" w:rsidP="00E3281E">
            <w:pPr>
              <w:keepNext/>
              <w:rPr>
                <w:sz w:val="18"/>
                <w:szCs w:val="18"/>
              </w:rPr>
            </w:pPr>
          </w:p>
          <w:p w:rsidR="00E3281E" w:rsidRPr="00E3281E" w:rsidRDefault="00E3281E" w:rsidP="00E3281E">
            <w:pPr>
              <w:spacing w:after="120"/>
              <w:ind w:left="567" w:hanging="283"/>
              <w:rPr>
                <w:sz w:val="18"/>
                <w:szCs w:val="18"/>
              </w:rPr>
            </w:pPr>
            <w:r w:rsidRPr="00E3281E">
              <w:rPr>
                <w:sz w:val="18"/>
                <w:szCs w:val="18"/>
              </w:rPr>
              <w:t>-</w:t>
            </w:r>
            <w:r w:rsidRPr="00E3281E">
              <w:rPr>
                <w:sz w:val="18"/>
                <w:szCs w:val="18"/>
              </w:rPr>
              <w:tab/>
              <w:t>Provide the number of denominations, in the past 12 months, that had previously been accepted by another member of the Union that did not meet the criteria for acceptance in your territory and, of those, the number that:</w:t>
            </w:r>
          </w:p>
          <w:p w:rsidR="00E3281E" w:rsidRPr="00E3281E" w:rsidRDefault="00E3281E" w:rsidP="00E3281E">
            <w:pPr>
              <w:pStyle w:val="ListParagraph"/>
              <w:numPr>
                <w:ilvl w:val="1"/>
                <w:numId w:val="8"/>
              </w:numPr>
              <w:ind w:left="993" w:hanging="283"/>
              <w:contextualSpacing w:val="0"/>
              <w:rPr>
                <w:sz w:val="18"/>
                <w:szCs w:val="18"/>
              </w:rPr>
            </w:pPr>
            <w:r w:rsidRPr="00E3281E">
              <w:rPr>
                <w:sz w:val="18"/>
                <w:szCs w:val="18"/>
              </w:rPr>
              <w:t>were accepted in your territory despite the fact that they did not meet the criteria for acceptance in your territory</w:t>
            </w:r>
          </w:p>
          <w:p w:rsidR="00E3281E" w:rsidRPr="00E3281E" w:rsidRDefault="00E3281E" w:rsidP="00E3281E">
            <w:pPr>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06"/>
              <w:gridCol w:w="6175"/>
            </w:tblGrid>
            <w:tr w:rsidR="00E3281E" w:rsidRPr="00E3281E" w:rsidTr="00E3281E">
              <w:tc>
                <w:tcPr>
                  <w:tcW w:w="2835" w:type="dxa"/>
                </w:tcPr>
                <w:p w:rsidR="00E3281E" w:rsidRPr="00E3281E" w:rsidRDefault="00E3281E" w:rsidP="00E3281E">
                  <w:pPr>
                    <w:rPr>
                      <w:sz w:val="18"/>
                      <w:szCs w:val="18"/>
                    </w:rPr>
                  </w:pPr>
                  <w:r w:rsidRPr="00E3281E">
                    <w:rPr>
                      <w:sz w:val="18"/>
                      <w:szCs w:val="18"/>
                    </w:rPr>
                    <w:t>None</w:t>
                  </w:r>
                </w:p>
              </w:tc>
              <w:tc>
                <w:tcPr>
                  <w:tcW w:w="6237" w:type="dxa"/>
                </w:tcPr>
                <w:p w:rsidR="00E3281E" w:rsidRPr="00E3281E" w:rsidRDefault="00E3281E" w:rsidP="00E3281E">
                  <w:pPr>
                    <w:rPr>
                      <w:sz w:val="18"/>
                      <w:szCs w:val="18"/>
                    </w:rPr>
                  </w:pPr>
                  <w:r w:rsidRPr="00E3281E">
                    <w:rPr>
                      <w:snapToGrid w:val="0"/>
                      <w:sz w:val="18"/>
                      <w:szCs w:val="18"/>
                      <w:lang w:val="en-GB"/>
                    </w:rPr>
                    <w:t>Australia,</w:t>
                  </w:r>
                  <w:r w:rsidRPr="00E3281E">
                    <w:rPr>
                      <w:sz w:val="18"/>
                      <w:szCs w:val="18"/>
                      <w:lang w:val="en-GB"/>
                    </w:rPr>
                    <w:t xml:space="preserve"> South Africa</w:t>
                  </w:r>
                </w:p>
              </w:tc>
            </w:tr>
            <w:tr w:rsidR="00E3281E" w:rsidRPr="00E3281E" w:rsidTr="00E3281E">
              <w:tc>
                <w:tcPr>
                  <w:tcW w:w="2835" w:type="dxa"/>
                </w:tcPr>
                <w:p w:rsidR="00E3281E" w:rsidRPr="00E3281E" w:rsidRDefault="00E3281E" w:rsidP="00E3281E">
                  <w:pPr>
                    <w:rPr>
                      <w:sz w:val="18"/>
                      <w:szCs w:val="18"/>
                    </w:rPr>
                  </w:pPr>
                  <w:r w:rsidRPr="00E3281E">
                    <w:rPr>
                      <w:sz w:val="18"/>
                      <w:szCs w:val="18"/>
                    </w:rPr>
                    <w:t>Some</w:t>
                  </w:r>
                </w:p>
              </w:tc>
              <w:tc>
                <w:tcPr>
                  <w:tcW w:w="6237" w:type="dxa"/>
                </w:tcPr>
                <w:p w:rsidR="00E3281E" w:rsidRPr="00E3281E" w:rsidRDefault="00E3281E" w:rsidP="00E3281E">
                  <w:pPr>
                    <w:rPr>
                      <w:sz w:val="18"/>
                      <w:szCs w:val="18"/>
                    </w:rPr>
                  </w:pPr>
                  <w:r w:rsidRPr="00E3281E">
                    <w:rPr>
                      <w:color w:val="000000" w:themeColor="text1"/>
                      <w:sz w:val="18"/>
                      <w:szCs w:val="18"/>
                    </w:rPr>
                    <w:t>European Union (1)</w:t>
                  </w:r>
                  <w:r w:rsidRPr="00E3281E">
                    <w:rPr>
                      <w:snapToGrid w:val="0"/>
                      <w:sz w:val="18"/>
                      <w:szCs w:val="18"/>
                    </w:rPr>
                    <w:t>, Netherlands</w:t>
                  </w:r>
                  <w:r>
                    <w:rPr>
                      <w:snapToGrid w:val="0"/>
                      <w:sz w:val="18"/>
                      <w:szCs w:val="18"/>
                    </w:rPr>
                    <w:t xml:space="preserve"> (1), </w:t>
                  </w:r>
                  <w:r w:rsidRPr="00E3281E">
                    <w:rPr>
                      <w:snapToGrid w:val="0"/>
                      <w:sz w:val="18"/>
                      <w:szCs w:val="18"/>
                    </w:rPr>
                    <w:t>New Zealand</w:t>
                  </w:r>
                  <w:r w:rsidRPr="00E3281E">
                    <w:rPr>
                      <w:sz w:val="18"/>
                      <w:szCs w:val="18"/>
                    </w:rPr>
                    <w:t xml:space="preserve"> (2)</w:t>
                  </w:r>
                </w:p>
              </w:tc>
            </w:tr>
          </w:tbl>
          <w:p w:rsidR="00E3281E" w:rsidRPr="00E3281E" w:rsidRDefault="00E3281E" w:rsidP="00E3281E">
            <w:pPr>
              <w:rPr>
                <w:sz w:val="18"/>
                <w:szCs w:val="18"/>
              </w:rPr>
            </w:pPr>
          </w:p>
          <w:p w:rsidR="00E3281E" w:rsidRPr="00E3281E" w:rsidRDefault="00E3281E" w:rsidP="00E3281E">
            <w:pPr>
              <w:pStyle w:val="ListParagraph"/>
              <w:numPr>
                <w:ilvl w:val="1"/>
                <w:numId w:val="8"/>
              </w:numPr>
              <w:ind w:left="993" w:hanging="283"/>
              <w:contextualSpacing w:val="0"/>
              <w:rPr>
                <w:sz w:val="18"/>
                <w:szCs w:val="18"/>
              </w:rPr>
            </w:pPr>
            <w:r w:rsidRPr="00E3281E">
              <w:rPr>
                <w:sz w:val="18"/>
                <w:szCs w:val="18"/>
              </w:rPr>
              <w:t>were rejected in your territory because they did not meet the criteria for acceptance in your territory</w:t>
            </w:r>
          </w:p>
          <w:p w:rsidR="00E3281E" w:rsidRPr="00E3281E" w:rsidRDefault="00E3281E" w:rsidP="00E3281E">
            <w:pPr>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06"/>
              <w:gridCol w:w="6175"/>
            </w:tblGrid>
            <w:tr w:rsidR="00E3281E" w:rsidRPr="00E3281E" w:rsidTr="00E3281E">
              <w:tc>
                <w:tcPr>
                  <w:tcW w:w="2835" w:type="dxa"/>
                </w:tcPr>
                <w:p w:rsidR="00E3281E" w:rsidRPr="00E3281E" w:rsidRDefault="00E3281E" w:rsidP="00E3281E">
                  <w:pPr>
                    <w:rPr>
                      <w:sz w:val="18"/>
                      <w:szCs w:val="18"/>
                    </w:rPr>
                  </w:pPr>
                  <w:r w:rsidRPr="00E3281E">
                    <w:rPr>
                      <w:sz w:val="18"/>
                      <w:szCs w:val="18"/>
                    </w:rPr>
                    <w:t>None</w:t>
                  </w:r>
                </w:p>
              </w:tc>
              <w:tc>
                <w:tcPr>
                  <w:tcW w:w="6237" w:type="dxa"/>
                </w:tcPr>
                <w:p w:rsidR="00E3281E" w:rsidRPr="00E3281E" w:rsidRDefault="00E3281E" w:rsidP="00E3281E">
                  <w:pPr>
                    <w:rPr>
                      <w:sz w:val="18"/>
                      <w:szCs w:val="18"/>
                    </w:rPr>
                  </w:pPr>
                  <w:r w:rsidRPr="00E3281E">
                    <w:rPr>
                      <w:snapToGrid w:val="0"/>
                      <w:sz w:val="18"/>
                      <w:szCs w:val="18"/>
                      <w:lang w:val="en-GB"/>
                    </w:rPr>
                    <w:t>New Zealand</w:t>
                  </w:r>
                  <w:r w:rsidRPr="00E3281E">
                    <w:rPr>
                      <w:sz w:val="18"/>
                      <w:szCs w:val="18"/>
                      <w:lang w:val="en-GB"/>
                    </w:rPr>
                    <w:t>, South Africa</w:t>
                  </w:r>
                </w:p>
              </w:tc>
            </w:tr>
            <w:tr w:rsidR="00E3281E" w:rsidRPr="00E3281E" w:rsidTr="00E3281E">
              <w:tc>
                <w:tcPr>
                  <w:tcW w:w="2835" w:type="dxa"/>
                </w:tcPr>
                <w:p w:rsidR="00E3281E" w:rsidRPr="00E3281E" w:rsidRDefault="00E3281E" w:rsidP="00E3281E">
                  <w:pPr>
                    <w:rPr>
                      <w:sz w:val="18"/>
                      <w:szCs w:val="18"/>
                    </w:rPr>
                  </w:pPr>
                  <w:r w:rsidRPr="00E3281E">
                    <w:rPr>
                      <w:sz w:val="18"/>
                      <w:szCs w:val="18"/>
                    </w:rPr>
                    <w:t>Some</w:t>
                  </w:r>
                </w:p>
              </w:tc>
              <w:tc>
                <w:tcPr>
                  <w:tcW w:w="6237" w:type="dxa"/>
                </w:tcPr>
                <w:p w:rsidR="00E3281E" w:rsidRPr="00E3281E" w:rsidRDefault="00E3281E" w:rsidP="00E3281E">
                  <w:pPr>
                    <w:jc w:val="left"/>
                    <w:rPr>
                      <w:sz w:val="18"/>
                      <w:szCs w:val="18"/>
                    </w:rPr>
                  </w:pPr>
                  <w:r w:rsidRPr="00E3281E">
                    <w:rPr>
                      <w:snapToGrid w:val="0"/>
                      <w:color w:val="000000" w:themeColor="text1"/>
                      <w:sz w:val="18"/>
                      <w:szCs w:val="18"/>
                    </w:rPr>
                    <w:t xml:space="preserve">Australia </w:t>
                  </w:r>
                  <w:r w:rsidRPr="00E3281E">
                    <w:rPr>
                      <w:color w:val="000000" w:themeColor="text1"/>
                      <w:sz w:val="18"/>
                      <w:szCs w:val="18"/>
                    </w:rPr>
                    <w:t>(7), European Union</w:t>
                  </w:r>
                  <w:r w:rsidRPr="00E3281E">
                    <w:rPr>
                      <w:sz w:val="18"/>
                      <w:szCs w:val="18"/>
                    </w:rPr>
                    <w:t xml:space="preserve"> (17 in 2016, 6 in 2017 to end August)</w:t>
                  </w:r>
                  <w:r w:rsidRPr="00E3281E">
                    <w:rPr>
                      <w:snapToGrid w:val="0"/>
                      <w:sz w:val="18"/>
                      <w:szCs w:val="18"/>
                    </w:rPr>
                    <w:t>, Netherlands</w:t>
                  </w:r>
                  <w:r>
                    <w:rPr>
                      <w:snapToGrid w:val="0"/>
                      <w:sz w:val="18"/>
                      <w:szCs w:val="18"/>
                    </w:rPr>
                    <w:t xml:space="preserve"> (1)</w:t>
                  </w:r>
                </w:p>
              </w:tc>
            </w:tr>
          </w:tbl>
          <w:p w:rsidR="00E3281E" w:rsidRPr="00E3281E" w:rsidRDefault="00E3281E" w:rsidP="00E3281E">
            <w:pPr>
              <w:rPr>
                <w:sz w:val="18"/>
                <w:szCs w:val="18"/>
              </w:rPr>
            </w:pPr>
          </w:p>
          <w:p w:rsidR="00E3281E" w:rsidRPr="00E3281E" w:rsidRDefault="00E3281E" w:rsidP="00E3281E">
            <w:pPr>
              <w:rPr>
                <w:sz w:val="18"/>
                <w:szCs w:val="18"/>
              </w:rPr>
            </w:pPr>
          </w:p>
          <w:p w:rsidR="00E3281E" w:rsidRPr="00E3281E" w:rsidRDefault="00E3281E" w:rsidP="00E3281E">
            <w:pPr>
              <w:keepNext/>
              <w:rPr>
                <w:sz w:val="18"/>
                <w:szCs w:val="18"/>
                <w:u w:val="single"/>
              </w:rPr>
            </w:pPr>
            <w:r w:rsidRPr="00E3281E">
              <w:rPr>
                <w:sz w:val="18"/>
                <w:szCs w:val="18"/>
                <w:u w:val="single"/>
              </w:rPr>
              <w:t>Summary of results of circular E-17/136 to observers</w:t>
            </w:r>
          </w:p>
          <w:p w:rsidR="00E3281E" w:rsidRPr="00E3281E" w:rsidRDefault="00E3281E" w:rsidP="00E3281E">
            <w:pPr>
              <w:keepNext/>
              <w:rPr>
                <w:sz w:val="18"/>
                <w:szCs w:val="18"/>
              </w:rPr>
            </w:pPr>
          </w:p>
          <w:p w:rsidR="00E3281E" w:rsidRPr="00E3281E" w:rsidRDefault="00E3281E" w:rsidP="00E3281E">
            <w:pPr>
              <w:pStyle w:val="ListParagraph"/>
              <w:keepNext/>
              <w:ind w:left="567" w:hanging="283"/>
              <w:contextualSpacing w:val="0"/>
              <w:rPr>
                <w:sz w:val="18"/>
                <w:szCs w:val="18"/>
              </w:rPr>
            </w:pPr>
            <w:r w:rsidRPr="00E3281E">
              <w:rPr>
                <w:sz w:val="18"/>
                <w:szCs w:val="18"/>
              </w:rPr>
              <w:t>-</w:t>
            </w:r>
            <w:r w:rsidRPr="00E3281E">
              <w:rPr>
                <w:sz w:val="18"/>
                <w:szCs w:val="18"/>
              </w:rPr>
              <w:tab/>
              <w:t>Information on the frequency, within the last 12 months, that a variety denomination that had previous</w:t>
            </w:r>
            <w:r w:rsidRPr="00E3281E">
              <w:rPr>
                <w:rFonts w:eastAsia="Times New Roman"/>
                <w:sz w:val="18"/>
                <w:szCs w:val="18"/>
              </w:rPr>
              <w:t xml:space="preserve">ly been </w:t>
            </w:r>
            <w:r w:rsidRPr="00E3281E">
              <w:rPr>
                <w:sz w:val="18"/>
                <w:szCs w:val="18"/>
              </w:rPr>
              <w:t xml:space="preserve">accepted by a member of the Union was rejected by another member of the Union because it did not meet the criteria for acceptance in the latter’s territory; </w:t>
            </w:r>
          </w:p>
          <w:p w:rsidR="00E3281E" w:rsidRPr="00E3281E" w:rsidRDefault="00E3281E" w:rsidP="00E3281E">
            <w:pPr>
              <w:pStyle w:val="ListParagraph"/>
              <w:keepNext/>
              <w:ind w:left="851" w:hanging="567"/>
              <w:contextualSpacing w:val="0"/>
              <w:jc w:val="left"/>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05"/>
              <w:gridCol w:w="6176"/>
            </w:tblGrid>
            <w:tr w:rsidR="00E3281E" w:rsidRPr="00E3281E" w:rsidTr="00E3281E">
              <w:tc>
                <w:tcPr>
                  <w:tcW w:w="2835" w:type="dxa"/>
                </w:tcPr>
                <w:p w:rsidR="00E3281E" w:rsidRPr="00E3281E" w:rsidRDefault="00E3281E" w:rsidP="00E3281E">
                  <w:pPr>
                    <w:rPr>
                      <w:sz w:val="18"/>
                      <w:szCs w:val="18"/>
                    </w:rPr>
                  </w:pPr>
                  <w:r w:rsidRPr="00E3281E">
                    <w:rPr>
                      <w:sz w:val="18"/>
                      <w:szCs w:val="18"/>
                    </w:rPr>
                    <w:t>ISF/ESA</w:t>
                  </w:r>
                </w:p>
              </w:tc>
              <w:tc>
                <w:tcPr>
                  <w:tcW w:w="6254" w:type="dxa"/>
                </w:tcPr>
                <w:p w:rsidR="00E3281E" w:rsidRPr="00E3281E" w:rsidRDefault="00E3281E" w:rsidP="00E3281E">
                  <w:pPr>
                    <w:rPr>
                      <w:sz w:val="18"/>
                      <w:szCs w:val="18"/>
                    </w:rPr>
                  </w:pPr>
                  <w:r w:rsidRPr="00E3281E">
                    <w:rPr>
                      <w:sz w:val="18"/>
                      <w:szCs w:val="18"/>
                    </w:rPr>
                    <w:t>At least one issue per responding company per year</w:t>
                  </w:r>
                </w:p>
              </w:tc>
            </w:tr>
          </w:tbl>
          <w:p w:rsidR="00E3281E" w:rsidRPr="00E3281E" w:rsidRDefault="00E3281E" w:rsidP="00E3281E">
            <w:pPr>
              <w:pStyle w:val="ListParagraph"/>
              <w:spacing w:line="360" w:lineRule="auto"/>
              <w:ind w:left="851" w:hanging="567"/>
              <w:contextualSpacing w:val="0"/>
              <w:jc w:val="left"/>
              <w:rPr>
                <w:sz w:val="18"/>
                <w:szCs w:val="18"/>
              </w:rPr>
            </w:pPr>
          </w:p>
          <w:p w:rsidR="00E3281E" w:rsidRPr="00E3281E" w:rsidRDefault="00E3281E" w:rsidP="00E3281E">
            <w:pPr>
              <w:pStyle w:val="ListParagraph"/>
              <w:keepNext/>
              <w:spacing w:after="120"/>
              <w:ind w:left="567" w:hanging="283"/>
              <w:rPr>
                <w:sz w:val="18"/>
                <w:szCs w:val="18"/>
              </w:rPr>
            </w:pPr>
            <w:r w:rsidRPr="00E3281E">
              <w:rPr>
                <w:sz w:val="18"/>
                <w:szCs w:val="18"/>
              </w:rPr>
              <w:t>-</w:t>
            </w:r>
            <w:r w:rsidRPr="00E3281E">
              <w:rPr>
                <w:sz w:val="18"/>
                <w:szCs w:val="18"/>
              </w:rPr>
              <w:tab/>
              <w:t xml:space="preserve">Information on the frequency, within the last 12 months, that a variety denomination that had already been used in the market place was affected by the situation described in (a); </w:t>
            </w:r>
          </w:p>
          <w:p w:rsidR="00E3281E" w:rsidRPr="00E3281E" w:rsidRDefault="00E3281E" w:rsidP="00E3281E">
            <w:pPr>
              <w:pStyle w:val="ListParagraph"/>
              <w:keepNext/>
              <w:ind w:left="851" w:hanging="567"/>
              <w:contextualSpacing w:val="0"/>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09"/>
              <w:gridCol w:w="6172"/>
            </w:tblGrid>
            <w:tr w:rsidR="00E3281E" w:rsidRPr="00E3281E" w:rsidTr="00E3281E">
              <w:tc>
                <w:tcPr>
                  <w:tcW w:w="2835" w:type="dxa"/>
                </w:tcPr>
                <w:p w:rsidR="00E3281E" w:rsidRPr="00E3281E" w:rsidRDefault="00E3281E" w:rsidP="00E3281E">
                  <w:pPr>
                    <w:rPr>
                      <w:sz w:val="18"/>
                      <w:szCs w:val="18"/>
                    </w:rPr>
                  </w:pPr>
                  <w:r w:rsidRPr="00E3281E">
                    <w:rPr>
                      <w:sz w:val="18"/>
                      <w:szCs w:val="18"/>
                    </w:rPr>
                    <w:t>ISF/ESA</w:t>
                  </w:r>
                </w:p>
              </w:tc>
              <w:tc>
                <w:tcPr>
                  <w:tcW w:w="6237" w:type="dxa"/>
                </w:tcPr>
                <w:p w:rsidR="00E3281E" w:rsidRPr="00E3281E" w:rsidRDefault="00E3281E" w:rsidP="00E3281E">
                  <w:pPr>
                    <w:rPr>
                      <w:sz w:val="18"/>
                      <w:szCs w:val="18"/>
                    </w:rPr>
                  </w:pPr>
                  <w:r w:rsidRPr="00E3281E">
                    <w:rPr>
                      <w:sz w:val="18"/>
                      <w:szCs w:val="18"/>
                    </w:rPr>
                    <w:t>At least one issue per responding company per year where the company had to change the denomination of a variety already in the market place.</w:t>
                  </w:r>
                </w:p>
              </w:tc>
            </w:tr>
          </w:tbl>
          <w:p w:rsidR="00E3281E" w:rsidRPr="00E3281E" w:rsidRDefault="00E3281E" w:rsidP="00E3281E">
            <w:pPr>
              <w:pStyle w:val="ListParagraph"/>
              <w:spacing w:after="120" w:line="360" w:lineRule="auto"/>
              <w:ind w:left="851" w:hanging="567"/>
              <w:rPr>
                <w:sz w:val="18"/>
                <w:szCs w:val="18"/>
              </w:rPr>
            </w:pPr>
          </w:p>
          <w:p w:rsidR="00E3281E" w:rsidRPr="00E3281E" w:rsidRDefault="00E3281E" w:rsidP="00E3281E">
            <w:pPr>
              <w:pStyle w:val="ListParagraph"/>
              <w:keepNext/>
              <w:spacing w:after="120"/>
              <w:ind w:left="567" w:hanging="283"/>
              <w:rPr>
                <w:sz w:val="18"/>
                <w:szCs w:val="18"/>
              </w:rPr>
            </w:pPr>
            <w:r w:rsidRPr="00E3281E">
              <w:rPr>
                <w:sz w:val="18"/>
                <w:szCs w:val="18"/>
              </w:rPr>
              <w:t>-</w:t>
            </w:r>
            <w:r w:rsidRPr="00E3281E">
              <w:rPr>
                <w:sz w:val="18"/>
                <w:szCs w:val="18"/>
              </w:rPr>
              <w:tab/>
              <w:t>Extent of problems that arise from the use of different denominations in different members of the Union, taking into account the challenge in achieving fully harmonized denomination acceptance criteria for all members of the Union; and</w:t>
            </w:r>
          </w:p>
          <w:p w:rsidR="00E3281E" w:rsidRPr="00E3281E" w:rsidRDefault="00E3281E" w:rsidP="00E3281E">
            <w:pPr>
              <w:pStyle w:val="ListParagraph"/>
              <w:keepNext/>
              <w:ind w:left="851" w:hanging="567"/>
              <w:contextualSpacing w:val="0"/>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10"/>
              <w:gridCol w:w="6171"/>
            </w:tblGrid>
            <w:tr w:rsidR="00E3281E" w:rsidRPr="00E3281E" w:rsidTr="00E3281E">
              <w:tc>
                <w:tcPr>
                  <w:tcW w:w="2835" w:type="dxa"/>
                </w:tcPr>
                <w:p w:rsidR="00E3281E" w:rsidRPr="00E3281E" w:rsidRDefault="00E3281E" w:rsidP="00E3281E">
                  <w:pPr>
                    <w:rPr>
                      <w:sz w:val="18"/>
                      <w:szCs w:val="18"/>
                    </w:rPr>
                  </w:pPr>
                  <w:r w:rsidRPr="00E3281E">
                    <w:rPr>
                      <w:sz w:val="18"/>
                      <w:szCs w:val="18"/>
                    </w:rPr>
                    <w:t>ISF/ESA</w:t>
                  </w:r>
                </w:p>
              </w:tc>
              <w:tc>
                <w:tcPr>
                  <w:tcW w:w="6237" w:type="dxa"/>
                </w:tcPr>
                <w:p w:rsidR="00E3281E" w:rsidRPr="00E3281E" w:rsidRDefault="00E3281E" w:rsidP="00E3281E">
                  <w:pPr>
                    <w:rPr>
                      <w:sz w:val="18"/>
                      <w:szCs w:val="18"/>
                    </w:rPr>
                  </w:pPr>
                  <w:r w:rsidRPr="00E3281E">
                    <w:rPr>
                      <w:sz w:val="18"/>
                      <w:szCs w:val="18"/>
                    </w:rPr>
                    <w:t>Different names for a single variety leads to practical difficulties.</w:t>
                  </w:r>
                </w:p>
              </w:tc>
            </w:tr>
          </w:tbl>
          <w:p w:rsidR="00E3281E" w:rsidRPr="00E3281E" w:rsidRDefault="00E3281E" w:rsidP="00E3281E">
            <w:pPr>
              <w:pStyle w:val="ListParagraph"/>
              <w:spacing w:line="360" w:lineRule="auto"/>
              <w:ind w:left="851" w:hanging="567"/>
              <w:contextualSpacing w:val="0"/>
              <w:rPr>
                <w:sz w:val="18"/>
                <w:szCs w:val="18"/>
              </w:rPr>
            </w:pPr>
          </w:p>
          <w:p w:rsidR="00E3281E" w:rsidRPr="00E3281E" w:rsidRDefault="00E3281E" w:rsidP="00E3281E">
            <w:pPr>
              <w:pStyle w:val="ListParagraph"/>
              <w:keepNext/>
              <w:ind w:left="284"/>
              <w:rPr>
                <w:sz w:val="18"/>
                <w:szCs w:val="18"/>
              </w:rPr>
            </w:pPr>
            <w:r w:rsidRPr="00E3281E">
              <w:rPr>
                <w:sz w:val="18"/>
                <w:szCs w:val="18"/>
              </w:rPr>
              <w:t>-</w:t>
            </w:r>
            <w:r w:rsidRPr="00E3281E">
              <w:rPr>
                <w:sz w:val="18"/>
                <w:szCs w:val="18"/>
              </w:rPr>
              <w:tab/>
              <w:t>Information on measures that breeders have taken to avoid the creation of synonyms.</w:t>
            </w:r>
          </w:p>
          <w:p w:rsidR="00E3281E" w:rsidRPr="00E3281E" w:rsidRDefault="00E3281E" w:rsidP="00E3281E">
            <w:pPr>
              <w:keepNext/>
              <w:ind w:left="284"/>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2810"/>
              <w:gridCol w:w="6171"/>
            </w:tblGrid>
            <w:tr w:rsidR="00E3281E" w:rsidRPr="00E3281E" w:rsidTr="00E3281E">
              <w:tc>
                <w:tcPr>
                  <w:tcW w:w="2835" w:type="dxa"/>
                </w:tcPr>
                <w:p w:rsidR="00E3281E" w:rsidRPr="00E3281E" w:rsidRDefault="00E3281E" w:rsidP="00E3281E">
                  <w:pPr>
                    <w:rPr>
                      <w:sz w:val="18"/>
                      <w:szCs w:val="18"/>
                    </w:rPr>
                  </w:pPr>
                  <w:r w:rsidRPr="00E3281E">
                    <w:rPr>
                      <w:sz w:val="18"/>
                      <w:szCs w:val="18"/>
                    </w:rPr>
                    <w:t>ISF/ESA</w:t>
                  </w:r>
                </w:p>
              </w:tc>
              <w:tc>
                <w:tcPr>
                  <w:tcW w:w="6237" w:type="dxa"/>
                </w:tcPr>
                <w:p w:rsidR="00E3281E" w:rsidRPr="00E3281E" w:rsidRDefault="00E3281E" w:rsidP="00E3281E">
                  <w:pPr>
                    <w:rPr>
                      <w:sz w:val="18"/>
                      <w:szCs w:val="18"/>
                    </w:rPr>
                  </w:pPr>
                  <w:r w:rsidRPr="00E3281E">
                    <w:rPr>
                      <w:sz w:val="18"/>
                      <w:szCs w:val="18"/>
                    </w:rPr>
                    <w:t>Internal company screening based on UPOV, regional and national guidelines and databases.</w:t>
                  </w:r>
                </w:p>
              </w:tc>
            </w:tr>
          </w:tbl>
          <w:p w:rsidR="00E3281E" w:rsidRPr="00E3281E" w:rsidRDefault="00E3281E" w:rsidP="00FC531A">
            <w:pPr>
              <w:rPr>
                <w:sz w:val="18"/>
                <w:szCs w:val="18"/>
              </w:rPr>
            </w:pPr>
          </w:p>
        </w:tc>
      </w:tr>
    </w:tbl>
    <w:p w:rsidR="009B3D60" w:rsidRDefault="009B3D60" w:rsidP="00893C7D"/>
    <w:p w:rsidR="00893C7D" w:rsidRPr="00407B23" w:rsidRDefault="00893C7D" w:rsidP="00893C7D">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407B23" w:rsidRDefault="00893C7D" w:rsidP="00893C7D"/>
    <w:p w:rsidR="00893C7D" w:rsidRPr="00407B23" w:rsidRDefault="00893C7D" w:rsidP="00893C7D">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Union but also to breeders in their selection of variety denominations.</w:t>
      </w:r>
    </w:p>
    <w:p w:rsidR="00893C7D" w:rsidRPr="00407B23" w:rsidRDefault="00893C7D" w:rsidP="00893C7D"/>
    <w:p w:rsidR="00893C7D" w:rsidRPr="005C7B81" w:rsidRDefault="00893C7D" w:rsidP="002E6475">
      <w:pPr>
        <w:rPr>
          <w:spacing w:val="-2"/>
        </w:rPr>
      </w:pPr>
      <w:r w:rsidRPr="005C7B81">
        <w:rPr>
          <w:spacing w:val="-2"/>
        </w:rPr>
        <w:t>6.</w:t>
      </w:r>
      <w:r w:rsidRPr="005C7B81">
        <w:rPr>
          <w:spacing w:val="-2"/>
        </w:rPr>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407B23" w:rsidRDefault="00893C7D" w:rsidP="00893C7D"/>
    <w:p w:rsidR="00893C7D" w:rsidRPr="00407B23" w:rsidRDefault="00893C7D" w:rsidP="002E6475">
      <w:pPr>
        <w:pStyle w:val="ListParagraph"/>
        <w:numPr>
          <w:ilvl w:val="0"/>
          <w:numId w:val="5"/>
        </w:numPr>
        <w:ind w:left="0" w:firstLine="851"/>
      </w:pPr>
      <w:r w:rsidRPr="00407B23">
        <w:t>base their decisions on the suitability of proposed variety den</w:t>
      </w:r>
      <w:r w:rsidR="002E6475">
        <w:t>ominations on these Explanatory </w:t>
      </w:r>
      <w:r w:rsidRPr="00407B23">
        <w:t xml:space="preserve">Notes; </w:t>
      </w:r>
    </w:p>
    <w:p w:rsidR="00893C7D" w:rsidRPr="00407B23" w:rsidRDefault="00893C7D" w:rsidP="008D4B95"/>
    <w:p w:rsidR="00893C7D" w:rsidRPr="00407B23" w:rsidRDefault="00893C7D" w:rsidP="002E6475">
      <w:pPr>
        <w:pStyle w:val="ListParagraph"/>
        <w:numPr>
          <w:ilvl w:val="0"/>
          <w:numId w:val="5"/>
        </w:numPr>
        <w:ind w:left="0" w:firstLine="851"/>
      </w:pPr>
      <w:r w:rsidRPr="00407B23">
        <w:t xml:space="preserve">take into account the guidance in these Explanatory Notes concerning the procedure for assessing the suitability of proposed variety denominations and the exchange of information; </w:t>
      </w:r>
    </w:p>
    <w:p w:rsidR="00893C7D" w:rsidRPr="00407B23" w:rsidRDefault="00893C7D" w:rsidP="008D4B95"/>
    <w:p w:rsidR="00893C7D" w:rsidRPr="00407B23" w:rsidRDefault="00893C7D" w:rsidP="002E6475">
      <w:pPr>
        <w:pStyle w:val="ListParagraph"/>
        <w:numPr>
          <w:ilvl w:val="0"/>
          <w:numId w:val="5"/>
        </w:numPr>
        <w:ind w:left="0" w:firstLine="851"/>
      </w:pPr>
      <w:r w:rsidRPr="00407B23">
        <w:t xml:space="preserve">provide comprehensive information concerning these Explanatory Notes, to assist breeders when selecting variety denominations. </w:t>
      </w:r>
    </w:p>
    <w:p w:rsidR="00893C7D" w:rsidRPr="008D4B95" w:rsidRDefault="00893C7D" w:rsidP="00893C7D">
      <w:pPr>
        <w:rPr>
          <w:sz w:val="16"/>
        </w:rPr>
      </w:pPr>
    </w:p>
    <w:p w:rsidR="00893C7D" w:rsidRPr="00407B23" w:rsidRDefault="00893C7D" w:rsidP="00893C7D">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p w:rsidR="00893C7D" w:rsidRPr="008D4B95" w:rsidRDefault="00893C7D" w:rsidP="00893C7D">
      <w:pPr>
        <w:rPr>
          <w:sz w:val="12"/>
        </w:rPr>
      </w:pPr>
    </w:p>
    <w:tbl>
      <w:tblPr>
        <w:tblW w:w="9813" w:type="dxa"/>
        <w:jc w:val="center"/>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7A1DCC" w:rsidTr="008D4B95">
        <w:trPr>
          <w:jc w:val="center"/>
        </w:trPr>
        <w:tc>
          <w:tcPr>
            <w:tcW w:w="9813" w:type="dxa"/>
            <w:shd w:val="clear" w:color="auto" w:fill="D9D9D9" w:themeFill="background1" w:themeFillShade="D9"/>
          </w:tcPr>
          <w:p w:rsidR="007A1DCC" w:rsidRPr="005F2452" w:rsidRDefault="007A1DCC" w:rsidP="00012886">
            <w:pPr>
              <w:rPr>
                <w:sz w:val="18"/>
                <w:szCs w:val="18"/>
              </w:rPr>
            </w:pPr>
            <w:r w:rsidRPr="002E6475">
              <w:rPr>
                <w:sz w:val="18"/>
                <w:lang w:eastAsia="ja-JP"/>
              </w:rPr>
              <w:t xml:space="preserve">Consider adding </w:t>
            </w:r>
            <w:r w:rsidR="00493FBE">
              <w:rPr>
                <w:sz w:val="18"/>
                <w:lang w:eastAsia="ja-JP"/>
              </w:rPr>
              <w:t xml:space="preserve">a </w:t>
            </w:r>
            <w:r w:rsidRPr="002E6475">
              <w:rPr>
                <w:sz w:val="18"/>
                <w:lang w:eastAsia="ja-JP"/>
              </w:rPr>
              <w:t>note that the term “variety” refers to the definition of variety in the 1991 Act of the UPOV Convention</w:t>
            </w:r>
            <w:r w:rsidRPr="002E6475">
              <w:rPr>
                <w:rStyle w:val="EndnoteReference"/>
                <w:b/>
                <w:color w:val="000000"/>
                <w:sz w:val="18"/>
              </w:rPr>
              <w:endnoteReference w:id="2"/>
            </w:r>
            <w:r w:rsidRPr="002E6475">
              <w:rPr>
                <w:sz w:val="18"/>
                <w:lang w:eastAsia="ja-JP"/>
              </w:rPr>
              <w:t>.</w:t>
            </w:r>
          </w:p>
        </w:tc>
      </w:tr>
    </w:tbl>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893C7D" w:rsidRPr="00407B23" w:rsidRDefault="00893C7D" w:rsidP="00893C7D">
      <w:pPr>
        <w:pStyle w:val="Style1"/>
        <w:tabs>
          <w:tab w:val="clear" w:pos="907"/>
          <w:tab w:val="clear" w:pos="1077"/>
        </w:tabs>
        <w:rPr>
          <w:highlight w:val="yellow"/>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7A1DCC" w:rsidTr="009B2B00">
        <w:tc>
          <w:tcPr>
            <w:tcW w:w="9813" w:type="dxa"/>
            <w:shd w:val="clear" w:color="auto" w:fill="D9D9D9" w:themeFill="background1" w:themeFillShade="D9"/>
          </w:tcPr>
          <w:p w:rsidR="007A1DCC" w:rsidRPr="005F2452" w:rsidRDefault="007A1DCC" w:rsidP="007A1DCC">
            <w:pPr>
              <w:rPr>
                <w:sz w:val="18"/>
                <w:szCs w:val="18"/>
              </w:rPr>
            </w:pPr>
            <w:r>
              <w:rPr>
                <w:sz w:val="18"/>
                <w:szCs w:val="18"/>
              </w:rPr>
              <w:t>To re-categorize the document reference as an “Explanatory Note” (“EXN” series rather than retaining as a part of the “INF” document series</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407B23" w:rsidRDefault="00893C7D" w:rsidP="00E3281E">
      <w:pPr>
        <w:pStyle w:val="Heading1"/>
      </w:pPr>
      <w:bookmarkStart w:id="3" w:name="_Toc494473058"/>
      <w:r w:rsidRPr="00407B23">
        <w:t>Paragraph 1</w:t>
      </w:r>
      <w:bookmarkEnd w:id="3"/>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4" w:name="_Toc494473059"/>
      <w:r w:rsidRPr="00407B23">
        <w:t>[Designation of varieties by denominations;  use of the denomination]</w:t>
      </w:r>
      <w:bookmarkEnd w:id="4"/>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C441ED">
        <w:rPr>
          <w:color w:val="000000"/>
          <w:highlight w:val="lightGray"/>
          <w:u w:val="single"/>
          <w:lang w:eastAsia="ja-JP"/>
        </w:rPr>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00C441ED" w:rsidRPr="00EA36B4">
        <w:rPr>
          <w:rStyle w:val="EndnoteReference"/>
          <w:color w:val="000000"/>
        </w:rPr>
        <w:endnoteReference w:id="3"/>
      </w:r>
    </w:p>
    <w:p w:rsidR="00893C7D" w:rsidRPr="00407B23" w:rsidRDefault="00893C7D" w:rsidP="00893C7D">
      <w:pPr>
        <w:widowControl w:val="0"/>
        <w:tabs>
          <w:tab w:val="left" w:pos="567"/>
        </w:tabs>
      </w:pPr>
    </w:p>
    <w:p w:rsidR="00893C7D" w:rsidRPr="00E3281E" w:rsidRDefault="00893C7D" w:rsidP="00E3281E">
      <w:pPr>
        <w:pStyle w:val="Heading1"/>
      </w:pPr>
      <w:bookmarkStart w:id="5" w:name="_Toc494473060"/>
      <w:r w:rsidRPr="00407B23">
        <w:t>Paragraph 2</w:t>
      </w:r>
      <w:bookmarkEnd w:id="5"/>
    </w:p>
    <w:p w:rsidR="00893C7D" w:rsidRPr="00407B23" w:rsidRDefault="00893C7D" w:rsidP="00893C7D">
      <w:pPr>
        <w:keepNext/>
        <w:jc w:val="center"/>
        <w:rPr>
          <w:b/>
        </w:rPr>
      </w:pPr>
    </w:p>
    <w:p w:rsidR="00E3281E" w:rsidRDefault="00893C7D" w:rsidP="00E3281E">
      <w:pPr>
        <w:pStyle w:val="Heading2"/>
      </w:pPr>
      <w:bookmarkStart w:id="6" w:name="_Toc494473061"/>
      <w:r w:rsidRPr="00407B23">
        <w:t>[Characteristics of the denomination]</w:t>
      </w:r>
      <w:bookmarkEnd w:id="6"/>
    </w:p>
    <w:p w:rsidR="00E3281E" w:rsidRDefault="00E3281E" w:rsidP="007A1DCC">
      <w:pPr>
        <w:keepLines/>
        <w:ind w:firstLine="567"/>
        <w:rPr>
          <w:b/>
        </w:rPr>
      </w:pPr>
    </w:p>
    <w:p w:rsidR="00893C7D" w:rsidRPr="00407B23" w:rsidRDefault="00893C7D" w:rsidP="007A1DCC">
      <w:pPr>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B45AEA">
      <w:pPr>
        <w:pStyle w:val="Heading3"/>
      </w:pPr>
      <w:bookmarkStart w:id="7" w:name="_Toc494473062"/>
      <w:r w:rsidRPr="00D768B5">
        <w:t>2.1</w:t>
      </w:r>
      <w:r w:rsidRPr="00D768B5">
        <w:tab/>
        <w:t>Identification</w:t>
      </w:r>
      <w:bookmarkEnd w:id="7"/>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B45AEA">
      <w:pPr>
        <w:pStyle w:val="Heading3"/>
      </w:pPr>
      <w:bookmarkStart w:id="8" w:name="_Toc494473063"/>
      <w:r w:rsidRPr="00407B23">
        <w:t>2.2.</w:t>
      </w:r>
      <w:r w:rsidRPr="00407B23">
        <w:tab/>
        <w:t>Solely of figures</w:t>
      </w:r>
      <w:bookmarkEnd w:id="8"/>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t>for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Style w:val="EndnoteReference"/>
          <w:color w:val="000000"/>
          <w:lang w:eastAsia="ja-JP"/>
        </w:rPr>
        <w:endnoteReference w:id="4"/>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B45AEA">
      <w:pPr>
        <w:pStyle w:val="Heading3"/>
      </w:pPr>
      <w:bookmarkStart w:id="9" w:name="_Toc494473064"/>
      <w:r w:rsidRPr="00407B23">
        <w:t>2.3.</w:t>
      </w:r>
      <w:r w:rsidRPr="00407B23">
        <w:tab/>
        <w:t>Liable to mislead or to cause confusion</w:t>
      </w:r>
      <w:bookmarkEnd w:id="9"/>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407B23" w:rsidRDefault="00893C7D" w:rsidP="00A24E0F">
      <w:pPr>
        <w:pStyle w:val="Heading4"/>
      </w:pPr>
      <w:bookmarkStart w:id="10" w:name="_Toc494473065"/>
      <w:r w:rsidRPr="00407B23">
        <w:t>2.3.1</w:t>
      </w:r>
      <w:r w:rsidRPr="00407B23">
        <w:tab/>
        <w:t>Characteristics of the variety</w:t>
      </w:r>
      <w:bookmarkEnd w:id="10"/>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5E542B" w:rsidRDefault="00893C7D" w:rsidP="00893C7D">
      <w:pPr>
        <w:ind w:firstLine="567"/>
      </w:pPr>
      <w:r w:rsidRPr="005E542B">
        <w:t>(a)</w:t>
      </w:r>
      <w:r w:rsidRPr="005E542B">
        <w:tab/>
        <w:t xml:space="preserve">convey the impression that the variety has particular characteristics which, in reality, it does not have; </w:t>
      </w:r>
    </w:p>
    <w:p w:rsidR="00893C7D" w:rsidRPr="005E542B" w:rsidRDefault="00893C7D" w:rsidP="00893C7D">
      <w:pPr>
        <w:ind w:firstLine="567"/>
      </w:pPr>
    </w:p>
    <w:p w:rsidR="00893C7D" w:rsidRPr="00407B23" w:rsidRDefault="00893C7D" w:rsidP="00893C7D">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893C7D" w:rsidRDefault="00893C7D" w:rsidP="00893C7D">
      <w:pPr>
        <w:rPr>
          <w:lang w:eastAsia="ja-JP"/>
        </w:rPr>
      </w:pPr>
    </w:p>
    <w:p w:rsidR="00893C7D" w:rsidRPr="009B3D60" w:rsidRDefault="009B3D60" w:rsidP="00012886">
      <w:pPr>
        <w:keepNext/>
        <w:tabs>
          <w:tab w:val="left" w:pos="567"/>
        </w:tabs>
        <w:rPr>
          <w:sz w:val="18"/>
          <w:szCs w:val="18"/>
          <w:highlight w:val="lightGray"/>
          <w:lang w:eastAsia="ja-JP"/>
        </w:rPr>
      </w:pPr>
      <w:r w:rsidRPr="009B3D60">
        <w:rPr>
          <w:color w:val="000000"/>
        </w:rPr>
        <w:tab/>
      </w:r>
      <w:r w:rsidR="00893C7D" w:rsidRPr="009B3D60">
        <w:rPr>
          <w:strike/>
          <w:color w:val="000000"/>
          <w:highlight w:val="lightGray"/>
        </w:rPr>
        <w:t>(b)</w:t>
      </w:r>
      <w:r w:rsidR="00893C7D" w:rsidRPr="009B3D60">
        <w:rPr>
          <w:strike/>
          <w:color w:val="000000"/>
          <w:highlight w:val="lightGray"/>
        </w:rPr>
        <w:tab/>
        <w:t>refer to specific characteristics of the variety in such a way</w:t>
      </w:r>
      <w:r w:rsidR="00893C7D" w:rsidRPr="009B3D60">
        <w:rPr>
          <w:b/>
          <w:strike/>
          <w:color w:val="000000"/>
          <w:highlight w:val="lightGray"/>
        </w:rPr>
        <w:t xml:space="preserve"> </w:t>
      </w:r>
      <w:r w:rsidR="00893C7D" w:rsidRPr="009B3D60">
        <w:rPr>
          <w:strike/>
          <w:color w:val="000000"/>
          <w:highlight w:val="lightGray"/>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893C7D" w:rsidRPr="009B3D60" w:rsidRDefault="00893C7D" w:rsidP="00012886">
      <w:pPr>
        <w:keepNext/>
        <w:rPr>
          <w:highlight w:val="lightGray"/>
        </w:rPr>
      </w:pPr>
    </w:p>
    <w:p w:rsidR="00893C7D" w:rsidRPr="009B3D60" w:rsidRDefault="00893C7D" w:rsidP="00893C7D">
      <w:pPr>
        <w:keepNext/>
        <w:ind w:firstLine="567"/>
        <w:jc w:val="left"/>
        <w:rPr>
          <w:strike/>
          <w:color w:val="000000"/>
          <w:highlight w:val="lightGray"/>
          <w:u w:val="single"/>
        </w:rPr>
      </w:pPr>
      <w:r w:rsidRPr="009B3D60">
        <w:rPr>
          <w:i/>
          <w:strike/>
          <w:highlight w:val="lightGray"/>
        </w:rPr>
        <w:t>Example 1</w:t>
      </w:r>
      <w:r w:rsidRPr="009B3D60">
        <w:rPr>
          <w:strike/>
          <w:highlight w:val="lightGray"/>
        </w:rPr>
        <w:t>:  “Sweet” for a fruit variety;</w:t>
      </w:r>
      <w:r w:rsidRPr="009B3D60">
        <w:rPr>
          <w:strike/>
          <w:highlight w:val="lightGray"/>
        </w:rPr>
        <w:br/>
      </w:r>
    </w:p>
    <w:p w:rsidR="00893C7D" w:rsidRPr="009B3D60" w:rsidRDefault="00893C7D" w:rsidP="00893C7D">
      <w:pPr>
        <w:keepNext/>
        <w:ind w:firstLine="567"/>
        <w:jc w:val="left"/>
        <w:rPr>
          <w:highlight w:val="lightGray"/>
          <w:lang w:eastAsia="ja-JP"/>
        </w:rPr>
      </w:pPr>
      <w:r w:rsidRPr="009B3D60">
        <w:rPr>
          <w:i/>
          <w:strike/>
          <w:highlight w:val="lightGray"/>
        </w:rPr>
        <w:t>Example 2</w:t>
      </w:r>
      <w:r w:rsidRPr="009B3D60">
        <w:rPr>
          <w:strike/>
          <w:highlight w:val="lightGray"/>
        </w:rPr>
        <w:t>:  “Large white” for a variety of chrysanthemum.</w:t>
      </w:r>
      <w:r w:rsidRPr="009B3D60">
        <w:rPr>
          <w:highlight w:val="lightGray"/>
        </w:rPr>
        <w:br/>
      </w:r>
    </w:p>
    <w:p w:rsidR="00893C7D" w:rsidRPr="009B3D60" w:rsidRDefault="00893C7D" w:rsidP="00893C7D">
      <w:pPr>
        <w:keepNext/>
        <w:ind w:firstLine="567"/>
        <w:rPr>
          <w:strike/>
          <w:highlight w:val="lightGray"/>
        </w:rPr>
      </w:pPr>
      <w:r w:rsidRPr="009B3D60">
        <w:rPr>
          <w:strike/>
          <w:highlight w:val="lightGray"/>
        </w:rPr>
        <w:t xml:space="preserve"> (c)</w:t>
      </w:r>
      <w:r w:rsidRPr="009B3D60">
        <w:rPr>
          <w:strike/>
          <w:highlight w:val="lightGray"/>
        </w:rPr>
        <w:tab/>
        <w:t>convey the impression that the variety is derived from, or related to, another variety when that is not, in fact, the case;</w:t>
      </w:r>
    </w:p>
    <w:p w:rsidR="00893C7D" w:rsidRPr="009B3D60" w:rsidRDefault="00893C7D" w:rsidP="00893C7D">
      <w:pPr>
        <w:keepNext/>
        <w:ind w:firstLine="567"/>
        <w:rPr>
          <w:strike/>
          <w:highlight w:val="lightGray"/>
        </w:rPr>
      </w:pPr>
    </w:p>
    <w:p w:rsidR="00893C7D" w:rsidRPr="009B3D60" w:rsidRDefault="00893C7D" w:rsidP="00893C7D">
      <w:pPr>
        <w:ind w:left="567"/>
        <w:rPr>
          <w:strike/>
          <w:highlight w:val="lightGray"/>
          <w:lang w:eastAsia="ja-JP"/>
        </w:rPr>
      </w:pPr>
      <w:r w:rsidRPr="009B3D60">
        <w:rPr>
          <w:i/>
          <w:strike/>
          <w:highlight w:val="lightGray"/>
        </w:rPr>
        <w:t>Example:</w:t>
      </w:r>
      <w:r w:rsidRPr="009B3D60">
        <w:rPr>
          <w:strike/>
          <w:highlight w:val="lightGray"/>
        </w:rPr>
        <w:t xml:space="preserve">  a denomination which is similar to that of another variety of the same species or closely related species, e.g. “Southern cross 1”; “Southern cross 2”; etc., giving the impression that these </w:t>
      </w:r>
    </w:p>
    <w:p w:rsidR="00893C7D" w:rsidRPr="009B3D60" w:rsidRDefault="00893C7D" w:rsidP="00893C7D">
      <w:pPr>
        <w:ind w:left="567"/>
        <w:rPr>
          <w:strike/>
          <w:highlight w:val="lightGray"/>
        </w:rPr>
      </w:pPr>
      <w:r w:rsidRPr="009B3D60">
        <w:rPr>
          <w:strike/>
          <w:highlight w:val="lightGray"/>
        </w:rPr>
        <w:t>varieties are a series of related varieties with similar characteristics, when, in fact, this is not the case.</w:t>
      </w:r>
    </w:p>
    <w:p w:rsidR="00893C7D" w:rsidRPr="009B3D60" w:rsidRDefault="00893C7D">
      <w:pPr>
        <w:jc w:val="left"/>
        <w:rPr>
          <w:highlight w:val="lightGray"/>
          <w:lang w:eastAsia="ja-JP"/>
        </w:rPr>
      </w:pPr>
    </w:p>
    <w:p w:rsidR="00893C7D" w:rsidRPr="009B3D60" w:rsidRDefault="00893C7D" w:rsidP="00893C7D">
      <w:pPr>
        <w:ind w:firstLine="540"/>
        <w:rPr>
          <w:highlight w:val="lightGray"/>
          <w:u w:val="single"/>
          <w:lang w:eastAsia="ja-JP"/>
        </w:rPr>
      </w:pPr>
      <w:r w:rsidRPr="009B3D60">
        <w:rPr>
          <w:rFonts w:hint="eastAsia"/>
          <w:highlight w:val="lightGray"/>
          <w:u w:val="single"/>
          <w:lang w:eastAsia="ja-JP"/>
        </w:rPr>
        <w:t>(d)</w:t>
      </w:r>
      <w:r w:rsidRPr="009B3D60">
        <w:rPr>
          <w:rFonts w:hint="eastAsia"/>
          <w:highlight w:val="lightGray"/>
          <w:u w:val="single"/>
          <w:lang w:eastAsia="ja-JP"/>
        </w:rPr>
        <w:tab/>
      </w:r>
      <w:r w:rsidRPr="009B3D60">
        <w:rPr>
          <w:highlight w:val="lightGray"/>
          <w:u w:val="single"/>
          <w:lang w:eastAsia="ja-JP"/>
        </w:rPr>
        <w:t xml:space="preserve">contain the botanical or common name of the genus to which that variety belongs. </w:t>
      </w:r>
    </w:p>
    <w:p w:rsidR="00893C7D" w:rsidRPr="009B3D60" w:rsidRDefault="00893C7D" w:rsidP="00893C7D">
      <w:pPr>
        <w:rPr>
          <w:highlight w:val="lightGray"/>
          <w:u w:val="single"/>
          <w:lang w:eastAsia="ja-JP"/>
        </w:rPr>
      </w:pPr>
    </w:p>
    <w:p w:rsidR="00893C7D" w:rsidRPr="00DE7D5D" w:rsidRDefault="00893C7D" w:rsidP="00893C7D">
      <w:pPr>
        <w:ind w:left="540"/>
        <w:rPr>
          <w:lang w:eastAsia="ja-JP"/>
        </w:rPr>
      </w:pPr>
      <w:r w:rsidRPr="009B3D60">
        <w:rPr>
          <w:highlight w:val="lightGray"/>
          <w:u w:val="single"/>
          <w:lang w:eastAsia="ja-JP"/>
        </w:rPr>
        <w:t xml:space="preserve">Example: </w:t>
      </w:r>
      <w:r w:rsidR="00337C2C">
        <w:rPr>
          <w:highlight w:val="lightGray"/>
          <w:u w:val="single"/>
          <w:lang w:eastAsia="ja-JP"/>
        </w:rPr>
        <w:t xml:space="preserve"> Carex variety “Sedge”.</w:t>
      </w:r>
      <w:r w:rsidRPr="009B3D60">
        <w:rPr>
          <w:highlight w:val="lightGray"/>
          <w:u w:val="single"/>
          <w:lang w:eastAsia="ja-JP"/>
        </w:rPr>
        <w:t xml:space="preserve">  </w:t>
      </w:r>
      <w:r w:rsidR="00337C2C">
        <w:rPr>
          <w:highlight w:val="lightGray"/>
          <w:u w:val="single"/>
          <w:lang w:eastAsia="ja-JP"/>
        </w:rPr>
        <w:t>(</w:t>
      </w:r>
      <w:r w:rsidRPr="009B3D60">
        <w:rPr>
          <w:highlight w:val="lightGray"/>
          <w:u w:val="single"/>
          <w:lang w:eastAsia="ja-JP"/>
        </w:rPr>
        <w:t>Carex is the botanical name of the genus, for which the common name is sedge.</w:t>
      </w:r>
      <w:r w:rsidR="00337C2C" w:rsidRPr="00337C2C">
        <w:rPr>
          <w:highlight w:val="lightGray"/>
          <w:u w:val="single"/>
          <w:lang w:eastAsia="ja-JP"/>
        </w:rPr>
        <w:t>)</w:t>
      </w:r>
      <w:r w:rsidRPr="00DE7D5D">
        <w:rPr>
          <w:rStyle w:val="EndnoteReference"/>
          <w:color w:val="000000"/>
        </w:rPr>
        <w:t xml:space="preserve"> </w:t>
      </w:r>
    </w:p>
    <w:p w:rsidR="00893C7D" w:rsidRPr="003571A9" w:rsidRDefault="00893C7D" w:rsidP="00893C7D">
      <w:pPr>
        <w:rPr>
          <w:lang w:eastAsia="ja-JP"/>
        </w:rPr>
      </w:pPr>
    </w:p>
    <w:tbl>
      <w:tblPr>
        <w:tblW w:w="0" w:type="auto"/>
        <w:tblCellMar>
          <w:top w:w="113" w:type="dxa"/>
          <w:bottom w:w="113" w:type="dxa"/>
        </w:tblCellMar>
        <w:tblLook w:val="04A0" w:firstRow="1" w:lastRow="0" w:firstColumn="1" w:lastColumn="0" w:noHBand="0" w:noVBand="1"/>
      </w:tblPr>
      <w:tblGrid>
        <w:gridCol w:w="9855"/>
      </w:tblGrid>
      <w:tr w:rsidR="00893C7D" w:rsidTr="009B3D60">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rPr>
                <w:color w:val="000000"/>
                <w:sz w:val="18"/>
                <w:szCs w:val="18"/>
                <w:lang w:eastAsia="ja-JP"/>
              </w:rPr>
            </w:pPr>
            <w:r w:rsidRPr="00B26C45">
              <w:rPr>
                <w:color w:val="000000"/>
                <w:sz w:val="18"/>
                <w:szCs w:val="18"/>
                <w:lang w:eastAsia="ja-JP"/>
              </w:rPr>
              <w:t xml:space="preserve">To consider </w:t>
            </w:r>
            <w:r w:rsidRPr="00B26C45">
              <w:rPr>
                <w:rFonts w:hint="eastAsia"/>
                <w:color w:val="000000"/>
                <w:sz w:val="18"/>
                <w:szCs w:val="18"/>
                <w:lang w:eastAsia="ja-JP"/>
              </w:rPr>
              <w:t xml:space="preserve">ICNCP </w:t>
            </w:r>
            <w:r w:rsidRPr="00B26C45">
              <w:rPr>
                <w:color w:val="000000"/>
                <w:sz w:val="18"/>
                <w:szCs w:val="18"/>
                <w:lang w:eastAsia="ja-JP"/>
              </w:rPr>
              <w:t>guidance as follows:</w:t>
            </w:r>
          </w:p>
          <w:p w:rsidR="00893C7D" w:rsidRDefault="00893C7D" w:rsidP="00893C7D">
            <w:pPr>
              <w:rPr>
                <w:color w:val="000000"/>
                <w:sz w:val="18"/>
                <w:szCs w:val="18"/>
                <w:lang w:eastAsia="ja-JP"/>
              </w:rPr>
            </w:pPr>
          </w:p>
          <w:p w:rsidR="00893C7D" w:rsidRPr="00B26C45" w:rsidRDefault="00893C7D" w:rsidP="00893C7D">
            <w:pPr>
              <w:rPr>
                <w:color w:val="000000"/>
                <w:sz w:val="18"/>
                <w:szCs w:val="18"/>
              </w:rPr>
            </w:pPr>
            <w:r>
              <w:rPr>
                <w:color w:val="000000"/>
                <w:sz w:val="18"/>
                <w:szCs w:val="18"/>
                <w:lang w:eastAsia="ja-JP"/>
              </w:rPr>
              <w:t>[extract from ICNCP</w:t>
            </w:r>
            <w:r w:rsidR="00493FBE">
              <w:rPr>
                <w:color w:val="000000"/>
                <w:sz w:val="18"/>
                <w:szCs w:val="18"/>
                <w:lang w:eastAsia="ja-JP"/>
              </w:rPr>
              <w:t xml:space="preserve"> – Ninth Edition</w:t>
            </w:r>
            <w:r>
              <w:rPr>
                <w:color w:val="000000"/>
                <w:sz w:val="18"/>
                <w:szCs w:val="18"/>
                <w:lang w:eastAsia="ja-JP"/>
              </w:rPr>
              <w:t>]</w:t>
            </w:r>
          </w:p>
          <w:p w:rsidR="00893C7D" w:rsidRPr="005E542B" w:rsidRDefault="00893C7D" w:rsidP="00893C7D">
            <w:pPr>
              <w:tabs>
                <w:tab w:val="left" w:pos="380"/>
              </w:tabs>
              <w:rPr>
                <w:color w:val="000000"/>
                <w:sz w:val="18"/>
                <w:szCs w:val="18"/>
                <w:u w:val="single"/>
                <w:lang w:eastAsia="ja-JP"/>
              </w:rPr>
            </w:pPr>
          </w:p>
          <w:p w:rsidR="00893C7D" w:rsidRPr="005E542B" w:rsidRDefault="00893C7D" w:rsidP="00893C7D">
            <w:pPr>
              <w:tabs>
                <w:tab w:val="left" w:pos="380"/>
              </w:tabs>
              <w:rPr>
                <w:color w:val="000000"/>
                <w:sz w:val="18"/>
                <w:szCs w:val="18"/>
                <w:lang w:eastAsia="ja-JP"/>
              </w:rPr>
            </w:pPr>
            <w:r w:rsidRPr="005E542B">
              <w:rPr>
                <w:color w:val="000000"/>
                <w:sz w:val="18"/>
                <w:szCs w:val="18"/>
                <w:lang w:eastAsia="ja-JP"/>
              </w:rPr>
              <w:t>21.20. Except where linguistic custom demands, a name is not established if on or after 1 January 1996 its cultivar epithet contains the Latin or common name(s) of the genus to which it is assigned.</w:t>
            </w:r>
          </w:p>
          <w:p w:rsidR="00893C7D" w:rsidRPr="002371C8" w:rsidRDefault="00893C7D" w:rsidP="00893C7D">
            <w:pPr>
              <w:tabs>
                <w:tab w:val="left" w:pos="380"/>
              </w:tabs>
              <w:rPr>
                <w:color w:val="000000"/>
                <w:sz w:val="16"/>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Ex. 33. Castanea ‘Pale Chestnut’, Gladiolus ‘Pink Gladiolus’, Narcissus ‘Davis Daff’, Narcissus ‘Granny’s Daffodil’, Paeonia ‘Sussex Peony’, Phlox ‘Phlox of Sheep’, and Rhododendron ‘Rhododendron Mad’ may not be established.</w:t>
            </w:r>
          </w:p>
          <w:p w:rsidR="00893C7D" w:rsidRPr="009B3D60" w:rsidRDefault="00893C7D" w:rsidP="009B3D60">
            <w:pPr>
              <w:tabs>
                <w:tab w:val="left" w:pos="380"/>
              </w:tabs>
              <w:ind w:left="380"/>
              <w:rPr>
                <w:i/>
                <w:color w:val="000000"/>
                <w:sz w:val="14"/>
                <w:szCs w:val="18"/>
                <w:lang w:eastAsia="ja-JP"/>
              </w:rPr>
            </w:pPr>
          </w:p>
          <w:p w:rsidR="00893C7D" w:rsidRDefault="00893C7D" w:rsidP="009B3D60">
            <w:pPr>
              <w:tabs>
                <w:tab w:val="left" w:pos="380"/>
              </w:tabs>
              <w:ind w:left="380"/>
              <w:rPr>
                <w:i/>
                <w:color w:val="000000"/>
                <w:sz w:val="18"/>
                <w:szCs w:val="18"/>
                <w:lang w:eastAsia="ja-JP"/>
              </w:rPr>
            </w:pPr>
            <w:r w:rsidRPr="009B3D60">
              <w:rPr>
                <w:i/>
                <w:color w:val="000000"/>
                <w:sz w:val="18"/>
                <w:szCs w:val="18"/>
                <w:lang w:eastAsia="ja-JP"/>
              </w:rPr>
              <w:t>Ex. 34. Dianthus ‘Rupert’s Pink’ is established; “pink” is not the common name for all plants in the genus Dianthus.</w:t>
            </w:r>
          </w:p>
          <w:p w:rsidR="00493FBE" w:rsidRPr="009B3D60" w:rsidRDefault="00493FBE" w:rsidP="009B3D60">
            <w:pPr>
              <w:tabs>
                <w:tab w:val="left" w:pos="380"/>
              </w:tabs>
              <w:ind w:left="380"/>
              <w:rPr>
                <w:i/>
                <w:color w:val="000000"/>
                <w:sz w:val="18"/>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Ex. 35. Prunus ‘Sato-zakura’ is established; “zakura” is the Japanese word for flowering cherries, rather than a name for the whole genus.</w:t>
            </w:r>
          </w:p>
          <w:p w:rsidR="00893C7D" w:rsidRPr="009B3D60" w:rsidRDefault="00893C7D" w:rsidP="009B3D60">
            <w:pPr>
              <w:tabs>
                <w:tab w:val="left" w:pos="380"/>
              </w:tabs>
              <w:ind w:left="380"/>
              <w:rPr>
                <w:i/>
                <w:color w:val="000000"/>
                <w:sz w:val="14"/>
                <w:szCs w:val="18"/>
                <w:lang w:eastAsia="ja-JP"/>
              </w:rPr>
            </w:pPr>
          </w:p>
          <w:p w:rsidR="00893C7D" w:rsidRDefault="00893C7D" w:rsidP="009B3D60">
            <w:pPr>
              <w:tabs>
                <w:tab w:val="left" w:pos="380"/>
              </w:tabs>
              <w:ind w:left="380"/>
              <w:rPr>
                <w:color w:val="000000"/>
                <w:sz w:val="18"/>
                <w:szCs w:val="18"/>
                <w:lang w:eastAsia="ja-JP"/>
              </w:rPr>
            </w:pPr>
            <w:r w:rsidRPr="009B3D60">
              <w:rPr>
                <w:i/>
                <w:color w:val="000000"/>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w:t>
            </w:r>
            <w:r w:rsidRPr="005E542B">
              <w:rPr>
                <w:color w:val="000000"/>
                <w:sz w:val="18"/>
                <w:szCs w:val="18"/>
                <w:lang w:eastAsia="ja-JP"/>
              </w:rPr>
              <w:t>ary and acceptable.</w:t>
            </w:r>
          </w:p>
          <w:p w:rsidR="00493FBE" w:rsidRDefault="00493FBE" w:rsidP="009B3D60">
            <w:pPr>
              <w:tabs>
                <w:tab w:val="left" w:pos="380"/>
              </w:tabs>
              <w:ind w:left="380"/>
              <w:rPr>
                <w:color w:val="000000"/>
                <w:sz w:val="18"/>
                <w:szCs w:val="18"/>
                <w:lang w:eastAsia="ja-JP"/>
              </w:rPr>
            </w:pPr>
          </w:p>
          <w:p w:rsidR="00493FBE" w:rsidRPr="005E542B" w:rsidRDefault="00493FBE" w:rsidP="009B3D60">
            <w:pPr>
              <w:tabs>
                <w:tab w:val="left" w:pos="380"/>
              </w:tabs>
              <w:ind w:left="380"/>
              <w:rPr>
                <w:color w:val="000000"/>
                <w:sz w:val="18"/>
                <w:szCs w:val="18"/>
                <w:lang w:eastAsia="ja-JP"/>
              </w:rPr>
            </w:pPr>
            <w:r>
              <w:rPr>
                <w:color w:val="000000"/>
                <w:sz w:val="18"/>
                <w:szCs w:val="18"/>
                <w:lang w:eastAsia="ja-JP"/>
              </w:rPr>
              <w:t>[…]</w:t>
            </w:r>
          </w:p>
          <w:p w:rsidR="00893C7D" w:rsidRPr="002371C8" w:rsidRDefault="00893C7D" w:rsidP="00893C7D">
            <w:pPr>
              <w:tabs>
                <w:tab w:val="left" w:pos="380"/>
              </w:tabs>
              <w:rPr>
                <w:color w:val="000000"/>
                <w:sz w:val="14"/>
                <w:szCs w:val="18"/>
                <w:lang w:eastAsia="ja-JP"/>
              </w:rPr>
            </w:pPr>
          </w:p>
          <w:p w:rsidR="00893C7D" w:rsidRPr="005E542B" w:rsidRDefault="00893C7D" w:rsidP="00893C7D">
            <w:pPr>
              <w:tabs>
                <w:tab w:val="left" w:pos="380"/>
              </w:tabs>
              <w:rPr>
                <w:color w:val="000000"/>
                <w:sz w:val="18"/>
                <w:szCs w:val="18"/>
                <w:lang w:eastAsia="ja-JP"/>
              </w:rPr>
            </w:pPr>
            <w:r w:rsidRPr="005E542B">
              <w:rPr>
                <w:color w:val="000000"/>
                <w:sz w:val="18"/>
                <w:szCs w:val="18"/>
                <w:lang w:eastAsia="ja-JP"/>
              </w:rPr>
              <w:t>21.22. A name is not established if on or after 1 January 1959 its cultivar epithet is the name of a genus or the common name of a species or other denomination class if use of such epithets might lead to confusion.</w:t>
            </w:r>
          </w:p>
          <w:p w:rsidR="00893C7D" w:rsidRPr="002371C8" w:rsidRDefault="00893C7D" w:rsidP="00893C7D">
            <w:pPr>
              <w:tabs>
                <w:tab w:val="left" w:pos="380"/>
              </w:tabs>
              <w:rPr>
                <w:color w:val="000000"/>
                <w:sz w:val="14"/>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Ex. 39. The names Erica ‘Calluna’ and snowdrop ‘Snowflake’ may not be established since, by referring to them in the market place as ‘Calluna’ heather and ‘Snowflake’ snowdrop respectively, people might be confused. However names such as ash ‘Veronica’, Dianthus ‘Victoria’, Lilium ‘Erica’, Magnolia ‘Daphne’, and Rhododendron ‘Calypso’ would all be acceptable since, although the epithets are names of genera, they are unlikely to cause confusion if written ‘Veronica’ ash, ‘Victoria’ Dianthus, ‘Erica’ Lilium, ‘Daphne’ Magnolia, and ‘Calypso’ Rhododendron respectively.</w:t>
            </w:r>
          </w:p>
          <w:p w:rsidR="00893C7D" w:rsidRPr="009B3D60" w:rsidRDefault="00893C7D" w:rsidP="009B3D60">
            <w:pPr>
              <w:tabs>
                <w:tab w:val="left" w:pos="380"/>
              </w:tabs>
              <w:ind w:left="380"/>
              <w:rPr>
                <w:i/>
                <w:color w:val="000000"/>
                <w:sz w:val="14"/>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Ex. 40. Calluna ‘Heather’, Geranium ‘Herb Robert’, and Silene ‘Jupiterbloem’ could not be established since “heather” is the English common name for the genus Calluna, “herb robert” is an English common name for Geranium robertianum, and “jupiterbloem” is a Dutch common name for Silene flos-jovis.</w:t>
            </w:r>
          </w:p>
          <w:p w:rsidR="00893C7D" w:rsidRPr="009B3D60" w:rsidRDefault="00893C7D" w:rsidP="009B3D60">
            <w:pPr>
              <w:tabs>
                <w:tab w:val="left" w:pos="380"/>
              </w:tabs>
              <w:ind w:left="380"/>
              <w:rPr>
                <w:i/>
                <w:color w:val="000000"/>
                <w:sz w:val="14"/>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Ex. 41. The names of the plum cultivars ‘Apricot’ and ‘Peach’, or Prunus domestica ‘Apricot’ and Prunus domestica ‘Peach’ (Hogg, 1866), published well before 1959, can be considered established names.</w:t>
            </w:r>
          </w:p>
          <w:p w:rsidR="00893C7D" w:rsidRPr="009B3D60" w:rsidRDefault="00893C7D" w:rsidP="009B3D60">
            <w:pPr>
              <w:tabs>
                <w:tab w:val="left" w:pos="380"/>
              </w:tabs>
              <w:ind w:left="380"/>
              <w:rPr>
                <w:i/>
                <w:color w:val="000000"/>
                <w:sz w:val="14"/>
                <w:szCs w:val="18"/>
                <w:lang w:eastAsia="ja-JP"/>
              </w:rPr>
            </w:pPr>
          </w:p>
          <w:p w:rsidR="00893C7D" w:rsidRPr="009B3D60" w:rsidRDefault="00893C7D" w:rsidP="009B3D60">
            <w:pPr>
              <w:tabs>
                <w:tab w:val="left" w:pos="380"/>
              </w:tabs>
              <w:ind w:left="380"/>
              <w:rPr>
                <w:i/>
                <w:color w:val="000000"/>
                <w:sz w:val="18"/>
                <w:szCs w:val="18"/>
                <w:lang w:eastAsia="ja-JP"/>
              </w:rPr>
            </w:pPr>
            <w:r w:rsidRPr="009B3D60">
              <w:rPr>
                <w:i/>
                <w:color w:val="000000"/>
                <w:sz w:val="18"/>
                <w:szCs w:val="18"/>
                <w:lang w:eastAsia="ja-JP"/>
              </w:rPr>
              <w:t xml:space="preserve">Ex. 42. Dahlia ‘Northwest Cosmos’ (named after the American baseball/football team), Dianthus ‘Giulia Viola’, and Rhododendron ‘Nancy Stipa’ are established names. </w:t>
            </w:r>
          </w:p>
          <w:p w:rsidR="00893C7D" w:rsidRPr="009B3D60" w:rsidRDefault="00893C7D" w:rsidP="009B3D60">
            <w:pPr>
              <w:tabs>
                <w:tab w:val="left" w:pos="380"/>
              </w:tabs>
              <w:ind w:left="380"/>
              <w:rPr>
                <w:i/>
                <w:color w:val="000000"/>
                <w:sz w:val="14"/>
                <w:szCs w:val="18"/>
                <w:lang w:eastAsia="ja-JP"/>
              </w:rPr>
            </w:pPr>
          </w:p>
          <w:p w:rsidR="00893C7D" w:rsidRPr="009B3D60" w:rsidRDefault="00893C7D" w:rsidP="009B3D60">
            <w:pPr>
              <w:tabs>
                <w:tab w:val="left" w:pos="380"/>
              </w:tabs>
              <w:ind w:left="380"/>
              <w:rPr>
                <w:i/>
                <w:color w:val="000000"/>
                <w:sz w:val="18"/>
                <w:szCs w:val="18"/>
                <w:u w:val="single"/>
                <w:lang w:eastAsia="ja-JP"/>
              </w:rPr>
            </w:pPr>
            <w:r w:rsidRPr="009B3D60">
              <w:rPr>
                <w:i/>
                <w:color w:val="000000"/>
                <w:sz w:val="18"/>
                <w:szCs w:val="18"/>
                <w:lang w:eastAsia="ja-JP"/>
              </w:rPr>
              <w:t>Ex. 43. Lilium ‘Henri’ is acceptable even though there is a Lilium henryi; Clematis ‘Florida Blue’ is acceptable even though there is a Clematis florida (“Florida” only forms part of the cultivar epithet and is a place name).</w:t>
            </w:r>
          </w:p>
        </w:tc>
      </w:tr>
    </w:tbl>
    <w:p w:rsidR="00893C7D" w:rsidRDefault="00893C7D" w:rsidP="00337C2C">
      <w:pPr>
        <w:spacing w:line="360" w:lineRule="auto"/>
        <w:jc w:val="left"/>
      </w:pPr>
    </w:p>
    <w:p w:rsidR="00893C7D" w:rsidRPr="00A24E0F" w:rsidRDefault="00893C7D" w:rsidP="00A24E0F">
      <w:pPr>
        <w:pStyle w:val="Heading4"/>
      </w:pPr>
      <w:bookmarkStart w:id="11" w:name="_Toc494473066"/>
      <w:r w:rsidRPr="00A24E0F">
        <w:t>2.3.2</w:t>
      </w:r>
      <w:r w:rsidRPr="00A24E0F">
        <w:tab/>
        <w:t>Value of the variety</w:t>
      </w:r>
      <w:bookmarkEnd w:id="11"/>
    </w:p>
    <w:p w:rsidR="00893C7D" w:rsidRPr="00407B23" w:rsidRDefault="00893C7D" w:rsidP="009B3D60">
      <w:pPr>
        <w:keepNext/>
      </w:pPr>
    </w:p>
    <w:p w:rsidR="00893C7D" w:rsidRPr="00407B23" w:rsidRDefault="00893C7D" w:rsidP="00012886">
      <w:pPr>
        <w:keepNext/>
      </w:pPr>
      <w:r w:rsidRPr="00407B23">
        <w:t>The denomination should not consist of, or contain, comparative or superlative designations</w:t>
      </w:r>
      <w:r>
        <w:t xml:space="preserve"> </w:t>
      </w:r>
      <w:r w:rsidRPr="009B3D60">
        <w:rPr>
          <w:highlight w:val="lightGray"/>
          <w:u w:val="single"/>
        </w:rPr>
        <w:t>that are liable to mislead or to cause confusion concerning the characte</w:t>
      </w:r>
      <w:r w:rsidR="00337C2C">
        <w:rPr>
          <w:highlight w:val="lightGray"/>
          <w:u w:val="single"/>
        </w:rPr>
        <w:t>ristics or</w:t>
      </w:r>
      <w:r w:rsidR="009B3D60" w:rsidRPr="009B3D60">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Pr="00407B23">
        <w:t>“Best</w:t>
      </w:r>
      <w:r w:rsidRPr="00BF55B5">
        <w:rPr>
          <w:u w:val="single"/>
        </w:rPr>
        <w:t xml:space="preserve"> </w:t>
      </w:r>
      <w:r w:rsidRPr="009B3D60">
        <w:rPr>
          <w:highlight w:val="lightGray"/>
          <w:u w:val="single"/>
        </w:rPr>
        <w:t>performer</w:t>
      </w:r>
      <w:r w:rsidRPr="00407B23">
        <w:t>”, “Superior</w:t>
      </w:r>
      <w:r w:rsidRPr="00BF55B5">
        <w:rPr>
          <w:u w:val="single"/>
        </w:rPr>
        <w:t xml:space="preserve"> </w:t>
      </w:r>
      <w:r w:rsidRPr="009B3D60">
        <w:rPr>
          <w:highlight w:val="lightGray"/>
          <w:u w:val="single"/>
        </w:rPr>
        <w:t>taste</w:t>
      </w:r>
      <w:r w:rsidRPr="00407B23">
        <w:t>”, “Sweeter</w:t>
      </w:r>
      <w:r w:rsidRPr="00BF55B5">
        <w:rPr>
          <w:u w:val="single"/>
        </w:rPr>
        <w:t xml:space="preserve"> </w:t>
      </w:r>
      <w:r w:rsidRPr="009B3D60">
        <w:rPr>
          <w:highlight w:val="lightGray"/>
          <w:u w:val="single"/>
        </w:rPr>
        <w:t>than the rest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Pr="009B3D60">
        <w:rPr>
          <w:highlight w:val="lightGray"/>
          <w:u w:val="single"/>
        </w:rPr>
        <w:t xml:space="preserve">  “Lake Superior”, “Best wishes”.</w:t>
      </w:r>
      <w:r w:rsidRPr="00BF55B5">
        <w:rPr>
          <w:u w:val="single"/>
        </w:rPr>
        <w:t xml:space="preserve"> </w:t>
      </w:r>
    </w:p>
    <w:p w:rsidR="00893C7D" w:rsidRDefault="00893C7D" w:rsidP="00AA4043">
      <w:pPr>
        <w:spacing w:line="360" w:lineRule="auto"/>
        <w:jc w:val="left"/>
      </w:pPr>
    </w:p>
    <w:p w:rsidR="00893C7D" w:rsidRPr="00407B23" w:rsidRDefault="00893C7D" w:rsidP="00A24E0F">
      <w:pPr>
        <w:pStyle w:val="Heading4"/>
      </w:pPr>
      <w:bookmarkStart w:id="12" w:name="_Toc494473067"/>
      <w:r w:rsidRPr="00407B23">
        <w:t>2.3.3</w:t>
      </w:r>
      <w:r w:rsidRPr="00407B23">
        <w:tab/>
        <w:t>Identity of the variety</w:t>
      </w:r>
      <w:bookmarkEnd w:id="12"/>
    </w:p>
    <w:p w:rsidR="00893C7D" w:rsidRPr="00407B23" w:rsidRDefault="00893C7D" w:rsidP="00893C7D">
      <w:pPr>
        <w:keepNext/>
        <w:keepLines/>
      </w:pPr>
    </w:p>
    <w:p w:rsidR="00893C7D" w:rsidRPr="00BD7BA7" w:rsidRDefault="00893C7D" w:rsidP="00893C7D">
      <w:pPr>
        <w:rPr>
          <w:strike/>
          <w:highlight w:val="lightGray"/>
        </w:rPr>
      </w:pPr>
      <w:r w:rsidRPr="00407B23">
        <w:tab/>
        <w:t>(a)</w:t>
      </w:r>
      <w:r w:rsidRPr="00407B23">
        <w:tab/>
      </w:r>
      <w:r w:rsidRPr="009B3D60">
        <w:rPr>
          <w:highlight w:val="lightGray"/>
          <w:u w:val="single"/>
        </w:rPr>
        <w:t>For denominations consisting solely of letters</w:t>
      </w:r>
      <w:r w:rsidR="00493FBE" w:rsidRPr="00493FBE">
        <w:t>,</w:t>
      </w:r>
      <w:r w:rsidRPr="00A42B98">
        <w:rPr>
          <w:rStyle w:val="EndnoteReference"/>
          <w:color w:val="000000"/>
          <w:lang w:eastAsia="ja-JP"/>
        </w:rPr>
        <w:endnoteReference w:id="5"/>
      </w:r>
      <w:r>
        <w:t xml:space="preserve"> as</w:t>
      </w:r>
      <w:r w:rsidRPr="00407B23">
        <w:t xml:space="preserve"> a general recommendation, a difference of only one letter </w:t>
      </w:r>
      <w:r w:rsidRPr="00E974B4">
        <w:rPr>
          <w:strike/>
          <w:highlight w:val="lightGray"/>
        </w:rPr>
        <w:t>or one number</w:t>
      </w:r>
      <w:r w:rsidRPr="00407B23">
        <w:t xml:space="preserve"> may be considered to be liable to mislead or cause confusion concerning the identity of the variety, except where the</w:t>
      </w:r>
      <w:r w:rsidRPr="00BD7BA7">
        <w:rPr>
          <w:strike/>
          <w:highlight w:val="lightGray"/>
        </w:rPr>
        <w:t xml:space="preserve">:  </w:t>
      </w:r>
    </w:p>
    <w:p w:rsidR="00893C7D" w:rsidRPr="00BD7BA7" w:rsidRDefault="00893C7D">
      <w:pPr>
        <w:jc w:val="left"/>
        <w:rPr>
          <w:strike/>
          <w:highlight w:val="lightGray"/>
        </w:rPr>
      </w:pPr>
    </w:p>
    <w:p w:rsidR="00893C7D" w:rsidRPr="00C04C22" w:rsidRDefault="00893C7D" w:rsidP="00893C7D">
      <w:pPr>
        <w:keepNext/>
        <w:tabs>
          <w:tab w:val="right" w:pos="1134"/>
          <w:tab w:val="left" w:pos="1418"/>
        </w:tabs>
      </w:pPr>
      <w:r w:rsidRPr="00BD7BA7">
        <w:rPr>
          <w:strike/>
          <w:highlight w:val="lightGray"/>
        </w:rPr>
        <w:tab/>
        <w:t>(i)</w:t>
      </w:r>
      <w:r w:rsidRPr="00BD7BA7">
        <w:rPr>
          <w:strike/>
        </w:rPr>
        <w:tab/>
      </w:r>
      <w:r w:rsidRPr="00C04C22">
        <w:t>difference of one letter provides for a clear visual or phonetic difference, e.g. if it concerns a letter at the beginning of a word:</w:t>
      </w:r>
    </w:p>
    <w:p w:rsidR="00893C7D" w:rsidRPr="00C04C22" w:rsidRDefault="00893C7D" w:rsidP="00893C7D">
      <w:pPr>
        <w:keepNext/>
      </w:pPr>
    </w:p>
    <w:p w:rsidR="00893C7D" w:rsidRPr="00E974B4" w:rsidRDefault="00893C7D" w:rsidP="00893C7D">
      <w:pPr>
        <w:ind w:left="567"/>
        <w:rPr>
          <w:color w:val="000000"/>
          <w:highlight w:val="lightGray"/>
        </w:rPr>
      </w:pPr>
      <w:r w:rsidRPr="00C04C22">
        <w:rPr>
          <w:i/>
          <w:color w:val="000000"/>
        </w:rPr>
        <w:t>Example 1:</w:t>
      </w:r>
      <w:r w:rsidRPr="00C04C22">
        <w:rPr>
          <w:color w:val="000000"/>
        </w:rPr>
        <w:t xml:space="preserve">  </w:t>
      </w:r>
      <w:r w:rsidRPr="008B479B">
        <w:rPr>
          <w:strike/>
          <w:color w:val="000000"/>
          <w:highlight w:val="lightGray"/>
        </w:rPr>
        <w:t>in the English language,</w:t>
      </w:r>
      <w:r w:rsidRPr="008B479B">
        <w:rPr>
          <w:color w:val="000000"/>
        </w:rPr>
        <w:t xml:space="preserv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 xml:space="preserve">arry’ would not cause confusion;  </w:t>
      </w:r>
      <w:r w:rsidRPr="00E974B4">
        <w:rPr>
          <w:strike/>
          <w:color w:val="000000"/>
          <w:highlight w:val="lightGray"/>
        </w:rPr>
        <w:t>However, ‘Bo</w:t>
      </w:r>
      <w:r w:rsidRPr="00E974B4">
        <w:rPr>
          <w:strike/>
          <w:color w:val="000000"/>
          <w:highlight w:val="lightGray"/>
          <w:u w:val="single"/>
        </w:rPr>
        <w:t>ugh’</w:t>
      </w:r>
      <w:r w:rsidRPr="00E974B4">
        <w:rPr>
          <w:strike/>
          <w:color w:val="000000"/>
          <w:highlight w:val="lightGray"/>
        </w:rPr>
        <w:t xml:space="preserve"> and ‘Bo</w:t>
      </w:r>
      <w:r w:rsidRPr="00E974B4">
        <w:rPr>
          <w:strike/>
          <w:color w:val="000000"/>
          <w:highlight w:val="lightGray"/>
          <w:u w:val="single"/>
        </w:rPr>
        <w:t>w</w:t>
      </w:r>
      <w:r w:rsidRPr="00E974B4">
        <w:rPr>
          <w:strike/>
          <w:color w:val="000000"/>
          <w:highlight w:val="lightGray"/>
        </w:rPr>
        <w:t>’ might cause confusion (in phonetic terms);</w:t>
      </w:r>
      <w:r w:rsidRPr="00E974B4">
        <w:rPr>
          <w:rStyle w:val="EndnoteReference"/>
          <w:color w:val="000000"/>
          <w:highlight w:val="lightGray"/>
        </w:rPr>
        <w:t xml:space="preserve"> </w:t>
      </w:r>
      <w:r w:rsidRPr="00E974B4">
        <w:rPr>
          <w:rStyle w:val="EndnoteReference"/>
          <w:color w:val="000000"/>
          <w:highlight w:val="lightGray"/>
        </w:rPr>
        <w:endnoteReference w:id="6"/>
      </w:r>
    </w:p>
    <w:p w:rsidR="00893C7D" w:rsidRPr="00F96023" w:rsidRDefault="00893C7D" w:rsidP="00893C7D">
      <w:pPr>
        <w:spacing w:before="120"/>
        <w:ind w:left="567"/>
      </w:pPr>
      <w:r w:rsidRPr="00E974B4">
        <w:rPr>
          <w:i/>
          <w:strike/>
          <w:highlight w:val="lightGray"/>
        </w:rPr>
        <w:t xml:space="preserve">Example 2: </w:t>
      </w:r>
      <w:r w:rsidRPr="00E974B4">
        <w:rPr>
          <w:strike/>
          <w:highlight w:val="lightGray"/>
        </w:rPr>
        <w:t xml:space="preserve"> in the Japanese and Korean languages there is no difference between “L” and “R” sounds, thus “</w:t>
      </w:r>
      <w:r w:rsidRPr="00E974B4">
        <w:rPr>
          <w:strike/>
          <w:highlight w:val="lightGray"/>
          <w:u w:val="single"/>
        </w:rPr>
        <w:t>L</w:t>
      </w:r>
      <w:r w:rsidRPr="00E974B4">
        <w:rPr>
          <w:strike/>
          <w:highlight w:val="lightGray"/>
        </w:rPr>
        <w:t>ion” and “</w:t>
      </w:r>
      <w:r w:rsidRPr="00E974B4">
        <w:rPr>
          <w:strike/>
          <w:highlight w:val="lightGray"/>
          <w:u w:val="single"/>
        </w:rPr>
        <w:t>R</w:t>
      </w:r>
      <w:r w:rsidRPr="00E974B4">
        <w:rPr>
          <w:strike/>
          <w:highlight w:val="lightGray"/>
        </w:rPr>
        <w:t>aion” are exactly the same although these are distinguishable for English mother tongue speakers</w:t>
      </w:r>
      <w:r w:rsidRPr="00E974B4">
        <w:rPr>
          <w:highlight w:val="lightGray"/>
        </w:rPr>
        <w:t>;</w:t>
      </w:r>
    </w:p>
    <w:p w:rsidR="00893C7D" w:rsidRPr="00AD1830" w:rsidRDefault="00893C7D" w:rsidP="00893C7D">
      <w:pPr>
        <w:spacing w:before="120"/>
        <w:ind w:left="567"/>
        <w:rPr>
          <w:u w:val="single"/>
        </w:rPr>
      </w:pPr>
      <w:r w:rsidRPr="00E974B4">
        <w:rPr>
          <w:i/>
          <w:highlight w:val="lightGray"/>
          <w:u w:val="single"/>
        </w:rPr>
        <w:t xml:space="preserve">Example 2: </w:t>
      </w:r>
      <w:r w:rsidRPr="00E974B4">
        <w:rPr>
          <w:highlight w:val="lightGray"/>
          <w:u w:val="single"/>
        </w:rPr>
        <w:t xml:space="preserve"> “Helena” and “Elena” could cause confusion phonetically</w:t>
      </w:r>
      <w:r w:rsidR="008B479B">
        <w:rPr>
          <w:highlight w:val="lightGray"/>
          <w:u w:val="single"/>
        </w:rPr>
        <w:t xml:space="preserve"> but not visually</w:t>
      </w:r>
      <w:r w:rsidRPr="00E974B4">
        <w:rPr>
          <w:highlight w:val="lightGray"/>
          <w:u w:val="single"/>
        </w:rPr>
        <w:t>;</w:t>
      </w:r>
      <w:r w:rsidRPr="006E7024">
        <w:rPr>
          <w:rStyle w:val="EndnoteReference"/>
          <w:color w:val="000000"/>
        </w:rPr>
        <w:endnoteReference w:id="7"/>
      </w:r>
    </w:p>
    <w:p w:rsidR="00893C7D" w:rsidRDefault="00893C7D" w:rsidP="00893C7D"/>
    <w:p w:rsidR="00893C7D" w:rsidRPr="00E974B4" w:rsidRDefault="00893C7D" w:rsidP="00893C7D">
      <w:pPr>
        <w:tabs>
          <w:tab w:val="right" w:pos="1134"/>
          <w:tab w:val="left" w:pos="1418"/>
        </w:tabs>
        <w:rPr>
          <w:strike/>
          <w:highlight w:val="lightGray"/>
        </w:rPr>
      </w:pPr>
      <w:r w:rsidRPr="00407B23">
        <w:tab/>
      </w:r>
      <w:r w:rsidRPr="006639D5">
        <w:rPr>
          <w:strike/>
          <w:highlight w:val="lightGray"/>
        </w:rPr>
        <w:t>(ii)</w:t>
      </w:r>
      <w:r w:rsidR="006639D5" w:rsidRPr="006639D5">
        <w:rPr>
          <w:highlight w:val="lightGray"/>
          <w:u w:val="single"/>
        </w:rPr>
        <w:t>(b)</w:t>
      </w:r>
      <w:r w:rsidRPr="00407B23">
        <w:tab/>
      </w:r>
      <w:r w:rsidRPr="00E974B4">
        <w:rPr>
          <w:highlight w:val="lightGray"/>
          <w:u w:val="single"/>
        </w:rPr>
        <w:t>For</w:t>
      </w:r>
      <w:r w:rsidRPr="00AD1830">
        <w:rPr>
          <w:u w:val="single"/>
        </w:rPr>
        <w:t xml:space="preserve"> </w:t>
      </w:r>
      <w:r w:rsidRPr="00407B23">
        <w:t>denominations consist</w:t>
      </w:r>
      <w:r w:rsidRPr="00E974B4">
        <w:rPr>
          <w:highlight w:val="lightGray"/>
          <w:u w:val="single"/>
        </w:rPr>
        <w:t>ing</w:t>
      </w:r>
      <w:r w:rsidRPr="00407B23">
        <w:t xml:space="preserve"> of a combination of letters and figures</w:t>
      </w:r>
      <w:r w:rsidRPr="00AD1830">
        <w:rPr>
          <w:strike/>
        </w:rPr>
        <w:t>;</w:t>
      </w:r>
      <w:r>
        <w:t xml:space="preserve"> </w:t>
      </w:r>
      <w:r w:rsidRPr="00E974B4">
        <w:rPr>
          <w:highlight w:val="lightGray"/>
          <w:u w:val="single"/>
        </w:rPr>
        <w:t>and</w:t>
      </w:r>
      <w:r w:rsidRPr="00E974B4">
        <w:rPr>
          <w:strike/>
          <w:highlight w:val="lightGray"/>
          <w:u w:val="single"/>
        </w:rPr>
        <w:t xml:space="preserve"> </w:t>
      </w:r>
    </w:p>
    <w:p w:rsidR="00893C7D" w:rsidRPr="00E974B4" w:rsidRDefault="00893C7D" w:rsidP="00893C7D">
      <w:pPr>
        <w:tabs>
          <w:tab w:val="right" w:pos="1134"/>
          <w:tab w:val="left" w:pos="1418"/>
        </w:tabs>
        <w:rPr>
          <w:strike/>
          <w:highlight w:val="lightGray"/>
        </w:rPr>
      </w:pPr>
    </w:p>
    <w:p w:rsidR="00893C7D" w:rsidRPr="00407B23" w:rsidRDefault="00893C7D" w:rsidP="00893C7D">
      <w:pPr>
        <w:tabs>
          <w:tab w:val="right" w:pos="1134"/>
          <w:tab w:val="left" w:pos="1418"/>
        </w:tabs>
      </w:pPr>
      <w:r w:rsidRPr="00E974B4">
        <w:rPr>
          <w:strike/>
          <w:highlight w:val="lightGray"/>
        </w:rPr>
        <w:tab/>
        <w:t>(iii)</w:t>
      </w:r>
      <w:r w:rsidRPr="00E974B4">
        <w:rPr>
          <w:strike/>
          <w:highlight w:val="lightGray"/>
        </w:rPr>
        <w:tab/>
      </w:r>
      <w:r w:rsidRPr="00E974B4">
        <w:t>d</w:t>
      </w:r>
      <w:r w:rsidRPr="00407B23">
        <w:t>enominations consist</w:t>
      </w:r>
      <w:r>
        <w:t>ing</w:t>
      </w:r>
      <w:r w:rsidRPr="00407B23">
        <w:t xml:space="preserve"> “solely of figures”</w:t>
      </w:r>
      <w:r w:rsidRPr="008B479B">
        <w:rPr>
          <w:strike/>
          <w:highlight w:val="lightGray"/>
        </w:rPr>
        <w:t>.</w:t>
      </w:r>
      <w:r w:rsidRPr="008B479B">
        <w:rPr>
          <w:highlight w:val="lightGray"/>
          <w:u w:val="single"/>
        </w:rPr>
        <w:t xml:space="preserve">, as a general recommendation, a difference of only one letter or one number may </w:t>
      </w:r>
      <w:r w:rsidR="006639D5">
        <w:rPr>
          <w:highlight w:val="lightGray"/>
          <w:u w:val="single"/>
        </w:rPr>
        <w:t>be considered not to be liable to mislead or cause confusion concerning the identity of the variety</w:t>
      </w:r>
      <w:r w:rsidRPr="008B479B">
        <w:rPr>
          <w:highlight w:val="lightGray"/>
          <w:u w:val="single"/>
        </w:rPr>
        <w:t>.</w:t>
      </w:r>
    </w:p>
    <w:p w:rsidR="00893C7D" w:rsidRPr="00407B23" w:rsidRDefault="00893C7D" w:rsidP="00893C7D"/>
    <w:p w:rsidR="00893C7D" w:rsidRDefault="00893C7D" w:rsidP="00893C7D">
      <w:pPr>
        <w:keepNext/>
      </w:pPr>
      <w:r w:rsidRPr="00407B23">
        <w:tab/>
      </w:r>
      <w:r w:rsidRPr="006639D5">
        <w:rPr>
          <w:strike/>
          <w:highlight w:val="lightGray"/>
        </w:rPr>
        <w:t>(b)</w:t>
      </w:r>
      <w:r w:rsidR="006639D5" w:rsidRPr="006639D5">
        <w:rPr>
          <w:highlight w:val="lightGray"/>
          <w:u w:val="single"/>
        </w:rPr>
        <w:t>(c)</w:t>
      </w:r>
      <w:r w:rsidRPr="00407B23">
        <w:tab/>
        <w:t>The use of a denomination which is similar to that used for a variety of another species or genera in the same denomination class (see section 2.5) may cause confusion.</w:t>
      </w:r>
    </w:p>
    <w:p w:rsidR="00893C7D" w:rsidRPr="00407B23" w:rsidRDefault="00893C7D" w:rsidP="00893C7D"/>
    <w:p w:rsidR="00893C7D" w:rsidRPr="00407B23" w:rsidRDefault="006639D5" w:rsidP="00893C7D">
      <w:pPr>
        <w:spacing w:line="240" w:lineRule="atLeast"/>
        <w:ind w:firstLine="567"/>
      </w:pPr>
      <w:r>
        <w:rPr>
          <w:strike/>
          <w:highlight w:val="lightGray"/>
        </w:rPr>
        <w:t>(c</w:t>
      </w:r>
      <w:r w:rsidRPr="006639D5">
        <w:rPr>
          <w:strike/>
          <w:highlight w:val="lightGray"/>
        </w:rPr>
        <w:t>)</w:t>
      </w:r>
      <w:r w:rsidRPr="006639D5">
        <w:rPr>
          <w:highlight w:val="lightGray"/>
          <w:u w:val="single"/>
        </w:rPr>
        <w:t>(</w:t>
      </w:r>
      <w:r>
        <w:rPr>
          <w:highlight w:val="lightGray"/>
          <w:u w:val="single"/>
        </w:rPr>
        <w:t>d</w:t>
      </w:r>
      <w:r w:rsidRPr="006639D5">
        <w:rPr>
          <w:highlight w:val="lightGray"/>
          <w:u w:val="single"/>
        </w:rPr>
        <w:t>)</w:t>
      </w:r>
      <w:r w:rsidR="00893C7D"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893C7D" w:rsidRDefault="00893C7D" w:rsidP="00893C7D"/>
    <w:tbl>
      <w:tblPr>
        <w:tblW w:w="0" w:type="auto"/>
        <w:tblCellMar>
          <w:top w:w="113" w:type="dxa"/>
          <w:bottom w:w="113" w:type="dxa"/>
        </w:tblCellMar>
        <w:tblLook w:val="04A0" w:firstRow="1" w:lastRow="0" w:firstColumn="1" w:lastColumn="0" w:noHBand="0" w:noVBand="1"/>
      </w:tblPr>
      <w:tblGrid>
        <w:gridCol w:w="9855"/>
      </w:tblGrid>
      <w:tr w:rsidR="008B479B" w:rsidRPr="00EE496B"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79B" w:rsidRPr="00EE496B" w:rsidRDefault="008B479B" w:rsidP="008B479B">
            <w:pPr>
              <w:rPr>
                <w:sz w:val="18"/>
                <w:szCs w:val="18"/>
              </w:rPr>
            </w:pPr>
            <w:r w:rsidRPr="00EE496B">
              <w:rPr>
                <w:sz w:val="18"/>
                <w:szCs w:val="18"/>
                <w:u w:val="single"/>
              </w:rPr>
              <w:t xml:space="preserve">Concluded by </w:t>
            </w:r>
            <w:r w:rsidRPr="00EE496B">
              <w:rPr>
                <w:rFonts w:hint="eastAsia"/>
                <w:sz w:val="18"/>
                <w:szCs w:val="18"/>
                <w:u w:val="single"/>
              </w:rPr>
              <w:t>WG-DEN</w:t>
            </w:r>
            <w:r w:rsidRPr="00EE496B">
              <w:rPr>
                <w:sz w:val="18"/>
                <w:szCs w:val="18"/>
                <w:u w:val="single"/>
              </w:rPr>
              <w:t>, at its third meeting,</w:t>
            </w:r>
            <w:r w:rsidRPr="00EE496B">
              <w:rPr>
                <w:rStyle w:val="EndnoteReference"/>
                <w:color w:val="000000"/>
                <w:sz w:val="18"/>
                <w:szCs w:val="18"/>
              </w:rPr>
              <w:endnoteReference w:id="8"/>
            </w:r>
            <w:r w:rsidRPr="00EE496B">
              <w:rPr>
                <w:rFonts w:hint="eastAsia"/>
                <w:sz w:val="18"/>
                <w:szCs w:val="18"/>
                <w:u w:val="single"/>
              </w:rPr>
              <w:t xml:space="preserve"> </w:t>
            </w:r>
          </w:p>
          <w:p w:rsidR="008B479B" w:rsidRPr="00EE496B" w:rsidRDefault="008B479B" w:rsidP="008B479B">
            <w:pPr>
              <w:rPr>
                <w:sz w:val="18"/>
                <w:szCs w:val="18"/>
              </w:rPr>
            </w:pPr>
          </w:p>
          <w:p w:rsidR="008B479B" w:rsidRPr="00EE496B" w:rsidRDefault="008B479B" w:rsidP="00EE496B">
            <w:pPr>
              <w:rPr>
                <w:sz w:val="18"/>
                <w:szCs w:val="18"/>
              </w:rPr>
            </w:pPr>
            <w:r w:rsidRPr="00EE496B">
              <w:rPr>
                <w:sz w:val="18"/>
                <w:szCs w:val="18"/>
              </w:rPr>
              <w:t>at that time, there was no agreement to change the current wording of Section 2.3.3(c), but before finally concluding on that matter the WG-</w:t>
            </w:r>
            <w:r w:rsidR="00493FBE">
              <w:rPr>
                <w:sz w:val="18"/>
                <w:szCs w:val="18"/>
              </w:rPr>
              <w:t>DEN requested members of the WG-</w:t>
            </w:r>
            <w:r w:rsidRPr="00EE496B">
              <w:rPr>
                <w:sz w:val="18"/>
                <w:szCs w:val="18"/>
              </w:rPr>
              <w:t>DEN to provide examples/guidance in the implementation of the following element of Section 2.3.3(c) “In some limited cases an exception may be acceptable, for example a variety which was never commercialized, or was only commercialized in a limited way for a very short time” and the WG-DEN agreed to send a circular for that purpose</w:t>
            </w:r>
            <w:r w:rsidR="00FC531A" w:rsidRPr="00EE496B">
              <w:rPr>
                <w:sz w:val="18"/>
                <w:szCs w:val="18"/>
              </w:rPr>
              <w:t xml:space="preserve"> </w:t>
            </w:r>
            <w:r w:rsidRPr="00EE496B">
              <w:rPr>
                <w:sz w:val="18"/>
                <w:szCs w:val="18"/>
              </w:rPr>
              <w:t>(</w:t>
            </w:r>
            <w:r w:rsidR="00CF3A82" w:rsidRPr="00EE496B">
              <w:rPr>
                <w:sz w:val="18"/>
                <w:szCs w:val="18"/>
                <w:lang w:eastAsia="ja-JP"/>
              </w:rPr>
              <w:t xml:space="preserve">see </w:t>
            </w:r>
            <w:r w:rsidRPr="00EE496B">
              <w:rPr>
                <w:rFonts w:hint="eastAsia"/>
                <w:sz w:val="18"/>
                <w:szCs w:val="18"/>
                <w:lang w:eastAsia="ja-JP"/>
              </w:rPr>
              <w:t xml:space="preserve">document </w:t>
            </w:r>
            <w:hyperlink r:id="rId11" w:history="1">
              <w:r w:rsidRPr="00EE496B">
                <w:rPr>
                  <w:rStyle w:val="Hyperlink"/>
                  <w:rFonts w:hint="eastAsia"/>
                  <w:sz w:val="18"/>
                  <w:szCs w:val="18"/>
                  <w:lang w:eastAsia="ja-JP"/>
                </w:rPr>
                <w:t>UPOV/WG-DEN/</w:t>
              </w:r>
              <w:r w:rsidRPr="00EE496B">
                <w:rPr>
                  <w:rStyle w:val="Hyperlink"/>
                  <w:sz w:val="18"/>
                  <w:szCs w:val="18"/>
                  <w:lang w:eastAsia="ja-JP"/>
                </w:rPr>
                <w:t>4</w:t>
              </w:r>
              <w:r w:rsidRPr="00EE496B">
                <w:rPr>
                  <w:rStyle w:val="Hyperlink"/>
                  <w:rFonts w:hint="eastAsia"/>
                  <w:sz w:val="18"/>
                  <w:szCs w:val="18"/>
                  <w:lang w:eastAsia="ja-JP"/>
                </w:rPr>
                <w:t>/</w:t>
              </w:r>
              <w:r w:rsidRPr="00EE496B">
                <w:rPr>
                  <w:rStyle w:val="Hyperlink"/>
                  <w:sz w:val="18"/>
                  <w:szCs w:val="18"/>
                  <w:lang w:eastAsia="ja-JP"/>
                </w:rPr>
                <w:t>2</w:t>
              </w:r>
            </w:hyperlink>
            <w:r w:rsidRPr="00EE496B">
              <w:rPr>
                <w:rFonts w:hint="eastAsia"/>
                <w:sz w:val="18"/>
                <w:szCs w:val="18"/>
                <w:lang w:eastAsia="ja-JP"/>
              </w:rPr>
              <w:t xml:space="preserve"> </w:t>
            </w:r>
            <w:r w:rsidRPr="00EE496B">
              <w:rPr>
                <w:sz w:val="18"/>
                <w:szCs w:val="18"/>
                <w:lang w:eastAsia="ja-JP"/>
              </w:rPr>
              <w:t>“Rev</w:t>
            </w:r>
            <w:r w:rsidR="0077667A" w:rsidRPr="00EE496B">
              <w:rPr>
                <w:sz w:val="18"/>
                <w:szCs w:val="18"/>
                <w:lang w:eastAsia="ja-JP"/>
              </w:rPr>
              <w:t>ision of document UPOV/INF/12/5 ‘</w:t>
            </w:r>
            <w:r w:rsidRPr="00EE496B">
              <w:rPr>
                <w:sz w:val="18"/>
                <w:szCs w:val="18"/>
                <w:lang w:eastAsia="ja-JP"/>
              </w:rPr>
              <w:t xml:space="preserve">Explanatory Notes on Variety Denominations under the UPOV </w:t>
            </w:r>
            <w:r w:rsidR="0077667A" w:rsidRPr="00EE496B">
              <w:rPr>
                <w:sz w:val="18"/>
                <w:szCs w:val="18"/>
                <w:lang w:eastAsia="ja-JP"/>
              </w:rPr>
              <w:t>Convention’</w:t>
            </w:r>
            <w:r w:rsidRPr="00EE496B">
              <w:rPr>
                <w:sz w:val="18"/>
                <w:szCs w:val="18"/>
                <w:lang w:eastAsia="ja-JP"/>
              </w:rPr>
              <w:t>”</w:t>
            </w:r>
            <w:r w:rsidR="0077667A" w:rsidRPr="00EE496B">
              <w:rPr>
                <w:sz w:val="18"/>
                <w:szCs w:val="18"/>
                <w:lang w:eastAsia="ja-JP"/>
              </w:rPr>
              <w:t xml:space="preserve">, Annexes II to </w:t>
            </w:r>
            <w:r w:rsidR="00EE496B" w:rsidRPr="00EE496B">
              <w:rPr>
                <w:sz w:val="18"/>
                <w:szCs w:val="18"/>
                <w:lang w:eastAsia="ja-JP"/>
              </w:rPr>
              <w:t>VIII</w:t>
            </w:r>
            <w:r w:rsidRPr="00EE496B">
              <w:rPr>
                <w:sz w:val="18"/>
                <w:szCs w:val="18"/>
              </w:rPr>
              <w:t>)</w:t>
            </w:r>
            <w:r w:rsidR="00CF3A82">
              <w:rPr>
                <w:sz w:val="18"/>
                <w:szCs w:val="18"/>
              </w:rPr>
              <w:t>.</w:t>
            </w:r>
          </w:p>
          <w:p w:rsidR="00EE496B" w:rsidRDefault="00EE496B" w:rsidP="00EE496B">
            <w:pPr>
              <w:rPr>
                <w:sz w:val="18"/>
                <w:szCs w:val="18"/>
              </w:rPr>
            </w:pPr>
          </w:p>
          <w:p w:rsidR="00EE496B" w:rsidRPr="00EE496B" w:rsidRDefault="00EE496B" w:rsidP="00EE496B">
            <w:pPr>
              <w:rPr>
                <w:sz w:val="18"/>
                <w:szCs w:val="18"/>
                <w:u w:val="single"/>
              </w:rPr>
            </w:pPr>
            <w:r w:rsidRPr="00EE496B">
              <w:rPr>
                <w:sz w:val="18"/>
                <w:szCs w:val="18"/>
                <w:u w:val="single"/>
              </w:rPr>
              <w:t>Summary of results of circular E-17/135 to members of the Union</w:t>
            </w:r>
          </w:p>
          <w:p w:rsidR="00EE496B" w:rsidRPr="00EE496B" w:rsidRDefault="00EE496B" w:rsidP="00EE496B">
            <w:pPr>
              <w:keepNext/>
              <w:rPr>
                <w:sz w:val="18"/>
                <w:szCs w:val="18"/>
              </w:rPr>
            </w:pPr>
          </w:p>
          <w:p w:rsidR="00EE496B" w:rsidRPr="00EE496B" w:rsidRDefault="00EE496B" w:rsidP="00EE496B">
            <w:pPr>
              <w:keepNext/>
              <w:ind w:left="567" w:hanging="283"/>
              <w:jc w:val="left"/>
              <w:rPr>
                <w:sz w:val="18"/>
                <w:szCs w:val="18"/>
              </w:rPr>
            </w:pPr>
            <w:r w:rsidRPr="00EE496B">
              <w:rPr>
                <w:sz w:val="18"/>
                <w:szCs w:val="18"/>
              </w:rPr>
              <w:t>-</w:t>
            </w:r>
            <w:r w:rsidRPr="00EE496B">
              <w:rPr>
                <w:sz w:val="18"/>
                <w:szCs w:val="18"/>
              </w:rPr>
              <w:tab/>
              <w:t>Allowing the re-use of denominations:</w:t>
            </w:r>
          </w:p>
          <w:p w:rsidR="00EE496B" w:rsidRPr="00EE496B" w:rsidRDefault="00EE496B" w:rsidP="00EE496B">
            <w:pPr>
              <w:keepNext/>
              <w:ind w:left="851" w:hanging="567"/>
              <w:jc w:val="left"/>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3229"/>
              <w:gridCol w:w="5748"/>
            </w:tblGrid>
            <w:tr w:rsidR="00EE496B" w:rsidRPr="00EE496B" w:rsidTr="0058797E">
              <w:tc>
                <w:tcPr>
                  <w:tcW w:w="3261" w:type="dxa"/>
                </w:tcPr>
                <w:p w:rsidR="00EE496B" w:rsidRPr="00EE496B" w:rsidRDefault="00EE496B" w:rsidP="0058797E">
                  <w:pPr>
                    <w:jc w:val="left"/>
                    <w:rPr>
                      <w:sz w:val="18"/>
                      <w:szCs w:val="18"/>
                    </w:rPr>
                  </w:pPr>
                  <w:r w:rsidRPr="00EE496B">
                    <w:rPr>
                      <w:sz w:val="18"/>
                      <w:szCs w:val="18"/>
                    </w:rPr>
                    <w:t>Not allowed</w:t>
                  </w:r>
                </w:p>
              </w:tc>
              <w:tc>
                <w:tcPr>
                  <w:tcW w:w="5811" w:type="dxa"/>
                </w:tcPr>
                <w:p w:rsidR="00EE496B" w:rsidRPr="00EE496B" w:rsidRDefault="00EE496B" w:rsidP="0058797E">
                  <w:pPr>
                    <w:rPr>
                      <w:sz w:val="18"/>
                      <w:szCs w:val="18"/>
                    </w:rPr>
                  </w:pPr>
                  <w:r w:rsidRPr="00EE496B">
                    <w:rPr>
                      <w:sz w:val="18"/>
                      <w:szCs w:val="18"/>
                    </w:rPr>
                    <w:t>Netherlands, New Zealand, South Africa</w:t>
                  </w:r>
                </w:p>
              </w:tc>
            </w:tr>
            <w:tr w:rsidR="00EE496B" w:rsidRPr="00EE496B" w:rsidTr="0058797E">
              <w:tc>
                <w:tcPr>
                  <w:tcW w:w="3261" w:type="dxa"/>
                </w:tcPr>
                <w:p w:rsidR="00EE496B" w:rsidRPr="00EE496B" w:rsidRDefault="00EE496B" w:rsidP="0058797E">
                  <w:pPr>
                    <w:jc w:val="left"/>
                    <w:rPr>
                      <w:sz w:val="18"/>
                      <w:szCs w:val="18"/>
                    </w:rPr>
                  </w:pPr>
                  <w:r w:rsidRPr="00EE496B">
                    <w:rPr>
                      <w:sz w:val="18"/>
                      <w:szCs w:val="18"/>
                    </w:rPr>
                    <w:t>Allowed after 10 years</w:t>
                  </w:r>
                </w:p>
              </w:tc>
              <w:tc>
                <w:tcPr>
                  <w:tcW w:w="5811" w:type="dxa"/>
                </w:tcPr>
                <w:p w:rsidR="00EE496B" w:rsidRPr="00EE496B" w:rsidRDefault="00EE496B" w:rsidP="0058797E">
                  <w:pPr>
                    <w:rPr>
                      <w:sz w:val="18"/>
                      <w:szCs w:val="18"/>
                    </w:rPr>
                  </w:pPr>
                  <w:r w:rsidRPr="00EE496B">
                    <w:rPr>
                      <w:sz w:val="18"/>
                      <w:szCs w:val="18"/>
                    </w:rPr>
                    <w:t>European Union</w:t>
                  </w:r>
                </w:p>
              </w:tc>
            </w:tr>
            <w:tr w:rsidR="00EE496B" w:rsidRPr="00EE496B" w:rsidTr="0058797E">
              <w:tc>
                <w:tcPr>
                  <w:tcW w:w="3261" w:type="dxa"/>
                </w:tcPr>
                <w:p w:rsidR="00EE496B" w:rsidRPr="00EE496B" w:rsidRDefault="00EE496B" w:rsidP="0058797E">
                  <w:pPr>
                    <w:jc w:val="left"/>
                    <w:rPr>
                      <w:sz w:val="18"/>
                      <w:szCs w:val="18"/>
                    </w:rPr>
                  </w:pPr>
                  <w:r w:rsidRPr="00EE496B">
                    <w:rPr>
                      <w:sz w:val="18"/>
                      <w:szCs w:val="18"/>
                    </w:rPr>
                    <w:t>Allowed according to ICNCP rules</w:t>
                  </w:r>
                  <w:r w:rsidRPr="00EE496B">
                    <w:rPr>
                      <w:rStyle w:val="EndnoteReference"/>
                      <w:sz w:val="18"/>
                      <w:szCs w:val="18"/>
                    </w:rPr>
                    <w:endnoteReference w:id="9"/>
                  </w:r>
                </w:p>
              </w:tc>
              <w:tc>
                <w:tcPr>
                  <w:tcW w:w="5811" w:type="dxa"/>
                </w:tcPr>
                <w:p w:rsidR="00EE496B" w:rsidRPr="00EE496B" w:rsidRDefault="00EE496B" w:rsidP="0058797E">
                  <w:pPr>
                    <w:rPr>
                      <w:sz w:val="18"/>
                      <w:szCs w:val="18"/>
                    </w:rPr>
                  </w:pPr>
                  <w:r w:rsidRPr="00EE496B">
                    <w:rPr>
                      <w:sz w:val="18"/>
                      <w:szCs w:val="18"/>
                    </w:rPr>
                    <w:t>Australia</w:t>
                  </w:r>
                </w:p>
              </w:tc>
            </w:tr>
          </w:tbl>
          <w:p w:rsidR="00EE496B" w:rsidRPr="00EE496B" w:rsidRDefault="00EE496B" w:rsidP="00EE496B">
            <w:pPr>
              <w:rPr>
                <w:color w:val="000000"/>
                <w:sz w:val="18"/>
                <w:szCs w:val="18"/>
                <w:u w:val="single"/>
                <w:lang w:eastAsia="ja-JP"/>
              </w:rPr>
            </w:pPr>
          </w:p>
        </w:tc>
      </w:tr>
    </w:tbl>
    <w:p w:rsidR="00893C7D" w:rsidRPr="00407B23" w:rsidRDefault="00893C7D" w:rsidP="00A24E0F">
      <w:pPr>
        <w:pStyle w:val="Heading4"/>
      </w:pPr>
      <w:bookmarkStart w:id="13" w:name="_Toc494473068"/>
      <w:r w:rsidRPr="00407B23">
        <w:t>2.3.4</w:t>
      </w:r>
      <w:r w:rsidRPr="00407B23">
        <w:tab/>
        <w:t>Identity of the breeder</w:t>
      </w:r>
      <w:bookmarkEnd w:id="13"/>
    </w:p>
    <w:p w:rsidR="00893C7D" w:rsidRPr="00407B23" w:rsidRDefault="00893C7D" w:rsidP="00893C7D">
      <w:pPr>
        <w:keepNext/>
      </w:pPr>
    </w:p>
    <w:p w:rsidR="00893C7D" w:rsidRPr="00407B23" w:rsidRDefault="00893C7D" w:rsidP="00893C7D">
      <w:pPr>
        <w:keepNext/>
      </w:pPr>
      <w:r w:rsidRPr="00407B23">
        <w:t>The variety denomination should not mislead or cause confusion concerning the identity of the breeder.</w:t>
      </w:r>
    </w:p>
    <w:p w:rsidR="00893C7D" w:rsidRDefault="00893C7D" w:rsidP="00AA4043">
      <w:pPr>
        <w:keepNext/>
        <w:tabs>
          <w:tab w:val="left" w:pos="567"/>
        </w:tabs>
        <w:rPr>
          <w:lang w:eastAsia="ja-JP"/>
        </w:rPr>
      </w:pPr>
    </w:p>
    <w:tbl>
      <w:tblPr>
        <w:tblW w:w="0" w:type="auto"/>
        <w:tblCellMar>
          <w:top w:w="113" w:type="dxa"/>
          <w:bottom w:w="113" w:type="dxa"/>
        </w:tblCellMar>
        <w:tblLook w:val="04A0" w:firstRow="1" w:lastRow="0" w:firstColumn="1" w:lastColumn="0" w:noHBand="0" w:noVBand="1"/>
      </w:tblPr>
      <w:tblGrid>
        <w:gridCol w:w="9855"/>
      </w:tblGrid>
      <w:tr w:rsidR="008B479B" w:rsidRPr="00EE496B"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B479B" w:rsidRPr="00EE496B" w:rsidRDefault="008B479B" w:rsidP="008B479B">
            <w:pPr>
              <w:rPr>
                <w:sz w:val="18"/>
                <w:szCs w:val="18"/>
                <w:lang w:eastAsia="ja-JP"/>
              </w:rPr>
            </w:pPr>
            <w:r w:rsidRPr="00EE496B">
              <w:rPr>
                <w:rFonts w:hint="eastAsia"/>
                <w:color w:val="000000"/>
                <w:sz w:val="18"/>
                <w:szCs w:val="18"/>
                <w:u w:val="single"/>
                <w:lang w:eastAsia="ja-JP"/>
              </w:rPr>
              <w:t>T</w:t>
            </w:r>
            <w:r w:rsidRPr="00EE496B">
              <w:rPr>
                <w:color w:val="000000"/>
                <w:sz w:val="18"/>
                <w:szCs w:val="18"/>
                <w:u w:val="single"/>
              </w:rPr>
              <w:t xml:space="preserve">he </w:t>
            </w:r>
            <w:r w:rsidRPr="00EE496B">
              <w:rPr>
                <w:rFonts w:hint="eastAsia"/>
                <w:color w:val="000000"/>
                <w:sz w:val="18"/>
                <w:szCs w:val="18"/>
                <w:u w:val="single"/>
                <w:lang w:eastAsia="ja-JP"/>
              </w:rPr>
              <w:t>WG-DEN</w:t>
            </w:r>
            <w:r w:rsidRPr="00EE496B">
              <w:rPr>
                <w:color w:val="000000"/>
                <w:sz w:val="18"/>
                <w:szCs w:val="18"/>
                <w:u w:val="single"/>
                <w:lang w:eastAsia="ja-JP"/>
              </w:rPr>
              <w:t>, at its third meeting, agreed</w:t>
            </w:r>
            <w:r w:rsidRPr="00EE496B">
              <w:rPr>
                <w:rStyle w:val="EndnoteReference"/>
                <w:color w:val="000000"/>
                <w:sz w:val="18"/>
                <w:szCs w:val="18"/>
              </w:rPr>
              <w:endnoteReference w:id="10"/>
            </w:r>
            <w:r w:rsidRPr="00EE496B">
              <w:rPr>
                <w:rFonts w:hint="eastAsia"/>
                <w:sz w:val="18"/>
                <w:szCs w:val="18"/>
                <w:u w:val="single"/>
              </w:rPr>
              <w:t xml:space="preserve"> </w:t>
            </w:r>
          </w:p>
          <w:p w:rsidR="008B479B" w:rsidRPr="00EE496B" w:rsidRDefault="008B479B" w:rsidP="008B479B">
            <w:pPr>
              <w:rPr>
                <w:sz w:val="18"/>
                <w:szCs w:val="18"/>
                <w:lang w:eastAsia="ja-JP"/>
              </w:rPr>
            </w:pPr>
          </w:p>
          <w:p w:rsidR="008B479B" w:rsidRPr="00EE496B" w:rsidRDefault="008B479B" w:rsidP="00EE496B">
            <w:pPr>
              <w:rPr>
                <w:sz w:val="18"/>
                <w:szCs w:val="18"/>
              </w:rPr>
            </w:pPr>
            <w:r w:rsidRPr="00EE496B">
              <w:rPr>
                <w:sz w:val="18"/>
                <w:szCs w:val="18"/>
                <w:lang w:eastAsia="ja-JP"/>
              </w:rPr>
              <w:t>To reflect further on whether PVP Offices should seek to have a role in recognizing breeders practices in naming varieties (e.g. prefixes, themes) or whether that should be left to other mechanisms (e.g. trademarks). It was agreed that the Office of the Union should send a circular inviting comments on that matter</w:t>
            </w:r>
            <w:r w:rsidRPr="00EE496B">
              <w:rPr>
                <w:sz w:val="18"/>
                <w:szCs w:val="18"/>
              </w:rPr>
              <w:t xml:space="preserve"> </w:t>
            </w:r>
            <w:r w:rsidR="00FC531A" w:rsidRPr="00EE496B">
              <w:rPr>
                <w:sz w:val="18"/>
                <w:szCs w:val="18"/>
              </w:rPr>
              <w:t>(</w:t>
            </w:r>
            <w:r w:rsidR="00CF3A82" w:rsidRPr="00EE496B">
              <w:rPr>
                <w:sz w:val="18"/>
                <w:szCs w:val="18"/>
                <w:lang w:eastAsia="ja-JP"/>
              </w:rPr>
              <w:t xml:space="preserve">see </w:t>
            </w:r>
            <w:r w:rsidR="00FC531A" w:rsidRPr="00EE496B">
              <w:rPr>
                <w:rFonts w:hint="eastAsia"/>
                <w:sz w:val="18"/>
                <w:szCs w:val="18"/>
                <w:lang w:eastAsia="ja-JP"/>
              </w:rPr>
              <w:t xml:space="preserve">document </w:t>
            </w:r>
            <w:hyperlink r:id="rId12" w:history="1">
              <w:r w:rsidR="00FC531A" w:rsidRPr="00EE496B">
                <w:rPr>
                  <w:rStyle w:val="Hyperlink"/>
                  <w:rFonts w:hint="eastAsia"/>
                  <w:sz w:val="18"/>
                  <w:szCs w:val="18"/>
                  <w:lang w:eastAsia="ja-JP"/>
                </w:rPr>
                <w:t>UPOV/WG-DEN/</w:t>
              </w:r>
              <w:r w:rsidR="00FC531A" w:rsidRPr="00EE496B">
                <w:rPr>
                  <w:rStyle w:val="Hyperlink"/>
                  <w:sz w:val="18"/>
                  <w:szCs w:val="18"/>
                  <w:lang w:eastAsia="ja-JP"/>
                </w:rPr>
                <w:t>4</w:t>
              </w:r>
              <w:r w:rsidR="00FC531A" w:rsidRPr="00EE496B">
                <w:rPr>
                  <w:rStyle w:val="Hyperlink"/>
                  <w:rFonts w:hint="eastAsia"/>
                  <w:sz w:val="18"/>
                  <w:szCs w:val="18"/>
                  <w:lang w:eastAsia="ja-JP"/>
                </w:rPr>
                <w:t>/</w:t>
              </w:r>
              <w:r w:rsidR="00FC531A" w:rsidRPr="00EE496B">
                <w:rPr>
                  <w:rStyle w:val="Hyperlink"/>
                  <w:sz w:val="18"/>
                  <w:szCs w:val="18"/>
                  <w:lang w:eastAsia="ja-JP"/>
                </w:rPr>
                <w:t>2</w:t>
              </w:r>
            </w:hyperlink>
            <w:r w:rsidR="00FC531A" w:rsidRPr="00EE496B">
              <w:rPr>
                <w:rFonts w:hint="eastAsia"/>
                <w:sz w:val="18"/>
                <w:szCs w:val="18"/>
                <w:lang w:eastAsia="ja-JP"/>
              </w:rPr>
              <w:t xml:space="preserve"> </w:t>
            </w:r>
            <w:r w:rsidR="00FC531A" w:rsidRPr="00EE496B">
              <w:rPr>
                <w:sz w:val="18"/>
                <w:szCs w:val="18"/>
                <w:lang w:eastAsia="ja-JP"/>
              </w:rPr>
              <w:t xml:space="preserve">“Revision of document UPOV/INF/12/5 ‘Explanatory Notes on Variety Denominations under the UPOV Convention’”, Annexes II to </w:t>
            </w:r>
            <w:r w:rsidR="00EE496B" w:rsidRPr="00EE496B">
              <w:rPr>
                <w:sz w:val="18"/>
                <w:szCs w:val="18"/>
                <w:lang w:eastAsia="ja-JP"/>
              </w:rPr>
              <w:t>VIII</w:t>
            </w:r>
            <w:r w:rsidR="00FC531A" w:rsidRPr="00EE496B">
              <w:rPr>
                <w:sz w:val="18"/>
                <w:szCs w:val="18"/>
              </w:rPr>
              <w:t>)</w:t>
            </w:r>
            <w:r w:rsidR="00CF3A82">
              <w:rPr>
                <w:sz w:val="18"/>
                <w:szCs w:val="18"/>
              </w:rPr>
              <w:t>.</w:t>
            </w:r>
            <w:r w:rsidR="00FC531A" w:rsidRPr="00EE496B">
              <w:rPr>
                <w:sz w:val="18"/>
                <w:szCs w:val="18"/>
              </w:rPr>
              <w:t xml:space="preserve"> </w:t>
            </w:r>
            <w:r w:rsidRPr="00EE496B">
              <w:rPr>
                <w:sz w:val="18"/>
                <w:szCs w:val="18"/>
                <w:lang w:eastAsia="ja-JP"/>
              </w:rPr>
              <w:t xml:space="preserve"> It was also agreed that the Office of the Union should investigate the background that led to the adoption in the Convention of the principle in Section 2.3.4 “Identity of the breeder” at the 1961 Diplomatic Conference </w:t>
            </w:r>
            <w:r w:rsidR="00B45AEA" w:rsidRPr="00EE496B">
              <w:rPr>
                <w:sz w:val="18"/>
                <w:szCs w:val="18"/>
              </w:rPr>
              <w:t>(</w:t>
            </w:r>
            <w:r w:rsidR="00CF3A82" w:rsidRPr="00EE496B">
              <w:rPr>
                <w:sz w:val="18"/>
                <w:szCs w:val="18"/>
                <w:lang w:eastAsia="ja-JP"/>
              </w:rPr>
              <w:t xml:space="preserve">see </w:t>
            </w:r>
            <w:r w:rsidR="00B45AEA" w:rsidRPr="00EE496B">
              <w:rPr>
                <w:rFonts w:hint="eastAsia"/>
                <w:sz w:val="18"/>
                <w:szCs w:val="18"/>
                <w:lang w:eastAsia="ja-JP"/>
              </w:rPr>
              <w:t xml:space="preserve">document </w:t>
            </w:r>
            <w:hyperlink r:id="rId13" w:history="1">
              <w:r w:rsidR="00B45AEA" w:rsidRPr="00EE496B">
                <w:rPr>
                  <w:rStyle w:val="Hyperlink"/>
                  <w:rFonts w:hint="eastAsia"/>
                  <w:sz w:val="18"/>
                  <w:szCs w:val="18"/>
                  <w:lang w:eastAsia="ja-JP"/>
                </w:rPr>
                <w:t>UPOV/WG-DEN/</w:t>
              </w:r>
              <w:r w:rsidR="00B45AEA" w:rsidRPr="00EE496B">
                <w:rPr>
                  <w:rStyle w:val="Hyperlink"/>
                  <w:sz w:val="18"/>
                  <w:szCs w:val="18"/>
                  <w:lang w:eastAsia="ja-JP"/>
                </w:rPr>
                <w:t>4</w:t>
              </w:r>
              <w:r w:rsidR="00B45AEA" w:rsidRPr="00EE496B">
                <w:rPr>
                  <w:rStyle w:val="Hyperlink"/>
                  <w:rFonts w:hint="eastAsia"/>
                  <w:sz w:val="18"/>
                  <w:szCs w:val="18"/>
                  <w:lang w:eastAsia="ja-JP"/>
                </w:rPr>
                <w:t>/</w:t>
              </w:r>
              <w:r w:rsidR="00B45AEA" w:rsidRPr="00EE496B">
                <w:rPr>
                  <w:rStyle w:val="Hyperlink"/>
                  <w:sz w:val="18"/>
                  <w:szCs w:val="18"/>
                  <w:lang w:eastAsia="ja-JP"/>
                </w:rPr>
                <w:t>2</w:t>
              </w:r>
            </w:hyperlink>
            <w:r w:rsidR="00B45AEA" w:rsidRPr="00EE496B">
              <w:rPr>
                <w:rFonts w:hint="eastAsia"/>
                <w:sz w:val="18"/>
                <w:szCs w:val="18"/>
                <w:lang w:eastAsia="ja-JP"/>
              </w:rPr>
              <w:t xml:space="preserve"> </w:t>
            </w:r>
            <w:r w:rsidR="00B45AEA" w:rsidRPr="00EE496B">
              <w:rPr>
                <w:sz w:val="18"/>
                <w:szCs w:val="18"/>
                <w:lang w:eastAsia="ja-JP"/>
              </w:rPr>
              <w:t xml:space="preserve">“Revision of document UPOV/INF/12/5 ‘Explanatory Notes on Variety Denominations under the UPOV Convention’”, </w:t>
            </w:r>
            <w:r w:rsidRPr="00EE496B">
              <w:rPr>
                <w:sz w:val="18"/>
                <w:szCs w:val="18"/>
                <w:lang w:eastAsia="ja-JP"/>
              </w:rPr>
              <w:t xml:space="preserve">paragraph </w:t>
            </w:r>
            <w:r w:rsidR="00EE496B" w:rsidRPr="00EE496B">
              <w:rPr>
                <w:sz w:val="18"/>
                <w:szCs w:val="18"/>
                <w:lang w:eastAsia="ja-JP"/>
              </w:rPr>
              <w:t>13</w:t>
            </w:r>
            <w:r w:rsidRPr="00EE496B">
              <w:rPr>
                <w:sz w:val="18"/>
                <w:szCs w:val="18"/>
              </w:rPr>
              <w:t>)</w:t>
            </w:r>
            <w:r w:rsidR="00CF3A82">
              <w:rPr>
                <w:sz w:val="18"/>
                <w:szCs w:val="18"/>
              </w:rPr>
              <w:t>.</w:t>
            </w:r>
          </w:p>
          <w:p w:rsidR="00EE496B" w:rsidRPr="00EE496B" w:rsidRDefault="00EE496B" w:rsidP="00EE496B">
            <w:pPr>
              <w:rPr>
                <w:sz w:val="18"/>
                <w:szCs w:val="18"/>
              </w:rPr>
            </w:pPr>
          </w:p>
          <w:p w:rsidR="00EE496B" w:rsidRPr="00EE496B" w:rsidRDefault="00EE496B" w:rsidP="00EE496B">
            <w:pPr>
              <w:rPr>
                <w:sz w:val="18"/>
                <w:szCs w:val="18"/>
                <w:u w:val="single"/>
              </w:rPr>
            </w:pPr>
            <w:r w:rsidRPr="00EE496B">
              <w:rPr>
                <w:sz w:val="18"/>
                <w:szCs w:val="18"/>
                <w:u w:val="single"/>
              </w:rPr>
              <w:t>Summary of results of circular E-17/135 to members of the Union</w:t>
            </w:r>
          </w:p>
          <w:p w:rsidR="00EE496B" w:rsidRPr="00EE496B" w:rsidRDefault="00EE496B" w:rsidP="00EE496B">
            <w:pPr>
              <w:keepNext/>
              <w:rPr>
                <w:sz w:val="18"/>
                <w:szCs w:val="18"/>
              </w:rPr>
            </w:pPr>
          </w:p>
          <w:p w:rsidR="00EE496B" w:rsidRPr="00EE496B" w:rsidRDefault="00EE496B" w:rsidP="00EE496B">
            <w:pPr>
              <w:keepNext/>
              <w:spacing w:after="240"/>
              <w:ind w:left="568" w:hanging="284"/>
              <w:jc w:val="left"/>
              <w:rPr>
                <w:spacing w:val="-2"/>
                <w:sz w:val="18"/>
                <w:szCs w:val="18"/>
              </w:rPr>
            </w:pPr>
            <w:r w:rsidRPr="00EE496B">
              <w:rPr>
                <w:spacing w:val="-2"/>
                <w:sz w:val="18"/>
                <w:szCs w:val="18"/>
              </w:rPr>
              <w:t>-</w:t>
            </w:r>
            <w:r w:rsidRPr="00EE496B">
              <w:rPr>
                <w:spacing w:val="-2"/>
                <w:sz w:val="18"/>
                <w:szCs w:val="18"/>
              </w:rPr>
              <w:tab/>
              <w:t>Recognizing breeders practices in naming varieties (e.g. prefixes, themes)</w:t>
            </w: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3229"/>
              <w:gridCol w:w="5748"/>
            </w:tblGrid>
            <w:tr w:rsidR="00EE496B" w:rsidRPr="00EE496B" w:rsidTr="0058797E">
              <w:tc>
                <w:tcPr>
                  <w:tcW w:w="3261" w:type="dxa"/>
                </w:tcPr>
                <w:p w:rsidR="00EE496B" w:rsidRPr="00EE496B" w:rsidRDefault="00EE496B" w:rsidP="0058797E">
                  <w:pPr>
                    <w:rPr>
                      <w:sz w:val="18"/>
                      <w:szCs w:val="18"/>
                    </w:rPr>
                  </w:pPr>
                  <w:r w:rsidRPr="00EE496B">
                    <w:rPr>
                      <w:sz w:val="18"/>
                      <w:szCs w:val="18"/>
                    </w:rPr>
                    <w:t>Accepted</w:t>
                  </w:r>
                </w:p>
              </w:tc>
              <w:tc>
                <w:tcPr>
                  <w:tcW w:w="5811" w:type="dxa"/>
                </w:tcPr>
                <w:p w:rsidR="00EE496B" w:rsidRPr="00EE496B" w:rsidRDefault="00EE496B" w:rsidP="0058797E">
                  <w:pPr>
                    <w:rPr>
                      <w:sz w:val="18"/>
                      <w:szCs w:val="18"/>
                    </w:rPr>
                  </w:pPr>
                  <w:r w:rsidRPr="00EE496B">
                    <w:rPr>
                      <w:sz w:val="18"/>
                      <w:szCs w:val="18"/>
                    </w:rPr>
                    <w:t>Australia, European Union, France, New Zealand, South Africa</w:t>
                  </w:r>
                </w:p>
              </w:tc>
            </w:tr>
            <w:tr w:rsidR="00EE496B" w:rsidRPr="00EE496B" w:rsidTr="0058797E">
              <w:tc>
                <w:tcPr>
                  <w:tcW w:w="3261" w:type="dxa"/>
                </w:tcPr>
                <w:p w:rsidR="00EE496B" w:rsidRPr="00EE496B" w:rsidRDefault="00EE496B" w:rsidP="0058797E">
                  <w:pPr>
                    <w:rPr>
                      <w:sz w:val="18"/>
                      <w:szCs w:val="18"/>
                    </w:rPr>
                  </w:pPr>
                  <w:r w:rsidRPr="00EE496B">
                    <w:rPr>
                      <w:sz w:val="18"/>
                      <w:szCs w:val="18"/>
                    </w:rPr>
                    <w:t>Not accepted</w:t>
                  </w:r>
                </w:p>
              </w:tc>
              <w:tc>
                <w:tcPr>
                  <w:tcW w:w="5811" w:type="dxa"/>
                </w:tcPr>
                <w:p w:rsidR="00EE496B" w:rsidRPr="00EE496B" w:rsidRDefault="00EE496B" w:rsidP="0058797E">
                  <w:pPr>
                    <w:rPr>
                      <w:sz w:val="18"/>
                      <w:szCs w:val="18"/>
                    </w:rPr>
                  </w:pPr>
                  <w:r w:rsidRPr="00EE496B">
                    <w:rPr>
                      <w:sz w:val="18"/>
                      <w:szCs w:val="18"/>
                    </w:rPr>
                    <w:t>Netherlands</w:t>
                  </w:r>
                </w:p>
              </w:tc>
            </w:tr>
          </w:tbl>
          <w:p w:rsidR="00EE496B" w:rsidRPr="00EE496B" w:rsidRDefault="00EE496B" w:rsidP="00EE496B">
            <w:pPr>
              <w:rPr>
                <w:color w:val="000000"/>
                <w:sz w:val="18"/>
                <w:szCs w:val="18"/>
                <w:u w:val="single"/>
                <w:lang w:eastAsia="ja-JP"/>
              </w:rPr>
            </w:pPr>
          </w:p>
        </w:tc>
      </w:tr>
    </w:tbl>
    <w:p w:rsidR="00893C7D" w:rsidRDefault="00893C7D" w:rsidP="00AA4043"/>
    <w:p w:rsidR="00B45AEA" w:rsidRDefault="00B45AEA" w:rsidP="00AA4043"/>
    <w:p w:rsidR="00012886" w:rsidRDefault="00012886" w:rsidP="00AA4043"/>
    <w:p w:rsidR="00893C7D" w:rsidRPr="00407B23" w:rsidRDefault="00893C7D" w:rsidP="00B45AEA">
      <w:pPr>
        <w:pStyle w:val="Heading3"/>
      </w:pPr>
      <w:bookmarkStart w:id="14" w:name="_Toc494473069"/>
      <w:r w:rsidRPr="00407B23">
        <w:t>2.4.</w:t>
      </w:r>
      <w:r w:rsidRPr="00407B23">
        <w:tab/>
        <w:t>Different from an existing variety of the same plant species or of a closely related species</w:t>
      </w:r>
      <w:bookmarkEnd w:id="14"/>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893C7D" w:rsidRPr="00407B23" w:rsidRDefault="00893C7D" w:rsidP="00893C7D">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893C7D" w:rsidRDefault="00893C7D" w:rsidP="00AA4043"/>
    <w:p w:rsidR="00AA4043" w:rsidRDefault="00AA4043" w:rsidP="00AA4043"/>
    <w:p w:rsidR="0058797E" w:rsidRPr="00407B23" w:rsidRDefault="0058797E" w:rsidP="00AA4043"/>
    <w:p w:rsidR="00893C7D" w:rsidRPr="00407B23" w:rsidRDefault="00893C7D" w:rsidP="00B45AEA">
      <w:pPr>
        <w:pStyle w:val="Heading3"/>
      </w:pPr>
      <w:bookmarkStart w:id="15" w:name="_Toc494473070"/>
      <w:r w:rsidRPr="00407B23">
        <w:t>2.5.</w:t>
      </w:r>
      <w:r w:rsidRPr="00407B23">
        <w:tab/>
        <w:t>Variety denomination classes:  a variety denomination should not be used more than once in the same class</w:t>
      </w:r>
      <w:bookmarkEnd w:id="15"/>
    </w:p>
    <w:p w:rsidR="00893C7D" w:rsidRDefault="00893C7D" w:rsidP="00893C7D">
      <w:pPr>
        <w:keepNext/>
        <w:rPr>
          <w:lang w:eastAsia="ja-JP"/>
        </w:rPr>
      </w:pPr>
    </w:p>
    <w:p w:rsidR="00893C7D" w:rsidRPr="00407B23" w:rsidRDefault="00893C7D" w:rsidP="0058797E">
      <w:pPr>
        <w:keepNext/>
        <w:keepLines/>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Default="00893C7D" w:rsidP="0058797E">
      <w:pPr>
        <w:keepNext/>
        <w:rPr>
          <w:lang w:eastAsia="ja-JP"/>
        </w:rPr>
      </w:pPr>
    </w:p>
    <w:tbl>
      <w:tblPr>
        <w:tblW w:w="0" w:type="auto"/>
        <w:tblCellMar>
          <w:top w:w="113" w:type="dxa"/>
          <w:bottom w:w="113" w:type="dxa"/>
        </w:tblCellMar>
        <w:tblLook w:val="04A0" w:firstRow="1" w:lastRow="0" w:firstColumn="1" w:lastColumn="0" w:noHBand="0" w:noVBand="1"/>
      </w:tblPr>
      <w:tblGrid>
        <w:gridCol w:w="9855"/>
      </w:tblGrid>
      <w:tr w:rsidR="00AA4043" w:rsidRPr="00EE496B"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4043" w:rsidRPr="00EE496B" w:rsidRDefault="00AA4043" w:rsidP="00AA4043">
            <w:pPr>
              <w:rPr>
                <w:sz w:val="18"/>
                <w:szCs w:val="18"/>
                <w:lang w:eastAsia="ja-JP"/>
              </w:rPr>
            </w:pPr>
            <w:r w:rsidRPr="00EE496B">
              <w:rPr>
                <w:rFonts w:hint="eastAsia"/>
                <w:color w:val="000000"/>
                <w:sz w:val="18"/>
                <w:szCs w:val="18"/>
                <w:u w:val="single"/>
                <w:lang w:eastAsia="ja-JP"/>
              </w:rPr>
              <w:t>T</w:t>
            </w:r>
            <w:r w:rsidRPr="00EE496B">
              <w:rPr>
                <w:color w:val="000000"/>
                <w:sz w:val="18"/>
                <w:szCs w:val="18"/>
                <w:u w:val="single"/>
              </w:rPr>
              <w:t xml:space="preserve">he </w:t>
            </w:r>
            <w:r w:rsidRPr="00EE496B">
              <w:rPr>
                <w:rFonts w:hint="eastAsia"/>
                <w:color w:val="000000"/>
                <w:sz w:val="18"/>
                <w:szCs w:val="18"/>
                <w:u w:val="single"/>
                <w:lang w:eastAsia="ja-JP"/>
              </w:rPr>
              <w:t>WG-DEN</w:t>
            </w:r>
            <w:r w:rsidRPr="00EE496B">
              <w:rPr>
                <w:color w:val="000000"/>
                <w:sz w:val="18"/>
                <w:szCs w:val="18"/>
                <w:u w:val="single"/>
                <w:lang w:eastAsia="ja-JP"/>
              </w:rPr>
              <w:t>, at its third meeting, noted that</w:t>
            </w:r>
            <w:r w:rsidRPr="00EE496B">
              <w:rPr>
                <w:rStyle w:val="EndnoteReference"/>
                <w:color w:val="000000"/>
                <w:sz w:val="18"/>
                <w:szCs w:val="18"/>
              </w:rPr>
              <w:endnoteReference w:id="11"/>
            </w:r>
            <w:r w:rsidRPr="00EE496B">
              <w:rPr>
                <w:rFonts w:hint="eastAsia"/>
                <w:sz w:val="18"/>
                <w:szCs w:val="18"/>
                <w:u w:val="single"/>
              </w:rPr>
              <w:t xml:space="preserve"> </w:t>
            </w:r>
            <w:r w:rsidRPr="00EE496B">
              <w:rPr>
                <w:rFonts w:hint="eastAsia"/>
                <w:color w:val="000000"/>
                <w:sz w:val="18"/>
                <w:szCs w:val="18"/>
                <w:u w:val="single"/>
                <w:lang w:eastAsia="ja-JP"/>
              </w:rPr>
              <w:t xml:space="preserve">  </w:t>
            </w:r>
          </w:p>
          <w:p w:rsidR="00AA4043" w:rsidRPr="00EE496B" w:rsidRDefault="00AA4043" w:rsidP="00AA4043">
            <w:pPr>
              <w:rPr>
                <w:sz w:val="18"/>
                <w:szCs w:val="18"/>
                <w:lang w:eastAsia="ja-JP"/>
              </w:rPr>
            </w:pPr>
          </w:p>
          <w:p w:rsidR="00AA4043" w:rsidRPr="00EE496B" w:rsidRDefault="00AA4043" w:rsidP="00AA4043">
            <w:pPr>
              <w:rPr>
                <w:sz w:val="18"/>
                <w:szCs w:val="18"/>
                <w:lang w:eastAsia="ja-JP"/>
              </w:rPr>
            </w:pPr>
            <w:r w:rsidRPr="00EE496B">
              <w:rPr>
                <w:sz w:val="18"/>
                <w:szCs w:val="18"/>
                <w:lang w:eastAsia="ja-JP"/>
              </w:rPr>
              <w:t>For some UPOV members, the acceptability of similar denominations varied according to class.  For example, in the case of a class following the general rule (one genus/one class) a similar denomination might be accepted for a different species within the same genus.  The WG-DEN agreed that UPOV members should be invited to provide information on such approaches by means of the circular to be issued.</w:t>
            </w:r>
          </w:p>
          <w:p w:rsidR="00EE496B" w:rsidRPr="00EE496B" w:rsidRDefault="00EE496B" w:rsidP="00AA4043">
            <w:pPr>
              <w:rPr>
                <w:sz w:val="18"/>
                <w:szCs w:val="18"/>
                <w:lang w:eastAsia="ja-JP"/>
              </w:rPr>
            </w:pPr>
          </w:p>
          <w:p w:rsidR="00EE496B" w:rsidRPr="00EE496B" w:rsidRDefault="00EE496B" w:rsidP="00EE496B">
            <w:pPr>
              <w:keepNext/>
              <w:rPr>
                <w:sz w:val="18"/>
                <w:szCs w:val="18"/>
                <w:u w:val="single"/>
              </w:rPr>
            </w:pPr>
            <w:r w:rsidRPr="00EE496B">
              <w:rPr>
                <w:sz w:val="18"/>
                <w:szCs w:val="18"/>
                <w:u w:val="single"/>
              </w:rPr>
              <w:t>Summary of results of circular E-17/135 to members of the Union</w:t>
            </w:r>
          </w:p>
          <w:p w:rsidR="00EE496B" w:rsidRPr="00EE496B" w:rsidRDefault="00EE496B" w:rsidP="00EE496B">
            <w:pPr>
              <w:keepNext/>
              <w:rPr>
                <w:sz w:val="18"/>
                <w:szCs w:val="18"/>
              </w:rPr>
            </w:pPr>
          </w:p>
          <w:p w:rsidR="00EE496B" w:rsidRPr="00EE496B" w:rsidRDefault="00EE496B" w:rsidP="00EE496B">
            <w:pPr>
              <w:keepNext/>
              <w:ind w:left="567" w:hanging="283"/>
              <w:rPr>
                <w:sz w:val="18"/>
                <w:szCs w:val="18"/>
              </w:rPr>
            </w:pPr>
            <w:r w:rsidRPr="00EE496B">
              <w:rPr>
                <w:sz w:val="18"/>
                <w:szCs w:val="18"/>
              </w:rPr>
              <w:t>-</w:t>
            </w:r>
            <w:r w:rsidRPr="00EE496B">
              <w:rPr>
                <w:sz w:val="18"/>
                <w:szCs w:val="18"/>
              </w:rPr>
              <w:tab/>
              <w:t>Differences in the acceptability of similar denominations according to class (e.g. in the case of a class following the general rule (one genus/one class), accepting a similar denomination for a variety of a different species within the same genus that would not be accepted for the same species)</w:t>
            </w:r>
          </w:p>
          <w:p w:rsidR="00EE496B" w:rsidRPr="00EE496B" w:rsidRDefault="00EE496B" w:rsidP="00EE496B">
            <w:pPr>
              <w:keepNext/>
              <w:rPr>
                <w:sz w:val="18"/>
                <w:szCs w:val="18"/>
              </w:rPr>
            </w:pPr>
          </w:p>
          <w:tbl>
            <w:tblPr>
              <w:tblStyle w:val="TableGrid"/>
              <w:tblW w:w="0" w:type="auto"/>
              <w:tblInd w:w="652" w:type="dxa"/>
              <w:tblCellMar>
                <w:top w:w="85" w:type="dxa"/>
                <w:left w:w="85" w:type="dxa"/>
                <w:bottom w:w="85" w:type="dxa"/>
                <w:right w:w="85" w:type="dxa"/>
              </w:tblCellMar>
              <w:tblLook w:val="04A0" w:firstRow="1" w:lastRow="0" w:firstColumn="1" w:lastColumn="0" w:noHBand="0" w:noVBand="1"/>
            </w:tblPr>
            <w:tblGrid>
              <w:gridCol w:w="4072"/>
              <w:gridCol w:w="4905"/>
            </w:tblGrid>
            <w:tr w:rsidR="00EE496B" w:rsidRPr="00EE496B" w:rsidTr="0058797E">
              <w:tc>
                <w:tcPr>
                  <w:tcW w:w="4111" w:type="dxa"/>
                </w:tcPr>
                <w:p w:rsidR="00EE496B" w:rsidRPr="00EE496B" w:rsidRDefault="00EE496B" w:rsidP="0058797E">
                  <w:pPr>
                    <w:jc w:val="left"/>
                    <w:rPr>
                      <w:sz w:val="18"/>
                      <w:szCs w:val="18"/>
                    </w:rPr>
                  </w:pPr>
                  <w:r w:rsidRPr="00EE496B">
                    <w:rPr>
                      <w:sz w:val="18"/>
                      <w:szCs w:val="18"/>
                    </w:rPr>
                    <w:t>No differences</w:t>
                  </w:r>
                </w:p>
              </w:tc>
              <w:tc>
                <w:tcPr>
                  <w:tcW w:w="4961" w:type="dxa"/>
                </w:tcPr>
                <w:p w:rsidR="00EE496B" w:rsidRPr="00EE496B" w:rsidRDefault="00EE496B" w:rsidP="0058797E">
                  <w:pPr>
                    <w:jc w:val="left"/>
                    <w:rPr>
                      <w:sz w:val="18"/>
                      <w:szCs w:val="18"/>
                    </w:rPr>
                  </w:pPr>
                  <w:r w:rsidRPr="00EE496B">
                    <w:rPr>
                      <w:sz w:val="18"/>
                      <w:szCs w:val="18"/>
                    </w:rPr>
                    <w:t>Australia, Netherlands (amend classes if necessary), South Africa</w:t>
                  </w:r>
                </w:p>
              </w:tc>
            </w:tr>
            <w:tr w:rsidR="00EE496B" w:rsidRPr="00EE496B" w:rsidTr="0058797E">
              <w:tc>
                <w:tcPr>
                  <w:tcW w:w="4111" w:type="dxa"/>
                </w:tcPr>
                <w:p w:rsidR="00EE496B" w:rsidRPr="00EE496B" w:rsidRDefault="00EE496B" w:rsidP="0058797E">
                  <w:pPr>
                    <w:tabs>
                      <w:tab w:val="right" w:pos="2381"/>
                    </w:tabs>
                    <w:spacing w:after="120"/>
                    <w:jc w:val="left"/>
                    <w:rPr>
                      <w:sz w:val="18"/>
                      <w:szCs w:val="18"/>
                    </w:rPr>
                  </w:pPr>
                  <w:r w:rsidRPr="00EE496B">
                    <w:rPr>
                      <w:sz w:val="18"/>
                      <w:szCs w:val="18"/>
                    </w:rPr>
                    <w:t>Greater similarity accepted for :</w:t>
                  </w:r>
                </w:p>
                <w:p w:rsidR="00EE496B" w:rsidRPr="00EE496B" w:rsidRDefault="00EE496B" w:rsidP="0058797E">
                  <w:pPr>
                    <w:tabs>
                      <w:tab w:val="left" w:pos="340"/>
                    </w:tabs>
                    <w:spacing w:after="60"/>
                    <w:jc w:val="left"/>
                    <w:rPr>
                      <w:sz w:val="18"/>
                      <w:szCs w:val="18"/>
                    </w:rPr>
                  </w:pPr>
                  <w:r w:rsidRPr="00EE496B">
                    <w:rPr>
                      <w:sz w:val="18"/>
                      <w:szCs w:val="18"/>
                    </w:rPr>
                    <w:tab/>
                    <w:t>(a)  different species in general classes (one genus – one class);</w:t>
                  </w:r>
                </w:p>
                <w:p w:rsidR="00EE496B" w:rsidRPr="00EE496B" w:rsidRDefault="00EE496B" w:rsidP="0058797E">
                  <w:pPr>
                    <w:tabs>
                      <w:tab w:val="left" w:pos="340"/>
                    </w:tabs>
                    <w:jc w:val="left"/>
                    <w:rPr>
                      <w:sz w:val="18"/>
                      <w:szCs w:val="18"/>
                    </w:rPr>
                  </w:pPr>
                  <w:r w:rsidRPr="00EE496B">
                    <w:rPr>
                      <w:sz w:val="18"/>
                      <w:szCs w:val="18"/>
                    </w:rPr>
                    <w:tab/>
                    <w:t>(b)  different genera in same class for classes encompassing more than one genus: List of classes in  Annex: Part II.</w:t>
                  </w:r>
                </w:p>
              </w:tc>
              <w:tc>
                <w:tcPr>
                  <w:tcW w:w="4961" w:type="dxa"/>
                </w:tcPr>
                <w:p w:rsidR="00EE496B" w:rsidRPr="00EE496B" w:rsidRDefault="00EE496B" w:rsidP="0058797E">
                  <w:pPr>
                    <w:rPr>
                      <w:sz w:val="18"/>
                      <w:szCs w:val="18"/>
                    </w:rPr>
                  </w:pPr>
                  <w:r w:rsidRPr="00EE496B">
                    <w:rPr>
                      <w:sz w:val="18"/>
                      <w:szCs w:val="18"/>
                    </w:rPr>
                    <w:t>European Union, New Zealand</w:t>
                  </w:r>
                </w:p>
              </w:tc>
            </w:tr>
          </w:tbl>
          <w:p w:rsidR="00EE496B" w:rsidRPr="00EE496B" w:rsidRDefault="00EE496B" w:rsidP="00AA4043">
            <w:pPr>
              <w:rPr>
                <w:color w:val="000000"/>
                <w:sz w:val="18"/>
                <w:szCs w:val="18"/>
                <w:u w:val="single"/>
                <w:lang w:eastAsia="ja-JP"/>
              </w:rPr>
            </w:pPr>
          </w:p>
        </w:tc>
      </w:tr>
    </w:tbl>
    <w:p w:rsidR="00893C7D" w:rsidRDefault="00893C7D" w:rsidP="00AA4043"/>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ind w:left="0"/>
        <w:rPr>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893C7D" w:rsidRPr="0058797E" w:rsidRDefault="00893C7D" w:rsidP="00893C7D">
      <w:pPr>
        <w:rPr>
          <w:color w:val="000000"/>
        </w:rPr>
      </w:pPr>
      <w:r w:rsidRPr="0058797E">
        <w:t>2.5.3</w:t>
      </w:r>
      <w:r w:rsidRPr="0058797E">
        <w:tab/>
      </w:r>
      <w:r w:rsidRPr="0058797E">
        <w:rPr>
          <w:color w:val="000000"/>
        </w:rPr>
        <w:t>It is recommended that the UPOV Plant Variety Database (“</w:t>
      </w:r>
      <w:r w:rsidRPr="0058797E">
        <w:rPr>
          <w:rFonts w:hint="eastAsia"/>
          <w:color w:val="000000"/>
          <w:highlight w:val="lightGray"/>
          <w:u w:val="single"/>
          <w:lang w:eastAsia="ja-JP"/>
        </w:rPr>
        <w:t>PLUTO database</w:t>
      </w:r>
      <w:r w:rsidRPr="0058797E">
        <w:rPr>
          <w:strike/>
          <w:color w:val="000000"/>
          <w:highlight w:val="lightGray"/>
        </w:rPr>
        <w:t>UPOV-ROM</w:t>
      </w:r>
      <w:r w:rsidRPr="0058797E">
        <w:rPr>
          <w:color w:val="000000"/>
        </w:rPr>
        <w:t>”) used in the process to check if, in the territory of any member of the Union, the proposed denomination is different from denominations of existing varieties of the same genus or, if appropriate, variet</w:t>
      </w:r>
      <w:r w:rsidR="0058797E" w:rsidRPr="0058797E">
        <w:rPr>
          <w:color w:val="000000"/>
        </w:rPr>
        <w:t>y denomination class (see Annex </w:t>
      </w:r>
      <w:r w:rsidRPr="0058797E">
        <w:rPr>
          <w:color w:val="000000"/>
        </w:rPr>
        <w:t xml:space="preserve">I).  Attention is drawn to the “General Notice and Disclaimer” of the </w:t>
      </w:r>
      <w:r w:rsidRPr="0058797E">
        <w:rPr>
          <w:strike/>
          <w:color w:val="000000"/>
          <w:highlight w:val="lightGray"/>
        </w:rPr>
        <w:t>UPOV-ROM</w:t>
      </w:r>
      <w:r w:rsidR="00AA4043" w:rsidRPr="0058797E">
        <w:rPr>
          <w:strike/>
          <w:color w:val="000000"/>
          <w:highlight w:val="lightGray"/>
        </w:rPr>
        <w:t xml:space="preserve"> </w:t>
      </w:r>
      <w:r w:rsidR="00AA4043" w:rsidRPr="0058797E">
        <w:rPr>
          <w:color w:val="000000"/>
          <w:highlight w:val="lightGray"/>
          <w:u w:val="single"/>
        </w:rPr>
        <w:t>PLUTO database</w:t>
      </w:r>
      <w:r w:rsidRPr="0058797E">
        <w:rPr>
          <w:color w:val="000000"/>
        </w:rPr>
        <w:t xml:space="preserve"> to ensure that the information contained in the </w:t>
      </w:r>
      <w:r w:rsidR="00AA4043" w:rsidRPr="0058797E">
        <w:rPr>
          <w:strike/>
          <w:color w:val="000000"/>
          <w:highlight w:val="lightGray"/>
        </w:rPr>
        <w:t xml:space="preserve">UPOV-ROM </w:t>
      </w:r>
      <w:r w:rsidR="00AA4043" w:rsidRPr="0058797E">
        <w:rPr>
          <w:color w:val="000000"/>
          <w:highlight w:val="lightGray"/>
          <w:u w:val="single"/>
        </w:rPr>
        <w:t>PLUTO database</w:t>
      </w:r>
      <w:r w:rsidRPr="0058797E">
        <w:rPr>
          <w:color w:val="000000"/>
        </w:rPr>
        <w:t xml:space="preserve"> is considered in an appropriate way.</w:t>
      </w:r>
    </w:p>
    <w:p w:rsidR="00893C7D" w:rsidRDefault="00893C7D" w:rsidP="00893C7D">
      <w:pPr>
        <w:rPr>
          <w:color w:val="000000"/>
          <w:u w:val="single"/>
        </w:rPr>
      </w:pPr>
    </w:p>
    <w:p w:rsidR="00012886" w:rsidRDefault="00012886" w:rsidP="00893C7D">
      <w:pPr>
        <w:rPr>
          <w:color w:val="000000"/>
          <w:u w:val="single"/>
        </w:rPr>
      </w:pPr>
    </w:p>
    <w:p w:rsidR="00A24E0F" w:rsidRPr="00407B23" w:rsidRDefault="00A24E0F" w:rsidP="00893C7D">
      <w:pPr>
        <w:rPr>
          <w:color w:val="000000"/>
          <w:u w:val="single"/>
        </w:rPr>
      </w:pPr>
    </w:p>
    <w:p w:rsidR="00AA4043" w:rsidRPr="00A24E0F" w:rsidRDefault="00AA4043" w:rsidP="00B45AEA">
      <w:pPr>
        <w:pStyle w:val="Heading3"/>
        <w:rPr>
          <w:highlight w:val="lightGray"/>
        </w:rPr>
      </w:pPr>
      <w:bookmarkStart w:id="16" w:name="_Toc494473071"/>
      <w:r w:rsidRPr="00A24E0F">
        <w:rPr>
          <w:highlight w:val="lightGray"/>
        </w:rPr>
        <w:t>2.6</w:t>
      </w:r>
      <w:r w:rsidRPr="00A24E0F">
        <w:rPr>
          <w:highlight w:val="lightGray"/>
        </w:rPr>
        <w:tab/>
        <w:t>UPOV denomination similarity search tool</w:t>
      </w:r>
      <w:bookmarkEnd w:id="16"/>
    </w:p>
    <w:p w:rsidR="00AA4043" w:rsidRPr="00AA4043" w:rsidRDefault="00AA4043" w:rsidP="00B45AEA">
      <w:pPr>
        <w:pStyle w:val="Heading3"/>
        <w:rPr>
          <w:highlight w:val="lightGray"/>
        </w:rPr>
      </w:pPr>
    </w:p>
    <w:tbl>
      <w:tblPr>
        <w:tblW w:w="0" w:type="auto"/>
        <w:tblCellMar>
          <w:top w:w="113" w:type="dxa"/>
          <w:bottom w:w="113" w:type="dxa"/>
        </w:tblCellMar>
        <w:tblLook w:val="04A0" w:firstRow="1" w:lastRow="0" w:firstColumn="1" w:lastColumn="0" w:noHBand="0" w:noVBand="1"/>
      </w:tblPr>
      <w:tblGrid>
        <w:gridCol w:w="9855"/>
      </w:tblGrid>
      <w:tr w:rsidR="00AA4043"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4043" w:rsidRPr="00EE496B" w:rsidRDefault="00F341FD" w:rsidP="0038278A">
            <w:pPr>
              <w:rPr>
                <w:color w:val="000000"/>
                <w:sz w:val="18"/>
                <w:szCs w:val="18"/>
                <w:u w:val="single"/>
                <w:lang w:eastAsia="ja-JP"/>
              </w:rPr>
            </w:pPr>
            <w:r w:rsidRPr="00EE496B">
              <w:rPr>
                <w:color w:val="000000"/>
                <w:sz w:val="18"/>
                <w:szCs w:val="18"/>
                <w:u w:val="single"/>
                <w:lang w:eastAsia="ja-JP"/>
              </w:rPr>
              <w:t>T</w:t>
            </w:r>
            <w:r w:rsidR="00AA4043" w:rsidRPr="00EE496B">
              <w:rPr>
                <w:color w:val="000000"/>
                <w:sz w:val="18"/>
                <w:szCs w:val="18"/>
                <w:u w:val="single"/>
                <w:lang w:eastAsia="ja-JP"/>
              </w:rPr>
              <w:t xml:space="preserve">o explain </w:t>
            </w:r>
            <w:r w:rsidR="0038278A" w:rsidRPr="00EE496B">
              <w:rPr>
                <w:color w:val="000000"/>
                <w:sz w:val="18"/>
                <w:szCs w:val="18"/>
                <w:u w:val="single"/>
                <w:lang w:eastAsia="ja-JP"/>
              </w:rPr>
              <w:t xml:space="preserve">the </w:t>
            </w:r>
            <w:r w:rsidR="00AA4043" w:rsidRPr="00EE496B">
              <w:rPr>
                <w:color w:val="000000"/>
                <w:sz w:val="18"/>
                <w:szCs w:val="18"/>
                <w:u w:val="single"/>
                <w:lang w:eastAsia="ja-JP"/>
              </w:rPr>
              <w:t xml:space="preserve">role of </w:t>
            </w:r>
            <w:r w:rsidRPr="00EE496B">
              <w:rPr>
                <w:color w:val="000000"/>
                <w:sz w:val="18"/>
                <w:szCs w:val="18"/>
                <w:u w:val="single"/>
                <w:lang w:eastAsia="ja-JP"/>
              </w:rPr>
              <w:t xml:space="preserve">the </w:t>
            </w:r>
            <w:r w:rsidR="00AA4043" w:rsidRPr="00EE496B">
              <w:rPr>
                <w:color w:val="000000"/>
                <w:sz w:val="18"/>
                <w:szCs w:val="18"/>
                <w:u w:val="single"/>
                <w:lang w:eastAsia="ja-JP"/>
              </w:rPr>
              <w:t xml:space="preserve">UPOV denomination similarity search tool in implementation of </w:t>
            </w:r>
            <w:r w:rsidRPr="00EE496B">
              <w:rPr>
                <w:color w:val="000000"/>
                <w:sz w:val="18"/>
                <w:szCs w:val="18"/>
                <w:u w:val="single"/>
                <w:lang w:eastAsia="ja-JP"/>
              </w:rPr>
              <w:t>paragraphs 2.3.3, 2.4 and 2.5</w:t>
            </w:r>
            <w:r w:rsidR="00AA4043" w:rsidRPr="00EE496B">
              <w:rPr>
                <w:color w:val="000000"/>
                <w:sz w:val="18"/>
                <w:szCs w:val="18"/>
                <w:u w:val="single"/>
                <w:lang w:eastAsia="ja-JP"/>
              </w:rPr>
              <w:t xml:space="preserve"> </w:t>
            </w:r>
          </w:p>
        </w:tc>
      </w:tr>
    </w:tbl>
    <w:p w:rsidR="00AA4043" w:rsidRDefault="00AA4043" w:rsidP="00893C7D">
      <w:pPr>
        <w:jc w:val="left"/>
        <w:rPr>
          <w:b/>
          <w:lang w:eastAsia="ja-JP"/>
        </w:rPr>
      </w:pPr>
    </w:p>
    <w:p w:rsidR="00AA4043" w:rsidRDefault="00AA4043" w:rsidP="00893C7D">
      <w:pPr>
        <w:jc w:val="left"/>
        <w:rPr>
          <w:b/>
          <w:lang w:eastAsia="ja-JP"/>
        </w:rPr>
      </w:pPr>
    </w:p>
    <w:p w:rsidR="00AA4043" w:rsidRDefault="00AA4043">
      <w:pPr>
        <w:rPr>
          <w:b/>
        </w:rPr>
      </w:pPr>
    </w:p>
    <w:p w:rsidR="00893C7D" w:rsidRPr="00407B23" w:rsidRDefault="00893C7D" w:rsidP="00EE496B">
      <w:pPr>
        <w:pStyle w:val="Heading1"/>
      </w:pPr>
      <w:bookmarkStart w:id="17" w:name="_Toc494473072"/>
      <w:r w:rsidRPr="00407B23">
        <w:t>Paragraph 3</w:t>
      </w:r>
      <w:bookmarkEnd w:id="17"/>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18" w:name="_Toc494473073"/>
      <w:r w:rsidRPr="00407B23">
        <w:t>[Registration of the denomination</w:t>
      </w:r>
      <w:r w:rsidR="00EE496B">
        <w:t>]</w:t>
      </w:r>
      <w:bookmarkEnd w:id="18"/>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893C7D" w:rsidRDefault="00893C7D" w:rsidP="00893C7D"/>
    <w:p w:rsidR="00AA4043" w:rsidRDefault="00AA4043" w:rsidP="00893C7D"/>
    <w:p w:rsidR="00893C7D" w:rsidRPr="00407B23" w:rsidRDefault="00893C7D" w:rsidP="00EE496B">
      <w:pPr>
        <w:pStyle w:val="Heading1"/>
      </w:pPr>
      <w:bookmarkStart w:id="19" w:name="_Toc494473074"/>
      <w:r w:rsidRPr="00407B23">
        <w:t>Paragraph 4</w:t>
      </w:r>
      <w:bookmarkEnd w:id="19"/>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20" w:name="_Toc494473075"/>
      <w:r w:rsidRPr="00407B23">
        <w:t>[Prior rights of third persons</w:t>
      </w:r>
      <w:r w:rsidR="00EE496B">
        <w:t>]</w:t>
      </w:r>
      <w:bookmarkEnd w:id="20"/>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r w:rsidR="00893C7D" w:rsidRPr="00AA4043">
        <w:rPr>
          <w:strike/>
          <w:highlight w:val="lightGray"/>
        </w:rPr>
        <w:t>a</w:t>
      </w:r>
      <w:r w:rsidR="00893C7D" w:rsidRPr="00AA4043">
        <w:rPr>
          <w:highlight w:val="lightGray"/>
        </w:rPr>
        <w:t xml:space="preserve"> </w:t>
      </w:r>
      <w:r w:rsidR="00893C7D" w:rsidRPr="00AA4043">
        <w:rPr>
          <w:highlight w:val="lightGray"/>
          <w:u w:val="single"/>
        </w:rPr>
        <w:t>there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EA36B4">
        <w:rPr>
          <w:rStyle w:val="EndnoteReference"/>
          <w:color w:val="000000"/>
        </w:rPr>
        <w:endnoteReference w:id="12"/>
      </w:r>
      <w:r w:rsidR="00893C7D" w:rsidRPr="00DE7D5D">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4" w:history="1">
        <w:r w:rsidR="00893C7D" w:rsidRPr="00DE7D5D">
          <w:rPr>
            <w:rStyle w:val="Hyperlink"/>
          </w:rPr>
          <w:t>http://www.upov.int/pluto/en/</w:t>
        </w:r>
      </w:hyperlink>
      <w:r w:rsidR="00893C7D" w:rsidRPr="00DE7D5D">
        <w:t>)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A24E0F">
        <w:rPr>
          <w:rStyle w:val="EndnoteReference"/>
          <w:color w:val="000000"/>
        </w:rPr>
        <w:endnoteReference w:id="13"/>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6"/>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8"/>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9"/>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893C7D" w:rsidRPr="00407B23" w:rsidRDefault="00893C7D" w:rsidP="00EE496B">
      <w:pPr>
        <w:pStyle w:val="Heading1"/>
      </w:pPr>
      <w:bookmarkStart w:id="21" w:name="_Toc494473076"/>
      <w:r w:rsidRPr="00407B23">
        <w:t>Paragraph 5</w:t>
      </w:r>
      <w:bookmarkEnd w:id="21"/>
    </w:p>
    <w:p w:rsidR="00893C7D" w:rsidRPr="00407B23" w:rsidRDefault="00893C7D" w:rsidP="00893C7D">
      <w:pPr>
        <w:keepNext/>
        <w:keepLines/>
        <w:ind w:firstLine="567"/>
      </w:pPr>
    </w:p>
    <w:p w:rsidR="00EE496B" w:rsidRDefault="00893C7D" w:rsidP="00EE496B">
      <w:pPr>
        <w:pStyle w:val="Heading2"/>
      </w:pPr>
      <w:bookmarkStart w:id="22" w:name="_Toc494473077"/>
      <w:r w:rsidRPr="00407B23">
        <w:t>[Same denomination in all members of the Union</w:t>
      </w:r>
      <w:r w:rsidR="00EE496B">
        <w:t>]</w:t>
      </w:r>
      <w:bookmarkEnd w:id="22"/>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407B23" w:rsidRDefault="00893C7D" w:rsidP="00893C7D">
      <w:r w:rsidRPr="00407B23">
        <w:t>5.2</w:t>
      </w:r>
      <w:r w:rsidRPr="00407B23">
        <w:tab/>
      </w:r>
      <w:r w:rsidRPr="00407B23">
        <w:rPr>
          <w:i/>
        </w:rPr>
        <w:t>Paragraph</w:t>
      </w:r>
      <w:r w:rsidRPr="00407B23">
        <w:t>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93C7D" w:rsidRPr="00407B23" w:rsidRDefault="00893C7D" w:rsidP="00893C7D"/>
    <w:p w:rsidR="00893C7D" w:rsidRPr="00407B23" w:rsidRDefault="00893C7D" w:rsidP="00893C7D">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893C7D" w:rsidRDefault="00893C7D" w:rsidP="00893C7D">
      <w:pPr>
        <w:rPr>
          <w:rFonts w:cs="Arial"/>
          <w:snapToGrid w:val="0"/>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9B2B00" w:rsidTr="009B2B00">
        <w:tc>
          <w:tcPr>
            <w:tcW w:w="9813" w:type="dxa"/>
            <w:shd w:val="clear" w:color="auto" w:fill="D9D9D9" w:themeFill="background1" w:themeFillShade="D9"/>
          </w:tcPr>
          <w:p w:rsidR="009B2B00" w:rsidRPr="0005301B" w:rsidRDefault="009B2B00" w:rsidP="009B2B00">
            <w:pPr>
              <w:rPr>
                <w:color w:val="000000"/>
                <w:sz w:val="18"/>
                <w:szCs w:val="18"/>
                <w:u w:val="single"/>
              </w:rPr>
            </w:pPr>
            <w:r w:rsidRPr="00623212">
              <w:rPr>
                <w:rFonts w:hint="eastAsia"/>
                <w:color w:val="000000"/>
                <w:sz w:val="18"/>
                <w:szCs w:val="18"/>
                <w:u w:val="single"/>
                <w:lang w:eastAsia="ja-JP"/>
              </w:rPr>
              <w:t>T</w:t>
            </w:r>
            <w:r w:rsidRPr="00623212">
              <w:rPr>
                <w:color w:val="000000"/>
                <w:sz w:val="18"/>
                <w:szCs w:val="18"/>
                <w:u w:val="single"/>
              </w:rPr>
              <w:t xml:space="preserve">he </w:t>
            </w:r>
            <w:r w:rsidRPr="00623212">
              <w:rPr>
                <w:rFonts w:hint="eastAsia"/>
                <w:color w:val="000000"/>
                <w:sz w:val="18"/>
                <w:szCs w:val="18"/>
                <w:u w:val="single"/>
                <w:lang w:eastAsia="ja-JP"/>
              </w:rPr>
              <w:t>WG-DEN</w:t>
            </w:r>
            <w:r w:rsidRPr="00623212">
              <w:rPr>
                <w:color w:val="000000"/>
                <w:sz w:val="18"/>
                <w:szCs w:val="18"/>
                <w:u w:val="single"/>
                <w:lang w:eastAsia="ja-JP"/>
              </w:rPr>
              <w:t>, at its third meeting</w:t>
            </w:r>
            <w:r w:rsidRPr="009B2B00">
              <w:rPr>
                <w:color w:val="000000"/>
                <w:sz w:val="18"/>
                <w:szCs w:val="18"/>
                <w:vertAlign w:val="superscript"/>
                <w:lang w:eastAsia="ja-JP"/>
              </w:rPr>
              <w:t>a</w:t>
            </w:r>
          </w:p>
          <w:p w:rsidR="009B2B00" w:rsidRPr="00623212" w:rsidRDefault="009B2B00" w:rsidP="009B2B00">
            <w:pPr>
              <w:rPr>
                <w:sz w:val="18"/>
                <w:szCs w:val="18"/>
                <w:lang w:eastAsia="ja-JP"/>
              </w:rPr>
            </w:pPr>
          </w:p>
          <w:p w:rsidR="009B2B00" w:rsidRDefault="009B2B00" w:rsidP="00EE496B">
            <w:pPr>
              <w:rPr>
                <w:sz w:val="18"/>
                <w:szCs w:val="18"/>
              </w:rPr>
            </w:pPr>
            <w:r w:rsidRPr="00623212">
              <w:rPr>
                <w:sz w:val="18"/>
                <w:szCs w:val="18"/>
              </w:rPr>
              <w:t>The WG-DEN agreed to issue a circular in order to explore the frequency that UPOV members were faced with existing denominations that did not meet their own criteria and the frequency that synonyms were created as a result.  In addition, the WG-DEN agreed to issue a circular to users on whether the current practices created problems</w:t>
            </w:r>
            <w:r>
              <w:rPr>
                <w:sz w:val="18"/>
                <w:szCs w:val="18"/>
              </w:rPr>
              <w:t xml:space="preserve"> (</w:t>
            </w:r>
            <w:r w:rsidR="00CF3A82" w:rsidRPr="00623212">
              <w:rPr>
                <w:sz w:val="18"/>
                <w:szCs w:val="18"/>
                <w:lang w:eastAsia="ja-JP"/>
              </w:rPr>
              <w:t xml:space="preserve">see </w:t>
            </w:r>
            <w:r w:rsidRPr="00623212">
              <w:rPr>
                <w:rFonts w:hint="eastAsia"/>
                <w:sz w:val="18"/>
                <w:szCs w:val="18"/>
                <w:lang w:eastAsia="ja-JP"/>
              </w:rPr>
              <w:t xml:space="preserve">document </w:t>
            </w:r>
            <w:hyperlink r:id="rId15" w:history="1">
              <w:r w:rsidRPr="00623212">
                <w:rPr>
                  <w:rStyle w:val="Hyperlink"/>
                  <w:rFonts w:hint="eastAsia"/>
                  <w:sz w:val="18"/>
                  <w:szCs w:val="18"/>
                  <w:lang w:eastAsia="ja-JP"/>
                </w:rPr>
                <w:t>UPOV/WG-DEN/</w:t>
              </w:r>
              <w:r>
                <w:rPr>
                  <w:rStyle w:val="Hyperlink"/>
                  <w:sz w:val="18"/>
                  <w:szCs w:val="18"/>
                  <w:lang w:eastAsia="ja-JP"/>
                </w:rPr>
                <w:t>4</w:t>
              </w:r>
              <w:r w:rsidRPr="00623212">
                <w:rPr>
                  <w:rStyle w:val="Hyperlink"/>
                  <w:rFonts w:hint="eastAsia"/>
                  <w:sz w:val="18"/>
                  <w:szCs w:val="18"/>
                  <w:lang w:eastAsia="ja-JP"/>
                </w:rPr>
                <w:t>/</w:t>
              </w:r>
              <w:r>
                <w:rPr>
                  <w:rStyle w:val="Hyperlink"/>
                  <w:sz w:val="18"/>
                  <w:szCs w:val="18"/>
                  <w:lang w:eastAsia="ja-JP"/>
                </w:rPr>
                <w:t>2</w:t>
              </w:r>
            </w:hyperlink>
            <w:r w:rsidRPr="00623212">
              <w:rPr>
                <w:rFonts w:hint="eastAsia"/>
                <w:sz w:val="18"/>
                <w:szCs w:val="18"/>
                <w:lang w:eastAsia="ja-JP"/>
              </w:rPr>
              <w:t xml:space="preserve"> </w:t>
            </w:r>
            <w:r w:rsidRPr="00623212">
              <w:rPr>
                <w:sz w:val="18"/>
                <w:szCs w:val="18"/>
                <w:lang w:eastAsia="ja-JP"/>
              </w:rPr>
              <w:t>“</w:t>
            </w:r>
            <w:r>
              <w:rPr>
                <w:sz w:val="18"/>
                <w:szCs w:val="18"/>
                <w:lang w:eastAsia="ja-JP"/>
              </w:rPr>
              <w:t xml:space="preserve">Revision of document UPOV/INF/12/5 ‘Explanatory Notes on Variety Denominations under the UPOV Convention’”, Annexes II to </w:t>
            </w:r>
            <w:r w:rsidR="00EE496B">
              <w:rPr>
                <w:sz w:val="18"/>
                <w:szCs w:val="18"/>
                <w:lang w:eastAsia="ja-JP"/>
              </w:rPr>
              <w:t>VIII</w:t>
            </w:r>
            <w:r>
              <w:rPr>
                <w:sz w:val="18"/>
                <w:szCs w:val="18"/>
              </w:rPr>
              <w:t>)</w:t>
            </w:r>
            <w:r w:rsidR="00CF3A82">
              <w:rPr>
                <w:sz w:val="18"/>
                <w:szCs w:val="18"/>
              </w:rPr>
              <w:t>.</w:t>
            </w:r>
          </w:p>
          <w:p w:rsidR="00EE496B" w:rsidRDefault="00EE496B" w:rsidP="00EE496B">
            <w:pPr>
              <w:rPr>
                <w:sz w:val="18"/>
                <w:szCs w:val="18"/>
              </w:rPr>
            </w:pPr>
          </w:p>
          <w:p w:rsidR="00EE496B" w:rsidRPr="005F2452" w:rsidRDefault="00EE496B" w:rsidP="00EE496B">
            <w:pPr>
              <w:rPr>
                <w:sz w:val="18"/>
                <w:szCs w:val="18"/>
              </w:rPr>
            </w:pPr>
            <w:r>
              <w:rPr>
                <w:sz w:val="18"/>
                <w:szCs w:val="18"/>
              </w:rPr>
              <w:t>[The results of the circulars E-17/135 and E-17/136 are presented in the Preamble to this document.]</w:t>
            </w:r>
          </w:p>
        </w:tc>
      </w:tr>
    </w:tbl>
    <w:p w:rsidR="009B2B00" w:rsidRDefault="009B2B00" w:rsidP="00893C7D"/>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93C7D" w:rsidRPr="00407B23" w:rsidRDefault="00893C7D" w:rsidP="00893C7D"/>
    <w:p w:rsidR="00893C7D" w:rsidRPr="00407B23" w:rsidRDefault="00893C7D" w:rsidP="00893C7D">
      <w:pPr>
        <w:ind w:firstLine="567"/>
      </w:pPr>
      <w:r w:rsidRPr="00407B23">
        <w:t xml:space="preserve">(a)  </w:t>
      </w:r>
      <w:r w:rsidRPr="00407B23">
        <w:tab/>
        <w:t>it does not conform to the provisions in paragraphs (2) and (4);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t>it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93C7D" w:rsidRDefault="00893C7D" w:rsidP="00893C7D"/>
    <w:p w:rsidR="00893C7D" w:rsidRPr="00407B23" w:rsidRDefault="00893C7D" w:rsidP="00893C7D">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UPOV Plant Variety</w:t>
      </w:r>
      <w:r w:rsidR="00A24E0F" w:rsidRPr="00A24E0F">
        <w:rPr>
          <w:highlight w:val="lightGray"/>
          <w:u w:val="single"/>
        </w:rPr>
        <w:t>PLUTO</w:t>
      </w:r>
      <w:r w:rsidR="00A24E0F">
        <w:t xml:space="preserve"> </w:t>
      </w:r>
      <w:r w:rsidRPr="00407B23">
        <w:t xml:space="preserve">Database.  Members of the Union may also choose to provide customized variety denomination checking services.  Members of the Union are encouraged to use the UPOV website to provide information on, and links to, such resources. </w:t>
      </w:r>
    </w:p>
    <w:p w:rsidR="00893C7D" w:rsidRPr="00407B23" w:rsidRDefault="00893C7D" w:rsidP="00893C7D">
      <w:pPr>
        <w:rPr>
          <w:b/>
        </w:rPr>
      </w:pPr>
    </w:p>
    <w:tbl>
      <w:tblPr>
        <w:tblW w:w="0" w:type="auto"/>
        <w:tblCellMar>
          <w:top w:w="113" w:type="dxa"/>
          <w:bottom w:w="113" w:type="dxa"/>
        </w:tblCellMar>
        <w:tblLook w:val="04A0" w:firstRow="1" w:lastRow="0" w:firstColumn="1" w:lastColumn="0" w:noHBand="0" w:noVBand="1"/>
      </w:tblPr>
      <w:tblGrid>
        <w:gridCol w:w="9855"/>
      </w:tblGrid>
      <w:tr w:rsidR="00A24E0F"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4E0F" w:rsidRPr="0047703B" w:rsidRDefault="00A24E0F" w:rsidP="00A24E0F">
            <w:pPr>
              <w:rPr>
                <w:sz w:val="18"/>
                <w:szCs w:val="18"/>
                <w:lang w:eastAsia="ja-JP"/>
              </w:rPr>
            </w:pPr>
            <w:r w:rsidRPr="0047703B">
              <w:rPr>
                <w:sz w:val="18"/>
                <w:szCs w:val="18"/>
                <w:u w:val="single"/>
              </w:rPr>
              <w:t>Proposa</w:t>
            </w:r>
            <w:r>
              <w:rPr>
                <w:sz w:val="18"/>
                <w:szCs w:val="18"/>
                <w:u w:val="single"/>
              </w:rPr>
              <w:t>l</w:t>
            </w:r>
            <w:r w:rsidRPr="00EA36B4">
              <w:rPr>
                <w:rStyle w:val="EndnoteReference"/>
                <w:color w:val="000000"/>
              </w:rPr>
              <w:endnoteReference w:id="14"/>
            </w:r>
          </w:p>
          <w:p w:rsidR="00A24E0F" w:rsidRPr="0047703B" w:rsidRDefault="00A24E0F" w:rsidP="00A24E0F">
            <w:pPr>
              <w:rPr>
                <w:sz w:val="18"/>
                <w:szCs w:val="18"/>
              </w:rPr>
            </w:pPr>
          </w:p>
          <w:p w:rsidR="00A24E0F" w:rsidRPr="00A24E0F" w:rsidRDefault="00A24E0F" w:rsidP="0033011F">
            <w:pPr>
              <w:rPr>
                <w:sz w:val="18"/>
                <w:szCs w:val="18"/>
              </w:rPr>
            </w:pPr>
            <w:r>
              <w:rPr>
                <w:sz w:val="18"/>
                <w:szCs w:val="18"/>
              </w:rPr>
              <w:t>To provide guidance for an approved approach where two denominations exist?  Should an authority following a number of other denomination proposals or approvals for earlier foreign applications, accept the first approved denomination or accept the most common denomination?</w:t>
            </w:r>
          </w:p>
        </w:tc>
      </w:tr>
    </w:tbl>
    <w:p w:rsidR="00A24E0F" w:rsidRPr="00407B23" w:rsidRDefault="00A24E0F" w:rsidP="00893C7D"/>
    <w:p w:rsidR="00893C7D" w:rsidRDefault="00893C7D" w:rsidP="00893C7D">
      <w:pPr>
        <w:jc w:val="left"/>
        <w:rPr>
          <w:b/>
        </w:rPr>
      </w:pPr>
    </w:p>
    <w:p w:rsidR="00A24E0F" w:rsidRDefault="00A24E0F" w:rsidP="00893C7D">
      <w:pPr>
        <w:jc w:val="left"/>
        <w:rPr>
          <w:b/>
        </w:rPr>
      </w:pPr>
    </w:p>
    <w:p w:rsidR="00893C7D" w:rsidRPr="00407B23" w:rsidRDefault="00893C7D" w:rsidP="00EE496B">
      <w:pPr>
        <w:pStyle w:val="Heading1"/>
      </w:pPr>
      <w:bookmarkStart w:id="23" w:name="_Toc494473078"/>
      <w:r w:rsidRPr="00407B23">
        <w:t>Paragraph 6</w:t>
      </w:r>
      <w:bookmarkEnd w:id="23"/>
    </w:p>
    <w:p w:rsidR="00893C7D" w:rsidRPr="00407B23" w:rsidRDefault="00893C7D" w:rsidP="00893C7D"/>
    <w:p w:rsidR="00EE496B" w:rsidRDefault="00893C7D" w:rsidP="00D4056E">
      <w:pPr>
        <w:pStyle w:val="Heading2"/>
      </w:pPr>
      <w:bookmarkStart w:id="24" w:name="_Toc494473079"/>
      <w:r w:rsidRPr="00407B23">
        <w:t>[Information among the authorities of members of the Union</w:t>
      </w:r>
      <w:r w:rsidR="00EE496B">
        <w:t>]</w:t>
      </w:r>
      <w:bookmarkEnd w:id="24"/>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93C7D" w:rsidRPr="00407B23" w:rsidRDefault="00893C7D" w:rsidP="00893C7D"/>
    <w:p w:rsidR="00893C7D" w:rsidRPr="00407B23" w:rsidRDefault="00893C7D" w:rsidP="00893C7D">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009B2B00" w:rsidRPr="00A24E0F">
        <w:rPr>
          <w:strike/>
          <w:highlight w:val="lightGray"/>
        </w:rPr>
        <w:t>UPOV Plant Variety</w:t>
      </w:r>
      <w:r w:rsidR="009B2B00" w:rsidRPr="00A24E0F">
        <w:rPr>
          <w:highlight w:val="lightGray"/>
          <w:u w:val="single"/>
        </w:rPr>
        <w:t>PLUTO</w:t>
      </w:r>
      <w:r w:rsidR="009B2B00">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93C7D" w:rsidRDefault="00893C7D" w:rsidP="00893C7D"/>
    <w:p w:rsidR="00893C7D" w:rsidRPr="008A736E" w:rsidRDefault="00893C7D" w:rsidP="00EE70D4">
      <w:pPr>
        <w:rPr>
          <w:u w:val="single"/>
        </w:rPr>
      </w:pPr>
      <w:r w:rsidRPr="00EB154B">
        <w:rPr>
          <w:highlight w:val="lightGray"/>
          <w:u w:val="single"/>
        </w:rPr>
        <w:t>6.8</w:t>
      </w:r>
      <w:r w:rsidRPr="00EB154B">
        <w:rPr>
          <w:highlight w:val="lightGray"/>
          <w:u w:val="single"/>
        </w:rPr>
        <w:tab/>
        <w:t xml:space="preserve">The contribution of data by members of the Union to the PLUTO </w:t>
      </w:r>
      <w:r w:rsidR="00D51156" w:rsidRPr="00EB154B">
        <w:rPr>
          <w:highlight w:val="lightGray"/>
          <w:u w:val="single"/>
        </w:rPr>
        <w:t xml:space="preserve">database </w:t>
      </w:r>
      <w:r w:rsidRPr="00EB154B">
        <w:rPr>
          <w:highlight w:val="lightGray"/>
          <w:u w:val="single"/>
        </w:rPr>
        <w:t>provides support for the examination of variety denominations.</w:t>
      </w:r>
      <w:r w:rsidRPr="00EB154B">
        <w:rPr>
          <w:rStyle w:val="EndnoteReference"/>
          <w:color w:val="000000"/>
          <w:highlight w:val="lightGray"/>
          <w:u w:val="single"/>
        </w:rPr>
        <w:endnoteReference w:id="15"/>
      </w:r>
      <w:r w:rsidR="00A24E0F" w:rsidRPr="00EB154B">
        <w:rPr>
          <w:highlight w:val="lightGray"/>
          <w:u w:val="single"/>
        </w:rPr>
        <w:t xml:space="preserve">  </w:t>
      </w:r>
      <w:r w:rsidRPr="00EB154B">
        <w:rPr>
          <w:highlight w:val="lightGray"/>
          <w:u w:val="single"/>
        </w:rPr>
        <w:t>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Pr="00EB154B">
        <w:rPr>
          <w:highlight w:val="lightGray"/>
          <w:vertAlign w:val="superscript"/>
        </w:rPr>
        <w:t>h</w:t>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893C7D" w:rsidRPr="00294914" w:rsidRDefault="00893C7D" w:rsidP="00D4056E">
      <w:pPr>
        <w:pStyle w:val="Heading1"/>
      </w:pPr>
      <w:bookmarkStart w:id="26" w:name="_Toc494473080"/>
      <w:r w:rsidRPr="00294914">
        <w:t>Paragraph 7</w:t>
      </w:r>
      <w:bookmarkEnd w:id="26"/>
    </w:p>
    <w:p w:rsidR="00893C7D" w:rsidRPr="00294914" w:rsidRDefault="00893C7D" w:rsidP="00893C7D">
      <w:pPr>
        <w:keepNext/>
        <w:rPr>
          <w:b/>
        </w:rPr>
      </w:pPr>
    </w:p>
    <w:p w:rsidR="00D4056E" w:rsidRDefault="00893C7D" w:rsidP="00D4056E">
      <w:pPr>
        <w:pStyle w:val="Heading2"/>
      </w:pPr>
      <w:bookmarkStart w:id="27" w:name="_Toc494473081"/>
      <w:r w:rsidRPr="00294914">
        <w:t>[Obligation to use the denomination</w:t>
      </w:r>
      <w:r w:rsidR="00D4056E">
        <w:t>]</w:t>
      </w:r>
      <w:bookmarkEnd w:id="27"/>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893C7D" w:rsidRPr="00407B23" w:rsidRDefault="00893C7D" w:rsidP="00D4056E">
      <w:pPr>
        <w:pStyle w:val="Heading1"/>
      </w:pPr>
      <w:bookmarkStart w:id="28" w:name="_Toc494473082"/>
      <w:r w:rsidRPr="00407B23">
        <w:t>Paragraph 8</w:t>
      </w:r>
      <w:bookmarkEnd w:id="28"/>
    </w:p>
    <w:p w:rsidR="00893C7D" w:rsidRDefault="00893C7D" w:rsidP="00893C7D"/>
    <w:p w:rsidR="00D4056E" w:rsidRDefault="00D4056E" w:rsidP="00D4056E">
      <w:pPr>
        <w:pStyle w:val="Heading2"/>
      </w:pPr>
      <w:bookmarkStart w:id="29" w:name="_Toc494473083"/>
      <w:r w:rsidRPr="00407B23">
        <w:t>[Indications used in association with denominations]</w:t>
      </w:r>
      <w:bookmarkEnd w:id="29"/>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893C7D" w:rsidRPr="00407B23" w:rsidRDefault="00893C7D" w:rsidP="0058797E">
      <w:pPr>
        <w:jc w:val="right"/>
      </w:pPr>
      <w:r w:rsidRPr="00407B23">
        <w:t>[Annexes follow]</w:t>
      </w:r>
    </w:p>
    <w:p w:rsidR="00893C7D" w:rsidRPr="00407B23" w:rsidRDefault="00893C7D" w:rsidP="00893C7D">
      <w:pPr>
        <w:jc w:val="right"/>
        <w:sectPr w:rsidR="00893C7D" w:rsidRPr="00407B23" w:rsidSect="00893C7D">
          <w:headerReference w:type="default" r:id="rId16"/>
          <w:footerReference w:type="first" r:id="rId17"/>
          <w:endnotePr>
            <w:numFmt w:val="lowerLetter"/>
          </w:endnotePr>
          <w:pgSz w:w="11907" w:h="16840" w:code="9"/>
          <w:pgMar w:top="510" w:right="1134" w:bottom="1134" w:left="1134" w:header="510" w:footer="624" w:gutter="0"/>
          <w:cols w:space="720"/>
          <w:titlePg/>
        </w:sectPr>
      </w:pPr>
    </w:p>
    <w:p w:rsidR="00893C7D" w:rsidRPr="00DE1471" w:rsidRDefault="00893C7D" w:rsidP="00893C7D">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(i)</w:t>
      </w:r>
      <w:r w:rsidRPr="00407B23">
        <w:tab/>
        <w:t xml:space="preserve">classes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t>classes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Default="00893C7D" w:rsidP="00893C7D">
      <w:pPr>
        <w:pStyle w:val="Style1"/>
        <w:tabs>
          <w:tab w:val="clear" w:pos="907"/>
          <w:tab w:val="clear" w:pos="1077"/>
        </w:tabs>
        <w:rPr>
          <w:szCs w:val="20"/>
        </w:rPr>
      </w:pP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Brassica oleracea</w:t>
            </w:r>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Brassica other than Brassica oleracea</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6E7024"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A6443F" w:rsidRDefault="00893C7D" w:rsidP="00893C7D">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6E7024"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A6443F" w:rsidRDefault="00893C7D" w:rsidP="00893C7D">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r w:rsidRPr="00A6443F">
              <w:rPr>
                <w:sz w:val="18"/>
              </w:rPr>
              <w:t>Cucumis sativus</w:t>
            </w:r>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r w:rsidRPr="00A6443F">
              <w:rPr>
                <w:sz w:val="18"/>
              </w:rPr>
              <w:t>Cucumis melo</w:t>
            </w:r>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r w:rsidRPr="00A6443F">
              <w:rPr>
                <w:sz w:val="18"/>
              </w:rPr>
              <w:t>Cucumis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30" w:name="OLE_LINK1"/>
            <w:bookmarkStart w:id="31" w:name="OLE_LINK2"/>
            <w:r w:rsidRPr="00A6443F">
              <w:rPr>
                <w:color w:val="000000"/>
                <w:sz w:val="18"/>
              </w:rPr>
              <w:t>SOLAN_</w:t>
            </w:r>
            <w:bookmarkEnd w:id="30"/>
            <w:bookmarkEnd w:id="31"/>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2573F0">
              <w:rPr>
                <w:sz w:val="18"/>
                <w:lang w:val="es-ES_tradnl"/>
              </w:rPr>
              <w:t>Solanum pimpinellifolium L.</w:t>
            </w:r>
            <w:r w:rsidRPr="002573F0">
              <w:rPr>
                <w:sz w:val="18"/>
                <w:lang w:val="es-ES_tradnl"/>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Default="00893C7D" w:rsidP="00893C7D">
      <w:pPr>
        <w:jc w:val="center"/>
        <w:rPr>
          <w:i/>
        </w:rPr>
      </w:pPr>
      <w:r w:rsidRPr="00407B23">
        <w:rPr>
          <w:i/>
        </w:rPr>
        <w:t>Classes encompassing more than one genus</w:t>
      </w:r>
      <w:r w:rsidRPr="00407B23">
        <w:rPr>
          <w:i/>
        </w:rPr>
        <w:br/>
      </w:r>
    </w:p>
    <w:p w:rsidR="00893C7D" w:rsidRPr="00407B23" w:rsidRDefault="00893C7D" w:rsidP="00893C7D">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893C7D" w:rsidRPr="00A6443F" w:rsidTr="00893C7D">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677"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893C7D">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6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3830"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893C7D">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677"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677" w:type="dxa"/>
          </w:tcPr>
          <w:p w:rsidR="00893C7D" w:rsidRPr="00A6443F" w:rsidRDefault="00893C7D" w:rsidP="00893C7D">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6E7024"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677" w:type="dxa"/>
          </w:tcPr>
          <w:p w:rsidR="00893C7D" w:rsidRPr="00A6443F" w:rsidRDefault="00893C7D" w:rsidP="00893C7D">
            <w:pPr>
              <w:keepNext/>
              <w:spacing w:before="40" w:after="40"/>
              <w:jc w:val="left"/>
              <w:rPr>
                <w:sz w:val="18"/>
                <w:szCs w:val="18"/>
              </w:rPr>
            </w:pPr>
            <w:r w:rsidRPr="00A6443F">
              <w:rPr>
                <w:sz w:val="18"/>
                <w:szCs w:val="18"/>
              </w:rPr>
              <w:t>Agrostis, Dactylis, Festuca, Festulolium, Lolium, Phalaris, Phleum and Poa</w:t>
            </w:r>
          </w:p>
        </w:tc>
        <w:tc>
          <w:tcPr>
            <w:tcW w:w="3830" w:type="dxa"/>
          </w:tcPr>
          <w:p w:rsidR="00893C7D" w:rsidRPr="003A67BF" w:rsidRDefault="00893C7D" w:rsidP="00893C7D">
            <w:pPr>
              <w:keepNext/>
              <w:spacing w:before="40" w:after="40"/>
              <w:jc w:val="left"/>
              <w:rPr>
                <w:sz w:val="18"/>
                <w:szCs w:val="18"/>
                <w:lang w:val="fr-CH"/>
              </w:rPr>
            </w:pPr>
            <w:r w:rsidRPr="003A67BF">
              <w:rPr>
                <w:sz w:val="18"/>
                <w:szCs w:val="18"/>
                <w:lang w:val="fr-CH"/>
              </w:rPr>
              <w:t xml:space="preserve">AGROS;  DCTLS;  FESTU;  FESTL;  LOLIU;  PHALR;  PHLEU;  POAAA </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893C7D" w:rsidRPr="00A6443F" w:rsidRDefault="00893C7D" w:rsidP="00893C7D">
            <w:pPr>
              <w:keepNext/>
              <w:spacing w:before="40" w:after="40"/>
              <w:jc w:val="left"/>
              <w:rPr>
                <w:sz w:val="18"/>
                <w:szCs w:val="18"/>
              </w:rPr>
            </w:pPr>
            <w:r w:rsidRPr="00A6443F">
              <w:rPr>
                <w:sz w:val="18"/>
                <w:szCs w:val="18"/>
              </w:rPr>
              <w:t>Lotus, Medicago, Ornithopus, Onobrychis, Trifolium</w:t>
            </w:r>
          </w:p>
        </w:tc>
        <w:tc>
          <w:tcPr>
            <w:tcW w:w="3830"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205</w:t>
            </w:r>
          </w:p>
        </w:tc>
        <w:tc>
          <w:tcPr>
            <w:tcW w:w="4677" w:type="dxa"/>
          </w:tcPr>
          <w:p w:rsidR="00893C7D" w:rsidRPr="00A6443F" w:rsidRDefault="00893C7D" w:rsidP="00893C7D">
            <w:pPr>
              <w:keepNext/>
              <w:spacing w:before="40" w:after="40"/>
              <w:jc w:val="left"/>
              <w:rPr>
                <w:sz w:val="18"/>
                <w:szCs w:val="18"/>
              </w:rPr>
            </w:pPr>
            <w:r w:rsidRPr="00A6443F">
              <w:rPr>
                <w:sz w:val="18"/>
                <w:szCs w:val="18"/>
              </w:rPr>
              <w:t xml:space="preserve">Cichorium, Lactuca </w:t>
            </w:r>
          </w:p>
        </w:tc>
        <w:tc>
          <w:tcPr>
            <w:tcW w:w="3830" w:type="dxa"/>
          </w:tcPr>
          <w:p w:rsidR="00893C7D" w:rsidRPr="00A6443F" w:rsidRDefault="00893C7D" w:rsidP="00893C7D">
            <w:pPr>
              <w:keepNext/>
              <w:spacing w:before="40" w:after="40"/>
              <w:jc w:val="left"/>
              <w:rPr>
                <w:sz w:val="18"/>
                <w:szCs w:val="18"/>
              </w:rPr>
            </w:pPr>
            <w:r w:rsidRPr="00A6443F">
              <w:rPr>
                <w:sz w:val="18"/>
                <w:szCs w:val="18"/>
              </w:rPr>
              <w:t>CICHO;  LACTU</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677" w:type="dxa"/>
          </w:tcPr>
          <w:p w:rsidR="00893C7D" w:rsidRPr="00A6443F" w:rsidRDefault="00893C7D" w:rsidP="00893C7D">
            <w:pPr>
              <w:keepNext/>
              <w:spacing w:before="40" w:after="40"/>
              <w:jc w:val="left"/>
              <w:rPr>
                <w:sz w:val="18"/>
                <w:szCs w:val="18"/>
              </w:rPr>
            </w:pPr>
            <w:r w:rsidRPr="00A6443F">
              <w:rPr>
                <w:sz w:val="18"/>
                <w:szCs w:val="18"/>
              </w:rPr>
              <w:t>Petunia and Calibrachoa</w:t>
            </w:r>
          </w:p>
        </w:tc>
        <w:tc>
          <w:tcPr>
            <w:tcW w:w="3830"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677" w:type="dxa"/>
          </w:tcPr>
          <w:p w:rsidR="00893C7D" w:rsidRPr="00A6443F" w:rsidRDefault="00893C7D" w:rsidP="00893C7D">
            <w:pPr>
              <w:keepNext/>
              <w:spacing w:before="40" w:after="40"/>
              <w:jc w:val="left"/>
              <w:rPr>
                <w:sz w:val="18"/>
                <w:szCs w:val="18"/>
              </w:rPr>
            </w:pPr>
            <w:r w:rsidRPr="00A6443F">
              <w:rPr>
                <w:sz w:val="18"/>
                <w:szCs w:val="18"/>
              </w:rPr>
              <w:t>Chrysanthemum and Ajania</w:t>
            </w:r>
          </w:p>
        </w:tc>
        <w:tc>
          <w:tcPr>
            <w:tcW w:w="3830"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677" w:type="dxa"/>
          </w:tcPr>
          <w:p w:rsidR="00893C7D" w:rsidRPr="00A6443F" w:rsidRDefault="00893C7D" w:rsidP="00893C7D">
            <w:pPr>
              <w:keepNext/>
              <w:spacing w:before="40" w:after="40"/>
              <w:jc w:val="left"/>
              <w:rPr>
                <w:sz w:val="18"/>
                <w:szCs w:val="18"/>
              </w:rPr>
            </w:pPr>
            <w:r w:rsidRPr="00A6443F">
              <w:rPr>
                <w:sz w:val="18"/>
                <w:szCs w:val="18"/>
              </w:rPr>
              <w:t>(Statice) Goniolimon, Limonium, Psylliostachys</w:t>
            </w:r>
          </w:p>
        </w:tc>
        <w:tc>
          <w:tcPr>
            <w:tcW w:w="3830"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677" w:type="dxa"/>
          </w:tcPr>
          <w:p w:rsidR="00893C7D" w:rsidRPr="00A6443F" w:rsidRDefault="00893C7D" w:rsidP="00893C7D">
            <w:pPr>
              <w:keepNext/>
              <w:spacing w:before="40" w:after="40"/>
              <w:jc w:val="left"/>
              <w:rPr>
                <w:sz w:val="18"/>
                <w:szCs w:val="18"/>
              </w:rPr>
            </w:pPr>
            <w:r w:rsidRPr="00A6443F">
              <w:rPr>
                <w:sz w:val="18"/>
                <w:szCs w:val="18"/>
              </w:rPr>
              <w:t>(Waxflower) Chamelaucium, Verticordia</w:t>
            </w:r>
          </w:p>
        </w:tc>
        <w:tc>
          <w:tcPr>
            <w:tcW w:w="3830"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677" w:type="dxa"/>
          </w:tcPr>
          <w:p w:rsidR="00893C7D" w:rsidRPr="00A6443F" w:rsidRDefault="00893C7D" w:rsidP="00893C7D">
            <w:pPr>
              <w:keepNext/>
              <w:spacing w:before="40" w:after="40"/>
              <w:jc w:val="left"/>
              <w:rPr>
                <w:sz w:val="18"/>
                <w:szCs w:val="18"/>
              </w:rPr>
            </w:pPr>
            <w:r w:rsidRPr="00A6443F">
              <w:rPr>
                <w:sz w:val="18"/>
                <w:szCs w:val="18"/>
              </w:rPr>
              <w:t>Jamesbrittania and Sutera</w:t>
            </w:r>
          </w:p>
        </w:tc>
        <w:tc>
          <w:tcPr>
            <w:tcW w:w="3830"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893C7D">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677"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893C7D">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677" w:type="dxa"/>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893C7D" w:rsidRPr="00A6443F" w:rsidTr="00893C7D">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893C7D" w:rsidRPr="00A6443F" w:rsidRDefault="00893C7D" w:rsidP="00893C7D">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nil"/>
              <w:right w:val="single" w:sz="4" w:space="0" w:color="auto"/>
            </w:tcBorders>
            <w:shd w:val="clear" w:color="auto" w:fill="auto"/>
          </w:tcPr>
          <w:p w:rsidR="00893C7D" w:rsidRPr="00A6443F" w:rsidRDefault="00893C7D" w:rsidP="00893C7D">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nil"/>
              <w:right w:val="single" w:sz="4" w:space="0" w:color="auto"/>
            </w:tcBorders>
            <w:shd w:val="clear" w:color="auto" w:fill="auto"/>
          </w:tcPr>
          <w:p w:rsidR="00893C7D" w:rsidRPr="00A6443F" w:rsidRDefault="00893C7D" w:rsidP="00893C7D">
            <w:pPr>
              <w:spacing w:before="40"/>
              <w:ind w:left="301" w:right="113" w:hanging="301"/>
              <w:jc w:val="left"/>
              <w:rPr>
                <w:sz w:val="18"/>
                <w:szCs w:val="18"/>
              </w:rPr>
            </w:pPr>
            <w:r w:rsidRPr="00A6443F">
              <w:rPr>
                <w:sz w:val="18"/>
                <w:szCs w:val="18"/>
              </w:rPr>
              <w:t>EUPAT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AGERT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keepNext/>
              <w:spacing w:before="10" w:after="10"/>
              <w:jc w:val="left"/>
              <w:rPr>
                <w:sz w:val="18"/>
                <w:szCs w:val="18"/>
              </w:rPr>
            </w:pPr>
            <w:r w:rsidRPr="00A6443F">
              <w:rPr>
                <w:sz w:val="18"/>
                <w:szCs w:val="18"/>
              </w:rPr>
              <w:t>EUTRO</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bl>
    <w:p w:rsidR="00893C7D" w:rsidRDefault="00893C7D" w:rsidP="00893C7D">
      <w:pPr>
        <w:jc w:val="right"/>
      </w:pPr>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97E" w:rsidRPr="009929A5" w:rsidRDefault="0058797E">
                            <w:pPr>
                              <w:ind w:right="53"/>
                              <w:jc w:val="right"/>
                              <w:rPr>
                                <w:rFonts w:cs="Arial"/>
                              </w:rPr>
                            </w:pPr>
                            <w:r w:rsidRPr="009929A5">
                              <w:rPr>
                                <w:rFonts w:cs="Arial"/>
                              </w:rPr>
                              <w:t>[</w:t>
                            </w: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B/qFgergIAAKkFAAAOAAAA&#10;AAAAAAAAAAAAAC4CAABkcnMvZTJvRG9jLnhtbFBLAQItABQABgAIAAAAIQCpT1xC3wAAAAkBAAAP&#10;AAAAAAAAAAAAAAAAAAgFAABkcnMvZG93bnJldi54bWxQSwUGAAAAAAQABADzAAAAFAYAAAAA&#10;" o:allowincell="f" filled="f" stroked="f">
                <v:textbox inset="0,0,0,0">
                  <w:txbxContent>
                    <w:p w:rsidR="0058797E" w:rsidRPr="009929A5" w:rsidRDefault="0058797E">
                      <w:pPr>
                        <w:ind w:right="53"/>
                        <w:jc w:val="right"/>
                        <w:rPr>
                          <w:rFonts w:cs="Arial"/>
                        </w:rPr>
                      </w:pPr>
                      <w:r w:rsidRPr="009929A5">
                        <w:rPr>
                          <w:rFonts w:cs="Arial"/>
                        </w:rPr>
                        <w:t>[</w:t>
                      </w:r>
                      <w:r>
                        <w:t>Annex II follows]</w:t>
                      </w:r>
                    </w:p>
                  </w:txbxContent>
                </v:textbox>
              </v:shape>
            </w:pict>
          </mc:Fallback>
        </mc:AlternateContent>
      </w:r>
    </w:p>
    <w:p w:rsidR="00893C7D" w:rsidRPr="00407B23" w:rsidRDefault="00893C7D" w:rsidP="00893C7D">
      <w:pPr>
        <w:jc w:val="right"/>
        <w:sectPr w:rsidR="00893C7D" w:rsidRPr="00407B23" w:rsidSect="00893C7D">
          <w:headerReference w:type="default" r:id="rId18"/>
          <w:headerReference w:type="first" r:id="rId19"/>
          <w:footerReference w:type="first" r:id="rId20"/>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t>Model Form for Observations on Proposed Variety Denominations Submitted</w:t>
      </w:r>
    </w:p>
    <w:p w:rsidR="00893C7D" w:rsidRPr="00407B23" w:rsidRDefault="00893C7D" w:rsidP="00893C7D">
      <w:pPr>
        <w:jc w:val="center"/>
        <w:rPr>
          <w:u w:val="single"/>
        </w:rPr>
      </w:pPr>
      <w:r w:rsidRPr="00407B23">
        <w:rPr>
          <w:u w:val="single"/>
        </w:rPr>
        <w:t>to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(number/year)</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default" r:id="rId21"/>
          <w:headerReference w:type="first" r:id="rId22"/>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t>Model Reply to Observations on Proposed Variety Denominations</w:t>
      </w:r>
      <w:r w:rsidRPr="00407B23">
        <w:rPr>
          <w:u w:val="single"/>
        </w:rPr>
        <w:br/>
        <w:t>Submitted to Another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rPr>
          <w:lang w:eastAsia="ja-JP"/>
        </w:rPr>
      </w:pPr>
      <w:r>
        <w:t>[End</w:t>
      </w:r>
      <w:r w:rsidR="00CF3A82">
        <w:t>notes follow]</w:t>
      </w:r>
    </w:p>
    <w:p w:rsidR="00893C7D" w:rsidRDefault="00893C7D" w:rsidP="00893C7D">
      <w:pPr>
        <w:jc w:val="right"/>
        <w:rPr>
          <w:lang w:eastAsia="ja-JP"/>
        </w:rPr>
        <w:sectPr w:rsidR="00893C7D" w:rsidSect="00893C7D">
          <w:headerReference w:type="even" r:id="rId23"/>
          <w:headerReference w:type="default" r:id="rId24"/>
          <w:headerReference w:type="first" r:id="rId25"/>
          <w:pgSz w:w="11907" w:h="16840" w:code="9"/>
          <w:pgMar w:top="510" w:right="1134" w:bottom="1134" w:left="1134" w:header="510" w:footer="624" w:gutter="0"/>
          <w:cols w:space="720"/>
          <w:titlePg/>
        </w:sectPr>
      </w:pPr>
    </w:p>
    <w:p w:rsidR="00893C7D" w:rsidRDefault="00893C7D">
      <w:pPr>
        <w:jc w:val="left"/>
      </w:pPr>
    </w:p>
    <w:p w:rsidR="00893C7D" w:rsidRPr="00C5280D" w:rsidRDefault="00893C7D" w:rsidP="00893C7D">
      <w:pPr>
        <w:jc w:val="left"/>
      </w:pPr>
    </w:p>
    <w:p w:rsidR="00F15E56" w:rsidRDefault="00F15E56" w:rsidP="007E7836"/>
    <w:p w:rsidR="00E3281E" w:rsidRPr="007E7836" w:rsidRDefault="00E3281E" w:rsidP="007E7836"/>
    <w:sectPr w:rsidR="00E3281E" w:rsidRPr="007E7836" w:rsidSect="00554286">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7E" w:rsidRDefault="0058797E" w:rsidP="00893C7D">
      <w:r>
        <w:separator/>
      </w:r>
    </w:p>
  </w:endnote>
  <w:endnote w:type="continuationSeparator" w:id="0">
    <w:p w:rsidR="0058797E" w:rsidRDefault="0058797E" w:rsidP="00893C7D">
      <w:r>
        <w:continuationSeparator/>
      </w:r>
    </w:p>
  </w:endnote>
  <w:endnote w:id="1">
    <w:p w:rsidR="0058797E" w:rsidRPr="00C04C22" w:rsidRDefault="0058797E" w:rsidP="004E5448">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 w:history="1">
        <w:r w:rsidRPr="00C04C22">
          <w:rPr>
            <w:rStyle w:val="Hyperlink"/>
            <w:rFonts w:hint="eastAsia"/>
            <w:sz w:val="18"/>
            <w:lang w:eastAsia="ja-JP"/>
          </w:rPr>
          <w:t>UPOV/WG-DEN/</w:t>
        </w:r>
        <w:r>
          <w:rPr>
            <w:rStyle w:val="Hyperlink"/>
            <w:sz w:val="18"/>
            <w:lang w:eastAsia="ja-JP"/>
          </w:rPr>
          <w:t>3</w:t>
        </w:r>
        <w:r w:rsidRPr="00C04C22">
          <w:rPr>
            <w:rStyle w:val="Hyperlink"/>
            <w:rFonts w:hint="eastAsia"/>
            <w:sz w:val="18"/>
            <w:lang w:eastAsia="ja-JP"/>
          </w:rPr>
          <w:t>/</w:t>
        </w:r>
        <w:r>
          <w:rPr>
            <w:rStyle w:val="Hyperlink"/>
            <w:sz w:val="18"/>
            <w:lang w:eastAsia="ja-JP"/>
          </w:rPr>
          <w:t>3</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xml:space="preserve">, paragraph </w:t>
      </w:r>
      <w:r>
        <w:rPr>
          <w:sz w:val="18"/>
          <w:lang w:eastAsia="ja-JP"/>
        </w:rPr>
        <w:t>1</w:t>
      </w:r>
      <w:r w:rsidRPr="00C04C22">
        <w:rPr>
          <w:rFonts w:hint="eastAsia"/>
          <w:sz w:val="18"/>
          <w:lang w:eastAsia="ja-JP"/>
        </w:rPr>
        <w:t>9</w:t>
      </w:r>
      <w:r w:rsidRPr="00C04C22">
        <w:rPr>
          <w:sz w:val="18"/>
          <w:lang w:eastAsia="ja-JP"/>
        </w:rPr>
        <w:t>.</w:t>
      </w:r>
    </w:p>
  </w:endnote>
  <w:endnote w:id="2">
    <w:p w:rsidR="0058797E" w:rsidRPr="00C04C22" w:rsidRDefault="0058797E" w:rsidP="004E5448">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2" w:history="1">
        <w:r w:rsidRPr="00C04C22">
          <w:rPr>
            <w:rStyle w:val="Hyperlink"/>
            <w:rFonts w:hint="eastAsia"/>
            <w:sz w:val="18"/>
            <w:lang w:eastAsia="ja-JP"/>
          </w:rPr>
          <w:t>UPOV/WG-DEN/</w:t>
        </w:r>
        <w:r>
          <w:rPr>
            <w:rStyle w:val="Hyperlink"/>
            <w:sz w:val="18"/>
            <w:lang w:eastAsia="ja-JP"/>
          </w:rPr>
          <w:t>3</w:t>
        </w:r>
        <w:r w:rsidRPr="00C04C22">
          <w:rPr>
            <w:rStyle w:val="Hyperlink"/>
            <w:rFonts w:hint="eastAsia"/>
            <w:sz w:val="18"/>
            <w:lang w:eastAsia="ja-JP"/>
          </w:rPr>
          <w:t>/</w:t>
        </w:r>
        <w:r>
          <w:rPr>
            <w:rStyle w:val="Hyperlink"/>
            <w:sz w:val="18"/>
            <w:lang w:eastAsia="ja-JP"/>
          </w:rPr>
          <w:t>3</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xml:space="preserve">, paragraph </w:t>
      </w:r>
      <w:r>
        <w:rPr>
          <w:sz w:val="18"/>
          <w:lang w:eastAsia="ja-JP"/>
        </w:rPr>
        <w:t>10</w:t>
      </w:r>
      <w:r w:rsidRPr="00C04C22">
        <w:rPr>
          <w:sz w:val="18"/>
          <w:lang w:eastAsia="ja-JP"/>
        </w:rPr>
        <w:t>.</w:t>
      </w:r>
    </w:p>
  </w:endnote>
  <w:endnote w:id="3">
    <w:p w:rsidR="0058797E" w:rsidRDefault="0058797E" w:rsidP="004E5448">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C441ED">
        <w:rPr>
          <w:sz w:val="18"/>
        </w:rPr>
        <w:t>The WG-DEN, at its second meeting, agreed to consider the following proposal at its third meeting</w:t>
      </w:r>
      <w:r>
        <w:rPr>
          <w:sz w:val="18"/>
        </w:rPr>
        <w:t>:</w:t>
      </w:r>
    </w:p>
    <w:p w:rsidR="0058797E" w:rsidRPr="00EB154B" w:rsidRDefault="0058797E" w:rsidP="004E5448">
      <w:pPr>
        <w:spacing w:before="60"/>
        <w:ind w:left="567"/>
        <w:rPr>
          <w:sz w:val="16"/>
        </w:rPr>
      </w:pPr>
      <w:r w:rsidRPr="00EB154B">
        <w:rPr>
          <w:rFonts w:hint="eastAsia"/>
          <w:color w:val="000000"/>
          <w:sz w:val="18"/>
          <w:szCs w:val="18"/>
          <w:lang w:eastAsia="ja-JP"/>
        </w:rPr>
        <w:t>I</w:t>
      </w:r>
      <w:r w:rsidRPr="00EB154B">
        <w:rPr>
          <w:color w:val="000000"/>
          <w:sz w:val="18"/>
          <w:szCs w:val="18"/>
          <w:lang w:eastAsia="ja-JP"/>
        </w:rPr>
        <w:t>f an authority did allow a denomination to be registered when the breeder of the variety was also the holder of a trademark that was identical to the variety denomination, the authority should inform the breeder of the obligation to allow the use of the denomination in connection with the variety, even after the expiration of the breeder’s right.</w:t>
      </w:r>
    </w:p>
    <w:p w:rsidR="0058797E" w:rsidRPr="00C441ED" w:rsidRDefault="0058797E" w:rsidP="004E5448">
      <w:pPr>
        <w:spacing w:before="60"/>
        <w:ind w:left="567"/>
        <w:rPr>
          <w:sz w:val="16"/>
        </w:rPr>
      </w:pPr>
      <w:r w:rsidRPr="00C441ED">
        <w:rPr>
          <w:i/>
          <w:sz w:val="16"/>
          <w:lang w:eastAsia="ja-JP"/>
        </w:rPr>
        <w:t>(</w:t>
      </w:r>
      <w:r w:rsidRPr="00C441ED">
        <w:rPr>
          <w:rFonts w:hint="eastAsia"/>
          <w:i/>
          <w:sz w:val="16"/>
          <w:lang w:eastAsia="ja-JP"/>
        </w:rPr>
        <w:t xml:space="preserve">See document </w:t>
      </w:r>
      <w:hyperlink r:id="rId3" w:history="1">
        <w:r w:rsidRPr="00C441ED">
          <w:rPr>
            <w:rStyle w:val="Hyperlink"/>
            <w:rFonts w:hint="eastAsia"/>
            <w:i/>
            <w:sz w:val="16"/>
            <w:lang w:eastAsia="ja-JP"/>
          </w:rPr>
          <w:t>UPOV/WG-DEN/</w:t>
        </w:r>
        <w:r w:rsidRPr="00C441ED">
          <w:rPr>
            <w:rStyle w:val="Hyperlink"/>
            <w:i/>
            <w:sz w:val="16"/>
            <w:lang w:eastAsia="ja-JP"/>
          </w:rPr>
          <w:t>2</w:t>
        </w:r>
        <w:r w:rsidRPr="00C441ED">
          <w:rPr>
            <w:rStyle w:val="Hyperlink"/>
            <w:rFonts w:hint="eastAsia"/>
            <w:i/>
            <w:sz w:val="16"/>
            <w:lang w:eastAsia="ja-JP"/>
          </w:rPr>
          <w:t>/</w:t>
        </w:r>
        <w:r w:rsidRPr="00C441ED">
          <w:rPr>
            <w:rStyle w:val="Hyperlink"/>
            <w:i/>
            <w:sz w:val="16"/>
            <w:lang w:eastAsia="ja-JP"/>
          </w:rPr>
          <w:t>4</w:t>
        </w:r>
      </w:hyperlink>
      <w:r w:rsidRPr="00C441ED">
        <w:rPr>
          <w:rFonts w:hint="eastAsia"/>
          <w:i/>
          <w:sz w:val="16"/>
          <w:lang w:eastAsia="ja-JP"/>
        </w:rPr>
        <w:t xml:space="preserve"> </w:t>
      </w:r>
      <w:r w:rsidRPr="00C441ED">
        <w:rPr>
          <w:i/>
          <w:sz w:val="16"/>
          <w:lang w:eastAsia="ja-JP"/>
        </w:rPr>
        <w:t>“</w:t>
      </w:r>
      <w:r w:rsidRPr="00C441ED">
        <w:rPr>
          <w:rFonts w:hint="eastAsia"/>
          <w:i/>
          <w:sz w:val="16"/>
          <w:lang w:eastAsia="ja-JP"/>
        </w:rPr>
        <w:t>Report</w:t>
      </w:r>
      <w:r w:rsidRPr="00C441ED">
        <w:rPr>
          <w:i/>
          <w:sz w:val="16"/>
          <w:lang w:eastAsia="ja-JP"/>
        </w:rPr>
        <w:t>”</w:t>
      </w:r>
      <w:r w:rsidRPr="00C441ED">
        <w:rPr>
          <w:rFonts w:hint="eastAsia"/>
          <w:i/>
          <w:sz w:val="16"/>
          <w:lang w:eastAsia="ja-JP"/>
        </w:rPr>
        <w:t xml:space="preserve">, paragraph </w:t>
      </w:r>
      <w:r w:rsidRPr="00C441ED">
        <w:rPr>
          <w:i/>
          <w:sz w:val="16"/>
          <w:lang w:eastAsia="ja-JP"/>
        </w:rPr>
        <w:t>8.)</w:t>
      </w:r>
    </w:p>
  </w:endnote>
  <w:endnote w:id="4">
    <w:p w:rsidR="0058797E" w:rsidRPr="00C04C22" w:rsidRDefault="0058797E" w:rsidP="004E5448">
      <w:pPr>
        <w:pStyle w:val="EndnoteText"/>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4"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9</w:t>
      </w:r>
      <w:r w:rsidRPr="00C04C22">
        <w:rPr>
          <w:sz w:val="18"/>
          <w:lang w:eastAsia="ja-JP"/>
        </w:rPr>
        <w:t>.</w:t>
      </w:r>
    </w:p>
  </w:endnote>
  <w:endnote w:id="5">
    <w:p w:rsidR="0058797E" w:rsidRPr="00C04C22" w:rsidRDefault="0058797E" w:rsidP="004E5448">
      <w:pPr>
        <w:pStyle w:val="EndnoteText"/>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5"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Pr>
          <w:rFonts w:hint="eastAsia"/>
          <w:sz w:val="18"/>
          <w:lang w:eastAsia="ja-JP"/>
        </w:rPr>
        <w:t xml:space="preserve">, paragraph </w:t>
      </w:r>
      <w:r>
        <w:rPr>
          <w:sz w:val="18"/>
          <w:lang w:eastAsia="ja-JP"/>
        </w:rPr>
        <w:t>6</w:t>
      </w:r>
      <w:r w:rsidRPr="00C04C22">
        <w:rPr>
          <w:sz w:val="18"/>
          <w:lang w:eastAsia="ja-JP"/>
        </w:rPr>
        <w:t>.</w:t>
      </w:r>
    </w:p>
  </w:endnote>
  <w:endnote w:id="6">
    <w:p w:rsidR="0058797E" w:rsidRPr="008A736E" w:rsidRDefault="0058797E" w:rsidP="004E5448">
      <w:pPr>
        <w:spacing w:before="60"/>
        <w:ind w:left="284" w:hanging="284"/>
        <w:rPr>
          <w:sz w:val="18"/>
          <w:szCs w:val="18"/>
        </w:rPr>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hyperlink r:id="rId6" w:history="1">
        <w:r w:rsidRPr="008A736E">
          <w:rPr>
            <w:rStyle w:val="Hyperlink"/>
            <w:rFonts w:hint="eastAsia"/>
            <w:sz w:val="18"/>
          </w:rPr>
          <w:t>UPOV/WG-DEN/</w:t>
        </w:r>
        <w:r>
          <w:rPr>
            <w:rStyle w:val="Hyperlink"/>
            <w:sz w:val="18"/>
          </w:rPr>
          <w:t>1</w:t>
        </w:r>
        <w:r w:rsidRPr="008A736E">
          <w:rPr>
            <w:rStyle w:val="Hyperlink"/>
            <w:rFonts w:hint="eastAsia"/>
            <w:sz w:val="18"/>
          </w:rPr>
          <w:t>/</w:t>
        </w:r>
        <w:r>
          <w:rPr>
            <w:rStyle w:val="Hyperlink"/>
            <w:sz w:val="18"/>
          </w:rPr>
          <w:t>6</w:t>
        </w:r>
      </w:hyperlink>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xml:space="preserve">, paragraph </w:t>
      </w:r>
      <w:r>
        <w:rPr>
          <w:sz w:val="18"/>
        </w:rPr>
        <w:t>22</w:t>
      </w:r>
      <w:r w:rsidRPr="008A736E">
        <w:rPr>
          <w:sz w:val="18"/>
        </w:rPr>
        <w:t>.</w:t>
      </w:r>
    </w:p>
  </w:endnote>
  <w:endnote w:id="7">
    <w:p w:rsidR="0058797E" w:rsidRPr="008A736E" w:rsidRDefault="0058797E" w:rsidP="004E5448">
      <w:pPr>
        <w:spacing w:before="60"/>
        <w:ind w:left="284" w:hanging="284"/>
        <w:rPr>
          <w:sz w:val="18"/>
          <w:szCs w:val="18"/>
        </w:rPr>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hyperlink r:id="rId7" w:history="1">
        <w:r w:rsidRPr="008A736E">
          <w:rPr>
            <w:rStyle w:val="Hyperlink"/>
            <w:rFonts w:hint="eastAsia"/>
            <w:sz w:val="18"/>
          </w:rPr>
          <w:t>UPOV/WG-DEN/</w:t>
        </w:r>
        <w:r>
          <w:rPr>
            <w:rStyle w:val="Hyperlink"/>
            <w:sz w:val="18"/>
          </w:rPr>
          <w:t>1</w:t>
        </w:r>
        <w:r w:rsidRPr="008A736E">
          <w:rPr>
            <w:rStyle w:val="Hyperlink"/>
            <w:rFonts w:hint="eastAsia"/>
            <w:sz w:val="18"/>
          </w:rPr>
          <w:t>/</w:t>
        </w:r>
        <w:r>
          <w:rPr>
            <w:rStyle w:val="Hyperlink"/>
            <w:sz w:val="18"/>
          </w:rPr>
          <w:t>6</w:t>
        </w:r>
      </w:hyperlink>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xml:space="preserve">, paragraph </w:t>
      </w:r>
      <w:r>
        <w:rPr>
          <w:sz w:val="18"/>
        </w:rPr>
        <w:t>22</w:t>
      </w:r>
      <w:r w:rsidRPr="008A736E">
        <w:rPr>
          <w:sz w:val="18"/>
        </w:rPr>
        <w:t>.</w:t>
      </w:r>
    </w:p>
  </w:endnote>
  <w:endnote w:id="8">
    <w:p w:rsidR="0058797E" w:rsidRPr="00C04C22" w:rsidRDefault="0058797E" w:rsidP="004E5448">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8" w:history="1">
        <w:r w:rsidRPr="00C04C22">
          <w:rPr>
            <w:rStyle w:val="Hyperlink"/>
            <w:rFonts w:hint="eastAsia"/>
            <w:sz w:val="18"/>
            <w:lang w:eastAsia="ja-JP"/>
          </w:rPr>
          <w:t>UPOV/WG-DEN/</w:t>
        </w:r>
        <w:r>
          <w:rPr>
            <w:rStyle w:val="Hyperlink"/>
            <w:sz w:val="18"/>
            <w:lang w:eastAsia="ja-JP"/>
          </w:rPr>
          <w:t>3</w:t>
        </w:r>
        <w:r w:rsidRPr="00C04C22">
          <w:rPr>
            <w:rStyle w:val="Hyperlink"/>
            <w:rFonts w:hint="eastAsia"/>
            <w:sz w:val="18"/>
            <w:lang w:eastAsia="ja-JP"/>
          </w:rPr>
          <w:t>/</w:t>
        </w:r>
        <w:r>
          <w:rPr>
            <w:rStyle w:val="Hyperlink"/>
            <w:sz w:val="18"/>
            <w:lang w:eastAsia="ja-JP"/>
          </w:rPr>
          <w:t>3</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xml:space="preserve">, paragraph </w:t>
      </w:r>
      <w:r>
        <w:rPr>
          <w:sz w:val="18"/>
          <w:lang w:eastAsia="ja-JP"/>
        </w:rPr>
        <w:t>8</w:t>
      </w:r>
      <w:r w:rsidRPr="00C04C22">
        <w:rPr>
          <w:sz w:val="18"/>
          <w:lang w:eastAsia="ja-JP"/>
        </w:rPr>
        <w:t>.</w:t>
      </w:r>
    </w:p>
  </w:endnote>
  <w:endnote w:id="9">
    <w:p w:rsidR="0058797E" w:rsidRPr="00012886" w:rsidRDefault="0058797E" w:rsidP="00EE496B">
      <w:pPr>
        <w:pStyle w:val="EndnoteText"/>
        <w:ind w:left="284" w:hanging="284"/>
      </w:pPr>
      <w:r w:rsidRPr="00012886">
        <w:rPr>
          <w:rStyle w:val="EndnoteReference"/>
        </w:rPr>
        <w:endnoteRef/>
      </w:r>
      <w:r w:rsidRPr="00012886">
        <w:t xml:space="preserve"> </w:t>
      </w:r>
      <w:r w:rsidRPr="00012886">
        <w:tab/>
        <w:t>ICNCP Rules:</w:t>
      </w:r>
    </w:p>
    <w:p w:rsidR="0058797E" w:rsidRPr="00012886" w:rsidRDefault="0058797E" w:rsidP="00012886">
      <w:pPr>
        <w:pStyle w:val="EndnoteText"/>
        <w:spacing w:before="40"/>
        <w:ind w:left="568" w:hanging="284"/>
        <w:rPr>
          <w:sz w:val="18"/>
        </w:rPr>
      </w:pPr>
      <w:r w:rsidRPr="00012886">
        <w:rPr>
          <w:sz w:val="18"/>
        </w:rPr>
        <w:tab/>
        <w:t>“An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p>
    <w:p w:rsidR="0058797E" w:rsidRPr="00012886" w:rsidRDefault="0058797E" w:rsidP="00012886">
      <w:pPr>
        <w:pStyle w:val="EndnoteText"/>
        <w:spacing w:before="0"/>
        <w:ind w:left="851" w:hanging="284"/>
        <w:rPr>
          <w:rStyle w:val="Emphasis"/>
          <w:i w:val="0"/>
          <w:iCs w:val="0"/>
        </w:rPr>
      </w:pPr>
      <w:r w:rsidRPr="00012886">
        <w:rPr>
          <w:i/>
          <w:sz w:val="18"/>
        </w:rPr>
        <w:t>See International Code of Nomenclature for Cultivated Plants (ICNCP), (10th edition), Article 30.2</w:t>
      </w:r>
    </w:p>
  </w:endnote>
  <w:endnote w:id="10">
    <w:p w:rsidR="0058797E" w:rsidRPr="00012886" w:rsidRDefault="0058797E"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r>
      <w:r w:rsidRPr="00012886">
        <w:rPr>
          <w:rFonts w:hint="eastAsia"/>
          <w:sz w:val="18"/>
          <w:lang w:eastAsia="ja-JP"/>
        </w:rPr>
        <w:t xml:space="preserve">See document </w:t>
      </w:r>
      <w:hyperlink r:id="rId9" w:history="1">
        <w:r w:rsidRPr="00012886">
          <w:rPr>
            <w:rStyle w:val="Hyperlink"/>
            <w:rFonts w:hint="eastAsia"/>
            <w:sz w:val="18"/>
            <w:lang w:eastAsia="ja-JP"/>
          </w:rPr>
          <w:t>UPOV/WG-DEN/</w:t>
        </w:r>
        <w:r w:rsidRPr="00012886">
          <w:rPr>
            <w:rStyle w:val="Hyperlink"/>
            <w:sz w:val="18"/>
            <w:lang w:eastAsia="ja-JP"/>
          </w:rPr>
          <w:t>3</w:t>
        </w:r>
        <w:r w:rsidRPr="00012886">
          <w:rPr>
            <w:rStyle w:val="Hyperlink"/>
            <w:rFonts w:hint="eastAsia"/>
            <w:sz w:val="18"/>
            <w:lang w:eastAsia="ja-JP"/>
          </w:rPr>
          <w:t>/</w:t>
        </w:r>
        <w:r w:rsidRPr="00012886">
          <w:rPr>
            <w:rStyle w:val="Hyperlink"/>
            <w:sz w:val="18"/>
            <w:lang w:eastAsia="ja-JP"/>
          </w:rPr>
          <w:t>3</w:t>
        </w:r>
      </w:hyperlink>
      <w:r w:rsidRPr="00012886">
        <w:rPr>
          <w:rFonts w:hint="eastAsia"/>
          <w:sz w:val="18"/>
          <w:lang w:eastAsia="ja-JP"/>
        </w:rPr>
        <w:t xml:space="preserve"> </w:t>
      </w:r>
      <w:r w:rsidRPr="00012886">
        <w:rPr>
          <w:sz w:val="18"/>
          <w:lang w:eastAsia="ja-JP"/>
        </w:rPr>
        <w:t>“</w:t>
      </w:r>
      <w:r w:rsidRPr="00012886">
        <w:rPr>
          <w:rFonts w:hint="eastAsia"/>
          <w:sz w:val="18"/>
          <w:lang w:eastAsia="ja-JP"/>
        </w:rPr>
        <w:t>Report</w:t>
      </w:r>
      <w:r w:rsidRPr="00012886">
        <w:rPr>
          <w:sz w:val="18"/>
          <w:lang w:eastAsia="ja-JP"/>
        </w:rPr>
        <w:t>”</w:t>
      </w:r>
      <w:r w:rsidRPr="00012886">
        <w:rPr>
          <w:rFonts w:hint="eastAsia"/>
          <w:sz w:val="18"/>
          <w:lang w:eastAsia="ja-JP"/>
        </w:rPr>
        <w:t xml:space="preserve">, paragraph </w:t>
      </w:r>
      <w:r w:rsidRPr="00012886">
        <w:rPr>
          <w:sz w:val="18"/>
          <w:lang w:eastAsia="ja-JP"/>
        </w:rPr>
        <w:t>9.</w:t>
      </w:r>
    </w:p>
  </w:endnote>
  <w:endnote w:id="11">
    <w:p w:rsidR="0058797E" w:rsidRPr="00012886" w:rsidRDefault="0058797E"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r>
      <w:r w:rsidRPr="00012886">
        <w:rPr>
          <w:rFonts w:hint="eastAsia"/>
          <w:sz w:val="18"/>
          <w:lang w:eastAsia="ja-JP"/>
        </w:rPr>
        <w:t xml:space="preserve">See document </w:t>
      </w:r>
      <w:hyperlink r:id="rId10" w:history="1">
        <w:r w:rsidRPr="00012886">
          <w:rPr>
            <w:rStyle w:val="Hyperlink"/>
            <w:rFonts w:hint="eastAsia"/>
            <w:sz w:val="18"/>
            <w:lang w:eastAsia="ja-JP"/>
          </w:rPr>
          <w:t>UPOV/WG-DEN/</w:t>
        </w:r>
        <w:r w:rsidRPr="00012886">
          <w:rPr>
            <w:rStyle w:val="Hyperlink"/>
            <w:sz w:val="18"/>
            <w:lang w:eastAsia="ja-JP"/>
          </w:rPr>
          <w:t>3</w:t>
        </w:r>
        <w:r w:rsidRPr="00012886">
          <w:rPr>
            <w:rStyle w:val="Hyperlink"/>
            <w:rFonts w:hint="eastAsia"/>
            <w:sz w:val="18"/>
            <w:lang w:eastAsia="ja-JP"/>
          </w:rPr>
          <w:t>/</w:t>
        </w:r>
        <w:r w:rsidRPr="00012886">
          <w:rPr>
            <w:rStyle w:val="Hyperlink"/>
            <w:sz w:val="18"/>
            <w:lang w:eastAsia="ja-JP"/>
          </w:rPr>
          <w:t>3</w:t>
        </w:r>
      </w:hyperlink>
      <w:r w:rsidRPr="00012886">
        <w:rPr>
          <w:rFonts w:hint="eastAsia"/>
          <w:sz w:val="18"/>
          <w:lang w:eastAsia="ja-JP"/>
        </w:rPr>
        <w:t xml:space="preserve"> </w:t>
      </w:r>
      <w:r w:rsidRPr="00012886">
        <w:rPr>
          <w:sz w:val="18"/>
          <w:lang w:eastAsia="ja-JP"/>
        </w:rPr>
        <w:t>“</w:t>
      </w:r>
      <w:r w:rsidRPr="00012886">
        <w:rPr>
          <w:rFonts w:hint="eastAsia"/>
          <w:sz w:val="18"/>
          <w:lang w:eastAsia="ja-JP"/>
        </w:rPr>
        <w:t>Report</w:t>
      </w:r>
      <w:r w:rsidRPr="00012886">
        <w:rPr>
          <w:sz w:val="18"/>
          <w:lang w:eastAsia="ja-JP"/>
        </w:rPr>
        <w:t>”</w:t>
      </w:r>
      <w:r w:rsidRPr="00012886">
        <w:rPr>
          <w:rFonts w:hint="eastAsia"/>
          <w:sz w:val="18"/>
          <w:lang w:eastAsia="ja-JP"/>
        </w:rPr>
        <w:t xml:space="preserve">, paragraph </w:t>
      </w:r>
      <w:r w:rsidRPr="00012886">
        <w:rPr>
          <w:sz w:val="18"/>
          <w:lang w:eastAsia="ja-JP"/>
        </w:rPr>
        <w:t>13.</w:t>
      </w:r>
    </w:p>
  </w:endnote>
  <w:endnote w:id="12">
    <w:p w:rsidR="0058797E" w:rsidRPr="00012886" w:rsidRDefault="0058797E"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t>Proposal by CAJ-AG based on an initial proposal by ESA of June 25, 2014 and submitted by ESA in the reply to UPOV Circular E-15/276 of December 3, 2015 (see document CAJ/72/9 “Report”, paragraph 23(d))</w:t>
      </w:r>
    </w:p>
  </w:endnote>
  <w:endnote w:id="13">
    <w:p w:rsidR="0058797E" w:rsidRPr="00012886" w:rsidRDefault="0058797E"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t>Proposal by CAJ-AG based on an initial proposal by ESA of June 25, 2014 and submitted by ESA in the reply to UPOV Circular E-15/276 of December 3, 2015 (see document CAJ/72/9 “Report”, paragraph 23(d))</w:t>
      </w:r>
    </w:p>
  </w:endnote>
  <w:endnote w:id="14">
    <w:p w:rsidR="0058797E" w:rsidRPr="00C04C22" w:rsidRDefault="0058797E"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t>Proposal by New Zealand in reply to UPOV circular E-15/276 of December 3, 2015 (see document CAJ/72/9</w:t>
      </w:r>
      <w:r w:rsidRPr="00C04C22">
        <w:rPr>
          <w:sz w:val="18"/>
        </w:rPr>
        <w:t xml:space="preserve"> “Report”, paragraph 23 (d))</w:t>
      </w:r>
    </w:p>
  </w:endnote>
  <w:endnote w:id="15">
    <w:p w:rsidR="0058797E" w:rsidRDefault="0058797E" w:rsidP="004E5448">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hyperlink r:id="rId11" w:history="1">
        <w:r w:rsidRPr="008A736E">
          <w:rPr>
            <w:rStyle w:val="Hyperlink"/>
            <w:rFonts w:hint="eastAsia"/>
            <w:sz w:val="18"/>
          </w:rPr>
          <w:t>UPOV/WG-DE</w:t>
        </w:r>
        <w:bookmarkStart w:id="25" w:name="_GoBack"/>
        <w:bookmarkEnd w:id="25"/>
        <w:r w:rsidRPr="008A736E">
          <w:rPr>
            <w:rStyle w:val="Hyperlink"/>
            <w:rFonts w:hint="eastAsia"/>
            <w:sz w:val="18"/>
          </w:rPr>
          <w:t>N/1/6</w:t>
        </w:r>
      </w:hyperlink>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paragraph 45</w:t>
      </w:r>
      <w:r w:rsidRPr="008A736E">
        <w:rPr>
          <w:sz w:val="18"/>
        </w:rPr>
        <w:t>.</w:t>
      </w:r>
    </w:p>
    <w:p w:rsidR="0058797E" w:rsidRDefault="0058797E" w:rsidP="004E5448">
      <w:pPr>
        <w:spacing w:before="60"/>
        <w:ind w:left="284" w:hanging="284"/>
        <w:rPr>
          <w:sz w:val="18"/>
        </w:rPr>
      </w:pPr>
    </w:p>
    <w:p w:rsidR="0058797E" w:rsidRDefault="0058797E" w:rsidP="00554286">
      <w:pPr>
        <w:keepNext/>
        <w:ind w:left="851" w:hanging="851"/>
        <w:rPr>
          <w:rFonts w:eastAsia="MS Mincho" w:cs="Arial"/>
          <w:i/>
          <w:lang w:eastAsia="ja-JP"/>
        </w:rPr>
      </w:pPr>
    </w:p>
    <w:p w:rsidR="0058797E" w:rsidRPr="00AF7D68" w:rsidRDefault="0058797E" w:rsidP="00554286">
      <w:pPr>
        <w:ind w:left="851" w:hanging="851"/>
        <w:jc w:val="center"/>
        <w:rPr>
          <w:rFonts w:eastAsia="MS Mincho" w:cs="Arial"/>
          <w:i/>
          <w:lang w:eastAsia="ja-JP"/>
        </w:rPr>
      </w:pPr>
    </w:p>
    <w:p w:rsidR="0058797E" w:rsidRDefault="0058797E" w:rsidP="004E5448">
      <w:pPr>
        <w:spacing w:before="60"/>
        <w:ind w:left="284" w:hanging="284"/>
        <w:rPr>
          <w:sz w:val="18"/>
          <w:szCs w:val="18"/>
        </w:rPr>
      </w:pPr>
    </w:p>
    <w:p w:rsidR="0058797E" w:rsidRPr="00CF3A82" w:rsidRDefault="0058797E" w:rsidP="00554286">
      <w:pPr>
        <w:spacing w:before="60"/>
        <w:ind w:left="284" w:hanging="284"/>
        <w:jc w:val="right"/>
      </w:pPr>
      <w:r w:rsidRPr="00CF3A82">
        <w:t xml:space="preserve">[End of </w:t>
      </w:r>
      <w:r w:rsidR="00CF3A82">
        <w:t>document</w:t>
      </w:r>
      <w:r w:rsidRPr="00CF3A8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F8058C" w:rsidRDefault="0058797E">
    <w:pPr>
      <w:pStyle w:val="Footer"/>
      <w:rPr>
        <w:sz w:val="16"/>
      </w:rPr>
    </w:pPr>
    <w:r>
      <w:rPr>
        <w:sz w:val="16"/>
      </w:rPr>
      <w:fldChar w:fldCharType="begin"/>
    </w:r>
    <w:r>
      <w:rPr>
        <w:sz w:val="16"/>
      </w:rPr>
      <w:instrText xml:space="preserve"> FILENAME \* Lower\p  \* MERGEFORMAT </w:instrText>
    </w:r>
    <w:r>
      <w:rPr>
        <w:sz w:val="16"/>
      </w:rPr>
      <w:fldChar w:fldCharType="separate"/>
    </w:r>
    <w:r w:rsidR="00D46C27">
      <w:rPr>
        <w:noProof/>
        <w:sz w:val="16"/>
      </w:rPr>
      <w:t>n:\orgupov\shared\document\information_materials\inf_12_variety denominations\_upov_drafts\upov_inf_12_6_draft_04_en.docx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52466B" w:rsidRDefault="0058797E" w:rsidP="00893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7E" w:rsidRDefault="0058797E" w:rsidP="004E5448">
      <w:pPr>
        <w:spacing w:before="240"/>
      </w:pPr>
      <w:r>
        <w:separator/>
      </w:r>
    </w:p>
  </w:footnote>
  <w:footnote w:type="continuationSeparator" w:id="0">
    <w:p w:rsidR="0058797E" w:rsidRDefault="0058797E" w:rsidP="00893C7D">
      <w:r>
        <w:continuationSeparator/>
      </w:r>
    </w:p>
  </w:footnote>
  <w:footnote w:id="1">
    <w:p w:rsidR="0058797E" w:rsidRDefault="0058797E" w:rsidP="00893C7D">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58797E" w:rsidRDefault="0058797E" w:rsidP="00893C7D">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58797E" w:rsidRDefault="0058797E" w:rsidP="00893C7D">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58797E" w:rsidRPr="00DE1471" w:rsidRDefault="0058797E" w:rsidP="007A1DCC">
      <w:pPr>
        <w:pStyle w:val="FootnoteText"/>
        <w:ind w:left="1134"/>
        <w:rPr>
          <w:rStyle w:val="FootnoteTextChar"/>
        </w:rPr>
      </w:pPr>
      <w:r w:rsidRPr="00DE1471">
        <w:rPr>
          <w:rStyle w:val="FootnoteTextChar"/>
          <w:u w:val="single"/>
        </w:rPr>
        <w:t>Proper Use of Trademarks</w:t>
      </w:r>
    </w:p>
    <w:p w:rsidR="0058797E" w:rsidRPr="00DE1471" w:rsidRDefault="0058797E" w:rsidP="00893C7D">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58797E" w:rsidRPr="00DE1471" w:rsidRDefault="0058797E" w:rsidP="00893C7D">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58797E" w:rsidRPr="00DE1471" w:rsidRDefault="0058797E" w:rsidP="00893C7D">
      <w:pPr>
        <w:pStyle w:val="FootnoteText"/>
        <w:tabs>
          <w:tab w:val="left" w:pos="851"/>
        </w:tabs>
        <w:ind w:firstLine="0"/>
      </w:pPr>
      <w:r w:rsidRPr="00DE1471">
        <w:t>2.400</w:t>
      </w:r>
      <w:r w:rsidRPr="00DE1471">
        <w:tab/>
        <w:t>The basic rule is that the trademark should not be used as, or instead of, the product designation.  [...]</w:t>
      </w:r>
    </w:p>
    <w:p w:rsidR="0058797E" w:rsidRPr="00DE1471" w:rsidRDefault="0058797E" w:rsidP="00893C7D">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58797E" w:rsidRDefault="0058797E" w:rsidP="00893C7D">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58797E" w:rsidRDefault="0058797E" w:rsidP="00893C7D">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6">
    <w:p w:rsidR="0058797E" w:rsidRDefault="0058797E" w:rsidP="00893C7D">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58797E" w:rsidRDefault="0058797E" w:rsidP="00893C7D">
      <w:pPr>
        <w:pStyle w:val="FootnoteText"/>
      </w:pPr>
      <w:r>
        <w:rPr>
          <w:rStyle w:val="FootnoteReference"/>
        </w:rPr>
        <w:footnoteRef/>
      </w:r>
      <w:r>
        <w:t xml:space="preserve"> </w:t>
      </w:r>
      <w:r>
        <w:tab/>
        <w:t>Article 8 of the Paris Convention.</w:t>
      </w:r>
    </w:p>
  </w:footnote>
  <w:footnote w:id="8">
    <w:p w:rsidR="0058797E" w:rsidRDefault="0058797E" w:rsidP="00893C7D">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58797E" w:rsidRDefault="0058797E" w:rsidP="00893C7D">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58797E" w:rsidRPr="00917B01" w:rsidRDefault="0058797E" w:rsidP="00893C7D">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Default="0058797E">
    <w:pPr>
      <w:jc w:val="center"/>
      <w:rPr>
        <w:b/>
        <w:lang w:eastAsia="ja-JP"/>
      </w:rPr>
    </w:pPr>
    <w:r>
      <w:t>UPOV/INF/12/6 Draft 4</w:t>
    </w:r>
  </w:p>
  <w:p w:rsidR="0058797E" w:rsidRDefault="0058797E">
    <w:pPr>
      <w:jc w:val="center"/>
    </w:pPr>
    <w:r>
      <w:t xml:space="preserve">page </w:t>
    </w:r>
    <w:r>
      <w:fldChar w:fldCharType="begin"/>
    </w:r>
    <w:r>
      <w:instrText xml:space="preserve"> PAGE  \* MERGEFORMAT </w:instrText>
    </w:r>
    <w:r>
      <w:fldChar w:fldCharType="separate"/>
    </w:r>
    <w:r w:rsidR="00FD5299">
      <w:rPr>
        <w:noProof/>
      </w:rPr>
      <w:t>16</w:t>
    </w:r>
    <w:r>
      <w:fldChar w:fldCharType="end"/>
    </w:r>
  </w:p>
  <w:p w:rsidR="0058797E" w:rsidRDefault="0058797E">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Default="0058797E" w:rsidP="00893C7D">
    <w:pPr>
      <w:jc w:val="center"/>
      <w:rPr>
        <w:lang w:eastAsia="ja-JP"/>
      </w:rPr>
    </w:pPr>
    <w:r>
      <w:t>UPOV/INF/12/6 Draft 4</w:t>
    </w:r>
  </w:p>
  <w:p w:rsidR="0058797E" w:rsidRPr="00527219" w:rsidRDefault="0058797E" w:rsidP="00893C7D">
    <w:pPr>
      <w:jc w:val="center"/>
      <w:rPr>
        <w:lang w:eastAsia="ja-JP"/>
      </w:rPr>
    </w:pPr>
  </w:p>
  <w:p w:rsidR="0058797E" w:rsidRDefault="0058797E">
    <w:pPr>
      <w:jc w:val="center"/>
      <w:rPr>
        <w:lang w:eastAsia="ja-JP"/>
      </w:rPr>
    </w:pPr>
    <w:r>
      <w:t>ENDNOTES</w:t>
    </w:r>
  </w:p>
  <w:p w:rsidR="0058797E" w:rsidRDefault="0058797E">
    <w:pPr>
      <w:jc w:val="center"/>
    </w:pPr>
  </w:p>
  <w:p w:rsidR="0058797E" w:rsidRDefault="0058797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527219" w:rsidRDefault="0058797E" w:rsidP="00893C7D">
    <w:pPr>
      <w:jc w:val="center"/>
    </w:pPr>
    <w:r>
      <w:t>UPOV/INF/12/6 Draft 4</w:t>
    </w:r>
  </w:p>
  <w:p w:rsidR="0058797E" w:rsidRDefault="0058797E">
    <w:pPr>
      <w:jc w:val="center"/>
    </w:pPr>
    <w:r>
      <w:t xml:space="preserve">Annex I, page </w:t>
    </w:r>
    <w:r>
      <w:fldChar w:fldCharType="begin"/>
    </w:r>
    <w:r>
      <w:instrText xml:space="preserve"> PAGE  \* MERGEFORMAT </w:instrText>
    </w:r>
    <w:r>
      <w:fldChar w:fldCharType="separate"/>
    </w:r>
    <w:r w:rsidR="00FD5299">
      <w:rPr>
        <w:noProof/>
      </w:rPr>
      <w:t>3</w:t>
    </w:r>
    <w:r>
      <w:fldChar w:fldCharType="end"/>
    </w:r>
  </w:p>
  <w:p w:rsidR="0058797E" w:rsidRPr="00B62109" w:rsidRDefault="0058797E" w:rsidP="00893C7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527219" w:rsidRDefault="0058797E" w:rsidP="00893C7D">
    <w:pPr>
      <w:jc w:val="center"/>
    </w:pPr>
    <w:r>
      <w:t>UPOV/INF/12/6 Draft 4</w:t>
    </w:r>
  </w:p>
  <w:p w:rsidR="0058797E" w:rsidRPr="00527219" w:rsidRDefault="0058797E" w:rsidP="00893C7D">
    <w:pPr>
      <w:jc w:val="center"/>
    </w:pPr>
  </w:p>
  <w:p w:rsidR="0058797E" w:rsidRPr="00527219" w:rsidRDefault="0058797E" w:rsidP="00893C7D">
    <w:pPr>
      <w:jc w:val="center"/>
    </w:pPr>
    <w:r w:rsidRPr="00527219">
      <w:t>ANNEX I</w:t>
    </w:r>
  </w:p>
  <w:p w:rsidR="0058797E" w:rsidRPr="00527219" w:rsidRDefault="0058797E" w:rsidP="00893C7D">
    <w:pPr>
      <w:jc w:val="center"/>
    </w:pPr>
  </w:p>
  <w:p w:rsidR="0058797E" w:rsidRPr="00A424A9" w:rsidRDefault="0058797E" w:rsidP="00893C7D">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B62109" w:rsidRDefault="0058797E">
    <w:pPr>
      <w:jc w:val="center"/>
      <w:rPr>
        <w:b/>
        <w:lang w:val="fr-FR"/>
      </w:rPr>
    </w:pPr>
    <w:r w:rsidRPr="00B62109">
      <w:rPr>
        <w:lang w:val="fr-FR"/>
      </w:rPr>
      <w:t>UPOV/INF/12/4</w:t>
    </w:r>
  </w:p>
  <w:p w:rsidR="0058797E" w:rsidRPr="00B62109" w:rsidRDefault="0058797E">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sidR="00D46C27">
      <w:rPr>
        <w:noProof/>
        <w:lang w:val="fr-FR"/>
      </w:rPr>
      <w:t>16</w:t>
    </w:r>
    <w:r>
      <w:fldChar w:fldCharType="end"/>
    </w:r>
  </w:p>
  <w:p w:rsidR="0058797E" w:rsidRPr="00B62109" w:rsidRDefault="0058797E">
    <w:pPr>
      <w:jc w:val="center"/>
      <w:rPr>
        <w:szCs w:val="24"/>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527219" w:rsidRDefault="0058797E" w:rsidP="00893C7D">
    <w:pPr>
      <w:jc w:val="center"/>
    </w:pPr>
    <w:r>
      <w:t>UPOV/INF/12/6 Draft 4</w:t>
    </w:r>
  </w:p>
  <w:p w:rsidR="0058797E" w:rsidRDefault="0058797E">
    <w:pPr>
      <w:jc w:val="center"/>
    </w:pPr>
  </w:p>
  <w:p w:rsidR="0058797E" w:rsidRDefault="0058797E">
    <w:pPr>
      <w:jc w:val="center"/>
    </w:pPr>
    <w:r>
      <w:t>ANNEX II</w:t>
    </w:r>
  </w:p>
  <w:p w:rsidR="0058797E" w:rsidRDefault="0058797E">
    <w:pPr>
      <w:jc w:val="center"/>
    </w:pPr>
  </w:p>
  <w:p w:rsidR="0058797E" w:rsidRDefault="0058797E">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F106BE" w:rsidRDefault="0058797E" w:rsidP="00893C7D">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9929A5" w:rsidRDefault="0058797E" w:rsidP="00893C7D">
    <w:pPr>
      <w:pStyle w:val="Header"/>
      <w:rPr>
        <w:rFonts w:cs="Arial"/>
      </w:rPr>
    </w:pPr>
    <w:r>
      <w:rPr>
        <w:rFonts w:cs="Arial"/>
      </w:rPr>
      <w:t>UPOV/INF/12/6 Draft 1</w:t>
    </w:r>
  </w:p>
  <w:p w:rsidR="0058797E" w:rsidRPr="009929A5" w:rsidRDefault="0058797E"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46C27">
      <w:rPr>
        <w:rStyle w:val="PageNumber"/>
        <w:rFonts w:cs="Arial"/>
        <w:noProof/>
      </w:rPr>
      <w:t>16</w:t>
    </w:r>
    <w:r w:rsidRPr="009929A5">
      <w:rPr>
        <w:rStyle w:val="PageNumber"/>
        <w:rFonts w:cs="Arial"/>
      </w:rPr>
      <w:fldChar w:fldCharType="end"/>
    </w:r>
  </w:p>
  <w:p w:rsidR="0058797E" w:rsidRPr="009929A5" w:rsidRDefault="0058797E" w:rsidP="00893C7D">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527219" w:rsidRDefault="0058797E" w:rsidP="00893C7D">
    <w:pPr>
      <w:jc w:val="center"/>
    </w:pPr>
    <w:r>
      <w:t>UPOV/INF/12/6 Draft 4</w:t>
    </w:r>
  </w:p>
  <w:p w:rsidR="0058797E" w:rsidRDefault="0058797E">
    <w:pPr>
      <w:jc w:val="center"/>
      <w:rPr>
        <w:lang w:eastAsia="ja-JP"/>
      </w:rPr>
    </w:pPr>
    <w:r>
      <w:t>A</w:t>
    </w:r>
    <w:r>
      <w:rPr>
        <w:rFonts w:hint="eastAsia"/>
        <w:lang w:eastAsia="ja-JP"/>
      </w:rPr>
      <w:t>nnex</w:t>
    </w:r>
    <w:r>
      <w:t xml:space="preserve"> II</w:t>
    </w:r>
    <w:r>
      <w:rPr>
        <w:rFonts w:hint="eastAsia"/>
        <w:lang w:eastAsia="ja-JP"/>
      </w:rPr>
      <w:t>, page 2</w:t>
    </w:r>
  </w:p>
  <w:p w:rsidR="0058797E" w:rsidRDefault="0058797E">
    <w:pPr>
      <w:jc w:val="center"/>
    </w:pPr>
  </w:p>
  <w:p w:rsidR="0058797E" w:rsidRDefault="0058797E">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7E" w:rsidRPr="00C5280D" w:rsidRDefault="0058797E" w:rsidP="00893C7D">
    <w:pPr>
      <w:pStyle w:val="Header"/>
      <w:rPr>
        <w:rStyle w:val="PageNumber"/>
        <w:lang w:val="en-US"/>
      </w:rPr>
    </w:pPr>
    <w:r>
      <w:rPr>
        <w:rStyle w:val="PageNumber"/>
        <w:lang w:val="en-US"/>
      </w:rPr>
      <w:t>UPOV/INF/</w:t>
    </w:r>
    <w:r>
      <w:t>12/6 Draft 4</w:t>
    </w:r>
  </w:p>
  <w:p w:rsidR="0058797E" w:rsidRPr="00C5280D" w:rsidRDefault="0058797E" w:rsidP="00893C7D">
    <w:pPr>
      <w:pStyle w:val="Header"/>
      <w:rPr>
        <w:lang w:val="en-US"/>
      </w:rPr>
    </w:pPr>
    <w:r>
      <w:rPr>
        <w:lang w:val="en-US"/>
      </w:rPr>
      <w:t xml:space="preserve">Endnotes,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6C27">
      <w:rPr>
        <w:rStyle w:val="PageNumber"/>
        <w:noProof/>
        <w:lang w:val="en-US"/>
      </w:rPr>
      <w:t>16</w:t>
    </w:r>
    <w:r w:rsidRPr="00C5280D">
      <w:rPr>
        <w:rStyle w:val="PageNumber"/>
        <w:lang w:val="en-US"/>
      </w:rPr>
      <w:fldChar w:fldCharType="end"/>
    </w:r>
  </w:p>
  <w:p w:rsidR="0058797E" w:rsidRPr="00C5280D" w:rsidRDefault="0058797E" w:rsidP="00893C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5"/>
  </w:num>
  <w:num w:numId="3">
    <w:abstractNumId w:val="0"/>
  </w:num>
  <w:num w:numId="4">
    <w:abstractNumId w:val="6"/>
  </w:num>
  <w:num w:numId="5">
    <w:abstractNumId w:val="3"/>
  </w:num>
  <w:num w:numId="6">
    <w:abstractNumId w:val="4"/>
  </w:num>
  <w:num w:numId="7">
    <w:abstractNumId w:val="9"/>
  </w:num>
  <w:num w:numId="8">
    <w:abstractNumId w:val="11"/>
  </w:num>
  <w:num w:numId="9">
    <w:abstractNumId w:val="7"/>
  </w:num>
  <w:num w:numId="10">
    <w:abstractNumId w:val="2"/>
  </w:num>
  <w:num w:numId="11">
    <w:abstractNumId w:val="1"/>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7D"/>
    <w:rsid w:val="00000531"/>
    <w:rsid w:val="00002775"/>
    <w:rsid w:val="000031A2"/>
    <w:rsid w:val="00004E4E"/>
    <w:rsid w:val="00005853"/>
    <w:rsid w:val="0000682E"/>
    <w:rsid w:val="00006D0B"/>
    <w:rsid w:val="00007C29"/>
    <w:rsid w:val="000100CA"/>
    <w:rsid w:val="00010D9E"/>
    <w:rsid w:val="000119CD"/>
    <w:rsid w:val="000126EB"/>
    <w:rsid w:val="00012886"/>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275"/>
    <w:rsid w:val="002E0B31"/>
    <w:rsid w:val="002E1869"/>
    <w:rsid w:val="002E1F19"/>
    <w:rsid w:val="002E216C"/>
    <w:rsid w:val="002E3CF7"/>
    <w:rsid w:val="002E4C89"/>
    <w:rsid w:val="002E6475"/>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11F"/>
    <w:rsid w:val="00330C10"/>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8F3"/>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4286"/>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98B"/>
    <w:rsid w:val="00577CFB"/>
    <w:rsid w:val="005806A7"/>
    <w:rsid w:val="00582B03"/>
    <w:rsid w:val="00583EF7"/>
    <w:rsid w:val="00584962"/>
    <w:rsid w:val="00584FDE"/>
    <w:rsid w:val="0058503C"/>
    <w:rsid w:val="005853AF"/>
    <w:rsid w:val="0058797E"/>
    <w:rsid w:val="00587BE6"/>
    <w:rsid w:val="0059000E"/>
    <w:rsid w:val="00590D24"/>
    <w:rsid w:val="00591010"/>
    <w:rsid w:val="00591AA0"/>
    <w:rsid w:val="00592C5D"/>
    <w:rsid w:val="00593AF1"/>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C7B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FA8"/>
    <w:rsid w:val="006A1CD0"/>
    <w:rsid w:val="006A46EF"/>
    <w:rsid w:val="006A4E70"/>
    <w:rsid w:val="006A59E4"/>
    <w:rsid w:val="006B03E2"/>
    <w:rsid w:val="006B0539"/>
    <w:rsid w:val="006B1269"/>
    <w:rsid w:val="006B26A6"/>
    <w:rsid w:val="006B3AEC"/>
    <w:rsid w:val="006B465E"/>
    <w:rsid w:val="006B61BA"/>
    <w:rsid w:val="006B67A8"/>
    <w:rsid w:val="006B6B11"/>
    <w:rsid w:val="006C07B7"/>
    <w:rsid w:val="006C0802"/>
    <w:rsid w:val="006C1930"/>
    <w:rsid w:val="006C1E31"/>
    <w:rsid w:val="006C29B5"/>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667A"/>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95"/>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2B00"/>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CED"/>
    <w:rsid w:val="00A1675F"/>
    <w:rsid w:val="00A17B6A"/>
    <w:rsid w:val="00A20156"/>
    <w:rsid w:val="00A2125C"/>
    <w:rsid w:val="00A22318"/>
    <w:rsid w:val="00A24E0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6AC"/>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671"/>
    <w:rsid w:val="00CF2E0A"/>
    <w:rsid w:val="00CF3A82"/>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56E"/>
    <w:rsid w:val="00D40629"/>
    <w:rsid w:val="00D40E18"/>
    <w:rsid w:val="00D42106"/>
    <w:rsid w:val="00D4281A"/>
    <w:rsid w:val="00D432B0"/>
    <w:rsid w:val="00D43DBA"/>
    <w:rsid w:val="00D46272"/>
    <w:rsid w:val="00D46775"/>
    <w:rsid w:val="00D46C27"/>
    <w:rsid w:val="00D51156"/>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06BE"/>
    <w:rsid w:val="00D73E3E"/>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281E"/>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1FD"/>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31A"/>
    <w:rsid w:val="00FC5939"/>
    <w:rsid w:val="00FC619B"/>
    <w:rsid w:val="00FC64C4"/>
    <w:rsid w:val="00FC773B"/>
    <w:rsid w:val="00FC7DBB"/>
    <w:rsid w:val="00FC7E69"/>
    <w:rsid w:val="00FD00EA"/>
    <w:rsid w:val="00FD38D5"/>
    <w:rsid w:val="00FD4EBC"/>
    <w:rsid w:val="00FD5299"/>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DCC"/>
  </w:style>
  <w:style w:type="paragraph" w:styleId="Heading1">
    <w:name w:val="heading 1"/>
    <w:basedOn w:val="Normal"/>
    <w:next w:val="Normal"/>
    <w:autoRedefine/>
    <w:qFormat/>
    <w:rsid w:val="00E3281E"/>
    <w:pPr>
      <w:keepNext/>
      <w:jc w:val="center"/>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6A4E70"/>
    <w:pPr>
      <w:spacing w:before="60"/>
      <w:ind w:left="567" w:hanging="567"/>
    </w:pPr>
    <w:rPr>
      <w:sz w:val="16"/>
    </w:rPr>
  </w:style>
  <w:style w:type="character" w:customStyle="1" w:styleId="FootnoteTextChar">
    <w:name w:val="Footnote Text Char"/>
    <w:basedOn w:val="DefaultParagraphFont"/>
    <w:link w:val="FootnoteText"/>
    <w:rsid w:val="00893C7D"/>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customStyle="1" w:styleId="HTMLPreformattedChar">
    <w:name w:val="HTML Preformatted Char"/>
    <w:basedOn w:val="DefaultParagraphFont"/>
    <w:link w:val="HTMLPreformatted"/>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rFonts w:eastAsia="MS Mincho"/>
      <w:szCs w:val="24"/>
      <w:lang w:eastAsia="ja-JP"/>
    </w:rPr>
  </w:style>
  <w:style w:type="paragraph" w:styleId="ListParagraph">
    <w:name w:val="List Paragraph"/>
    <w:basedOn w:val="Normal"/>
    <w:uiPriority w:val="34"/>
    <w:qFormat/>
    <w:rsid w:val="00893C7D"/>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DCC"/>
  </w:style>
  <w:style w:type="paragraph" w:styleId="Heading1">
    <w:name w:val="heading 1"/>
    <w:basedOn w:val="Normal"/>
    <w:next w:val="Normal"/>
    <w:autoRedefine/>
    <w:qFormat/>
    <w:rsid w:val="00E3281E"/>
    <w:pPr>
      <w:keepNext/>
      <w:jc w:val="center"/>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6A4E70"/>
    <w:pPr>
      <w:spacing w:before="60"/>
      <w:ind w:left="567" w:hanging="567"/>
    </w:pPr>
    <w:rPr>
      <w:sz w:val="16"/>
    </w:rPr>
  </w:style>
  <w:style w:type="character" w:customStyle="1" w:styleId="FootnoteTextChar">
    <w:name w:val="Footnote Text Char"/>
    <w:basedOn w:val="DefaultParagraphFont"/>
    <w:link w:val="FootnoteText"/>
    <w:rsid w:val="00893C7D"/>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customStyle="1" w:styleId="HTMLPreformattedChar">
    <w:name w:val="HTML Preformatted Char"/>
    <w:basedOn w:val="DefaultParagraphFont"/>
    <w:link w:val="HTMLPreformatted"/>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rFonts w:eastAsia="MS Mincho"/>
      <w:szCs w:val="24"/>
      <w:lang w:eastAsia="ja-JP"/>
    </w:rPr>
  </w:style>
  <w:style w:type="paragraph" w:styleId="ListParagraph">
    <w:name w:val="List Paragraph"/>
    <w:basedOn w:val="Normal"/>
    <w:uiPriority w:val="34"/>
    <w:qFormat/>
    <w:rsid w:val="00893C7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edocs/mdocs/upov/en/upov_wg_den_4/upov_wg_den_4_2.pdf"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upov.int/edocs/mdocs/upov/en/upov_wg_den_4/upov_wg_den_4_2.pdf"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upov_wg_den_4/upov_wg_den_4_2.pdf"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upov.int/edocs/mdocs/upov/en/upov_wg_den_4/upov_wg_den_4_2.pdf"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upov.int/edocs/mdocs/upov/en/upov_wg_den_4/upov_wg_den_4_2.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en/" TargetMode="External"/><Relationship Id="rId22" Type="http://schemas.openxmlformats.org/officeDocument/2006/relationships/header" Target="header5.xml"/><Relationship Id="rId27" Type="http://schemas.openxmlformats.org/officeDocument/2006/relationships/header" Target="header10.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upov_wg_den_3/upov_wg_den_3_3.pdf" TargetMode="External"/><Relationship Id="rId3" Type="http://schemas.openxmlformats.org/officeDocument/2006/relationships/hyperlink" Target="http://www.upov.int/edocs/mdocs/upov/en/upov_wg_den_2/upov_wg_den_2_4.pdf" TargetMode="External"/><Relationship Id="rId7" Type="http://schemas.openxmlformats.org/officeDocument/2006/relationships/hyperlink" Target="http://www.upov.int/edocs/mdocs/upov/en/upov_wg_den_1/upov_wg_den_1_6.pdf" TargetMode="External"/><Relationship Id="rId2" Type="http://schemas.openxmlformats.org/officeDocument/2006/relationships/hyperlink" Target="http://www.upov.int/edocs/mdocs/upov/en/upov_wg_den_3/upov_wg_den_3_3.pdf" TargetMode="External"/><Relationship Id="rId1" Type="http://schemas.openxmlformats.org/officeDocument/2006/relationships/hyperlink" Target="http://www.upov.int/edocs/mdocs/upov/en/upov_wg_den_3/upov_wg_den_3_3.pdf" TargetMode="External"/><Relationship Id="rId6" Type="http://schemas.openxmlformats.org/officeDocument/2006/relationships/hyperlink" Target="http://www.upov.int/edocs/mdocs/upov/en/upov_wg_den_1/upov_wg_den_1_6.pdf" TargetMode="External"/><Relationship Id="rId11" Type="http://schemas.openxmlformats.org/officeDocument/2006/relationships/hyperlink" Target="http://www.upov.int/edocs/mdocs/upov/en/upov_wg_den_1/upov_wg_den_1_6.pdf" TargetMode="External"/><Relationship Id="rId5" Type="http://schemas.openxmlformats.org/officeDocument/2006/relationships/hyperlink" Target="http://www.upov.int/edocs/mdocs/upov/en/upov_wg_den_1/upov_wg_den_1_6.pdf" TargetMode="External"/><Relationship Id="rId10" Type="http://schemas.openxmlformats.org/officeDocument/2006/relationships/hyperlink" Target="http://www.upov.int/edocs/mdocs/upov/en/upov_wg_den_3/upov_wg_den_3_3.pdf" TargetMode="External"/><Relationship Id="rId4" Type="http://schemas.openxmlformats.org/officeDocument/2006/relationships/hyperlink" Target="http://www.upov.int/edocs/mdocs/upov/en/upov_wg_den_1/upov_wg_den_1_6.pdf" TargetMode="External"/><Relationship Id="rId9" Type="http://schemas.openxmlformats.org/officeDocument/2006/relationships/hyperlink" Target="http://www.upov.int/edocs/mdocs/upov/en/upov_wg_den_3/upov_wg_den_3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60A0-7D67-4A1E-A15B-95446934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22</Pages>
  <Words>7787</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11</cp:revision>
  <cp:lastPrinted>2017-09-29T16:26:00Z</cp:lastPrinted>
  <dcterms:created xsi:type="dcterms:W3CDTF">2017-09-28T15:25:00Z</dcterms:created>
  <dcterms:modified xsi:type="dcterms:W3CDTF">2017-09-29T16:34:00Z</dcterms:modified>
</cp:coreProperties>
</file>