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B600C" w:rsidTr="00EB4E9C">
        <w:tc>
          <w:tcPr>
            <w:tcW w:w="6522" w:type="dxa"/>
          </w:tcPr>
          <w:p w:rsidR="00DC3802" w:rsidRPr="001B600C" w:rsidRDefault="00DC3802" w:rsidP="00FD02CA">
            <w:r w:rsidRPr="001B600C">
              <w:rPr>
                <w:noProof/>
              </w:rPr>
              <w:drawing>
                <wp:inline distT="0" distB="0" distL="0" distR="0" wp14:anchorId="346FB89F" wp14:editId="3D0A6BC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B600C" w:rsidRDefault="00DC3802" w:rsidP="00FD02CA">
            <w:pPr>
              <w:pStyle w:val="Lettrine"/>
            </w:pPr>
            <w:r w:rsidRPr="001B600C">
              <w:t>E</w:t>
            </w:r>
          </w:p>
        </w:tc>
      </w:tr>
      <w:tr w:rsidR="00DC3802" w:rsidRPr="001B600C" w:rsidTr="00645CA8">
        <w:trPr>
          <w:trHeight w:val="219"/>
        </w:trPr>
        <w:tc>
          <w:tcPr>
            <w:tcW w:w="6522" w:type="dxa"/>
          </w:tcPr>
          <w:p w:rsidR="00DC3802" w:rsidRPr="001B600C" w:rsidRDefault="00DC3802" w:rsidP="00FD02CA">
            <w:pPr>
              <w:pStyle w:val="upove"/>
            </w:pPr>
            <w:r w:rsidRPr="001B600C">
              <w:t>International Union for the Protection of New Varieties of Plants</w:t>
            </w:r>
          </w:p>
        </w:tc>
        <w:tc>
          <w:tcPr>
            <w:tcW w:w="3117" w:type="dxa"/>
          </w:tcPr>
          <w:p w:rsidR="00DC3802" w:rsidRPr="001B600C" w:rsidRDefault="00DC3802" w:rsidP="00FD02CA"/>
        </w:tc>
      </w:tr>
    </w:tbl>
    <w:p w:rsidR="00DC3802" w:rsidRPr="001B600C" w:rsidRDefault="00DC3802" w:rsidP="00FD02CA"/>
    <w:p w:rsidR="00DA4973" w:rsidRPr="001B600C" w:rsidRDefault="00DA4973" w:rsidP="00FD02C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76699" w:rsidRPr="001B600C" w:rsidTr="005B5BE3">
        <w:tc>
          <w:tcPr>
            <w:tcW w:w="6512" w:type="dxa"/>
          </w:tcPr>
          <w:p w:rsidR="00276699" w:rsidRPr="001B600C" w:rsidRDefault="00276699" w:rsidP="005B5BE3">
            <w:pPr>
              <w:pStyle w:val="Sessiontc"/>
              <w:spacing w:line="240" w:lineRule="auto"/>
            </w:pPr>
            <w:r w:rsidRPr="001B600C">
              <w:t>Meeting on the development of a prototype electronic form</w:t>
            </w:r>
          </w:p>
          <w:p w:rsidR="00276699" w:rsidRPr="001B600C" w:rsidRDefault="00276699" w:rsidP="001B600C">
            <w:pPr>
              <w:pStyle w:val="Sessiontcplacedate"/>
              <w:spacing w:before="300"/>
              <w:rPr>
                <w:sz w:val="22"/>
              </w:rPr>
            </w:pPr>
            <w:r w:rsidRPr="001B600C">
              <w:t>Ninth Meeting</w:t>
            </w:r>
            <w:r w:rsidRPr="001B600C">
              <w:br/>
              <w:t>Geneva, April 7, 2017</w:t>
            </w:r>
          </w:p>
        </w:tc>
        <w:tc>
          <w:tcPr>
            <w:tcW w:w="3127" w:type="dxa"/>
          </w:tcPr>
          <w:p w:rsidR="00276699" w:rsidRPr="001B600C" w:rsidRDefault="006B3305" w:rsidP="001B600C">
            <w:pPr>
              <w:pStyle w:val="Doccode"/>
              <w:spacing w:before="40"/>
            </w:pPr>
            <w:r>
              <w:t>UPOV/EAF/9/3</w:t>
            </w:r>
          </w:p>
          <w:p w:rsidR="00276699" w:rsidRPr="001B600C" w:rsidRDefault="00276699" w:rsidP="001B600C">
            <w:pPr>
              <w:pStyle w:val="Docoriginal"/>
              <w:tabs>
                <w:tab w:val="left" w:pos="1965"/>
              </w:tabs>
              <w:spacing w:line="280" w:lineRule="exact"/>
            </w:pPr>
            <w:r w:rsidRPr="001B600C">
              <w:t>Original:</w:t>
            </w:r>
            <w:r w:rsidRPr="001B600C">
              <w:rPr>
                <w:b w:val="0"/>
                <w:spacing w:val="0"/>
              </w:rPr>
              <w:t xml:space="preserve">  English</w:t>
            </w:r>
          </w:p>
          <w:p w:rsidR="00276699" w:rsidRPr="001B600C" w:rsidRDefault="00276699" w:rsidP="006B3305">
            <w:pPr>
              <w:pStyle w:val="Docoriginal"/>
            </w:pPr>
            <w:r w:rsidRPr="001B600C">
              <w:t>Date:</w:t>
            </w:r>
            <w:r w:rsidRPr="001B600C">
              <w:rPr>
                <w:b w:val="0"/>
                <w:spacing w:val="0"/>
              </w:rPr>
              <w:t xml:space="preserve">  </w:t>
            </w:r>
            <w:r w:rsidR="006B3305">
              <w:rPr>
                <w:b w:val="0"/>
                <w:spacing w:val="0"/>
              </w:rPr>
              <w:t>October 9</w:t>
            </w:r>
            <w:r w:rsidR="00FE2AA0" w:rsidRPr="001B600C">
              <w:rPr>
                <w:b w:val="0"/>
                <w:spacing w:val="0"/>
              </w:rPr>
              <w:t>, 2017</w:t>
            </w:r>
          </w:p>
        </w:tc>
      </w:tr>
    </w:tbl>
    <w:p w:rsidR="000D7780" w:rsidRPr="001B600C" w:rsidRDefault="00F86D27" w:rsidP="00FD02CA">
      <w:pPr>
        <w:pStyle w:val="Titleofdoc0"/>
      </w:pPr>
      <w:bookmarkStart w:id="0" w:name="TitleOfDoc"/>
      <w:bookmarkEnd w:id="0"/>
      <w:r w:rsidRPr="001B600C">
        <w:t>REPORT</w:t>
      </w:r>
    </w:p>
    <w:p w:rsidR="00C23BE3" w:rsidRPr="001B600C" w:rsidRDefault="006B3305" w:rsidP="00276699">
      <w:pPr>
        <w:pStyle w:val="preparedby1"/>
        <w:jc w:val="both"/>
      </w:pPr>
      <w:bookmarkStart w:id="1" w:name="Prepared"/>
      <w:bookmarkEnd w:id="1"/>
      <w:r>
        <w:t xml:space="preserve">adopted by the </w:t>
      </w:r>
      <w:r w:rsidRPr="007C2448">
        <w:t>Meeting on the development of an electronic application form</w:t>
      </w:r>
    </w:p>
    <w:p w:rsidR="00050E16" w:rsidRPr="001B600C" w:rsidRDefault="00050E16" w:rsidP="006A644A">
      <w:pPr>
        <w:pStyle w:val="Disclaimer"/>
      </w:pPr>
      <w:r w:rsidRPr="001B600C">
        <w:t>Disclaimer:  this document does not represent UPOV policies or guidance</w:t>
      </w:r>
    </w:p>
    <w:p w:rsidR="00D45276" w:rsidRPr="001B600C" w:rsidRDefault="00D45276" w:rsidP="007F5B31">
      <w:pPr>
        <w:pStyle w:val="Heading1"/>
      </w:pPr>
      <w:r w:rsidRPr="001B600C">
        <w:t>Welcome and opening</w:t>
      </w:r>
    </w:p>
    <w:p w:rsidR="00D45276" w:rsidRPr="001B600C" w:rsidRDefault="00D45276" w:rsidP="00FD02CA"/>
    <w:p w:rsidR="00D45276" w:rsidRPr="001B600C" w:rsidRDefault="00EA3E13" w:rsidP="00FD02CA">
      <w:r w:rsidRPr="001B600C">
        <w:fldChar w:fldCharType="begin"/>
      </w:r>
      <w:r w:rsidRPr="001B600C">
        <w:instrText xml:space="preserve"> AUTONUM  </w:instrText>
      </w:r>
      <w:r w:rsidRPr="001B600C">
        <w:fldChar w:fldCharType="end"/>
      </w:r>
      <w:r w:rsidRPr="001B600C">
        <w:tab/>
      </w:r>
      <w:r w:rsidR="00D45276" w:rsidRPr="001B600C">
        <w:t xml:space="preserve">The </w:t>
      </w:r>
      <w:r w:rsidR="007F5B31" w:rsidRPr="001B600C">
        <w:t xml:space="preserve">ninth </w:t>
      </w:r>
      <w:r w:rsidR="00D45276" w:rsidRPr="001B600C">
        <w:t>meeting on the development of a prototype electronic form (EAF/</w:t>
      </w:r>
      <w:r w:rsidR="0003583A" w:rsidRPr="001B600C">
        <w:t>9</w:t>
      </w:r>
      <w:r w:rsidR="00D45276" w:rsidRPr="001B600C">
        <w:t xml:space="preserve"> meeting) was opened and chaired by M</w:t>
      </w:r>
      <w:r w:rsidR="007F5B31" w:rsidRPr="001B600C">
        <w:t xml:space="preserve">r. Peter Button, Vice Secretary-General of </w:t>
      </w:r>
      <w:r w:rsidR="00D45276" w:rsidRPr="001B600C">
        <w:t>UPOV, who welcomed the participants in Geneva and those who participated in the meeting by means of electronic conferen</w:t>
      </w:r>
      <w:bookmarkStart w:id="2" w:name="_GoBack"/>
      <w:bookmarkEnd w:id="2"/>
      <w:r w:rsidR="00D45276" w:rsidRPr="001B600C">
        <w:t>ce.</w:t>
      </w:r>
    </w:p>
    <w:p w:rsidR="00D45276" w:rsidRPr="001B600C" w:rsidRDefault="00D45276" w:rsidP="00FD02CA"/>
    <w:p w:rsidR="00D45276" w:rsidRPr="001B600C" w:rsidRDefault="00EA3E13" w:rsidP="00FD02CA">
      <w:r w:rsidRPr="001B600C">
        <w:fldChar w:fldCharType="begin"/>
      </w:r>
      <w:r w:rsidRPr="001B600C">
        <w:instrText xml:space="preserve"> AUTONUM  </w:instrText>
      </w:r>
      <w:r w:rsidRPr="001B600C">
        <w:fldChar w:fldCharType="end"/>
      </w:r>
      <w:r w:rsidRPr="001B600C">
        <w:tab/>
      </w:r>
      <w:r w:rsidR="00D45276" w:rsidRPr="001B600C">
        <w:t xml:space="preserve">The list of participants is reproduced in Annex I to this report.  </w:t>
      </w:r>
    </w:p>
    <w:p w:rsidR="00D45276" w:rsidRPr="001B600C" w:rsidRDefault="00D45276" w:rsidP="00FD02CA"/>
    <w:p w:rsidR="007F5B31" w:rsidRPr="001B600C" w:rsidRDefault="007F5B31" w:rsidP="00FD02CA"/>
    <w:p w:rsidR="00D45276" w:rsidRPr="001B600C" w:rsidRDefault="00D45276" w:rsidP="007F5B31">
      <w:pPr>
        <w:pStyle w:val="Heading1"/>
      </w:pPr>
      <w:r w:rsidRPr="001B600C">
        <w:t>Approval of the agenda</w:t>
      </w:r>
    </w:p>
    <w:p w:rsidR="00D45276" w:rsidRPr="001B600C" w:rsidRDefault="00D45276" w:rsidP="00FD02CA"/>
    <w:p w:rsidR="00D45276" w:rsidRPr="001B600C" w:rsidRDefault="00EA3E13" w:rsidP="00FD02CA">
      <w:r w:rsidRPr="001B600C">
        <w:fldChar w:fldCharType="begin"/>
      </w:r>
      <w:r w:rsidRPr="001B600C">
        <w:instrText xml:space="preserve"> AUTONUM  </w:instrText>
      </w:r>
      <w:r w:rsidRPr="001B600C">
        <w:fldChar w:fldCharType="end"/>
      </w:r>
      <w:r w:rsidRPr="001B600C">
        <w:tab/>
      </w:r>
      <w:r w:rsidR="00D45276" w:rsidRPr="001B600C">
        <w:t xml:space="preserve">The meeting adopted the draft agenda as proposed in document </w:t>
      </w:r>
      <w:r w:rsidR="007F5B31" w:rsidRPr="001B600C">
        <w:t>UPOV/</w:t>
      </w:r>
      <w:r w:rsidR="00D45276" w:rsidRPr="001B600C">
        <w:t>EAF/</w:t>
      </w:r>
      <w:r w:rsidR="0003583A" w:rsidRPr="001B600C">
        <w:t>9</w:t>
      </w:r>
      <w:r w:rsidR="00D45276" w:rsidRPr="001B600C">
        <w:t>/1</w:t>
      </w:r>
      <w:r w:rsidR="007F5B31" w:rsidRPr="001B600C">
        <w:t xml:space="preserve"> Rev</w:t>
      </w:r>
      <w:r w:rsidR="00D45276" w:rsidRPr="001B600C">
        <w:t>.</w:t>
      </w:r>
    </w:p>
    <w:p w:rsidR="00D45276" w:rsidRPr="001B600C" w:rsidRDefault="00D45276" w:rsidP="00FD02CA"/>
    <w:p w:rsidR="007F5B31" w:rsidRPr="001B600C" w:rsidRDefault="007F5B31" w:rsidP="00FD02CA"/>
    <w:p w:rsidR="00D45276" w:rsidRPr="001B600C" w:rsidRDefault="00D45276" w:rsidP="007F5B31">
      <w:pPr>
        <w:pStyle w:val="Heading1"/>
      </w:pPr>
      <w:r w:rsidRPr="001B600C">
        <w:t xml:space="preserve">Developments concerning the electronic </w:t>
      </w:r>
      <w:r w:rsidR="0003583A" w:rsidRPr="001B600C">
        <w:t xml:space="preserve">application </w:t>
      </w:r>
      <w:r w:rsidRPr="001B600C">
        <w:t xml:space="preserve">form project  </w:t>
      </w:r>
    </w:p>
    <w:p w:rsidR="00D45276" w:rsidRPr="001B600C" w:rsidRDefault="00D45276" w:rsidP="00FD02CA"/>
    <w:p w:rsidR="00050E16" w:rsidRPr="001B600C" w:rsidRDefault="00EA3E13" w:rsidP="00FD02CA">
      <w:r w:rsidRPr="001B600C">
        <w:fldChar w:fldCharType="begin"/>
      </w:r>
      <w:r w:rsidRPr="001B600C">
        <w:instrText xml:space="preserve"> AUTONUM  </w:instrText>
      </w:r>
      <w:r w:rsidRPr="001B600C">
        <w:fldChar w:fldCharType="end"/>
      </w:r>
      <w:r w:rsidRPr="001B600C">
        <w:tab/>
      </w:r>
      <w:r w:rsidR="00D45276" w:rsidRPr="001B600C">
        <w:t>The meetin</w:t>
      </w:r>
      <w:r w:rsidR="0003583A" w:rsidRPr="001B600C">
        <w:t xml:space="preserve">g considered document </w:t>
      </w:r>
      <w:hyperlink r:id="rId9" w:history="1">
        <w:r w:rsidR="0003583A" w:rsidRPr="001F2358">
          <w:rPr>
            <w:rStyle w:val="Hyperlink"/>
          </w:rPr>
          <w:t>UPOV/EAF/9</w:t>
        </w:r>
        <w:r w:rsidR="00D45276" w:rsidRPr="001F2358">
          <w:rPr>
            <w:rStyle w:val="Hyperlink"/>
          </w:rPr>
          <w:t>/2</w:t>
        </w:r>
        <w:r w:rsidR="0003583A" w:rsidRPr="001F2358">
          <w:rPr>
            <w:rStyle w:val="Hyperlink"/>
          </w:rPr>
          <w:t xml:space="preserve"> Corr.2</w:t>
        </w:r>
      </w:hyperlink>
      <w:r w:rsidR="00D45276" w:rsidRPr="001B600C">
        <w:t xml:space="preserve"> “Developments concerning the </w:t>
      </w:r>
      <w:r w:rsidR="001F2358" w:rsidRPr="001B600C">
        <w:t>Electronic Application Form</w:t>
      </w:r>
      <w:r w:rsidR="007F5B31" w:rsidRPr="001B600C">
        <w:t xml:space="preserve">” and </w:t>
      </w:r>
      <w:r w:rsidR="00D45276" w:rsidRPr="001B600C">
        <w:t>received a presentation by the Office of the Union on the latest developments in relation to the prototype electronic form, a copy of which is reproduced in Annex II to this document.</w:t>
      </w:r>
    </w:p>
    <w:p w:rsidR="00544581" w:rsidRPr="001B600C" w:rsidRDefault="00544581" w:rsidP="00FD02CA"/>
    <w:p w:rsidR="00272B35" w:rsidRPr="001B600C" w:rsidRDefault="00EA3E13" w:rsidP="00FD02CA">
      <w:r w:rsidRPr="001B600C">
        <w:fldChar w:fldCharType="begin"/>
      </w:r>
      <w:r w:rsidRPr="001B600C">
        <w:instrText xml:space="preserve"> AUTONUM  </w:instrText>
      </w:r>
      <w:r w:rsidRPr="001B600C">
        <w:fldChar w:fldCharType="end"/>
      </w:r>
      <w:r w:rsidR="00272B35" w:rsidRPr="001B600C">
        <w:tab/>
        <w:t>The participants agreed with the following proposed developments:</w:t>
      </w:r>
    </w:p>
    <w:p w:rsidR="00272B35" w:rsidRPr="001B600C" w:rsidRDefault="00272B35" w:rsidP="00FD02CA"/>
    <w:p w:rsidR="00FD02CA" w:rsidRPr="001B600C" w:rsidRDefault="00FD02CA" w:rsidP="00FD02CA"/>
    <w:p w:rsidR="00272B35" w:rsidRPr="001B600C" w:rsidRDefault="00272B35" w:rsidP="007F5B31">
      <w:pPr>
        <w:pStyle w:val="Heading2"/>
      </w:pPr>
      <w:bookmarkStart w:id="3" w:name="_Toc485110112"/>
      <w:r w:rsidRPr="001B600C">
        <w:t>New versions of the EAF</w:t>
      </w:r>
      <w:bookmarkEnd w:id="3"/>
    </w:p>
    <w:p w:rsidR="00272B35" w:rsidRPr="001B600C" w:rsidRDefault="00272B35" w:rsidP="00FD02CA"/>
    <w:p w:rsidR="00272B35" w:rsidRPr="001B600C" w:rsidRDefault="00272B35" w:rsidP="00FD02CA">
      <w:r w:rsidRPr="001B600C">
        <w:fldChar w:fldCharType="begin"/>
      </w:r>
      <w:r w:rsidRPr="001B600C">
        <w:instrText xml:space="preserve"> AUTONUM  </w:instrText>
      </w:r>
      <w:r w:rsidRPr="001B600C">
        <w:fldChar w:fldCharType="end"/>
      </w:r>
      <w:r w:rsidRPr="001B600C">
        <w:tab/>
        <w:t>The current</w:t>
      </w:r>
      <w:r w:rsidR="00F31192" w:rsidRPr="001B600C">
        <w:t xml:space="preserve"> </w:t>
      </w:r>
      <w:r w:rsidR="007F5B31" w:rsidRPr="001B600C">
        <w:t xml:space="preserve">version </w:t>
      </w:r>
      <w:r w:rsidRPr="001B600C">
        <w:t>of the EAF was Version 1.0.</w:t>
      </w:r>
      <w:r w:rsidR="00F31192" w:rsidRPr="001B600C">
        <w:t xml:space="preserve"> </w:t>
      </w:r>
      <w:r w:rsidRPr="001B600C">
        <w:t xml:space="preserve"> It was foreseen that the next version (Version 1.1) of the EAF would be released in July 2017.  The subsequent </w:t>
      </w:r>
      <w:r w:rsidR="009A33F9" w:rsidRPr="001B600C">
        <w:t xml:space="preserve">version </w:t>
      </w:r>
      <w:r w:rsidRPr="001B600C">
        <w:t>(Version 2.0) was anticipated to be released in 2018.</w:t>
      </w:r>
    </w:p>
    <w:p w:rsidR="00272B35" w:rsidRPr="001B600C" w:rsidRDefault="00272B35" w:rsidP="00D432EC">
      <w:pPr>
        <w:spacing w:line="360" w:lineRule="auto"/>
      </w:pPr>
    </w:p>
    <w:p w:rsidR="00272B35" w:rsidRPr="001B600C" w:rsidRDefault="00272B35" w:rsidP="007F5B31">
      <w:pPr>
        <w:pStyle w:val="Heading3"/>
      </w:pPr>
      <w:bookmarkStart w:id="4" w:name="_Toc485110113"/>
      <w:r w:rsidRPr="001B600C">
        <w:t>Version 1.1</w:t>
      </w:r>
      <w:bookmarkEnd w:id="4"/>
    </w:p>
    <w:p w:rsidR="00272B35" w:rsidRPr="001B600C" w:rsidRDefault="00272B35" w:rsidP="00FD02CA">
      <w:pPr>
        <w:pStyle w:val="Heading4"/>
        <w:rPr>
          <w:lang w:val="en-US"/>
        </w:rPr>
      </w:pPr>
      <w:bookmarkStart w:id="5" w:name="_Toc477541731"/>
    </w:p>
    <w:p w:rsidR="00272B35" w:rsidRPr="001B600C" w:rsidRDefault="00272B35" w:rsidP="00FD02CA">
      <w:pPr>
        <w:pStyle w:val="Heading4"/>
        <w:rPr>
          <w:lang w:val="en-US"/>
        </w:rPr>
      </w:pPr>
      <w:r w:rsidRPr="001B600C">
        <w:rPr>
          <w:lang w:val="en-US"/>
        </w:rPr>
        <w:t>Participating UPOV members</w:t>
      </w:r>
      <w:bookmarkEnd w:id="5"/>
    </w:p>
    <w:p w:rsidR="005B5BE3" w:rsidRPr="005B5BE3" w:rsidRDefault="005B5BE3" w:rsidP="005B5BE3">
      <w:pPr>
        <w:keepNext/>
        <w:rPr>
          <w:sz w:val="18"/>
        </w:rPr>
      </w:pPr>
    </w:p>
    <w:p w:rsidR="00272B35" w:rsidRPr="001B600C" w:rsidRDefault="00272B35" w:rsidP="00FD02CA">
      <w:r w:rsidRPr="001B600C">
        <w:fldChar w:fldCharType="begin"/>
      </w:r>
      <w:r w:rsidRPr="001B600C">
        <w:instrText xml:space="preserve"> AUTONUM  </w:instrText>
      </w:r>
      <w:r w:rsidRPr="001B600C">
        <w:fldChar w:fldCharType="end"/>
      </w:r>
      <w:r w:rsidRPr="001B600C">
        <w:tab/>
        <w:t xml:space="preserve">The participants noted that the following additional UPOV members had provided the necessary information and </w:t>
      </w:r>
      <w:r w:rsidR="00FD02CA" w:rsidRPr="001B600C">
        <w:t xml:space="preserve">had </w:t>
      </w:r>
      <w:r w:rsidRPr="001B600C">
        <w:t xml:space="preserve">expressed their intention to participate in Version 1.1, for the indicated crops: </w:t>
      </w:r>
    </w:p>
    <w:p w:rsidR="00276699" w:rsidRPr="001B600C" w:rsidRDefault="00276699" w:rsidP="00FD02CA"/>
    <w:tbl>
      <w:tblPr>
        <w:tblStyle w:val="TableGrid"/>
        <w:tblW w:w="9622" w:type="dxa"/>
        <w:jc w:val="center"/>
        <w:tblLayout w:type="fixed"/>
        <w:tblCellMar>
          <w:top w:w="57" w:type="dxa"/>
          <w:left w:w="85" w:type="dxa"/>
          <w:bottom w:w="28" w:type="dxa"/>
          <w:right w:w="85" w:type="dxa"/>
        </w:tblCellMar>
        <w:tblLook w:val="04A0" w:firstRow="1" w:lastRow="0" w:firstColumn="1" w:lastColumn="0" w:noHBand="0" w:noVBand="1"/>
      </w:tblPr>
      <w:tblGrid>
        <w:gridCol w:w="2105"/>
        <w:gridCol w:w="508"/>
        <w:gridCol w:w="1032"/>
        <w:gridCol w:w="1078"/>
        <w:gridCol w:w="1637"/>
        <w:gridCol w:w="854"/>
        <w:gridCol w:w="1078"/>
        <w:gridCol w:w="1330"/>
      </w:tblGrid>
      <w:tr w:rsidR="00276699" w:rsidRPr="001B600C" w:rsidTr="00872E86">
        <w:trPr>
          <w:cantSplit/>
          <w:jc w:val="center"/>
        </w:trPr>
        <w:tc>
          <w:tcPr>
            <w:tcW w:w="2613" w:type="dxa"/>
            <w:gridSpan w:val="2"/>
            <w:tcBorders>
              <w:bottom w:val="single" w:sz="4" w:space="0" w:color="auto"/>
            </w:tcBorders>
            <w:vAlign w:val="center"/>
          </w:tcPr>
          <w:p w:rsidR="00276699" w:rsidRPr="001B600C" w:rsidRDefault="00276699" w:rsidP="00D432EC">
            <w:pPr>
              <w:keepNext/>
              <w:jc w:val="left"/>
              <w:rPr>
                <w:sz w:val="16"/>
              </w:rPr>
            </w:pPr>
            <w:r w:rsidRPr="001B600C">
              <w:rPr>
                <w:sz w:val="16"/>
              </w:rPr>
              <w:lastRenderedPageBreak/>
              <w:t>Authority</w:t>
            </w:r>
          </w:p>
        </w:tc>
        <w:tc>
          <w:tcPr>
            <w:tcW w:w="1032" w:type="dxa"/>
            <w:tcBorders>
              <w:bottom w:val="single" w:sz="4" w:space="0" w:color="auto"/>
            </w:tcBorders>
            <w:noWrap/>
            <w:vAlign w:val="center"/>
            <w:hideMark/>
          </w:tcPr>
          <w:p w:rsidR="00276699" w:rsidRPr="001B600C" w:rsidRDefault="00276699" w:rsidP="00D432EC">
            <w:pPr>
              <w:keepNext/>
              <w:spacing w:line="360" w:lineRule="auto"/>
              <w:jc w:val="center"/>
              <w:rPr>
                <w:sz w:val="14"/>
                <w:szCs w:val="14"/>
              </w:rPr>
            </w:pPr>
            <w:r w:rsidRPr="001B600C">
              <w:rPr>
                <w:sz w:val="14"/>
                <w:szCs w:val="14"/>
              </w:rPr>
              <w:t>GLYCI_MAX</w:t>
            </w:r>
          </w:p>
          <w:p w:rsidR="00276699" w:rsidRPr="001B600C" w:rsidRDefault="00276699" w:rsidP="00D432EC">
            <w:pPr>
              <w:keepNext/>
              <w:jc w:val="center"/>
              <w:rPr>
                <w:sz w:val="14"/>
                <w:szCs w:val="14"/>
              </w:rPr>
            </w:pPr>
            <w:r w:rsidRPr="001B600C">
              <w:rPr>
                <w:sz w:val="16"/>
              </w:rPr>
              <w:t>Soya Bean</w:t>
            </w:r>
          </w:p>
        </w:tc>
        <w:tc>
          <w:tcPr>
            <w:tcW w:w="1078" w:type="dxa"/>
            <w:tcBorders>
              <w:bottom w:val="single" w:sz="4" w:space="0" w:color="auto"/>
            </w:tcBorders>
            <w:noWrap/>
            <w:vAlign w:val="center"/>
            <w:hideMark/>
          </w:tcPr>
          <w:p w:rsidR="00276699" w:rsidRPr="001B600C" w:rsidRDefault="00276699" w:rsidP="00D432EC">
            <w:pPr>
              <w:keepNext/>
              <w:spacing w:line="360" w:lineRule="auto"/>
              <w:jc w:val="center"/>
              <w:rPr>
                <w:sz w:val="14"/>
                <w:szCs w:val="14"/>
              </w:rPr>
            </w:pPr>
            <w:r w:rsidRPr="001B600C">
              <w:rPr>
                <w:sz w:val="14"/>
                <w:szCs w:val="14"/>
              </w:rPr>
              <w:t>LACTU_SAT</w:t>
            </w:r>
          </w:p>
          <w:p w:rsidR="00276699" w:rsidRPr="001B600C" w:rsidRDefault="00276699" w:rsidP="00D432EC">
            <w:pPr>
              <w:keepNext/>
              <w:jc w:val="center"/>
              <w:rPr>
                <w:sz w:val="14"/>
                <w:szCs w:val="14"/>
              </w:rPr>
            </w:pPr>
            <w:r w:rsidRPr="001B600C">
              <w:rPr>
                <w:sz w:val="16"/>
              </w:rPr>
              <w:t>Lettuce</w:t>
            </w:r>
          </w:p>
        </w:tc>
        <w:tc>
          <w:tcPr>
            <w:tcW w:w="1637" w:type="dxa"/>
            <w:tcBorders>
              <w:bottom w:val="single" w:sz="4" w:space="0" w:color="auto"/>
            </w:tcBorders>
            <w:noWrap/>
            <w:vAlign w:val="center"/>
            <w:hideMark/>
          </w:tcPr>
          <w:p w:rsidR="00276699" w:rsidRPr="001B600C" w:rsidRDefault="00276699" w:rsidP="00D432EC">
            <w:pPr>
              <w:keepNext/>
              <w:spacing w:line="360" w:lineRule="auto"/>
              <w:jc w:val="center"/>
              <w:rPr>
                <w:sz w:val="14"/>
                <w:szCs w:val="14"/>
              </w:rPr>
            </w:pPr>
            <w:r w:rsidRPr="001B600C">
              <w:rPr>
                <w:sz w:val="14"/>
                <w:szCs w:val="14"/>
              </w:rPr>
              <w:t>MALUS_DOM</w:t>
            </w:r>
          </w:p>
          <w:p w:rsidR="00276699" w:rsidRPr="001B600C" w:rsidRDefault="00276699" w:rsidP="00D432EC">
            <w:pPr>
              <w:keepNext/>
              <w:jc w:val="center"/>
              <w:rPr>
                <w:sz w:val="14"/>
                <w:szCs w:val="14"/>
              </w:rPr>
            </w:pPr>
            <w:r w:rsidRPr="001B600C">
              <w:rPr>
                <w:sz w:val="16"/>
              </w:rPr>
              <w:t>Apple fruit varieties</w:t>
            </w:r>
          </w:p>
        </w:tc>
        <w:tc>
          <w:tcPr>
            <w:tcW w:w="854" w:type="dxa"/>
            <w:tcBorders>
              <w:bottom w:val="single" w:sz="4" w:space="0" w:color="auto"/>
            </w:tcBorders>
            <w:noWrap/>
            <w:vAlign w:val="center"/>
            <w:hideMark/>
          </w:tcPr>
          <w:p w:rsidR="00276699" w:rsidRPr="001B600C" w:rsidRDefault="00276699" w:rsidP="00D432EC">
            <w:pPr>
              <w:keepNext/>
              <w:spacing w:line="360" w:lineRule="auto"/>
              <w:jc w:val="center"/>
              <w:rPr>
                <w:sz w:val="14"/>
                <w:szCs w:val="14"/>
              </w:rPr>
            </w:pPr>
            <w:r w:rsidRPr="001B600C">
              <w:rPr>
                <w:sz w:val="14"/>
                <w:szCs w:val="14"/>
              </w:rPr>
              <w:t>ROSAA</w:t>
            </w:r>
          </w:p>
          <w:p w:rsidR="00276699" w:rsidRPr="001B600C" w:rsidRDefault="00276699" w:rsidP="00D432EC">
            <w:pPr>
              <w:keepNext/>
              <w:jc w:val="center"/>
              <w:rPr>
                <w:sz w:val="14"/>
                <w:szCs w:val="14"/>
              </w:rPr>
            </w:pPr>
            <w:r w:rsidRPr="001B600C">
              <w:rPr>
                <w:sz w:val="16"/>
              </w:rPr>
              <w:t>Rose</w:t>
            </w:r>
          </w:p>
        </w:tc>
        <w:tc>
          <w:tcPr>
            <w:tcW w:w="1078" w:type="dxa"/>
            <w:tcBorders>
              <w:bottom w:val="single" w:sz="4" w:space="0" w:color="auto"/>
            </w:tcBorders>
            <w:noWrap/>
            <w:vAlign w:val="center"/>
            <w:hideMark/>
          </w:tcPr>
          <w:p w:rsidR="00276699" w:rsidRPr="001B600C" w:rsidRDefault="00276699" w:rsidP="00D432EC">
            <w:pPr>
              <w:keepNext/>
              <w:spacing w:line="360" w:lineRule="auto"/>
              <w:jc w:val="center"/>
              <w:rPr>
                <w:sz w:val="14"/>
                <w:szCs w:val="14"/>
              </w:rPr>
            </w:pPr>
            <w:r w:rsidRPr="001B600C">
              <w:rPr>
                <w:sz w:val="14"/>
                <w:szCs w:val="14"/>
              </w:rPr>
              <w:t>SOLAN_TUB</w:t>
            </w:r>
          </w:p>
          <w:p w:rsidR="00276699" w:rsidRPr="001B600C" w:rsidRDefault="00276699" w:rsidP="00D432EC">
            <w:pPr>
              <w:keepNext/>
              <w:jc w:val="center"/>
              <w:rPr>
                <w:sz w:val="14"/>
                <w:szCs w:val="14"/>
              </w:rPr>
            </w:pPr>
            <w:r w:rsidRPr="001B600C">
              <w:rPr>
                <w:sz w:val="16"/>
              </w:rPr>
              <w:t>Potato</w:t>
            </w:r>
          </w:p>
        </w:tc>
        <w:tc>
          <w:tcPr>
            <w:tcW w:w="1330" w:type="dxa"/>
            <w:tcBorders>
              <w:bottom w:val="single" w:sz="4" w:space="0" w:color="auto"/>
            </w:tcBorders>
            <w:vAlign w:val="center"/>
          </w:tcPr>
          <w:p w:rsidR="00276699" w:rsidRPr="001B600C" w:rsidRDefault="00276699" w:rsidP="00D432EC">
            <w:pPr>
              <w:keepNext/>
              <w:jc w:val="left"/>
              <w:rPr>
                <w:bCs/>
                <w:sz w:val="16"/>
              </w:rPr>
            </w:pPr>
            <w:r w:rsidRPr="001B600C">
              <w:rPr>
                <w:sz w:val="16"/>
              </w:rPr>
              <w:t>Languages accepted for submission</w:t>
            </w:r>
          </w:p>
        </w:tc>
      </w:tr>
      <w:tr w:rsidR="00872E86" w:rsidRPr="00872E86" w:rsidTr="00872E86">
        <w:trPr>
          <w:cantSplit/>
          <w:jc w:val="center"/>
        </w:trPr>
        <w:tc>
          <w:tcPr>
            <w:tcW w:w="2613" w:type="dxa"/>
            <w:gridSpan w:val="2"/>
            <w:tcBorders>
              <w:left w:val="nil"/>
              <w:right w:val="nil"/>
            </w:tcBorders>
            <w:vAlign w:val="center"/>
          </w:tcPr>
          <w:p w:rsidR="00872E86" w:rsidRPr="00872E86" w:rsidRDefault="00872E86" w:rsidP="00D432EC">
            <w:pPr>
              <w:keepNext/>
              <w:jc w:val="left"/>
              <w:rPr>
                <w:sz w:val="2"/>
              </w:rPr>
            </w:pPr>
          </w:p>
        </w:tc>
        <w:tc>
          <w:tcPr>
            <w:tcW w:w="1032"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1078"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1637"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854"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1078" w:type="dxa"/>
            <w:tcBorders>
              <w:left w:val="nil"/>
              <w:right w:val="nil"/>
            </w:tcBorders>
            <w:noWrap/>
            <w:vAlign w:val="center"/>
          </w:tcPr>
          <w:p w:rsidR="00872E86" w:rsidRPr="00872E86" w:rsidRDefault="00872E86" w:rsidP="00D432EC">
            <w:pPr>
              <w:keepNext/>
              <w:spacing w:line="360" w:lineRule="auto"/>
              <w:jc w:val="center"/>
              <w:rPr>
                <w:sz w:val="2"/>
                <w:szCs w:val="14"/>
              </w:rPr>
            </w:pPr>
          </w:p>
        </w:tc>
        <w:tc>
          <w:tcPr>
            <w:tcW w:w="1330" w:type="dxa"/>
            <w:tcBorders>
              <w:left w:val="nil"/>
              <w:right w:val="nil"/>
            </w:tcBorders>
            <w:vAlign w:val="center"/>
          </w:tcPr>
          <w:p w:rsidR="00872E86" w:rsidRPr="00872E86" w:rsidRDefault="00872E86" w:rsidP="00D432EC">
            <w:pPr>
              <w:keepNext/>
              <w:jc w:val="left"/>
              <w:rPr>
                <w:sz w:val="2"/>
              </w:rPr>
            </w:pPr>
          </w:p>
        </w:tc>
      </w:tr>
      <w:tr w:rsidR="00272B35" w:rsidRPr="001B600C" w:rsidTr="00D432EC">
        <w:trPr>
          <w:cantSplit/>
          <w:jc w:val="center"/>
        </w:trPr>
        <w:tc>
          <w:tcPr>
            <w:tcW w:w="2105" w:type="dxa"/>
            <w:vAlign w:val="center"/>
          </w:tcPr>
          <w:p w:rsidR="00272B35" w:rsidRPr="001B600C" w:rsidRDefault="00272B35" w:rsidP="00D432EC">
            <w:pPr>
              <w:keepNext/>
              <w:jc w:val="left"/>
              <w:rPr>
                <w:sz w:val="16"/>
              </w:rPr>
            </w:pPr>
            <w:r w:rsidRPr="001B600C">
              <w:rPr>
                <w:sz w:val="16"/>
              </w:rPr>
              <w:t>China</w:t>
            </w:r>
          </w:p>
        </w:tc>
        <w:tc>
          <w:tcPr>
            <w:tcW w:w="508" w:type="dxa"/>
            <w:noWrap/>
            <w:vAlign w:val="center"/>
          </w:tcPr>
          <w:p w:rsidR="00272B35" w:rsidRPr="001B600C" w:rsidRDefault="00272B35" w:rsidP="00D432EC">
            <w:pPr>
              <w:keepNext/>
              <w:jc w:val="left"/>
              <w:rPr>
                <w:sz w:val="16"/>
              </w:rPr>
            </w:pPr>
            <w:r w:rsidRPr="001B600C">
              <w:rPr>
                <w:sz w:val="16"/>
              </w:rPr>
              <w:t>CN</w:t>
            </w:r>
          </w:p>
        </w:tc>
        <w:tc>
          <w:tcPr>
            <w:tcW w:w="1032" w:type="dxa"/>
            <w:noWrap/>
            <w:vAlign w:val="center"/>
            <w:hideMark/>
          </w:tcPr>
          <w:p w:rsidR="00272B35" w:rsidRPr="001B600C" w:rsidRDefault="00272B35" w:rsidP="00D432EC">
            <w:pPr>
              <w:keepNext/>
              <w:jc w:val="center"/>
              <w:rPr>
                <w:sz w:val="16"/>
              </w:rPr>
            </w:pPr>
          </w:p>
        </w:tc>
        <w:tc>
          <w:tcPr>
            <w:tcW w:w="1078"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637" w:type="dxa"/>
            <w:noWrap/>
            <w:vAlign w:val="center"/>
            <w:hideMark/>
          </w:tcPr>
          <w:p w:rsidR="00272B35" w:rsidRPr="001B600C" w:rsidRDefault="00272B35" w:rsidP="00D432EC">
            <w:pPr>
              <w:keepNext/>
              <w:jc w:val="center"/>
              <w:rPr>
                <w:sz w:val="16"/>
              </w:rPr>
            </w:pPr>
          </w:p>
        </w:tc>
        <w:tc>
          <w:tcPr>
            <w:tcW w:w="854"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078" w:type="dxa"/>
            <w:noWrap/>
            <w:vAlign w:val="center"/>
            <w:hideMark/>
          </w:tcPr>
          <w:p w:rsidR="00272B35" w:rsidRPr="001B600C" w:rsidRDefault="00272B35" w:rsidP="00D432EC">
            <w:pPr>
              <w:keepNext/>
              <w:jc w:val="center"/>
              <w:rPr>
                <w:sz w:val="16"/>
              </w:rPr>
            </w:pPr>
          </w:p>
        </w:tc>
        <w:tc>
          <w:tcPr>
            <w:tcW w:w="1330" w:type="dxa"/>
            <w:vAlign w:val="center"/>
          </w:tcPr>
          <w:p w:rsidR="00272B35" w:rsidRPr="001B600C" w:rsidRDefault="00272B35" w:rsidP="00D432EC">
            <w:pPr>
              <w:keepNext/>
              <w:rPr>
                <w:sz w:val="16"/>
              </w:rPr>
            </w:pPr>
            <w:r w:rsidRPr="001B600C">
              <w:rPr>
                <w:sz w:val="16"/>
              </w:rPr>
              <w:t>Chinese</w:t>
            </w:r>
          </w:p>
        </w:tc>
      </w:tr>
      <w:tr w:rsidR="00272B35" w:rsidRPr="001B600C" w:rsidTr="00D432EC">
        <w:trPr>
          <w:cantSplit/>
          <w:jc w:val="center"/>
        </w:trPr>
        <w:tc>
          <w:tcPr>
            <w:tcW w:w="2105" w:type="dxa"/>
            <w:vAlign w:val="center"/>
          </w:tcPr>
          <w:p w:rsidR="00272B35" w:rsidRPr="001B600C" w:rsidRDefault="00272B35" w:rsidP="00D432EC">
            <w:pPr>
              <w:keepNext/>
              <w:jc w:val="left"/>
              <w:rPr>
                <w:sz w:val="16"/>
              </w:rPr>
            </w:pPr>
            <w:r w:rsidRPr="001B600C">
              <w:rPr>
                <w:sz w:val="16"/>
              </w:rPr>
              <w:t>Colombia</w:t>
            </w:r>
          </w:p>
        </w:tc>
        <w:tc>
          <w:tcPr>
            <w:tcW w:w="508" w:type="dxa"/>
            <w:noWrap/>
            <w:vAlign w:val="center"/>
          </w:tcPr>
          <w:p w:rsidR="00272B35" w:rsidRPr="001B600C" w:rsidRDefault="00272B35" w:rsidP="00D432EC">
            <w:pPr>
              <w:keepNext/>
              <w:jc w:val="left"/>
              <w:rPr>
                <w:sz w:val="16"/>
              </w:rPr>
            </w:pPr>
            <w:r w:rsidRPr="001B600C">
              <w:rPr>
                <w:sz w:val="16"/>
              </w:rPr>
              <w:t>CO</w:t>
            </w:r>
          </w:p>
        </w:tc>
        <w:tc>
          <w:tcPr>
            <w:tcW w:w="1032" w:type="dxa"/>
            <w:noWrap/>
            <w:vAlign w:val="center"/>
          </w:tcPr>
          <w:p w:rsidR="00272B35" w:rsidRPr="001B600C" w:rsidRDefault="00272B35" w:rsidP="00D432EC">
            <w:pPr>
              <w:keepNext/>
              <w:jc w:val="center"/>
              <w:rPr>
                <w:sz w:val="16"/>
              </w:rPr>
            </w:pPr>
          </w:p>
        </w:tc>
        <w:tc>
          <w:tcPr>
            <w:tcW w:w="1078" w:type="dxa"/>
            <w:noWrap/>
            <w:vAlign w:val="center"/>
          </w:tcPr>
          <w:p w:rsidR="00272B35" w:rsidRPr="001B600C" w:rsidRDefault="00272B35" w:rsidP="00D432EC">
            <w:pPr>
              <w:keepNext/>
              <w:jc w:val="center"/>
              <w:rPr>
                <w:sz w:val="16"/>
              </w:rPr>
            </w:pPr>
          </w:p>
        </w:tc>
        <w:tc>
          <w:tcPr>
            <w:tcW w:w="1637" w:type="dxa"/>
            <w:noWrap/>
            <w:vAlign w:val="center"/>
          </w:tcPr>
          <w:p w:rsidR="00272B35" w:rsidRPr="001B600C" w:rsidRDefault="00272B35" w:rsidP="00D432EC">
            <w:pPr>
              <w:keepNext/>
              <w:jc w:val="center"/>
              <w:rPr>
                <w:sz w:val="16"/>
              </w:rPr>
            </w:pPr>
          </w:p>
        </w:tc>
        <w:tc>
          <w:tcPr>
            <w:tcW w:w="854" w:type="dxa"/>
            <w:noWrap/>
            <w:vAlign w:val="center"/>
          </w:tcPr>
          <w:p w:rsidR="00272B35" w:rsidRPr="001B600C" w:rsidRDefault="00272B35" w:rsidP="00D432EC">
            <w:pPr>
              <w:keepNext/>
              <w:jc w:val="center"/>
              <w:rPr>
                <w:color w:val="000000"/>
                <w:spacing w:val="-2"/>
                <w:sz w:val="16"/>
              </w:rPr>
            </w:pPr>
            <w:r w:rsidRPr="001B600C">
              <w:rPr>
                <w:sz w:val="16"/>
              </w:rPr>
              <w:sym w:font="Wingdings 2" w:char="F050"/>
            </w:r>
          </w:p>
        </w:tc>
        <w:tc>
          <w:tcPr>
            <w:tcW w:w="1078" w:type="dxa"/>
            <w:noWrap/>
            <w:vAlign w:val="center"/>
          </w:tcPr>
          <w:p w:rsidR="00272B35" w:rsidRPr="001B600C" w:rsidRDefault="00272B35" w:rsidP="00D432EC">
            <w:pPr>
              <w:keepNext/>
              <w:jc w:val="center"/>
              <w:rPr>
                <w:sz w:val="16"/>
              </w:rPr>
            </w:pPr>
          </w:p>
        </w:tc>
        <w:tc>
          <w:tcPr>
            <w:tcW w:w="1330" w:type="dxa"/>
            <w:vAlign w:val="center"/>
          </w:tcPr>
          <w:p w:rsidR="00272B35" w:rsidRPr="001B600C" w:rsidRDefault="00272B35" w:rsidP="00D432EC">
            <w:pPr>
              <w:keepNext/>
              <w:rPr>
                <w:sz w:val="16"/>
              </w:rPr>
            </w:pPr>
            <w:r w:rsidRPr="001B600C">
              <w:rPr>
                <w:sz w:val="16"/>
              </w:rPr>
              <w:t>Spanish</w:t>
            </w:r>
          </w:p>
        </w:tc>
      </w:tr>
      <w:tr w:rsidR="00272B35" w:rsidRPr="001B600C" w:rsidTr="00D432EC">
        <w:trPr>
          <w:cantSplit/>
          <w:jc w:val="center"/>
        </w:trPr>
        <w:tc>
          <w:tcPr>
            <w:tcW w:w="2105" w:type="dxa"/>
            <w:vAlign w:val="center"/>
          </w:tcPr>
          <w:p w:rsidR="00272B35" w:rsidRPr="001B600C" w:rsidRDefault="00272B35" w:rsidP="00D432EC">
            <w:pPr>
              <w:keepNext/>
              <w:jc w:val="left"/>
              <w:rPr>
                <w:sz w:val="16"/>
              </w:rPr>
            </w:pPr>
            <w:r w:rsidRPr="001B600C">
              <w:rPr>
                <w:sz w:val="16"/>
              </w:rPr>
              <w:t>Paraguay</w:t>
            </w:r>
          </w:p>
        </w:tc>
        <w:tc>
          <w:tcPr>
            <w:tcW w:w="508" w:type="dxa"/>
            <w:noWrap/>
            <w:vAlign w:val="center"/>
          </w:tcPr>
          <w:p w:rsidR="00272B35" w:rsidRPr="001B600C" w:rsidRDefault="00272B35" w:rsidP="00D432EC">
            <w:pPr>
              <w:keepNext/>
              <w:jc w:val="left"/>
              <w:rPr>
                <w:sz w:val="16"/>
              </w:rPr>
            </w:pPr>
            <w:r w:rsidRPr="001B600C">
              <w:rPr>
                <w:sz w:val="16"/>
              </w:rPr>
              <w:t>PY</w:t>
            </w:r>
          </w:p>
        </w:tc>
        <w:tc>
          <w:tcPr>
            <w:tcW w:w="1032" w:type="dxa"/>
            <w:noWrap/>
            <w:vAlign w:val="center"/>
          </w:tcPr>
          <w:p w:rsidR="00272B35" w:rsidRPr="001B600C" w:rsidRDefault="00272B35" w:rsidP="00D432EC">
            <w:pPr>
              <w:keepNext/>
              <w:jc w:val="center"/>
              <w:rPr>
                <w:color w:val="000000"/>
                <w:spacing w:val="-2"/>
                <w:sz w:val="16"/>
              </w:rPr>
            </w:pPr>
            <w:r w:rsidRPr="001B600C">
              <w:rPr>
                <w:sz w:val="16"/>
              </w:rPr>
              <w:sym w:font="Wingdings 2" w:char="F050"/>
            </w:r>
          </w:p>
        </w:tc>
        <w:tc>
          <w:tcPr>
            <w:tcW w:w="1078" w:type="dxa"/>
            <w:noWrap/>
            <w:vAlign w:val="center"/>
          </w:tcPr>
          <w:p w:rsidR="00272B35" w:rsidRPr="001B600C" w:rsidRDefault="00272B35" w:rsidP="00D432EC">
            <w:pPr>
              <w:keepNext/>
              <w:jc w:val="center"/>
              <w:rPr>
                <w:sz w:val="16"/>
              </w:rPr>
            </w:pPr>
          </w:p>
        </w:tc>
        <w:tc>
          <w:tcPr>
            <w:tcW w:w="1637" w:type="dxa"/>
            <w:noWrap/>
            <w:vAlign w:val="center"/>
          </w:tcPr>
          <w:p w:rsidR="00272B35" w:rsidRPr="001B600C" w:rsidRDefault="00272B35" w:rsidP="00D432EC">
            <w:pPr>
              <w:keepNext/>
              <w:jc w:val="center"/>
              <w:rPr>
                <w:sz w:val="16"/>
              </w:rPr>
            </w:pPr>
          </w:p>
        </w:tc>
        <w:tc>
          <w:tcPr>
            <w:tcW w:w="854" w:type="dxa"/>
            <w:noWrap/>
            <w:vAlign w:val="center"/>
          </w:tcPr>
          <w:p w:rsidR="00272B35" w:rsidRPr="001B600C" w:rsidRDefault="00272B35" w:rsidP="00D432EC">
            <w:pPr>
              <w:keepNext/>
              <w:jc w:val="center"/>
              <w:rPr>
                <w:sz w:val="16"/>
              </w:rPr>
            </w:pPr>
          </w:p>
        </w:tc>
        <w:tc>
          <w:tcPr>
            <w:tcW w:w="1078" w:type="dxa"/>
            <w:noWrap/>
            <w:vAlign w:val="center"/>
          </w:tcPr>
          <w:p w:rsidR="00272B35" w:rsidRPr="001B600C" w:rsidRDefault="00272B35" w:rsidP="00D432EC">
            <w:pPr>
              <w:keepNext/>
              <w:jc w:val="center"/>
              <w:rPr>
                <w:sz w:val="16"/>
              </w:rPr>
            </w:pPr>
          </w:p>
        </w:tc>
        <w:tc>
          <w:tcPr>
            <w:tcW w:w="1330" w:type="dxa"/>
            <w:vAlign w:val="center"/>
          </w:tcPr>
          <w:p w:rsidR="00272B35" w:rsidRPr="001B600C" w:rsidRDefault="00272B35" w:rsidP="00D432EC">
            <w:pPr>
              <w:keepNext/>
              <w:rPr>
                <w:sz w:val="16"/>
              </w:rPr>
            </w:pPr>
            <w:r w:rsidRPr="001B600C">
              <w:rPr>
                <w:sz w:val="16"/>
              </w:rPr>
              <w:t>Spanish</w:t>
            </w:r>
          </w:p>
        </w:tc>
      </w:tr>
      <w:tr w:rsidR="00272B35" w:rsidRPr="001B600C" w:rsidTr="00D432EC">
        <w:trPr>
          <w:cantSplit/>
          <w:jc w:val="center"/>
        </w:trPr>
        <w:tc>
          <w:tcPr>
            <w:tcW w:w="2105" w:type="dxa"/>
            <w:vAlign w:val="center"/>
          </w:tcPr>
          <w:p w:rsidR="00272B35" w:rsidRPr="001B600C" w:rsidRDefault="00272B35" w:rsidP="00D432EC">
            <w:pPr>
              <w:keepNext/>
              <w:jc w:val="left"/>
              <w:rPr>
                <w:sz w:val="16"/>
              </w:rPr>
            </w:pPr>
            <w:r w:rsidRPr="001B600C">
              <w:rPr>
                <w:sz w:val="16"/>
              </w:rPr>
              <w:t>Republic of Moldova</w:t>
            </w:r>
          </w:p>
        </w:tc>
        <w:tc>
          <w:tcPr>
            <w:tcW w:w="508" w:type="dxa"/>
            <w:noWrap/>
            <w:vAlign w:val="center"/>
          </w:tcPr>
          <w:p w:rsidR="00272B35" w:rsidRPr="001B600C" w:rsidRDefault="00272B35" w:rsidP="00D432EC">
            <w:pPr>
              <w:keepNext/>
              <w:jc w:val="left"/>
              <w:rPr>
                <w:sz w:val="16"/>
              </w:rPr>
            </w:pPr>
            <w:r w:rsidRPr="001B600C">
              <w:rPr>
                <w:sz w:val="16"/>
              </w:rPr>
              <w:t>MD</w:t>
            </w:r>
          </w:p>
        </w:tc>
        <w:tc>
          <w:tcPr>
            <w:tcW w:w="1032"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078"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637"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854"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078"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330" w:type="dxa"/>
            <w:vAlign w:val="center"/>
          </w:tcPr>
          <w:p w:rsidR="00272B35" w:rsidRPr="001B600C" w:rsidRDefault="00272B35" w:rsidP="00D432EC">
            <w:pPr>
              <w:keepNext/>
              <w:rPr>
                <w:sz w:val="16"/>
              </w:rPr>
            </w:pPr>
            <w:r w:rsidRPr="001B600C">
              <w:rPr>
                <w:sz w:val="16"/>
              </w:rPr>
              <w:t>Romanian</w:t>
            </w:r>
          </w:p>
        </w:tc>
      </w:tr>
      <w:tr w:rsidR="00272B35" w:rsidRPr="001B600C" w:rsidTr="00D432EC">
        <w:trPr>
          <w:cantSplit/>
          <w:jc w:val="center"/>
        </w:trPr>
        <w:tc>
          <w:tcPr>
            <w:tcW w:w="2105" w:type="dxa"/>
            <w:vAlign w:val="center"/>
          </w:tcPr>
          <w:p w:rsidR="00272B35" w:rsidRPr="001B600C" w:rsidRDefault="00272B35" w:rsidP="00D432EC">
            <w:pPr>
              <w:keepNext/>
              <w:jc w:val="left"/>
              <w:rPr>
                <w:sz w:val="16"/>
              </w:rPr>
            </w:pPr>
            <w:r w:rsidRPr="001B600C">
              <w:rPr>
                <w:sz w:val="16"/>
              </w:rPr>
              <w:t>United States of America</w:t>
            </w:r>
          </w:p>
        </w:tc>
        <w:tc>
          <w:tcPr>
            <w:tcW w:w="508" w:type="dxa"/>
            <w:noWrap/>
            <w:vAlign w:val="center"/>
          </w:tcPr>
          <w:p w:rsidR="00272B35" w:rsidRPr="001B600C" w:rsidRDefault="00272B35" w:rsidP="00D432EC">
            <w:pPr>
              <w:keepNext/>
              <w:jc w:val="left"/>
              <w:rPr>
                <w:sz w:val="16"/>
              </w:rPr>
            </w:pPr>
            <w:r w:rsidRPr="001B600C">
              <w:rPr>
                <w:sz w:val="16"/>
              </w:rPr>
              <w:t>US</w:t>
            </w:r>
          </w:p>
        </w:tc>
        <w:tc>
          <w:tcPr>
            <w:tcW w:w="1032" w:type="dxa"/>
            <w:noWrap/>
            <w:vAlign w:val="center"/>
          </w:tcPr>
          <w:p w:rsidR="00272B35" w:rsidRPr="001B600C" w:rsidRDefault="00272B35" w:rsidP="00D432EC">
            <w:pPr>
              <w:keepNext/>
              <w:jc w:val="center"/>
              <w:rPr>
                <w:sz w:val="16"/>
              </w:rPr>
            </w:pPr>
            <w:r w:rsidRPr="001B600C">
              <w:rPr>
                <w:sz w:val="16"/>
              </w:rPr>
              <w:sym w:font="Wingdings 2" w:char="F050"/>
            </w:r>
            <w:r w:rsidRPr="001B600C">
              <w:rPr>
                <w:sz w:val="16"/>
              </w:rPr>
              <w:t>*</w:t>
            </w:r>
          </w:p>
        </w:tc>
        <w:tc>
          <w:tcPr>
            <w:tcW w:w="1078" w:type="dxa"/>
            <w:noWrap/>
            <w:vAlign w:val="center"/>
          </w:tcPr>
          <w:p w:rsidR="00272B35" w:rsidRPr="001B600C" w:rsidRDefault="00272B35" w:rsidP="00D432EC">
            <w:pPr>
              <w:keepNext/>
              <w:jc w:val="center"/>
              <w:rPr>
                <w:sz w:val="16"/>
              </w:rPr>
            </w:pPr>
            <w:r w:rsidRPr="001B600C">
              <w:rPr>
                <w:sz w:val="16"/>
              </w:rPr>
              <w:sym w:font="Wingdings 2" w:char="F050"/>
            </w:r>
            <w:r w:rsidRPr="001B600C">
              <w:rPr>
                <w:sz w:val="16"/>
              </w:rPr>
              <w:t>*</w:t>
            </w:r>
          </w:p>
        </w:tc>
        <w:tc>
          <w:tcPr>
            <w:tcW w:w="1637" w:type="dxa"/>
            <w:noWrap/>
            <w:vAlign w:val="center"/>
          </w:tcPr>
          <w:p w:rsidR="00272B35" w:rsidRPr="001B600C" w:rsidRDefault="00272B35" w:rsidP="00D432EC">
            <w:pPr>
              <w:keepNext/>
              <w:jc w:val="center"/>
              <w:rPr>
                <w:sz w:val="16"/>
              </w:rPr>
            </w:pPr>
          </w:p>
        </w:tc>
        <w:tc>
          <w:tcPr>
            <w:tcW w:w="854" w:type="dxa"/>
            <w:noWrap/>
            <w:vAlign w:val="center"/>
          </w:tcPr>
          <w:p w:rsidR="00272B35" w:rsidRPr="001B600C" w:rsidRDefault="00272B35" w:rsidP="00D432EC">
            <w:pPr>
              <w:keepNext/>
              <w:jc w:val="center"/>
              <w:rPr>
                <w:sz w:val="16"/>
              </w:rPr>
            </w:pPr>
          </w:p>
        </w:tc>
        <w:tc>
          <w:tcPr>
            <w:tcW w:w="1078" w:type="dxa"/>
            <w:noWrap/>
            <w:vAlign w:val="center"/>
          </w:tcPr>
          <w:p w:rsidR="00272B35" w:rsidRPr="001B600C" w:rsidRDefault="00272B35" w:rsidP="00D432EC">
            <w:pPr>
              <w:keepNext/>
              <w:jc w:val="center"/>
              <w:rPr>
                <w:sz w:val="16"/>
              </w:rPr>
            </w:pPr>
            <w:r w:rsidRPr="001B600C">
              <w:rPr>
                <w:sz w:val="16"/>
              </w:rPr>
              <w:sym w:font="Wingdings 2" w:char="F050"/>
            </w:r>
          </w:p>
        </w:tc>
        <w:tc>
          <w:tcPr>
            <w:tcW w:w="1330" w:type="dxa"/>
            <w:vAlign w:val="center"/>
          </w:tcPr>
          <w:p w:rsidR="00272B35" w:rsidRPr="001B600C" w:rsidRDefault="00FD02CA" w:rsidP="00D432EC">
            <w:pPr>
              <w:keepNext/>
              <w:rPr>
                <w:sz w:val="16"/>
              </w:rPr>
            </w:pPr>
            <w:r w:rsidRPr="001B600C">
              <w:rPr>
                <w:sz w:val="16"/>
              </w:rPr>
              <w:t>English</w:t>
            </w:r>
          </w:p>
        </w:tc>
      </w:tr>
      <w:tr w:rsidR="00272B35" w:rsidRPr="001B600C" w:rsidTr="00D432EC">
        <w:trPr>
          <w:cantSplit/>
          <w:jc w:val="center"/>
        </w:trPr>
        <w:tc>
          <w:tcPr>
            <w:tcW w:w="2105" w:type="dxa"/>
            <w:vAlign w:val="center"/>
          </w:tcPr>
          <w:p w:rsidR="00272B35" w:rsidRPr="001B600C" w:rsidRDefault="00272B35" w:rsidP="00D432EC">
            <w:pPr>
              <w:keepNext/>
              <w:jc w:val="left"/>
              <w:rPr>
                <w:sz w:val="16"/>
              </w:rPr>
            </w:pPr>
            <w:r w:rsidRPr="001B600C">
              <w:rPr>
                <w:sz w:val="16"/>
              </w:rPr>
              <w:t>Turkey</w:t>
            </w:r>
          </w:p>
        </w:tc>
        <w:tc>
          <w:tcPr>
            <w:tcW w:w="508" w:type="dxa"/>
            <w:noWrap/>
            <w:vAlign w:val="center"/>
          </w:tcPr>
          <w:p w:rsidR="00272B35" w:rsidRPr="001B600C" w:rsidRDefault="00272B35" w:rsidP="00D432EC">
            <w:pPr>
              <w:keepNext/>
              <w:jc w:val="left"/>
              <w:rPr>
                <w:sz w:val="16"/>
              </w:rPr>
            </w:pPr>
            <w:r w:rsidRPr="001B600C">
              <w:rPr>
                <w:sz w:val="16"/>
              </w:rPr>
              <w:t>TR</w:t>
            </w:r>
          </w:p>
        </w:tc>
        <w:tc>
          <w:tcPr>
            <w:tcW w:w="1032"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078"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637"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854"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078" w:type="dxa"/>
            <w:noWrap/>
            <w:vAlign w:val="center"/>
            <w:hideMark/>
          </w:tcPr>
          <w:p w:rsidR="00272B35" w:rsidRPr="001B600C" w:rsidRDefault="00272B35" w:rsidP="00D432EC">
            <w:pPr>
              <w:keepNext/>
              <w:jc w:val="center"/>
              <w:rPr>
                <w:color w:val="000000"/>
                <w:spacing w:val="-2"/>
                <w:sz w:val="16"/>
              </w:rPr>
            </w:pPr>
            <w:r w:rsidRPr="001B600C">
              <w:rPr>
                <w:sz w:val="16"/>
              </w:rPr>
              <w:sym w:font="Wingdings 2" w:char="F050"/>
            </w:r>
          </w:p>
        </w:tc>
        <w:tc>
          <w:tcPr>
            <w:tcW w:w="1330" w:type="dxa"/>
            <w:vAlign w:val="center"/>
          </w:tcPr>
          <w:p w:rsidR="00272B35" w:rsidRPr="001B600C" w:rsidRDefault="00272B35" w:rsidP="00D432EC">
            <w:pPr>
              <w:keepNext/>
              <w:rPr>
                <w:sz w:val="16"/>
              </w:rPr>
            </w:pPr>
            <w:r w:rsidRPr="001B600C">
              <w:rPr>
                <w:sz w:val="16"/>
              </w:rPr>
              <w:t>Turkish</w:t>
            </w:r>
          </w:p>
        </w:tc>
      </w:tr>
    </w:tbl>
    <w:p w:rsidR="00272B35" w:rsidRPr="001B600C" w:rsidRDefault="00272B35" w:rsidP="00276699">
      <w:pPr>
        <w:ind w:left="567"/>
        <w:rPr>
          <w:i/>
          <w:sz w:val="16"/>
        </w:rPr>
      </w:pPr>
      <w:r w:rsidRPr="001B600C">
        <w:rPr>
          <w:i/>
          <w:sz w:val="16"/>
        </w:rPr>
        <w:t>*  already in EAF Version 1.0</w:t>
      </w:r>
    </w:p>
    <w:p w:rsidR="00D432EC" w:rsidRDefault="00D432EC" w:rsidP="00D432EC">
      <w:bookmarkStart w:id="6" w:name="_Toc477541732"/>
    </w:p>
    <w:p w:rsidR="00D432EC" w:rsidRDefault="00D432EC" w:rsidP="00D432EC"/>
    <w:p w:rsidR="00272B35" w:rsidRPr="001B600C" w:rsidRDefault="00272B35" w:rsidP="00FD02CA">
      <w:pPr>
        <w:pStyle w:val="Heading4"/>
        <w:rPr>
          <w:lang w:val="en-US"/>
        </w:rPr>
      </w:pPr>
      <w:r w:rsidRPr="001B600C">
        <w:rPr>
          <w:lang w:val="en-US"/>
        </w:rPr>
        <w:t>Languages</w:t>
      </w:r>
      <w:bookmarkEnd w:id="6"/>
    </w:p>
    <w:p w:rsidR="005B5BE3" w:rsidRPr="005B5BE3" w:rsidRDefault="005B5BE3" w:rsidP="005B5BE3">
      <w:pPr>
        <w:keepNext/>
        <w:rPr>
          <w:sz w:val="18"/>
        </w:rPr>
      </w:pPr>
    </w:p>
    <w:p w:rsidR="00272B35" w:rsidRPr="001B600C" w:rsidRDefault="00272B35" w:rsidP="00FD02CA">
      <w:r w:rsidRPr="001B600C">
        <w:fldChar w:fldCharType="begin"/>
      </w:r>
      <w:r w:rsidRPr="001B600C">
        <w:instrText xml:space="preserve"> AUTONUM  </w:instrText>
      </w:r>
      <w:r w:rsidRPr="001B600C">
        <w:fldChar w:fldCharType="end"/>
      </w:r>
      <w:r w:rsidRPr="001B600C">
        <w:tab/>
        <w:t xml:space="preserve">The participants noted that preparations were being made for the introduction of Chinese (China), Romanian (Republic of Moldova) and Turkish (Turkey), in Version 1.1, subject to the necessary information being provided by the members of the Union concerned.  </w:t>
      </w:r>
    </w:p>
    <w:p w:rsidR="00272B35" w:rsidRPr="001B600C" w:rsidRDefault="00272B35" w:rsidP="00FD02CA"/>
    <w:p w:rsidR="00272B35" w:rsidRPr="001B600C" w:rsidRDefault="00272B35" w:rsidP="00FD02CA">
      <w:pPr>
        <w:pStyle w:val="Heading4"/>
        <w:rPr>
          <w:lang w:val="en-US"/>
        </w:rPr>
      </w:pPr>
      <w:r w:rsidRPr="001B600C">
        <w:rPr>
          <w:lang w:val="en-US"/>
        </w:rPr>
        <w:t>Style sheet for the application form</w:t>
      </w:r>
    </w:p>
    <w:p w:rsidR="005B5BE3" w:rsidRPr="005B5BE3" w:rsidRDefault="005B5BE3" w:rsidP="005B5BE3">
      <w:pPr>
        <w:keepNext/>
        <w:rPr>
          <w:sz w:val="18"/>
        </w:rPr>
      </w:pPr>
    </w:p>
    <w:p w:rsidR="00272B35" w:rsidRPr="001B600C" w:rsidRDefault="00272B35" w:rsidP="00FD02CA">
      <w:r w:rsidRPr="001B600C">
        <w:fldChar w:fldCharType="begin"/>
      </w:r>
      <w:r w:rsidRPr="001B600C">
        <w:instrText xml:space="preserve"> AUTONUM  </w:instrText>
      </w:r>
      <w:r w:rsidRPr="001B600C">
        <w:fldChar w:fldCharType="end"/>
      </w:r>
      <w:r w:rsidRPr="001B600C">
        <w:tab/>
        <w:t xml:space="preserve">The participants noted that, where requested by PVP Offices, it would be possible to have a customized format for the application form to be received by the PVP Office (e.g. addition of national coding reference to the form, PVP Office logo) if the relevant information was provided according to a specified format. </w:t>
      </w:r>
    </w:p>
    <w:p w:rsidR="00272B35" w:rsidRPr="001B600C" w:rsidRDefault="00272B35" w:rsidP="00FD02CA">
      <w:pPr>
        <w:spacing w:line="360" w:lineRule="auto"/>
      </w:pPr>
    </w:p>
    <w:p w:rsidR="00272B35" w:rsidRPr="001B600C" w:rsidRDefault="00272B35" w:rsidP="00FD02CA">
      <w:pPr>
        <w:pStyle w:val="Heading3"/>
      </w:pPr>
      <w:bookmarkStart w:id="7" w:name="_Toc485110114"/>
      <w:r w:rsidRPr="001B600C">
        <w:t>Version 2.0</w:t>
      </w:r>
      <w:bookmarkEnd w:id="7"/>
    </w:p>
    <w:p w:rsidR="00272B35" w:rsidRPr="005B5BE3" w:rsidRDefault="00272B35" w:rsidP="00FD02CA">
      <w:pPr>
        <w:pStyle w:val="Heading4"/>
        <w:rPr>
          <w:sz w:val="20"/>
          <w:lang w:val="en-US"/>
        </w:rPr>
      </w:pPr>
    </w:p>
    <w:p w:rsidR="00272B35" w:rsidRPr="001B600C" w:rsidRDefault="00272B35" w:rsidP="00FD02CA">
      <w:pPr>
        <w:pStyle w:val="Heading4"/>
        <w:rPr>
          <w:lang w:val="en-US"/>
        </w:rPr>
      </w:pPr>
      <w:r w:rsidRPr="001B600C">
        <w:rPr>
          <w:lang w:val="en-US"/>
        </w:rPr>
        <w:t>Participating UPOV members</w:t>
      </w:r>
    </w:p>
    <w:p w:rsidR="005B5BE3" w:rsidRPr="005B5BE3" w:rsidRDefault="005B5BE3" w:rsidP="005B5BE3">
      <w:pPr>
        <w:keepNext/>
        <w:rPr>
          <w:sz w:val="18"/>
        </w:rPr>
      </w:pPr>
    </w:p>
    <w:p w:rsidR="00272B35" w:rsidRPr="001B600C" w:rsidRDefault="00272B35" w:rsidP="00FD02CA">
      <w:r w:rsidRPr="001B600C">
        <w:fldChar w:fldCharType="begin"/>
      </w:r>
      <w:r w:rsidRPr="001B600C">
        <w:instrText xml:space="preserve"> AUTONUM  </w:instrText>
      </w:r>
      <w:r w:rsidRPr="001B600C">
        <w:fldChar w:fldCharType="end"/>
      </w:r>
      <w:r w:rsidRPr="001B600C">
        <w:tab/>
        <w:t xml:space="preserve">The participants noted that only authorities participating in PV2 </w:t>
      </w:r>
      <w:r w:rsidR="006B3305">
        <w:t xml:space="preserve">or </w:t>
      </w:r>
      <w:r w:rsidRPr="001B600C">
        <w:t>in Version 1.1 (</w:t>
      </w:r>
      <w:r w:rsidR="00FD02CA" w:rsidRPr="001B600C">
        <w:t xml:space="preserve">African Intellectual Property Organization (OAPI), </w:t>
      </w:r>
      <w:r w:rsidRPr="001B600C">
        <w:t xml:space="preserve">Argentina, Australia, Bolivia (Plurinational State of), Brazil, Chile, China, Canada, Colombia, Czech Republic, European Union, France, Georgia, Japan, </w:t>
      </w:r>
      <w:r w:rsidR="00FD02CA" w:rsidRPr="001B600C">
        <w:t>Kenya, Mexico, Netherlands, New </w:t>
      </w:r>
      <w:r w:rsidRPr="001B600C">
        <w:t xml:space="preserve">Zealand, Norway, </w:t>
      </w:r>
      <w:r w:rsidR="00FD02CA" w:rsidRPr="001B600C">
        <w:t>Paraguay, Republic of Korea, Republic of Moldova, South </w:t>
      </w:r>
      <w:r w:rsidRPr="001B600C">
        <w:t>Africa, Switz</w:t>
      </w:r>
      <w:r w:rsidR="00FD02CA" w:rsidRPr="001B600C">
        <w:t>erland, Tunisia, Turkey, United States of America, Uruguay and Viet </w:t>
      </w:r>
      <w:r w:rsidRPr="001B600C">
        <w:t>Nam) would be</w:t>
      </w:r>
      <w:r w:rsidR="00FD02CA" w:rsidRPr="001B600C">
        <w:t xml:space="preserve"> able to participate in Version </w:t>
      </w:r>
      <w:r w:rsidRPr="001B600C">
        <w:t>2.0.</w:t>
      </w:r>
      <w:r w:rsidR="00FD02CA" w:rsidRPr="001B600C">
        <w:t xml:space="preserve"> </w:t>
      </w:r>
      <w:r w:rsidRPr="001B600C">
        <w:t xml:space="preserve"> </w:t>
      </w:r>
      <w:r w:rsidRPr="001B600C">
        <w:rPr>
          <w:color w:val="000000"/>
          <w:spacing w:val="-2"/>
        </w:rPr>
        <w:t>New participating members of the Union would be included after the release of Version 2.0.</w:t>
      </w:r>
    </w:p>
    <w:p w:rsidR="00272B35" w:rsidRDefault="00272B35" w:rsidP="00B16798"/>
    <w:p w:rsidR="00B16798" w:rsidRPr="001B600C" w:rsidRDefault="00B16798" w:rsidP="00B16798"/>
    <w:p w:rsidR="00272B35" w:rsidRPr="001B600C" w:rsidRDefault="00272B35" w:rsidP="00B16798">
      <w:pPr>
        <w:pStyle w:val="Heading2"/>
      </w:pPr>
      <w:bookmarkStart w:id="8" w:name="_Toc477541736"/>
      <w:bookmarkStart w:id="9" w:name="_Toc485110115"/>
      <w:r w:rsidRPr="001B600C">
        <w:t>Crops/species</w:t>
      </w:r>
      <w:bookmarkEnd w:id="8"/>
      <w:bookmarkEnd w:id="9"/>
    </w:p>
    <w:p w:rsidR="00272B35" w:rsidRPr="001B600C" w:rsidRDefault="00272B35" w:rsidP="001B600C">
      <w:pPr>
        <w:keepNext/>
      </w:pPr>
    </w:p>
    <w:p w:rsidR="00272B35" w:rsidRPr="001B600C" w:rsidRDefault="00272B35" w:rsidP="00FD02CA">
      <w:r w:rsidRPr="001B600C">
        <w:fldChar w:fldCharType="begin"/>
      </w:r>
      <w:r w:rsidRPr="001B600C">
        <w:instrText xml:space="preserve"> AUTONUM  </w:instrText>
      </w:r>
      <w:r w:rsidRPr="001B600C">
        <w:fldChar w:fldCharType="end"/>
      </w:r>
      <w:r w:rsidRPr="001B600C">
        <w:tab/>
        <w:t xml:space="preserve">The participants noted that it had previously been agreed that it would be beneficial for the system to cover as many crops/ species as soon as possible. </w:t>
      </w:r>
      <w:r w:rsidR="00FD02CA" w:rsidRPr="001B600C">
        <w:t xml:space="preserve"> </w:t>
      </w:r>
      <w:r w:rsidRPr="001B600C">
        <w:t>Therefore, at the EAF/8 meeting, the Office of the Union was requested to develop an approach to add new crops more rapidly and to increase the number of crops included in the EAF (see documen</w:t>
      </w:r>
      <w:r w:rsidR="00FD02CA" w:rsidRPr="001B600C">
        <w:t xml:space="preserve">t </w:t>
      </w:r>
      <w:hyperlink r:id="rId10" w:history="1">
        <w:r w:rsidR="00276699" w:rsidRPr="001B600C">
          <w:rPr>
            <w:rStyle w:val="Hyperlink"/>
          </w:rPr>
          <w:t>UPOV/</w:t>
        </w:r>
        <w:r w:rsidR="00FD02CA" w:rsidRPr="001B600C">
          <w:rPr>
            <w:rStyle w:val="Hyperlink"/>
          </w:rPr>
          <w:t>EAF/8/3</w:t>
        </w:r>
      </w:hyperlink>
      <w:r w:rsidR="00FD02CA" w:rsidRPr="001B600C">
        <w:t xml:space="preserve"> “Report”, paragraph 6</w:t>
      </w:r>
      <w:r w:rsidRPr="001B600C">
        <w:t xml:space="preserve">(j)). </w:t>
      </w:r>
    </w:p>
    <w:p w:rsidR="00272B35" w:rsidRPr="001B600C" w:rsidRDefault="00272B35" w:rsidP="00FD02CA"/>
    <w:p w:rsidR="00272B35" w:rsidRPr="001B600C" w:rsidRDefault="00272B35" w:rsidP="00FD02CA">
      <w:r w:rsidRPr="001B600C">
        <w:fldChar w:fldCharType="begin"/>
      </w:r>
      <w:r w:rsidRPr="001B600C">
        <w:instrText xml:space="preserve"> AUTONUM  </w:instrText>
      </w:r>
      <w:r w:rsidRPr="001B600C">
        <w:fldChar w:fldCharType="end"/>
      </w:r>
      <w:r w:rsidRPr="001B600C">
        <w:tab/>
        <w:t>It was noted that the main part of the application form was the same for all cr</w:t>
      </w:r>
      <w:r w:rsidR="00276699" w:rsidRPr="001B600C">
        <w:t xml:space="preserve">ops for a particular authority.  </w:t>
      </w:r>
      <w:r w:rsidRPr="001B600C">
        <w:t xml:space="preserve">However, the crop-specific technical information, typically provided in the technical questionnaire (TQ), differed between crops. </w:t>
      </w:r>
      <w:r w:rsidR="00276699" w:rsidRPr="001B600C">
        <w:t xml:space="preserve"> </w:t>
      </w:r>
      <w:r w:rsidRPr="001B600C">
        <w:t>Therefore, the challenge in adding new crops was to address the crop-specific part of the application.</w:t>
      </w:r>
    </w:p>
    <w:p w:rsidR="00276699" w:rsidRPr="001B600C" w:rsidRDefault="00276699" w:rsidP="00FD02CA"/>
    <w:p w:rsidR="00272B35" w:rsidRPr="001B600C" w:rsidRDefault="00272B35" w:rsidP="00FD02CA">
      <w:r w:rsidRPr="001B600C">
        <w:fldChar w:fldCharType="begin"/>
      </w:r>
      <w:r w:rsidRPr="001B600C">
        <w:instrText xml:space="preserve"> AUTONUM  </w:instrText>
      </w:r>
      <w:r w:rsidRPr="001B600C">
        <w:fldChar w:fldCharType="end"/>
      </w:r>
      <w:r w:rsidRPr="001B600C">
        <w:tab/>
        <w:t>In order to be able to cover as many crops/ species as rapidly as possible, it was proposed to develop three approaches.  It would be a matter for each participating member of the Union to decide which of the approaches to apply on a crop-by-crop basis.</w:t>
      </w:r>
    </w:p>
    <w:p w:rsidR="00272B35" w:rsidRPr="001B600C" w:rsidRDefault="00272B35" w:rsidP="00B16798">
      <w:pPr>
        <w:spacing w:line="360" w:lineRule="auto"/>
      </w:pPr>
    </w:p>
    <w:p w:rsidR="00272B35" w:rsidRPr="001B600C" w:rsidRDefault="00272B35" w:rsidP="00B16798">
      <w:pPr>
        <w:pStyle w:val="Heading3"/>
      </w:pPr>
      <w:bookmarkStart w:id="10" w:name="_Toc477541737"/>
      <w:r w:rsidRPr="001B600C">
        <w:t>UPOV Technical Questionnaire (Approach 1)</w:t>
      </w:r>
      <w:bookmarkEnd w:id="10"/>
    </w:p>
    <w:p w:rsidR="005B5BE3" w:rsidRPr="005B5BE3" w:rsidRDefault="005B5BE3" w:rsidP="005B5BE3">
      <w:pPr>
        <w:keepNext/>
        <w:rPr>
          <w:sz w:val="18"/>
        </w:rPr>
      </w:pPr>
    </w:p>
    <w:p w:rsidR="00272B35" w:rsidRPr="001B600C" w:rsidRDefault="00272B35" w:rsidP="00FD02CA">
      <w:r w:rsidRPr="001B600C">
        <w:fldChar w:fldCharType="begin"/>
      </w:r>
      <w:r w:rsidRPr="001B600C">
        <w:instrText xml:space="preserve"> AUTONUM  </w:instrText>
      </w:r>
      <w:r w:rsidRPr="001B600C">
        <w:fldChar w:fldCharType="end"/>
      </w:r>
      <w:r w:rsidRPr="001B600C">
        <w:tab/>
        <w:t xml:space="preserve">The TQ in the EAF would need to be identical to the TQ in the adopted UPOV </w:t>
      </w:r>
      <w:r w:rsidR="001B600C">
        <w:t>Test Guidelines (TG)</w:t>
      </w:r>
      <w:r w:rsidRPr="001B600C">
        <w:t>.  The web</w:t>
      </w:r>
      <w:r w:rsidRPr="001B600C">
        <w:noBreakHyphen/>
        <w:t xml:space="preserve">based TG Template would be the source of the TG TQ information; therefore, the introduction of crops/species under this approach would require the relevant TGs to </w:t>
      </w:r>
      <w:r w:rsidR="001B600C">
        <w:t>be included in the web-based TG </w:t>
      </w:r>
      <w:r w:rsidRPr="001B600C">
        <w:t xml:space="preserve">Template. </w:t>
      </w:r>
    </w:p>
    <w:p w:rsidR="00272B35" w:rsidRPr="001B600C" w:rsidRDefault="00272B35" w:rsidP="00FD02CA"/>
    <w:p w:rsidR="00272B35" w:rsidRPr="001B600C" w:rsidRDefault="00272B35" w:rsidP="00FD02CA">
      <w:r w:rsidRPr="001B600C">
        <w:lastRenderedPageBreak/>
        <w:fldChar w:fldCharType="begin"/>
      </w:r>
      <w:r w:rsidRPr="001B600C">
        <w:instrText xml:space="preserve"> AUTONUM  </w:instrText>
      </w:r>
      <w:r w:rsidRPr="001B600C">
        <w:fldChar w:fldCharType="end"/>
      </w:r>
      <w:r w:rsidRPr="001B600C">
        <w:tab/>
        <w:t xml:space="preserve">For crops/species for which there is no adopted UPOV TG, the TQ in the EAF would be based on the structure of the TQ in document TGP/7 </w:t>
      </w:r>
      <w:r w:rsidR="001B600C" w:rsidRPr="001B600C">
        <w:t>“Development of Test Guidelines”</w:t>
      </w:r>
      <w:r w:rsidRPr="001B600C">
        <w:t>.</w:t>
      </w:r>
      <w:r w:rsidR="001B600C" w:rsidRPr="001B600C">
        <w:t xml:space="preserve"> </w:t>
      </w:r>
      <w:r w:rsidRPr="001B600C">
        <w:t xml:space="preserve"> This would allow users to provide information, in a standardized way, for the following: </w:t>
      </w:r>
    </w:p>
    <w:p w:rsidR="00272B35" w:rsidRPr="001B600C" w:rsidRDefault="00272B35" w:rsidP="00FD02CA">
      <w:r w:rsidRPr="001B600C">
        <w:t xml:space="preserve"> </w:t>
      </w:r>
    </w:p>
    <w:p w:rsidR="00272B35" w:rsidRPr="001B600C" w:rsidRDefault="00272B35" w:rsidP="001B600C">
      <w:pPr>
        <w:pStyle w:val="ListParagraph"/>
        <w:numPr>
          <w:ilvl w:val="0"/>
          <w:numId w:val="12"/>
        </w:numPr>
        <w:ind w:left="851" w:hanging="284"/>
        <w:rPr>
          <w:rFonts w:ascii="Arial" w:hAnsi="Arial"/>
          <w:sz w:val="20"/>
          <w:szCs w:val="20"/>
          <w:lang w:val="en-US"/>
        </w:rPr>
      </w:pPr>
      <w:r w:rsidRPr="001B600C">
        <w:rPr>
          <w:rFonts w:ascii="Arial" w:hAnsi="Arial"/>
          <w:sz w:val="20"/>
          <w:szCs w:val="20"/>
          <w:lang w:val="en-US"/>
        </w:rPr>
        <w:t>Breeding history: breeding scheme; method of propagating the variety;</w:t>
      </w:r>
    </w:p>
    <w:p w:rsidR="00272B35" w:rsidRPr="001B600C" w:rsidRDefault="00272B35" w:rsidP="001B600C">
      <w:pPr>
        <w:pStyle w:val="ListParagraph"/>
        <w:numPr>
          <w:ilvl w:val="0"/>
          <w:numId w:val="12"/>
        </w:numPr>
        <w:ind w:left="851" w:hanging="284"/>
        <w:rPr>
          <w:rFonts w:ascii="Arial" w:hAnsi="Arial"/>
          <w:sz w:val="20"/>
          <w:szCs w:val="20"/>
          <w:lang w:val="en-US"/>
        </w:rPr>
      </w:pPr>
      <w:r w:rsidRPr="001B600C">
        <w:rPr>
          <w:rFonts w:ascii="Arial" w:hAnsi="Arial"/>
          <w:sz w:val="20"/>
          <w:szCs w:val="20"/>
          <w:lang w:val="en-US"/>
        </w:rPr>
        <w:t xml:space="preserve">TQ characteristics : free text characteristics and states of expression; </w:t>
      </w:r>
    </w:p>
    <w:p w:rsidR="00272B35" w:rsidRPr="001B600C" w:rsidRDefault="00272B35" w:rsidP="001B600C">
      <w:pPr>
        <w:pStyle w:val="ListParagraph"/>
        <w:numPr>
          <w:ilvl w:val="0"/>
          <w:numId w:val="12"/>
        </w:numPr>
        <w:ind w:left="851" w:hanging="284"/>
        <w:rPr>
          <w:rFonts w:ascii="Arial" w:hAnsi="Arial"/>
          <w:sz w:val="20"/>
          <w:szCs w:val="20"/>
          <w:lang w:val="en-US"/>
        </w:rPr>
      </w:pPr>
      <w:r w:rsidRPr="001B600C">
        <w:rPr>
          <w:rFonts w:ascii="Arial" w:hAnsi="Arial"/>
          <w:sz w:val="20"/>
          <w:szCs w:val="20"/>
          <w:lang w:val="en-US"/>
        </w:rPr>
        <w:t>Similar varieties and differences from those varieties;</w:t>
      </w:r>
    </w:p>
    <w:p w:rsidR="00272B35" w:rsidRPr="001B600C" w:rsidRDefault="00272B35" w:rsidP="001B600C">
      <w:pPr>
        <w:pStyle w:val="ListParagraph"/>
        <w:numPr>
          <w:ilvl w:val="0"/>
          <w:numId w:val="12"/>
        </w:numPr>
        <w:ind w:left="851" w:hanging="284"/>
        <w:rPr>
          <w:rFonts w:ascii="Arial" w:hAnsi="Arial"/>
          <w:sz w:val="20"/>
          <w:szCs w:val="20"/>
          <w:lang w:val="en-US"/>
        </w:rPr>
      </w:pPr>
      <w:r w:rsidRPr="001B600C">
        <w:rPr>
          <w:rFonts w:ascii="Arial" w:hAnsi="Arial"/>
          <w:sz w:val="20"/>
          <w:szCs w:val="20"/>
          <w:lang w:val="en-US"/>
        </w:rPr>
        <w:t xml:space="preserve">Additional information. </w:t>
      </w:r>
    </w:p>
    <w:p w:rsidR="00272B35" w:rsidRPr="001B600C" w:rsidRDefault="00272B35" w:rsidP="00D432EC">
      <w:pPr>
        <w:spacing w:line="360" w:lineRule="auto"/>
        <w:rPr>
          <w:highlight w:val="magenta"/>
        </w:rPr>
      </w:pPr>
    </w:p>
    <w:p w:rsidR="00272B35" w:rsidRPr="001B600C" w:rsidRDefault="00272B35" w:rsidP="00B16798">
      <w:pPr>
        <w:pStyle w:val="Heading3"/>
      </w:pPr>
      <w:bookmarkStart w:id="11" w:name="_Toc477541738"/>
      <w:r w:rsidRPr="001B600C">
        <w:t>Customized characteristics (Approach 2)</w:t>
      </w:r>
      <w:bookmarkEnd w:id="11"/>
    </w:p>
    <w:p w:rsidR="005B5BE3" w:rsidRPr="005B5BE3" w:rsidRDefault="005B5BE3" w:rsidP="00B16798">
      <w:pPr>
        <w:pStyle w:val="Heading3"/>
      </w:pPr>
    </w:p>
    <w:p w:rsidR="00272B35" w:rsidRPr="001B600C" w:rsidRDefault="00272B35" w:rsidP="00FD02CA">
      <w:r w:rsidRPr="001B600C">
        <w:fldChar w:fldCharType="begin"/>
      </w:r>
      <w:r w:rsidRPr="001B600C">
        <w:instrText xml:space="preserve"> AUTONUM  </w:instrText>
      </w:r>
      <w:r w:rsidRPr="001B600C">
        <w:fldChar w:fldCharType="end"/>
      </w:r>
      <w:r w:rsidRPr="001B600C">
        <w:tab/>
        <w:t xml:space="preserve">The TQ in the EAF would be the same for all crops (non-crop specific) except for “characteristics of the variety” (Section 5 of the UPOV TQ or equivalent) and “similar varieties and differences from these varieties” (Section 6 of the UPOV TQ or equivalent)). </w:t>
      </w:r>
      <w:r w:rsidR="001B600C" w:rsidRPr="001B600C">
        <w:t xml:space="preserve"> </w:t>
      </w:r>
      <w:r w:rsidRPr="001B600C">
        <w:t>The characteristics in the TQ in the EAF would be:</w:t>
      </w:r>
    </w:p>
    <w:p w:rsidR="00272B35" w:rsidRPr="001B600C" w:rsidRDefault="00272B35" w:rsidP="00FD02CA"/>
    <w:p w:rsidR="00272B35" w:rsidRPr="00D432EC" w:rsidRDefault="001B600C" w:rsidP="00D432EC">
      <w:pPr>
        <w:pStyle w:val="ListParagraph"/>
        <w:numPr>
          <w:ilvl w:val="0"/>
          <w:numId w:val="13"/>
        </w:numPr>
        <w:ind w:left="1134" w:hanging="567"/>
        <w:rPr>
          <w:rFonts w:ascii="Arial" w:hAnsi="Arial"/>
          <w:sz w:val="20"/>
          <w:szCs w:val="20"/>
          <w:lang w:val="en-US"/>
        </w:rPr>
      </w:pPr>
      <w:r w:rsidRPr="00D432EC">
        <w:rPr>
          <w:rFonts w:ascii="Arial" w:hAnsi="Arial"/>
          <w:sz w:val="20"/>
          <w:szCs w:val="20"/>
          <w:lang w:val="en-US"/>
        </w:rPr>
        <w:t>UPOV TG characteristics;</w:t>
      </w:r>
    </w:p>
    <w:p w:rsidR="00272B35" w:rsidRPr="00D432EC" w:rsidRDefault="00272B35" w:rsidP="00D432EC">
      <w:pPr>
        <w:pStyle w:val="ListParagraph"/>
        <w:numPr>
          <w:ilvl w:val="0"/>
          <w:numId w:val="13"/>
        </w:numPr>
        <w:ind w:left="1134" w:hanging="567"/>
        <w:rPr>
          <w:rFonts w:ascii="Arial" w:hAnsi="Arial"/>
          <w:sz w:val="20"/>
          <w:szCs w:val="20"/>
          <w:lang w:val="en-US"/>
        </w:rPr>
      </w:pPr>
      <w:r w:rsidRPr="00D432EC">
        <w:rPr>
          <w:rFonts w:ascii="Arial" w:hAnsi="Arial"/>
          <w:sz w:val="20"/>
          <w:szCs w:val="20"/>
          <w:lang w:val="en-US"/>
        </w:rPr>
        <w:t>Aut</w:t>
      </w:r>
      <w:r w:rsidR="001B600C" w:rsidRPr="00D432EC">
        <w:rPr>
          <w:rFonts w:ascii="Arial" w:hAnsi="Arial"/>
          <w:sz w:val="20"/>
          <w:szCs w:val="20"/>
          <w:lang w:val="en-US"/>
        </w:rPr>
        <w:t>hority specific characteristics</w:t>
      </w:r>
    </w:p>
    <w:p w:rsidR="00272B35" w:rsidRPr="00D432EC" w:rsidRDefault="00272B35" w:rsidP="00D432EC">
      <w:pPr>
        <w:pStyle w:val="ListParagraph"/>
        <w:numPr>
          <w:ilvl w:val="0"/>
          <w:numId w:val="13"/>
        </w:numPr>
        <w:ind w:left="1134" w:hanging="567"/>
        <w:rPr>
          <w:rFonts w:ascii="Arial" w:hAnsi="Arial"/>
          <w:sz w:val="20"/>
          <w:szCs w:val="20"/>
          <w:lang w:val="en-US"/>
        </w:rPr>
      </w:pPr>
      <w:r w:rsidRPr="00D432EC">
        <w:rPr>
          <w:rFonts w:ascii="Arial" w:hAnsi="Arial"/>
          <w:sz w:val="20"/>
          <w:szCs w:val="20"/>
          <w:lang w:val="en-US"/>
        </w:rPr>
        <w:t>Free text information</w:t>
      </w:r>
      <w:r w:rsidR="00D432EC">
        <w:rPr>
          <w:rFonts w:ascii="Arial" w:hAnsi="Arial"/>
          <w:sz w:val="20"/>
          <w:szCs w:val="20"/>
          <w:lang w:val="en-US"/>
        </w:rPr>
        <w:t>.</w:t>
      </w:r>
    </w:p>
    <w:p w:rsidR="00D432EC" w:rsidRPr="001B600C" w:rsidRDefault="00D432EC" w:rsidP="00D432EC">
      <w:pPr>
        <w:spacing w:line="360" w:lineRule="auto"/>
      </w:pPr>
    </w:p>
    <w:p w:rsidR="00272B35" w:rsidRPr="001B600C" w:rsidRDefault="00272B35" w:rsidP="00B16798">
      <w:pPr>
        <w:pStyle w:val="Heading3"/>
      </w:pPr>
      <w:bookmarkStart w:id="12" w:name="_Toc477541739"/>
      <w:r w:rsidRPr="001B600C">
        <w:t>Customized TQ (Approach 3)</w:t>
      </w:r>
      <w:bookmarkEnd w:id="12"/>
    </w:p>
    <w:p w:rsidR="005B5BE3" w:rsidRPr="005B5BE3" w:rsidRDefault="005B5BE3" w:rsidP="00B16798">
      <w:pPr>
        <w:pStyle w:val="Heading3"/>
      </w:pPr>
    </w:p>
    <w:p w:rsidR="00272B35" w:rsidRPr="001B600C" w:rsidRDefault="00272B35" w:rsidP="00FD02CA">
      <w:r w:rsidRPr="001B600C">
        <w:fldChar w:fldCharType="begin"/>
      </w:r>
      <w:r w:rsidRPr="001B600C">
        <w:instrText xml:space="preserve"> AUTONUM  </w:instrText>
      </w:r>
      <w:r w:rsidRPr="001B600C">
        <w:fldChar w:fldCharType="end"/>
      </w:r>
      <w:r w:rsidRPr="001B600C">
        <w:tab/>
      </w:r>
      <w:r w:rsidR="00A41F94" w:rsidRPr="001B600C">
        <w:t>The TQ in the EAF would contain crop-specific sections other than those specified in Approach 2.</w:t>
      </w:r>
    </w:p>
    <w:p w:rsidR="00272B35" w:rsidRPr="001B600C" w:rsidRDefault="00272B35" w:rsidP="00FD02CA"/>
    <w:p w:rsidR="00272B35" w:rsidRPr="001B600C" w:rsidRDefault="00272B35" w:rsidP="00FD02CA">
      <w:r w:rsidRPr="001B600C">
        <w:fldChar w:fldCharType="begin"/>
      </w:r>
      <w:r w:rsidRPr="001B600C">
        <w:instrText xml:space="preserve"> AUTONUM  </w:instrText>
      </w:r>
      <w:r w:rsidRPr="001B600C">
        <w:fldChar w:fldCharType="end"/>
      </w:r>
      <w:r w:rsidRPr="001B600C">
        <w:tab/>
        <w:t>The table below summarizes the approaches that would currently cover the participating members in the EAF</w:t>
      </w:r>
      <w:r w:rsidR="00A41F94" w:rsidRPr="001B600C">
        <w:t xml:space="preserve"> Version 1.0</w:t>
      </w:r>
      <w:r w:rsidRPr="001B600C">
        <w:t>:</w:t>
      </w:r>
    </w:p>
    <w:p w:rsidR="00272B35" w:rsidRPr="001B600C" w:rsidRDefault="00272B35" w:rsidP="00FD02CA"/>
    <w:tbl>
      <w:tblPr>
        <w:tblStyle w:val="TableGrid"/>
        <w:tblW w:w="6514" w:type="dxa"/>
        <w:tblInd w:w="1134" w:type="dxa"/>
        <w:tblLayout w:type="fixed"/>
        <w:tblCellMar>
          <w:top w:w="28" w:type="dxa"/>
          <w:left w:w="85" w:type="dxa"/>
          <w:bottom w:w="28" w:type="dxa"/>
          <w:right w:w="85" w:type="dxa"/>
        </w:tblCellMar>
        <w:tblLook w:val="04A0" w:firstRow="1" w:lastRow="0" w:firstColumn="1" w:lastColumn="0" w:noHBand="0" w:noVBand="1"/>
      </w:tblPr>
      <w:tblGrid>
        <w:gridCol w:w="2262"/>
        <w:gridCol w:w="567"/>
        <w:gridCol w:w="1239"/>
        <w:gridCol w:w="1170"/>
        <w:gridCol w:w="1276"/>
      </w:tblGrid>
      <w:tr w:rsidR="00272B35" w:rsidRPr="00D432EC" w:rsidTr="00872E86">
        <w:trPr>
          <w:cantSplit/>
          <w:trHeight w:val="434"/>
        </w:trPr>
        <w:tc>
          <w:tcPr>
            <w:tcW w:w="2829" w:type="dxa"/>
            <w:gridSpan w:val="2"/>
            <w:vAlign w:val="center"/>
          </w:tcPr>
          <w:p w:rsidR="00272B35" w:rsidRPr="00D432EC" w:rsidRDefault="00272B35" w:rsidP="00872E86">
            <w:pPr>
              <w:jc w:val="left"/>
              <w:rPr>
                <w:sz w:val="16"/>
                <w:szCs w:val="18"/>
              </w:rPr>
            </w:pPr>
            <w:r w:rsidRPr="00D432EC">
              <w:rPr>
                <w:sz w:val="16"/>
                <w:szCs w:val="18"/>
              </w:rPr>
              <w:t>Authority</w:t>
            </w:r>
            <w:r w:rsidR="00D432EC" w:rsidRPr="00D432EC">
              <w:rPr>
                <w:sz w:val="16"/>
                <w:szCs w:val="18"/>
              </w:rPr>
              <w:br/>
            </w:r>
            <w:r w:rsidRPr="00D432EC">
              <w:rPr>
                <w:sz w:val="16"/>
                <w:szCs w:val="18"/>
              </w:rPr>
              <w:t>(for existing crops/species)</w:t>
            </w:r>
          </w:p>
        </w:tc>
        <w:tc>
          <w:tcPr>
            <w:tcW w:w="1239" w:type="dxa"/>
            <w:noWrap/>
            <w:vAlign w:val="center"/>
            <w:hideMark/>
          </w:tcPr>
          <w:p w:rsidR="00272B35" w:rsidRPr="00D432EC" w:rsidRDefault="00272B35" w:rsidP="00D432EC">
            <w:pPr>
              <w:jc w:val="center"/>
              <w:rPr>
                <w:sz w:val="16"/>
                <w:szCs w:val="18"/>
              </w:rPr>
            </w:pPr>
            <w:r w:rsidRPr="00D432EC">
              <w:rPr>
                <w:sz w:val="16"/>
                <w:szCs w:val="18"/>
              </w:rPr>
              <w:t>Approach 1</w:t>
            </w:r>
          </w:p>
        </w:tc>
        <w:tc>
          <w:tcPr>
            <w:tcW w:w="1170" w:type="dxa"/>
            <w:noWrap/>
            <w:vAlign w:val="center"/>
          </w:tcPr>
          <w:p w:rsidR="00272B35" w:rsidRPr="00D432EC" w:rsidRDefault="00272B35" w:rsidP="00D432EC">
            <w:pPr>
              <w:jc w:val="center"/>
              <w:rPr>
                <w:sz w:val="16"/>
                <w:szCs w:val="18"/>
              </w:rPr>
            </w:pPr>
            <w:r w:rsidRPr="00D432EC">
              <w:rPr>
                <w:sz w:val="16"/>
                <w:szCs w:val="18"/>
              </w:rPr>
              <w:t>Approach 2</w:t>
            </w:r>
          </w:p>
        </w:tc>
        <w:tc>
          <w:tcPr>
            <w:tcW w:w="1276" w:type="dxa"/>
            <w:noWrap/>
            <w:vAlign w:val="center"/>
          </w:tcPr>
          <w:p w:rsidR="00272B35" w:rsidRPr="00D432EC" w:rsidRDefault="00272B35" w:rsidP="00D432EC">
            <w:pPr>
              <w:jc w:val="center"/>
              <w:rPr>
                <w:sz w:val="16"/>
                <w:szCs w:val="18"/>
              </w:rPr>
            </w:pPr>
            <w:r w:rsidRPr="00D432EC">
              <w:rPr>
                <w:sz w:val="16"/>
                <w:szCs w:val="18"/>
              </w:rPr>
              <w:t>Approach 3</w:t>
            </w:r>
          </w:p>
        </w:tc>
      </w:tr>
      <w:tr w:rsidR="001A4E29" w:rsidRPr="00D432EC" w:rsidTr="00872E86">
        <w:trPr>
          <w:cantSplit/>
        </w:trPr>
        <w:tc>
          <w:tcPr>
            <w:tcW w:w="2262" w:type="dxa"/>
            <w:tcBorders>
              <w:left w:val="nil"/>
              <w:bottom w:val="single" w:sz="4" w:space="0" w:color="auto"/>
              <w:right w:val="nil"/>
            </w:tcBorders>
            <w:vAlign w:val="center"/>
          </w:tcPr>
          <w:p w:rsidR="001A4E29" w:rsidRPr="00D432EC" w:rsidRDefault="001A4E29" w:rsidP="005B5BE3">
            <w:pPr>
              <w:jc w:val="left"/>
              <w:rPr>
                <w:sz w:val="6"/>
                <w:szCs w:val="18"/>
              </w:rPr>
            </w:pPr>
          </w:p>
        </w:tc>
        <w:tc>
          <w:tcPr>
            <w:tcW w:w="567" w:type="dxa"/>
            <w:tcBorders>
              <w:left w:val="nil"/>
              <w:bottom w:val="single" w:sz="4" w:space="0" w:color="auto"/>
              <w:right w:val="nil"/>
            </w:tcBorders>
            <w:noWrap/>
            <w:vAlign w:val="center"/>
          </w:tcPr>
          <w:p w:rsidR="001A4E29" w:rsidRPr="00D432EC" w:rsidRDefault="001A4E29" w:rsidP="005B5BE3">
            <w:pPr>
              <w:jc w:val="left"/>
              <w:rPr>
                <w:sz w:val="6"/>
                <w:szCs w:val="18"/>
              </w:rPr>
            </w:pPr>
          </w:p>
        </w:tc>
        <w:tc>
          <w:tcPr>
            <w:tcW w:w="1239" w:type="dxa"/>
            <w:tcBorders>
              <w:left w:val="nil"/>
              <w:bottom w:val="single" w:sz="4" w:space="0" w:color="auto"/>
              <w:right w:val="nil"/>
            </w:tcBorders>
            <w:noWrap/>
            <w:vAlign w:val="center"/>
          </w:tcPr>
          <w:p w:rsidR="001A4E29" w:rsidRPr="00D432EC" w:rsidRDefault="001A4E29" w:rsidP="005B5BE3">
            <w:pPr>
              <w:jc w:val="center"/>
              <w:rPr>
                <w:sz w:val="6"/>
                <w:szCs w:val="18"/>
              </w:rPr>
            </w:pPr>
          </w:p>
        </w:tc>
        <w:tc>
          <w:tcPr>
            <w:tcW w:w="1170" w:type="dxa"/>
            <w:tcBorders>
              <w:left w:val="nil"/>
              <w:bottom w:val="single" w:sz="4" w:space="0" w:color="auto"/>
              <w:right w:val="nil"/>
            </w:tcBorders>
            <w:noWrap/>
            <w:vAlign w:val="center"/>
          </w:tcPr>
          <w:p w:rsidR="001A4E29" w:rsidRPr="00D432EC" w:rsidRDefault="001A4E29" w:rsidP="005B5BE3">
            <w:pPr>
              <w:jc w:val="center"/>
              <w:rPr>
                <w:sz w:val="6"/>
              </w:rPr>
            </w:pPr>
          </w:p>
        </w:tc>
        <w:tc>
          <w:tcPr>
            <w:tcW w:w="1276" w:type="dxa"/>
            <w:tcBorders>
              <w:left w:val="nil"/>
              <w:bottom w:val="single" w:sz="4" w:space="0" w:color="auto"/>
              <w:right w:val="nil"/>
            </w:tcBorders>
            <w:noWrap/>
            <w:vAlign w:val="center"/>
          </w:tcPr>
          <w:p w:rsidR="001A4E29" w:rsidRPr="00D432EC" w:rsidRDefault="001A4E29" w:rsidP="005B5BE3">
            <w:pPr>
              <w:jc w:val="center"/>
              <w:rPr>
                <w:rFonts w:eastAsiaTheme="minorHAnsi"/>
                <w:sz w:val="6"/>
                <w:szCs w:val="18"/>
              </w:rPr>
            </w:pP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Argentina</w:t>
            </w:r>
          </w:p>
        </w:tc>
        <w:tc>
          <w:tcPr>
            <w:tcW w:w="567" w:type="dxa"/>
            <w:noWrap/>
            <w:vAlign w:val="center"/>
            <w:hideMark/>
          </w:tcPr>
          <w:p w:rsidR="00272B35" w:rsidRPr="00D432EC" w:rsidRDefault="00272B35" w:rsidP="00D432EC">
            <w:pPr>
              <w:jc w:val="left"/>
              <w:rPr>
                <w:sz w:val="16"/>
                <w:szCs w:val="18"/>
              </w:rPr>
            </w:pPr>
            <w:r w:rsidRPr="00D432EC">
              <w:rPr>
                <w:sz w:val="16"/>
                <w:szCs w:val="18"/>
              </w:rPr>
              <w:t>AR</w:t>
            </w:r>
          </w:p>
        </w:tc>
        <w:tc>
          <w:tcPr>
            <w:tcW w:w="1239" w:type="dxa"/>
            <w:noWrap/>
            <w:vAlign w:val="center"/>
            <w:hideMark/>
          </w:tcPr>
          <w:p w:rsidR="00272B35" w:rsidRPr="00872E86" w:rsidRDefault="00272B35" w:rsidP="00D432EC">
            <w:pPr>
              <w:jc w:val="center"/>
              <w:rPr>
                <w:sz w:val="16"/>
                <w:szCs w:val="16"/>
              </w:rPr>
            </w:pPr>
          </w:p>
        </w:tc>
        <w:tc>
          <w:tcPr>
            <w:tcW w:w="1170" w:type="dxa"/>
            <w:noWrap/>
            <w:vAlign w:val="center"/>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c>
          <w:tcPr>
            <w:tcW w:w="1276" w:type="dxa"/>
            <w:noWrap/>
            <w:vAlign w:val="center"/>
          </w:tcPr>
          <w:p w:rsidR="00272B35" w:rsidRPr="00872E86" w:rsidRDefault="00272B35" w:rsidP="00D432EC">
            <w:pPr>
              <w:jc w:val="center"/>
              <w:rPr>
                <w:rFonts w:eastAsiaTheme="minorHAnsi"/>
                <w:sz w:val="16"/>
                <w:szCs w:val="16"/>
              </w:rPr>
            </w:pP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Australia</w:t>
            </w:r>
          </w:p>
        </w:tc>
        <w:tc>
          <w:tcPr>
            <w:tcW w:w="567" w:type="dxa"/>
            <w:noWrap/>
            <w:vAlign w:val="center"/>
            <w:hideMark/>
          </w:tcPr>
          <w:p w:rsidR="00272B35" w:rsidRPr="00D432EC" w:rsidRDefault="00272B35" w:rsidP="00D432EC">
            <w:pPr>
              <w:jc w:val="left"/>
              <w:rPr>
                <w:sz w:val="16"/>
                <w:szCs w:val="18"/>
              </w:rPr>
            </w:pPr>
            <w:r w:rsidRPr="00D432EC">
              <w:rPr>
                <w:sz w:val="16"/>
                <w:szCs w:val="18"/>
              </w:rPr>
              <w:t>AU</w:t>
            </w:r>
          </w:p>
        </w:tc>
        <w:tc>
          <w:tcPr>
            <w:tcW w:w="1239" w:type="dxa"/>
            <w:noWrap/>
            <w:vAlign w:val="center"/>
            <w:hideMark/>
          </w:tcPr>
          <w:p w:rsidR="00272B35" w:rsidRPr="00872E86" w:rsidRDefault="00272B35" w:rsidP="00D432EC">
            <w:pPr>
              <w:jc w:val="center"/>
              <w:rPr>
                <w:sz w:val="16"/>
                <w:szCs w:val="16"/>
              </w:rPr>
            </w:pPr>
          </w:p>
        </w:tc>
        <w:tc>
          <w:tcPr>
            <w:tcW w:w="1170" w:type="dxa"/>
            <w:noWrap/>
            <w:vAlign w:val="center"/>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c>
          <w:tcPr>
            <w:tcW w:w="1276" w:type="dxa"/>
            <w:noWrap/>
            <w:vAlign w:val="center"/>
          </w:tcPr>
          <w:p w:rsidR="00272B35" w:rsidRPr="00872E86" w:rsidRDefault="00272B35" w:rsidP="00D432EC">
            <w:pPr>
              <w:jc w:val="center"/>
              <w:rPr>
                <w:rFonts w:eastAsiaTheme="minorHAnsi"/>
                <w:sz w:val="16"/>
                <w:szCs w:val="16"/>
              </w:rPr>
            </w:pP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Chile</w:t>
            </w:r>
          </w:p>
        </w:tc>
        <w:tc>
          <w:tcPr>
            <w:tcW w:w="567" w:type="dxa"/>
            <w:noWrap/>
            <w:vAlign w:val="center"/>
            <w:hideMark/>
          </w:tcPr>
          <w:p w:rsidR="00272B35" w:rsidRPr="00D432EC" w:rsidRDefault="00272B35" w:rsidP="00D432EC">
            <w:pPr>
              <w:jc w:val="left"/>
              <w:rPr>
                <w:sz w:val="16"/>
                <w:szCs w:val="18"/>
              </w:rPr>
            </w:pPr>
            <w:r w:rsidRPr="00D432EC">
              <w:rPr>
                <w:sz w:val="16"/>
                <w:szCs w:val="18"/>
              </w:rPr>
              <w:t>CL</w:t>
            </w:r>
          </w:p>
        </w:tc>
        <w:tc>
          <w:tcPr>
            <w:tcW w:w="1239" w:type="dxa"/>
            <w:noWrap/>
            <w:vAlign w:val="center"/>
            <w:hideMark/>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c>
          <w:tcPr>
            <w:tcW w:w="1170" w:type="dxa"/>
            <w:noWrap/>
            <w:vAlign w:val="center"/>
          </w:tcPr>
          <w:p w:rsidR="00272B35" w:rsidRPr="00872E86" w:rsidRDefault="00272B35" w:rsidP="00D432EC">
            <w:pPr>
              <w:jc w:val="center"/>
              <w:rPr>
                <w:rFonts w:eastAsiaTheme="minorHAnsi"/>
                <w:sz w:val="16"/>
                <w:szCs w:val="16"/>
              </w:rPr>
            </w:pPr>
          </w:p>
        </w:tc>
        <w:tc>
          <w:tcPr>
            <w:tcW w:w="1276" w:type="dxa"/>
            <w:noWrap/>
            <w:vAlign w:val="center"/>
          </w:tcPr>
          <w:p w:rsidR="00272B35" w:rsidRPr="00872E86" w:rsidRDefault="00272B35" w:rsidP="00D432EC">
            <w:pPr>
              <w:jc w:val="center"/>
              <w:rPr>
                <w:rFonts w:eastAsiaTheme="minorHAnsi"/>
                <w:sz w:val="16"/>
                <w:szCs w:val="16"/>
              </w:rPr>
            </w:pP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France</w:t>
            </w:r>
          </w:p>
        </w:tc>
        <w:tc>
          <w:tcPr>
            <w:tcW w:w="567" w:type="dxa"/>
            <w:noWrap/>
            <w:vAlign w:val="center"/>
            <w:hideMark/>
          </w:tcPr>
          <w:p w:rsidR="00272B35" w:rsidRPr="00D432EC" w:rsidRDefault="00272B35" w:rsidP="00D432EC">
            <w:pPr>
              <w:jc w:val="left"/>
              <w:rPr>
                <w:sz w:val="16"/>
                <w:szCs w:val="18"/>
              </w:rPr>
            </w:pPr>
            <w:r w:rsidRPr="00D432EC">
              <w:rPr>
                <w:sz w:val="16"/>
                <w:szCs w:val="18"/>
              </w:rPr>
              <w:t>FR</w:t>
            </w:r>
          </w:p>
        </w:tc>
        <w:tc>
          <w:tcPr>
            <w:tcW w:w="1239" w:type="dxa"/>
            <w:noWrap/>
            <w:vAlign w:val="center"/>
            <w:hideMark/>
          </w:tcPr>
          <w:p w:rsidR="00272B35" w:rsidRPr="00872E86" w:rsidRDefault="00272B35" w:rsidP="00D432EC">
            <w:pPr>
              <w:jc w:val="center"/>
              <w:rPr>
                <w:sz w:val="16"/>
                <w:szCs w:val="16"/>
              </w:rPr>
            </w:pPr>
          </w:p>
        </w:tc>
        <w:tc>
          <w:tcPr>
            <w:tcW w:w="1170" w:type="dxa"/>
            <w:noWrap/>
            <w:vAlign w:val="center"/>
          </w:tcPr>
          <w:p w:rsidR="00272B35" w:rsidRPr="00872E86" w:rsidRDefault="00272B35" w:rsidP="00D432EC">
            <w:pPr>
              <w:jc w:val="center"/>
              <w:rPr>
                <w:rFonts w:eastAsiaTheme="minorHAnsi"/>
                <w:sz w:val="16"/>
                <w:szCs w:val="16"/>
              </w:rPr>
            </w:pPr>
          </w:p>
        </w:tc>
        <w:tc>
          <w:tcPr>
            <w:tcW w:w="1276" w:type="dxa"/>
            <w:noWrap/>
            <w:vAlign w:val="center"/>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Kenya</w:t>
            </w:r>
          </w:p>
        </w:tc>
        <w:tc>
          <w:tcPr>
            <w:tcW w:w="567" w:type="dxa"/>
            <w:noWrap/>
            <w:vAlign w:val="center"/>
            <w:hideMark/>
          </w:tcPr>
          <w:p w:rsidR="00272B35" w:rsidRPr="00D432EC" w:rsidRDefault="00272B35" w:rsidP="00D432EC">
            <w:pPr>
              <w:jc w:val="left"/>
              <w:rPr>
                <w:sz w:val="16"/>
                <w:szCs w:val="18"/>
              </w:rPr>
            </w:pPr>
            <w:r w:rsidRPr="00D432EC">
              <w:rPr>
                <w:sz w:val="16"/>
                <w:szCs w:val="18"/>
              </w:rPr>
              <w:t>KE</w:t>
            </w:r>
          </w:p>
        </w:tc>
        <w:tc>
          <w:tcPr>
            <w:tcW w:w="1239" w:type="dxa"/>
            <w:noWrap/>
            <w:vAlign w:val="center"/>
            <w:hideMark/>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c>
          <w:tcPr>
            <w:tcW w:w="1170" w:type="dxa"/>
            <w:noWrap/>
            <w:vAlign w:val="center"/>
          </w:tcPr>
          <w:p w:rsidR="00272B35" w:rsidRPr="00872E86" w:rsidRDefault="00272B35" w:rsidP="00D432EC">
            <w:pPr>
              <w:jc w:val="center"/>
              <w:rPr>
                <w:rFonts w:eastAsiaTheme="minorHAnsi"/>
                <w:sz w:val="16"/>
                <w:szCs w:val="16"/>
              </w:rPr>
            </w:pPr>
          </w:p>
        </w:tc>
        <w:tc>
          <w:tcPr>
            <w:tcW w:w="1276" w:type="dxa"/>
            <w:noWrap/>
            <w:vAlign w:val="center"/>
          </w:tcPr>
          <w:p w:rsidR="00272B35" w:rsidRPr="00872E86" w:rsidRDefault="00272B35" w:rsidP="00D432EC">
            <w:pPr>
              <w:jc w:val="center"/>
              <w:rPr>
                <w:rFonts w:eastAsiaTheme="minorHAnsi"/>
                <w:sz w:val="16"/>
                <w:szCs w:val="16"/>
              </w:rPr>
            </w:pP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Netherlands</w:t>
            </w:r>
          </w:p>
        </w:tc>
        <w:tc>
          <w:tcPr>
            <w:tcW w:w="567" w:type="dxa"/>
            <w:noWrap/>
            <w:vAlign w:val="center"/>
            <w:hideMark/>
          </w:tcPr>
          <w:p w:rsidR="00272B35" w:rsidRPr="00D432EC" w:rsidRDefault="00272B35" w:rsidP="00D432EC">
            <w:pPr>
              <w:jc w:val="left"/>
              <w:rPr>
                <w:sz w:val="16"/>
                <w:szCs w:val="18"/>
              </w:rPr>
            </w:pPr>
            <w:r w:rsidRPr="00D432EC">
              <w:rPr>
                <w:sz w:val="16"/>
                <w:szCs w:val="18"/>
              </w:rPr>
              <w:t>NL</w:t>
            </w:r>
          </w:p>
        </w:tc>
        <w:tc>
          <w:tcPr>
            <w:tcW w:w="1239" w:type="dxa"/>
            <w:noWrap/>
            <w:vAlign w:val="center"/>
            <w:hideMark/>
          </w:tcPr>
          <w:p w:rsidR="00272B35" w:rsidRPr="00872E86" w:rsidRDefault="00272B35" w:rsidP="00D432EC">
            <w:pPr>
              <w:jc w:val="center"/>
              <w:rPr>
                <w:sz w:val="16"/>
                <w:szCs w:val="16"/>
              </w:rPr>
            </w:pPr>
          </w:p>
        </w:tc>
        <w:tc>
          <w:tcPr>
            <w:tcW w:w="1170" w:type="dxa"/>
            <w:noWrap/>
            <w:vAlign w:val="center"/>
          </w:tcPr>
          <w:p w:rsidR="00272B35" w:rsidRPr="00872E86" w:rsidRDefault="00272B35" w:rsidP="00D432EC">
            <w:pPr>
              <w:jc w:val="center"/>
              <w:rPr>
                <w:rFonts w:eastAsiaTheme="minorHAnsi"/>
                <w:sz w:val="16"/>
                <w:szCs w:val="16"/>
              </w:rPr>
            </w:pPr>
          </w:p>
        </w:tc>
        <w:tc>
          <w:tcPr>
            <w:tcW w:w="1276" w:type="dxa"/>
            <w:noWrap/>
            <w:vAlign w:val="center"/>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New Zealand</w:t>
            </w:r>
          </w:p>
        </w:tc>
        <w:tc>
          <w:tcPr>
            <w:tcW w:w="567" w:type="dxa"/>
            <w:noWrap/>
            <w:vAlign w:val="center"/>
            <w:hideMark/>
          </w:tcPr>
          <w:p w:rsidR="00272B35" w:rsidRPr="00D432EC" w:rsidRDefault="00272B35" w:rsidP="00D432EC">
            <w:pPr>
              <w:jc w:val="left"/>
              <w:rPr>
                <w:sz w:val="16"/>
                <w:szCs w:val="18"/>
              </w:rPr>
            </w:pPr>
            <w:r w:rsidRPr="00D432EC">
              <w:rPr>
                <w:sz w:val="16"/>
                <w:szCs w:val="18"/>
              </w:rPr>
              <w:t>NZ</w:t>
            </w:r>
          </w:p>
        </w:tc>
        <w:tc>
          <w:tcPr>
            <w:tcW w:w="1239" w:type="dxa"/>
            <w:noWrap/>
            <w:vAlign w:val="center"/>
            <w:hideMark/>
          </w:tcPr>
          <w:p w:rsidR="00272B35" w:rsidRPr="00872E86" w:rsidRDefault="00272B35" w:rsidP="00D432EC">
            <w:pPr>
              <w:jc w:val="center"/>
              <w:rPr>
                <w:sz w:val="16"/>
                <w:szCs w:val="16"/>
              </w:rPr>
            </w:pPr>
          </w:p>
        </w:tc>
        <w:tc>
          <w:tcPr>
            <w:tcW w:w="1170" w:type="dxa"/>
            <w:noWrap/>
            <w:vAlign w:val="center"/>
          </w:tcPr>
          <w:p w:rsidR="00272B35" w:rsidRPr="00872E86" w:rsidRDefault="00272B35" w:rsidP="00D432EC">
            <w:pPr>
              <w:jc w:val="center"/>
              <w:rPr>
                <w:rFonts w:eastAsiaTheme="minorHAnsi"/>
                <w:sz w:val="16"/>
                <w:szCs w:val="16"/>
              </w:rPr>
            </w:pPr>
          </w:p>
        </w:tc>
        <w:tc>
          <w:tcPr>
            <w:tcW w:w="1276" w:type="dxa"/>
            <w:noWrap/>
            <w:vAlign w:val="center"/>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Norway</w:t>
            </w:r>
          </w:p>
        </w:tc>
        <w:tc>
          <w:tcPr>
            <w:tcW w:w="567" w:type="dxa"/>
            <w:noWrap/>
            <w:vAlign w:val="center"/>
            <w:hideMark/>
          </w:tcPr>
          <w:p w:rsidR="00272B35" w:rsidRPr="00D432EC" w:rsidRDefault="00272B35" w:rsidP="00D432EC">
            <w:pPr>
              <w:jc w:val="left"/>
              <w:rPr>
                <w:sz w:val="16"/>
                <w:szCs w:val="18"/>
              </w:rPr>
            </w:pPr>
            <w:r w:rsidRPr="00D432EC">
              <w:rPr>
                <w:sz w:val="16"/>
                <w:szCs w:val="18"/>
              </w:rPr>
              <w:t>NO</w:t>
            </w:r>
          </w:p>
        </w:tc>
        <w:tc>
          <w:tcPr>
            <w:tcW w:w="1239" w:type="dxa"/>
            <w:noWrap/>
            <w:vAlign w:val="center"/>
            <w:hideMark/>
          </w:tcPr>
          <w:p w:rsidR="00272B35" w:rsidRPr="00872E86" w:rsidRDefault="00272B35" w:rsidP="00D432EC">
            <w:pPr>
              <w:jc w:val="center"/>
              <w:rPr>
                <w:sz w:val="16"/>
                <w:szCs w:val="16"/>
              </w:rPr>
            </w:pPr>
          </w:p>
        </w:tc>
        <w:tc>
          <w:tcPr>
            <w:tcW w:w="1170" w:type="dxa"/>
            <w:noWrap/>
            <w:vAlign w:val="center"/>
          </w:tcPr>
          <w:p w:rsidR="00272B35" w:rsidRPr="00872E86" w:rsidRDefault="00272B35" w:rsidP="00D432EC">
            <w:pPr>
              <w:jc w:val="center"/>
              <w:rPr>
                <w:rFonts w:eastAsiaTheme="minorHAnsi"/>
                <w:sz w:val="16"/>
                <w:szCs w:val="16"/>
              </w:rPr>
            </w:pPr>
          </w:p>
        </w:tc>
        <w:tc>
          <w:tcPr>
            <w:tcW w:w="1276" w:type="dxa"/>
            <w:noWrap/>
            <w:vAlign w:val="center"/>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Switzerland</w:t>
            </w:r>
          </w:p>
        </w:tc>
        <w:tc>
          <w:tcPr>
            <w:tcW w:w="567" w:type="dxa"/>
            <w:noWrap/>
            <w:vAlign w:val="center"/>
          </w:tcPr>
          <w:p w:rsidR="00272B35" w:rsidRPr="00D432EC" w:rsidRDefault="00272B35" w:rsidP="00D432EC">
            <w:pPr>
              <w:jc w:val="left"/>
              <w:rPr>
                <w:sz w:val="16"/>
                <w:szCs w:val="18"/>
              </w:rPr>
            </w:pPr>
            <w:r w:rsidRPr="00D432EC">
              <w:rPr>
                <w:sz w:val="16"/>
                <w:szCs w:val="18"/>
              </w:rPr>
              <w:t>CH</w:t>
            </w:r>
          </w:p>
        </w:tc>
        <w:tc>
          <w:tcPr>
            <w:tcW w:w="1239" w:type="dxa"/>
            <w:noWrap/>
            <w:vAlign w:val="center"/>
          </w:tcPr>
          <w:p w:rsidR="00272B35" w:rsidRPr="00872E86" w:rsidRDefault="00272B35" w:rsidP="00D432EC">
            <w:pPr>
              <w:jc w:val="center"/>
              <w:rPr>
                <w:rFonts w:eastAsiaTheme="minorHAnsi"/>
                <w:sz w:val="16"/>
                <w:szCs w:val="16"/>
              </w:rPr>
            </w:pPr>
          </w:p>
        </w:tc>
        <w:tc>
          <w:tcPr>
            <w:tcW w:w="1170" w:type="dxa"/>
            <w:noWrap/>
            <w:vAlign w:val="center"/>
          </w:tcPr>
          <w:p w:rsidR="00272B35" w:rsidRPr="00872E86" w:rsidRDefault="00272B35" w:rsidP="00D432EC">
            <w:pPr>
              <w:jc w:val="center"/>
              <w:rPr>
                <w:rFonts w:eastAsiaTheme="minorHAnsi"/>
                <w:sz w:val="16"/>
                <w:szCs w:val="16"/>
              </w:rPr>
            </w:pPr>
          </w:p>
        </w:tc>
        <w:tc>
          <w:tcPr>
            <w:tcW w:w="1276" w:type="dxa"/>
            <w:noWrap/>
            <w:vAlign w:val="center"/>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r>
      <w:tr w:rsidR="00272B35" w:rsidRPr="00D432EC" w:rsidTr="00872E86">
        <w:trPr>
          <w:cantSplit/>
        </w:trPr>
        <w:tc>
          <w:tcPr>
            <w:tcW w:w="2262" w:type="dxa"/>
            <w:vAlign w:val="center"/>
          </w:tcPr>
          <w:p w:rsidR="00272B35" w:rsidRPr="00D432EC" w:rsidRDefault="00272B35" w:rsidP="00D432EC">
            <w:pPr>
              <w:jc w:val="left"/>
              <w:rPr>
                <w:sz w:val="16"/>
                <w:szCs w:val="18"/>
              </w:rPr>
            </w:pPr>
            <w:r w:rsidRPr="00D432EC">
              <w:rPr>
                <w:sz w:val="16"/>
                <w:szCs w:val="18"/>
              </w:rPr>
              <w:t>Tunisia</w:t>
            </w:r>
          </w:p>
        </w:tc>
        <w:tc>
          <w:tcPr>
            <w:tcW w:w="567" w:type="dxa"/>
            <w:noWrap/>
            <w:vAlign w:val="center"/>
            <w:hideMark/>
          </w:tcPr>
          <w:p w:rsidR="00272B35" w:rsidRPr="00D432EC" w:rsidRDefault="00272B35" w:rsidP="00D432EC">
            <w:pPr>
              <w:jc w:val="left"/>
              <w:rPr>
                <w:sz w:val="16"/>
                <w:szCs w:val="18"/>
              </w:rPr>
            </w:pPr>
            <w:r w:rsidRPr="00D432EC">
              <w:rPr>
                <w:sz w:val="16"/>
                <w:szCs w:val="18"/>
              </w:rPr>
              <w:t>TN</w:t>
            </w:r>
          </w:p>
        </w:tc>
        <w:tc>
          <w:tcPr>
            <w:tcW w:w="1239" w:type="dxa"/>
            <w:noWrap/>
            <w:vAlign w:val="center"/>
            <w:hideMark/>
          </w:tcPr>
          <w:p w:rsidR="00272B35" w:rsidRPr="00872E86" w:rsidRDefault="00D432EC" w:rsidP="00D432EC">
            <w:pPr>
              <w:jc w:val="center"/>
              <w:rPr>
                <w:rFonts w:eastAsiaTheme="minorHAnsi"/>
                <w:color w:val="000000"/>
                <w:spacing w:val="-2"/>
                <w:sz w:val="16"/>
                <w:szCs w:val="16"/>
              </w:rPr>
            </w:pPr>
            <w:r w:rsidRPr="00872E86">
              <w:rPr>
                <w:sz w:val="16"/>
                <w:szCs w:val="16"/>
              </w:rPr>
              <w:sym w:font="Wingdings 2" w:char="F050"/>
            </w:r>
          </w:p>
        </w:tc>
        <w:tc>
          <w:tcPr>
            <w:tcW w:w="1170" w:type="dxa"/>
            <w:noWrap/>
            <w:vAlign w:val="center"/>
          </w:tcPr>
          <w:p w:rsidR="00272B35" w:rsidRPr="00872E86" w:rsidRDefault="00272B35" w:rsidP="00D432EC">
            <w:pPr>
              <w:jc w:val="center"/>
              <w:rPr>
                <w:rFonts w:eastAsiaTheme="minorHAnsi"/>
                <w:sz w:val="16"/>
                <w:szCs w:val="16"/>
              </w:rPr>
            </w:pPr>
          </w:p>
        </w:tc>
        <w:tc>
          <w:tcPr>
            <w:tcW w:w="1276" w:type="dxa"/>
            <w:noWrap/>
            <w:vAlign w:val="center"/>
          </w:tcPr>
          <w:p w:rsidR="00272B35" w:rsidRPr="00872E86" w:rsidRDefault="00272B35" w:rsidP="00D432EC">
            <w:pPr>
              <w:jc w:val="center"/>
              <w:rPr>
                <w:rFonts w:eastAsiaTheme="minorHAnsi"/>
                <w:sz w:val="16"/>
                <w:szCs w:val="16"/>
              </w:rPr>
            </w:pPr>
          </w:p>
        </w:tc>
      </w:tr>
      <w:tr w:rsidR="00A41F94" w:rsidRPr="00D432EC" w:rsidTr="00872E86">
        <w:trPr>
          <w:cantSplit/>
        </w:trPr>
        <w:tc>
          <w:tcPr>
            <w:tcW w:w="2262" w:type="dxa"/>
            <w:vAlign w:val="center"/>
          </w:tcPr>
          <w:p w:rsidR="00A41F94" w:rsidRPr="00D432EC" w:rsidRDefault="00A41F94" w:rsidP="00D432EC">
            <w:pPr>
              <w:jc w:val="left"/>
              <w:rPr>
                <w:sz w:val="16"/>
                <w:szCs w:val="18"/>
              </w:rPr>
            </w:pPr>
            <w:r w:rsidRPr="00D432EC">
              <w:rPr>
                <w:sz w:val="16"/>
                <w:szCs w:val="18"/>
              </w:rPr>
              <w:t>United States of America</w:t>
            </w:r>
          </w:p>
        </w:tc>
        <w:tc>
          <w:tcPr>
            <w:tcW w:w="567" w:type="dxa"/>
            <w:noWrap/>
            <w:vAlign w:val="center"/>
            <w:hideMark/>
          </w:tcPr>
          <w:p w:rsidR="00A41F94" w:rsidRPr="00D432EC" w:rsidRDefault="00A41F94" w:rsidP="00D432EC">
            <w:pPr>
              <w:jc w:val="left"/>
              <w:rPr>
                <w:sz w:val="16"/>
                <w:szCs w:val="18"/>
              </w:rPr>
            </w:pPr>
            <w:r w:rsidRPr="00D432EC">
              <w:rPr>
                <w:sz w:val="16"/>
                <w:szCs w:val="18"/>
              </w:rPr>
              <w:t>US</w:t>
            </w:r>
          </w:p>
        </w:tc>
        <w:tc>
          <w:tcPr>
            <w:tcW w:w="1239" w:type="dxa"/>
            <w:noWrap/>
            <w:vAlign w:val="center"/>
            <w:hideMark/>
          </w:tcPr>
          <w:p w:rsidR="00A41F94" w:rsidRPr="00872E86" w:rsidRDefault="00A41F94" w:rsidP="00D432EC">
            <w:pPr>
              <w:jc w:val="center"/>
              <w:rPr>
                <w:sz w:val="16"/>
                <w:szCs w:val="16"/>
              </w:rPr>
            </w:pPr>
          </w:p>
        </w:tc>
        <w:tc>
          <w:tcPr>
            <w:tcW w:w="1170" w:type="dxa"/>
            <w:noWrap/>
            <w:vAlign w:val="center"/>
          </w:tcPr>
          <w:p w:rsidR="00A41F94" w:rsidRPr="00872E86" w:rsidRDefault="00D432EC" w:rsidP="00D432EC">
            <w:pPr>
              <w:jc w:val="center"/>
              <w:rPr>
                <w:rFonts w:eastAsiaTheme="minorHAnsi"/>
                <w:color w:val="000000"/>
                <w:spacing w:val="-2"/>
                <w:sz w:val="16"/>
                <w:szCs w:val="16"/>
              </w:rPr>
            </w:pPr>
            <w:r w:rsidRPr="00872E86">
              <w:rPr>
                <w:sz w:val="16"/>
                <w:szCs w:val="16"/>
              </w:rPr>
              <w:sym w:font="Wingdings 2" w:char="F050"/>
            </w:r>
          </w:p>
        </w:tc>
        <w:tc>
          <w:tcPr>
            <w:tcW w:w="1276" w:type="dxa"/>
            <w:noWrap/>
            <w:vAlign w:val="center"/>
          </w:tcPr>
          <w:p w:rsidR="00A41F94" w:rsidRPr="00872E86" w:rsidRDefault="00A41F94" w:rsidP="00D432EC">
            <w:pPr>
              <w:jc w:val="center"/>
              <w:rPr>
                <w:rFonts w:eastAsiaTheme="minorHAnsi"/>
                <w:sz w:val="16"/>
                <w:szCs w:val="16"/>
              </w:rPr>
            </w:pPr>
          </w:p>
        </w:tc>
      </w:tr>
      <w:tr w:rsidR="00A41F94" w:rsidRPr="00D432EC" w:rsidTr="00872E86">
        <w:trPr>
          <w:cantSplit/>
        </w:trPr>
        <w:tc>
          <w:tcPr>
            <w:tcW w:w="2262" w:type="dxa"/>
            <w:tcBorders>
              <w:bottom w:val="single" w:sz="4" w:space="0" w:color="auto"/>
            </w:tcBorders>
            <w:vAlign w:val="center"/>
          </w:tcPr>
          <w:p w:rsidR="00A41F94" w:rsidRPr="00D432EC" w:rsidRDefault="00A41F94" w:rsidP="00D432EC">
            <w:pPr>
              <w:jc w:val="left"/>
              <w:rPr>
                <w:sz w:val="16"/>
                <w:szCs w:val="18"/>
              </w:rPr>
            </w:pPr>
            <w:r w:rsidRPr="00D432EC">
              <w:rPr>
                <w:sz w:val="16"/>
                <w:szCs w:val="18"/>
              </w:rPr>
              <w:t>Uruguay</w:t>
            </w:r>
          </w:p>
        </w:tc>
        <w:tc>
          <w:tcPr>
            <w:tcW w:w="567" w:type="dxa"/>
            <w:tcBorders>
              <w:bottom w:val="single" w:sz="4" w:space="0" w:color="auto"/>
            </w:tcBorders>
            <w:noWrap/>
            <w:vAlign w:val="center"/>
            <w:hideMark/>
          </w:tcPr>
          <w:p w:rsidR="00A41F94" w:rsidRPr="00D432EC" w:rsidRDefault="00A41F94" w:rsidP="00D432EC">
            <w:pPr>
              <w:jc w:val="left"/>
              <w:rPr>
                <w:sz w:val="16"/>
                <w:szCs w:val="18"/>
              </w:rPr>
            </w:pPr>
            <w:r w:rsidRPr="00D432EC">
              <w:rPr>
                <w:sz w:val="16"/>
                <w:szCs w:val="18"/>
              </w:rPr>
              <w:t>UY</w:t>
            </w:r>
          </w:p>
        </w:tc>
        <w:tc>
          <w:tcPr>
            <w:tcW w:w="1239" w:type="dxa"/>
            <w:tcBorders>
              <w:bottom w:val="single" w:sz="4" w:space="0" w:color="auto"/>
            </w:tcBorders>
            <w:noWrap/>
            <w:vAlign w:val="center"/>
            <w:hideMark/>
          </w:tcPr>
          <w:p w:rsidR="00A41F94" w:rsidRPr="00872E86" w:rsidRDefault="00A41F94" w:rsidP="00D432EC">
            <w:pPr>
              <w:jc w:val="center"/>
              <w:rPr>
                <w:sz w:val="16"/>
                <w:szCs w:val="16"/>
              </w:rPr>
            </w:pPr>
          </w:p>
        </w:tc>
        <w:tc>
          <w:tcPr>
            <w:tcW w:w="1170" w:type="dxa"/>
            <w:tcBorders>
              <w:bottom w:val="single" w:sz="4" w:space="0" w:color="auto"/>
            </w:tcBorders>
            <w:noWrap/>
            <w:vAlign w:val="center"/>
          </w:tcPr>
          <w:p w:rsidR="00A41F94" w:rsidRPr="00872E86" w:rsidRDefault="00D432EC" w:rsidP="00D432EC">
            <w:pPr>
              <w:jc w:val="center"/>
              <w:rPr>
                <w:rFonts w:eastAsiaTheme="minorHAnsi"/>
                <w:color w:val="000000"/>
                <w:spacing w:val="-2"/>
                <w:sz w:val="16"/>
                <w:szCs w:val="16"/>
              </w:rPr>
            </w:pPr>
            <w:r w:rsidRPr="00872E86">
              <w:rPr>
                <w:sz w:val="16"/>
                <w:szCs w:val="16"/>
              </w:rPr>
              <w:sym w:font="Wingdings 2" w:char="F050"/>
            </w:r>
          </w:p>
        </w:tc>
        <w:tc>
          <w:tcPr>
            <w:tcW w:w="1276" w:type="dxa"/>
            <w:tcBorders>
              <w:bottom w:val="single" w:sz="4" w:space="0" w:color="auto"/>
            </w:tcBorders>
            <w:noWrap/>
            <w:vAlign w:val="center"/>
          </w:tcPr>
          <w:p w:rsidR="00A41F94" w:rsidRPr="00872E86" w:rsidRDefault="00A41F94" w:rsidP="00D432EC">
            <w:pPr>
              <w:jc w:val="center"/>
              <w:rPr>
                <w:rFonts w:eastAsiaTheme="minorHAnsi"/>
                <w:sz w:val="16"/>
                <w:szCs w:val="16"/>
              </w:rPr>
            </w:pPr>
          </w:p>
        </w:tc>
      </w:tr>
      <w:tr w:rsidR="00D432EC" w:rsidRPr="00D432EC" w:rsidTr="00872E86">
        <w:trPr>
          <w:cantSplit/>
        </w:trPr>
        <w:tc>
          <w:tcPr>
            <w:tcW w:w="2262" w:type="dxa"/>
            <w:tcBorders>
              <w:left w:val="nil"/>
              <w:bottom w:val="single" w:sz="4" w:space="0" w:color="auto"/>
              <w:right w:val="nil"/>
            </w:tcBorders>
            <w:vAlign w:val="center"/>
          </w:tcPr>
          <w:p w:rsidR="00D432EC" w:rsidRPr="00D432EC" w:rsidRDefault="00D432EC" w:rsidP="00D432EC">
            <w:pPr>
              <w:jc w:val="left"/>
              <w:rPr>
                <w:sz w:val="6"/>
                <w:szCs w:val="18"/>
              </w:rPr>
            </w:pPr>
          </w:p>
        </w:tc>
        <w:tc>
          <w:tcPr>
            <w:tcW w:w="567" w:type="dxa"/>
            <w:tcBorders>
              <w:left w:val="nil"/>
              <w:bottom w:val="single" w:sz="4" w:space="0" w:color="auto"/>
              <w:right w:val="nil"/>
            </w:tcBorders>
            <w:noWrap/>
            <w:vAlign w:val="center"/>
          </w:tcPr>
          <w:p w:rsidR="00D432EC" w:rsidRPr="00D432EC" w:rsidRDefault="00D432EC" w:rsidP="00D432EC">
            <w:pPr>
              <w:jc w:val="left"/>
              <w:rPr>
                <w:sz w:val="6"/>
                <w:szCs w:val="18"/>
              </w:rPr>
            </w:pPr>
          </w:p>
        </w:tc>
        <w:tc>
          <w:tcPr>
            <w:tcW w:w="1239" w:type="dxa"/>
            <w:tcBorders>
              <w:left w:val="nil"/>
              <w:bottom w:val="single" w:sz="4" w:space="0" w:color="auto"/>
              <w:right w:val="nil"/>
            </w:tcBorders>
            <w:noWrap/>
            <w:vAlign w:val="center"/>
          </w:tcPr>
          <w:p w:rsidR="00D432EC" w:rsidRPr="00D432EC" w:rsidRDefault="00D432EC" w:rsidP="00D432EC">
            <w:pPr>
              <w:jc w:val="center"/>
              <w:rPr>
                <w:sz w:val="6"/>
                <w:szCs w:val="18"/>
              </w:rPr>
            </w:pPr>
          </w:p>
        </w:tc>
        <w:tc>
          <w:tcPr>
            <w:tcW w:w="1170" w:type="dxa"/>
            <w:tcBorders>
              <w:left w:val="nil"/>
              <w:bottom w:val="single" w:sz="4" w:space="0" w:color="auto"/>
              <w:right w:val="nil"/>
            </w:tcBorders>
            <w:noWrap/>
            <w:vAlign w:val="center"/>
          </w:tcPr>
          <w:p w:rsidR="00D432EC" w:rsidRPr="00D432EC" w:rsidRDefault="00D432EC" w:rsidP="00D432EC">
            <w:pPr>
              <w:jc w:val="center"/>
              <w:rPr>
                <w:sz w:val="6"/>
              </w:rPr>
            </w:pPr>
          </w:p>
        </w:tc>
        <w:tc>
          <w:tcPr>
            <w:tcW w:w="1276" w:type="dxa"/>
            <w:tcBorders>
              <w:left w:val="nil"/>
              <w:bottom w:val="single" w:sz="4" w:space="0" w:color="auto"/>
              <w:right w:val="nil"/>
            </w:tcBorders>
            <w:noWrap/>
            <w:vAlign w:val="center"/>
          </w:tcPr>
          <w:p w:rsidR="00D432EC" w:rsidRPr="00D432EC" w:rsidRDefault="00D432EC" w:rsidP="00D432EC">
            <w:pPr>
              <w:jc w:val="center"/>
              <w:rPr>
                <w:rFonts w:eastAsiaTheme="minorHAnsi"/>
                <w:sz w:val="6"/>
                <w:szCs w:val="18"/>
              </w:rPr>
            </w:pPr>
          </w:p>
        </w:tc>
      </w:tr>
      <w:tr w:rsidR="00A41F94" w:rsidRPr="00D432EC" w:rsidTr="00872E86">
        <w:trPr>
          <w:cantSplit/>
        </w:trPr>
        <w:tc>
          <w:tcPr>
            <w:tcW w:w="2262" w:type="dxa"/>
            <w:tcBorders>
              <w:top w:val="single" w:sz="4" w:space="0" w:color="auto"/>
            </w:tcBorders>
            <w:vAlign w:val="center"/>
          </w:tcPr>
          <w:p w:rsidR="00A41F94" w:rsidRPr="00D432EC" w:rsidRDefault="00A41F94" w:rsidP="001A4E29">
            <w:pPr>
              <w:ind w:right="195"/>
              <w:jc w:val="center"/>
              <w:rPr>
                <w:sz w:val="16"/>
                <w:szCs w:val="18"/>
              </w:rPr>
            </w:pPr>
            <w:r w:rsidRPr="00D432EC">
              <w:rPr>
                <w:sz w:val="16"/>
                <w:szCs w:val="18"/>
              </w:rPr>
              <w:t>Total</w:t>
            </w:r>
          </w:p>
        </w:tc>
        <w:tc>
          <w:tcPr>
            <w:tcW w:w="567" w:type="dxa"/>
            <w:tcBorders>
              <w:top w:val="single" w:sz="4" w:space="0" w:color="auto"/>
            </w:tcBorders>
            <w:noWrap/>
            <w:vAlign w:val="center"/>
            <w:hideMark/>
          </w:tcPr>
          <w:p w:rsidR="00A41F94" w:rsidRPr="00D432EC" w:rsidRDefault="00A41F94" w:rsidP="00D432EC">
            <w:pPr>
              <w:jc w:val="left"/>
              <w:rPr>
                <w:sz w:val="16"/>
                <w:szCs w:val="18"/>
              </w:rPr>
            </w:pPr>
            <w:r w:rsidRPr="00D432EC">
              <w:rPr>
                <w:sz w:val="16"/>
                <w:szCs w:val="18"/>
              </w:rPr>
              <w:t>12</w:t>
            </w:r>
          </w:p>
        </w:tc>
        <w:tc>
          <w:tcPr>
            <w:tcW w:w="1239" w:type="dxa"/>
            <w:tcBorders>
              <w:top w:val="single" w:sz="4" w:space="0" w:color="auto"/>
            </w:tcBorders>
            <w:noWrap/>
            <w:vAlign w:val="center"/>
          </w:tcPr>
          <w:p w:rsidR="00A41F94" w:rsidRPr="00D432EC" w:rsidRDefault="00A41F94" w:rsidP="00D432EC">
            <w:pPr>
              <w:jc w:val="center"/>
              <w:rPr>
                <w:rFonts w:eastAsiaTheme="minorHAnsi"/>
                <w:sz w:val="16"/>
                <w:szCs w:val="18"/>
              </w:rPr>
            </w:pPr>
            <w:r w:rsidRPr="00D432EC">
              <w:rPr>
                <w:sz w:val="16"/>
                <w:szCs w:val="18"/>
              </w:rPr>
              <w:t>3</w:t>
            </w:r>
          </w:p>
        </w:tc>
        <w:tc>
          <w:tcPr>
            <w:tcW w:w="1170" w:type="dxa"/>
            <w:tcBorders>
              <w:top w:val="single" w:sz="4" w:space="0" w:color="auto"/>
            </w:tcBorders>
            <w:noWrap/>
            <w:vAlign w:val="center"/>
          </w:tcPr>
          <w:p w:rsidR="00A41F94" w:rsidRPr="00D432EC" w:rsidRDefault="00A41F94" w:rsidP="00D432EC">
            <w:pPr>
              <w:jc w:val="center"/>
              <w:rPr>
                <w:rFonts w:eastAsiaTheme="minorHAnsi"/>
                <w:sz w:val="16"/>
                <w:szCs w:val="18"/>
              </w:rPr>
            </w:pPr>
            <w:r w:rsidRPr="00D432EC">
              <w:rPr>
                <w:sz w:val="16"/>
                <w:szCs w:val="18"/>
              </w:rPr>
              <w:t>4</w:t>
            </w:r>
          </w:p>
        </w:tc>
        <w:tc>
          <w:tcPr>
            <w:tcW w:w="1276" w:type="dxa"/>
            <w:tcBorders>
              <w:top w:val="single" w:sz="4" w:space="0" w:color="auto"/>
            </w:tcBorders>
            <w:noWrap/>
            <w:vAlign w:val="center"/>
          </w:tcPr>
          <w:p w:rsidR="00A41F94" w:rsidRPr="00D432EC" w:rsidRDefault="00A41F94" w:rsidP="00D432EC">
            <w:pPr>
              <w:jc w:val="center"/>
              <w:rPr>
                <w:rFonts w:eastAsiaTheme="minorHAnsi"/>
                <w:sz w:val="16"/>
                <w:szCs w:val="18"/>
              </w:rPr>
            </w:pPr>
            <w:r w:rsidRPr="00D432EC">
              <w:rPr>
                <w:sz w:val="16"/>
                <w:szCs w:val="18"/>
              </w:rPr>
              <w:t>5</w:t>
            </w:r>
          </w:p>
        </w:tc>
      </w:tr>
    </w:tbl>
    <w:p w:rsidR="00272B35" w:rsidRPr="001B600C" w:rsidRDefault="00272B35" w:rsidP="00FD02CA"/>
    <w:p w:rsidR="00272B35" w:rsidRPr="001B600C" w:rsidRDefault="00272B35" w:rsidP="00FD02CA">
      <w:r w:rsidRPr="001B600C">
        <w:fldChar w:fldCharType="begin"/>
      </w:r>
      <w:r w:rsidRPr="001B600C">
        <w:instrText xml:space="preserve"> AUTONUM  </w:instrText>
      </w:r>
      <w:r w:rsidRPr="001B600C">
        <w:fldChar w:fldCharType="end"/>
      </w:r>
      <w:r w:rsidRPr="001B600C">
        <w:tab/>
        <w:t xml:space="preserve">The participants noted that on the basis that resources would be allocated equally to the three approaches, it would be possible to cover all crops/species for Approaches 1 and 2 by the end of 2018.  In the case of Approach 3, the process would continue indefinitely according to an agreed prioritization.  </w:t>
      </w:r>
    </w:p>
    <w:p w:rsidR="00272B35" w:rsidRPr="001B600C" w:rsidRDefault="00272B35" w:rsidP="00FD02CA"/>
    <w:tbl>
      <w:tblPr>
        <w:tblW w:w="8683" w:type="dxa"/>
        <w:jc w:val="center"/>
        <w:tblInd w:w="179" w:type="dxa"/>
        <w:tblCellMar>
          <w:top w:w="57" w:type="dxa"/>
          <w:left w:w="57" w:type="dxa"/>
          <w:bottom w:w="28" w:type="dxa"/>
          <w:right w:w="57" w:type="dxa"/>
        </w:tblCellMar>
        <w:tblLook w:val="04A0" w:firstRow="1" w:lastRow="0" w:firstColumn="1" w:lastColumn="0" w:noHBand="0" w:noVBand="1"/>
      </w:tblPr>
      <w:tblGrid>
        <w:gridCol w:w="2233"/>
        <w:gridCol w:w="2271"/>
        <w:gridCol w:w="2017"/>
        <w:gridCol w:w="2162"/>
      </w:tblGrid>
      <w:tr w:rsidR="00272B35" w:rsidRPr="001B600C" w:rsidTr="00872E86">
        <w:trPr>
          <w:cantSplit/>
          <w:jc w:val="center"/>
        </w:trPr>
        <w:tc>
          <w:tcPr>
            <w:tcW w:w="2233"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272B35" w:rsidRPr="00872E86" w:rsidRDefault="00272B35" w:rsidP="00872E86">
            <w:pPr>
              <w:jc w:val="left"/>
              <w:rPr>
                <w:sz w:val="16"/>
              </w:rPr>
            </w:pPr>
            <w:r w:rsidRPr="00872E86">
              <w:rPr>
                <w:sz w:val="16"/>
              </w:rPr>
              <w:t>2018</w:t>
            </w:r>
          </w:p>
        </w:tc>
        <w:tc>
          <w:tcPr>
            <w:tcW w:w="2271"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272B35" w:rsidRPr="00872E86" w:rsidRDefault="00272B35" w:rsidP="00872E86">
            <w:pPr>
              <w:jc w:val="left"/>
              <w:rPr>
                <w:sz w:val="16"/>
              </w:rPr>
            </w:pPr>
            <w:r w:rsidRPr="00872E86">
              <w:rPr>
                <w:sz w:val="16"/>
              </w:rPr>
              <w:t>2019</w:t>
            </w:r>
          </w:p>
        </w:tc>
        <w:tc>
          <w:tcPr>
            <w:tcW w:w="2017" w:type="dxa"/>
            <w:tcBorders>
              <w:top w:val="single" w:sz="8" w:space="0" w:color="auto"/>
              <w:left w:val="nil"/>
              <w:bottom w:val="single" w:sz="8" w:space="0" w:color="auto"/>
              <w:right w:val="single" w:sz="8" w:space="0" w:color="auto"/>
            </w:tcBorders>
            <w:tcMar>
              <w:top w:w="28" w:type="dxa"/>
              <w:left w:w="57" w:type="dxa"/>
              <w:bottom w:w="28" w:type="dxa"/>
              <w:right w:w="57" w:type="dxa"/>
            </w:tcMar>
            <w:vAlign w:val="center"/>
            <w:hideMark/>
          </w:tcPr>
          <w:p w:rsidR="00272B35" w:rsidRPr="00872E86" w:rsidRDefault="00272B35" w:rsidP="00872E86">
            <w:pPr>
              <w:jc w:val="left"/>
              <w:rPr>
                <w:sz w:val="16"/>
              </w:rPr>
            </w:pPr>
            <w:r w:rsidRPr="00872E86">
              <w:rPr>
                <w:sz w:val="16"/>
              </w:rPr>
              <w:t>2020</w:t>
            </w:r>
          </w:p>
        </w:tc>
        <w:tc>
          <w:tcPr>
            <w:tcW w:w="2162" w:type="dxa"/>
            <w:tcBorders>
              <w:top w:val="single" w:sz="8" w:space="0" w:color="auto"/>
              <w:left w:val="nil"/>
              <w:bottom w:val="single" w:sz="8" w:space="0" w:color="auto"/>
              <w:right w:val="single" w:sz="8" w:space="0" w:color="auto"/>
            </w:tcBorders>
          </w:tcPr>
          <w:p w:rsidR="00272B35" w:rsidRPr="00872E86" w:rsidRDefault="00272B35" w:rsidP="00872E86">
            <w:pPr>
              <w:jc w:val="left"/>
              <w:rPr>
                <w:sz w:val="16"/>
              </w:rPr>
            </w:pPr>
            <w:r w:rsidRPr="00872E86">
              <w:rPr>
                <w:sz w:val="16"/>
              </w:rPr>
              <w:t>…</w:t>
            </w:r>
          </w:p>
        </w:tc>
      </w:tr>
      <w:tr w:rsidR="00272B35" w:rsidRPr="001B600C" w:rsidTr="00872E86">
        <w:trPr>
          <w:cantSplit/>
          <w:jc w:val="center"/>
        </w:trPr>
        <w:tc>
          <w:tcPr>
            <w:tcW w:w="2233"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272B35" w:rsidRPr="00872E86" w:rsidRDefault="00272B35" w:rsidP="00FD02CA">
            <w:pPr>
              <w:rPr>
                <w:sz w:val="16"/>
                <w:szCs w:val="18"/>
              </w:rPr>
            </w:pPr>
            <w:r w:rsidRPr="00872E86">
              <w:rPr>
                <w:sz w:val="16"/>
              </w:rPr>
              <w:t xml:space="preserve">Approach </w:t>
            </w:r>
            <w:r w:rsidRPr="00872E86">
              <w:rPr>
                <w:rFonts w:ascii="Times New Roman" w:hAnsi="Times New Roman"/>
                <w:sz w:val="16"/>
                <w:szCs w:val="18"/>
              </w:rPr>
              <w:t>1</w:t>
            </w:r>
            <w:r w:rsidRPr="00872E86">
              <w:rPr>
                <w:sz w:val="16"/>
              </w:rPr>
              <w:t>* complete</w:t>
            </w:r>
          </w:p>
        </w:tc>
        <w:tc>
          <w:tcPr>
            <w:tcW w:w="4288"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272B35" w:rsidRPr="00872E86" w:rsidRDefault="00272B35" w:rsidP="00FD02CA">
            <w:pPr>
              <w:rPr>
                <w:sz w:val="16"/>
              </w:rPr>
            </w:pPr>
          </w:p>
        </w:tc>
        <w:tc>
          <w:tcPr>
            <w:tcW w:w="2162" w:type="dxa"/>
            <w:tcBorders>
              <w:top w:val="nil"/>
              <w:left w:val="nil"/>
              <w:bottom w:val="single" w:sz="8" w:space="0" w:color="auto"/>
              <w:right w:val="single" w:sz="8" w:space="0" w:color="auto"/>
            </w:tcBorders>
            <w:shd w:val="clear" w:color="auto" w:fill="BFBFBF"/>
          </w:tcPr>
          <w:p w:rsidR="00272B35" w:rsidRPr="00872E86" w:rsidRDefault="00272B35" w:rsidP="00FD02CA">
            <w:pPr>
              <w:rPr>
                <w:sz w:val="16"/>
              </w:rPr>
            </w:pPr>
          </w:p>
        </w:tc>
      </w:tr>
      <w:tr w:rsidR="00272B35" w:rsidRPr="001B600C" w:rsidTr="00872E86">
        <w:trPr>
          <w:cantSplit/>
          <w:jc w:val="center"/>
        </w:trPr>
        <w:tc>
          <w:tcPr>
            <w:tcW w:w="2233"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rsidR="00272B35" w:rsidRPr="00872E86" w:rsidRDefault="00272B35" w:rsidP="00FD02CA">
            <w:pPr>
              <w:rPr>
                <w:sz w:val="16"/>
                <w:szCs w:val="18"/>
              </w:rPr>
            </w:pPr>
            <w:r w:rsidRPr="00872E86">
              <w:rPr>
                <w:sz w:val="16"/>
              </w:rPr>
              <w:t>Approach 2* complete</w:t>
            </w:r>
          </w:p>
        </w:tc>
        <w:tc>
          <w:tcPr>
            <w:tcW w:w="4288" w:type="dxa"/>
            <w:gridSpan w:val="2"/>
            <w:tcBorders>
              <w:top w:val="nil"/>
              <w:left w:val="nil"/>
              <w:bottom w:val="single" w:sz="8" w:space="0" w:color="auto"/>
              <w:right w:val="single" w:sz="8" w:space="0" w:color="auto"/>
            </w:tcBorders>
            <w:shd w:val="clear" w:color="auto" w:fill="BFBFBF"/>
            <w:tcMar>
              <w:top w:w="28" w:type="dxa"/>
              <w:left w:w="57" w:type="dxa"/>
              <w:bottom w:w="28" w:type="dxa"/>
              <w:right w:w="57" w:type="dxa"/>
            </w:tcMar>
            <w:vAlign w:val="center"/>
          </w:tcPr>
          <w:p w:rsidR="00272B35" w:rsidRPr="00872E86" w:rsidRDefault="00272B35" w:rsidP="00FD02CA">
            <w:pPr>
              <w:rPr>
                <w:sz w:val="16"/>
              </w:rPr>
            </w:pPr>
          </w:p>
        </w:tc>
        <w:tc>
          <w:tcPr>
            <w:tcW w:w="2162" w:type="dxa"/>
            <w:tcBorders>
              <w:top w:val="nil"/>
              <w:left w:val="nil"/>
              <w:bottom w:val="single" w:sz="8" w:space="0" w:color="auto"/>
              <w:right w:val="single" w:sz="8" w:space="0" w:color="auto"/>
            </w:tcBorders>
            <w:shd w:val="clear" w:color="auto" w:fill="BFBFBF"/>
          </w:tcPr>
          <w:p w:rsidR="00272B35" w:rsidRPr="00872E86" w:rsidRDefault="00272B35" w:rsidP="00FD02CA">
            <w:pPr>
              <w:rPr>
                <w:sz w:val="16"/>
              </w:rPr>
            </w:pPr>
          </w:p>
        </w:tc>
      </w:tr>
      <w:tr w:rsidR="00272B35" w:rsidRPr="001B600C" w:rsidTr="00872E86">
        <w:trPr>
          <w:cantSplit/>
          <w:jc w:val="center"/>
        </w:trPr>
        <w:tc>
          <w:tcPr>
            <w:tcW w:w="6521"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28" w:type="dxa"/>
              <w:left w:w="57" w:type="dxa"/>
              <w:bottom w:w="28" w:type="dxa"/>
              <w:right w:w="57" w:type="dxa"/>
            </w:tcMar>
            <w:vAlign w:val="center"/>
          </w:tcPr>
          <w:p w:rsidR="00272B35" w:rsidRPr="00872E86" w:rsidRDefault="00272B35" w:rsidP="00872E86">
            <w:pPr>
              <w:jc w:val="center"/>
              <w:rPr>
                <w:sz w:val="16"/>
                <w:szCs w:val="18"/>
              </w:rPr>
            </w:pPr>
            <w:r w:rsidRPr="00872E86">
              <w:rPr>
                <w:sz w:val="16"/>
              </w:rPr>
              <w:t>Approach 3</w:t>
            </w:r>
          </w:p>
        </w:tc>
        <w:tc>
          <w:tcPr>
            <w:tcW w:w="2162" w:type="dxa"/>
            <w:tcBorders>
              <w:top w:val="nil"/>
              <w:left w:val="nil"/>
              <w:bottom w:val="single" w:sz="8" w:space="0" w:color="auto"/>
              <w:right w:val="single" w:sz="8" w:space="0" w:color="auto"/>
            </w:tcBorders>
          </w:tcPr>
          <w:p w:rsidR="00272B35" w:rsidRPr="00872E86" w:rsidRDefault="00272B35" w:rsidP="00872E86">
            <w:pPr>
              <w:jc w:val="left"/>
              <w:rPr>
                <w:sz w:val="16"/>
              </w:rPr>
            </w:pPr>
            <w:r w:rsidRPr="00872E86">
              <w:rPr>
                <w:sz w:val="16"/>
              </w:rPr>
              <w:t>…</w:t>
            </w:r>
          </w:p>
        </w:tc>
      </w:tr>
    </w:tbl>
    <w:p w:rsidR="00272B35" w:rsidRPr="00872E86" w:rsidRDefault="00272B35" w:rsidP="00872E86">
      <w:pPr>
        <w:ind w:left="567"/>
        <w:rPr>
          <w:i/>
        </w:rPr>
      </w:pPr>
      <w:r w:rsidRPr="00872E86">
        <w:rPr>
          <w:i/>
          <w:sz w:val="16"/>
        </w:rPr>
        <w:t>*  depending on the number of Test Guidelines adopted and included in the Test Guidelines Template Database</w:t>
      </w:r>
    </w:p>
    <w:p w:rsidR="00272B35" w:rsidRPr="001B600C" w:rsidRDefault="00272B35" w:rsidP="00FD02CA"/>
    <w:p w:rsidR="00272B35" w:rsidRPr="001B600C" w:rsidRDefault="00272B35" w:rsidP="00FD02CA">
      <w:pPr>
        <w:rPr>
          <w:sz w:val="22"/>
          <w:szCs w:val="22"/>
        </w:rPr>
      </w:pPr>
      <w:r w:rsidRPr="001B600C">
        <w:fldChar w:fldCharType="begin"/>
      </w:r>
      <w:r w:rsidRPr="001B600C">
        <w:instrText xml:space="preserve"> AUTONUM  </w:instrText>
      </w:r>
      <w:r w:rsidRPr="001B600C">
        <w:fldChar w:fldCharType="end"/>
      </w:r>
      <w:r w:rsidRPr="001B600C">
        <w:tab/>
        <w:t>For all approaches, the order of priority for addition of crops/species would be decided in consultation with the EAF participa</w:t>
      </w:r>
      <w:r w:rsidR="00872E86">
        <w:t>nts</w:t>
      </w:r>
      <w:r w:rsidRPr="001B600C">
        <w:t xml:space="preserve">. </w:t>
      </w:r>
    </w:p>
    <w:p w:rsidR="00272B35" w:rsidRPr="001B600C" w:rsidRDefault="00272B35" w:rsidP="00FD02CA"/>
    <w:p w:rsidR="00272B35" w:rsidRPr="001B600C" w:rsidRDefault="00272B35" w:rsidP="00B16798">
      <w:pPr>
        <w:pStyle w:val="Heading2"/>
      </w:pPr>
      <w:bookmarkStart w:id="13" w:name="_Toc477541740"/>
      <w:bookmarkStart w:id="14" w:name="_Toc485110116"/>
      <w:r w:rsidRPr="001B600C">
        <w:t>Functionalities</w:t>
      </w:r>
      <w:bookmarkEnd w:id="13"/>
      <w:bookmarkEnd w:id="14"/>
    </w:p>
    <w:p w:rsidR="00272B35" w:rsidRPr="001B600C" w:rsidRDefault="00272B35" w:rsidP="00272B35">
      <w:pPr>
        <w:pStyle w:val="Heading3"/>
      </w:pPr>
    </w:p>
    <w:p w:rsidR="00272B35" w:rsidRPr="001B600C" w:rsidRDefault="00272B35" w:rsidP="00B16798">
      <w:pPr>
        <w:pStyle w:val="Heading3"/>
      </w:pPr>
      <w:r w:rsidRPr="001B600C">
        <w:t>Information for official variety list purposes</w:t>
      </w:r>
    </w:p>
    <w:p w:rsidR="005B5BE3" w:rsidRPr="005B5BE3" w:rsidRDefault="005B5BE3" w:rsidP="00B16798">
      <w:pPr>
        <w:pStyle w:val="Heading3"/>
      </w:pPr>
    </w:p>
    <w:p w:rsidR="00272B35" w:rsidRPr="001B600C" w:rsidRDefault="00272B35" w:rsidP="00FD02CA">
      <w:r w:rsidRPr="001B600C">
        <w:rPr>
          <w:color w:val="000000"/>
          <w:spacing w:val="-2"/>
        </w:rPr>
        <w:fldChar w:fldCharType="begin"/>
      </w:r>
      <w:r w:rsidRPr="001B600C">
        <w:rPr>
          <w:color w:val="000000"/>
          <w:spacing w:val="-2"/>
        </w:rPr>
        <w:instrText xml:space="preserve"> AUTONUM  </w:instrText>
      </w:r>
      <w:r w:rsidRPr="001B600C">
        <w:rPr>
          <w:color w:val="000000"/>
          <w:spacing w:val="-2"/>
        </w:rPr>
        <w:fldChar w:fldCharType="end"/>
      </w:r>
      <w:r w:rsidRPr="001B600C">
        <w:rPr>
          <w:color w:val="000000"/>
          <w:spacing w:val="-2"/>
        </w:rPr>
        <w:tab/>
      </w:r>
      <w:r w:rsidRPr="001B600C">
        <w:t>The participants agreed</w:t>
      </w:r>
      <w:r w:rsidRPr="001B600C">
        <w:rPr>
          <w:color w:val="000000"/>
          <w:spacing w:val="-2"/>
        </w:rPr>
        <w:t xml:space="preserve"> that, with regard to</w:t>
      </w:r>
      <w:r w:rsidRPr="001B600C">
        <w:t xml:space="preserve"> information for official variety list purposes, the requirements would be discussed individually with each of the participating members of the Union that </w:t>
      </w:r>
      <w:r w:rsidR="005B5BE3">
        <w:t xml:space="preserve">had </w:t>
      </w:r>
      <w:r w:rsidRPr="001B600C">
        <w:t>expressed a wish to include such information. In that regard, the participating member of the Union may also be invited to consider providing resources, in order to implement such requirements.</w:t>
      </w:r>
    </w:p>
    <w:p w:rsidR="00272B35" w:rsidRPr="001B600C" w:rsidRDefault="00272B35" w:rsidP="00B16798">
      <w:pPr>
        <w:spacing w:line="360" w:lineRule="auto"/>
      </w:pPr>
    </w:p>
    <w:p w:rsidR="00272B35" w:rsidRPr="001B600C" w:rsidRDefault="00272B35" w:rsidP="00B16798">
      <w:pPr>
        <w:pStyle w:val="Heading3"/>
      </w:pPr>
      <w:bookmarkStart w:id="15" w:name="_Toc457833225"/>
      <w:bookmarkStart w:id="16" w:name="_Toc461641449"/>
      <w:r w:rsidRPr="001B600C">
        <w:t>Payment</w:t>
      </w:r>
      <w:bookmarkEnd w:id="15"/>
      <w:bookmarkEnd w:id="16"/>
    </w:p>
    <w:p w:rsidR="00272B35" w:rsidRPr="005B5BE3" w:rsidRDefault="00272B35" w:rsidP="00B16798">
      <w:pPr>
        <w:pStyle w:val="Heading3"/>
      </w:pPr>
    </w:p>
    <w:p w:rsidR="00272B35" w:rsidRPr="001B600C" w:rsidRDefault="00272B35" w:rsidP="00FD02CA">
      <w:pPr>
        <w:rPr>
          <w:rFonts w:eastAsia="MS Mincho"/>
        </w:rPr>
      </w:pPr>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Pr="001B600C">
        <w:t>The participants noted</w:t>
      </w:r>
      <w:r w:rsidRPr="001B600C">
        <w:rPr>
          <w:rFonts w:eastAsia="MS Mincho"/>
        </w:rPr>
        <w:t xml:space="preserve"> that additional payment methods may be introduced in Version 2.0, e.g. current account or e-wallet. It was proposed to investigate those different possibilities and to report on their possible development at a subsequent EAF meeting.</w:t>
      </w:r>
    </w:p>
    <w:p w:rsidR="00272B35" w:rsidRPr="001B600C" w:rsidRDefault="00272B35" w:rsidP="00B16798">
      <w:pPr>
        <w:spacing w:line="360" w:lineRule="auto"/>
      </w:pPr>
    </w:p>
    <w:p w:rsidR="00272B35" w:rsidRPr="001B600C" w:rsidRDefault="00272B35" w:rsidP="00B16798">
      <w:pPr>
        <w:pStyle w:val="Heading3"/>
      </w:pPr>
      <w:r w:rsidRPr="001B600C">
        <w:t>Link to information available in the GENIE Database</w:t>
      </w:r>
    </w:p>
    <w:p w:rsidR="005B5BE3" w:rsidRPr="005B5BE3" w:rsidRDefault="005B5BE3" w:rsidP="00B16798">
      <w:pPr>
        <w:pStyle w:val="Heading3"/>
      </w:pPr>
    </w:p>
    <w:p w:rsidR="00272B35" w:rsidRPr="001B600C" w:rsidRDefault="00272B35" w:rsidP="00FD02CA">
      <w:r w:rsidRPr="001B600C">
        <w:fldChar w:fldCharType="begin"/>
      </w:r>
      <w:r w:rsidRPr="001B600C">
        <w:instrText xml:space="preserve"> AUTONUM  </w:instrText>
      </w:r>
      <w:r w:rsidRPr="001B600C">
        <w:fldChar w:fldCharType="end"/>
      </w:r>
      <w:r w:rsidRPr="001B600C">
        <w:tab/>
        <w:t>The participants noted</w:t>
      </w:r>
      <w:r w:rsidRPr="001B600C">
        <w:rPr>
          <w:rFonts w:eastAsia="MS Mincho"/>
          <w:spacing w:val="-2"/>
        </w:rPr>
        <w:t xml:space="preserve"> the proposal </w:t>
      </w:r>
      <w:r w:rsidRPr="001B600C">
        <w:t xml:space="preserve">to make a link in the EAF website to the information available in GENIE, in particular with regard to experience and cooperation in DUS examination. </w:t>
      </w:r>
    </w:p>
    <w:p w:rsidR="00272B35" w:rsidRDefault="00272B35" w:rsidP="00B16798"/>
    <w:p w:rsidR="00B16798" w:rsidRPr="001B600C" w:rsidRDefault="00B16798" w:rsidP="00B16798"/>
    <w:p w:rsidR="00272B35" w:rsidRPr="001B600C" w:rsidRDefault="00272B35" w:rsidP="00B16798">
      <w:pPr>
        <w:pStyle w:val="Heading2"/>
      </w:pPr>
      <w:bookmarkStart w:id="17" w:name="_Toc477541741"/>
      <w:bookmarkStart w:id="18" w:name="_Toc485110117"/>
      <w:r w:rsidRPr="001B600C">
        <w:t>Communication</w:t>
      </w:r>
      <w:bookmarkEnd w:id="17"/>
      <w:bookmarkEnd w:id="18"/>
    </w:p>
    <w:p w:rsidR="00272B35" w:rsidRPr="001B600C" w:rsidRDefault="00272B35" w:rsidP="00B16798">
      <w:pPr>
        <w:pStyle w:val="Heading2"/>
      </w:pPr>
    </w:p>
    <w:p w:rsidR="00272B35" w:rsidRPr="001B600C" w:rsidRDefault="00272B35" w:rsidP="00FD02CA">
      <w:pPr>
        <w:rPr>
          <w:rFonts w:eastAsia="MS Mincho"/>
          <w:spacing w:val="-2"/>
        </w:rPr>
      </w:pPr>
      <w:r w:rsidRPr="001B600C">
        <w:fldChar w:fldCharType="begin"/>
      </w:r>
      <w:r w:rsidRPr="001B600C">
        <w:instrText xml:space="preserve"> AUTONUM  </w:instrText>
      </w:r>
      <w:r w:rsidRPr="001B600C">
        <w:fldChar w:fldCharType="end"/>
      </w:r>
      <w:r w:rsidRPr="001B600C">
        <w:tab/>
        <w:t>The participants noted that</w:t>
      </w:r>
      <w:r w:rsidRPr="001B600C">
        <w:rPr>
          <w:rFonts w:eastAsia="MS Mincho"/>
          <w:spacing w:val="-2"/>
        </w:rPr>
        <w:t>:</w:t>
      </w:r>
    </w:p>
    <w:p w:rsidR="00272B35" w:rsidRPr="001B600C" w:rsidRDefault="00272B35" w:rsidP="00FD02CA">
      <w:pPr>
        <w:rPr>
          <w:rFonts w:eastAsia="MS Mincho"/>
        </w:rPr>
      </w:pPr>
    </w:p>
    <w:p w:rsidR="00272B35" w:rsidRDefault="00272B35" w:rsidP="0043283D">
      <w:pPr>
        <w:pStyle w:val="ListParagraph"/>
        <w:numPr>
          <w:ilvl w:val="0"/>
          <w:numId w:val="14"/>
        </w:numPr>
        <w:ind w:left="0" w:firstLine="567"/>
        <w:jc w:val="both"/>
        <w:rPr>
          <w:rFonts w:ascii="Arial" w:hAnsi="Arial"/>
          <w:sz w:val="20"/>
          <w:szCs w:val="20"/>
          <w:lang w:val="en-US"/>
        </w:rPr>
      </w:pPr>
      <w:r w:rsidRPr="005B5BE3">
        <w:rPr>
          <w:rFonts w:ascii="Arial" w:hAnsi="Arial"/>
          <w:sz w:val="20"/>
          <w:szCs w:val="20"/>
          <w:lang w:val="en-US"/>
        </w:rPr>
        <w:t>at the launch of the EAF, the Office of the Union had informed breeders’ organizations and PVP Offices on the availability of the system (see Circular</w:t>
      </w:r>
      <w:r w:rsidR="00740FAC">
        <w:rPr>
          <w:rFonts w:ascii="Arial" w:hAnsi="Arial"/>
          <w:sz w:val="20"/>
          <w:szCs w:val="20"/>
          <w:lang w:val="en-US"/>
        </w:rPr>
        <w:t>s</w:t>
      </w:r>
      <w:r w:rsidRPr="005B5BE3">
        <w:rPr>
          <w:rFonts w:ascii="Arial" w:hAnsi="Arial"/>
          <w:sz w:val="20"/>
          <w:szCs w:val="20"/>
          <w:lang w:val="en-US"/>
        </w:rPr>
        <w:t xml:space="preserve"> E</w:t>
      </w:r>
      <w:r w:rsidR="00740FAC">
        <w:rPr>
          <w:rFonts w:ascii="Arial" w:hAnsi="Arial"/>
          <w:sz w:val="20"/>
          <w:szCs w:val="20"/>
          <w:lang w:val="en-US"/>
        </w:rPr>
        <w:t>-</w:t>
      </w:r>
      <w:r w:rsidRPr="005B5BE3">
        <w:rPr>
          <w:rFonts w:ascii="Arial" w:hAnsi="Arial"/>
          <w:sz w:val="20"/>
          <w:szCs w:val="20"/>
          <w:lang w:val="en-US"/>
        </w:rPr>
        <w:t>17/007, E</w:t>
      </w:r>
      <w:r w:rsidR="00740FAC">
        <w:rPr>
          <w:rFonts w:ascii="Arial" w:hAnsi="Arial"/>
          <w:sz w:val="20"/>
          <w:szCs w:val="20"/>
          <w:lang w:val="en-US"/>
        </w:rPr>
        <w:t>-</w:t>
      </w:r>
      <w:r w:rsidRPr="005B5BE3">
        <w:rPr>
          <w:rFonts w:ascii="Arial" w:hAnsi="Arial"/>
          <w:sz w:val="20"/>
          <w:szCs w:val="20"/>
          <w:lang w:val="en-US"/>
        </w:rPr>
        <w:t>17/008 and E</w:t>
      </w:r>
      <w:r w:rsidR="00740FAC">
        <w:rPr>
          <w:rFonts w:ascii="Arial" w:hAnsi="Arial"/>
          <w:sz w:val="20"/>
          <w:szCs w:val="20"/>
          <w:lang w:val="en-US"/>
        </w:rPr>
        <w:t>-</w:t>
      </w:r>
      <w:r w:rsidRPr="005B5BE3">
        <w:rPr>
          <w:rFonts w:ascii="Arial" w:hAnsi="Arial"/>
          <w:sz w:val="20"/>
          <w:szCs w:val="20"/>
          <w:lang w:val="en-US"/>
        </w:rPr>
        <w:t>17/009), also inviting those parties to inform all their relevant stakeholders;</w:t>
      </w:r>
    </w:p>
    <w:p w:rsidR="0043283D" w:rsidRPr="0043283D" w:rsidRDefault="0043283D" w:rsidP="0043283D"/>
    <w:p w:rsidR="00272B35" w:rsidRDefault="00272B35" w:rsidP="0043283D">
      <w:pPr>
        <w:pStyle w:val="ListParagraph"/>
        <w:numPr>
          <w:ilvl w:val="0"/>
          <w:numId w:val="14"/>
        </w:numPr>
        <w:ind w:left="0" w:firstLine="567"/>
        <w:jc w:val="both"/>
        <w:rPr>
          <w:rFonts w:ascii="Arial" w:hAnsi="Arial"/>
          <w:sz w:val="20"/>
          <w:szCs w:val="20"/>
          <w:lang w:val="en-US"/>
        </w:rPr>
      </w:pPr>
      <w:r w:rsidRPr="005B5BE3">
        <w:rPr>
          <w:rFonts w:ascii="Arial" w:hAnsi="Arial"/>
          <w:color w:val="000000"/>
          <w:sz w:val="20"/>
          <w:szCs w:val="20"/>
          <w:lang w:val="en-US"/>
        </w:rPr>
        <w:t xml:space="preserve">a </w:t>
      </w:r>
      <w:r w:rsidRPr="005B5BE3">
        <w:rPr>
          <w:rFonts w:ascii="Arial" w:hAnsi="Arial"/>
          <w:sz w:val="20"/>
          <w:szCs w:val="20"/>
          <w:lang w:val="en-US"/>
        </w:rPr>
        <w:t>series of communication materials (e.g. posters and flyers) would be developed for UPOV members and breeders’ organizations;</w:t>
      </w:r>
    </w:p>
    <w:p w:rsidR="0043283D" w:rsidRPr="0043283D" w:rsidRDefault="0043283D" w:rsidP="0043283D"/>
    <w:p w:rsidR="00272B35" w:rsidRPr="005B5BE3" w:rsidRDefault="00272B35" w:rsidP="0043283D">
      <w:pPr>
        <w:pStyle w:val="ListParagraph"/>
        <w:numPr>
          <w:ilvl w:val="0"/>
          <w:numId w:val="14"/>
        </w:numPr>
        <w:ind w:left="0" w:firstLine="567"/>
        <w:jc w:val="both"/>
        <w:rPr>
          <w:rFonts w:ascii="Arial" w:hAnsi="Arial"/>
          <w:sz w:val="20"/>
          <w:szCs w:val="20"/>
          <w:lang w:val="en-US"/>
        </w:rPr>
      </w:pPr>
      <w:r w:rsidRPr="005B5BE3">
        <w:rPr>
          <w:rFonts w:ascii="Arial" w:hAnsi="Arial"/>
          <w:sz w:val="20"/>
          <w:szCs w:val="20"/>
          <w:lang w:val="en-US"/>
        </w:rPr>
        <w:t xml:space="preserve">meetings (including online sessions &amp; </w:t>
      </w:r>
      <w:r w:rsidR="00740FAC" w:rsidRPr="005B5BE3">
        <w:rPr>
          <w:rFonts w:ascii="Arial" w:hAnsi="Arial"/>
          <w:sz w:val="20"/>
          <w:szCs w:val="20"/>
          <w:lang w:val="en-US"/>
        </w:rPr>
        <w:t>webinars</w:t>
      </w:r>
      <w:r w:rsidRPr="005B5BE3">
        <w:rPr>
          <w:rFonts w:ascii="Arial" w:hAnsi="Arial"/>
          <w:sz w:val="20"/>
          <w:szCs w:val="20"/>
          <w:lang w:val="en-US"/>
        </w:rPr>
        <w:t>) would be organized for individual applicants or groups of applicants upon request, and training material (e.g. PowerPoint presentation, tutorials, e</w:t>
      </w:r>
      <w:r w:rsidRPr="005B5BE3">
        <w:rPr>
          <w:rFonts w:ascii="Arial" w:hAnsi="Arial"/>
          <w:sz w:val="20"/>
          <w:szCs w:val="20"/>
          <w:lang w:val="en-US"/>
        </w:rPr>
        <w:noBreakHyphen/>
        <w:t>learning) would be developed.</w:t>
      </w:r>
    </w:p>
    <w:p w:rsidR="00272B35" w:rsidRPr="001B600C" w:rsidRDefault="00272B35" w:rsidP="00FD02CA"/>
    <w:p w:rsidR="00272B35" w:rsidRPr="001B600C" w:rsidRDefault="00272B35" w:rsidP="00FD02CA">
      <w:r w:rsidRPr="001B600C">
        <w:fldChar w:fldCharType="begin"/>
      </w:r>
      <w:r w:rsidRPr="001B600C">
        <w:instrText xml:space="preserve"> AUTONUM  </w:instrText>
      </w:r>
      <w:r w:rsidRPr="001B600C">
        <w:fldChar w:fldCharType="end"/>
      </w:r>
      <w:r w:rsidRPr="001B600C">
        <w:tab/>
        <w:t>The participants noted the proposal made by some participating PVP Offices in the EAF to add a link to the EAF on their own website</w:t>
      </w:r>
      <w:r w:rsidR="00B16798">
        <w:t>s</w:t>
      </w:r>
      <w:r w:rsidRPr="001B600C">
        <w:t>.  It further agreed on the importance of PVP Offices to diffuse the information on the availability of the EAF tool to potential users (e.g. breeders, representatives, agents, etc.).</w:t>
      </w:r>
    </w:p>
    <w:p w:rsidR="00272B35" w:rsidRDefault="00272B35" w:rsidP="00B16798"/>
    <w:p w:rsidR="00B16798" w:rsidRPr="001B600C" w:rsidRDefault="00B16798" w:rsidP="00B16798"/>
    <w:p w:rsidR="00272B35" w:rsidRPr="001B600C" w:rsidRDefault="00272B35" w:rsidP="00B16798">
      <w:pPr>
        <w:pStyle w:val="Heading2"/>
      </w:pPr>
      <w:bookmarkStart w:id="19" w:name="_Toc477541742"/>
      <w:bookmarkStart w:id="20" w:name="_Toc485110118"/>
      <w:r w:rsidRPr="001B600C">
        <w:t>Support</w:t>
      </w:r>
      <w:bookmarkEnd w:id="19"/>
      <w:bookmarkEnd w:id="20"/>
    </w:p>
    <w:p w:rsidR="00272B35" w:rsidRPr="001B600C" w:rsidRDefault="00272B35" w:rsidP="00B16798">
      <w:pPr>
        <w:pStyle w:val="Heading2"/>
      </w:pPr>
    </w:p>
    <w:p w:rsidR="00272B35" w:rsidRPr="001B600C" w:rsidRDefault="00272B35" w:rsidP="00FD02CA">
      <w:r w:rsidRPr="001B600C">
        <w:fldChar w:fldCharType="begin"/>
      </w:r>
      <w:r w:rsidRPr="001B600C">
        <w:instrText xml:space="preserve"> AUTONUM  </w:instrText>
      </w:r>
      <w:r w:rsidRPr="001B600C">
        <w:fldChar w:fldCharType="end"/>
      </w:r>
      <w:r w:rsidRPr="001B600C">
        <w:tab/>
        <w:t>The participants noted</w:t>
      </w:r>
      <w:r w:rsidRPr="001B600C">
        <w:rPr>
          <w:rFonts w:eastAsia="MS Mincho"/>
          <w:spacing w:val="-2"/>
        </w:rPr>
        <w:t xml:space="preserve"> that a</w:t>
      </w:r>
      <w:r w:rsidRPr="001B600C">
        <w:t xml:space="preserve"> program of user-support and routine maintenance provisions for PVP Offices and users would be developed in consultation with EAF meetings, according to the needs expressed and resources available within the Office of the Union. </w:t>
      </w:r>
    </w:p>
    <w:p w:rsidR="00272B35" w:rsidRDefault="00272B35" w:rsidP="00B16798"/>
    <w:p w:rsidR="00B16798" w:rsidRPr="001B600C" w:rsidRDefault="00B16798" w:rsidP="00B16798"/>
    <w:p w:rsidR="00272B35" w:rsidRPr="001B600C" w:rsidRDefault="00272B35" w:rsidP="00B16798">
      <w:pPr>
        <w:pStyle w:val="Heading2"/>
      </w:pPr>
      <w:bookmarkStart w:id="21" w:name="_Toc477541743"/>
      <w:bookmarkStart w:id="22" w:name="_Toc485110119"/>
      <w:r w:rsidRPr="001B600C">
        <w:t>Name</w:t>
      </w:r>
      <w:bookmarkEnd w:id="21"/>
      <w:bookmarkEnd w:id="22"/>
    </w:p>
    <w:p w:rsidR="00272B35" w:rsidRPr="001B600C" w:rsidRDefault="00272B35" w:rsidP="00B16798">
      <w:pPr>
        <w:pStyle w:val="Heading2"/>
      </w:pPr>
    </w:p>
    <w:p w:rsidR="00272B35" w:rsidRDefault="00272B35" w:rsidP="001F2358">
      <w:pPr>
        <w:keepNext/>
      </w:pPr>
      <w:r w:rsidRPr="001B600C">
        <w:fldChar w:fldCharType="begin"/>
      </w:r>
      <w:r w:rsidRPr="001B600C">
        <w:instrText xml:space="preserve"> AUTONUM  </w:instrText>
      </w:r>
      <w:r w:rsidRPr="001B600C">
        <w:fldChar w:fldCharType="end"/>
      </w:r>
      <w:r w:rsidRPr="001B600C">
        <w:tab/>
        <w:t xml:space="preserve">The EAF/9 meeting considered the name “PRISMA” (Plant variety data Routing Information System using Multilingual Application forms) as a new name for the EAF and the </w:t>
      </w:r>
      <w:r w:rsidR="00740FAC">
        <w:t xml:space="preserve">following </w:t>
      </w:r>
      <w:r w:rsidRPr="001B600C">
        <w:t>logo</w:t>
      </w:r>
      <w:r w:rsidR="00740FAC">
        <w:t>,</w:t>
      </w:r>
      <w:r w:rsidRPr="001B600C">
        <w:t xml:space="preserve"> presented at the meeting</w:t>
      </w:r>
      <w:r w:rsidR="001F2358">
        <w:t>:</w:t>
      </w:r>
    </w:p>
    <w:p w:rsidR="00DF2F16" w:rsidRDefault="00DF2F16" w:rsidP="001F2358">
      <w:pPr>
        <w:keepNext/>
      </w:pPr>
    </w:p>
    <w:p w:rsidR="00DF2F16" w:rsidRPr="001B600C" w:rsidRDefault="00DF2F16" w:rsidP="001F2358">
      <w:pPr>
        <w:ind w:left="567"/>
      </w:pPr>
      <w:r>
        <w:rPr>
          <w:noProof/>
        </w:rPr>
        <w:drawing>
          <wp:inline distT="0" distB="0" distL="0" distR="0" wp14:anchorId="6618EFF4" wp14:editId="65BA62F1">
            <wp:extent cx="400050" cy="457200"/>
            <wp:effectExtent l="0" t="0" r="0" b="0"/>
            <wp:docPr id="1" name="Picture 1" descr="N:\OrgUPOV\Shared\UPOV_EAF\logo_PRISMA\PRISMA_Logo_final\CR_logos\prisma-color-4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UPOV_EAF\logo_PRISMA\PRISMA_Logo_final\CR_logos\prisma-color-48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p>
    <w:p w:rsidR="00272B35" w:rsidRPr="001B600C" w:rsidRDefault="00272B35" w:rsidP="00FD02CA"/>
    <w:p w:rsidR="00272B35" w:rsidRPr="001B600C" w:rsidRDefault="00272B35" w:rsidP="001F2358">
      <w:pPr>
        <w:spacing w:after="720"/>
      </w:pPr>
      <w:r w:rsidRPr="001B600C">
        <w:fldChar w:fldCharType="begin"/>
      </w:r>
      <w:r w:rsidRPr="001B600C">
        <w:instrText xml:space="preserve"> AUTONUM  </w:instrText>
      </w:r>
      <w:r w:rsidRPr="001B600C">
        <w:fldChar w:fldCharType="end"/>
      </w:r>
      <w:r w:rsidRPr="001B600C">
        <w:tab/>
        <w:t xml:space="preserve">The EAF/9 meeting agreed </w:t>
      </w:r>
      <w:r w:rsidR="001F2358">
        <w:t xml:space="preserve">that </w:t>
      </w:r>
      <w:r w:rsidRPr="001B600C">
        <w:t xml:space="preserve">the name </w:t>
      </w:r>
      <w:r w:rsidR="001F2358">
        <w:t>“PRISMA”</w:t>
      </w:r>
      <w:r w:rsidRPr="001B600C">
        <w:t xml:space="preserve"> </w:t>
      </w:r>
      <w:r w:rsidR="001F2358">
        <w:t xml:space="preserve">and the proposed </w:t>
      </w:r>
      <w:r w:rsidRPr="001B600C">
        <w:t>logo</w:t>
      </w:r>
      <w:r w:rsidR="001F2358">
        <w:t xml:space="preserve"> should </w:t>
      </w:r>
      <w:r w:rsidRPr="001B600C">
        <w:t xml:space="preserve">be </w:t>
      </w:r>
      <w:r w:rsidRPr="009A33F9">
        <w:t>proposed</w:t>
      </w:r>
      <w:r w:rsidRPr="001B600C">
        <w:t xml:space="preserve"> </w:t>
      </w:r>
      <w:r w:rsidR="001F2358">
        <w:t xml:space="preserve">for approval </w:t>
      </w:r>
      <w:r w:rsidRPr="001B600C">
        <w:t>at the fifty-first ordinary session of the Council, to be held in Geneva on October 26, 2017.</w:t>
      </w:r>
    </w:p>
    <w:p w:rsidR="00272B35" w:rsidRPr="001B600C" w:rsidRDefault="00272B35" w:rsidP="00B16798">
      <w:pPr>
        <w:pStyle w:val="Heading1"/>
      </w:pPr>
      <w:bookmarkStart w:id="23" w:name="_Toc485110120"/>
      <w:r w:rsidRPr="001B600C">
        <w:t>Latest developments</w:t>
      </w:r>
      <w:bookmarkEnd w:id="23"/>
    </w:p>
    <w:p w:rsidR="00272B35" w:rsidRPr="00740FAC" w:rsidRDefault="00272B35" w:rsidP="00B16798">
      <w:pPr>
        <w:pStyle w:val="Heading1"/>
      </w:pPr>
    </w:p>
    <w:p w:rsidR="00272B35" w:rsidRPr="001B600C" w:rsidRDefault="00272B35" w:rsidP="00B16798">
      <w:pPr>
        <w:keepNext/>
      </w:pPr>
      <w:r w:rsidRPr="001B600C">
        <w:fldChar w:fldCharType="begin"/>
      </w:r>
      <w:r w:rsidRPr="001B600C">
        <w:instrText xml:space="preserve"> AUTONUM  </w:instrText>
      </w:r>
      <w:r w:rsidRPr="001B600C">
        <w:fldChar w:fldCharType="end"/>
      </w:r>
      <w:r w:rsidRPr="001B600C">
        <w:tab/>
      </w:r>
      <w:r w:rsidR="00740FAC">
        <w:t>The Office of the Union reported that Ecuador had</w:t>
      </w:r>
      <w:r w:rsidRPr="001B600C">
        <w:t xml:space="preserve"> indicated to the Office of the Union its interest to participate in the EAF.  </w:t>
      </w:r>
    </w:p>
    <w:p w:rsidR="00272B35" w:rsidRPr="001B600C" w:rsidRDefault="00272B35" w:rsidP="00B16798">
      <w:pPr>
        <w:keepNext/>
      </w:pPr>
    </w:p>
    <w:p w:rsidR="00272B35" w:rsidRPr="001B600C" w:rsidRDefault="00272B35" w:rsidP="00FD02CA">
      <w:r w:rsidRPr="001B600C">
        <w:fldChar w:fldCharType="begin"/>
      </w:r>
      <w:r w:rsidRPr="001B600C">
        <w:instrText xml:space="preserve"> AUTONUM  </w:instrText>
      </w:r>
      <w:r w:rsidRPr="001B600C">
        <w:fldChar w:fldCharType="end"/>
      </w:r>
      <w:r w:rsidRPr="001B600C">
        <w:tab/>
      </w:r>
      <w:r w:rsidR="001F2358">
        <w:t xml:space="preserve">The Office of the Union </w:t>
      </w:r>
      <w:r w:rsidR="00740FAC">
        <w:t xml:space="preserve">also </w:t>
      </w:r>
      <w:r w:rsidR="001F2358">
        <w:t xml:space="preserve">explained that </w:t>
      </w:r>
      <w:r w:rsidR="001F2358" w:rsidRPr="001B600C">
        <w:t xml:space="preserve">members </w:t>
      </w:r>
      <w:r w:rsidRPr="001B600C">
        <w:t xml:space="preserve">of the Union that </w:t>
      </w:r>
      <w:r w:rsidR="001F2358">
        <w:t xml:space="preserve">had </w:t>
      </w:r>
      <w:r w:rsidRPr="001B600C">
        <w:t>not participated in PV2 or Version 1.</w:t>
      </w:r>
      <w:r w:rsidRPr="009A33F9">
        <w:t>1 would be able</w:t>
      </w:r>
      <w:r w:rsidR="001F2358">
        <w:t xml:space="preserve"> t</w:t>
      </w:r>
      <w:r w:rsidRPr="001B600C">
        <w:t xml:space="preserve">o be included after the release of Version 2.0. </w:t>
      </w:r>
      <w:r w:rsidR="001F2358">
        <w:t xml:space="preserve"> </w:t>
      </w:r>
      <w:r w:rsidRPr="001B600C">
        <w:t>Such members of the Union would need to provide their forms for the selected crops (application form and technical questionnaire) in a UPOV language and, if appropriate, to provide translations of t</w:t>
      </w:r>
      <w:r w:rsidR="001F2358">
        <w:t>he questions of the application</w:t>
      </w:r>
      <w:r w:rsidRPr="001B600C">
        <w:t xml:space="preserve"> forms and </w:t>
      </w:r>
      <w:r w:rsidRPr="001B600C">
        <w:rPr>
          <w:snapToGrid w:val="0"/>
        </w:rPr>
        <w:t xml:space="preserve">technical questionnaires of the other </w:t>
      </w:r>
      <w:r w:rsidR="001F2358">
        <w:rPr>
          <w:snapToGrid w:val="0"/>
        </w:rPr>
        <w:t>languages used in the EAF</w:t>
      </w:r>
      <w:r w:rsidRPr="001B600C">
        <w:t xml:space="preserve">. </w:t>
      </w:r>
      <w:r w:rsidR="001F2358">
        <w:t xml:space="preserve"> </w:t>
      </w:r>
      <w:r w:rsidRPr="001B600C">
        <w:t xml:space="preserve">The timetable for addition of new members of the Union would be subject to available resources and would vary according to the content of the application forms and </w:t>
      </w:r>
      <w:r w:rsidRPr="001B600C">
        <w:rPr>
          <w:snapToGrid w:val="0"/>
        </w:rPr>
        <w:t>technical questionnaires</w:t>
      </w:r>
      <w:r w:rsidRPr="001B600C">
        <w:t>.</w:t>
      </w:r>
    </w:p>
    <w:p w:rsidR="00272B35" w:rsidRDefault="00272B35" w:rsidP="00FD02CA"/>
    <w:p w:rsidR="00B16798" w:rsidRDefault="00B16798" w:rsidP="00FD02CA"/>
    <w:p w:rsidR="00B16798" w:rsidRPr="001B600C" w:rsidRDefault="00B16798" w:rsidP="00FD02CA"/>
    <w:p w:rsidR="00EA3E13" w:rsidRPr="001B600C" w:rsidRDefault="00EA3E13" w:rsidP="00B16798">
      <w:pPr>
        <w:pStyle w:val="Heading1"/>
      </w:pPr>
      <w:r w:rsidRPr="001B600C">
        <w:t>Date of next meeting</w:t>
      </w:r>
    </w:p>
    <w:p w:rsidR="00EA3E13" w:rsidRPr="001B600C" w:rsidRDefault="00EA3E13" w:rsidP="00FD02CA"/>
    <w:p w:rsidR="00EA3E13" w:rsidRPr="001B600C" w:rsidRDefault="00EA3E13" w:rsidP="00FD02CA">
      <w:r w:rsidRPr="001B600C">
        <w:fldChar w:fldCharType="begin"/>
      </w:r>
      <w:r w:rsidRPr="001B600C">
        <w:instrText xml:space="preserve"> AUTONUM  </w:instrText>
      </w:r>
      <w:r w:rsidRPr="001B600C">
        <w:fldChar w:fldCharType="end"/>
      </w:r>
      <w:r w:rsidRPr="001B600C">
        <w:tab/>
        <w:t>The next meeting of the EAF (EAF/</w:t>
      </w:r>
      <w:r w:rsidR="0003583A" w:rsidRPr="001B600C">
        <w:t>10</w:t>
      </w:r>
      <w:r w:rsidR="001F2358">
        <w:t xml:space="preserve"> meeting</w:t>
      </w:r>
      <w:r w:rsidRPr="001B600C">
        <w:t xml:space="preserve">) was agreed to be held in Geneva on </w:t>
      </w:r>
      <w:r w:rsidR="001B31E9" w:rsidRPr="001B600C">
        <w:t>the afternoon of Friday October</w:t>
      </w:r>
      <w:r w:rsidRPr="001B600C">
        <w:t xml:space="preserve"> </w:t>
      </w:r>
      <w:r w:rsidR="001B31E9" w:rsidRPr="001B600C">
        <w:t>27</w:t>
      </w:r>
      <w:r w:rsidRPr="001B600C">
        <w:t>, 2017.</w:t>
      </w:r>
    </w:p>
    <w:p w:rsidR="00732484" w:rsidRPr="001B600C" w:rsidRDefault="00732484" w:rsidP="00FD02CA"/>
    <w:p w:rsidR="006B3305" w:rsidRDefault="006B3305" w:rsidP="006B3305">
      <w:pPr>
        <w:tabs>
          <w:tab w:val="left" w:pos="5387"/>
        </w:tabs>
        <w:ind w:left="4820"/>
        <w:rPr>
          <w:rFonts w:eastAsiaTheme="minorHAnsi"/>
          <w:i/>
        </w:rPr>
      </w:pPr>
      <w:r w:rsidRPr="00490771">
        <w:rPr>
          <w:rFonts w:eastAsiaTheme="minorHAnsi"/>
          <w:i/>
        </w:rPr>
        <w:fldChar w:fldCharType="begin"/>
      </w:r>
      <w:r w:rsidRPr="00490771">
        <w:rPr>
          <w:rFonts w:eastAsiaTheme="minorHAnsi"/>
          <w:i/>
        </w:rPr>
        <w:instrText xml:space="preserve"> AUTONUM  </w:instrText>
      </w:r>
      <w:r w:rsidRPr="00490771">
        <w:rPr>
          <w:rFonts w:eastAsiaTheme="minorHAnsi"/>
          <w:i/>
        </w:rPr>
        <w:fldChar w:fldCharType="end"/>
      </w:r>
      <w:r w:rsidRPr="00490771">
        <w:rPr>
          <w:rFonts w:eastAsiaTheme="minorHAnsi"/>
          <w:i/>
        </w:rPr>
        <w:tab/>
        <w:t>This report was adopted by correspondence.</w:t>
      </w:r>
    </w:p>
    <w:p w:rsidR="006B3305" w:rsidRDefault="006B3305" w:rsidP="006B3305"/>
    <w:p w:rsidR="006B3305" w:rsidRDefault="006B3305" w:rsidP="006B3305"/>
    <w:p w:rsidR="006228C8" w:rsidRPr="001B600C" w:rsidRDefault="006228C8" w:rsidP="00FD02CA"/>
    <w:p w:rsidR="006228C8" w:rsidRPr="001B600C" w:rsidRDefault="006228C8" w:rsidP="00FD02CA"/>
    <w:p w:rsidR="009B440E" w:rsidRPr="001B600C" w:rsidRDefault="00050E16" w:rsidP="00B16798">
      <w:pPr>
        <w:jc w:val="right"/>
      </w:pPr>
      <w:r w:rsidRPr="001B600C">
        <w:t>[</w:t>
      </w:r>
      <w:r w:rsidR="002E3CCF" w:rsidRPr="001B600C">
        <w:t>Annexes follow</w:t>
      </w:r>
      <w:r w:rsidRPr="001B600C">
        <w:t>]</w:t>
      </w:r>
    </w:p>
    <w:p w:rsidR="00903264" w:rsidRPr="001B600C" w:rsidRDefault="00903264" w:rsidP="00FD02CA"/>
    <w:p w:rsidR="00666DA5" w:rsidRPr="001B600C" w:rsidRDefault="00666DA5" w:rsidP="00FD02CA"/>
    <w:p w:rsidR="003E3020" w:rsidRPr="001B600C" w:rsidRDefault="003E3020" w:rsidP="00FD02CA">
      <w:pPr>
        <w:sectPr w:rsidR="003E3020" w:rsidRPr="001B600C" w:rsidSect="00D432EC">
          <w:headerReference w:type="default" r:id="rId12"/>
          <w:footerReference w:type="first" r:id="rId13"/>
          <w:pgSz w:w="11907" w:h="16840" w:code="9"/>
          <w:pgMar w:top="510" w:right="1134" w:bottom="1134" w:left="1134" w:header="510" w:footer="680" w:gutter="0"/>
          <w:cols w:space="720"/>
          <w:titlePg/>
        </w:sectPr>
      </w:pPr>
    </w:p>
    <w:p w:rsidR="003E3020" w:rsidRPr="001B600C" w:rsidRDefault="006B3305" w:rsidP="001F2358">
      <w:pPr>
        <w:jc w:val="center"/>
      </w:pPr>
      <w:r>
        <w:t>UPOV/EAF/9/3</w:t>
      </w:r>
    </w:p>
    <w:p w:rsidR="003E3020" w:rsidRPr="001B600C" w:rsidRDefault="003E3020" w:rsidP="001F2358">
      <w:pPr>
        <w:jc w:val="center"/>
      </w:pPr>
    </w:p>
    <w:p w:rsidR="003E3020" w:rsidRPr="001B600C" w:rsidRDefault="003E3020" w:rsidP="001F2358">
      <w:pPr>
        <w:jc w:val="center"/>
      </w:pPr>
      <w:r w:rsidRPr="001B600C">
        <w:t>ANNEX I</w:t>
      </w:r>
    </w:p>
    <w:p w:rsidR="003E3020" w:rsidRDefault="003E3020" w:rsidP="001F2358">
      <w:pPr>
        <w:jc w:val="center"/>
      </w:pPr>
    </w:p>
    <w:p w:rsidR="001F2358" w:rsidRPr="001B600C" w:rsidRDefault="001F2358" w:rsidP="001F2358">
      <w:pPr>
        <w:jc w:val="center"/>
      </w:pPr>
    </w:p>
    <w:p w:rsidR="0003583A" w:rsidRPr="001B600C" w:rsidRDefault="0003583A" w:rsidP="001F2358">
      <w:pPr>
        <w:jc w:val="center"/>
      </w:pPr>
      <w:r w:rsidRPr="001B600C">
        <w:t>LISTE DES PARTICIPANTS / LIST OF PARTICIPANTS /</w:t>
      </w:r>
      <w:r w:rsidRPr="001B600C">
        <w:br/>
        <w:t>TEILNEHMERLISTE / LISTA DE PARTICIPANTES</w:t>
      </w:r>
      <w:r w:rsidRPr="001B600C">
        <w:br/>
      </w:r>
      <w:r w:rsidRPr="001B600C">
        <w:br/>
        <w:t xml:space="preserve">(dans l’ordre alphabétique des noms français des membres / </w:t>
      </w:r>
      <w:r w:rsidRPr="001B600C">
        <w:br/>
        <w:t xml:space="preserve">in the alphabetical order of the French names of the Members / </w:t>
      </w:r>
      <w:r w:rsidRPr="001B600C">
        <w:br/>
        <w:t xml:space="preserve">in alphabetischer Reihenfolge der französischen Namen der Mitglieder / </w:t>
      </w:r>
      <w:r w:rsidRPr="001B600C">
        <w:br/>
        <w:t>por orden alfabético de los nombres en francés de los miembros)</w:t>
      </w:r>
    </w:p>
    <w:p w:rsidR="0003583A" w:rsidRPr="001B600C" w:rsidRDefault="0003583A" w:rsidP="00FD02CA">
      <w:pPr>
        <w:pStyle w:val="plheading"/>
      </w:pPr>
      <w:r w:rsidRPr="001B600C">
        <w:t>I. MEMBRES / MEMBERS / VERBANDSMITGLIEDER / MIEMBROS</w:t>
      </w:r>
    </w:p>
    <w:p w:rsidR="0003583A" w:rsidRPr="001B600C" w:rsidRDefault="0003583A" w:rsidP="00FD02CA">
      <w:pPr>
        <w:pStyle w:val="plcountry"/>
      </w:pPr>
      <w:r w:rsidRPr="001B600C">
        <w:t>ARGENTINE / ARGENTINA / ARGENTINIEN / ARGENTINA</w:t>
      </w:r>
    </w:p>
    <w:p w:rsidR="0003583A" w:rsidRPr="001B600C" w:rsidRDefault="0003583A" w:rsidP="00FD02CA">
      <w:pPr>
        <w:pStyle w:val="pldetails"/>
      </w:pPr>
      <w:r w:rsidRPr="001B600C">
        <w:t xml:space="preserve">Raimundo LAVIGNOLLE, Presidente del Directorio, Instituto Nacional de Semillas (INASE), </w:t>
      </w:r>
      <w:r w:rsidRPr="001B600C">
        <w:br/>
        <w:t xml:space="preserve">Secretaría de Agricultura, Ganadería y Pesca, Ministerio de Economía, Buenos Aires  </w:t>
      </w:r>
      <w:r w:rsidRPr="001B600C">
        <w:br/>
        <w:t xml:space="preserve">(e-mail: rlavignolle@inase.gov.ar) </w:t>
      </w:r>
    </w:p>
    <w:p w:rsidR="0003583A" w:rsidRPr="001B600C" w:rsidRDefault="0003583A" w:rsidP="00FD02CA">
      <w:pPr>
        <w:pStyle w:val="pldetails"/>
      </w:pPr>
      <w:r w:rsidRPr="001B600C">
        <w:t xml:space="preserve">María Laura VILLAMAYOR (Sra.), Abogada, Unidad Presidencia, Instituto Nacional de Semillas (INASE), Secretaría de Agricultura, Ganadería y Pesca, Ministerio de Economía, Buenos Aires  </w:t>
      </w:r>
      <w:r w:rsidRPr="001B600C">
        <w:br/>
        <w:t xml:space="preserve">(e-mail: mlvillamayor@inase.gov.ar) </w:t>
      </w:r>
    </w:p>
    <w:p w:rsidR="0003583A" w:rsidRPr="001B600C" w:rsidRDefault="0003583A" w:rsidP="00FD02CA">
      <w:pPr>
        <w:pStyle w:val="plcountry"/>
      </w:pPr>
      <w:r w:rsidRPr="001B600C">
        <w:t>AUSTRALIE / AUSTRALIA / AUSTRALIEN / AUSTRALIA</w:t>
      </w:r>
    </w:p>
    <w:p w:rsidR="0003583A" w:rsidRPr="001B600C" w:rsidRDefault="0003583A" w:rsidP="00FD02CA">
      <w:pPr>
        <w:pStyle w:val="pldetails"/>
      </w:pPr>
      <w:r w:rsidRPr="001B600C">
        <w:t xml:space="preserve">Nik HULSE, Chief of Plant Breeders' Rights, Plant Breeder's Rights Office, IP Australia, Woden </w:t>
      </w:r>
      <w:r w:rsidRPr="001B600C">
        <w:br/>
        <w:t xml:space="preserve">(e-mail: nik.hulse@ipaustralia.gov.au) </w:t>
      </w:r>
    </w:p>
    <w:p w:rsidR="0003583A" w:rsidRPr="001B600C" w:rsidRDefault="0003583A" w:rsidP="00FD02CA">
      <w:pPr>
        <w:pStyle w:val="pldetails"/>
      </w:pPr>
      <w:r w:rsidRPr="001B600C">
        <w:t xml:space="preserve">Tanvir HOSSAIN, Senior Examiner, Plant Breeder's Rights Office, IP Australia, Woden </w:t>
      </w:r>
      <w:r w:rsidRPr="001B600C">
        <w:br/>
        <w:t xml:space="preserve">(e-mail: tanvir.hossain@ipaustralia.gov.au) </w:t>
      </w:r>
    </w:p>
    <w:p w:rsidR="0003583A" w:rsidRPr="001B600C" w:rsidRDefault="0003583A" w:rsidP="00FD02CA">
      <w:pPr>
        <w:pStyle w:val="plcountry"/>
      </w:pPr>
      <w:r w:rsidRPr="001B600C">
        <w:t>BÉLARUS / BELARUS / BELARUS / BELARÚS</w:t>
      </w:r>
    </w:p>
    <w:p w:rsidR="0003583A" w:rsidRPr="001B600C" w:rsidRDefault="0003583A" w:rsidP="00FD02CA">
      <w:pPr>
        <w:pStyle w:val="pldetails"/>
      </w:pPr>
      <w:r w:rsidRPr="001B600C">
        <w:t xml:space="preserve">Uladzimir BEINIA, Director, State Inspection for Testing and Protection of Plant Varieties, Minsk  </w:t>
      </w:r>
      <w:r w:rsidRPr="001B600C">
        <w:br/>
        <w:t xml:space="preserve">(e-mail: belsort@mail.ru) </w:t>
      </w:r>
    </w:p>
    <w:p w:rsidR="0003583A" w:rsidRPr="001B600C" w:rsidRDefault="0003583A" w:rsidP="00FD02CA">
      <w:pPr>
        <w:pStyle w:val="pldetails"/>
      </w:pPr>
      <w:r w:rsidRPr="001B600C">
        <w:t xml:space="preserve">Tatsiana SIAMASHKA (Mrs.), Deputy Director of DUS Testing, State Inspection for Testing and Protection of Plant Varieties, Minsk  </w:t>
      </w:r>
      <w:r w:rsidRPr="001B600C">
        <w:br/>
        <w:t xml:space="preserve">(e-mail: tatianasortr@mail.ru) </w:t>
      </w:r>
    </w:p>
    <w:p w:rsidR="0003583A" w:rsidRPr="001B600C" w:rsidRDefault="0003583A" w:rsidP="00FD02CA">
      <w:pPr>
        <w:pStyle w:val="pldetails"/>
      </w:pPr>
      <w:r w:rsidRPr="001B600C">
        <w:t xml:space="preserve">Maryna SALADUKHA (Ms.), Head, International Cooperation Department, State Inspection for Testing and Protection of Plant Varieties, Minsk  </w:t>
      </w:r>
      <w:r w:rsidRPr="001B600C">
        <w:br/>
        <w:t xml:space="preserve">(e-mail: belsort@mail.ru) </w:t>
      </w:r>
    </w:p>
    <w:p w:rsidR="0003583A" w:rsidRPr="001B600C" w:rsidRDefault="0003583A" w:rsidP="00FD02CA">
      <w:pPr>
        <w:pStyle w:val="plcountry"/>
      </w:pPr>
      <w:r w:rsidRPr="001B600C">
        <w:t>BELGIQUE / BELGIUM / BELGIEN / BÉLGICA</w:t>
      </w:r>
    </w:p>
    <w:p w:rsidR="0003583A" w:rsidRPr="001B600C" w:rsidRDefault="0003583A" w:rsidP="00FD02CA">
      <w:pPr>
        <w:pStyle w:val="pldetails"/>
      </w:pPr>
      <w:r w:rsidRPr="001B600C">
        <w:t xml:space="preserve">Björn COENE, Attaché, Office de la Propriété Intellectuelle, Direction générale de la Réglementation économique, Bruxelles  </w:t>
      </w:r>
      <w:r w:rsidRPr="001B600C">
        <w:br/>
        <w:t xml:space="preserve">(e-mail: bjorn.coene@economie.fgov.be) </w:t>
      </w:r>
    </w:p>
    <w:p w:rsidR="0003583A" w:rsidRPr="001B600C" w:rsidRDefault="0003583A" w:rsidP="00FD02CA">
      <w:pPr>
        <w:pStyle w:val="plcountry"/>
      </w:pPr>
      <w:r w:rsidRPr="001B600C">
        <w:t>BRÉSIL / BRAZIL / BRASILIEN / BRASIL</w:t>
      </w:r>
    </w:p>
    <w:p w:rsidR="0003583A" w:rsidRPr="001B600C" w:rsidRDefault="0003583A" w:rsidP="00FD02CA">
      <w:pPr>
        <w:pStyle w:val="pldetails"/>
      </w:pPr>
      <w:r w:rsidRPr="001B600C">
        <w:t xml:space="preserve">Ricardo ZANATTA MACHADO, Fiscal Federal Agropecuário, Coordinador do SNPC, Serviço Nacional de Proteção de Cultivares (SNPC), Ministério da Agricultura, Pecuária e Abastecimento, Brasilia , D.F. </w:t>
      </w:r>
      <w:r w:rsidRPr="001B600C">
        <w:br/>
        <w:t xml:space="preserve">(e-mail: ricardo.machado@agricultura.gov.br) </w:t>
      </w:r>
    </w:p>
    <w:p w:rsidR="0003583A" w:rsidRPr="001B600C" w:rsidRDefault="0003583A" w:rsidP="00FD02CA">
      <w:pPr>
        <w:pStyle w:val="pldetails"/>
      </w:pPr>
      <w:r w:rsidRPr="001B600C">
        <w:t>Samo Sergio GONÇALVES, Diplomate, Permanent Mission of Brazil, Geneva</w:t>
      </w:r>
      <w:r w:rsidRPr="001B600C">
        <w:br/>
        <w:t>(e-mail: samogoncalves@gmail.com)</w:t>
      </w:r>
    </w:p>
    <w:p w:rsidR="0003583A" w:rsidRPr="001B600C" w:rsidRDefault="0003583A" w:rsidP="00FD02CA">
      <w:pPr>
        <w:pStyle w:val="pldetails"/>
      </w:pPr>
      <w:r w:rsidRPr="001B600C">
        <w:t>Rosana DE LIMA BEZERRA (Ms.), Trainee, Permanent Mission of Brazil, Geneva</w:t>
      </w:r>
      <w:r w:rsidRPr="001B600C">
        <w:br/>
        <w:t>(e-mail: rosana.bezerra@itamaraty.gov.br)</w:t>
      </w:r>
    </w:p>
    <w:p w:rsidR="0003583A" w:rsidRPr="001B600C" w:rsidRDefault="0003583A" w:rsidP="00FD02CA">
      <w:pPr>
        <w:pStyle w:val="plcountry"/>
      </w:pPr>
      <w:r w:rsidRPr="001B600C">
        <w:t>CANADA / canada / KANADA / CANADÁ</w:t>
      </w:r>
    </w:p>
    <w:p w:rsidR="0003583A" w:rsidRPr="001B600C" w:rsidRDefault="0003583A" w:rsidP="00FD02CA">
      <w:pPr>
        <w:pStyle w:val="pldetails"/>
      </w:pPr>
      <w:r w:rsidRPr="001B600C">
        <w:t xml:space="preserve">Anthony PARKER, Commissioner, Plant Breeders' Rights Office, Canadian Food Inspection Agency (CFIA), Ottawa </w:t>
      </w:r>
      <w:r w:rsidRPr="001B600C">
        <w:br/>
        <w:t xml:space="preserve">(e-mail: anthony.parker@inspection.gc.ca) </w:t>
      </w:r>
    </w:p>
    <w:p w:rsidR="0003583A" w:rsidRPr="001B600C" w:rsidRDefault="0003583A" w:rsidP="00FD02CA">
      <w:pPr>
        <w:pStyle w:val="pldetails"/>
      </w:pPr>
      <w:r w:rsidRPr="001B600C">
        <w:t xml:space="preserve">Marc DE WIT, Examiner, Plant Breeders' Rights Office, Canadian Food Inspection Agency (CFIA), Ottawa </w:t>
      </w:r>
      <w:r w:rsidRPr="001B600C">
        <w:br/>
        <w:t xml:space="preserve">(e-mail: Marc.deWit@inspection.gc.ca) </w:t>
      </w:r>
    </w:p>
    <w:p w:rsidR="0003583A" w:rsidRPr="001B600C" w:rsidRDefault="0003583A" w:rsidP="00FD02CA">
      <w:pPr>
        <w:pStyle w:val="pldetails"/>
      </w:pPr>
      <w:r w:rsidRPr="001B600C">
        <w:t xml:space="preserve">Ashley BALCHIN (Ms.), Examiner, Plant Breeders' Rights Office, Canadian Food Inspection Agency (CFIA), Ottawa </w:t>
      </w:r>
      <w:r w:rsidRPr="001B600C">
        <w:br/>
        <w:t xml:space="preserve">(e-mail: ashley.balchin@inspection.gc.ca) </w:t>
      </w:r>
      <w:r w:rsidRPr="001B600C">
        <w:rPr>
          <w:highlight w:val="cyan"/>
        </w:rPr>
        <w:br/>
      </w:r>
      <w:r w:rsidRPr="001B600C">
        <w:rPr>
          <w:highlight w:val="lightGray"/>
        </w:rPr>
        <w:t>[via WebEx]</w:t>
      </w:r>
    </w:p>
    <w:p w:rsidR="0003583A" w:rsidRPr="001B600C" w:rsidRDefault="0003583A" w:rsidP="00FD02CA">
      <w:pPr>
        <w:pStyle w:val="pldetails"/>
      </w:pPr>
      <w:r w:rsidRPr="001B600C">
        <w:t xml:space="preserve">Jennifer ROACH (Ms.), Examiner, Plant Breeders' Rights Office, Canadian Food Inspection Agency (CFIA), Ottawa </w:t>
      </w:r>
      <w:r w:rsidRPr="001B600C">
        <w:br/>
        <w:t xml:space="preserve">(e-mail: Jennifer.Roach@inspection.gc.ca) </w:t>
      </w:r>
      <w:r w:rsidRPr="001B600C">
        <w:br/>
      </w:r>
      <w:r w:rsidRPr="001B600C">
        <w:rPr>
          <w:highlight w:val="lightGray"/>
        </w:rPr>
        <w:t>[via WebEx]</w:t>
      </w:r>
    </w:p>
    <w:p w:rsidR="0003583A" w:rsidRPr="001B600C" w:rsidRDefault="0003583A" w:rsidP="00FD02CA">
      <w:pPr>
        <w:pStyle w:val="plcountry"/>
      </w:pPr>
      <w:r w:rsidRPr="001B600C">
        <w:t>CHILI / CHILE / CHILE / CHILE</w:t>
      </w:r>
    </w:p>
    <w:p w:rsidR="0003583A" w:rsidRPr="001B600C" w:rsidRDefault="0003583A" w:rsidP="00FD02CA">
      <w:pPr>
        <w:pStyle w:val="pldetails"/>
      </w:pPr>
      <w:r w:rsidRPr="001B600C">
        <w:t xml:space="preserve">Natalia SOTOMAYOR CABRERA (Sra.), Abogado, Departamento de Asesoría Jurídica, Oficina de Estudios y Politicas Agrarias (ODEPA), Santiago de Chile  </w:t>
      </w:r>
      <w:r w:rsidRPr="001B600C">
        <w:br/>
        <w:t xml:space="preserve">(e-mail: nsotomayor@odepa.gob.cl) </w:t>
      </w:r>
    </w:p>
    <w:p w:rsidR="0003583A" w:rsidRPr="001B600C" w:rsidRDefault="0003583A" w:rsidP="00FD02CA">
      <w:pPr>
        <w:pStyle w:val="pldetails"/>
      </w:pPr>
      <w:r w:rsidRPr="001B600C">
        <w:t xml:space="preserve">Alvaro ULLOA, Encargado Área Frutales, Servicio Agrícola y Ganadero, Ministerio de Agricultura, Santiago de Chile  </w:t>
      </w:r>
      <w:r w:rsidRPr="001B600C">
        <w:br/>
        <w:t xml:space="preserve">(e-mail: alvaro.ulloa@sag.gob.cl) </w:t>
      </w:r>
    </w:p>
    <w:p w:rsidR="0003583A" w:rsidRPr="001B600C" w:rsidRDefault="0003583A" w:rsidP="00FD02CA">
      <w:pPr>
        <w:pStyle w:val="plcountry"/>
      </w:pPr>
      <w:r w:rsidRPr="001B600C">
        <w:t>CHINE / CHINA / CHINA / CHINA</w:t>
      </w:r>
    </w:p>
    <w:p w:rsidR="0003583A" w:rsidRPr="001B600C" w:rsidRDefault="0003583A" w:rsidP="00FD02CA">
      <w:pPr>
        <w:pStyle w:val="pldetails"/>
      </w:pPr>
      <w:r w:rsidRPr="001B600C">
        <w:t xml:space="preserve">Wenjun CHEN, Project Officer, State Intellectual Property Office, Beijing </w:t>
      </w:r>
      <w:r w:rsidRPr="001B600C">
        <w:br/>
        <w:t xml:space="preserve">(e-mail: chenwenjun@sipo.gov.cn) </w:t>
      </w:r>
    </w:p>
    <w:p w:rsidR="0003583A" w:rsidRPr="001B600C" w:rsidRDefault="0003583A" w:rsidP="00FD02CA">
      <w:pPr>
        <w:pStyle w:val="pldetails"/>
      </w:pPr>
      <w:r w:rsidRPr="001B600C">
        <w:t xml:space="preserve">Chao DENG, Principal Staff Member, Ministry of Agriculture, Ministry of Agriculture, Beijing  </w:t>
      </w:r>
      <w:r w:rsidRPr="001B600C">
        <w:br/>
        <w:t xml:space="preserve">(e-mail: dengchaowin@sina.com) </w:t>
      </w:r>
    </w:p>
    <w:p w:rsidR="0003583A" w:rsidRPr="001B600C" w:rsidRDefault="0003583A" w:rsidP="00FD02CA">
      <w:pPr>
        <w:pStyle w:val="pldetails"/>
      </w:pPr>
      <w:r w:rsidRPr="001B600C">
        <w:t xml:space="preserve">Faji HUANG, Officer, Office for the Protection of New Plant Varieties, State Forestry Administration, Beijing  </w:t>
      </w:r>
      <w:r w:rsidRPr="001B600C">
        <w:br/>
        <w:t xml:space="preserve">(e-mail: huangfaji@sina.com) </w:t>
      </w:r>
    </w:p>
    <w:p w:rsidR="0003583A" w:rsidRPr="001B600C" w:rsidRDefault="0003583A" w:rsidP="00FD02CA">
      <w:pPr>
        <w:pStyle w:val="plcountry"/>
      </w:pPr>
      <w:r w:rsidRPr="001B600C">
        <w:t>COLOMBIE / COLOMBIA / KOLUMBIEN / COLOMBIA</w:t>
      </w:r>
    </w:p>
    <w:p w:rsidR="0003583A" w:rsidRPr="001B600C" w:rsidRDefault="0003583A" w:rsidP="00FD02CA">
      <w:pPr>
        <w:pStyle w:val="pldetails"/>
      </w:pPr>
      <w:r w:rsidRPr="001B600C">
        <w:t xml:space="preserve">Ana Luisa DÍAZ JIMÉNEZ (Sra.), Directora, Dirección Técnica de Semillas, Instituto Colombiano Agropecuario (ICA), Bogotá D.C. </w:t>
      </w:r>
      <w:r w:rsidRPr="001B600C">
        <w:br/>
        <w:t xml:space="preserve">(e-mail: analuisadiazj@gmail.com) </w:t>
      </w:r>
    </w:p>
    <w:p w:rsidR="0003583A" w:rsidRPr="001B600C" w:rsidRDefault="0003583A" w:rsidP="00FD02CA">
      <w:pPr>
        <w:pStyle w:val="pldetails"/>
      </w:pPr>
      <w:r w:rsidRPr="001B600C">
        <w:t xml:space="preserve">Juan Camilo SARETZKI-FORERO, Consejero, Misión Permanente, Ginebra  </w:t>
      </w:r>
      <w:r w:rsidRPr="001B600C">
        <w:br/>
        <w:t xml:space="preserve">(e-mail: juan.saretzki@misioncolombia.ch) </w:t>
      </w:r>
    </w:p>
    <w:p w:rsidR="0003583A" w:rsidRPr="001B600C" w:rsidRDefault="0003583A" w:rsidP="00FD02CA">
      <w:pPr>
        <w:pStyle w:val="pldetails"/>
      </w:pPr>
      <w:r w:rsidRPr="001B600C">
        <w:t xml:space="preserve">Daniela Carolina PEREZ MAHECHA (Ms.), Intern, Misión Permanente, Ginebra  </w:t>
      </w:r>
      <w:r w:rsidRPr="001B600C">
        <w:br/>
        <w:t xml:space="preserve">(e-mail: daniela.perez@misioncolombia.ch) </w:t>
      </w:r>
    </w:p>
    <w:p w:rsidR="0003583A" w:rsidRPr="001B600C" w:rsidRDefault="0003583A" w:rsidP="00FD02CA">
      <w:pPr>
        <w:pStyle w:val="plcountry"/>
      </w:pPr>
      <w:r w:rsidRPr="001B600C">
        <w:t>ESTONIE / ESTONIA / ESTLAND / ESTONIA</w:t>
      </w:r>
    </w:p>
    <w:p w:rsidR="0003583A" w:rsidRPr="001B600C" w:rsidRDefault="0003583A" w:rsidP="00FD02CA">
      <w:pPr>
        <w:pStyle w:val="pldetails"/>
      </w:pPr>
      <w:r w:rsidRPr="001B600C">
        <w:t xml:space="preserve">Laima PUUR (Ms.), Head, Variety Department, Estonian Agricultural Board, Viljandi  </w:t>
      </w:r>
      <w:r w:rsidRPr="001B600C">
        <w:br/>
        <w:t xml:space="preserve">(e-mail: laima.puur@pma.agri.ee) </w:t>
      </w:r>
    </w:p>
    <w:p w:rsidR="0003583A" w:rsidRPr="001B600C" w:rsidRDefault="0003583A" w:rsidP="00FD02CA">
      <w:pPr>
        <w:pStyle w:val="pldetails"/>
      </w:pPr>
      <w:r w:rsidRPr="001B600C">
        <w:t>Evelin SIMER (Ms.), Councelor, Permanent Mission, Geneva</w:t>
      </w:r>
      <w:r w:rsidRPr="001B600C">
        <w:br/>
        <w:t>(e-mail: evelin.simer@mfa.ee)</w:t>
      </w:r>
    </w:p>
    <w:p w:rsidR="0003583A" w:rsidRPr="001B600C" w:rsidRDefault="0003583A" w:rsidP="00FD02CA">
      <w:pPr>
        <w:pStyle w:val="plcountry"/>
      </w:pPr>
      <w:r w:rsidRPr="001B600C">
        <w:t xml:space="preserve">ÉTATS-UNIS D'AMÉRIQUE / UNITED STATES OF AMERICA / VEREINIGTE STAATEN VON AMERIKA / </w:t>
      </w:r>
      <w:r w:rsidRPr="001B600C">
        <w:br/>
        <w:t>ESTADOS UNIDOS DE AMÉRICA</w:t>
      </w:r>
    </w:p>
    <w:p w:rsidR="0003583A" w:rsidRPr="001B600C" w:rsidRDefault="0003583A" w:rsidP="00FD02CA">
      <w:pPr>
        <w:pStyle w:val="pldetails"/>
      </w:pPr>
      <w:r w:rsidRPr="001B600C">
        <w:t xml:space="preserve">Kitisri SUKHAPINDA (Ms.), Patent Attorney, Office of Policy and International Affairs, United States Patent and Trademark Office (USPTO), Department of Commerce, Department of Commerce, Alexandria </w:t>
      </w:r>
      <w:r w:rsidRPr="001B600C">
        <w:br/>
        <w:t xml:space="preserve">(e-mail: kitisri.sukhapinda@uspto.gov) </w:t>
      </w:r>
    </w:p>
    <w:p w:rsidR="0003583A" w:rsidRPr="001B600C" w:rsidRDefault="0003583A" w:rsidP="00FD02CA">
      <w:pPr>
        <w:pStyle w:val="pldetails"/>
      </w:pPr>
      <w:r w:rsidRPr="001B600C">
        <w:t xml:space="preserve">Elaine WU (Ms.), Attorney - Advisor, United States Patent and Trademark Office (USPTO), Department of Commerce, Alexandria  </w:t>
      </w:r>
      <w:r w:rsidRPr="001B600C">
        <w:br/>
        <w:t xml:space="preserve">(e-mail: elaine.wu@uspto.gov) </w:t>
      </w:r>
    </w:p>
    <w:p w:rsidR="0003583A" w:rsidRPr="001B600C" w:rsidRDefault="0003583A" w:rsidP="00FD02CA">
      <w:pPr>
        <w:pStyle w:val="pldetails"/>
      </w:pPr>
      <w:r w:rsidRPr="001B600C">
        <w:t xml:space="preserve">Yasmine Nicole FULENA (Mme), Intellectual Property Assistant, Permanent Mission, Geneva  </w:t>
      </w:r>
      <w:r w:rsidRPr="001B600C">
        <w:br/>
        <w:t xml:space="preserve">(e-mail: fulenayn@state.gov) </w:t>
      </w:r>
    </w:p>
    <w:p w:rsidR="0003583A" w:rsidRPr="001B600C" w:rsidRDefault="0003583A" w:rsidP="00FD02CA">
      <w:pPr>
        <w:pStyle w:val="pldetails"/>
      </w:pPr>
      <w:r w:rsidRPr="001B600C">
        <w:t xml:space="preserve">Jeffery HAYNES, Deputy Commissioner, U.S. Plant Variety Protection Office, USDA, AMS, S&amp;T, Plant Variety Protection Office, Washington D.C.  </w:t>
      </w:r>
      <w:r w:rsidRPr="001B600C">
        <w:br/>
        <w:t xml:space="preserve">(e-mail: Jeffery.Haynes@ams.usda.gov) </w:t>
      </w:r>
      <w:r w:rsidRPr="001B600C">
        <w:br/>
      </w:r>
      <w:r w:rsidRPr="001B600C">
        <w:rPr>
          <w:highlight w:val="lightGray"/>
        </w:rPr>
        <w:t>[via WebEx]</w:t>
      </w:r>
    </w:p>
    <w:p w:rsidR="0003583A" w:rsidRPr="001B600C" w:rsidRDefault="0003583A" w:rsidP="00FD02CA">
      <w:pPr>
        <w:pStyle w:val="pldetails"/>
      </w:pPr>
      <w:r w:rsidRPr="001B600C">
        <w:t xml:space="preserve">Paul M. ZANKOWSKI, Commissioner, Plant Variety Protection Office, United States Department of Agriculture (USDA), AMS, S&amp;T, Washington D.C. </w:t>
      </w:r>
      <w:r w:rsidRPr="001B600C">
        <w:br/>
        <w:t xml:space="preserve">(e-mail: paul.zankowski@ams.usda.gov) </w:t>
      </w:r>
      <w:r w:rsidRPr="001B600C">
        <w:br/>
      </w:r>
      <w:r w:rsidRPr="001B600C">
        <w:rPr>
          <w:highlight w:val="lightGray"/>
        </w:rPr>
        <w:t>[via WebEx]</w:t>
      </w:r>
    </w:p>
    <w:p w:rsidR="0003583A" w:rsidRPr="001B600C" w:rsidRDefault="0003583A" w:rsidP="00FD02CA">
      <w:pPr>
        <w:pStyle w:val="plcountry"/>
      </w:pPr>
      <w:r w:rsidRPr="001B600C">
        <w:t>FRANCE / France / FRANKREICH / FRANCIA</w:t>
      </w:r>
    </w:p>
    <w:p w:rsidR="0003583A" w:rsidRPr="001B600C" w:rsidRDefault="0003583A" w:rsidP="00FD02CA">
      <w:pPr>
        <w:pStyle w:val="pldetails"/>
      </w:pPr>
      <w:r w:rsidRPr="001B600C">
        <w:t xml:space="preserve">Yvane MERESSE (Mme), Responsable juridique / Legal Expert, Groupe d'Etude et de Contrôle des Variétés et des Semences (GEVES), Beaucouzé </w:t>
      </w:r>
      <w:r w:rsidRPr="001B600C">
        <w:br/>
        <w:t xml:space="preserve">(e-mail: yvane.meresse@geves.fr) </w:t>
      </w:r>
    </w:p>
    <w:p w:rsidR="0003583A" w:rsidRPr="001B600C" w:rsidRDefault="0003583A" w:rsidP="00FD02CA">
      <w:pPr>
        <w:pStyle w:val="pldetails"/>
      </w:pPr>
      <w:r w:rsidRPr="001B600C">
        <w:t xml:space="preserve">Catherine MALATIER (Mme), Assistante INOV, Groupe d’étude et de contrôle des variétés et des semences (GEVES), Beaucouzé  </w:t>
      </w:r>
      <w:r w:rsidRPr="001B600C">
        <w:br/>
        <w:t xml:space="preserve">(e-mail: catherine.malatier@geves.fr) </w:t>
      </w:r>
    </w:p>
    <w:p w:rsidR="0003583A" w:rsidRPr="001B600C" w:rsidRDefault="0003583A" w:rsidP="00FD02CA">
      <w:pPr>
        <w:pStyle w:val="plcountry"/>
      </w:pPr>
      <w:r w:rsidRPr="001B600C">
        <w:t>ISRAËL / ISRAEL / ISRAEL / ISRAEL</w:t>
      </w:r>
    </w:p>
    <w:p w:rsidR="0003583A" w:rsidRPr="001B600C" w:rsidRDefault="0003583A" w:rsidP="00FD02CA">
      <w:pPr>
        <w:pStyle w:val="pldetails"/>
      </w:pPr>
      <w:r w:rsidRPr="001B600C">
        <w:t xml:space="preserve">Dikla DABBY-NAOR (Ms.), Chairperson, Plant Breeders' Rights Council, Ministry of Agriculture and Rural Development, Beit-Dagan </w:t>
      </w:r>
      <w:r w:rsidRPr="001B600C">
        <w:br/>
        <w:t xml:space="preserve">(e-mail: diklad@moag.gov.il) </w:t>
      </w:r>
    </w:p>
    <w:p w:rsidR="0003583A" w:rsidRPr="001B600C" w:rsidRDefault="0003583A" w:rsidP="00FD02CA">
      <w:pPr>
        <w:pStyle w:val="plcountry"/>
      </w:pPr>
      <w:r w:rsidRPr="001B600C">
        <w:t>MAROC / MOROCCO / MAROKKO / MARRUECOS</w:t>
      </w:r>
    </w:p>
    <w:p w:rsidR="0003583A" w:rsidRPr="001B600C" w:rsidRDefault="0003583A" w:rsidP="00FD02CA">
      <w:pPr>
        <w:pStyle w:val="pldetails"/>
      </w:pPr>
      <w:r w:rsidRPr="001B600C">
        <w:t xml:space="preserve">Zoubida TAOUSSI (Mrs.), Chargée de la protection des obtentions végétales, Office National de Sécurité de Produits Alimentaires, Rabat  </w:t>
      </w:r>
      <w:r w:rsidRPr="001B600C">
        <w:br/>
        <w:t xml:space="preserve">(e-mail: ztaoussi67@gmail.com) </w:t>
      </w:r>
    </w:p>
    <w:p w:rsidR="0003583A" w:rsidRPr="001B600C" w:rsidRDefault="0003583A" w:rsidP="00FD02CA">
      <w:pPr>
        <w:pStyle w:val="plcountry"/>
      </w:pPr>
      <w:r w:rsidRPr="001B600C">
        <w:t>NORVÈGE / NORWAY / NORWEGEN / NORUEGA</w:t>
      </w:r>
    </w:p>
    <w:p w:rsidR="0003583A" w:rsidRPr="001B600C" w:rsidRDefault="0003583A" w:rsidP="00FD02CA">
      <w:pPr>
        <w:pStyle w:val="pldetails"/>
      </w:pPr>
      <w:r w:rsidRPr="001B600C">
        <w:t xml:space="preserve">Tor Erik JØRGENSEN, Head of Section, National Approvals, Norwegian Food Safety Authority, Brumunddal  </w:t>
      </w:r>
      <w:r w:rsidRPr="001B600C">
        <w:br/>
        <w:t xml:space="preserve">(e-mail: tor.erik.jorgensen@mattilsynet.no) </w:t>
      </w:r>
    </w:p>
    <w:p w:rsidR="0003583A" w:rsidRPr="001B600C" w:rsidRDefault="0003583A" w:rsidP="00FD02CA">
      <w:pPr>
        <w:pStyle w:val="plcountry"/>
      </w:pPr>
      <w:r w:rsidRPr="001B600C">
        <w:t>NOUVELLE-ZÉLANDE / NEW ZEALAND / NEUSEELAND / NUEVA ZELANDIA</w:t>
      </w:r>
    </w:p>
    <w:p w:rsidR="0003583A" w:rsidRPr="001B600C" w:rsidRDefault="0003583A" w:rsidP="00FD02CA">
      <w:pPr>
        <w:pStyle w:val="pldetails"/>
      </w:pPr>
      <w:r w:rsidRPr="001B600C">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rsidRPr="001B600C">
        <w:br/>
        <w:t xml:space="preserve">(e-mail: Chris.Barnaby@pvr.govt.nz) </w:t>
      </w:r>
    </w:p>
    <w:p w:rsidR="0003583A" w:rsidRPr="001B600C" w:rsidRDefault="0003583A" w:rsidP="00FD02CA">
      <w:pPr>
        <w:pStyle w:val="plcountry"/>
      </w:pPr>
      <w:r w:rsidRPr="001B600C">
        <w:t>OMAN / oman / OMAN / OMÁN</w:t>
      </w:r>
    </w:p>
    <w:p w:rsidR="0003583A" w:rsidRPr="001B600C" w:rsidRDefault="0003583A" w:rsidP="00FD02CA">
      <w:pPr>
        <w:pStyle w:val="pldetails"/>
      </w:pPr>
      <w:r w:rsidRPr="001B600C">
        <w:t xml:space="preserve">Ali AL LAWATI, Plant Genetic Resources Expert, Oman Animal and Plant Genetic Resources Center, The Research Council, Muscat  </w:t>
      </w:r>
      <w:r w:rsidRPr="001B600C">
        <w:br/>
        <w:t xml:space="preserve">(e-mail: ali.allawati@trc.gov.om) </w:t>
      </w:r>
    </w:p>
    <w:p w:rsidR="0003583A" w:rsidRPr="001B600C" w:rsidRDefault="0003583A" w:rsidP="00FD02CA">
      <w:pPr>
        <w:pStyle w:val="pldetails"/>
      </w:pPr>
      <w:r w:rsidRPr="001B600C">
        <w:t xml:space="preserve">Khalid Ali ALBUSAIDI, International Relations Specialist, Oman Animal and Plant Genetic Resources Center, Al-Athaiba  </w:t>
      </w:r>
      <w:r w:rsidRPr="001B600C">
        <w:br/>
        <w:t xml:space="preserve">(e-mail: khalid.albusaidi@oapgrc.gov.om) </w:t>
      </w:r>
    </w:p>
    <w:p w:rsidR="0003583A" w:rsidRPr="001B600C" w:rsidRDefault="0003583A" w:rsidP="00FD02CA">
      <w:pPr>
        <w:pStyle w:val="pldetails"/>
      </w:pPr>
      <w:r w:rsidRPr="001B600C">
        <w:t xml:space="preserve">Mohammed AL-BALUSHI, First Secretary, Permanent Mission, Geneva  </w:t>
      </w:r>
      <w:r w:rsidRPr="001B600C">
        <w:br/>
        <w:t xml:space="preserve">(e-mail: oman_wto@bluewin.ch) </w:t>
      </w:r>
    </w:p>
    <w:p w:rsidR="0003583A" w:rsidRPr="001B600C" w:rsidRDefault="0003583A" w:rsidP="00FD02CA">
      <w:pPr>
        <w:pStyle w:val="plcountry"/>
      </w:pPr>
      <w:r w:rsidRPr="001B600C">
        <w:t xml:space="preserve">ORGANISATION AFRICAINE DE LA PROPRIÉTÉ INTELLECTUELLE / </w:t>
      </w:r>
      <w:r w:rsidRPr="001B600C">
        <w:br/>
        <w:t xml:space="preserve">OAPI - AFRICAN INTELLECTUAL PROPERTY ORGANIZATION / </w:t>
      </w:r>
      <w:r w:rsidRPr="001B600C">
        <w:br/>
        <w:t xml:space="preserve">AFRIKANISCHE ORGANISATION FÜR GEISTIGES EIGENTUM / </w:t>
      </w:r>
      <w:r w:rsidRPr="001B600C">
        <w:br/>
        <w:t>ORGANIZACIÓN AFRICANA DE LA PROPIEDAD INTELECTUAL</w:t>
      </w:r>
    </w:p>
    <w:p w:rsidR="0003583A" w:rsidRPr="001B600C" w:rsidRDefault="0003583A" w:rsidP="00FD02CA">
      <w:pPr>
        <w:pStyle w:val="pldetails"/>
      </w:pPr>
      <w:r w:rsidRPr="001B600C">
        <w:t xml:space="preserve">Dosso MÉMASSI, Directeur, Département de la protection de la propriété industrielle, </w:t>
      </w:r>
      <w:r w:rsidRPr="001B600C">
        <w:br/>
        <w:t xml:space="preserve">Organisation africaine de la propriété intellectuelle (OAPI), Yaoundé  </w:t>
      </w:r>
      <w:r w:rsidRPr="001B600C">
        <w:br/>
        <w:t xml:space="preserve">(e-mail: dossomemassi@gmail.com) </w:t>
      </w:r>
    </w:p>
    <w:p w:rsidR="0003583A" w:rsidRPr="001B600C" w:rsidRDefault="0003583A" w:rsidP="00FD02CA">
      <w:pPr>
        <w:pStyle w:val="pldetails"/>
      </w:pPr>
      <w:r w:rsidRPr="001B600C">
        <w:t xml:space="preserve">Vladimir Ludovic MEZUI ONO, Examinateur Brevet chimie, Organisation africaine de la propriété intellectuelle (OAPI), Yaoundé  </w:t>
      </w:r>
      <w:r w:rsidRPr="001B600C">
        <w:br/>
        <w:t xml:space="preserve">(e-mail: mezuiono@hotmail.com) </w:t>
      </w:r>
    </w:p>
    <w:p w:rsidR="0003583A" w:rsidRPr="001B600C" w:rsidRDefault="0003583A" w:rsidP="00FD02CA">
      <w:pPr>
        <w:pStyle w:val="plcountry"/>
      </w:pPr>
      <w:r w:rsidRPr="001B600C">
        <w:t>Panama / panama / panama / panamá</w:t>
      </w:r>
    </w:p>
    <w:p w:rsidR="0003583A" w:rsidRPr="001B600C" w:rsidRDefault="0003583A" w:rsidP="00FD02CA">
      <w:pPr>
        <w:pStyle w:val="pldetails"/>
      </w:pPr>
      <w:r w:rsidRPr="001B600C">
        <w:t xml:space="preserve">Rafael Ernesto MONTERREY GONZÁLEZ, Jefe del Departamento de Variedades Vegetales, Dirección General del Registro de la Propiedad Intelectual, Ministerio de Comercio e Industrias, Dirección General del Registro de la Propiedad Industrial, Ciudad de Panamá </w:t>
      </w:r>
      <w:r w:rsidRPr="001B600C">
        <w:br/>
        <w:t>(e-mail: rmonterrey@mici.gob.pa)</w:t>
      </w:r>
    </w:p>
    <w:p w:rsidR="0003583A" w:rsidRPr="001B600C" w:rsidRDefault="0003583A" w:rsidP="00FD02CA">
      <w:pPr>
        <w:pStyle w:val="plcountry"/>
      </w:pPr>
      <w:r w:rsidRPr="001B600C">
        <w:t>PARAGUAY / PARAGUAY / PARAGUAY / PARAGUAY</w:t>
      </w:r>
    </w:p>
    <w:p w:rsidR="0003583A" w:rsidRPr="001B600C" w:rsidRDefault="0003583A" w:rsidP="00FD02CA">
      <w:pPr>
        <w:pStyle w:val="pldetails"/>
      </w:pPr>
      <w:r w:rsidRPr="001B600C">
        <w:t xml:space="preserve">Nidia Concepción TALAVERA GODOY (Sra.), Directora, Dirección de Semillas, Servicio Nacional de Calidad y Sanidad Vegetal y de Semillas (SENAVE), San Lorenzo </w:t>
      </w:r>
      <w:r w:rsidRPr="001B600C">
        <w:br/>
        <w:t>(e-mail: nidia.talavera@senave.gov.py)</w:t>
      </w:r>
    </w:p>
    <w:p w:rsidR="0003583A" w:rsidRPr="001B600C" w:rsidRDefault="0003583A" w:rsidP="00FD02CA">
      <w:pPr>
        <w:pStyle w:val="plcountry"/>
      </w:pPr>
      <w:r w:rsidRPr="001B600C">
        <w:t>PAYS-BAS / NETHERLANDS / NIEDERLANDE / PAÍSES BAJOS</w:t>
      </w:r>
    </w:p>
    <w:p w:rsidR="0003583A" w:rsidRPr="001B600C" w:rsidRDefault="0003583A" w:rsidP="00FD02CA">
      <w:pPr>
        <w:pStyle w:val="pldetails"/>
      </w:pPr>
      <w:r w:rsidRPr="001B600C">
        <w:t xml:space="preserve">Marien VALSTAR, Senior Policy Officer, Seeds and Plant Propagation Material, Ministry of Economic Affairs, DG AGRO &amp; NATURE, The Hague  </w:t>
      </w:r>
      <w:r w:rsidRPr="001B600C">
        <w:br/>
        <w:t xml:space="preserve">(e-mail: m.valstar@minez.nl) </w:t>
      </w:r>
    </w:p>
    <w:p w:rsidR="0003583A" w:rsidRPr="001B600C" w:rsidRDefault="0003583A" w:rsidP="00FD02CA">
      <w:pPr>
        <w:pStyle w:val="pldetails"/>
      </w:pPr>
      <w:r w:rsidRPr="001B600C">
        <w:t xml:space="preserve">Kees Jan GROENEWOUD, Secretary, Dutch Board for Plant Variety (Raad voor Plantenrassen), Naktuinbouw, Roelofarendsveen  </w:t>
      </w:r>
      <w:r w:rsidRPr="001B600C">
        <w:br/>
        <w:t xml:space="preserve">(e-mail: c.j.a.groenewoud@naktuinbouw.nl) </w:t>
      </w:r>
    </w:p>
    <w:p w:rsidR="0003583A" w:rsidRPr="001B600C" w:rsidRDefault="0003583A" w:rsidP="00FD02CA">
      <w:pPr>
        <w:pStyle w:val="pldetails"/>
        <w:rPr>
          <w:highlight w:val="cyan"/>
        </w:rPr>
      </w:pPr>
      <w:r w:rsidRPr="001B600C">
        <w:t xml:space="preserve">Marcel RIJSBERGEN, Team DUS vegetables, DUS testing department, Naktuinbouw, Roelofarendsveen,  </w:t>
      </w:r>
      <w:r w:rsidRPr="001B600C">
        <w:br/>
        <w:t xml:space="preserve">(e-mail: m.rijsbergen@naktuinbouw.nl) </w:t>
      </w:r>
      <w:r w:rsidRPr="001B600C">
        <w:br/>
      </w:r>
      <w:r w:rsidRPr="001B600C">
        <w:rPr>
          <w:highlight w:val="lightGray"/>
        </w:rPr>
        <w:t>[via WebEx]</w:t>
      </w:r>
    </w:p>
    <w:p w:rsidR="0003583A" w:rsidRPr="001B600C" w:rsidRDefault="0003583A" w:rsidP="00FD02CA">
      <w:pPr>
        <w:pStyle w:val="pldetails"/>
      </w:pPr>
      <w:r w:rsidRPr="001B600C">
        <w:t xml:space="preserve">Wim SANGSTER, Team DUS Vegetables, Naktuinbouw, Roelofarendsveen  </w:t>
      </w:r>
      <w:r w:rsidRPr="001B600C">
        <w:br/>
        <w:t xml:space="preserve">(e-mail: w.sangster@naktuinbouw.nl) </w:t>
      </w:r>
      <w:r w:rsidRPr="001B600C">
        <w:br/>
      </w:r>
      <w:r w:rsidRPr="001B600C">
        <w:rPr>
          <w:highlight w:val="lightGray"/>
        </w:rPr>
        <w:t>[via WebEx]</w:t>
      </w:r>
    </w:p>
    <w:p w:rsidR="0003583A" w:rsidRPr="001B600C" w:rsidRDefault="0003583A" w:rsidP="00FD02CA">
      <w:pPr>
        <w:pStyle w:val="plcountry"/>
      </w:pPr>
      <w:r w:rsidRPr="001B600C">
        <w:t>PORTUGAL / portugal / PORTUGAL / PORTUGAL</w:t>
      </w:r>
    </w:p>
    <w:p w:rsidR="0003583A" w:rsidRPr="001B600C" w:rsidRDefault="0003583A" w:rsidP="00FD02CA">
      <w:pPr>
        <w:pStyle w:val="pldetails"/>
      </w:pPr>
      <w:r w:rsidRPr="001B600C">
        <w:t xml:space="preserve">João PINTA DE MORAIS, First Secretary, Permanent Mission, Geneva  </w:t>
      </w:r>
      <w:r w:rsidRPr="001B600C">
        <w:br/>
        <w:t xml:space="preserve">(e-mail: trade1@missionportugal.ch) </w:t>
      </w:r>
    </w:p>
    <w:p w:rsidR="0003583A" w:rsidRPr="001B600C" w:rsidRDefault="0003583A" w:rsidP="00FD02CA">
      <w:pPr>
        <w:pStyle w:val="pldetails"/>
      </w:pPr>
      <w:r w:rsidRPr="001B600C">
        <w:t xml:space="preserve">Inês DOS SANTOS (Ms.), Intern, Permanent Mission, Geneva  </w:t>
      </w:r>
      <w:r w:rsidRPr="001B600C">
        <w:br/>
        <w:t xml:space="preserve">(e-mail: ines.dossantos@outlook.fr) </w:t>
      </w:r>
    </w:p>
    <w:p w:rsidR="0003583A" w:rsidRPr="001B600C" w:rsidRDefault="0003583A" w:rsidP="00FD02CA">
      <w:pPr>
        <w:pStyle w:val="plcountry"/>
      </w:pPr>
      <w:r w:rsidRPr="001B600C">
        <w:t>RÉPUBLIQUE DE CORÉE / REPUBLIC OF KOREA / REPUBLIK KOREA / REPÚBLICA DE COREA</w:t>
      </w:r>
    </w:p>
    <w:p w:rsidR="0003583A" w:rsidRPr="001B600C" w:rsidRDefault="0003583A" w:rsidP="00FD02CA">
      <w:pPr>
        <w:pStyle w:val="pldetails"/>
      </w:pPr>
      <w:r w:rsidRPr="001B600C">
        <w:t xml:space="preserve">Jino YOO, Deputy Director, Senior Examiner, Korean Intellectual Property Office (KIPO), Daejeon Metropolitan City  </w:t>
      </w:r>
      <w:r w:rsidRPr="001B600C">
        <w:br/>
        <w:t xml:space="preserve">(e-mail: jino0524@kipo.go.kr) </w:t>
      </w:r>
    </w:p>
    <w:p w:rsidR="0003583A" w:rsidRPr="001B600C" w:rsidRDefault="0003583A" w:rsidP="00FD02CA">
      <w:pPr>
        <w:pStyle w:val="plcountry"/>
      </w:pPr>
      <w:r w:rsidRPr="001B600C">
        <w:t xml:space="preserve">RÉPUBLIQUE DE MOLDOVA / REPUBLIC OF MOLDOVA / REPUBLIK MOLDAU / </w:t>
      </w:r>
      <w:r w:rsidRPr="001B600C">
        <w:br/>
        <w:t>REPÚBLICA DE MOLDOVA</w:t>
      </w:r>
    </w:p>
    <w:p w:rsidR="0003583A" w:rsidRPr="001B600C" w:rsidRDefault="0003583A" w:rsidP="00FD02CA">
      <w:pPr>
        <w:pStyle w:val="pldetails"/>
      </w:pPr>
      <w:r w:rsidRPr="001B600C">
        <w:t xml:space="preserve">Mihail MACHIDON, Chairman, State Commission for Crops Variety Testing and Registration (SCCVTR), Chisinau  </w:t>
      </w:r>
      <w:r w:rsidRPr="001B600C">
        <w:br/>
        <w:t xml:space="preserve">(e-mail: info@cstsp.md) </w:t>
      </w:r>
    </w:p>
    <w:p w:rsidR="0003583A" w:rsidRPr="001B600C" w:rsidRDefault="0003583A" w:rsidP="00FD02CA">
      <w:pPr>
        <w:pStyle w:val="pldetails"/>
      </w:pPr>
      <w:r w:rsidRPr="001B600C">
        <w:t xml:space="preserve">Ala GUSAN (Ms.), Head, Patents Division, Inventions and Plant Varieties Department, State Agency on Intellectual Property of the Republic of Moldova (AGEPI), Chisinau  </w:t>
      </w:r>
      <w:r w:rsidRPr="001B600C">
        <w:br/>
        <w:t xml:space="preserve">(e-mail: ala.gusan@agepi.gov.md) </w:t>
      </w:r>
    </w:p>
    <w:p w:rsidR="0003583A" w:rsidRPr="001B600C" w:rsidRDefault="0003583A" w:rsidP="00FD02CA">
      <w:pPr>
        <w:pStyle w:val="plcountry"/>
      </w:pPr>
      <w:r w:rsidRPr="001B600C">
        <w:t xml:space="preserve">RÉPUBLIQUE-UNIE DE TANZANIE / UNITED REPUBLIC OF TANZANIA / </w:t>
      </w:r>
      <w:r w:rsidRPr="001B600C">
        <w:br/>
        <w:t>VEREINIGTE REPUBLIK TANSANIA / REPÚBLICA UNIDA DE TANZANÍA</w:t>
      </w:r>
    </w:p>
    <w:p w:rsidR="0003583A" w:rsidRPr="001B600C" w:rsidRDefault="0003583A" w:rsidP="00FD02CA">
      <w:pPr>
        <w:pStyle w:val="pldetails"/>
      </w:pPr>
      <w:r w:rsidRPr="001B600C">
        <w:t xml:space="preserve">Asia Filfil THANI (Ms.), Registrar of Plant Breeders' Rights, Ministry of Agriculture and Natural Resources, Darajani, Zanzibar  </w:t>
      </w:r>
      <w:r w:rsidRPr="001B600C">
        <w:br/>
        <w:t xml:space="preserve">(e-mail: asiathani@yahoo.com) </w:t>
      </w:r>
    </w:p>
    <w:p w:rsidR="0003583A" w:rsidRPr="001B600C" w:rsidRDefault="0003583A" w:rsidP="00FD02CA">
      <w:pPr>
        <w:pStyle w:val="plcountry"/>
      </w:pPr>
      <w:r w:rsidRPr="001B600C">
        <w:t xml:space="preserve">RÉPUBLIQUE Dominicaine / dominican REPUBLIC / dominikanische REPUBLIK / </w:t>
      </w:r>
      <w:r w:rsidRPr="001B600C">
        <w:br/>
        <w:t>REPÚBLICA Dominicana</w:t>
      </w:r>
    </w:p>
    <w:p w:rsidR="0003583A" w:rsidRPr="001B600C" w:rsidRDefault="0003583A" w:rsidP="00FD02CA">
      <w:pPr>
        <w:pStyle w:val="pldetails"/>
      </w:pPr>
      <w:r w:rsidRPr="001B600C">
        <w:t xml:space="preserve">Rafael COLÓN NUÑEZ, Enc. Producción, BIO-ARROZ, Ministerio de Agricultura, Santo Domingo </w:t>
      </w:r>
      <w:r w:rsidRPr="001B600C">
        <w:br/>
        <w:t xml:space="preserve">(e-mail: ing.rafaelcolon@hotmail.com)  </w:t>
      </w:r>
    </w:p>
    <w:p w:rsidR="0003583A" w:rsidRPr="001B600C" w:rsidRDefault="0003583A" w:rsidP="00FD02CA">
      <w:pPr>
        <w:pStyle w:val="pldetails"/>
      </w:pPr>
      <w:r w:rsidRPr="001B600C">
        <w:t xml:space="preserve">Antonio FERNÁNDEZ ACOSTA, Inspector de certificación de semilla, BIO-ARROZ, Ministerio de Agricultura, Santo Domingo </w:t>
      </w:r>
      <w:r w:rsidRPr="001B600C">
        <w:br/>
        <w:t xml:space="preserve">(e-mail: ing-antoniofedez-08@hotmail.com) </w:t>
      </w:r>
    </w:p>
    <w:p w:rsidR="0003583A" w:rsidRPr="001B600C" w:rsidRDefault="0003583A" w:rsidP="00FD02CA">
      <w:pPr>
        <w:pStyle w:val="plcountry"/>
      </w:pPr>
      <w:r w:rsidRPr="001B600C">
        <w:t>ROUMANIE / ROMANIA / RUMÄNIEN / RUMANIA</w:t>
      </w:r>
    </w:p>
    <w:p w:rsidR="0003583A" w:rsidRPr="001B600C" w:rsidRDefault="0003583A" w:rsidP="00FD02CA">
      <w:pPr>
        <w:pStyle w:val="pldetails"/>
      </w:pPr>
      <w:r w:rsidRPr="001B600C">
        <w:t xml:space="preserve">Cristian Irinel MOCANU, Head of Legal Department, State Institute for Variety Testing and Registration, Bucarest  </w:t>
      </w:r>
      <w:r w:rsidRPr="001B600C">
        <w:br/>
        <w:t xml:space="preserve">(e-mail: irinel_mocanu@istis.ro) </w:t>
      </w:r>
    </w:p>
    <w:p w:rsidR="0003583A" w:rsidRPr="001B600C" w:rsidRDefault="0003583A" w:rsidP="00FD02CA">
      <w:pPr>
        <w:pStyle w:val="pldetails"/>
      </w:pPr>
      <w:r w:rsidRPr="001B600C">
        <w:t xml:space="preserve">Aura Giorgiana MINDRUTA (Ms.), Expert, State Institute for Variety Testing and Registration (ISTIS), Bucarest  </w:t>
      </w:r>
      <w:r w:rsidRPr="001B600C">
        <w:br/>
        <w:t xml:space="preserve">(e-mail: aura_mindruta@istis.ro) </w:t>
      </w:r>
    </w:p>
    <w:p w:rsidR="0003583A" w:rsidRPr="001B600C" w:rsidRDefault="0003583A" w:rsidP="00FD02CA">
      <w:pPr>
        <w:pStyle w:val="plcountry"/>
      </w:pPr>
      <w:r w:rsidRPr="001B600C">
        <w:t>SLOVAQUIE / SLOVAKIA / SLOWAKEI / ESLOVAQUIA</w:t>
      </w:r>
    </w:p>
    <w:p w:rsidR="0003583A" w:rsidRPr="001B600C" w:rsidRDefault="0003583A" w:rsidP="00FD02CA">
      <w:pPr>
        <w:pStyle w:val="pldetails"/>
      </w:pPr>
      <w:r w:rsidRPr="001B600C">
        <w:t xml:space="preserve">Bronislava BÁTOROVÁ (Ms.), National Coordinator for the Cooperation of the Slovak Republic with UPOV/ Senior Officer, Department of Variety Testing, Central Controlling and Testing Institute in Agriculture (ÚKSÚP), Nitra  </w:t>
      </w:r>
      <w:r w:rsidRPr="001B600C">
        <w:br/>
        <w:t xml:space="preserve">(e-mail: bronislava.batorova@uksup.sk) </w:t>
      </w:r>
    </w:p>
    <w:p w:rsidR="0003583A" w:rsidRPr="001B600C" w:rsidRDefault="0003583A" w:rsidP="00FD02CA">
      <w:pPr>
        <w:pStyle w:val="pldetails"/>
      </w:pPr>
      <w:r w:rsidRPr="001B600C">
        <w:t xml:space="preserve">Ľuba GASPAROVÁ (Ms.), Senior Officer, Deputy of the National Coordinator for the Cooperation of the Slovak Republic with UPOV, Central Controlling and Testing Institute in Agriculture (UKSUP), Bratislava  </w:t>
      </w:r>
      <w:r w:rsidRPr="001B600C">
        <w:br/>
        <w:t xml:space="preserve">(e-mail: Luba.Gasparova@uksup.sk) </w:t>
      </w:r>
    </w:p>
    <w:p w:rsidR="0003583A" w:rsidRPr="001B600C" w:rsidRDefault="0003583A" w:rsidP="00FD02CA">
      <w:pPr>
        <w:pStyle w:val="plcountry"/>
      </w:pPr>
      <w:r w:rsidRPr="001B600C">
        <w:t>SUISSE / SWITZERLAND / SCHWEIZ / SUIZA</w:t>
      </w:r>
    </w:p>
    <w:p w:rsidR="0003583A" w:rsidRPr="001B600C" w:rsidRDefault="0003583A" w:rsidP="00FD02CA">
      <w:pPr>
        <w:pStyle w:val="pldetails"/>
      </w:pPr>
      <w:r w:rsidRPr="001B600C">
        <w:t xml:space="preserve">Manuela BRAND (Ms.), Plant Variety Rights Office, Plant Health and Varieties, Office fédéral de l'agriculture (OFAG), Bern  </w:t>
      </w:r>
      <w:r w:rsidRPr="001B600C">
        <w:br/>
        <w:t xml:space="preserve">(e-mail: manuela.brand@blw.admin.ch) </w:t>
      </w:r>
    </w:p>
    <w:p w:rsidR="0003583A" w:rsidRPr="001B600C" w:rsidRDefault="0003583A" w:rsidP="00FD02CA">
      <w:pPr>
        <w:pStyle w:val="plcountry"/>
      </w:pPr>
      <w:r w:rsidRPr="001B600C">
        <w:t>TURQUIE / TURKEY / TÜRKEI / TURQUÍA</w:t>
      </w:r>
    </w:p>
    <w:p w:rsidR="0003583A" w:rsidRPr="001B600C" w:rsidRDefault="0003583A" w:rsidP="00FD02CA">
      <w:pPr>
        <w:pStyle w:val="pldetails"/>
      </w:pPr>
      <w:r w:rsidRPr="001B600C">
        <w:t>Mehmet ÇAKMAK, PBR Expert, Seed Department, General Directorate of Plant Production, Ministry of Food, Agriculture and Livestock, Ankara, Turkey</w:t>
      </w:r>
      <w:r w:rsidRPr="001B600C">
        <w:br/>
        <w:t>E-mail:  mehmet.cakmak@tarim.gov.tr</w:t>
      </w:r>
    </w:p>
    <w:p w:rsidR="0003583A" w:rsidRPr="001B600C" w:rsidRDefault="0003583A" w:rsidP="00FD02CA">
      <w:pPr>
        <w:pStyle w:val="pldetails"/>
      </w:pPr>
      <w:r w:rsidRPr="001B600C">
        <w:t>Mehmet SIĞIRCI,Head, Seed Department, Ministry of Agriculture and Rural Affairs, Ankara, Turkey</w:t>
      </w:r>
      <w:r w:rsidRPr="001B600C">
        <w:br/>
        <w:t>E-mail:  mehmet.sigirci@tarim.gov.tr</w:t>
      </w:r>
    </w:p>
    <w:p w:rsidR="0003583A" w:rsidRPr="001B600C" w:rsidRDefault="0003583A" w:rsidP="00FD02CA">
      <w:pPr>
        <w:pStyle w:val="plcountry"/>
      </w:pPr>
      <w:r w:rsidRPr="001B600C">
        <w:t>UNION EUROPÉENNE / EUROPEAN UNION / EUROPÄISCHE UNION / UNIÓN EUROPEA</w:t>
      </w:r>
    </w:p>
    <w:p w:rsidR="0003583A" w:rsidRPr="001B600C" w:rsidRDefault="0003583A" w:rsidP="00FD02CA">
      <w:pPr>
        <w:pStyle w:val="pldetails"/>
      </w:pPr>
      <w:r w:rsidRPr="001B600C">
        <w:t xml:space="preserve">Bronislava BÁTOROVÁ (Ms.), National Coordinator for the Cooperation of the Slovak Republic with UPOV/ Senior Officer, Department of Variety Testing, Central Controlling and Testing Institute in Agriculture (ÚKSÚP), Nitra  </w:t>
      </w:r>
      <w:r w:rsidRPr="001B600C">
        <w:br/>
        <w:t xml:space="preserve">(e-mail: bronislava.batorova@uksup.sk) </w:t>
      </w:r>
    </w:p>
    <w:p w:rsidR="0003583A" w:rsidRPr="001B600C" w:rsidRDefault="0003583A" w:rsidP="00FD02CA">
      <w:pPr>
        <w:pStyle w:val="pldetails"/>
      </w:pPr>
      <w:r w:rsidRPr="001B600C">
        <w:t xml:space="preserve">Dirk THEOBALD, Head of the Technical Unit, Community Plant Variety Office (CPVO), Angers </w:t>
      </w:r>
      <w:r w:rsidRPr="001B600C">
        <w:br/>
        <w:t xml:space="preserve">(e-mail: theobald@cpvo.europa.eu) </w:t>
      </w:r>
    </w:p>
    <w:p w:rsidR="0003583A" w:rsidRPr="001B600C" w:rsidRDefault="0003583A" w:rsidP="00FD02CA">
      <w:pPr>
        <w:pStyle w:val="pldetails"/>
        <w:rPr>
          <w:sz w:val="27"/>
          <w:szCs w:val="27"/>
        </w:rPr>
      </w:pPr>
      <w:r w:rsidRPr="001B600C">
        <w:t xml:space="preserve">Jean MAISON, Deputy Head, Technical Unit, Community Plant Variety Office (CPVO), Angers </w:t>
      </w:r>
      <w:r w:rsidRPr="001B600C">
        <w:br/>
        <w:t xml:space="preserve">(e-mail: maison@cpvo.europa.eu) </w:t>
      </w:r>
    </w:p>
    <w:p w:rsidR="0003583A" w:rsidRPr="001B600C" w:rsidRDefault="0003583A" w:rsidP="00FD02CA">
      <w:pPr>
        <w:pStyle w:val="pldetails"/>
      </w:pPr>
      <w:r w:rsidRPr="001B600C">
        <w:t xml:space="preserve">Marc ROUILLARD, Webmaster, Supporting Services, Community Plant Variety Office (CPVO), Angers </w:t>
      </w:r>
      <w:r w:rsidRPr="001B600C">
        <w:br/>
        <w:t xml:space="preserve">(e-mail: rouillard@cpvo.europa.eu) </w:t>
      </w:r>
      <w:r w:rsidRPr="001B600C">
        <w:br/>
      </w:r>
      <w:r w:rsidRPr="001B600C">
        <w:rPr>
          <w:highlight w:val="lightGray"/>
        </w:rPr>
        <w:t>[via WebEx]</w:t>
      </w:r>
    </w:p>
    <w:p w:rsidR="0003583A" w:rsidRPr="001B600C" w:rsidRDefault="0003583A" w:rsidP="00FD02CA">
      <w:pPr>
        <w:pStyle w:val="plheading"/>
      </w:pPr>
      <w:r w:rsidRPr="001B600C">
        <w:t>II. OBSERVATEURS / OBSERVERS / BEOBACHTER / OBSERVADORES</w:t>
      </w:r>
    </w:p>
    <w:p w:rsidR="0003583A" w:rsidRPr="001B600C" w:rsidRDefault="0003583A" w:rsidP="00FD02CA">
      <w:pPr>
        <w:pStyle w:val="plcountry"/>
      </w:pPr>
      <w:r w:rsidRPr="001B600C">
        <w:t>ARABIE SAOUDITE / SAUDI ARABIA / SAUDI-ARABIEN / ARABIA SAUDITA</w:t>
      </w:r>
    </w:p>
    <w:p w:rsidR="0003583A" w:rsidRPr="001B600C" w:rsidRDefault="0003583A" w:rsidP="00FD02CA">
      <w:pPr>
        <w:pStyle w:val="pldetails"/>
      </w:pPr>
      <w:r w:rsidRPr="001B600C">
        <w:t xml:space="preserve">Bandar ALHOMED, Consultant Judge, KSA, Riyadh </w:t>
      </w:r>
      <w:r w:rsidRPr="001B600C">
        <w:br/>
        <w:t>(e-mail: bandar8580@hotmail.com)</w:t>
      </w:r>
    </w:p>
    <w:p w:rsidR="0003583A" w:rsidRPr="001B600C" w:rsidRDefault="0003583A" w:rsidP="00FD02CA">
      <w:pPr>
        <w:pStyle w:val="pldetails"/>
      </w:pPr>
      <w:r w:rsidRPr="001B600C">
        <w:t xml:space="preserve">Badie Saud ALBADIE, Consultant Judge, KSA, Riyadh </w:t>
      </w:r>
      <w:r w:rsidRPr="001B600C">
        <w:br/>
        <w:t>(e-mail: abosaud1384@hotmail.com)</w:t>
      </w:r>
    </w:p>
    <w:p w:rsidR="0003583A" w:rsidRPr="001B600C" w:rsidRDefault="0003583A" w:rsidP="00FD02CA">
      <w:pPr>
        <w:pStyle w:val="plheading"/>
      </w:pPr>
      <w:r w:rsidRPr="001B600C">
        <w:t>iII. ORGANISATIONS / ORGANIZATIONS / ORGANISATIONEN / ORGANIZACIONES</w:t>
      </w:r>
    </w:p>
    <w:p w:rsidR="0003583A" w:rsidRPr="001B600C" w:rsidRDefault="0003583A" w:rsidP="00FD02CA">
      <w:pPr>
        <w:pStyle w:val="plcountry"/>
      </w:pPr>
      <w:r w:rsidRPr="001B600C">
        <w:t>COMMUNAUTÉ INTERNATIONALE DES OBTENTEURS DE PLANTES ORNEMENTALES ET FRUITIÈRES À REPRODUCTION ASEXUÉE (CIOPORA) / INTERNATIONAL COMMUNITY  OF BREEDERS OF ASEXUALLY REPRODUCED ORNAMENTAL AND FRUIT PLANTS (CIOPORA) / INTERNATIONALE GEMEINSCHAFT DER ZÜCHTER VEGETATIV VERMEHRBARER ZIERUND OBSTPFLANZEN (CIOPORA) / COMUNIDAD INTERNACIONAL DE OBTENTORES DE VARIEDADES ORNAMENTALES Y FRUTALES DE REPRODUCCIÓN ASEXUADA (CIOPORA)</w:t>
      </w:r>
    </w:p>
    <w:p w:rsidR="0003583A" w:rsidRPr="001B600C" w:rsidRDefault="0003583A" w:rsidP="00FD02CA">
      <w:pPr>
        <w:pStyle w:val="pldetails"/>
      </w:pPr>
      <w:r w:rsidRPr="001B600C">
        <w:t xml:space="preserve">Hélène JOURDAN (Madame), Secrétaire générale, AOHE, Responsible COV &amp; Marques, Meilland International S.A., Association des Obtenteurs Horticoles Européens (AOHE), Le Luc en Provence  </w:t>
      </w:r>
      <w:r w:rsidRPr="001B600C">
        <w:br/>
        <w:t xml:space="preserve">(e-mail: licprot@meilland.com) </w:t>
      </w:r>
    </w:p>
    <w:p w:rsidR="0003583A" w:rsidRPr="001B600C" w:rsidRDefault="0003583A" w:rsidP="00FD02CA">
      <w:pPr>
        <w:pStyle w:val="plcountry"/>
      </w:pPr>
      <w:r w:rsidRPr="001B600C">
        <w:t>CROPLIFE INTERNATIONAL</w:t>
      </w:r>
    </w:p>
    <w:p w:rsidR="0003583A" w:rsidRPr="001B600C" w:rsidRDefault="0003583A" w:rsidP="00FD02CA">
      <w:pPr>
        <w:pStyle w:val="pldetails"/>
      </w:pPr>
      <w:r w:rsidRPr="001B600C">
        <w:t xml:space="preserve">Marcel BRUINS, Consultant, CropLife International, Bruxelles </w:t>
      </w:r>
      <w:r w:rsidRPr="001B600C">
        <w:br/>
        <w:t xml:space="preserve">(e-mail: mbruins1964@gmail.com) </w:t>
      </w:r>
    </w:p>
    <w:p w:rsidR="0003583A" w:rsidRPr="001B600C" w:rsidRDefault="0003583A" w:rsidP="00FD02CA">
      <w:pPr>
        <w:pStyle w:val="pldetails"/>
      </w:pPr>
      <w:r w:rsidRPr="001B600C">
        <w:t xml:space="preserve">François-Xavier MULLER, EU Corn Breeding IP/QMS Manager, Monsanto SAS, Monbéqui  </w:t>
      </w:r>
      <w:r w:rsidRPr="001B600C">
        <w:br/>
        <w:t xml:space="preserve">(e-mail: francois-xavier.muller@monsanto.com) </w:t>
      </w:r>
    </w:p>
    <w:p w:rsidR="0003583A" w:rsidRPr="001B600C" w:rsidRDefault="0003583A" w:rsidP="00FD02CA">
      <w:pPr>
        <w:pStyle w:val="plcountry"/>
      </w:pPr>
      <w:r w:rsidRPr="001B600C">
        <w:t>INTERNATIONAL SEED FEDERATION (ISF)</w:t>
      </w:r>
    </w:p>
    <w:p w:rsidR="0003583A" w:rsidRPr="001B600C" w:rsidRDefault="0003583A" w:rsidP="00FD02CA">
      <w:pPr>
        <w:pStyle w:val="pldetails"/>
      </w:pPr>
      <w:r w:rsidRPr="001B600C">
        <w:t xml:space="preserve">Szabolcs RUTHNER, Regulatory Affairs Executive, International Seed Federation (ISF), Nyon </w:t>
      </w:r>
      <w:r w:rsidRPr="001B600C">
        <w:br/>
        <w:t xml:space="preserve">(e-mail: s.ruthner@worldseed.org) </w:t>
      </w:r>
    </w:p>
    <w:p w:rsidR="0003583A" w:rsidRPr="001B600C" w:rsidRDefault="0003583A" w:rsidP="00FD02CA">
      <w:pPr>
        <w:pStyle w:val="pldetails"/>
      </w:pPr>
      <w:r w:rsidRPr="001B600C">
        <w:t xml:space="preserve">Amy D. CURTIS (Ms.), Soybean &amp; Cotton Patent Scientist, Monsanto US, St. Louis </w:t>
      </w:r>
      <w:r w:rsidRPr="001B600C">
        <w:br/>
        <w:t xml:space="preserve">(e-mail: amy.curtis@monsanto.com) </w:t>
      </w:r>
    </w:p>
    <w:p w:rsidR="0003583A" w:rsidRPr="001B600C" w:rsidRDefault="0003583A" w:rsidP="00FD02CA">
      <w:pPr>
        <w:pStyle w:val="pldetails"/>
      </w:pPr>
      <w:r w:rsidRPr="001B600C">
        <w:t xml:space="preserve">Stevan MADJARAC, Germplasm IP Lead, American Seed Trade Association (ASTA), Alexandria  </w:t>
      </w:r>
      <w:r w:rsidRPr="001B600C">
        <w:br/>
        <w:t>(e-mail: s.madjarac@gmail.com)</w:t>
      </w:r>
    </w:p>
    <w:p w:rsidR="0003583A" w:rsidRPr="001B600C" w:rsidRDefault="0003583A" w:rsidP="00FD02CA">
      <w:pPr>
        <w:pStyle w:val="pldetails"/>
      </w:pPr>
      <w:r w:rsidRPr="001B600C">
        <w:t xml:space="preserve">Astrid M. SCHENKEVELD (Ms.), Specialist, Variety Registration &amp; Protection, Rijk Zwaan Zaadteelt en Zaadhandel B.V., De Lier  </w:t>
      </w:r>
      <w:r w:rsidRPr="001B600C">
        <w:br/>
        <w:t xml:space="preserve">(e-mail: a.schenkeveld@rijkzwaan.nl) </w:t>
      </w:r>
    </w:p>
    <w:p w:rsidR="0003583A" w:rsidRPr="001B600C" w:rsidRDefault="0003583A" w:rsidP="00FD02CA">
      <w:pPr>
        <w:pStyle w:val="pldetails"/>
      </w:pPr>
      <w:r w:rsidRPr="001B600C">
        <w:t xml:space="preserve">Corien JEURISSEN (Mrs.), Manager Plant Variety Protection &amp; Trademarks, Crop Science Division, Nunhem  </w:t>
      </w:r>
      <w:r w:rsidRPr="001B600C">
        <w:br/>
        <w:t xml:space="preserve">(e-mail: corien.jeurissen@bayer.com) </w:t>
      </w:r>
      <w:r w:rsidRPr="001B600C">
        <w:br/>
      </w:r>
      <w:r w:rsidRPr="001B600C">
        <w:rPr>
          <w:highlight w:val="lightGray"/>
        </w:rPr>
        <w:t>[via WebEx]</w:t>
      </w:r>
    </w:p>
    <w:p w:rsidR="0003583A" w:rsidRPr="001B600C" w:rsidRDefault="0003583A" w:rsidP="00FD02CA">
      <w:pPr>
        <w:pStyle w:val="pldetails"/>
      </w:pPr>
      <w:r w:rsidRPr="001B600C">
        <w:t xml:space="preserve">Jan KNOL, Officer, Plant Variety Protection and Registration, Bayer CropScience Vegetable Seeds, Haelen  </w:t>
      </w:r>
      <w:r w:rsidRPr="001B600C">
        <w:br/>
        <w:t xml:space="preserve">(e-mail: jan.knol@bayer.com) </w:t>
      </w:r>
      <w:r w:rsidRPr="001B600C">
        <w:br/>
      </w:r>
      <w:r w:rsidRPr="001B600C">
        <w:rPr>
          <w:highlight w:val="lightGray"/>
        </w:rPr>
        <w:t>[via WebEx]</w:t>
      </w:r>
    </w:p>
    <w:p w:rsidR="0003583A" w:rsidRPr="001B600C" w:rsidRDefault="0003583A" w:rsidP="00FD02CA">
      <w:pPr>
        <w:pStyle w:val="pldetails"/>
      </w:pPr>
      <w:r w:rsidRPr="001B600C">
        <w:t xml:space="preserve">Maria José VILLALÓN-ROBLES (Ms.), PVP Specialist EMEA, Monsanto, Wageningen  </w:t>
      </w:r>
      <w:r w:rsidRPr="001B600C">
        <w:br/>
        <w:t xml:space="preserve">(e-mail: maria.jose.villalon.robles@monsanto.com) </w:t>
      </w:r>
      <w:r w:rsidRPr="001B600C">
        <w:br/>
      </w:r>
      <w:r w:rsidRPr="001B600C">
        <w:rPr>
          <w:highlight w:val="lightGray"/>
        </w:rPr>
        <w:t>[via WebEx]</w:t>
      </w:r>
    </w:p>
    <w:p w:rsidR="0003583A" w:rsidRPr="001B600C" w:rsidRDefault="0003583A" w:rsidP="00FD02CA">
      <w:pPr>
        <w:pStyle w:val="pldetails"/>
      </w:pPr>
      <w:r w:rsidRPr="001B600C">
        <w:t xml:space="preserve">Sietske WOUDA (Ms.), Lead Global Germplasm PVP/MA, Syngenta International AG, Basel  </w:t>
      </w:r>
      <w:r w:rsidRPr="001B600C">
        <w:br/>
        <w:t xml:space="preserve">(e-mail: sietske.wouda@syngenta.com) </w:t>
      </w:r>
      <w:r w:rsidRPr="001B600C">
        <w:br/>
      </w:r>
      <w:r w:rsidRPr="001B600C">
        <w:rPr>
          <w:highlight w:val="lightGray"/>
        </w:rPr>
        <w:t>[via WebEx]</w:t>
      </w:r>
    </w:p>
    <w:p w:rsidR="0003583A" w:rsidRPr="001B600C" w:rsidRDefault="0003583A" w:rsidP="00FD02CA">
      <w:pPr>
        <w:pStyle w:val="pldetails"/>
      </w:pPr>
      <w:r w:rsidRPr="001B600C">
        <w:t xml:space="preserve">Veronique BEEREN (Ms.), Department Plant Variety Protection and Trademarks, Nunhems B.V.  </w:t>
      </w:r>
      <w:r w:rsidRPr="001B600C">
        <w:br/>
        <w:t xml:space="preserve">(e-mail: nunhems.varietyregistration.nl@bayer.com) </w:t>
      </w:r>
      <w:r w:rsidRPr="001B600C">
        <w:br/>
      </w:r>
      <w:r w:rsidRPr="001B600C">
        <w:rPr>
          <w:highlight w:val="lightGray"/>
        </w:rPr>
        <w:t>[via WebEx]</w:t>
      </w:r>
    </w:p>
    <w:p w:rsidR="0003583A" w:rsidRPr="001B600C" w:rsidRDefault="0003583A" w:rsidP="00FD02CA">
      <w:pPr>
        <w:pStyle w:val="pldetails"/>
      </w:pPr>
      <w:r w:rsidRPr="001B600C">
        <w:t xml:space="preserve">Marymar BUTRUILLE (Ms.), Germplasm IP Stewardship Coordinator, Monsanto Company, Ankeny </w:t>
      </w:r>
      <w:r w:rsidRPr="001B600C">
        <w:br/>
        <w:t xml:space="preserve">(e-mail: marymar.butruille@monsanto.com) </w:t>
      </w:r>
      <w:r w:rsidRPr="001B600C">
        <w:br/>
      </w:r>
      <w:r w:rsidRPr="001B600C">
        <w:rPr>
          <w:highlight w:val="lightGray"/>
        </w:rPr>
        <w:t>[via WebEx]</w:t>
      </w:r>
    </w:p>
    <w:p w:rsidR="0003583A" w:rsidRPr="001B600C" w:rsidRDefault="0003583A" w:rsidP="00FD02CA">
      <w:pPr>
        <w:pStyle w:val="pldetails"/>
      </w:pPr>
      <w:r w:rsidRPr="001B600C">
        <w:t xml:space="preserve">Dominique QUENNEVAT (Ms.), Administrative Assistant, DuPont Pioneer Genetique, Aussonne  </w:t>
      </w:r>
      <w:r w:rsidRPr="001B600C">
        <w:br/>
        <w:t xml:space="preserve">(e-mail: dominique.quennevat@pioneer.com) </w:t>
      </w:r>
      <w:r w:rsidRPr="001B600C">
        <w:br/>
      </w:r>
      <w:r w:rsidRPr="001B600C">
        <w:rPr>
          <w:highlight w:val="lightGray"/>
        </w:rPr>
        <w:t>[via WebEx]</w:t>
      </w:r>
    </w:p>
    <w:p w:rsidR="0003583A" w:rsidRPr="001B600C" w:rsidRDefault="0003583A" w:rsidP="00FD02CA">
      <w:pPr>
        <w:pStyle w:val="pldetails"/>
      </w:pPr>
      <w:r w:rsidRPr="001B600C">
        <w:t xml:space="preserve">Daniela RODRIGUES (Ms.), Syngenta International AG, Basel </w:t>
      </w:r>
      <w:r w:rsidRPr="001B600C">
        <w:rPr>
          <w:highlight w:val="cyan"/>
        </w:rPr>
        <w:br/>
      </w:r>
      <w:r w:rsidRPr="001B600C">
        <w:t>(e-mail: daniela.rodrigues@syngenta.com)</w:t>
      </w:r>
      <w:r w:rsidRPr="001B600C">
        <w:br/>
      </w:r>
      <w:r w:rsidRPr="001B600C">
        <w:rPr>
          <w:highlight w:val="lightGray"/>
        </w:rPr>
        <w:t>[via WebEx]</w:t>
      </w:r>
    </w:p>
    <w:p w:rsidR="0003583A" w:rsidRPr="001B600C" w:rsidRDefault="0003583A" w:rsidP="00FD02CA">
      <w:pPr>
        <w:rPr>
          <w:snapToGrid w:val="0"/>
          <w:u w:val="single"/>
        </w:rPr>
      </w:pPr>
      <w:r w:rsidRPr="001B600C">
        <w:br w:type="page"/>
      </w:r>
    </w:p>
    <w:p w:rsidR="0003583A" w:rsidRPr="001B600C" w:rsidRDefault="0003583A" w:rsidP="00FD02CA">
      <w:pPr>
        <w:pStyle w:val="plheading"/>
      </w:pPr>
      <w:r w:rsidRPr="001B600C">
        <w:t>Iv. BUREAU DE L’OMPI / OFFICE OF WIPO / BÜRO DER WIPO / OFICINA DE LA OMPI</w:t>
      </w:r>
    </w:p>
    <w:p w:rsidR="0003583A" w:rsidRPr="001B600C" w:rsidRDefault="0003583A" w:rsidP="00FD02CA">
      <w:pPr>
        <w:pStyle w:val="pldetails"/>
      </w:pPr>
      <w:r w:rsidRPr="001B600C">
        <w:t>Kelvin HAYES, Head, Finance Division</w:t>
      </w:r>
    </w:p>
    <w:p w:rsidR="0003583A" w:rsidRPr="001B600C" w:rsidRDefault="0003583A" w:rsidP="00FD02CA">
      <w:pPr>
        <w:pStyle w:val="pldetails"/>
      </w:pPr>
      <w:r w:rsidRPr="001B600C">
        <w:t>Young-Woo YUN, Head, International Classifications and Standards Division</w:t>
      </w:r>
    </w:p>
    <w:p w:rsidR="0003583A" w:rsidRPr="001B600C" w:rsidRDefault="0003583A" w:rsidP="00FD02CA">
      <w:pPr>
        <w:pStyle w:val="pldetails"/>
      </w:pPr>
      <w:r w:rsidRPr="001B600C">
        <w:t>Gaëtan BLUNIER, Manager, ERP Functional Team, Management and Administration Applications Section</w:t>
      </w:r>
    </w:p>
    <w:p w:rsidR="0003583A" w:rsidRPr="001B600C" w:rsidRDefault="0003583A" w:rsidP="00FD02CA">
      <w:pPr>
        <w:pStyle w:val="plheading"/>
      </w:pPr>
      <w:r w:rsidRPr="001B600C">
        <w:t>V. BUREAU / OFFICER / VORSITZ / OFICINA</w:t>
      </w:r>
    </w:p>
    <w:p w:rsidR="0003583A" w:rsidRPr="001B600C" w:rsidRDefault="0003583A" w:rsidP="00FD02CA">
      <w:pPr>
        <w:pStyle w:val="pldetails"/>
      </w:pPr>
      <w:r w:rsidRPr="001B600C">
        <w:t>Peter BUTTON, Chair</w:t>
      </w:r>
    </w:p>
    <w:p w:rsidR="0003583A" w:rsidRPr="001B600C" w:rsidRDefault="0003583A" w:rsidP="00FD02CA">
      <w:pPr>
        <w:pStyle w:val="plheading"/>
      </w:pPr>
      <w:r w:rsidRPr="001B600C">
        <w:t>Vi. BUREAU DE L’UPOV / OFFICE OF UPOV / BÜRO DER UPOV / OFICINA DE LA UPOV</w:t>
      </w:r>
    </w:p>
    <w:p w:rsidR="0003583A" w:rsidRPr="001B600C" w:rsidRDefault="0003583A" w:rsidP="00FD02CA">
      <w:pPr>
        <w:pStyle w:val="pldetails"/>
      </w:pPr>
      <w:r w:rsidRPr="001B600C">
        <w:t>Peter BUTTON, Vice Secretary-General</w:t>
      </w:r>
    </w:p>
    <w:p w:rsidR="0003583A" w:rsidRPr="001B600C" w:rsidRDefault="0003583A" w:rsidP="00FD02CA">
      <w:pPr>
        <w:pStyle w:val="pldetails"/>
      </w:pPr>
      <w:r w:rsidRPr="001B600C">
        <w:t>Yolanda HUERTA (Ms.), Legal Counsel</w:t>
      </w:r>
    </w:p>
    <w:p w:rsidR="0003583A" w:rsidRPr="001B600C" w:rsidRDefault="0003583A" w:rsidP="00FD02CA">
      <w:pPr>
        <w:pStyle w:val="pldetails"/>
      </w:pPr>
      <w:r w:rsidRPr="001B600C">
        <w:t>Tomochika MOTOMURA, Technical/Regional Officer (Asia)</w:t>
      </w:r>
    </w:p>
    <w:p w:rsidR="0003583A" w:rsidRPr="001B600C" w:rsidRDefault="0003583A" w:rsidP="00FD02CA">
      <w:pPr>
        <w:pStyle w:val="pldetails"/>
      </w:pPr>
      <w:r w:rsidRPr="001B600C">
        <w:t>Ben RIVOIRE, Technical/Regional Officer (Africa, Arab countries)</w:t>
      </w:r>
    </w:p>
    <w:p w:rsidR="0003583A" w:rsidRPr="001B600C" w:rsidRDefault="0003583A" w:rsidP="00FD02CA">
      <w:pPr>
        <w:pStyle w:val="pldetails"/>
      </w:pPr>
      <w:r w:rsidRPr="001B600C">
        <w:t>Leontino TAVEIRA, Technical/Regional Officer (Latin America, Caribbean countries)</w:t>
      </w:r>
    </w:p>
    <w:p w:rsidR="0003583A" w:rsidRPr="001B600C" w:rsidRDefault="0003583A" w:rsidP="00FD02CA">
      <w:pPr>
        <w:pStyle w:val="pldetails"/>
      </w:pPr>
      <w:r w:rsidRPr="001B600C">
        <w:t>Hend MADHOUR (Ms.), Data Modeler and Business Needs Analyst</w:t>
      </w:r>
    </w:p>
    <w:p w:rsidR="003E3020" w:rsidRPr="001B600C" w:rsidRDefault="003E3020" w:rsidP="00FD02CA"/>
    <w:p w:rsidR="003E3020" w:rsidRPr="001B600C" w:rsidRDefault="003E3020" w:rsidP="00FD02CA"/>
    <w:p w:rsidR="00CB6696" w:rsidRDefault="00CB6696" w:rsidP="00FD02CA"/>
    <w:p w:rsidR="00CB6696" w:rsidRDefault="003E3020" w:rsidP="00CB6696">
      <w:pPr>
        <w:jc w:val="right"/>
      </w:pPr>
      <w:r w:rsidRPr="001B600C">
        <w:t>[</w:t>
      </w:r>
      <w:r w:rsidR="00CB6696">
        <w:t xml:space="preserve">L’annexe II suit/ </w:t>
      </w:r>
    </w:p>
    <w:p w:rsidR="00CB6696" w:rsidRDefault="003E3020" w:rsidP="00CB6696">
      <w:pPr>
        <w:jc w:val="right"/>
      </w:pPr>
      <w:r w:rsidRPr="001B600C">
        <w:t>Annex II follows</w:t>
      </w:r>
      <w:r w:rsidR="00CB6696">
        <w:t xml:space="preserve">/ </w:t>
      </w:r>
    </w:p>
    <w:p w:rsidR="00CB6696" w:rsidRDefault="00CB6696" w:rsidP="00CB6696">
      <w:pPr>
        <w:jc w:val="right"/>
      </w:pPr>
      <w:r>
        <w:t>Anlage II folgt/</w:t>
      </w:r>
    </w:p>
    <w:p w:rsidR="003E3020" w:rsidRPr="001B600C" w:rsidRDefault="00CB6696" w:rsidP="00CB6696">
      <w:pPr>
        <w:jc w:val="right"/>
      </w:pPr>
      <w:r>
        <w:t>Sigue el Anexo II</w:t>
      </w:r>
      <w:r w:rsidR="003E3020" w:rsidRPr="001B600C">
        <w:t>]</w:t>
      </w:r>
    </w:p>
    <w:p w:rsidR="003E3020" w:rsidRPr="001B600C" w:rsidRDefault="003E3020" w:rsidP="00FD02CA">
      <w:pPr>
        <w:sectPr w:rsidR="003E3020" w:rsidRPr="001B600C" w:rsidSect="003E3020">
          <w:headerReference w:type="default" r:id="rId14"/>
          <w:pgSz w:w="11907" w:h="16840" w:code="9"/>
          <w:pgMar w:top="510" w:right="1134" w:bottom="1134" w:left="1134" w:header="510" w:footer="680" w:gutter="0"/>
          <w:pgNumType w:start="1"/>
          <w:cols w:space="720"/>
          <w:titlePg/>
        </w:sectPr>
      </w:pPr>
    </w:p>
    <w:p w:rsidR="003E3020" w:rsidRPr="001B600C" w:rsidRDefault="006B3305" w:rsidP="00CB6696">
      <w:pPr>
        <w:jc w:val="center"/>
      </w:pPr>
      <w:r>
        <w:t>UPOV/EAF/9/3</w:t>
      </w:r>
    </w:p>
    <w:p w:rsidR="003E3020" w:rsidRPr="001B600C" w:rsidRDefault="003E3020" w:rsidP="00FD02CA"/>
    <w:p w:rsidR="003E3020" w:rsidRPr="001B600C" w:rsidRDefault="003E3020" w:rsidP="00CB6696">
      <w:pPr>
        <w:jc w:val="center"/>
      </w:pPr>
      <w:r w:rsidRPr="001B600C">
        <w:t>ANNEX II</w:t>
      </w:r>
      <w:r w:rsidR="00AD7F5F">
        <w:t xml:space="preserve"> / ANNEXE II / ANLAGE II / ANEXO II</w:t>
      </w:r>
    </w:p>
    <w:p w:rsidR="003E3020" w:rsidRPr="001B600C" w:rsidRDefault="003E3020" w:rsidP="00FD02CA"/>
    <w:p w:rsidR="003E3020" w:rsidRPr="001B600C" w:rsidRDefault="003E3020" w:rsidP="00FD02CA"/>
    <w:p w:rsidR="003E3020" w:rsidRPr="001B600C" w:rsidRDefault="003E3020" w:rsidP="00FD02CA"/>
    <w:p w:rsidR="003E3020" w:rsidRPr="00AD7F5F" w:rsidRDefault="00AD7F5F" w:rsidP="00AD7F5F">
      <w:pPr>
        <w:jc w:val="center"/>
        <w:rPr>
          <w:i/>
        </w:rPr>
      </w:pPr>
      <w:r w:rsidRPr="00AD7F5F">
        <w:rPr>
          <w:i/>
        </w:rPr>
        <w:t>[</w:t>
      </w:r>
      <w:r>
        <w:rPr>
          <w:i/>
        </w:rPr>
        <w:t>S</w:t>
      </w:r>
      <w:r w:rsidRPr="00AD7F5F">
        <w:rPr>
          <w:i/>
        </w:rPr>
        <w:t>ee the PDF version / Voir la version PDF / Siehe PDF Version / Veáse la version en PDF]</w:t>
      </w:r>
    </w:p>
    <w:p w:rsidR="003E3020" w:rsidRPr="001B600C" w:rsidRDefault="003E3020" w:rsidP="00FD02CA"/>
    <w:p w:rsidR="003E3020" w:rsidRPr="001B600C" w:rsidRDefault="003E3020" w:rsidP="00FD02CA"/>
    <w:p w:rsidR="003E3020" w:rsidRPr="001B600C" w:rsidRDefault="003E3020" w:rsidP="00FD02CA"/>
    <w:p w:rsidR="003E3020" w:rsidRPr="001B600C" w:rsidRDefault="003E3020" w:rsidP="00FD02CA"/>
    <w:p w:rsidR="003E3020" w:rsidRPr="001B600C" w:rsidRDefault="003E3020" w:rsidP="00FD02CA"/>
    <w:p w:rsidR="00D04487" w:rsidRDefault="00D04487" w:rsidP="00D04487">
      <w:pPr>
        <w:jc w:val="right"/>
      </w:pPr>
      <w:r>
        <w:t>[End of Annex II and of document/</w:t>
      </w:r>
    </w:p>
    <w:p w:rsidR="00AD7F5F" w:rsidRDefault="00AD7F5F" w:rsidP="00D04487">
      <w:pPr>
        <w:jc w:val="right"/>
      </w:pPr>
      <w:r>
        <w:t>Fin de l’Annexe II et du document/</w:t>
      </w:r>
    </w:p>
    <w:p w:rsidR="00D04487" w:rsidRDefault="00D04487" w:rsidP="00D04487">
      <w:pPr>
        <w:jc w:val="right"/>
      </w:pPr>
      <w:r>
        <w:t>Ende der Anlage II und des Dokuments/</w:t>
      </w:r>
    </w:p>
    <w:p w:rsidR="00D04487" w:rsidRDefault="00D04487" w:rsidP="00D04487">
      <w:pPr>
        <w:jc w:val="right"/>
      </w:pPr>
      <w:r>
        <w:t>Fin del Anexo II y del documento]</w:t>
      </w:r>
    </w:p>
    <w:p w:rsidR="003E3020" w:rsidRPr="001B600C" w:rsidRDefault="003E3020" w:rsidP="00EA194B">
      <w:pPr>
        <w:jc w:val="right"/>
      </w:pPr>
    </w:p>
    <w:p w:rsidR="003E3020" w:rsidRPr="001B600C" w:rsidRDefault="003E3020" w:rsidP="00FD02CA"/>
    <w:p w:rsidR="00050E16" w:rsidRPr="001B600C" w:rsidRDefault="00050E16" w:rsidP="00FD02CA"/>
    <w:sectPr w:rsidR="00050E16" w:rsidRPr="001B600C" w:rsidSect="005B5BE3">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BE3" w:rsidRDefault="005B5BE3" w:rsidP="00FD02CA">
      <w:r>
        <w:separator/>
      </w:r>
    </w:p>
    <w:p w:rsidR="005B5BE3" w:rsidRDefault="005B5BE3" w:rsidP="00FD02CA"/>
    <w:p w:rsidR="005B5BE3" w:rsidRDefault="005B5BE3" w:rsidP="00FD02CA"/>
  </w:endnote>
  <w:endnote w:type="continuationSeparator" w:id="0">
    <w:p w:rsidR="005B5BE3" w:rsidRDefault="005B5BE3" w:rsidP="00FD02CA">
      <w:r>
        <w:separator/>
      </w:r>
    </w:p>
    <w:p w:rsidR="005B5BE3" w:rsidRPr="00294751" w:rsidRDefault="005B5BE3">
      <w:pPr>
        <w:pStyle w:val="Footer"/>
        <w:spacing w:after="60"/>
        <w:rPr>
          <w:sz w:val="18"/>
          <w:lang w:val="fr-FR"/>
        </w:rPr>
      </w:pPr>
      <w:r w:rsidRPr="00294751">
        <w:rPr>
          <w:sz w:val="18"/>
          <w:lang w:val="fr-FR"/>
        </w:rPr>
        <w:t>[Suite de la note de la page précédente]</w:t>
      </w:r>
    </w:p>
    <w:p w:rsidR="005B5BE3" w:rsidRPr="00294751" w:rsidRDefault="005B5BE3" w:rsidP="00FD02CA">
      <w:pPr>
        <w:rPr>
          <w:lang w:val="fr-FR"/>
        </w:rPr>
      </w:pPr>
    </w:p>
    <w:p w:rsidR="005B5BE3" w:rsidRPr="00294751" w:rsidRDefault="005B5BE3" w:rsidP="00FD02CA">
      <w:pPr>
        <w:rPr>
          <w:lang w:val="fr-FR"/>
        </w:rPr>
      </w:pPr>
    </w:p>
  </w:endnote>
  <w:endnote w:type="continuationNotice" w:id="1">
    <w:p w:rsidR="005B5BE3" w:rsidRPr="00294751" w:rsidRDefault="005B5BE3" w:rsidP="00FD02CA">
      <w:pPr>
        <w:rPr>
          <w:lang w:val="fr-FR"/>
        </w:rPr>
      </w:pPr>
      <w:r w:rsidRPr="00294751">
        <w:rPr>
          <w:lang w:val="fr-FR"/>
        </w:rPr>
        <w:t>[Suite de la note page suivante]</w:t>
      </w:r>
    </w:p>
    <w:p w:rsidR="005B5BE3" w:rsidRPr="00294751" w:rsidRDefault="005B5BE3" w:rsidP="00FD02CA">
      <w:pPr>
        <w:rPr>
          <w:lang w:val="fr-FR"/>
        </w:rPr>
      </w:pPr>
    </w:p>
    <w:p w:rsidR="005B5BE3" w:rsidRPr="00294751" w:rsidRDefault="005B5BE3" w:rsidP="00FD02CA">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E3" w:rsidRPr="00C43E4A" w:rsidRDefault="005B5BE3" w:rsidP="00425B2D">
    <w:pPr>
      <w:pStyle w:val="Footer"/>
      <w:tabs>
        <w:tab w:val="left" w:leader="underscore" w:pos="1985"/>
      </w:tabs>
      <w:spacing w:before="120"/>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BE3" w:rsidRDefault="005B5BE3" w:rsidP="00FD02CA">
      <w:r>
        <w:separator/>
      </w:r>
    </w:p>
  </w:footnote>
  <w:footnote w:type="continuationSeparator" w:id="0">
    <w:p w:rsidR="005B5BE3" w:rsidRDefault="005B5BE3" w:rsidP="00FD02CA">
      <w:r>
        <w:separator/>
      </w:r>
    </w:p>
  </w:footnote>
  <w:footnote w:type="continuationNotice" w:id="1">
    <w:p w:rsidR="005B5BE3" w:rsidRPr="00AB530F" w:rsidRDefault="005B5BE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E3" w:rsidRPr="00C5280D" w:rsidRDefault="006B3305" w:rsidP="00EB048E">
    <w:pPr>
      <w:pStyle w:val="Header"/>
      <w:rPr>
        <w:rStyle w:val="PageNumber"/>
        <w:lang w:val="en-US"/>
      </w:rPr>
    </w:pPr>
    <w:r>
      <w:rPr>
        <w:rStyle w:val="PageNumber"/>
        <w:lang w:val="en-US"/>
      </w:rPr>
      <w:t>UPOV/EAF/9/3</w:t>
    </w:r>
  </w:p>
  <w:p w:rsidR="005B5BE3" w:rsidRPr="00C5280D" w:rsidRDefault="005B5BE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51758">
      <w:rPr>
        <w:rStyle w:val="PageNumber"/>
        <w:noProof/>
        <w:lang w:val="en-US"/>
      </w:rPr>
      <w:t>5</w:t>
    </w:r>
    <w:r w:rsidRPr="00C5280D">
      <w:rPr>
        <w:rStyle w:val="PageNumber"/>
        <w:lang w:val="en-US"/>
      </w:rPr>
      <w:fldChar w:fldCharType="end"/>
    </w:r>
  </w:p>
  <w:p w:rsidR="005B5BE3" w:rsidRPr="00C5280D" w:rsidRDefault="005B5BE3" w:rsidP="00FD02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BE3" w:rsidRPr="00187D7B" w:rsidRDefault="006B3305">
    <w:pPr>
      <w:pStyle w:val="Header"/>
      <w:rPr>
        <w:lang w:val="en-US"/>
      </w:rPr>
    </w:pPr>
    <w:r>
      <w:rPr>
        <w:lang w:val="en-US"/>
      </w:rPr>
      <w:t>UPOV/EAF/9/3</w:t>
    </w:r>
  </w:p>
  <w:p w:rsidR="005B5BE3" w:rsidRPr="00187D7B" w:rsidRDefault="001F2358">
    <w:pPr>
      <w:pStyle w:val="Header"/>
      <w:rPr>
        <w:noProof/>
        <w:lang w:val="en-US"/>
      </w:rPr>
    </w:pPr>
    <w:r>
      <w:rPr>
        <w:lang w:val="en-US"/>
      </w:rPr>
      <w:t xml:space="preserve">Annexe I / </w:t>
    </w:r>
    <w:r w:rsidR="005B5BE3" w:rsidRPr="00187D7B">
      <w:rPr>
        <w:lang w:val="en-US"/>
      </w:rPr>
      <w:t>Annex I</w:t>
    </w:r>
    <w:r>
      <w:rPr>
        <w:lang w:val="en-US"/>
      </w:rPr>
      <w:t xml:space="preserve"> / Anlage I / Anexo I</w:t>
    </w:r>
    <w:r>
      <w:rPr>
        <w:lang w:val="en-US"/>
      </w:rPr>
      <w:br/>
    </w:r>
    <w:r w:rsidR="005B5BE3" w:rsidRPr="00187D7B">
      <w:rPr>
        <w:lang w:val="en-US"/>
      </w:rPr>
      <w:t xml:space="preserve">page </w:t>
    </w:r>
    <w:r w:rsidR="005B5BE3">
      <w:fldChar w:fldCharType="begin"/>
    </w:r>
    <w:r w:rsidR="005B5BE3" w:rsidRPr="00187D7B">
      <w:rPr>
        <w:lang w:val="en-US"/>
      </w:rPr>
      <w:instrText xml:space="preserve"> PAGE   \* MERGEFORMAT </w:instrText>
    </w:r>
    <w:r w:rsidR="005B5BE3">
      <w:fldChar w:fldCharType="separate"/>
    </w:r>
    <w:r w:rsidR="00A51758">
      <w:rPr>
        <w:noProof/>
        <w:lang w:val="en-US"/>
      </w:rPr>
      <w:t>7</w:t>
    </w:r>
    <w:r w:rsidR="005B5BE3">
      <w:rPr>
        <w:noProof/>
      </w:rPr>
      <w:fldChar w:fldCharType="end"/>
    </w:r>
    <w:r>
      <w:rPr>
        <w:noProof/>
      </w:rPr>
      <w:t xml:space="preserve"> / Seite </w:t>
    </w:r>
    <w:r>
      <w:fldChar w:fldCharType="begin"/>
    </w:r>
    <w:r w:rsidRPr="00187D7B">
      <w:rPr>
        <w:lang w:val="en-US"/>
      </w:rPr>
      <w:instrText xml:space="preserve"> PAGE   \* MERGEFORMAT </w:instrText>
    </w:r>
    <w:r>
      <w:fldChar w:fldCharType="separate"/>
    </w:r>
    <w:r w:rsidR="00A51758">
      <w:rPr>
        <w:noProof/>
        <w:lang w:val="en-US"/>
      </w:rPr>
      <w:t>7</w:t>
    </w:r>
    <w:r>
      <w:rPr>
        <w:noProof/>
      </w:rPr>
      <w:fldChar w:fldCharType="end"/>
    </w:r>
    <w:r>
      <w:rPr>
        <w:noProof/>
      </w:rPr>
      <w:t xml:space="preserve"> / página </w:t>
    </w:r>
    <w:r>
      <w:fldChar w:fldCharType="begin"/>
    </w:r>
    <w:r w:rsidRPr="00187D7B">
      <w:rPr>
        <w:lang w:val="en-US"/>
      </w:rPr>
      <w:instrText xml:space="preserve"> PAGE   \* MERGEFORMAT </w:instrText>
    </w:r>
    <w:r>
      <w:fldChar w:fldCharType="separate"/>
    </w:r>
    <w:r w:rsidR="00A51758">
      <w:rPr>
        <w:noProof/>
        <w:lang w:val="en-US"/>
      </w:rPr>
      <w:t>7</w:t>
    </w:r>
    <w:r>
      <w:rPr>
        <w:noProof/>
      </w:rPr>
      <w:fldChar w:fldCharType="end"/>
    </w:r>
  </w:p>
  <w:p w:rsidR="005B5BE3" w:rsidRPr="00187D7B" w:rsidRDefault="005B5BE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3FB1"/>
    <w:multiLevelType w:val="hybridMultilevel"/>
    <w:tmpl w:val="5E18555E"/>
    <w:lvl w:ilvl="0" w:tplc="9F6A0B92">
      <w:start w:val="1"/>
      <w:numFmt w:val="lowerLetter"/>
      <w:lvlText w:val="(%1)"/>
      <w:lvlJc w:val="left"/>
      <w:pPr>
        <w:ind w:left="1287" w:hanging="360"/>
      </w:pPr>
      <w:rPr>
        <w:rFonts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747EC"/>
    <w:multiLevelType w:val="hybridMultilevel"/>
    <w:tmpl w:val="FE689680"/>
    <w:lvl w:ilvl="0" w:tplc="00AAEC1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2C8A7002"/>
    <w:multiLevelType w:val="hybridMultilevel"/>
    <w:tmpl w:val="5462AA8E"/>
    <w:lvl w:ilvl="0" w:tplc="04090001">
      <w:start w:val="1"/>
      <w:numFmt w:val="bullet"/>
      <w:lvlText w:val=""/>
      <w:lvlJc w:val="left"/>
      <w:pPr>
        <w:ind w:left="1287" w:hanging="360"/>
      </w:pPr>
      <w:rPr>
        <w:rFonts w:ascii="Symbol" w:hAnsi="Symbo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7B027A1"/>
    <w:multiLevelType w:val="hybridMultilevel"/>
    <w:tmpl w:val="04045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B421C96"/>
    <w:multiLevelType w:val="hybridMultilevel"/>
    <w:tmpl w:val="BB9AA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01197E"/>
    <w:multiLevelType w:val="hybridMultilevel"/>
    <w:tmpl w:val="57BE733A"/>
    <w:lvl w:ilvl="0" w:tplc="9F6A0B9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
  </w:num>
  <w:num w:numId="5">
    <w:abstractNumId w:val="12"/>
  </w:num>
  <w:num w:numId="6">
    <w:abstractNumId w:val="6"/>
  </w:num>
  <w:num w:numId="7">
    <w:abstractNumId w:val="7"/>
  </w:num>
  <w:num w:numId="8">
    <w:abstractNumId w:val="13"/>
  </w:num>
  <w:num w:numId="9">
    <w:abstractNumId w:val="2"/>
  </w:num>
  <w:num w:numId="10">
    <w:abstractNumId w:val="10"/>
  </w:num>
  <w:num w:numId="11">
    <w:abstractNumId w:val="3"/>
  </w:num>
  <w:num w:numId="12">
    <w:abstractNumId w:val="4"/>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09"/>
    <w:rsid w:val="00010CF3"/>
    <w:rsid w:val="00011E27"/>
    <w:rsid w:val="000148BC"/>
    <w:rsid w:val="00024AB8"/>
    <w:rsid w:val="00030854"/>
    <w:rsid w:val="0003583A"/>
    <w:rsid w:val="00036028"/>
    <w:rsid w:val="00044642"/>
    <w:rsid w:val="000446B9"/>
    <w:rsid w:val="00047E21"/>
    <w:rsid w:val="00050E16"/>
    <w:rsid w:val="00065C94"/>
    <w:rsid w:val="00085505"/>
    <w:rsid w:val="000A3E77"/>
    <w:rsid w:val="000C4E25"/>
    <w:rsid w:val="000C7021"/>
    <w:rsid w:val="000D6BBC"/>
    <w:rsid w:val="000D7780"/>
    <w:rsid w:val="000E636A"/>
    <w:rsid w:val="000F2F11"/>
    <w:rsid w:val="00105929"/>
    <w:rsid w:val="00110C36"/>
    <w:rsid w:val="001131D5"/>
    <w:rsid w:val="001259FF"/>
    <w:rsid w:val="00141DB8"/>
    <w:rsid w:val="00172084"/>
    <w:rsid w:val="0017474A"/>
    <w:rsid w:val="001758C6"/>
    <w:rsid w:val="00182B99"/>
    <w:rsid w:val="001A4E29"/>
    <w:rsid w:val="001A558E"/>
    <w:rsid w:val="001B31E9"/>
    <w:rsid w:val="001B600C"/>
    <w:rsid w:val="001C1525"/>
    <w:rsid w:val="001E390F"/>
    <w:rsid w:val="001F2358"/>
    <w:rsid w:val="0021332C"/>
    <w:rsid w:val="00213982"/>
    <w:rsid w:val="00243BFF"/>
    <w:rsid w:val="0024416D"/>
    <w:rsid w:val="00271911"/>
    <w:rsid w:val="00272B35"/>
    <w:rsid w:val="00276699"/>
    <w:rsid w:val="002800A0"/>
    <w:rsid w:val="002801B3"/>
    <w:rsid w:val="00281060"/>
    <w:rsid w:val="002940E8"/>
    <w:rsid w:val="00294751"/>
    <w:rsid w:val="002A6E50"/>
    <w:rsid w:val="002B4298"/>
    <w:rsid w:val="002C256A"/>
    <w:rsid w:val="002D70CF"/>
    <w:rsid w:val="002E3CCF"/>
    <w:rsid w:val="00305A7F"/>
    <w:rsid w:val="003152FE"/>
    <w:rsid w:val="00327436"/>
    <w:rsid w:val="00344BD6"/>
    <w:rsid w:val="00346B44"/>
    <w:rsid w:val="0035528D"/>
    <w:rsid w:val="00361821"/>
    <w:rsid w:val="00361E9E"/>
    <w:rsid w:val="00380ED2"/>
    <w:rsid w:val="003A1609"/>
    <w:rsid w:val="003C7FBE"/>
    <w:rsid w:val="003D227C"/>
    <w:rsid w:val="003D2B4D"/>
    <w:rsid w:val="003D7294"/>
    <w:rsid w:val="003E3020"/>
    <w:rsid w:val="00422032"/>
    <w:rsid w:val="00425B2D"/>
    <w:rsid w:val="0043283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67AED"/>
    <w:rsid w:val="00576BE4"/>
    <w:rsid w:val="005978A4"/>
    <w:rsid w:val="005A400A"/>
    <w:rsid w:val="005B5BE3"/>
    <w:rsid w:val="005F7B92"/>
    <w:rsid w:val="00612379"/>
    <w:rsid w:val="006153B6"/>
    <w:rsid w:val="0061555F"/>
    <w:rsid w:val="006228C8"/>
    <w:rsid w:val="00636CA6"/>
    <w:rsid w:val="00641200"/>
    <w:rsid w:val="00645CA8"/>
    <w:rsid w:val="00661F6A"/>
    <w:rsid w:val="006655D3"/>
    <w:rsid w:val="00666DA5"/>
    <w:rsid w:val="00667404"/>
    <w:rsid w:val="00675C86"/>
    <w:rsid w:val="00687EB4"/>
    <w:rsid w:val="00695C56"/>
    <w:rsid w:val="006A5CDE"/>
    <w:rsid w:val="006A644A"/>
    <w:rsid w:val="006B17D2"/>
    <w:rsid w:val="006B3305"/>
    <w:rsid w:val="006C224E"/>
    <w:rsid w:val="006D780A"/>
    <w:rsid w:val="0071271E"/>
    <w:rsid w:val="00732484"/>
    <w:rsid w:val="00732DEC"/>
    <w:rsid w:val="00735416"/>
    <w:rsid w:val="00735BD5"/>
    <w:rsid w:val="00740FAC"/>
    <w:rsid w:val="00751613"/>
    <w:rsid w:val="007556F6"/>
    <w:rsid w:val="00760EEF"/>
    <w:rsid w:val="00777EE5"/>
    <w:rsid w:val="00784836"/>
    <w:rsid w:val="0079023E"/>
    <w:rsid w:val="007A2854"/>
    <w:rsid w:val="007C1D92"/>
    <w:rsid w:val="007C4CB9"/>
    <w:rsid w:val="007D0B9D"/>
    <w:rsid w:val="007D19B0"/>
    <w:rsid w:val="007F498F"/>
    <w:rsid w:val="007F5B31"/>
    <w:rsid w:val="0080056C"/>
    <w:rsid w:val="0080679D"/>
    <w:rsid w:val="00810240"/>
    <w:rsid w:val="008108B0"/>
    <w:rsid w:val="00811B20"/>
    <w:rsid w:val="008211B5"/>
    <w:rsid w:val="0082296E"/>
    <w:rsid w:val="00824099"/>
    <w:rsid w:val="00840595"/>
    <w:rsid w:val="00846D7C"/>
    <w:rsid w:val="00867AC1"/>
    <w:rsid w:val="00872E86"/>
    <w:rsid w:val="00890DF8"/>
    <w:rsid w:val="008A743F"/>
    <w:rsid w:val="008B276C"/>
    <w:rsid w:val="008C0970"/>
    <w:rsid w:val="008C3987"/>
    <w:rsid w:val="008D0BC5"/>
    <w:rsid w:val="008D2CF7"/>
    <w:rsid w:val="008D3840"/>
    <w:rsid w:val="008E27AB"/>
    <w:rsid w:val="00900C26"/>
    <w:rsid w:val="0090197F"/>
    <w:rsid w:val="00903264"/>
    <w:rsid w:val="00906DDC"/>
    <w:rsid w:val="00916CAF"/>
    <w:rsid w:val="00934E09"/>
    <w:rsid w:val="00936253"/>
    <w:rsid w:val="00940D46"/>
    <w:rsid w:val="00952DD4"/>
    <w:rsid w:val="00965AE7"/>
    <w:rsid w:val="00970FED"/>
    <w:rsid w:val="00974014"/>
    <w:rsid w:val="00992D82"/>
    <w:rsid w:val="00997029"/>
    <w:rsid w:val="009A33F9"/>
    <w:rsid w:val="009A7339"/>
    <w:rsid w:val="009B440E"/>
    <w:rsid w:val="009D690D"/>
    <w:rsid w:val="009E47E8"/>
    <w:rsid w:val="009E65B6"/>
    <w:rsid w:val="009F77CF"/>
    <w:rsid w:val="00A24C10"/>
    <w:rsid w:val="00A33150"/>
    <w:rsid w:val="00A41F94"/>
    <w:rsid w:val="00A42AC3"/>
    <w:rsid w:val="00A430CF"/>
    <w:rsid w:val="00A47F1F"/>
    <w:rsid w:val="00A51758"/>
    <w:rsid w:val="00A54309"/>
    <w:rsid w:val="00AB2B93"/>
    <w:rsid w:val="00AB530F"/>
    <w:rsid w:val="00AB7E5B"/>
    <w:rsid w:val="00AC2883"/>
    <w:rsid w:val="00AD7F5F"/>
    <w:rsid w:val="00AE0EF1"/>
    <w:rsid w:val="00AE2937"/>
    <w:rsid w:val="00AF0684"/>
    <w:rsid w:val="00B01E9D"/>
    <w:rsid w:val="00B07301"/>
    <w:rsid w:val="00B11F3E"/>
    <w:rsid w:val="00B16798"/>
    <w:rsid w:val="00B224DE"/>
    <w:rsid w:val="00B324D4"/>
    <w:rsid w:val="00B46575"/>
    <w:rsid w:val="00B52127"/>
    <w:rsid w:val="00B61777"/>
    <w:rsid w:val="00B67675"/>
    <w:rsid w:val="00B84BBD"/>
    <w:rsid w:val="00BA1722"/>
    <w:rsid w:val="00BA43FB"/>
    <w:rsid w:val="00BB466B"/>
    <w:rsid w:val="00BC127D"/>
    <w:rsid w:val="00BC1FE6"/>
    <w:rsid w:val="00C061B6"/>
    <w:rsid w:val="00C23BE3"/>
    <w:rsid w:val="00C2446C"/>
    <w:rsid w:val="00C36AE5"/>
    <w:rsid w:val="00C41F17"/>
    <w:rsid w:val="00C527FA"/>
    <w:rsid w:val="00C5280D"/>
    <w:rsid w:val="00C53EB3"/>
    <w:rsid w:val="00C5791C"/>
    <w:rsid w:val="00C66290"/>
    <w:rsid w:val="00C72B7A"/>
    <w:rsid w:val="00C973F2"/>
    <w:rsid w:val="00CA304C"/>
    <w:rsid w:val="00CA774A"/>
    <w:rsid w:val="00CB6696"/>
    <w:rsid w:val="00CC11B0"/>
    <w:rsid w:val="00CC2841"/>
    <w:rsid w:val="00CF1330"/>
    <w:rsid w:val="00CF3EDA"/>
    <w:rsid w:val="00CF7E36"/>
    <w:rsid w:val="00D04487"/>
    <w:rsid w:val="00D10AA7"/>
    <w:rsid w:val="00D3708D"/>
    <w:rsid w:val="00D40426"/>
    <w:rsid w:val="00D432EC"/>
    <w:rsid w:val="00D45276"/>
    <w:rsid w:val="00D57C96"/>
    <w:rsid w:val="00D57D18"/>
    <w:rsid w:val="00D62F31"/>
    <w:rsid w:val="00D71FA6"/>
    <w:rsid w:val="00D76D09"/>
    <w:rsid w:val="00D91203"/>
    <w:rsid w:val="00D95174"/>
    <w:rsid w:val="00DA2B4A"/>
    <w:rsid w:val="00DA4973"/>
    <w:rsid w:val="00DA6F36"/>
    <w:rsid w:val="00DB596E"/>
    <w:rsid w:val="00DB7773"/>
    <w:rsid w:val="00DC00EA"/>
    <w:rsid w:val="00DC3802"/>
    <w:rsid w:val="00DF2F16"/>
    <w:rsid w:val="00E07D87"/>
    <w:rsid w:val="00E11537"/>
    <w:rsid w:val="00E32F7E"/>
    <w:rsid w:val="00E36266"/>
    <w:rsid w:val="00E5267B"/>
    <w:rsid w:val="00E63C0E"/>
    <w:rsid w:val="00E72D49"/>
    <w:rsid w:val="00E7593C"/>
    <w:rsid w:val="00E7678A"/>
    <w:rsid w:val="00E935F1"/>
    <w:rsid w:val="00E94A81"/>
    <w:rsid w:val="00EA194B"/>
    <w:rsid w:val="00EA1CB3"/>
    <w:rsid w:val="00EA1FFB"/>
    <w:rsid w:val="00EA3E13"/>
    <w:rsid w:val="00EB048E"/>
    <w:rsid w:val="00EB4E9C"/>
    <w:rsid w:val="00EE34DF"/>
    <w:rsid w:val="00EE78D4"/>
    <w:rsid w:val="00EF2F89"/>
    <w:rsid w:val="00F03E98"/>
    <w:rsid w:val="00F1237A"/>
    <w:rsid w:val="00F22CBD"/>
    <w:rsid w:val="00F272F1"/>
    <w:rsid w:val="00F31192"/>
    <w:rsid w:val="00F45372"/>
    <w:rsid w:val="00F560F7"/>
    <w:rsid w:val="00F6334D"/>
    <w:rsid w:val="00F63599"/>
    <w:rsid w:val="00F67174"/>
    <w:rsid w:val="00F86D27"/>
    <w:rsid w:val="00FA49AB"/>
    <w:rsid w:val="00FD02CA"/>
    <w:rsid w:val="00FE2AA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2CA"/>
    <w:pPr>
      <w:jc w:val="both"/>
    </w:pPr>
    <w:rPr>
      <w:rFonts w:ascii="Arial" w:hAnsi="Arial" w:cs="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FD02CA"/>
    <w:pPr>
      <w:keepNext/>
      <w:ind w:left="567"/>
      <w:jc w:val="both"/>
      <w:outlineLvl w:val="3"/>
    </w:pPr>
    <w:rPr>
      <w:rFonts w:ascii="Arial" w:hAnsi="Arial"/>
      <w:i/>
      <w:sz w:val="18"/>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25B2D"/>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425B2D"/>
    <w:rPr>
      <w:rFonts w:ascii="Arial" w:hAnsi="Arial"/>
      <w:sz w:val="14"/>
    </w:rPr>
  </w:style>
  <w:style w:type="character" w:customStyle="1" w:styleId="plcountryChar">
    <w:name w:val="plcountry Char"/>
    <w:basedOn w:val="DefaultParagraphFont"/>
    <w:link w:val="plcountry"/>
    <w:rsid w:val="003E3020"/>
    <w:rPr>
      <w:rFonts w:ascii="Arial" w:hAnsi="Arial"/>
      <w:caps/>
      <w:noProof/>
      <w:snapToGrid w:val="0"/>
      <w:u w:val="single"/>
    </w:rPr>
  </w:style>
  <w:style w:type="character" w:customStyle="1" w:styleId="pldetailsChar">
    <w:name w:val="pldetails Char"/>
    <w:link w:val="pldetails"/>
    <w:locked/>
    <w:rsid w:val="003E3020"/>
    <w:rPr>
      <w:rFonts w:ascii="Arial" w:hAnsi="Arial"/>
      <w:noProof/>
      <w:snapToGrid w:val="0"/>
    </w:rPr>
  </w:style>
  <w:style w:type="character" w:customStyle="1" w:styleId="Heading2Char">
    <w:name w:val="Heading 2 Char"/>
    <w:basedOn w:val="DefaultParagraphFont"/>
    <w:link w:val="Heading2"/>
    <w:rsid w:val="00272B35"/>
    <w:rPr>
      <w:rFonts w:ascii="Arial" w:hAnsi="Arial"/>
      <w:u w:val="single"/>
    </w:rPr>
  </w:style>
  <w:style w:type="character" w:customStyle="1" w:styleId="Heading3Char">
    <w:name w:val="Heading 3 Char"/>
    <w:basedOn w:val="DefaultParagraphFont"/>
    <w:link w:val="Heading3"/>
    <w:rsid w:val="00272B35"/>
    <w:rPr>
      <w:rFonts w:ascii="Arial" w:hAnsi="Arial"/>
      <w:i/>
    </w:rPr>
  </w:style>
  <w:style w:type="table" w:styleId="TableGrid">
    <w:name w:val="Table Grid"/>
    <w:basedOn w:val="TableNormal"/>
    <w:rsid w:val="00272B3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2CA"/>
    <w:pPr>
      <w:jc w:val="both"/>
    </w:pPr>
    <w:rPr>
      <w:rFonts w:ascii="Arial" w:hAnsi="Arial" w:cs="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FD02CA"/>
    <w:pPr>
      <w:keepNext/>
      <w:ind w:left="567"/>
      <w:jc w:val="both"/>
      <w:outlineLvl w:val="3"/>
    </w:pPr>
    <w:rPr>
      <w:rFonts w:ascii="Arial" w:hAnsi="Arial"/>
      <w:i/>
      <w:sz w:val="18"/>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25B2D"/>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425B2D"/>
    <w:rPr>
      <w:rFonts w:ascii="Arial" w:hAnsi="Arial"/>
      <w:sz w:val="14"/>
    </w:rPr>
  </w:style>
  <w:style w:type="character" w:customStyle="1" w:styleId="plcountryChar">
    <w:name w:val="plcountry Char"/>
    <w:basedOn w:val="DefaultParagraphFont"/>
    <w:link w:val="plcountry"/>
    <w:rsid w:val="003E3020"/>
    <w:rPr>
      <w:rFonts w:ascii="Arial" w:hAnsi="Arial"/>
      <w:caps/>
      <w:noProof/>
      <w:snapToGrid w:val="0"/>
      <w:u w:val="single"/>
    </w:rPr>
  </w:style>
  <w:style w:type="character" w:customStyle="1" w:styleId="pldetailsChar">
    <w:name w:val="pldetails Char"/>
    <w:link w:val="pldetails"/>
    <w:locked/>
    <w:rsid w:val="003E3020"/>
    <w:rPr>
      <w:rFonts w:ascii="Arial" w:hAnsi="Arial"/>
      <w:noProof/>
      <w:snapToGrid w:val="0"/>
    </w:rPr>
  </w:style>
  <w:style w:type="character" w:customStyle="1" w:styleId="Heading2Char">
    <w:name w:val="Heading 2 Char"/>
    <w:basedOn w:val="DefaultParagraphFont"/>
    <w:link w:val="Heading2"/>
    <w:rsid w:val="00272B35"/>
    <w:rPr>
      <w:rFonts w:ascii="Arial" w:hAnsi="Arial"/>
      <w:u w:val="single"/>
    </w:rPr>
  </w:style>
  <w:style w:type="character" w:customStyle="1" w:styleId="Heading3Char">
    <w:name w:val="Heading 3 Char"/>
    <w:basedOn w:val="DefaultParagraphFont"/>
    <w:link w:val="Heading3"/>
    <w:rsid w:val="00272B35"/>
    <w:rPr>
      <w:rFonts w:ascii="Arial" w:hAnsi="Arial"/>
      <w:i/>
    </w:rPr>
  </w:style>
  <w:style w:type="table" w:styleId="TableGrid">
    <w:name w:val="Table Grid"/>
    <w:basedOn w:val="TableNormal"/>
    <w:rsid w:val="00272B3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pov.int/meetings/en/details.jsp?meeting_id=40045" TargetMode="External"/><Relationship Id="rId4" Type="http://schemas.openxmlformats.org/officeDocument/2006/relationships/settings" Target="settings.xml"/><Relationship Id="rId9" Type="http://schemas.openxmlformats.org/officeDocument/2006/relationships/hyperlink" Target="http://www.upov.int/meetings/en/details.jsp?meeting_id=42648"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S\EAF%20meetings\2017\2017_04_07_meeting_EAF_09\template\upov_eaf_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upov_eaf_9.dotx</Template>
  <TotalTime>0</TotalTime>
  <Pages>13</Pages>
  <Words>3716</Words>
  <Characters>24335</Characters>
  <Application>Microsoft Office Word</Application>
  <DocSecurity>0</DocSecurity>
  <Lines>202</Lines>
  <Paragraphs>55</Paragraphs>
  <ScaleCrop>false</ScaleCrop>
  <HeadingPairs>
    <vt:vector size="2" baseType="variant">
      <vt:variant>
        <vt:lpstr>Title</vt:lpstr>
      </vt:variant>
      <vt:variant>
        <vt:i4>1</vt:i4>
      </vt:variant>
    </vt:vector>
  </HeadingPairs>
  <TitlesOfParts>
    <vt:vector size="1" baseType="lpstr">
      <vt:lpstr>UPOV/EAF/9/1</vt:lpstr>
    </vt:vector>
  </TitlesOfParts>
  <Company>UPOV</Company>
  <LinksUpToDate>false</LinksUpToDate>
  <CharactersWithSpaces>27996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UPOV/EAF/9/1</dc:title>
  <dc:subject>Draft Agenda</dc:subject>
  <dc:creator>BESSE Ariane</dc:creator>
  <cp:lastModifiedBy>BESSE Ariane</cp:lastModifiedBy>
  <cp:revision>3</cp:revision>
  <cp:lastPrinted>2017-10-16T08:08:00Z</cp:lastPrinted>
  <dcterms:created xsi:type="dcterms:W3CDTF">2017-10-16T08:08:00Z</dcterms:created>
  <dcterms:modified xsi:type="dcterms:W3CDTF">2017-10-16T08:08:00Z</dcterms:modified>
</cp:coreProperties>
</file>