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B600C" w:rsidTr="00EB4E9C">
        <w:tc>
          <w:tcPr>
            <w:tcW w:w="6522" w:type="dxa"/>
          </w:tcPr>
          <w:p w:rsidR="00DC3802" w:rsidRPr="001B600C" w:rsidRDefault="00DC3802" w:rsidP="00FD02CA">
            <w:bookmarkStart w:id="0" w:name="_GoBack"/>
            <w:r w:rsidRPr="001B600C">
              <w:rPr>
                <w:noProof/>
              </w:rPr>
              <w:drawing>
                <wp:inline distT="0" distB="0" distL="0" distR="0" wp14:anchorId="346FB89F" wp14:editId="3D0A6BC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B600C" w:rsidRDefault="00DC3802" w:rsidP="00FD02CA">
            <w:pPr>
              <w:pStyle w:val="Lettrine"/>
            </w:pPr>
            <w:r w:rsidRPr="001B600C">
              <w:t>E</w:t>
            </w:r>
          </w:p>
        </w:tc>
      </w:tr>
      <w:tr w:rsidR="00DC3802" w:rsidRPr="001B600C" w:rsidTr="00645CA8">
        <w:trPr>
          <w:trHeight w:val="219"/>
        </w:trPr>
        <w:tc>
          <w:tcPr>
            <w:tcW w:w="6522" w:type="dxa"/>
          </w:tcPr>
          <w:p w:rsidR="00DC3802" w:rsidRPr="001B600C" w:rsidRDefault="00DC3802" w:rsidP="00FD02CA">
            <w:pPr>
              <w:pStyle w:val="upove"/>
            </w:pPr>
            <w:r w:rsidRPr="001B600C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1B600C" w:rsidRDefault="00DC3802" w:rsidP="00FD02CA"/>
        </w:tc>
      </w:tr>
    </w:tbl>
    <w:p w:rsidR="00DC3802" w:rsidRPr="001B600C" w:rsidRDefault="00DC3802" w:rsidP="00FD02CA"/>
    <w:p w:rsidR="00DA4973" w:rsidRPr="001B600C" w:rsidRDefault="00DA4973" w:rsidP="00FD02C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76699" w:rsidRPr="001B600C" w:rsidTr="005B5BE3">
        <w:tc>
          <w:tcPr>
            <w:tcW w:w="6512" w:type="dxa"/>
          </w:tcPr>
          <w:p w:rsidR="00923250" w:rsidRPr="00AC2883" w:rsidRDefault="00923250" w:rsidP="00923250">
            <w:pPr>
              <w:pStyle w:val="Sessiontc"/>
              <w:spacing w:line="240" w:lineRule="auto"/>
            </w:pPr>
            <w:r>
              <w:t>Meeting on the Development of an electronic application form</w:t>
            </w:r>
          </w:p>
          <w:p w:rsidR="00276699" w:rsidRPr="001B600C" w:rsidRDefault="00923250" w:rsidP="001B600C">
            <w:pPr>
              <w:pStyle w:val="Sessiontcplacedate"/>
              <w:spacing w:before="300"/>
              <w:rPr>
                <w:sz w:val="22"/>
              </w:rPr>
            </w:pPr>
            <w:r>
              <w:t xml:space="preserve">Tenth </w:t>
            </w:r>
            <w:r w:rsidR="00276699" w:rsidRPr="001B600C">
              <w:t>Meeting</w:t>
            </w:r>
            <w:r w:rsidR="00276699" w:rsidRPr="001B600C">
              <w:br/>
              <w:t xml:space="preserve">Geneva, </w:t>
            </w:r>
            <w:r>
              <w:t>October 27</w:t>
            </w:r>
            <w:r w:rsidRPr="00DA4973">
              <w:t>, 2017</w:t>
            </w:r>
          </w:p>
        </w:tc>
        <w:tc>
          <w:tcPr>
            <w:tcW w:w="3127" w:type="dxa"/>
          </w:tcPr>
          <w:p w:rsidR="00276699" w:rsidRPr="001B600C" w:rsidRDefault="00276699" w:rsidP="001B600C">
            <w:pPr>
              <w:pStyle w:val="Doccode"/>
              <w:spacing w:before="40"/>
            </w:pPr>
            <w:r w:rsidRPr="001B600C">
              <w:t>UPOV/EAF/</w:t>
            </w:r>
            <w:r w:rsidR="00923250">
              <w:t>10</w:t>
            </w:r>
            <w:r w:rsidRPr="001B600C">
              <w:t>/3</w:t>
            </w:r>
          </w:p>
          <w:p w:rsidR="00276699" w:rsidRPr="001B600C" w:rsidRDefault="00276699" w:rsidP="001B600C">
            <w:pPr>
              <w:pStyle w:val="Docoriginal"/>
              <w:tabs>
                <w:tab w:val="left" w:pos="1965"/>
              </w:tabs>
              <w:spacing w:line="280" w:lineRule="exact"/>
            </w:pPr>
            <w:r w:rsidRPr="001B600C">
              <w:t>Original:</w:t>
            </w:r>
            <w:r w:rsidRPr="001B600C">
              <w:rPr>
                <w:b w:val="0"/>
                <w:spacing w:val="0"/>
              </w:rPr>
              <w:t xml:space="preserve">  English</w:t>
            </w:r>
          </w:p>
          <w:p w:rsidR="00276699" w:rsidRPr="001B600C" w:rsidRDefault="00276699" w:rsidP="00EF06EF">
            <w:pPr>
              <w:pStyle w:val="Docoriginal"/>
            </w:pPr>
            <w:r w:rsidRPr="001B600C">
              <w:t>Date:</w:t>
            </w:r>
            <w:r w:rsidRPr="001B600C">
              <w:rPr>
                <w:b w:val="0"/>
                <w:spacing w:val="0"/>
              </w:rPr>
              <w:t xml:space="preserve"> </w:t>
            </w:r>
            <w:r w:rsidR="0009767C">
              <w:rPr>
                <w:b w:val="0"/>
                <w:spacing w:val="0"/>
              </w:rPr>
              <w:t xml:space="preserve">April </w:t>
            </w:r>
            <w:r w:rsidR="003C4A33">
              <w:rPr>
                <w:b w:val="0"/>
                <w:spacing w:val="0"/>
              </w:rPr>
              <w:t>1</w:t>
            </w:r>
            <w:r w:rsidR="00EF06EF">
              <w:rPr>
                <w:b w:val="0"/>
                <w:spacing w:val="0"/>
              </w:rPr>
              <w:t>9</w:t>
            </w:r>
            <w:r w:rsidR="001A5090">
              <w:rPr>
                <w:b w:val="0"/>
                <w:spacing w:val="0"/>
              </w:rPr>
              <w:t>, 201</w:t>
            </w:r>
            <w:r w:rsidR="0009767C">
              <w:rPr>
                <w:b w:val="0"/>
                <w:spacing w:val="0"/>
              </w:rPr>
              <w:t>8</w:t>
            </w:r>
          </w:p>
        </w:tc>
      </w:tr>
    </w:tbl>
    <w:p w:rsidR="000D7780" w:rsidRPr="001B600C" w:rsidRDefault="00F86D27" w:rsidP="00FD02CA">
      <w:pPr>
        <w:pStyle w:val="Titleofdoc0"/>
      </w:pPr>
      <w:bookmarkStart w:id="1" w:name="TitleOfDoc"/>
      <w:bookmarkEnd w:id="1"/>
      <w:r w:rsidRPr="001B600C">
        <w:t>REPORT</w:t>
      </w:r>
    </w:p>
    <w:p w:rsidR="00C23BE3" w:rsidRPr="001B600C" w:rsidRDefault="00B3751D" w:rsidP="00276699">
      <w:pPr>
        <w:pStyle w:val="preparedby1"/>
        <w:jc w:val="both"/>
      </w:pPr>
      <w:bookmarkStart w:id="2" w:name="Prepared"/>
      <w:bookmarkEnd w:id="2"/>
      <w:r>
        <w:t xml:space="preserve">adopted by the </w:t>
      </w:r>
      <w:r w:rsidRPr="007C2448">
        <w:t>Meeting on the Development of an electronic application form</w:t>
      </w:r>
      <w:r>
        <w:t xml:space="preserve"> </w:t>
      </w:r>
    </w:p>
    <w:p w:rsidR="00050E16" w:rsidRPr="001B600C" w:rsidRDefault="00050E16" w:rsidP="006A644A">
      <w:pPr>
        <w:pStyle w:val="Disclaimer"/>
      </w:pPr>
      <w:r w:rsidRPr="001B600C">
        <w:t>Disclaimer:  this document does not represent UPOV policies or guidance</w:t>
      </w:r>
    </w:p>
    <w:p w:rsidR="00D45276" w:rsidRPr="001B600C" w:rsidRDefault="00D45276" w:rsidP="007F5B31">
      <w:pPr>
        <w:pStyle w:val="Heading1"/>
      </w:pPr>
      <w:r w:rsidRPr="001B600C">
        <w:t>Welcome and opening</w:t>
      </w:r>
    </w:p>
    <w:p w:rsidR="00D45276" w:rsidRPr="001B600C" w:rsidRDefault="00D45276" w:rsidP="00FD02CA"/>
    <w:p w:rsidR="00D45276" w:rsidRPr="001B600C" w:rsidRDefault="00EA3E13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</w:r>
      <w:r w:rsidR="00D45276" w:rsidRPr="001B600C">
        <w:t xml:space="preserve">The </w:t>
      </w:r>
      <w:r w:rsidR="00923250">
        <w:t>tenth</w:t>
      </w:r>
      <w:r w:rsidR="007F5B31" w:rsidRPr="001B600C">
        <w:t xml:space="preserve"> </w:t>
      </w:r>
      <w:r w:rsidR="00D45276" w:rsidRPr="001B600C">
        <w:t>meeting on the development of a</w:t>
      </w:r>
      <w:r w:rsidR="00923250">
        <w:t>n electronic</w:t>
      </w:r>
      <w:r w:rsidR="00D45276" w:rsidRPr="001B600C">
        <w:t xml:space="preserve"> form (EAF/</w:t>
      </w:r>
      <w:r w:rsidR="00923250">
        <w:t>10</w:t>
      </w:r>
      <w:r w:rsidR="00D45276" w:rsidRPr="001B600C">
        <w:t xml:space="preserve"> meeting) was opened and chaired by M</w:t>
      </w:r>
      <w:r w:rsidR="007F5B31" w:rsidRPr="001B600C">
        <w:t xml:space="preserve">r. Peter Button, Vice Secretary-General of </w:t>
      </w:r>
      <w:r w:rsidR="00D45276" w:rsidRPr="001B600C">
        <w:t>UPOV, who welcomed the participants in Geneva and those who participated in the meeting by means of electronic conference.</w:t>
      </w:r>
    </w:p>
    <w:p w:rsidR="00D45276" w:rsidRPr="001B600C" w:rsidRDefault="00D45276" w:rsidP="00FD02CA"/>
    <w:p w:rsidR="00D45276" w:rsidRPr="001B600C" w:rsidRDefault="00EA3E13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</w:r>
      <w:r w:rsidR="00D45276" w:rsidRPr="001B600C">
        <w:t xml:space="preserve">The list of participants is reproduced in Annex I to this report.  </w:t>
      </w:r>
    </w:p>
    <w:p w:rsidR="00D45276" w:rsidRPr="001B600C" w:rsidRDefault="00D45276" w:rsidP="00FD02CA"/>
    <w:p w:rsidR="007F5B31" w:rsidRPr="001B600C" w:rsidRDefault="007F5B31" w:rsidP="00FD02CA"/>
    <w:p w:rsidR="00D45276" w:rsidRPr="001B600C" w:rsidRDefault="00D45276" w:rsidP="007F5B31">
      <w:pPr>
        <w:pStyle w:val="Heading1"/>
      </w:pPr>
      <w:r w:rsidRPr="001B600C">
        <w:t>Approval of the agenda</w:t>
      </w:r>
    </w:p>
    <w:p w:rsidR="00D45276" w:rsidRPr="001B600C" w:rsidRDefault="00D45276" w:rsidP="00FD02CA"/>
    <w:p w:rsidR="00D45276" w:rsidRPr="001B600C" w:rsidRDefault="00EA3E13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</w:r>
      <w:r w:rsidR="00D45276" w:rsidRPr="001B600C">
        <w:t xml:space="preserve">The meeting adopted the draft agenda as proposed in document </w:t>
      </w:r>
      <w:r w:rsidR="007F5B31" w:rsidRPr="001B600C">
        <w:t>UPOV/</w:t>
      </w:r>
      <w:r w:rsidR="00D45276" w:rsidRPr="001B600C">
        <w:t>EAF/</w:t>
      </w:r>
      <w:r w:rsidR="000A63A9">
        <w:t>10</w:t>
      </w:r>
      <w:r w:rsidR="00D45276" w:rsidRPr="001B600C">
        <w:t>/1</w:t>
      </w:r>
      <w:r w:rsidR="007F5B31" w:rsidRPr="001B600C">
        <w:t xml:space="preserve"> Rev</w:t>
      </w:r>
      <w:r w:rsidR="00D45276" w:rsidRPr="001B600C">
        <w:t>.</w:t>
      </w:r>
    </w:p>
    <w:p w:rsidR="00D45276" w:rsidRPr="001B600C" w:rsidRDefault="00D45276" w:rsidP="00FD02CA"/>
    <w:p w:rsidR="007F5B31" w:rsidRPr="001B600C" w:rsidRDefault="007F5B31" w:rsidP="00FD02CA"/>
    <w:p w:rsidR="00D45276" w:rsidRPr="001B600C" w:rsidRDefault="00D45276" w:rsidP="007F5B31">
      <w:pPr>
        <w:pStyle w:val="Heading1"/>
      </w:pPr>
      <w:r w:rsidRPr="001B600C">
        <w:t xml:space="preserve">Developments concerning the electronic </w:t>
      </w:r>
      <w:r w:rsidR="0003583A" w:rsidRPr="001B600C">
        <w:t xml:space="preserve">application </w:t>
      </w:r>
      <w:r w:rsidRPr="001B600C">
        <w:t xml:space="preserve">form project  </w:t>
      </w:r>
    </w:p>
    <w:p w:rsidR="00D45276" w:rsidRPr="001B600C" w:rsidRDefault="00D45276" w:rsidP="00FD02CA"/>
    <w:p w:rsidR="00050E16" w:rsidRPr="001B600C" w:rsidRDefault="00EA3E13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</w:r>
      <w:r w:rsidR="00D45276" w:rsidRPr="001B600C">
        <w:t>The meetin</w:t>
      </w:r>
      <w:r w:rsidR="0003583A" w:rsidRPr="001B600C">
        <w:t xml:space="preserve">g considered document </w:t>
      </w:r>
      <w:r w:rsidR="000A63A9">
        <w:t>UPOV/EAF/10/2</w:t>
      </w:r>
      <w:r w:rsidR="00D45276" w:rsidRPr="001B600C">
        <w:t xml:space="preserve"> “Developments concerning the </w:t>
      </w:r>
      <w:r w:rsidR="001F2358" w:rsidRPr="001B600C">
        <w:t>Electronic Application Form</w:t>
      </w:r>
      <w:r w:rsidR="007F5B31" w:rsidRPr="001B600C">
        <w:t xml:space="preserve">” and </w:t>
      </w:r>
      <w:r w:rsidR="00D45276" w:rsidRPr="001B600C">
        <w:t>received a presentation by the Office of the Union on the latest developments in relation to the electronic form, a copy of which is reproduced in Annex II to this document.</w:t>
      </w:r>
    </w:p>
    <w:p w:rsidR="00544581" w:rsidRDefault="00544581" w:rsidP="00FD02CA"/>
    <w:p w:rsidR="00483E85" w:rsidRDefault="00483E85" w:rsidP="00FD02CA"/>
    <w:p w:rsidR="00556ECF" w:rsidRPr="001B600C" w:rsidRDefault="00556ECF" w:rsidP="00556ECF">
      <w:pPr>
        <w:pStyle w:val="Heading2"/>
      </w:pPr>
      <w:r>
        <w:t>Name</w:t>
      </w:r>
    </w:p>
    <w:p w:rsidR="00556ECF" w:rsidRDefault="00556ECF" w:rsidP="00556ECF"/>
    <w:p w:rsidR="00556ECF" w:rsidRDefault="00556ECF" w:rsidP="00556ECF">
      <w:pPr>
        <w:keepNext/>
      </w:pPr>
      <w:r w:rsidRPr="001B600C">
        <w:rPr>
          <w:color w:val="000000"/>
          <w:spacing w:val="-2"/>
        </w:rPr>
        <w:fldChar w:fldCharType="begin"/>
      </w:r>
      <w:r w:rsidRPr="001B600C">
        <w:rPr>
          <w:color w:val="000000"/>
          <w:spacing w:val="-2"/>
        </w:rPr>
        <w:instrText xml:space="preserve"> AUTONUM  </w:instrText>
      </w:r>
      <w:r w:rsidRPr="001B600C">
        <w:rPr>
          <w:color w:val="000000"/>
          <w:spacing w:val="-2"/>
        </w:rPr>
        <w:fldChar w:fldCharType="end"/>
      </w:r>
      <w:r w:rsidRPr="001B600C">
        <w:rPr>
          <w:color w:val="000000"/>
          <w:spacing w:val="-2"/>
        </w:rPr>
        <w:tab/>
      </w:r>
      <w:r w:rsidRPr="001B600C">
        <w:t>The participants</w:t>
      </w:r>
      <w:r>
        <w:t xml:space="preserve"> noted that t</w:t>
      </w:r>
      <w:r w:rsidRPr="00450A82">
        <w:t>he Council at its fifty-first ordinary session</w:t>
      </w:r>
      <w:r>
        <w:t xml:space="preserve"> </w:t>
      </w:r>
      <w:r w:rsidRPr="001B600C">
        <w:t>held in Geneva on October</w:t>
      </w:r>
      <w:r>
        <w:t> </w:t>
      </w:r>
      <w:r w:rsidRPr="001B600C">
        <w:t>26,</w:t>
      </w:r>
      <w:r>
        <w:t> </w:t>
      </w:r>
      <w:r w:rsidRPr="001B600C">
        <w:t>2017</w:t>
      </w:r>
      <w:r>
        <w:t xml:space="preserve"> agreed with the new name for the EAF tool as </w:t>
      </w:r>
      <w:r w:rsidRPr="001B600C">
        <w:t>“</w:t>
      </w:r>
      <w:r>
        <w:t xml:space="preserve">UPOV </w:t>
      </w:r>
      <w:r w:rsidRPr="001B600C">
        <w:t xml:space="preserve">PRISMA” (Plant variety data Routing Information System using Multilingual Application forms) and the </w:t>
      </w:r>
      <w:r>
        <w:t xml:space="preserve">following </w:t>
      </w:r>
      <w:r w:rsidRPr="001B600C">
        <w:t>logo</w:t>
      </w:r>
      <w:r>
        <w:t>:</w:t>
      </w:r>
    </w:p>
    <w:p w:rsidR="00556ECF" w:rsidRPr="001B600C" w:rsidRDefault="00556ECF" w:rsidP="00556ECF">
      <w:pPr>
        <w:ind w:left="567"/>
        <w:jc w:val="center"/>
      </w:pPr>
      <w:r>
        <w:rPr>
          <w:noProof/>
        </w:rPr>
        <w:drawing>
          <wp:inline distT="0" distB="0" distL="0" distR="0" wp14:anchorId="74FF06FC" wp14:editId="76BBF95A">
            <wp:extent cx="975231" cy="956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a-color+sha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27" cy="95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2CA" w:rsidRPr="001B600C" w:rsidRDefault="00FD02CA" w:rsidP="00FD02CA"/>
    <w:p w:rsidR="00272B35" w:rsidRPr="001B600C" w:rsidRDefault="00FF611F" w:rsidP="007F5B31">
      <w:pPr>
        <w:pStyle w:val="Heading2"/>
      </w:pPr>
      <w:bookmarkStart w:id="3" w:name="_Toc485110112"/>
      <w:r>
        <w:t>V</w:t>
      </w:r>
      <w:r w:rsidR="00272B35" w:rsidRPr="001B600C">
        <w:t>ersions of the EAF</w:t>
      </w:r>
      <w:bookmarkEnd w:id="3"/>
    </w:p>
    <w:p w:rsidR="00272B35" w:rsidRPr="001B600C" w:rsidRDefault="00272B35" w:rsidP="00FD02CA"/>
    <w:p w:rsidR="00272B35" w:rsidRPr="001B600C" w:rsidRDefault="00272B35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</w:r>
      <w:r w:rsidR="00781B3D" w:rsidRPr="001B600C">
        <w:t>The participants</w:t>
      </w:r>
      <w:r w:rsidR="00781B3D">
        <w:t xml:space="preserve"> noted</w:t>
      </w:r>
      <w:r w:rsidR="00781B3D" w:rsidRPr="001B600C">
        <w:t xml:space="preserve"> </w:t>
      </w:r>
      <w:r w:rsidR="00781B3D">
        <w:t>that t</w:t>
      </w:r>
      <w:r w:rsidRPr="001B600C">
        <w:t>he current</w:t>
      </w:r>
      <w:r w:rsidR="00F31192" w:rsidRPr="001B600C">
        <w:t xml:space="preserve"> </w:t>
      </w:r>
      <w:r w:rsidR="007F5B31" w:rsidRPr="001B600C">
        <w:t xml:space="preserve">version </w:t>
      </w:r>
      <w:r w:rsidRPr="001B600C">
        <w:t>of the EAF was Version 1.</w:t>
      </w:r>
      <w:r w:rsidR="00FF611F">
        <w:t>1</w:t>
      </w:r>
      <w:r w:rsidRPr="001B600C">
        <w:t>.</w:t>
      </w:r>
      <w:r w:rsidR="00F31192" w:rsidRPr="001B600C">
        <w:t xml:space="preserve"> </w:t>
      </w:r>
      <w:r w:rsidRPr="001B600C">
        <w:t xml:space="preserve"> It was </w:t>
      </w:r>
      <w:r w:rsidR="00EA4962">
        <w:t>reported</w:t>
      </w:r>
      <w:r w:rsidRPr="001B600C">
        <w:t xml:space="preserve"> that the next version (Version </w:t>
      </w:r>
      <w:r w:rsidR="00FF611F">
        <w:t>2.0</w:t>
      </w:r>
      <w:r w:rsidRPr="001B600C">
        <w:t xml:space="preserve">) of </w:t>
      </w:r>
      <w:r w:rsidR="00556ECF">
        <w:t>UPOV PRISMA (</w:t>
      </w:r>
      <w:r w:rsidRPr="001B600C">
        <w:t>EAF</w:t>
      </w:r>
      <w:r w:rsidR="00556ECF">
        <w:t>)</w:t>
      </w:r>
      <w:r w:rsidRPr="001B600C">
        <w:t xml:space="preserve"> </w:t>
      </w:r>
      <w:r w:rsidR="00EA4962">
        <w:t>was planned to</w:t>
      </w:r>
      <w:r w:rsidRPr="001B600C">
        <w:t xml:space="preserve"> be released </w:t>
      </w:r>
      <w:r w:rsidR="00FF611F">
        <w:t>beginning of 2018</w:t>
      </w:r>
      <w:r w:rsidRPr="001B600C">
        <w:t>.</w:t>
      </w:r>
    </w:p>
    <w:p w:rsidR="00272B35" w:rsidRPr="001B600C" w:rsidRDefault="00272B35" w:rsidP="00D432EC">
      <w:pPr>
        <w:spacing w:line="360" w:lineRule="auto"/>
      </w:pPr>
    </w:p>
    <w:p w:rsidR="00272B35" w:rsidRPr="001B600C" w:rsidRDefault="00272B35" w:rsidP="007F5B31">
      <w:pPr>
        <w:pStyle w:val="Heading3"/>
      </w:pPr>
      <w:bookmarkStart w:id="4" w:name="_Toc485110113"/>
      <w:r w:rsidRPr="001B600C">
        <w:lastRenderedPageBreak/>
        <w:t>Version 1.1</w:t>
      </w:r>
      <w:bookmarkEnd w:id="4"/>
    </w:p>
    <w:p w:rsidR="00272B35" w:rsidRPr="001B600C" w:rsidRDefault="00272B35" w:rsidP="001A5090">
      <w:pPr>
        <w:pStyle w:val="Heading4"/>
      </w:pPr>
      <w:bookmarkStart w:id="5" w:name="_Toc477541731"/>
    </w:p>
    <w:p w:rsidR="00272B35" w:rsidRPr="001A5090" w:rsidRDefault="00272B35" w:rsidP="001A5090">
      <w:pPr>
        <w:pStyle w:val="Heading4"/>
      </w:pPr>
      <w:r w:rsidRPr="001A5090">
        <w:t>Participating UPOV members</w:t>
      </w:r>
      <w:bookmarkEnd w:id="5"/>
    </w:p>
    <w:p w:rsidR="005B5BE3" w:rsidRPr="005B5BE3" w:rsidRDefault="005B5BE3" w:rsidP="005B5BE3">
      <w:pPr>
        <w:keepNext/>
        <w:rPr>
          <w:sz w:val="18"/>
        </w:rPr>
      </w:pPr>
    </w:p>
    <w:p w:rsidR="00272B35" w:rsidRPr="001B600C" w:rsidRDefault="00272B35" w:rsidP="00483E85">
      <w:pPr>
        <w:keepNext/>
      </w:pPr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  <w:t xml:space="preserve">The participants noted that the following </w:t>
      </w:r>
      <w:r w:rsidR="00FF611F" w:rsidRPr="00FF611F">
        <w:t xml:space="preserve">participating PVP Offices and crops </w:t>
      </w:r>
      <w:r w:rsidR="00EA4962">
        <w:t>were</w:t>
      </w:r>
      <w:r w:rsidR="00FF611F">
        <w:t xml:space="preserve"> </w:t>
      </w:r>
      <w:r w:rsidR="00FF611F" w:rsidRPr="00FF611F">
        <w:t>supported in EAF Version 1.1</w:t>
      </w:r>
      <w:r w:rsidRPr="001B600C">
        <w:t xml:space="preserve">: </w:t>
      </w:r>
    </w:p>
    <w:p w:rsidR="00276699" w:rsidRPr="001B600C" w:rsidRDefault="00276699" w:rsidP="00FD02CA"/>
    <w:tbl>
      <w:tblPr>
        <w:tblStyle w:val="TableGrid1"/>
        <w:tblW w:w="9202" w:type="dxa"/>
        <w:jc w:val="center"/>
        <w:tblInd w:w="131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1239"/>
        <w:gridCol w:w="1170"/>
        <w:gridCol w:w="1276"/>
        <w:gridCol w:w="1134"/>
        <w:gridCol w:w="1134"/>
        <w:gridCol w:w="839"/>
      </w:tblGrid>
      <w:tr w:rsidR="00FF611F" w:rsidRPr="00483E85" w:rsidTr="00483E85">
        <w:trPr>
          <w:cantSplit/>
          <w:trHeight w:val="411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bookmarkStart w:id="6" w:name="_Toc477541732"/>
            <w:r w:rsidRPr="00483E85">
              <w:rPr>
                <w:bCs/>
                <w:color w:val="000000"/>
                <w:spacing w:val="-2"/>
                <w:sz w:val="17"/>
                <w:szCs w:val="17"/>
              </w:rPr>
              <w:t>Authority</w:t>
            </w:r>
          </w:p>
        </w:tc>
        <w:tc>
          <w:tcPr>
            <w:tcW w:w="1239" w:type="dxa"/>
            <w:shd w:val="clear" w:color="auto" w:fill="F2F2F2" w:themeFill="background1" w:themeFillShade="F2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Soya Bean</w:t>
            </w:r>
          </w:p>
        </w:tc>
        <w:tc>
          <w:tcPr>
            <w:tcW w:w="1170" w:type="dxa"/>
            <w:shd w:val="clear" w:color="auto" w:fill="F2F2F2" w:themeFill="background1" w:themeFillShade="F2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Lettuce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Apple fruit varieties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Rose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Potato</w:t>
            </w:r>
          </w:p>
        </w:tc>
        <w:tc>
          <w:tcPr>
            <w:tcW w:w="839" w:type="dxa"/>
            <w:shd w:val="clear" w:color="auto" w:fill="F2F2F2" w:themeFill="background1" w:themeFillShade="F2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bCs/>
                <w:color w:val="000000"/>
                <w:spacing w:val="-2"/>
                <w:sz w:val="17"/>
                <w:szCs w:val="17"/>
              </w:rPr>
              <w:t>Total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Argentina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4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Australia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Chile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keepNext/>
              <w:jc w:val="left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China</w:t>
            </w:r>
          </w:p>
        </w:tc>
        <w:tc>
          <w:tcPr>
            <w:tcW w:w="1239" w:type="dxa"/>
            <w:noWrap/>
          </w:tcPr>
          <w:p w:rsidR="00FF611F" w:rsidRPr="00483E85" w:rsidRDefault="00FF611F" w:rsidP="00FF611F">
            <w:pPr>
              <w:jc w:val="center"/>
              <w:rPr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70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aps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839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2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keepNext/>
              <w:jc w:val="left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Colombia</w:t>
            </w:r>
          </w:p>
        </w:tc>
        <w:tc>
          <w:tcPr>
            <w:tcW w:w="1239" w:type="dxa"/>
            <w:noWrap/>
          </w:tcPr>
          <w:p w:rsidR="00FF611F" w:rsidRPr="00483E85" w:rsidRDefault="00FF611F" w:rsidP="00FF611F">
            <w:pPr>
              <w:jc w:val="center"/>
              <w:rPr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70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aps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839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1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France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Kenya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Netherlands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New Zealand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4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Norway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keepNext/>
              <w:jc w:val="left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Republic of Moldova</w:t>
            </w:r>
          </w:p>
        </w:tc>
        <w:tc>
          <w:tcPr>
            <w:tcW w:w="1239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Switzerland</w:t>
            </w:r>
          </w:p>
        </w:tc>
        <w:tc>
          <w:tcPr>
            <w:tcW w:w="1239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Tunisia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keepNext/>
              <w:jc w:val="left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Turkey</w:t>
            </w:r>
          </w:p>
        </w:tc>
        <w:tc>
          <w:tcPr>
            <w:tcW w:w="1239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5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United States of America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3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keepNext/>
              <w:jc w:val="left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Uruguay</w:t>
            </w:r>
          </w:p>
        </w:tc>
        <w:tc>
          <w:tcPr>
            <w:tcW w:w="1239" w:type="dxa"/>
            <w:noWrap/>
            <w:vAlign w:val="center"/>
            <w:hideMark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70" w:type="dxa"/>
            <w:noWrap/>
            <w:vAlign w:val="center"/>
            <w:hideMark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-</w:t>
            </w:r>
          </w:p>
        </w:tc>
        <w:tc>
          <w:tcPr>
            <w:tcW w:w="1134" w:type="dxa"/>
            <w:noWrap/>
            <w:vAlign w:val="center"/>
            <w:hideMark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keepNext/>
              <w:jc w:val="center"/>
              <w:rPr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color w:val="000000"/>
                <w:spacing w:val="-2"/>
                <w:sz w:val="17"/>
                <w:szCs w:val="17"/>
              </w:rPr>
              <w:t>3</w:t>
            </w:r>
          </w:p>
        </w:tc>
      </w:tr>
      <w:tr w:rsidR="00FF611F" w:rsidRPr="00483E85" w:rsidTr="00FF611F">
        <w:trPr>
          <w:cantSplit/>
          <w:jc w:val="center"/>
        </w:trPr>
        <w:tc>
          <w:tcPr>
            <w:tcW w:w="2410" w:type="dxa"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bCs/>
                <w:color w:val="000000"/>
                <w:spacing w:val="-2"/>
                <w:sz w:val="17"/>
                <w:szCs w:val="17"/>
              </w:rPr>
              <w:t>16</w:t>
            </w:r>
          </w:p>
        </w:tc>
        <w:tc>
          <w:tcPr>
            <w:tcW w:w="1239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bCs/>
                <w:color w:val="000000"/>
                <w:spacing w:val="-2"/>
                <w:sz w:val="17"/>
                <w:szCs w:val="17"/>
              </w:rPr>
              <w:t>13</w:t>
            </w:r>
          </w:p>
        </w:tc>
        <w:tc>
          <w:tcPr>
            <w:tcW w:w="1170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bCs/>
                <w:color w:val="000000"/>
                <w:spacing w:val="-2"/>
                <w:sz w:val="17"/>
                <w:szCs w:val="17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bCs/>
                <w:color w:val="000000"/>
                <w:spacing w:val="-2"/>
                <w:sz w:val="17"/>
                <w:szCs w:val="17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bCs/>
                <w:color w:val="000000"/>
                <w:spacing w:val="-2"/>
                <w:sz w:val="17"/>
                <w:szCs w:val="17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  <w:r w:rsidRPr="00483E85">
              <w:rPr>
                <w:bCs/>
                <w:color w:val="000000"/>
                <w:spacing w:val="-2"/>
                <w:sz w:val="17"/>
                <w:szCs w:val="17"/>
              </w:rPr>
              <w:t>14</w:t>
            </w:r>
          </w:p>
        </w:tc>
        <w:tc>
          <w:tcPr>
            <w:tcW w:w="839" w:type="dxa"/>
            <w:noWrap/>
            <w:vAlign w:val="center"/>
            <w:hideMark/>
          </w:tcPr>
          <w:p w:rsidR="00FF611F" w:rsidRPr="00483E85" w:rsidRDefault="00FF611F" w:rsidP="00FF611F">
            <w:pPr>
              <w:jc w:val="center"/>
              <w:rPr>
                <w:bCs/>
                <w:color w:val="000000"/>
                <w:spacing w:val="-2"/>
                <w:sz w:val="17"/>
                <w:szCs w:val="17"/>
              </w:rPr>
            </w:pPr>
          </w:p>
        </w:tc>
      </w:tr>
    </w:tbl>
    <w:p w:rsidR="00D432EC" w:rsidRDefault="00D432EC" w:rsidP="00483E85">
      <w:pPr>
        <w:spacing w:line="360" w:lineRule="auto"/>
      </w:pPr>
    </w:p>
    <w:p w:rsidR="00272B35" w:rsidRPr="001B600C" w:rsidRDefault="00272B35" w:rsidP="001A5090">
      <w:pPr>
        <w:pStyle w:val="Heading4"/>
      </w:pPr>
      <w:r w:rsidRPr="001B600C">
        <w:t>Languages</w:t>
      </w:r>
      <w:bookmarkEnd w:id="6"/>
    </w:p>
    <w:p w:rsidR="005B5BE3" w:rsidRPr="005B5BE3" w:rsidRDefault="005B5BE3" w:rsidP="005B5BE3">
      <w:pPr>
        <w:keepNext/>
        <w:rPr>
          <w:sz w:val="18"/>
        </w:rPr>
      </w:pPr>
    </w:p>
    <w:p w:rsidR="00FF611F" w:rsidRDefault="00272B35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  <w:t xml:space="preserve">The participants noted that </w:t>
      </w:r>
      <w:r w:rsidR="00FF611F" w:rsidRPr="00FF611F">
        <w:t xml:space="preserve">all webpages and items (questions) for all application forms and technical questionnaires for all participating PVP Offices </w:t>
      </w:r>
      <w:r w:rsidR="00EA4962">
        <w:t>were</w:t>
      </w:r>
      <w:r w:rsidR="00781B3D">
        <w:t xml:space="preserve"> available </w:t>
      </w:r>
      <w:r w:rsidR="00FF611F" w:rsidRPr="00FF611F">
        <w:t xml:space="preserve">in English, </w:t>
      </w:r>
      <w:r w:rsidR="00FF611F">
        <w:t xml:space="preserve">Chinese, </w:t>
      </w:r>
      <w:r w:rsidR="00FF611F" w:rsidRPr="00FF611F">
        <w:t>French, German and Spanish (“navigation languages”)</w:t>
      </w:r>
      <w:r w:rsidR="0017557A">
        <w:t>.</w:t>
      </w:r>
    </w:p>
    <w:p w:rsidR="0017557A" w:rsidRDefault="0017557A" w:rsidP="00FD02CA"/>
    <w:p w:rsidR="0017557A" w:rsidRDefault="0017557A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  <w:t>The participants noted that</w:t>
      </w:r>
      <w:r w:rsidRPr="0017557A">
        <w:t xml:space="preserve"> EAF Version 1.1 generate</w:t>
      </w:r>
      <w:r w:rsidR="00EA4962">
        <w:t>d</w:t>
      </w:r>
      <w:r w:rsidRPr="0017557A">
        <w:t xml:space="preserve"> application forms and technical questionnaires in the languages required by the participating PVP Offices (“output form languages”).  </w:t>
      </w:r>
      <w:r>
        <w:t>In Version</w:t>
      </w:r>
      <w:r w:rsidR="00EA4962">
        <w:t xml:space="preserve"> 1.1</w:t>
      </w:r>
      <w:r>
        <w:t xml:space="preserve">, the </w:t>
      </w:r>
      <w:r w:rsidRPr="0017557A">
        <w:t xml:space="preserve">output form languages </w:t>
      </w:r>
      <w:r w:rsidR="00EA4962">
        <w:t>were</w:t>
      </w:r>
      <w:r w:rsidRPr="0017557A">
        <w:t xml:space="preserve"> English, French, German, Spanish, Chinese, Norwegian, Romanian and Turkish.</w:t>
      </w:r>
    </w:p>
    <w:p w:rsidR="00FF611F" w:rsidRDefault="00FF611F" w:rsidP="00FD02CA"/>
    <w:p w:rsidR="00272B35" w:rsidRPr="001B600C" w:rsidRDefault="0017557A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  <w:t>The participants noted</w:t>
      </w:r>
      <w:r>
        <w:t xml:space="preserve"> that</w:t>
      </w:r>
      <w:r w:rsidR="00272B35" w:rsidRPr="001B600C">
        <w:t xml:space="preserve"> </w:t>
      </w:r>
      <w:r w:rsidRPr="0017557A">
        <w:t xml:space="preserve">the information </w:t>
      </w:r>
      <w:r w:rsidR="00EA4962">
        <w:t>needed to</w:t>
      </w:r>
      <w:r w:rsidRPr="0017557A">
        <w:t xml:space="preserve"> be completed by the applicant in an acceptable language for the PVP Office concerned, although answers selected from drop-down lists (e.g. characteristics and states of expression) </w:t>
      </w:r>
      <w:r w:rsidR="00EA4962">
        <w:t>would</w:t>
      </w:r>
      <w:r w:rsidRPr="0017557A">
        <w:t xml:space="preserve"> be automatically translated for the navigation languages</w:t>
      </w:r>
      <w:r>
        <w:t>.</w:t>
      </w:r>
      <w:r w:rsidR="00272B35" w:rsidRPr="001B600C">
        <w:t xml:space="preserve"> </w:t>
      </w:r>
    </w:p>
    <w:p w:rsidR="00272B35" w:rsidRPr="001B600C" w:rsidRDefault="00272B35" w:rsidP="00FD02CA"/>
    <w:p w:rsidR="00272B35" w:rsidRPr="001B600C" w:rsidRDefault="00272B35" w:rsidP="001A5090">
      <w:pPr>
        <w:pStyle w:val="Heading4"/>
      </w:pPr>
      <w:r w:rsidRPr="001B600C">
        <w:t>Style sheet for the application form</w:t>
      </w:r>
    </w:p>
    <w:p w:rsidR="005B5BE3" w:rsidRPr="005B5BE3" w:rsidRDefault="005B5BE3" w:rsidP="005B5BE3">
      <w:pPr>
        <w:keepNext/>
        <w:rPr>
          <w:sz w:val="18"/>
        </w:rPr>
      </w:pPr>
    </w:p>
    <w:p w:rsidR="0017557A" w:rsidRDefault="0017557A" w:rsidP="00FD02CA">
      <w:r w:rsidRPr="0017557A">
        <w:t>11.</w:t>
      </w:r>
      <w:r w:rsidRPr="0017557A">
        <w:tab/>
        <w:t>The participants noted that, where requested by PVP Offices, it would be possible to have a customized format for the application form to be received by the PVP Office (e.g. PVP Office logo) if the relevant information was provided according to a specified format.</w:t>
      </w:r>
    </w:p>
    <w:p w:rsidR="0017557A" w:rsidRDefault="0017557A" w:rsidP="001A5090">
      <w:pPr>
        <w:spacing w:line="360" w:lineRule="auto"/>
      </w:pPr>
    </w:p>
    <w:p w:rsidR="00272B35" w:rsidRPr="001B600C" w:rsidRDefault="00272B35" w:rsidP="00FD02CA">
      <w:pPr>
        <w:pStyle w:val="Heading3"/>
      </w:pPr>
      <w:bookmarkStart w:id="7" w:name="_Toc485110114"/>
      <w:r w:rsidRPr="001B600C">
        <w:lastRenderedPageBreak/>
        <w:t>Version 2.0</w:t>
      </w:r>
      <w:bookmarkEnd w:id="7"/>
    </w:p>
    <w:p w:rsidR="00272B35" w:rsidRPr="005B5BE3" w:rsidRDefault="00272B35" w:rsidP="001A5090">
      <w:pPr>
        <w:pStyle w:val="Heading4"/>
      </w:pPr>
    </w:p>
    <w:p w:rsidR="00272B35" w:rsidRPr="001B600C" w:rsidRDefault="00272B35" w:rsidP="001A5090">
      <w:pPr>
        <w:pStyle w:val="Heading4"/>
      </w:pPr>
      <w:r w:rsidRPr="001B600C">
        <w:t>Participating UPOV members</w:t>
      </w:r>
    </w:p>
    <w:p w:rsidR="005B5BE3" w:rsidRPr="005B5BE3" w:rsidRDefault="005B5BE3" w:rsidP="005B5BE3">
      <w:pPr>
        <w:keepNext/>
        <w:rPr>
          <w:sz w:val="18"/>
        </w:rPr>
      </w:pPr>
    </w:p>
    <w:p w:rsidR="00810342" w:rsidRDefault="00272B35" w:rsidP="00810342">
      <w:pPr>
        <w:keepNext/>
      </w:pPr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  <w:t xml:space="preserve">The participants noted that </w:t>
      </w:r>
      <w:r w:rsidR="00810342">
        <w:t>t</w:t>
      </w:r>
      <w:r w:rsidR="00810342" w:rsidRPr="00E7651B">
        <w:t xml:space="preserve">he following UPOV members </w:t>
      </w:r>
      <w:r w:rsidR="00810342">
        <w:t xml:space="preserve">had </w:t>
      </w:r>
      <w:r w:rsidR="00810342" w:rsidRPr="00E7651B">
        <w:t xml:space="preserve">expressed their intention to participate in </w:t>
      </w:r>
      <w:r w:rsidR="00810342">
        <w:t>Version 2.0</w:t>
      </w:r>
      <w:r w:rsidR="00810342" w:rsidRPr="00E7651B">
        <w:t xml:space="preserve"> of </w:t>
      </w:r>
      <w:r w:rsidR="00556ECF" w:rsidRPr="00556ECF">
        <w:t xml:space="preserve">UPOV PRISMA (EAF) </w:t>
      </w:r>
      <w:r w:rsidR="00810342">
        <w:t>(Circular E-17/132)</w:t>
      </w:r>
      <w:r w:rsidR="00810342" w:rsidRPr="00807117">
        <w:t>:</w:t>
      </w:r>
    </w:p>
    <w:p w:rsidR="00810342" w:rsidRDefault="00810342" w:rsidP="00810342">
      <w:pPr>
        <w:keepNext/>
      </w:pPr>
    </w:p>
    <w:tbl>
      <w:tblPr>
        <w:tblStyle w:val="TableGrid1"/>
        <w:tblW w:w="10008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53"/>
        <w:gridCol w:w="426"/>
        <w:gridCol w:w="1506"/>
        <w:gridCol w:w="1232"/>
        <w:gridCol w:w="4491"/>
      </w:tblGrid>
      <w:tr w:rsidR="00810342" w:rsidRPr="00483E85" w:rsidTr="00483E85">
        <w:trPr>
          <w:cantSplit/>
          <w:tblHeader/>
        </w:trPr>
        <w:tc>
          <w:tcPr>
            <w:tcW w:w="2779" w:type="dxa"/>
            <w:gridSpan w:val="2"/>
            <w:shd w:val="clear" w:color="auto" w:fill="F2F2F2" w:themeFill="background1" w:themeFillShade="F2"/>
            <w:vAlign w:val="center"/>
          </w:tcPr>
          <w:p w:rsidR="00810342" w:rsidRPr="00483E85" w:rsidRDefault="00810342" w:rsidP="00483E85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bCs/>
                <w:color w:val="000000"/>
                <w:sz w:val="17"/>
                <w:szCs w:val="17"/>
              </w:rPr>
              <w:t>Authority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810342" w:rsidRPr="00483E85" w:rsidRDefault="00810342" w:rsidP="00483E85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currently participating</w:t>
            </w:r>
            <w:r w:rsidR="001A5090" w:rsidRPr="00483E85">
              <w:rPr>
                <w:color w:val="000000"/>
                <w:sz w:val="17"/>
                <w:szCs w:val="17"/>
              </w:rPr>
              <w:t xml:space="preserve"> </w:t>
            </w:r>
            <w:r w:rsidRPr="00483E85">
              <w:rPr>
                <w:color w:val="000000"/>
                <w:sz w:val="17"/>
                <w:szCs w:val="17"/>
              </w:rPr>
              <w:t>in Version 1.0 or 1.1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810342" w:rsidRPr="00483E85" w:rsidRDefault="00810342" w:rsidP="00483E85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intention to participate</w:t>
            </w:r>
            <w:r w:rsidR="00483E85" w:rsidRPr="00483E85">
              <w:rPr>
                <w:color w:val="000000"/>
                <w:sz w:val="17"/>
                <w:szCs w:val="17"/>
              </w:rPr>
              <w:t xml:space="preserve"> </w:t>
            </w:r>
            <w:r w:rsidRPr="00483E85">
              <w:rPr>
                <w:color w:val="000000"/>
                <w:sz w:val="17"/>
                <w:szCs w:val="17"/>
              </w:rPr>
              <w:t>in Version 2.0</w:t>
            </w:r>
          </w:p>
        </w:tc>
        <w:tc>
          <w:tcPr>
            <w:tcW w:w="4491" w:type="dxa"/>
            <w:shd w:val="clear" w:color="auto" w:fill="F2F2F2" w:themeFill="background1" w:themeFillShade="F2"/>
            <w:vAlign w:val="center"/>
          </w:tcPr>
          <w:p w:rsidR="00810342" w:rsidRPr="00483E85" w:rsidRDefault="00810342" w:rsidP="00483E85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Anticipated crop coverage</w:t>
            </w:r>
            <w:r w:rsidR="00EA4962" w:rsidRPr="00483E85">
              <w:rPr>
                <w:color w:val="000000"/>
                <w:sz w:val="17"/>
                <w:szCs w:val="17"/>
              </w:rPr>
              <w:t xml:space="preserve"> in Version 2.0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483E85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Argentina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483E85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AR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483E85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483E85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483E85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Apple Fruit Varieties, Potato, Rose, Soyabean and Wheat, Barley, Maize, Grapevine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483E85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Australia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483E85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AU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483E85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483E85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483E85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Bolivia (Plurinational State of)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BO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Rice, wheat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Canada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 excluding algae, bacteria and fungi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Chile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CL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keepNext/>
              <w:jc w:val="left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China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CN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Lettuce, Rose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keepNext/>
              <w:jc w:val="left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Colombia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CO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Rose, Carnation, Alstroemeria, Chrysanthemum, Gypsophila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European Union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QZ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Apple Fruit Varieties, Lettuce, Potato, Rose, Soyabean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France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FR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Georgia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GE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Maize, Wheat, Field Bean, French Bean, Apple (fruit varieties), Pear, Barley, Oats, Potato, Cherry (Sweet Cherry), Raspberry, Tomato, Peach, Hazelnut, Blackberry, Soya Bean, Sunflower, Walnut, Blueberry, Chick-Pea, Lentil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Japan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JP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caps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to be confirmed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Kenya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KE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Mexico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MX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87 selected crops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Netherlands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NL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New Zealand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NZ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Norway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NO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keepNext/>
              <w:jc w:val="left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Paraguay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PY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Soyabean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keepNext/>
              <w:jc w:val="left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Republic of Moldova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MD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Maize, Wheat, Pea, Barley, European Plum, Tomato, Grapevine, Sweet Pepper, Hot Pepper, Paprika, Chili, Sunflower, Walnut, Apple Fruit Varieties, Lettuce, Potato, Rose, Soyabean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Switzerland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CH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Tunisia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TN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keepNext/>
              <w:jc w:val="left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Turkey</w:t>
            </w:r>
          </w:p>
        </w:tc>
        <w:tc>
          <w:tcPr>
            <w:tcW w:w="426" w:type="dxa"/>
            <w:noWrap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sz w:val="17"/>
                <w:szCs w:val="17"/>
              </w:rPr>
              <w:t>TR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keepNext/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United States of America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US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Lettuce, Potato, Soyabean and Wheat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Uruguay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UY</w:t>
            </w: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color w:val="000000"/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sz w:val="17"/>
                <w:szCs w:val="17"/>
              </w:rPr>
            </w:pPr>
            <w:r w:rsidRPr="00483E85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color w:val="000000"/>
                <w:sz w:val="17"/>
                <w:szCs w:val="17"/>
              </w:rPr>
            </w:pPr>
            <w:r w:rsidRPr="00483E85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810342" w:rsidRPr="00483E85" w:rsidTr="00483E85">
        <w:trPr>
          <w:cantSplit/>
        </w:trPr>
        <w:tc>
          <w:tcPr>
            <w:tcW w:w="2353" w:type="dxa"/>
            <w:vAlign w:val="center"/>
          </w:tcPr>
          <w:p w:rsidR="00810342" w:rsidRPr="00483E85" w:rsidRDefault="00810342" w:rsidP="00483E85">
            <w:pPr>
              <w:ind w:right="167"/>
              <w:jc w:val="right"/>
              <w:rPr>
                <w:bCs/>
                <w:color w:val="000000"/>
                <w:sz w:val="17"/>
                <w:szCs w:val="17"/>
              </w:rPr>
            </w:pPr>
            <w:r w:rsidRPr="00483E85">
              <w:rPr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426" w:type="dxa"/>
            <w:noWrap/>
            <w:vAlign w:val="center"/>
            <w:hideMark/>
          </w:tcPr>
          <w:p w:rsidR="00810342" w:rsidRPr="00483E85" w:rsidRDefault="00810342" w:rsidP="001A5090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506" w:type="dxa"/>
            <w:vAlign w:val="center"/>
          </w:tcPr>
          <w:p w:rsidR="00810342" w:rsidRPr="00483E85" w:rsidRDefault="00810342" w:rsidP="001A5090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483E85">
              <w:rPr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232" w:type="dxa"/>
            <w:vAlign w:val="center"/>
          </w:tcPr>
          <w:p w:rsidR="00810342" w:rsidRPr="00483E85" w:rsidRDefault="00810342" w:rsidP="001A5090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483E85">
              <w:rPr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491" w:type="dxa"/>
            <w:vAlign w:val="center"/>
          </w:tcPr>
          <w:p w:rsidR="00810342" w:rsidRPr="00483E85" w:rsidRDefault="00810342" w:rsidP="001A5090">
            <w:pPr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</w:tr>
    </w:tbl>
    <w:p w:rsidR="00810342" w:rsidRDefault="00810342" w:rsidP="00810342"/>
    <w:p w:rsidR="00B16798" w:rsidRPr="001B600C" w:rsidRDefault="00B16798" w:rsidP="00B16798"/>
    <w:p w:rsidR="00272B35" w:rsidRPr="001B600C" w:rsidRDefault="00272B35" w:rsidP="00B16798">
      <w:pPr>
        <w:pStyle w:val="Heading2"/>
      </w:pPr>
      <w:bookmarkStart w:id="8" w:name="_Toc477541736"/>
      <w:bookmarkStart w:id="9" w:name="_Toc485110115"/>
      <w:r w:rsidRPr="001B600C">
        <w:t>Crops/species</w:t>
      </w:r>
      <w:bookmarkEnd w:id="8"/>
      <w:bookmarkEnd w:id="9"/>
    </w:p>
    <w:p w:rsidR="00272B35" w:rsidRPr="001B600C" w:rsidRDefault="00272B35" w:rsidP="001B600C">
      <w:pPr>
        <w:keepNext/>
      </w:pPr>
    </w:p>
    <w:p w:rsidR="00976378" w:rsidRDefault="00976378" w:rsidP="00FD02CA">
      <w:r w:rsidRPr="001B600C">
        <w:rPr>
          <w:color w:val="000000"/>
          <w:spacing w:val="-2"/>
        </w:rPr>
        <w:fldChar w:fldCharType="begin"/>
      </w:r>
      <w:r w:rsidRPr="001B600C">
        <w:rPr>
          <w:color w:val="000000"/>
          <w:spacing w:val="-2"/>
        </w:rPr>
        <w:instrText xml:space="preserve"> AUTONUM  </w:instrText>
      </w:r>
      <w:r w:rsidRPr="001B600C">
        <w:rPr>
          <w:color w:val="000000"/>
          <w:spacing w:val="-2"/>
        </w:rPr>
        <w:fldChar w:fldCharType="end"/>
      </w:r>
      <w:r w:rsidRPr="001B600C">
        <w:rPr>
          <w:color w:val="000000"/>
          <w:spacing w:val="-2"/>
        </w:rPr>
        <w:tab/>
      </w:r>
      <w:r w:rsidRPr="001B600C">
        <w:t>The participants</w:t>
      </w:r>
      <w:r>
        <w:t xml:space="preserve"> noted that </w:t>
      </w:r>
      <w:r w:rsidR="00781B3D">
        <w:t xml:space="preserve">the </w:t>
      </w:r>
      <w:r w:rsidRPr="00976378">
        <w:t>three possible approaches for including crop/species for participating members of the Union</w:t>
      </w:r>
      <w:r w:rsidR="00781B3D">
        <w:t>, would be</w:t>
      </w:r>
      <w:r>
        <w:t>:</w:t>
      </w:r>
    </w:p>
    <w:p w:rsidR="00976378" w:rsidRDefault="00976378" w:rsidP="00FD02CA"/>
    <w:p w:rsidR="00976378" w:rsidRDefault="00976378" w:rsidP="00EA4962">
      <w:pPr>
        <w:pStyle w:val="Heading3"/>
        <w:ind w:left="567" w:right="708"/>
        <w:rPr>
          <w:lang w:val="fr-FR"/>
        </w:rPr>
      </w:pPr>
      <w:r w:rsidRPr="00976378">
        <w:rPr>
          <w:lang w:val="fr-FR"/>
        </w:rPr>
        <w:t>Approach 1: UPOV Technical Questionnaire (TQ)</w:t>
      </w:r>
    </w:p>
    <w:p w:rsidR="00EA4962" w:rsidRPr="00EA4962" w:rsidRDefault="00EA4962" w:rsidP="00EA4962">
      <w:pPr>
        <w:rPr>
          <w:lang w:val="fr-FR"/>
        </w:rPr>
      </w:pPr>
    </w:p>
    <w:p w:rsidR="00976378" w:rsidRDefault="00976378" w:rsidP="00EA4962">
      <w:pPr>
        <w:ind w:left="567" w:right="708"/>
      </w:pPr>
      <w:r>
        <w:t xml:space="preserve">The TQ in UPOV PRISMA would be identical to the TQ in the adopted UPOV Test Guidelines (TGs). For crops/species for which there is no adopted UPOV TGs, the TQ in UPOV PRISMA would be based on the structure of the TQ in document TGP/7 </w:t>
      </w:r>
      <w:r w:rsidR="00FE1B5B">
        <w:t>“Development of Test Guidelines”</w:t>
      </w:r>
      <w:r>
        <w:t xml:space="preserve">.  </w:t>
      </w:r>
    </w:p>
    <w:p w:rsidR="00976378" w:rsidRDefault="00976378" w:rsidP="00EA4962">
      <w:pPr>
        <w:ind w:left="567" w:right="708"/>
      </w:pPr>
    </w:p>
    <w:p w:rsidR="00976378" w:rsidRDefault="00976378" w:rsidP="00EA4962">
      <w:pPr>
        <w:pStyle w:val="Heading3"/>
        <w:ind w:left="567" w:right="708"/>
      </w:pPr>
      <w:r>
        <w:t>Approach 2:  Customized characteristics</w:t>
      </w:r>
    </w:p>
    <w:p w:rsidR="00EA4962" w:rsidRPr="00EA4962" w:rsidRDefault="00EA4962" w:rsidP="00483E85">
      <w:pPr>
        <w:keepNext/>
      </w:pPr>
    </w:p>
    <w:p w:rsidR="00976378" w:rsidRDefault="00976378" w:rsidP="00EA4962">
      <w:pPr>
        <w:ind w:left="567" w:right="708"/>
      </w:pPr>
      <w:r>
        <w:t>The TQ in UPOV PRISMA would be the same for all crops (non</w:t>
      </w:r>
      <w:r w:rsidR="00EA4962">
        <w:t xml:space="preserve"> </w:t>
      </w:r>
      <w:r>
        <w:t>crop</w:t>
      </w:r>
      <w:r w:rsidR="00EA4962">
        <w:t>-</w:t>
      </w:r>
      <w:r>
        <w:t>specific) except for “characteristics of the variety” (Section 5 of the UPOV TQ or equivalent) and “similar varieties and differences from these varieties” (Section 6 of the UPOV TQ or equivalent)). The characteristics in the TQ in UPOV PRISMA would be:</w:t>
      </w:r>
    </w:p>
    <w:p w:rsidR="00483E85" w:rsidRDefault="00483E85" w:rsidP="00EA4962">
      <w:pPr>
        <w:ind w:left="567" w:right="708"/>
      </w:pPr>
    </w:p>
    <w:p w:rsidR="00976378" w:rsidRPr="00EA4962" w:rsidRDefault="00976378" w:rsidP="00483E85">
      <w:pPr>
        <w:pStyle w:val="ListParagraph"/>
        <w:numPr>
          <w:ilvl w:val="0"/>
          <w:numId w:val="19"/>
        </w:numPr>
        <w:ind w:right="708"/>
        <w:rPr>
          <w:rFonts w:ascii="Arial" w:eastAsia="Times New Roman" w:hAnsi="Arial"/>
          <w:sz w:val="20"/>
          <w:szCs w:val="20"/>
          <w:lang w:val="en-US" w:eastAsia="en-US"/>
        </w:rPr>
      </w:pPr>
      <w:r w:rsidRPr="00EA4962">
        <w:rPr>
          <w:rFonts w:ascii="Arial" w:eastAsia="Times New Roman" w:hAnsi="Arial"/>
          <w:sz w:val="20"/>
          <w:szCs w:val="20"/>
          <w:lang w:val="en-US" w:eastAsia="en-US"/>
        </w:rPr>
        <w:t xml:space="preserve">UPOV TG characteristics, </w:t>
      </w:r>
    </w:p>
    <w:p w:rsidR="00976378" w:rsidRPr="00EA4962" w:rsidRDefault="00976378" w:rsidP="00483E85">
      <w:pPr>
        <w:pStyle w:val="ListParagraph"/>
        <w:numPr>
          <w:ilvl w:val="0"/>
          <w:numId w:val="19"/>
        </w:numPr>
        <w:ind w:right="708"/>
        <w:rPr>
          <w:rFonts w:ascii="Arial" w:eastAsia="Times New Roman" w:hAnsi="Arial"/>
          <w:sz w:val="20"/>
          <w:szCs w:val="20"/>
          <w:lang w:val="en-US" w:eastAsia="en-US"/>
        </w:rPr>
      </w:pPr>
      <w:r w:rsidRPr="00EA4962">
        <w:rPr>
          <w:rFonts w:ascii="Arial" w:eastAsia="Times New Roman" w:hAnsi="Arial"/>
          <w:sz w:val="20"/>
          <w:szCs w:val="20"/>
          <w:lang w:val="en-US" w:eastAsia="en-US"/>
        </w:rPr>
        <w:t xml:space="preserve">Authority specific characteristics </w:t>
      </w:r>
    </w:p>
    <w:p w:rsidR="00976378" w:rsidRPr="00EA4962" w:rsidRDefault="00976378" w:rsidP="00483E85">
      <w:pPr>
        <w:pStyle w:val="ListParagraph"/>
        <w:numPr>
          <w:ilvl w:val="0"/>
          <w:numId w:val="19"/>
        </w:numPr>
        <w:ind w:right="708"/>
        <w:rPr>
          <w:rFonts w:ascii="Arial" w:eastAsia="Times New Roman" w:hAnsi="Arial"/>
          <w:sz w:val="20"/>
          <w:szCs w:val="20"/>
          <w:lang w:val="en-US" w:eastAsia="en-US"/>
        </w:rPr>
      </w:pPr>
      <w:r w:rsidRPr="00EA4962">
        <w:rPr>
          <w:rFonts w:ascii="Arial" w:eastAsia="Times New Roman" w:hAnsi="Arial"/>
          <w:sz w:val="20"/>
          <w:szCs w:val="20"/>
          <w:lang w:val="en-US" w:eastAsia="en-US"/>
        </w:rPr>
        <w:t>Free text information</w:t>
      </w:r>
    </w:p>
    <w:p w:rsidR="00976378" w:rsidRDefault="00976378" w:rsidP="00EA4962">
      <w:pPr>
        <w:ind w:left="567" w:right="708"/>
      </w:pPr>
    </w:p>
    <w:p w:rsidR="00976378" w:rsidRDefault="00976378" w:rsidP="00EA4962">
      <w:pPr>
        <w:pStyle w:val="Heading3"/>
        <w:ind w:left="567" w:right="708"/>
      </w:pPr>
      <w:r>
        <w:t xml:space="preserve">Approach 3: Customized TQ </w:t>
      </w:r>
    </w:p>
    <w:p w:rsidR="00EA4962" w:rsidRPr="00EA4962" w:rsidRDefault="00EA4962" w:rsidP="00EA4962"/>
    <w:p w:rsidR="00976378" w:rsidRDefault="00976378" w:rsidP="00EA4962">
      <w:pPr>
        <w:ind w:left="567" w:right="708"/>
      </w:pPr>
      <w:r>
        <w:t>The TQ in UPOV PRISMA would contain crop-specific sections other than those specified in Approach 2.</w:t>
      </w:r>
    </w:p>
    <w:p w:rsidR="00976378" w:rsidRDefault="00976378" w:rsidP="00976378"/>
    <w:p w:rsidR="00976378" w:rsidRDefault="00976378" w:rsidP="00976378">
      <w:r w:rsidRPr="001B600C">
        <w:rPr>
          <w:color w:val="000000"/>
          <w:spacing w:val="-2"/>
        </w:rPr>
        <w:fldChar w:fldCharType="begin"/>
      </w:r>
      <w:r w:rsidRPr="001B600C">
        <w:rPr>
          <w:color w:val="000000"/>
          <w:spacing w:val="-2"/>
        </w:rPr>
        <w:instrText xml:space="preserve"> AUTONUM  </w:instrText>
      </w:r>
      <w:r w:rsidRPr="001B600C">
        <w:rPr>
          <w:color w:val="000000"/>
          <w:spacing w:val="-2"/>
        </w:rPr>
        <w:fldChar w:fldCharType="end"/>
      </w:r>
      <w:r w:rsidRPr="001B600C">
        <w:rPr>
          <w:color w:val="000000"/>
          <w:spacing w:val="-2"/>
        </w:rPr>
        <w:tab/>
      </w:r>
      <w:r w:rsidRPr="001B600C">
        <w:t>The participants</w:t>
      </w:r>
      <w:r>
        <w:t xml:space="preserve"> noted that according to the approach, the number of crop and species that </w:t>
      </w:r>
      <w:r w:rsidR="00EA4962">
        <w:t>could</w:t>
      </w:r>
      <w:r>
        <w:t xml:space="preserve"> be covered for each authority in </w:t>
      </w:r>
      <w:r w:rsidR="00EA4962">
        <w:t>future v</w:t>
      </w:r>
      <w:r>
        <w:t>ersion</w:t>
      </w:r>
      <w:r w:rsidR="00EA4962">
        <w:t>s</w:t>
      </w:r>
      <w:r>
        <w:t xml:space="preserve"> of the tool </w:t>
      </w:r>
      <w:r w:rsidR="00EA4962">
        <w:t>would</w:t>
      </w:r>
      <w:r>
        <w:t xml:space="preserve"> be different. For Approach 1, all crops </w:t>
      </w:r>
      <w:r w:rsidR="00EA4962">
        <w:t>could</w:t>
      </w:r>
      <w:r>
        <w:t xml:space="preserve"> be easily covered. For Approaches 2 and 3 considerably more time </w:t>
      </w:r>
      <w:r w:rsidR="00EA4962">
        <w:t>would</w:t>
      </w:r>
      <w:r>
        <w:t xml:space="preserve"> be needed and new crops </w:t>
      </w:r>
      <w:r w:rsidR="00EA4962">
        <w:t>would</w:t>
      </w:r>
      <w:r>
        <w:t xml:space="preserve"> be added according to available resources and the degree of customization that </w:t>
      </w:r>
      <w:r w:rsidR="00EA4962">
        <w:t>was</w:t>
      </w:r>
      <w:r>
        <w:t xml:space="preserve"> required. </w:t>
      </w:r>
    </w:p>
    <w:p w:rsidR="00483E85" w:rsidRDefault="00483E85" w:rsidP="00976378"/>
    <w:p w:rsidR="00483E85" w:rsidRDefault="00483E85" w:rsidP="00976378"/>
    <w:p w:rsidR="00272B35" w:rsidRPr="001B600C" w:rsidRDefault="00272B35" w:rsidP="00B16798">
      <w:pPr>
        <w:pStyle w:val="Heading2"/>
      </w:pPr>
      <w:bookmarkStart w:id="10" w:name="_Toc477541740"/>
      <w:bookmarkStart w:id="11" w:name="_Toc485110116"/>
      <w:r w:rsidRPr="001B600C">
        <w:t>Functionalities</w:t>
      </w:r>
      <w:bookmarkEnd w:id="10"/>
      <w:bookmarkEnd w:id="11"/>
    </w:p>
    <w:p w:rsidR="00272B35" w:rsidRPr="001B600C" w:rsidRDefault="00272B35" w:rsidP="00272B35">
      <w:pPr>
        <w:pStyle w:val="Heading3"/>
      </w:pPr>
    </w:p>
    <w:p w:rsidR="00272B35" w:rsidRDefault="00E46C44" w:rsidP="00B16798">
      <w:pPr>
        <w:pStyle w:val="Heading3"/>
      </w:pPr>
      <w:r w:rsidRPr="00E46C44">
        <w:t>Breeding Scheme</w:t>
      </w:r>
    </w:p>
    <w:p w:rsidR="00E46C44" w:rsidRPr="00E46C44" w:rsidRDefault="00E46C44" w:rsidP="00E46C44"/>
    <w:p w:rsidR="00272B35" w:rsidRPr="001B600C" w:rsidRDefault="00272B35" w:rsidP="00FD02CA">
      <w:pPr>
        <w:rPr>
          <w:rFonts w:eastAsia="MS Mincho"/>
        </w:rPr>
      </w:pPr>
      <w:r w:rsidRPr="001B600C">
        <w:rPr>
          <w:color w:val="000000"/>
        </w:rPr>
        <w:fldChar w:fldCharType="begin"/>
      </w:r>
      <w:r w:rsidRPr="001B600C">
        <w:rPr>
          <w:color w:val="000000"/>
        </w:rPr>
        <w:instrText xml:space="preserve"> AUTONUM  </w:instrText>
      </w:r>
      <w:r w:rsidRPr="001B600C">
        <w:rPr>
          <w:color w:val="000000"/>
        </w:rPr>
        <w:fldChar w:fldCharType="end"/>
      </w:r>
      <w:r w:rsidRPr="001B600C">
        <w:rPr>
          <w:color w:val="000000"/>
        </w:rPr>
        <w:tab/>
      </w:r>
      <w:r w:rsidRPr="001B600C">
        <w:t>The participants noted</w:t>
      </w:r>
      <w:r w:rsidR="00E46C44">
        <w:t xml:space="preserve"> </w:t>
      </w:r>
      <w:r w:rsidR="00EA4962">
        <w:t xml:space="preserve">that </w:t>
      </w:r>
      <w:r w:rsidR="00E46C44" w:rsidRPr="00E46C44">
        <w:t xml:space="preserve">the breeding scheme section </w:t>
      </w:r>
      <w:r w:rsidR="00E46C44" w:rsidRPr="001B600C">
        <w:rPr>
          <w:rFonts w:eastAsia="MS Mincho"/>
        </w:rPr>
        <w:t>in Version 2.0</w:t>
      </w:r>
      <w:r w:rsidR="00E46C44">
        <w:rPr>
          <w:rFonts w:eastAsia="MS Mincho"/>
        </w:rPr>
        <w:t xml:space="preserve"> of the </w:t>
      </w:r>
      <w:r w:rsidR="00E46C44" w:rsidRPr="00E46C44">
        <w:t xml:space="preserve">tool </w:t>
      </w:r>
      <w:r w:rsidR="00EA4962">
        <w:t>would</w:t>
      </w:r>
      <w:r w:rsidR="00E46C44">
        <w:t xml:space="preserve"> be available </w:t>
      </w:r>
      <w:r w:rsidR="00E46C44" w:rsidRPr="00E46C44">
        <w:t>with a pre-defined list of options.</w:t>
      </w:r>
      <w:r w:rsidRPr="001B600C">
        <w:rPr>
          <w:rFonts w:eastAsia="MS Mincho"/>
        </w:rPr>
        <w:t xml:space="preserve"> </w:t>
      </w:r>
      <w:r w:rsidR="000349D8">
        <w:rPr>
          <w:rFonts w:eastAsia="MS Mincho"/>
        </w:rPr>
        <w:t>Other</w:t>
      </w:r>
      <w:r w:rsidR="00E46C44">
        <w:rPr>
          <w:rFonts w:eastAsia="MS Mincho"/>
        </w:rPr>
        <w:t xml:space="preserve"> options might be considered for development in </w:t>
      </w:r>
      <w:r w:rsidR="00EA4962">
        <w:rPr>
          <w:rFonts w:eastAsia="MS Mincho"/>
        </w:rPr>
        <w:t xml:space="preserve">a </w:t>
      </w:r>
      <w:r w:rsidR="00E46C44">
        <w:rPr>
          <w:rFonts w:eastAsia="MS Mincho"/>
        </w:rPr>
        <w:t>subsequent version.</w:t>
      </w:r>
    </w:p>
    <w:p w:rsidR="00272B35" w:rsidRDefault="00272B35" w:rsidP="00B16798">
      <w:pPr>
        <w:spacing w:line="360" w:lineRule="auto"/>
      </w:pPr>
    </w:p>
    <w:p w:rsidR="00E46C44" w:rsidRDefault="00E46C44" w:rsidP="00E46C44">
      <w:pPr>
        <w:pStyle w:val="Heading3"/>
      </w:pPr>
      <w:r>
        <w:t>Novelty</w:t>
      </w:r>
    </w:p>
    <w:p w:rsidR="00E46C44" w:rsidRPr="00E46C44" w:rsidRDefault="00E46C44" w:rsidP="00E46C44"/>
    <w:p w:rsidR="00E46C44" w:rsidRDefault="00E46C44" w:rsidP="00E46C44">
      <w:r w:rsidRPr="001B600C">
        <w:rPr>
          <w:color w:val="000000"/>
        </w:rPr>
        <w:fldChar w:fldCharType="begin"/>
      </w:r>
      <w:r w:rsidRPr="001B600C">
        <w:rPr>
          <w:color w:val="000000"/>
        </w:rPr>
        <w:instrText xml:space="preserve"> AUTONUM  </w:instrText>
      </w:r>
      <w:r w:rsidRPr="001B600C">
        <w:rPr>
          <w:color w:val="000000"/>
        </w:rPr>
        <w:fldChar w:fldCharType="end"/>
      </w:r>
      <w:r w:rsidRPr="001B600C">
        <w:rPr>
          <w:color w:val="000000"/>
        </w:rPr>
        <w:tab/>
      </w:r>
      <w:r w:rsidRPr="00E46C44">
        <w:rPr>
          <w:color w:val="000000"/>
        </w:rPr>
        <w:t xml:space="preserve">The participants noted that </w:t>
      </w:r>
      <w:r w:rsidR="00EA4962">
        <w:rPr>
          <w:color w:val="000000"/>
        </w:rPr>
        <w:t>for novelty requirements</w:t>
      </w:r>
      <w:r w:rsidRPr="00E46C44">
        <w:rPr>
          <w:color w:val="000000"/>
        </w:rPr>
        <w:t>, each participating authorit</w:t>
      </w:r>
      <w:r w:rsidR="00EA4962">
        <w:rPr>
          <w:color w:val="000000"/>
        </w:rPr>
        <w:t>y</w:t>
      </w:r>
      <w:r w:rsidRPr="00E46C44">
        <w:rPr>
          <w:color w:val="000000"/>
        </w:rPr>
        <w:t xml:space="preserve"> should indicate, if appropriate, </w:t>
      </w:r>
      <w:r w:rsidR="000349D8" w:rsidRPr="00E46C44">
        <w:rPr>
          <w:color w:val="000000"/>
        </w:rPr>
        <w:t>which</w:t>
      </w:r>
      <w:r w:rsidRPr="00E46C44">
        <w:rPr>
          <w:color w:val="000000"/>
        </w:rPr>
        <w:t xml:space="preserve"> one(s) of the supported crops </w:t>
      </w:r>
      <w:r w:rsidR="00EA4962">
        <w:rPr>
          <w:color w:val="000000"/>
        </w:rPr>
        <w:t>were</w:t>
      </w:r>
      <w:r w:rsidRPr="00E46C44">
        <w:rPr>
          <w:color w:val="000000"/>
        </w:rPr>
        <w:t xml:space="preserve"> considered </w:t>
      </w:r>
      <w:r w:rsidR="00EA4962">
        <w:rPr>
          <w:color w:val="000000"/>
        </w:rPr>
        <w:t xml:space="preserve">by that authority to be </w:t>
      </w:r>
      <w:r w:rsidRPr="00E46C44">
        <w:rPr>
          <w:color w:val="000000"/>
        </w:rPr>
        <w:t>vine</w:t>
      </w:r>
      <w:r w:rsidR="00EA4962">
        <w:rPr>
          <w:color w:val="000000"/>
        </w:rPr>
        <w:t>s</w:t>
      </w:r>
      <w:r w:rsidRPr="00E46C44">
        <w:rPr>
          <w:color w:val="000000"/>
        </w:rPr>
        <w:t xml:space="preserve"> or tree</w:t>
      </w:r>
      <w:r w:rsidR="00EA4962">
        <w:rPr>
          <w:color w:val="000000"/>
        </w:rPr>
        <w:t>s</w:t>
      </w:r>
      <w:r w:rsidRPr="00E46C44">
        <w:rPr>
          <w:color w:val="000000"/>
        </w:rPr>
        <w:t xml:space="preserve"> in terms of novelty. The participants noted that</w:t>
      </w:r>
      <w:r w:rsidR="00EA4962">
        <w:rPr>
          <w:color w:val="000000"/>
        </w:rPr>
        <w:t>,</w:t>
      </w:r>
      <w:r w:rsidRPr="00E46C44">
        <w:rPr>
          <w:color w:val="000000"/>
        </w:rPr>
        <w:t xml:space="preserve"> by default</w:t>
      </w:r>
      <w:r w:rsidR="00EA4962">
        <w:rPr>
          <w:color w:val="000000"/>
        </w:rPr>
        <w:t>,</w:t>
      </w:r>
      <w:r w:rsidRPr="00E46C44">
        <w:rPr>
          <w:color w:val="000000"/>
        </w:rPr>
        <w:t xml:space="preserve"> 4 years </w:t>
      </w:r>
      <w:r w:rsidR="00EA4962">
        <w:rPr>
          <w:color w:val="000000"/>
        </w:rPr>
        <w:t>would</w:t>
      </w:r>
      <w:r w:rsidRPr="00E46C44">
        <w:rPr>
          <w:color w:val="000000"/>
        </w:rPr>
        <w:t xml:space="preserve"> be </w:t>
      </w:r>
      <w:r w:rsidR="00EA4962">
        <w:rPr>
          <w:color w:val="000000"/>
        </w:rPr>
        <w:t>used</w:t>
      </w:r>
      <w:r w:rsidRPr="00E46C44">
        <w:rPr>
          <w:color w:val="000000"/>
        </w:rPr>
        <w:t xml:space="preserve"> in the</w:t>
      </w:r>
      <w:r>
        <w:t xml:space="preserve"> system.</w:t>
      </w:r>
    </w:p>
    <w:p w:rsidR="00E46C44" w:rsidRPr="001B600C" w:rsidRDefault="00E46C44" w:rsidP="00E46C44">
      <w:pPr>
        <w:spacing w:line="360" w:lineRule="auto"/>
      </w:pPr>
    </w:p>
    <w:p w:rsidR="00272B35" w:rsidRPr="001B600C" w:rsidRDefault="00E46C44" w:rsidP="00B16798">
      <w:pPr>
        <w:pStyle w:val="Heading3"/>
      </w:pPr>
      <w:r>
        <w:t>Scope of plants</w:t>
      </w:r>
    </w:p>
    <w:p w:rsidR="005B5BE3" w:rsidRPr="005B5BE3" w:rsidRDefault="005B5BE3" w:rsidP="00B16798">
      <w:pPr>
        <w:pStyle w:val="Heading3"/>
      </w:pPr>
    </w:p>
    <w:p w:rsidR="00272B35" w:rsidRPr="001B600C" w:rsidRDefault="00272B35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</w:r>
      <w:r w:rsidR="00E46C44" w:rsidRPr="00E46C44">
        <w:rPr>
          <w:color w:val="000000"/>
        </w:rPr>
        <w:t>The participants noted that</w:t>
      </w:r>
      <w:r w:rsidR="00E46C44" w:rsidRPr="001B600C">
        <w:t xml:space="preserve"> </w:t>
      </w:r>
      <w:r w:rsidR="00E46C44">
        <w:t xml:space="preserve">for the </w:t>
      </w:r>
      <w:r w:rsidR="0058716C">
        <w:t>definition of what was considered to be a “plant”</w:t>
      </w:r>
      <w:r w:rsidR="00E46C44">
        <w:t xml:space="preserve"> (e.g. in relation to fungi, algae, bacteria)</w:t>
      </w:r>
      <w:r w:rsidR="00781B3D">
        <w:t>,</w:t>
      </w:r>
      <w:r w:rsidR="00E46C44">
        <w:t xml:space="preserve"> the to</w:t>
      </w:r>
      <w:r w:rsidR="0058716C">
        <w:t>o</w:t>
      </w:r>
      <w:r w:rsidR="00E46C44">
        <w:t xml:space="preserve">l </w:t>
      </w:r>
      <w:r w:rsidR="0058716C">
        <w:t>would</w:t>
      </w:r>
      <w:r w:rsidR="00E46C44">
        <w:t xml:space="preserve"> reflect the </w:t>
      </w:r>
      <w:r w:rsidR="0058716C">
        <w:t xml:space="preserve">information </w:t>
      </w:r>
      <w:r w:rsidR="00E46C44">
        <w:t>in GENIE database on the basis of the information provided</w:t>
      </w:r>
      <w:r w:rsidR="0058716C">
        <w:t xml:space="preserve"> by the relevant UPOV member</w:t>
      </w:r>
      <w:r w:rsidR="00E46C44">
        <w:t xml:space="preserve"> in document C/51/6. </w:t>
      </w:r>
      <w:r w:rsidRPr="001B600C">
        <w:t xml:space="preserve"> </w:t>
      </w:r>
    </w:p>
    <w:p w:rsidR="00272B35" w:rsidRDefault="00272B35" w:rsidP="00B16798"/>
    <w:p w:rsidR="00483E85" w:rsidRDefault="00483E85" w:rsidP="00B16798"/>
    <w:p w:rsidR="00720F44" w:rsidRPr="001B600C" w:rsidRDefault="00720F44" w:rsidP="00720F44">
      <w:pPr>
        <w:pStyle w:val="Heading2"/>
      </w:pPr>
      <w:r>
        <w:t>Financing</w:t>
      </w:r>
    </w:p>
    <w:p w:rsidR="00720F44" w:rsidRDefault="00720F44" w:rsidP="00B16798"/>
    <w:p w:rsidR="00720F44" w:rsidRDefault="00720F44" w:rsidP="00B16798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</w:r>
      <w:r w:rsidRPr="00E46C44">
        <w:rPr>
          <w:color w:val="000000"/>
        </w:rPr>
        <w:t>The participants noted</w:t>
      </w:r>
      <w:r>
        <w:rPr>
          <w:color w:val="000000"/>
        </w:rPr>
        <w:t xml:space="preserve"> that </w:t>
      </w:r>
      <w:r w:rsidR="0058716C">
        <w:rPr>
          <w:color w:val="000000"/>
        </w:rPr>
        <w:t xml:space="preserve">a </w:t>
      </w:r>
      <w:r>
        <w:rPr>
          <w:color w:val="000000"/>
        </w:rPr>
        <w:t xml:space="preserve">proposal </w:t>
      </w:r>
      <w:r w:rsidR="0058716C">
        <w:rPr>
          <w:color w:val="000000"/>
        </w:rPr>
        <w:t>for the financing of the EAF had</w:t>
      </w:r>
      <w:r>
        <w:rPr>
          <w:color w:val="000000"/>
        </w:rPr>
        <w:t xml:space="preserve"> been made to the </w:t>
      </w:r>
      <w:r w:rsidRPr="00720F44">
        <w:rPr>
          <w:color w:val="000000"/>
        </w:rPr>
        <w:t xml:space="preserve">Consultative Committee at its ninety-fourth session, held in Geneva, on October 25, 2017 and, </w:t>
      </w:r>
      <w:r>
        <w:rPr>
          <w:color w:val="000000"/>
        </w:rPr>
        <w:t>agreed</w:t>
      </w:r>
      <w:r w:rsidRPr="00720F44">
        <w:rPr>
          <w:color w:val="000000"/>
        </w:rPr>
        <w:t xml:space="preserve"> by the Council at its fifty-first ordinary session, held in Geneva on October 26, 2017</w:t>
      </w:r>
      <w:r>
        <w:rPr>
          <w:color w:val="000000"/>
        </w:rPr>
        <w:t xml:space="preserve"> (see document “Report” C/51/22). It noted</w:t>
      </w:r>
      <w:r w:rsidR="0058716C">
        <w:rPr>
          <w:color w:val="000000"/>
        </w:rPr>
        <w:t>,</w:t>
      </w:r>
      <w:r>
        <w:rPr>
          <w:color w:val="000000"/>
        </w:rPr>
        <w:t xml:space="preserve"> in particular</w:t>
      </w:r>
      <w:r w:rsidR="0058716C">
        <w:rPr>
          <w:color w:val="000000"/>
        </w:rPr>
        <w:t>,</w:t>
      </w:r>
      <w:r>
        <w:rPr>
          <w:color w:val="000000"/>
        </w:rPr>
        <w:t xml:space="preserve"> that the UPOV Council </w:t>
      </w:r>
      <w:r w:rsidR="0058716C">
        <w:rPr>
          <w:color w:val="000000"/>
        </w:rPr>
        <w:t xml:space="preserve">had </w:t>
      </w:r>
      <w:r>
        <w:rPr>
          <w:color w:val="000000"/>
        </w:rPr>
        <w:t>agreed that the EAF could be made free of charge for an introductory period.</w:t>
      </w:r>
    </w:p>
    <w:p w:rsidR="00B16798" w:rsidRDefault="00B16798" w:rsidP="00B16798"/>
    <w:p w:rsidR="00483E85" w:rsidRPr="001B600C" w:rsidRDefault="00483E85" w:rsidP="00B16798"/>
    <w:p w:rsidR="00272B35" w:rsidRPr="001B600C" w:rsidRDefault="00272B35" w:rsidP="00B16798">
      <w:pPr>
        <w:pStyle w:val="Heading2"/>
      </w:pPr>
      <w:bookmarkStart w:id="12" w:name="_Toc477541741"/>
      <w:bookmarkStart w:id="13" w:name="_Toc485110117"/>
      <w:r w:rsidRPr="001B600C">
        <w:t>Communication</w:t>
      </w:r>
      <w:bookmarkEnd w:id="12"/>
      <w:bookmarkEnd w:id="13"/>
    </w:p>
    <w:p w:rsidR="00272B35" w:rsidRPr="001B600C" w:rsidRDefault="00272B35" w:rsidP="00B16798">
      <w:pPr>
        <w:pStyle w:val="Heading2"/>
      </w:pPr>
    </w:p>
    <w:p w:rsidR="00272B35" w:rsidRPr="001B600C" w:rsidRDefault="00272B35" w:rsidP="00FD02CA">
      <w:pPr>
        <w:rPr>
          <w:rFonts w:eastAsia="MS Mincho"/>
          <w:spacing w:val="-2"/>
        </w:rPr>
      </w:pPr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</w:r>
      <w:r w:rsidR="00E46C44">
        <w:t>In relation to communication, t</w:t>
      </w:r>
      <w:r w:rsidRPr="001B600C">
        <w:t>he participants noted that</w:t>
      </w:r>
      <w:r w:rsidRPr="001B600C">
        <w:rPr>
          <w:rFonts w:eastAsia="MS Mincho"/>
          <w:spacing w:val="-2"/>
        </w:rPr>
        <w:t>:</w:t>
      </w:r>
    </w:p>
    <w:p w:rsidR="00272B35" w:rsidRPr="001B600C" w:rsidRDefault="00272B35" w:rsidP="00FD02CA">
      <w:pPr>
        <w:rPr>
          <w:rFonts w:eastAsia="MS Mincho"/>
        </w:rPr>
      </w:pPr>
    </w:p>
    <w:p w:rsidR="00E46C44" w:rsidRPr="0064348C" w:rsidRDefault="00E46C44" w:rsidP="00E46C44">
      <w:pPr>
        <w:pStyle w:val="ListParagraph"/>
        <w:numPr>
          <w:ilvl w:val="0"/>
          <w:numId w:val="15"/>
        </w:numPr>
        <w:ind w:left="0" w:firstLine="567"/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sz w:val="20"/>
          <w:szCs w:val="20"/>
          <w:lang w:val="en-US"/>
        </w:rPr>
        <w:t xml:space="preserve">at the launch of the EAF, on January 9, 2017, a webpage </w:t>
      </w:r>
      <w:r w:rsidR="0058716C">
        <w:rPr>
          <w:rFonts w:ascii="Arial" w:hAnsi="Arial"/>
          <w:sz w:val="20"/>
          <w:szCs w:val="20"/>
          <w:lang w:val="en-US"/>
        </w:rPr>
        <w:t>had been</w:t>
      </w:r>
      <w:r w:rsidRPr="0064348C">
        <w:rPr>
          <w:rFonts w:ascii="Arial" w:hAnsi="Arial"/>
          <w:sz w:val="20"/>
          <w:szCs w:val="20"/>
          <w:lang w:val="en-US"/>
        </w:rPr>
        <w:t xml:space="preserve"> created for the EAF, available at: </w:t>
      </w:r>
      <w:hyperlink r:id="rId10" w:history="1">
        <w:r w:rsidRPr="0064348C">
          <w:rPr>
            <w:rStyle w:val="Hyperlink"/>
            <w:sz w:val="20"/>
            <w:szCs w:val="20"/>
            <w:lang w:val="en-US"/>
          </w:rPr>
          <w:t>http://www.upov.int/upoveaf</w:t>
        </w:r>
      </w:hyperlink>
      <w:r w:rsidRPr="0064348C">
        <w:rPr>
          <w:rFonts w:ascii="Arial" w:hAnsi="Arial"/>
          <w:sz w:val="20"/>
          <w:szCs w:val="20"/>
          <w:lang w:val="en-US"/>
        </w:rPr>
        <w:t>, containing all necessary inform</w:t>
      </w:r>
      <w:r>
        <w:rPr>
          <w:rFonts w:ascii="Arial" w:hAnsi="Arial"/>
          <w:sz w:val="20"/>
          <w:szCs w:val="20"/>
          <w:lang w:val="en-US"/>
        </w:rPr>
        <w:t>ation to access and use the EAF;</w:t>
      </w:r>
    </w:p>
    <w:p w:rsidR="00E46C44" w:rsidRPr="0064348C" w:rsidRDefault="00E46C44" w:rsidP="00E46C44">
      <w:pPr>
        <w:pStyle w:val="ListParagraph"/>
        <w:ind w:left="0" w:firstLine="567"/>
        <w:jc w:val="both"/>
        <w:rPr>
          <w:rFonts w:ascii="Arial" w:hAnsi="Arial"/>
          <w:sz w:val="20"/>
          <w:szCs w:val="20"/>
          <w:lang w:val="en-US"/>
        </w:rPr>
      </w:pPr>
    </w:p>
    <w:p w:rsidR="00E46C44" w:rsidRPr="0064348C" w:rsidRDefault="00E46C44" w:rsidP="00483E85">
      <w:pPr>
        <w:pStyle w:val="ListParagraph"/>
        <w:numPr>
          <w:ilvl w:val="0"/>
          <w:numId w:val="15"/>
        </w:numPr>
        <w:spacing w:after="240"/>
        <w:ind w:left="0" w:firstLine="567"/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sz w:val="20"/>
          <w:szCs w:val="20"/>
          <w:lang w:val="en-US"/>
        </w:rPr>
        <w:t xml:space="preserve">at the launch of the EAF, the Office of the Union </w:t>
      </w:r>
      <w:r w:rsidR="0058716C">
        <w:rPr>
          <w:rFonts w:ascii="Arial" w:hAnsi="Arial"/>
          <w:sz w:val="20"/>
          <w:szCs w:val="20"/>
          <w:lang w:val="en-US"/>
        </w:rPr>
        <w:t xml:space="preserve">had </w:t>
      </w:r>
      <w:r w:rsidRPr="0064348C">
        <w:rPr>
          <w:rFonts w:ascii="Arial" w:hAnsi="Arial"/>
          <w:sz w:val="20"/>
          <w:szCs w:val="20"/>
          <w:lang w:val="en-US"/>
        </w:rPr>
        <w:t>informed breeders’ organizations and PVP Offices on the availability of the system (see Circulars E-17/007, E-17/008 and E-17/009), also inviting them to inform all their relevant stakeholders;</w:t>
      </w:r>
    </w:p>
    <w:p w:rsidR="00E46C44" w:rsidRPr="0064348C" w:rsidRDefault="00E46C44" w:rsidP="00E46C44">
      <w:pPr>
        <w:pStyle w:val="ListParagraph"/>
        <w:numPr>
          <w:ilvl w:val="0"/>
          <w:numId w:val="15"/>
        </w:numPr>
        <w:ind w:left="0" w:firstLine="567"/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color w:val="000000"/>
          <w:sz w:val="20"/>
          <w:szCs w:val="20"/>
          <w:lang w:val="en-US"/>
        </w:rPr>
        <w:t>the following</w:t>
      </w:r>
      <w:r w:rsidRPr="0064348C">
        <w:rPr>
          <w:rFonts w:ascii="Arial" w:hAnsi="Arial"/>
          <w:sz w:val="20"/>
          <w:szCs w:val="20"/>
          <w:lang w:val="en-US"/>
        </w:rPr>
        <w:t xml:space="preserve"> communication materials ha</w:t>
      </w:r>
      <w:r w:rsidR="0058716C">
        <w:rPr>
          <w:rFonts w:ascii="Arial" w:hAnsi="Arial"/>
          <w:sz w:val="20"/>
          <w:szCs w:val="20"/>
          <w:lang w:val="en-US"/>
        </w:rPr>
        <w:t>d</w:t>
      </w:r>
      <w:r w:rsidRPr="0064348C">
        <w:rPr>
          <w:rFonts w:ascii="Arial" w:hAnsi="Arial"/>
          <w:sz w:val="20"/>
          <w:szCs w:val="20"/>
          <w:lang w:val="en-US"/>
        </w:rPr>
        <w:t xml:space="preserve"> been developed and </w:t>
      </w:r>
      <w:r w:rsidR="0058716C">
        <w:rPr>
          <w:rFonts w:ascii="Arial" w:hAnsi="Arial"/>
          <w:sz w:val="20"/>
          <w:szCs w:val="20"/>
          <w:lang w:val="en-US"/>
        </w:rPr>
        <w:t>transmitted</w:t>
      </w:r>
      <w:r w:rsidRPr="0064348C">
        <w:rPr>
          <w:rFonts w:ascii="Arial" w:hAnsi="Arial"/>
          <w:sz w:val="20"/>
          <w:szCs w:val="20"/>
          <w:lang w:val="en-US"/>
        </w:rPr>
        <w:t xml:space="preserve"> to requesting UPOV members and breeders’ organizations (still available on demand):</w:t>
      </w:r>
    </w:p>
    <w:p w:rsidR="00E46C44" w:rsidRPr="0064348C" w:rsidRDefault="00E46C44" w:rsidP="00E46C44">
      <w:pPr>
        <w:pStyle w:val="ListParagraph"/>
        <w:rPr>
          <w:rFonts w:ascii="Arial" w:hAnsi="Arial"/>
          <w:sz w:val="20"/>
          <w:szCs w:val="20"/>
          <w:lang w:val="en-US"/>
        </w:rPr>
      </w:pPr>
    </w:p>
    <w:p w:rsidR="00E46C44" w:rsidRPr="0064348C" w:rsidRDefault="00E46C44" w:rsidP="00E46C44">
      <w:pPr>
        <w:pStyle w:val="ListParagraph"/>
        <w:numPr>
          <w:ilvl w:val="1"/>
          <w:numId w:val="15"/>
        </w:numPr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sz w:val="20"/>
          <w:szCs w:val="20"/>
          <w:lang w:val="en-US"/>
        </w:rPr>
        <w:t>posters and roll-up banners in English, Spanish and Chinese,</w:t>
      </w:r>
    </w:p>
    <w:p w:rsidR="00E46C44" w:rsidRPr="0064348C" w:rsidRDefault="00E46C44" w:rsidP="00E46C44">
      <w:pPr>
        <w:pStyle w:val="ListParagraph"/>
        <w:numPr>
          <w:ilvl w:val="1"/>
          <w:numId w:val="15"/>
        </w:numPr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sz w:val="20"/>
          <w:szCs w:val="20"/>
          <w:lang w:val="en-US"/>
        </w:rPr>
        <w:t xml:space="preserve">flyers in English, French, Spanish and </w:t>
      </w:r>
      <w:r w:rsidR="00781B3D">
        <w:rPr>
          <w:rFonts w:ascii="Arial" w:hAnsi="Arial"/>
          <w:sz w:val="20"/>
          <w:szCs w:val="20"/>
          <w:lang w:val="en-US"/>
        </w:rPr>
        <w:t>Chinese</w:t>
      </w:r>
      <w:r w:rsidRPr="0064348C">
        <w:rPr>
          <w:rFonts w:ascii="Arial" w:hAnsi="Arial"/>
          <w:sz w:val="20"/>
          <w:szCs w:val="20"/>
          <w:lang w:val="en-US"/>
        </w:rPr>
        <w:t>,</w:t>
      </w:r>
    </w:p>
    <w:p w:rsidR="00E46C44" w:rsidRPr="0064348C" w:rsidRDefault="00E46C44" w:rsidP="00E46C44">
      <w:pPr>
        <w:pStyle w:val="ListParagraph"/>
        <w:numPr>
          <w:ilvl w:val="1"/>
          <w:numId w:val="15"/>
        </w:numPr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sz w:val="20"/>
          <w:szCs w:val="20"/>
          <w:lang w:val="en-US"/>
        </w:rPr>
        <w:t>a series of tutorials (in English)</w:t>
      </w:r>
      <w:r w:rsidR="0058716C">
        <w:rPr>
          <w:rFonts w:ascii="Arial" w:hAnsi="Arial"/>
          <w:sz w:val="20"/>
          <w:szCs w:val="20"/>
          <w:lang w:val="en-US"/>
        </w:rPr>
        <w:t>, also</w:t>
      </w:r>
      <w:r w:rsidRPr="0064348C">
        <w:rPr>
          <w:rFonts w:ascii="Arial" w:hAnsi="Arial"/>
          <w:sz w:val="20"/>
          <w:szCs w:val="20"/>
          <w:lang w:val="en-US"/>
        </w:rPr>
        <w:t xml:space="preserve"> posted on the UPOV website</w:t>
      </w:r>
      <w:r w:rsidR="0058716C">
        <w:rPr>
          <w:rFonts w:ascii="Arial" w:hAnsi="Arial"/>
          <w:sz w:val="20"/>
          <w:szCs w:val="20"/>
          <w:lang w:val="en-US"/>
        </w:rPr>
        <w:t>,</w:t>
      </w:r>
      <w:r w:rsidRPr="0064348C">
        <w:rPr>
          <w:rFonts w:ascii="Arial" w:hAnsi="Arial"/>
          <w:sz w:val="20"/>
          <w:szCs w:val="20"/>
          <w:lang w:val="en-US"/>
        </w:rPr>
        <w:t xml:space="preserve"> with subtitles in French, Spanish, Arabic, Chinese, Japanese and Korean;</w:t>
      </w:r>
    </w:p>
    <w:p w:rsidR="00E46C44" w:rsidRPr="0064348C" w:rsidRDefault="00E46C44" w:rsidP="00E46C44"/>
    <w:p w:rsidR="00E46C44" w:rsidRPr="0064348C" w:rsidRDefault="00E46C44" w:rsidP="00E46C44">
      <w:pPr>
        <w:pStyle w:val="ListParagraph"/>
        <w:numPr>
          <w:ilvl w:val="0"/>
          <w:numId w:val="15"/>
        </w:numPr>
        <w:ind w:left="0" w:firstLine="567"/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sz w:val="20"/>
          <w:szCs w:val="20"/>
          <w:lang w:val="en-US"/>
        </w:rPr>
        <w:t>5 meetings (including online sessions &amp; webinars) ha</w:t>
      </w:r>
      <w:r w:rsidR="0058716C">
        <w:rPr>
          <w:rFonts w:ascii="Arial" w:hAnsi="Arial"/>
          <w:sz w:val="20"/>
          <w:szCs w:val="20"/>
          <w:lang w:val="en-US"/>
        </w:rPr>
        <w:t>d</w:t>
      </w:r>
      <w:r w:rsidRPr="0064348C">
        <w:rPr>
          <w:rFonts w:ascii="Arial" w:hAnsi="Arial"/>
          <w:sz w:val="20"/>
          <w:szCs w:val="20"/>
          <w:lang w:val="en-US"/>
        </w:rPr>
        <w:t xml:space="preserve"> been organized for individual applicants or groups of applicants upon request; </w:t>
      </w:r>
    </w:p>
    <w:p w:rsidR="00E46C44" w:rsidRPr="0064348C" w:rsidRDefault="00E46C44" w:rsidP="00E46C44">
      <w:pPr>
        <w:pStyle w:val="ListParagraph"/>
        <w:ind w:left="0" w:firstLine="567"/>
        <w:jc w:val="both"/>
        <w:rPr>
          <w:rFonts w:ascii="Arial" w:hAnsi="Arial"/>
          <w:sz w:val="20"/>
          <w:szCs w:val="20"/>
          <w:lang w:val="en-US"/>
        </w:rPr>
      </w:pPr>
    </w:p>
    <w:p w:rsidR="00E46C44" w:rsidRPr="0064348C" w:rsidRDefault="00E46C44" w:rsidP="00E46C44">
      <w:pPr>
        <w:pStyle w:val="ListParagraph"/>
        <w:numPr>
          <w:ilvl w:val="0"/>
          <w:numId w:val="15"/>
        </w:numPr>
        <w:spacing w:after="240"/>
        <w:ind w:left="0" w:firstLine="567"/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sz w:val="20"/>
          <w:szCs w:val="20"/>
          <w:lang w:val="en-US"/>
        </w:rPr>
        <w:t>presentations ha</w:t>
      </w:r>
      <w:r w:rsidR="0058716C">
        <w:rPr>
          <w:rFonts w:ascii="Arial" w:hAnsi="Arial"/>
          <w:sz w:val="20"/>
          <w:szCs w:val="20"/>
          <w:lang w:val="en-US"/>
        </w:rPr>
        <w:t>d</w:t>
      </w:r>
      <w:r w:rsidRPr="0064348C">
        <w:rPr>
          <w:rFonts w:ascii="Arial" w:hAnsi="Arial"/>
          <w:sz w:val="20"/>
          <w:szCs w:val="20"/>
          <w:lang w:val="en-US"/>
        </w:rPr>
        <w:t xml:space="preserve"> been made at the following meetings: ISF congress, EAPVP Forum, ESA congress, AOHE Annual meeting and SAA congress;</w:t>
      </w:r>
    </w:p>
    <w:p w:rsidR="00E46C44" w:rsidRPr="0064348C" w:rsidRDefault="00E46C44" w:rsidP="00E46C44">
      <w:pPr>
        <w:pStyle w:val="ListParagraph"/>
        <w:numPr>
          <w:ilvl w:val="0"/>
          <w:numId w:val="15"/>
        </w:numPr>
        <w:ind w:left="0" w:firstLine="567"/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sz w:val="20"/>
          <w:szCs w:val="20"/>
          <w:lang w:val="en-US"/>
        </w:rPr>
        <w:t>a LinkedIn page ha</w:t>
      </w:r>
      <w:r w:rsidR="0058716C">
        <w:rPr>
          <w:rFonts w:ascii="Arial" w:hAnsi="Arial"/>
          <w:sz w:val="20"/>
          <w:szCs w:val="20"/>
          <w:lang w:val="en-US"/>
        </w:rPr>
        <w:t>d been created (</w:t>
      </w:r>
      <w:hyperlink r:id="rId11" w:history="1">
        <w:r w:rsidRPr="0064348C">
          <w:rPr>
            <w:rStyle w:val="Hyperlink"/>
            <w:snapToGrid w:val="0"/>
            <w:sz w:val="20"/>
            <w:szCs w:val="20"/>
            <w:lang w:val="en-US"/>
          </w:rPr>
          <w:t>https://www.linkedin.com/showcase/24973258/</w:t>
        </w:r>
      </w:hyperlink>
      <w:r w:rsidR="0058716C" w:rsidRPr="0058716C">
        <w:t>)</w:t>
      </w:r>
      <w:r w:rsidRPr="0064348C">
        <w:rPr>
          <w:rFonts w:ascii="Arial" w:hAnsi="Arial"/>
          <w:sz w:val="20"/>
          <w:szCs w:val="20"/>
          <w:lang w:val="en-US"/>
        </w:rPr>
        <w:t xml:space="preserve">; </w:t>
      </w:r>
    </w:p>
    <w:p w:rsidR="00E46C44" w:rsidRPr="0064348C" w:rsidRDefault="00E46C44" w:rsidP="00E46C44">
      <w:pPr>
        <w:pStyle w:val="ListParagraph"/>
        <w:ind w:left="0" w:firstLine="567"/>
        <w:rPr>
          <w:rFonts w:ascii="Arial" w:hAnsi="Arial"/>
          <w:sz w:val="20"/>
          <w:szCs w:val="20"/>
          <w:lang w:val="en-US"/>
        </w:rPr>
      </w:pPr>
    </w:p>
    <w:p w:rsidR="000349D8" w:rsidRDefault="00E46C44" w:rsidP="00E46C44">
      <w:pPr>
        <w:pStyle w:val="ListParagraph"/>
        <w:numPr>
          <w:ilvl w:val="0"/>
          <w:numId w:val="15"/>
        </w:numPr>
        <w:ind w:left="0" w:firstLine="567"/>
        <w:jc w:val="both"/>
        <w:rPr>
          <w:rFonts w:ascii="Arial" w:hAnsi="Arial"/>
          <w:sz w:val="20"/>
          <w:szCs w:val="20"/>
          <w:lang w:val="en-US"/>
        </w:rPr>
      </w:pPr>
      <w:r w:rsidRPr="0064348C">
        <w:rPr>
          <w:rFonts w:ascii="Arial" w:hAnsi="Arial"/>
          <w:sz w:val="20"/>
          <w:szCs w:val="20"/>
          <w:lang w:val="en-US"/>
        </w:rPr>
        <w:t xml:space="preserve">the Office of the Union had invited PVP Offices to </w:t>
      </w:r>
      <w:r w:rsidR="0058716C">
        <w:rPr>
          <w:rFonts w:ascii="Arial" w:hAnsi="Arial"/>
          <w:sz w:val="20"/>
          <w:szCs w:val="20"/>
          <w:lang w:val="en-US"/>
        </w:rPr>
        <w:t xml:space="preserve">disseminate </w:t>
      </w:r>
      <w:r w:rsidRPr="0064348C">
        <w:rPr>
          <w:rFonts w:ascii="Arial" w:hAnsi="Arial"/>
          <w:sz w:val="20"/>
          <w:szCs w:val="20"/>
          <w:lang w:val="en-US"/>
        </w:rPr>
        <w:t>the information on the availability of the EAF tool to potential users (e.g. breeders, representatives, agents, etc.) and to add a link to the EAF on their own websites (see Circular E-1</w:t>
      </w:r>
      <w:r w:rsidRPr="005B5BE3">
        <w:rPr>
          <w:rFonts w:ascii="Arial" w:hAnsi="Arial"/>
          <w:sz w:val="20"/>
          <w:szCs w:val="20"/>
          <w:lang w:val="en-US"/>
        </w:rPr>
        <w:t>7/</w:t>
      </w:r>
      <w:r>
        <w:rPr>
          <w:rFonts w:ascii="Arial" w:hAnsi="Arial"/>
          <w:sz w:val="20"/>
          <w:szCs w:val="20"/>
          <w:lang w:val="en-US"/>
        </w:rPr>
        <w:t>138)</w:t>
      </w:r>
      <w:r w:rsidR="00483E85">
        <w:rPr>
          <w:rFonts w:ascii="Arial" w:hAnsi="Arial"/>
          <w:sz w:val="20"/>
          <w:szCs w:val="20"/>
          <w:lang w:val="en-US"/>
        </w:rPr>
        <w:t>;</w:t>
      </w:r>
    </w:p>
    <w:p w:rsidR="000349D8" w:rsidRPr="000349D8" w:rsidRDefault="000349D8" w:rsidP="000349D8">
      <w:pPr>
        <w:pStyle w:val="ListParagraph"/>
        <w:rPr>
          <w:lang w:val="en-US"/>
        </w:rPr>
      </w:pPr>
    </w:p>
    <w:p w:rsidR="00E46C44" w:rsidRPr="000349D8" w:rsidRDefault="000349D8" w:rsidP="00E46C44">
      <w:pPr>
        <w:pStyle w:val="ListParagraph"/>
        <w:numPr>
          <w:ilvl w:val="0"/>
          <w:numId w:val="15"/>
        </w:numPr>
        <w:ind w:left="0" w:firstLine="567"/>
        <w:jc w:val="both"/>
        <w:rPr>
          <w:rFonts w:ascii="Arial" w:hAnsi="Arial"/>
          <w:sz w:val="20"/>
          <w:szCs w:val="20"/>
          <w:lang w:val="en-US"/>
        </w:rPr>
      </w:pPr>
      <w:r w:rsidRPr="00781B3D">
        <w:rPr>
          <w:rFonts w:ascii="Arial" w:hAnsi="Arial"/>
          <w:sz w:val="20"/>
          <w:szCs w:val="20"/>
          <w:lang w:val="en-US"/>
        </w:rPr>
        <w:t>b</w:t>
      </w:r>
      <w:r w:rsidR="00E46C44" w:rsidRPr="00781B3D">
        <w:rPr>
          <w:rFonts w:ascii="Arial" w:hAnsi="Arial"/>
          <w:sz w:val="20"/>
          <w:szCs w:val="20"/>
          <w:lang w:val="en-US"/>
        </w:rPr>
        <w:t xml:space="preserve">riefing sessions in English, French and Spanish </w:t>
      </w:r>
      <w:r w:rsidRPr="00781B3D">
        <w:rPr>
          <w:rFonts w:ascii="Arial" w:hAnsi="Arial"/>
          <w:sz w:val="20"/>
          <w:szCs w:val="20"/>
          <w:lang w:val="en-US"/>
        </w:rPr>
        <w:t>ha</w:t>
      </w:r>
      <w:r w:rsidR="0058716C">
        <w:rPr>
          <w:rFonts w:ascii="Arial" w:hAnsi="Arial"/>
          <w:sz w:val="20"/>
          <w:szCs w:val="20"/>
          <w:lang w:val="en-US"/>
        </w:rPr>
        <w:t>d</w:t>
      </w:r>
      <w:r w:rsidRPr="00781B3D">
        <w:rPr>
          <w:rFonts w:ascii="Arial" w:hAnsi="Arial"/>
          <w:sz w:val="20"/>
          <w:szCs w:val="20"/>
          <w:lang w:val="en-US"/>
        </w:rPr>
        <w:t xml:space="preserve"> been</w:t>
      </w:r>
      <w:r w:rsidR="00E46C44" w:rsidRPr="00781B3D">
        <w:rPr>
          <w:rFonts w:ascii="Arial" w:hAnsi="Arial"/>
          <w:sz w:val="20"/>
          <w:szCs w:val="20"/>
          <w:lang w:val="en-US"/>
        </w:rPr>
        <w:t xml:space="preserve"> organized at the fringes of the UPOV sessions held in Geneva in October 2017 (see Circular E-17/139)</w:t>
      </w:r>
      <w:r w:rsidRPr="00781B3D">
        <w:rPr>
          <w:rFonts w:ascii="Arial" w:hAnsi="Arial"/>
          <w:sz w:val="20"/>
          <w:szCs w:val="20"/>
          <w:lang w:val="en-US"/>
        </w:rPr>
        <w:t>.</w:t>
      </w:r>
    </w:p>
    <w:p w:rsidR="00272B35" w:rsidRPr="001B600C" w:rsidRDefault="00272B35" w:rsidP="00FD02CA"/>
    <w:p w:rsidR="00272B35" w:rsidRPr="001B600C" w:rsidRDefault="00272B35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</w:r>
      <w:r w:rsidR="0058716C">
        <w:t>In</w:t>
      </w:r>
      <w:r w:rsidR="000349D8">
        <w:t xml:space="preserve"> relation to communication plan for 2018, </w:t>
      </w:r>
      <w:r w:rsidR="00781B3D">
        <w:t>t</w:t>
      </w:r>
      <w:r w:rsidRPr="001B600C">
        <w:t>he participants</w:t>
      </w:r>
      <w:r w:rsidR="000349D8">
        <w:t xml:space="preserve"> agreed </w:t>
      </w:r>
      <w:r w:rsidR="0058716C">
        <w:t>that</w:t>
      </w:r>
      <w:r w:rsidR="000349D8">
        <w:t xml:space="preserve"> the following elements</w:t>
      </w:r>
      <w:r w:rsidR="00781B3D">
        <w:t xml:space="preserve"> </w:t>
      </w:r>
      <w:r w:rsidR="0058716C">
        <w:t>should</w:t>
      </w:r>
      <w:r w:rsidR="00781B3D">
        <w:t xml:space="preserve"> be </w:t>
      </w:r>
      <w:r w:rsidR="0058716C">
        <w:t>developed</w:t>
      </w:r>
      <w:r w:rsidR="000349D8">
        <w:t xml:space="preserve">: </w:t>
      </w:r>
    </w:p>
    <w:p w:rsidR="00272B35" w:rsidRDefault="00272B35" w:rsidP="00B16798"/>
    <w:p w:rsidR="00483E85" w:rsidRDefault="0058716C" w:rsidP="0058716C">
      <w:pPr>
        <w:pStyle w:val="ListParagraph"/>
        <w:numPr>
          <w:ilvl w:val="0"/>
          <w:numId w:val="16"/>
        </w:numPr>
        <w:ind w:left="993" w:hanging="426"/>
        <w:rPr>
          <w:rFonts w:ascii="Arial" w:hAnsi="Arial"/>
          <w:sz w:val="20"/>
          <w:lang w:val="en-US"/>
        </w:rPr>
      </w:pPr>
      <w:r w:rsidRPr="0066529E">
        <w:rPr>
          <w:rFonts w:ascii="Arial" w:hAnsi="Arial"/>
          <w:sz w:val="20"/>
          <w:lang w:val="en-US"/>
        </w:rPr>
        <w:t xml:space="preserve">targeted communication to potential users of the UPOV EAF (e.g. </w:t>
      </w:r>
      <w:r>
        <w:rPr>
          <w:rFonts w:ascii="Arial" w:hAnsi="Arial"/>
          <w:sz w:val="20"/>
          <w:lang w:val="en-US"/>
        </w:rPr>
        <w:t>agents, representatives, breeding companies, breeders’ associations)</w:t>
      </w:r>
      <w:r w:rsidR="00483E85">
        <w:rPr>
          <w:rFonts w:ascii="Arial" w:hAnsi="Arial"/>
          <w:sz w:val="20"/>
          <w:lang w:val="en-US"/>
        </w:rPr>
        <w:t>;</w:t>
      </w:r>
    </w:p>
    <w:p w:rsidR="00483E85" w:rsidRDefault="0058716C" w:rsidP="0058716C">
      <w:pPr>
        <w:pStyle w:val="ListParagraph"/>
        <w:numPr>
          <w:ilvl w:val="0"/>
          <w:numId w:val="16"/>
        </w:numPr>
        <w:ind w:left="993" w:hanging="426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training sessions (in situ and online)</w:t>
      </w:r>
      <w:r w:rsidR="00483E85">
        <w:rPr>
          <w:rFonts w:ascii="Arial" w:hAnsi="Arial"/>
          <w:sz w:val="20"/>
          <w:lang w:val="en-US"/>
        </w:rPr>
        <w:t>;</w:t>
      </w:r>
    </w:p>
    <w:p w:rsidR="00483E85" w:rsidRDefault="0058716C" w:rsidP="0058716C">
      <w:pPr>
        <w:pStyle w:val="ListParagraph"/>
        <w:numPr>
          <w:ilvl w:val="0"/>
          <w:numId w:val="16"/>
        </w:numPr>
        <w:ind w:left="993" w:hanging="426"/>
        <w:rPr>
          <w:rFonts w:ascii="Arial" w:hAnsi="Arial"/>
          <w:sz w:val="20"/>
          <w:lang w:val="en-US"/>
        </w:rPr>
      </w:pPr>
      <w:r w:rsidRPr="006B62B5">
        <w:rPr>
          <w:rFonts w:ascii="Arial" w:hAnsi="Arial"/>
          <w:sz w:val="20"/>
          <w:lang w:val="en-US"/>
        </w:rPr>
        <w:t>participation</w:t>
      </w:r>
      <w:r>
        <w:rPr>
          <w:rFonts w:ascii="Arial" w:hAnsi="Arial"/>
          <w:sz w:val="20"/>
          <w:lang w:val="en-US"/>
        </w:rPr>
        <w:t xml:space="preserve"> in</w:t>
      </w:r>
      <w:r w:rsidRPr="006B62B5">
        <w:rPr>
          <w:rFonts w:ascii="Arial" w:hAnsi="Arial"/>
          <w:sz w:val="20"/>
          <w:lang w:val="en-US"/>
        </w:rPr>
        <w:t xml:space="preserve"> international </w:t>
      </w:r>
      <w:r>
        <w:rPr>
          <w:rFonts w:ascii="Arial" w:hAnsi="Arial"/>
          <w:sz w:val="20"/>
          <w:lang w:val="en-US"/>
        </w:rPr>
        <w:t xml:space="preserve">breeders’ </w:t>
      </w:r>
      <w:r w:rsidRPr="006B62B5">
        <w:rPr>
          <w:rFonts w:ascii="Arial" w:hAnsi="Arial"/>
          <w:sz w:val="20"/>
          <w:lang w:val="en-US"/>
        </w:rPr>
        <w:t>events (ISF, AOHE, CIOPORA, ASTA…)</w:t>
      </w:r>
      <w:r w:rsidR="00483E85">
        <w:rPr>
          <w:rFonts w:ascii="Arial" w:hAnsi="Arial"/>
          <w:sz w:val="20"/>
          <w:lang w:val="en-US"/>
        </w:rPr>
        <w:t>;</w:t>
      </w:r>
    </w:p>
    <w:p w:rsidR="00483E85" w:rsidRDefault="0058716C" w:rsidP="0058716C">
      <w:pPr>
        <w:pStyle w:val="ListParagraph"/>
        <w:numPr>
          <w:ilvl w:val="0"/>
          <w:numId w:val="16"/>
        </w:numPr>
        <w:ind w:left="993" w:hanging="426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updated</w:t>
      </w:r>
      <w:r w:rsidRPr="0066529E">
        <w:rPr>
          <w:rFonts w:ascii="Arial" w:hAnsi="Arial"/>
          <w:sz w:val="20"/>
          <w:lang w:val="en-US"/>
        </w:rPr>
        <w:t xml:space="preserve"> communication materials (posters, flyers, tutorials) with the new name and logo and the new </w:t>
      </w:r>
      <w:r>
        <w:rPr>
          <w:rFonts w:ascii="Arial" w:hAnsi="Arial"/>
          <w:sz w:val="20"/>
          <w:lang w:val="en-US"/>
        </w:rPr>
        <w:t>coverage of crops and countries</w:t>
      </w:r>
      <w:r w:rsidR="00483E85">
        <w:rPr>
          <w:rFonts w:ascii="Arial" w:hAnsi="Arial"/>
          <w:sz w:val="20"/>
          <w:lang w:val="en-US"/>
        </w:rPr>
        <w:t>;</w:t>
      </w:r>
    </w:p>
    <w:p w:rsidR="00483E85" w:rsidRDefault="000349D8" w:rsidP="000349D8">
      <w:pPr>
        <w:pStyle w:val="ListParagraph"/>
        <w:numPr>
          <w:ilvl w:val="0"/>
          <w:numId w:val="16"/>
        </w:numPr>
        <w:ind w:left="993" w:hanging="426"/>
        <w:rPr>
          <w:rFonts w:ascii="Arial" w:hAnsi="Arial"/>
          <w:sz w:val="20"/>
          <w:lang w:val="en-US"/>
        </w:rPr>
      </w:pPr>
      <w:r w:rsidRPr="0066529E">
        <w:rPr>
          <w:rFonts w:ascii="Arial" w:hAnsi="Arial"/>
          <w:sz w:val="20"/>
          <w:lang w:val="en-US"/>
        </w:rPr>
        <w:t>press</w:t>
      </w:r>
      <w:r>
        <w:rPr>
          <w:rFonts w:ascii="Arial" w:hAnsi="Arial"/>
          <w:sz w:val="20"/>
          <w:lang w:val="en-US"/>
        </w:rPr>
        <w:t xml:space="preserve"> articles</w:t>
      </w:r>
      <w:r w:rsidR="00483E85">
        <w:rPr>
          <w:rFonts w:ascii="Arial" w:hAnsi="Arial"/>
          <w:sz w:val="20"/>
          <w:lang w:val="en-US"/>
        </w:rPr>
        <w:t>;</w:t>
      </w:r>
    </w:p>
    <w:p w:rsidR="000349D8" w:rsidRPr="0066529E" w:rsidRDefault="000349D8" w:rsidP="000349D8">
      <w:pPr>
        <w:pStyle w:val="ListParagraph"/>
        <w:numPr>
          <w:ilvl w:val="0"/>
          <w:numId w:val="16"/>
        </w:numPr>
        <w:ind w:left="993" w:hanging="426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>update of the UPOV EAF PBR webpage with new testimonials from breeders and PVP Offices;</w:t>
      </w:r>
    </w:p>
    <w:p w:rsidR="000349D8" w:rsidRPr="0066529E" w:rsidRDefault="000349D8" w:rsidP="000349D8">
      <w:pPr>
        <w:pStyle w:val="ListParagraph"/>
        <w:numPr>
          <w:ilvl w:val="0"/>
          <w:numId w:val="16"/>
        </w:numPr>
        <w:ind w:left="993" w:hanging="426"/>
        <w:rPr>
          <w:rFonts w:ascii="Arial" w:hAnsi="Arial"/>
          <w:sz w:val="20"/>
          <w:lang w:val="en-US"/>
        </w:rPr>
      </w:pPr>
      <w:r w:rsidRPr="0066529E">
        <w:rPr>
          <w:rFonts w:ascii="Arial" w:hAnsi="Arial"/>
          <w:sz w:val="20"/>
          <w:lang w:val="en-US"/>
        </w:rPr>
        <w:t>inclusion of</w:t>
      </w:r>
      <w:r>
        <w:rPr>
          <w:rFonts w:ascii="Arial" w:hAnsi="Arial"/>
          <w:sz w:val="20"/>
          <w:lang w:val="en-US"/>
        </w:rPr>
        <w:t xml:space="preserve"> information </w:t>
      </w:r>
      <w:r w:rsidRPr="0066529E">
        <w:rPr>
          <w:rFonts w:ascii="Arial" w:hAnsi="Arial"/>
          <w:sz w:val="20"/>
          <w:lang w:val="en-US"/>
        </w:rPr>
        <w:t xml:space="preserve">in existing </w:t>
      </w:r>
      <w:r w:rsidR="0058716C">
        <w:rPr>
          <w:rFonts w:ascii="Arial" w:hAnsi="Arial"/>
          <w:sz w:val="20"/>
          <w:lang w:val="en-US"/>
        </w:rPr>
        <w:t xml:space="preserve">UPOV and UPOV members’ </w:t>
      </w:r>
      <w:r>
        <w:rPr>
          <w:rFonts w:ascii="Arial" w:hAnsi="Arial"/>
          <w:sz w:val="20"/>
          <w:lang w:val="en-US"/>
        </w:rPr>
        <w:t xml:space="preserve">training </w:t>
      </w:r>
      <w:r w:rsidRPr="0066529E">
        <w:rPr>
          <w:rFonts w:ascii="Arial" w:hAnsi="Arial"/>
          <w:sz w:val="20"/>
          <w:lang w:val="en-US"/>
        </w:rPr>
        <w:t>programs</w:t>
      </w:r>
      <w:r w:rsidR="0058716C">
        <w:rPr>
          <w:rFonts w:ascii="Arial" w:hAnsi="Arial"/>
          <w:sz w:val="20"/>
          <w:lang w:val="en-US"/>
        </w:rPr>
        <w:t>.</w:t>
      </w:r>
      <w:r w:rsidRPr="0066529E">
        <w:rPr>
          <w:rFonts w:ascii="Arial" w:hAnsi="Arial"/>
          <w:sz w:val="20"/>
          <w:lang w:val="en-US"/>
        </w:rPr>
        <w:t xml:space="preserve"> </w:t>
      </w:r>
    </w:p>
    <w:p w:rsidR="00B16798" w:rsidRPr="001B600C" w:rsidRDefault="00B16798" w:rsidP="00B16798"/>
    <w:p w:rsidR="00B16798" w:rsidRPr="001B600C" w:rsidRDefault="00B16798" w:rsidP="00FD02CA"/>
    <w:p w:rsidR="00EA3E13" w:rsidRPr="001B600C" w:rsidRDefault="00EA3E13" w:rsidP="00B16798">
      <w:pPr>
        <w:pStyle w:val="Heading1"/>
      </w:pPr>
      <w:r w:rsidRPr="001B600C">
        <w:t>Date of next meeting</w:t>
      </w:r>
    </w:p>
    <w:p w:rsidR="00EA3E13" w:rsidRPr="001B600C" w:rsidRDefault="00EA3E13" w:rsidP="00FD02CA"/>
    <w:p w:rsidR="00EA3E13" w:rsidRPr="001B600C" w:rsidRDefault="00EA3E13" w:rsidP="00FD02CA">
      <w:r w:rsidRPr="001B600C">
        <w:fldChar w:fldCharType="begin"/>
      </w:r>
      <w:r w:rsidRPr="001B600C">
        <w:instrText xml:space="preserve"> AUTONUM  </w:instrText>
      </w:r>
      <w:r w:rsidRPr="001B600C">
        <w:fldChar w:fldCharType="end"/>
      </w:r>
      <w:r w:rsidRPr="001B600C">
        <w:tab/>
        <w:t>The next meeting of the EAF (EAF/</w:t>
      </w:r>
      <w:r w:rsidR="0003583A" w:rsidRPr="001B600C">
        <w:t>1</w:t>
      </w:r>
      <w:r w:rsidR="00976378">
        <w:t>1</w:t>
      </w:r>
      <w:r w:rsidR="001F2358">
        <w:t xml:space="preserve"> meeting</w:t>
      </w:r>
      <w:r w:rsidRPr="001B600C">
        <w:t xml:space="preserve">) was agreed to be held in Geneva on </w:t>
      </w:r>
      <w:r w:rsidR="001B31E9" w:rsidRPr="001B600C">
        <w:t xml:space="preserve">the </w:t>
      </w:r>
      <w:r w:rsidR="00976378">
        <w:t>morning</w:t>
      </w:r>
      <w:r w:rsidR="001B31E9" w:rsidRPr="001B600C">
        <w:t xml:space="preserve"> of </w:t>
      </w:r>
      <w:r w:rsidR="00976378">
        <w:t>March 28, 2018</w:t>
      </w:r>
      <w:r w:rsidRPr="001B600C">
        <w:t>.</w:t>
      </w:r>
    </w:p>
    <w:p w:rsidR="00732484" w:rsidRDefault="00732484" w:rsidP="00FD02CA"/>
    <w:p w:rsidR="00B3751D" w:rsidRDefault="00B3751D" w:rsidP="00B3751D">
      <w:pPr>
        <w:tabs>
          <w:tab w:val="left" w:pos="5387"/>
        </w:tabs>
        <w:ind w:left="4820"/>
        <w:rPr>
          <w:rFonts w:eastAsiaTheme="minorHAnsi"/>
          <w:i/>
        </w:rPr>
      </w:pPr>
      <w:r w:rsidRPr="00490771">
        <w:rPr>
          <w:rFonts w:eastAsiaTheme="minorHAnsi"/>
          <w:i/>
        </w:rPr>
        <w:fldChar w:fldCharType="begin"/>
      </w:r>
      <w:r w:rsidRPr="00490771">
        <w:rPr>
          <w:rFonts w:eastAsiaTheme="minorHAnsi"/>
          <w:i/>
        </w:rPr>
        <w:instrText xml:space="preserve"> AUTONUM  </w:instrText>
      </w:r>
      <w:r w:rsidRPr="00490771">
        <w:rPr>
          <w:rFonts w:eastAsiaTheme="minorHAnsi"/>
          <w:i/>
        </w:rPr>
        <w:fldChar w:fldCharType="end"/>
      </w:r>
      <w:r w:rsidRPr="00490771">
        <w:rPr>
          <w:rFonts w:eastAsiaTheme="minorHAnsi"/>
          <w:i/>
        </w:rPr>
        <w:tab/>
        <w:t>This report was adopted by correspondence.</w:t>
      </w:r>
    </w:p>
    <w:p w:rsidR="00B3751D" w:rsidRPr="001B600C" w:rsidRDefault="00B3751D" w:rsidP="00B3751D">
      <w:pPr>
        <w:ind w:left="4820"/>
      </w:pPr>
    </w:p>
    <w:p w:rsidR="006228C8" w:rsidRPr="001B600C" w:rsidRDefault="006228C8" w:rsidP="00FD02CA"/>
    <w:p w:rsidR="006228C8" w:rsidRPr="001B600C" w:rsidRDefault="006228C8" w:rsidP="00FD02CA"/>
    <w:p w:rsidR="009B440E" w:rsidRPr="001B600C" w:rsidRDefault="00050E16" w:rsidP="00B16798">
      <w:pPr>
        <w:jc w:val="right"/>
      </w:pPr>
      <w:r w:rsidRPr="001B600C">
        <w:t>[</w:t>
      </w:r>
      <w:r w:rsidR="002E3CCF" w:rsidRPr="001B600C">
        <w:t>Annexes follow</w:t>
      </w:r>
      <w:r w:rsidRPr="001B600C">
        <w:t>]</w:t>
      </w:r>
    </w:p>
    <w:bookmarkEnd w:id="0"/>
    <w:p w:rsidR="00903264" w:rsidRPr="001B600C" w:rsidRDefault="00903264" w:rsidP="00FD02CA"/>
    <w:p w:rsidR="00666DA5" w:rsidRPr="001B600C" w:rsidRDefault="00666DA5" w:rsidP="00FD02CA"/>
    <w:p w:rsidR="003E3020" w:rsidRPr="001B600C" w:rsidRDefault="003E3020" w:rsidP="00FD02CA">
      <w:pPr>
        <w:sectPr w:rsidR="003E3020" w:rsidRPr="001B600C" w:rsidSect="00D432EC">
          <w:headerReference w:type="defaul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3E3020" w:rsidRPr="001B600C" w:rsidRDefault="00B3751D" w:rsidP="001F2358">
      <w:pPr>
        <w:jc w:val="center"/>
      </w:pPr>
      <w:r>
        <w:t>UPOV/EAF/10/3</w:t>
      </w:r>
    </w:p>
    <w:p w:rsidR="003E3020" w:rsidRPr="001B600C" w:rsidRDefault="003E3020" w:rsidP="001F2358">
      <w:pPr>
        <w:jc w:val="center"/>
      </w:pPr>
    </w:p>
    <w:p w:rsidR="003E3020" w:rsidRPr="00923250" w:rsidRDefault="003E3020" w:rsidP="001F2358">
      <w:pPr>
        <w:jc w:val="center"/>
        <w:rPr>
          <w:lang w:val="fr-FR"/>
        </w:rPr>
      </w:pPr>
      <w:r w:rsidRPr="00923250">
        <w:rPr>
          <w:lang w:val="fr-FR"/>
        </w:rPr>
        <w:t>ANNEX</w:t>
      </w:r>
      <w:r w:rsidR="00483E85">
        <w:rPr>
          <w:lang w:val="fr-FR"/>
        </w:rPr>
        <w:t>E</w:t>
      </w:r>
      <w:r w:rsidRPr="00923250">
        <w:rPr>
          <w:lang w:val="fr-FR"/>
        </w:rPr>
        <w:t xml:space="preserve"> I</w:t>
      </w:r>
      <w:r w:rsidR="00483E85">
        <w:rPr>
          <w:lang w:val="fr-FR"/>
        </w:rPr>
        <w:t xml:space="preserve"> / ANNEX I / ANEXO I</w:t>
      </w:r>
    </w:p>
    <w:p w:rsidR="003E3020" w:rsidRPr="00923250" w:rsidRDefault="003E3020" w:rsidP="001F2358">
      <w:pPr>
        <w:jc w:val="center"/>
        <w:rPr>
          <w:lang w:val="fr-FR"/>
        </w:rPr>
      </w:pPr>
    </w:p>
    <w:p w:rsidR="001F2358" w:rsidRPr="00923250" w:rsidRDefault="001F2358" w:rsidP="001F2358">
      <w:pPr>
        <w:jc w:val="center"/>
        <w:rPr>
          <w:lang w:val="fr-FR"/>
        </w:rPr>
      </w:pPr>
    </w:p>
    <w:p w:rsidR="0003583A" w:rsidRPr="00923250" w:rsidRDefault="0003583A" w:rsidP="001F2358">
      <w:pPr>
        <w:jc w:val="center"/>
        <w:rPr>
          <w:lang w:val="fr-FR"/>
        </w:rPr>
      </w:pPr>
      <w:r w:rsidRPr="00923250">
        <w:rPr>
          <w:lang w:val="fr-FR"/>
        </w:rPr>
        <w:t>LISTE DES PARTICIPANTS / LIST OF PARTICIPANTS /</w:t>
      </w:r>
      <w:r w:rsidR="00483E85">
        <w:rPr>
          <w:lang w:val="fr-FR"/>
        </w:rPr>
        <w:t xml:space="preserve"> </w:t>
      </w:r>
      <w:r w:rsidRPr="00923250">
        <w:rPr>
          <w:lang w:val="fr-FR"/>
        </w:rPr>
        <w:t>LISTA DE PARTICIPANTES</w:t>
      </w:r>
      <w:r w:rsidRPr="00923250">
        <w:rPr>
          <w:lang w:val="fr-FR"/>
        </w:rPr>
        <w:br/>
      </w:r>
      <w:r w:rsidRPr="00923250">
        <w:rPr>
          <w:lang w:val="fr-FR"/>
        </w:rPr>
        <w:br/>
        <w:t xml:space="preserve">(dans l’ordre alphabétique des noms français des membres / </w:t>
      </w:r>
      <w:r w:rsidRPr="00923250">
        <w:rPr>
          <w:lang w:val="fr-FR"/>
        </w:rPr>
        <w:br/>
        <w:t xml:space="preserve">in the alphabetical order of the French names of the Members / </w:t>
      </w:r>
      <w:r w:rsidRPr="00923250">
        <w:rPr>
          <w:lang w:val="fr-FR"/>
        </w:rPr>
        <w:br/>
        <w:t>por orden alfabético de los nombres en francés de los miembros)</w:t>
      </w:r>
    </w:p>
    <w:p w:rsidR="000450A7" w:rsidRPr="00C81650" w:rsidRDefault="000450A7" w:rsidP="000450A7">
      <w:pPr>
        <w:pStyle w:val="plheading"/>
        <w:rPr>
          <w:lang w:val="es-ES_tradnl"/>
        </w:rPr>
      </w:pPr>
      <w:r w:rsidRPr="00C81650">
        <w:rPr>
          <w:lang w:val="es-ES_tradnl"/>
        </w:rPr>
        <w:t>I. MEMBRES / MEMBERS / MIEMBROS</w:t>
      </w:r>
    </w:p>
    <w:p w:rsidR="000450A7" w:rsidRPr="00514847" w:rsidRDefault="000450A7" w:rsidP="000450A7">
      <w:pPr>
        <w:pStyle w:val="plcountry"/>
        <w:rPr>
          <w:lang w:val="fr-CH"/>
        </w:rPr>
      </w:pPr>
      <w:r w:rsidRPr="00514847">
        <w:rPr>
          <w:lang w:val="fr-CH"/>
        </w:rPr>
        <w:t>AFRIQUE DU SUD / SOUTH AFRICA / SUDÁFRICA</w:t>
      </w:r>
    </w:p>
    <w:p w:rsidR="000450A7" w:rsidRPr="00514847" w:rsidRDefault="000450A7" w:rsidP="000450A7">
      <w:pPr>
        <w:pStyle w:val="pldetails"/>
      </w:pPr>
      <w:r w:rsidRPr="00514847">
        <w:t>Noluthando NETNOU-NKOANA (Ms.), Director, Genetic Resources, Department of Agriculture</w:t>
      </w:r>
      <w:r w:rsidR="00B3751D">
        <w:t>, Forestry &amp; Fisheries</w:t>
      </w:r>
      <w:r w:rsidRPr="00514847">
        <w:t xml:space="preserve">, Pretoria </w:t>
      </w:r>
      <w:r w:rsidRPr="00514847">
        <w:br/>
        <w:t>(e-mail: noluthandon@daff.gov.za)</w:t>
      </w:r>
    </w:p>
    <w:p w:rsidR="000450A7" w:rsidRPr="00323C04" w:rsidRDefault="000450A7" w:rsidP="000450A7">
      <w:pPr>
        <w:pStyle w:val="plcountry"/>
        <w:rPr>
          <w:lang w:val="es-ES_tradnl"/>
        </w:rPr>
      </w:pPr>
      <w:r w:rsidRPr="00323C04">
        <w:rPr>
          <w:lang w:val="es-ES_tradnl"/>
        </w:rPr>
        <w:t>ARGENTINE / ARGENTINA / ARGENTINA</w:t>
      </w:r>
    </w:p>
    <w:p w:rsidR="000450A7" w:rsidRPr="004D23DE" w:rsidRDefault="000450A7" w:rsidP="000450A7">
      <w:pPr>
        <w:pStyle w:val="pldetails"/>
        <w:rPr>
          <w:lang w:val="es-ES_tradnl"/>
        </w:rPr>
      </w:pPr>
      <w:r w:rsidRPr="004D23DE">
        <w:rPr>
          <w:lang w:val="es-ES_tradnl"/>
        </w:rPr>
        <w:t>Raimundo LAVIGNOLLE</w:t>
      </w:r>
      <w:r>
        <w:rPr>
          <w:lang w:val="es-ES_tradnl"/>
        </w:rPr>
        <w:t xml:space="preserve"> (Sr.)</w:t>
      </w:r>
      <w:r w:rsidRPr="004D23DE">
        <w:rPr>
          <w:lang w:val="es-ES_tradnl"/>
        </w:rPr>
        <w:t xml:space="preserve">, Presidente del Directorio, Instituto Nacional de Semillas (INASE), </w:t>
      </w:r>
      <w:r>
        <w:rPr>
          <w:lang w:val="es-ES_tradnl"/>
        </w:rPr>
        <w:br/>
      </w:r>
      <w:r w:rsidRPr="004D23DE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rlavignolle@inase.gov.ar) </w:t>
      </w:r>
    </w:p>
    <w:p w:rsidR="000450A7" w:rsidRDefault="000450A7" w:rsidP="000450A7">
      <w:pPr>
        <w:pStyle w:val="pldetails"/>
        <w:rPr>
          <w:lang w:val="es-ES_tradnl"/>
        </w:rPr>
      </w:pPr>
      <w:r w:rsidRPr="00F26CA1">
        <w:rPr>
          <w:lang w:val="es-ES_tradnl"/>
        </w:rPr>
        <w:t xml:space="preserve">María Laura VILLAMAYOR (Sra.), Abogada, Unidad Presidencia, </w:t>
      </w:r>
      <w:r w:rsidRPr="004D23DE">
        <w:rPr>
          <w:lang w:val="es-ES_tradnl"/>
        </w:rPr>
        <w:t>Instituto Nacional de Semillas (INASE)</w:t>
      </w:r>
      <w:r>
        <w:rPr>
          <w:lang w:val="es-ES_tradnl"/>
        </w:rPr>
        <w:t xml:space="preserve">, </w:t>
      </w:r>
      <w:r w:rsidRPr="00F26CA1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F26CA1">
        <w:rPr>
          <w:lang w:val="es-ES_tradnl"/>
        </w:rPr>
        <w:t xml:space="preserve">(e-mail: </w:t>
      </w:r>
      <w:r w:rsidRPr="003D3CDA">
        <w:rPr>
          <w:lang w:val="es-ES_tradnl"/>
        </w:rPr>
        <w:t xml:space="preserve">mlvillamayor@inase.gov.ar) </w:t>
      </w:r>
    </w:p>
    <w:p w:rsidR="000450A7" w:rsidRPr="004D23DE" w:rsidRDefault="000450A7" w:rsidP="000450A7">
      <w:pPr>
        <w:pStyle w:val="plcountry"/>
      </w:pPr>
      <w:r w:rsidRPr="004D23DE">
        <w:t>AUSTRALIE / AUSTRALIA / AUSTRALIA</w:t>
      </w:r>
    </w:p>
    <w:p w:rsidR="000450A7" w:rsidRPr="004D23DE" w:rsidRDefault="000450A7" w:rsidP="000450A7">
      <w:pPr>
        <w:pStyle w:val="pldetails"/>
      </w:pPr>
      <w:r w:rsidRPr="004D23DE">
        <w:t>Nik HULSE</w:t>
      </w:r>
      <w:r>
        <w:t xml:space="preserve"> (Mr.)</w:t>
      </w:r>
      <w:r w:rsidRPr="004D23DE">
        <w:t xml:space="preserve">, Chief of Plant Breeders' Rights, Plant Breeder's Rights Office, IP Australia, Woden </w:t>
      </w:r>
      <w:r>
        <w:br/>
      </w:r>
      <w:r w:rsidRPr="004D23DE">
        <w:t xml:space="preserve">(e-mail: nik.hulse@ipaustralia.gov.au) </w:t>
      </w:r>
    </w:p>
    <w:p w:rsidR="000450A7" w:rsidRPr="00601689" w:rsidRDefault="000450A7" w:rsidP="000450A7">
      <w:pPr>
        <w:pStyle w:val="plcountry"/>
        <w:rPr>
          <w:lang w:val="es-ES_tradnl"/>
        </w:rPr>
      </w:pPr>
      <w:r w:rsidRPr="00601689">
        <w:rPr>
          <w:lang w:val="es-ES_tradnl"/>
        </w:rPr>
        <w:t xml:space="preserve">BOLIVIE (ÉTAT PLURINATIONAL DE) / BOLIVIA (PLURINATIONAL STATE OF) / </w:t>
      </w:r>
      <w:r>
        <w:rPr>
          <w:lang w:val="es-ES_tradnl"/>
        </w:rPr>
        <w:br/>
      </w:r>
      <w:r w:rsidRPr="00601689">
        <w:rPr>
          <w:lang w:val="es-ES_tradnl"/>
        </w:rPr>
        <w:t>BOLIVIA (ESTADO PLURINACIONAL DE)</w:t>
      </w:r>
    </w:p>
    <w:p w:rsidR="000450A7" w:rsidRDefault="000450A7" w:rsidP="000450A7">
      <w:pPr>
        <w:pStyle w:val="pldetails"/>
        <w:rPr>
          <w:lang w:val="es-ES_tradnl"/>
        </w:rPr>
      </w:pPr>
      <w:r w:rsidRPr="00601689">
        <w:rPr>
          <w:lang w:val="es-ES_tradnl"/>
        </w:rPr>
        <w:t>Sergio Rider ANDRADE CÁCERES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Director Nacional de Semillas,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rideran@yahoo.es</w:t>
      </w:r>
      <w:r w:rsidRPr="00601689">
        <w:rPr>
          <w:lang w:val="es-ES_tradnl"/>
        </w:rPr>
        <w:t xml:space="preserve">) </w:t>
      </w:r>
    </w:p>
    <w:p w:rsidR="000450A7" w:rsidRDefault="000450A7" w:rsidP="000450A7">
      <w:pPr>
        <w:pStyle w:val="pldetails"/>
        <w:rPr>
          <w:lang w:val="es-ES_tradnl"/>
        </w:rPr>
      </w:pPr>
      <w:r w:rsidRPr="00601689">
        <w:rPr>
          <w:lang w:val="es-ES_tradnl"/>
        </w:rPr>
        <w:t>Freddy CABALLERO LEDEZMA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Responsable de la Unidad de Fiscalización y Registro de Semillas, Registros y protección de Variedades Vegetales,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calefred@yahoo.es</w:t>
      </w:r>
      <w:r w:rsidRPr="00601689">
        <w:rPr>
          <w:lang w:val="es-ES_tradnl"/>
        </w:rPr>
        <w:t>)</w:t>
      </w:r>
    </w:p>
    <w:p w:rsidR="000450A7" w:rsidRPr="00C81650" w:rsidRDefault="000450A7" w:rsidP="000450A7">
      <w:pPr>
        <w:pStyle w:val="plcountry"/>
        <w:rPr>
          <w:lang w:val="es-ES"/>
        </w:rPr>
      </w:pPr>
      <w:r w:rsidRPr="00C81650">
        <w:rPr>
          <w:lang w:val="es-ES"/>
        </w:rPr>
        <w:t>BRÉSIL / BRAZIL / BRASIL</w:t>
      </w:r>
    </w:p>
    <w:p w:rsidR="000450A7" w:rsidRDefault="000450A7" w:rsidP="000450A7">
      <w:pPr>
        <w:pStyle w:val="pldetails"/>
        <w:rPr>
          <w:lang w:val="es-ES_tradnl"/>
        </w:rPr>
      </w:pPr>
      <w:r w:rsidRPr="00C81650">
        <w:rPr>
          <w:lang w:val="es-ES"/>
        </w:rPr>
        <w:t>Ricardo ZANATTA MACHADO</w:t>
      </w:r>
      <w:r>
        <w:rPr>
          <w:lang w:val="es-ES"/>
        </w:rPr>
        <w:t xml:space="preserve"> (Sr.)</w:t>
      </w:r>
      <w:r w:rsidRPr="00C81650">
        <w:rPr>
          <w:lang w:val="es-ES"/>
        </w:rPr>
        <w:t>, Fiscal Federal Agropecuário, Coordinador do SNPC, Serviço Nacional de Proteção de Cultivares (SNPC), M</w:t>
      </w:r>
      <w:r w:rsidRPr="004D23DE">
        <w:rPr>
          <w:lang w:val="es-ES_tradnl"/>
        </w:rPr>
        <w:t xml:space="preserve">inistério da Agricultura, Pecuária e Abastecimento, Brasilia , D.F. </w:t>
      </w:r>
      <w:r>
        <w:rPr>
          <w:lang w:val="es-ES_tradnl"/>
        </w:rPr>
        <w:br/>
      </w:r>
      <w:r w:rsidRPr="007C2FB3">
        <w:rPr>
          <w:lang w:val="es-ES_tradnl"/>
        </w:rPr>
        <w:t xml:space="preserve">(e-mail: ricardo.machado@agricultura.gov.br) </w:t>
      </w:r>
    </w:p>
    <w:p w:rsidR="000450A7" w:rsidRPr="00392402" w:rsidRDefault="000450A7" w:rsidP="000450A7">
      <w:pPr>
        <w:pStyle w:val="plcountry"/>
        <w:rPr>
          <w:lang w:val="es-ES_tradnl"/>
        </w:rPr>
      </w:pPr>
      <w:r w:rsidRPr="00392402">
        <w:rPr>
          <w:lang w:val="es-ES_tradnl"/>
        </w:rPr>
        <w:t>CANADA / CANADA / CANADÁ</w:t>
      </w:r>
    </w:p>
    <w:p w:rsidR="000450A7" w:rsidRPr="004D23DE" w:rsidRDefault="000450A7" w:rsidP="000450A7">
      <w:pPr>
        <w:pStyle w:val="pldetails"/>
      </w:pPr>
      <w:r w:rsidRPr="0055763C">
        <w:t xml:space="preserve">Anthony PARKER (Mr.), Commissioner, Plant Breeders' Rights Office, Canadian Food Inspection Agency (CFIA), Ottawa </w:t>
      </w:r>
      <w:r w:rsidRPr="0055763C">
        <w:br/>
        <w:t>(e-mail: anthony.parker@inspection.gc.ca)</w:t>
      </w:r>
      <w:r w:rsidRPr="004D23DE">
        <w:t xml:space="preserve"> </w:t>
      </w:r>
    </w:p>
    <w:p w:rsidR="000450A7" w:rsidRPr="0055763C" w:rsidRDefault="000450A7" w:rsidP="000450A7">
      <w:pPr>
        <w:pStyle w:val="pldetails"/>
      </w:pPr>
      <w:r>
        <w:t>Jennifer ROACH (Ms.), Examiner, Plant Breeders' Rights Office, Canadian Food Inspection Agency (CFIA), Ottawa</w:t>
      </w:r>
      <w:r>
        <w:br/>
        <w:t>(e-</w:t>
      </w:r>
      <w:r w:rsidRPr="0055763C">
        <w:t>mail: Jennifer.Roach@inspection.gc.ca</w:t>
      </w:r>
      <w:r>
        <w:t>)</w:t>
      </w:r>
      <w:r w:rsidRPr="0055763C">
        <w:t xml:space="preserve"> </w:t>
      </w:r>
    </w:p>
    <w:p w:rsidR="000450A7" w:rsidRPr="004D23DE" w:rsidRDefault="000450A7" w:rsidP="000450A7">
      <w:pPr>
        <w:pStyle w:val="plcountry"/>
        <w:rPr>
          <w:lang w:val="es-ES_tradnl"/>
        </w:rPr>
      </w:pPr>
      <w:r w:rsidRPr="004D23DE">
        <w:rPr>
          <w:lang w:val="es-ES_tradnl"/>
        </w:rPr>
        <w:t>CHILI / CHILE / CHILE</w:t>
      </w:r>
    </w:p>
    <w:p w:rsidR="000450A7" w:rsidRPr="00D43CEF" w:rsidRDefault="000450A7" w:rsidP="000450A7">
      <w:pPr>
        <w:pStyle w:val="pldetails"/>
        <w:rPr>
          <w:lang w:val="es-ES_tradnl"/>
        </w:rPr>
      </w:pPr>
      <w:r w:rsidRPr="00D43CEF">
        <w:rPr>
          <w:lang w:val="es-ES_tradnl"/>
        </w:rPr>
        <w:t>Manuel Antonio TORO UGALDE</w:t>
      </w:r>
      <w:r>
        <w:rPr>
          <w:lang w:val="es-ES_tradnl"/>
        </w:rPr>
        <w:t xml:space="preserve"> (Sr.)</w:t>
      </w:r>
      <w:r w:rsidRPr="00D43CEF">
        <w:rPr>
          <w:lang w:val="es-ES_tradnl"/>
        </w:rPr>
        <w:t xml:space="preserve">, Jefe Sub Departamento, Registro de Variedades Protegidas, División Semillas, Servicio Agrícola y Ganadero (SAG), Santiago de Chile </w:t>
      </w:r>
      <w:r>
        <w:rPr>
          <w:lang w:val="es-ES_tradnl"/>
        </w:rPr>
        <w:br/>
      </w:r>
      <w:r w:rsidRPr="00D43CEF">
        <w:rPr>
          <w:lang w:val="es-ES_tradnl"/>
        </w:rPr>
        <w:t>(e-mail: manuel.toro@sag.gob.cl)</w:t>
      </w:r>
    </w:p>
    <w:p w:rsidR="000450A7" w:rsidRPr="004D23DE" w:rsidRDefault="000450A7" w:rsidP="000450A7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Natalia SOTOMAYOR CABRERA (Sra.), Abogado, Departamento de Asesoría Jurídica, Oficina de Estudios y Politicas Agrarias (ODEPA), Santiago de Chile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nsotomayor@odepa.gob.cl) </w:t>
      </w:r>
    </w:p>
    <w:p w:rsidR="000450A7" w:rsidRPr="004D23DE" w:rsidRDefault="000450A7" w:rsidP="000450A7">
      <w:pPr>
        <w:pStyle w:val="plcountry"/>
      </w:pPr>
      <w:r w:rsidRPr="004D23DE">
        <w:t>CHINE / CHINA / CHINA</w:t>
      </w:r>
    </w:p>
    <w:p w:rsidR="000450A7" w:rsidRPr="00F45E2A" w:rsidRDefault="000450A7" w:rsidP="000450A7">
      <w:pPr>
        <w:pStyle w:val="pldetails"/>
      </w:pPr>
      <w:r w:rsidRPr="004D23DE">
        <w:t>Wenjun CHEN</w:t>
      </w:r>
      <w:r>
        <w:t xml:space="preserve"> (Mr.)</w:t>
      </w:r>
      <w:r w:rsidRPr="004D23DE">
        <w:t xml:space="preserve">, Project Officer, State Intellectual Property Office, </w:t>
      </w:r>
      <w:r w:rsidRPr="00F45E2A">
        <w:t xml:space="preserve">Beijing </w:t>
      </w:r>
      <w:r>
        <w:br/>
      </w:r>
      <w:r w:rsidRPr="00F45E2A">
        <w:t xml:space="preserve">(e-mail: chenwenjun@sipo.gov.cn) </w:t>
      </w:r>
    </w:p>
    <w:p w:rsidR="000450A7" w:rsidRPr="004D23DE" w:rsidRDefault="000450A7" w:rsidP="000450A7">
      <w:pPr>
        <w:pStyle w:val="pldetails"/>
      </w:pPr>
      <w:r w:rsidRPr="00107CCB">
        <w:t>Yuanyuan</w:t>
      </w:r>
      <w:r>
        <w:t xml:space="preserve"> </w:t>
      </w:r>
      <w:r w:rsidRPr="00107CCB">
        <w:t>DU</w:t>
      </w:r>
      <w:r>
        <w:t xml:space="preserve"> (Mr.)</w:t>
      </w:r>
      <w:r w:rsidRPr="00107CCB">
        <w:t xml:space="preserve">, Senior Examiner, Division of PVP Examination, Development Center of Science and Technology, Ministry of Agriculture, Beijing </w:t>
      </w:r>
      <w:r>
        <w:br/>
      </w:r>
      <w:r w:rsidRPr="00107CCB">
        <w:t>(e-mail: duyuanyuan8@yahoo.com.cn)</w:t>
      </w:r>
      <w:r w:rsidRPr="004D23DE">
        <w:t xml:space="preserve"> </w:t>
      </w:r>
    </w:p>
    <w:p w:rsidR="000450A7" w:rsidRPr="00323C04" w:rsidRDefault="000450A7" w:rsidP="000450A7">
      <w:pPr>
        <w:pStyle w:val="plcountry"/>
      </w:pPr>
      <w:r w:rsidRPr="00323C04">
        <w:t>COLOMBIE / COLOMBIA / COLOMBIA</w:t>
      </w:r>
    </w:p>
    <w:p w:rsidR="000450A7" w:rsidRPr="00C81650" w:rsidRDefault="000450A7" w:rsidP="000450A7">
      <w:pPr>
        <w:pStyle w:val="pldetails"/>
        <w:rPr>
          <w:lang w:val="es-ES"/>
        </w:rPr>
      </w:pPr>
      <w:r w:rsidRPr="004D23DE">
        <w:rPr>
          <w:lang w:val="es-ES_tradnl"/>
        </w:rPr>
        <w:t xml:space="preserve">Ana Luisa DÍAZ JIMÉNEZ (Sra.), Directora, Dirección Técnica de Semillas, Instituto Colombiano Agropecuario (ICA), Bogotá D.C. </w:t>
      </w:r>
      <w:r>
        <w:rPr>
          <w:lang w:val="es-ES_tradnl"/>
        </w:rPr>
        <w:br/>
      </w:r>
      <w:r w:rsidRPr="00C81650">
        <w:rPr>
          <w:lang w:val="es-ES"/>
        </w:rPr>
        <w:t xml:space="preserve">(e-mail: </w:t>
      </w:r>
      <w:r w:rsidRPr="0056553C">
        <w:rPr>
          <w:lang w:val="es-ES"/>
        </w:rPr>
        <w:t>analuisadiazj@gmail.com</w:t>
      </w:r>
      <w:r>
        <w:rPr>
          <w:lang w:val="es-ES"/>
        </w:rPr>
        <w:t>; ana.diaz@ica.gov.co)</w:t>
      </w:r>
    </w:p>
    <w:p w:rsidR="000450A7" w:rsidRPr="00104B52" w:rsidRDefault="000450A7" w:rsidP="000450A7">
      <w:pPr>
        <w:pStyle w:val="pldetails"/>
        <w:rPr>
          <w:lang w:val="es-ES_tradnl"/>
        </w:rPr>
      </w:pPr>
      <w:r w:rsidRPr="00E33A67">
        <w:rPr>
          <w:lang w:val="es-ES_tradnl"/>
        </w:rPr>
        <w:t>Alfonso Alberto ROSERO (Sr.), Profesional especializado/Ingeniero agronomo, Dirección Técnica de Semillas, Instituto Colombiano Agropecuario (ICA), Bogotá D.C.</w:t>
      </w:r>
      <w:r w:rsidRPr="00E33A67">
        <w:rPr>
          <w:lang w:val="es-ES_tradnl"/>
        </w:rPr>
        <w:br/>
        <w:t>(e-mail: alberto.rosero@ica.gov.co)</w:t>
      </w:r>
    </w:p>
    <w:p w:rsidR="000450A7" w:rsidRPr="0019003B" w:rsidRDefault="000450A7" w:rsidP="000450A7">
      <w:pPr>
        <w:pStyle w:val="plcountry"/>
      </w:pPr>
      <w:r w:rsidRPr="00912853">
        <w:t>ESTONIE / ESTONIA / ESTONIA</w:t>
      </w:r>
    </w:p>
    <w:p w:rsidR="000450A7" w:rsidRPr="00F45E2A" w:rsidRDefault="000450A7" w:rsidP="000450A7">
      <w:pPr>
        <w:pStyle w:val="pldetails"/>
      </w:pPr>
      <w:r w:rsidRPr="004D23DE">
        <w:t xml:space="preserve">Laima PUUR (Ms.), Head, Variety Department, Estonian Agricultural Board, </w:t>
      </w:r>
      <w:r w:rsidRPr="00F45E2A">
        <w:t xml:space="preserve">Viljandi  </w:t>
      </w:r>
      <w:r w:rsidRPr="00F45E2A">
        <w:br/>
        <w:t xml:space="preserve">(e-mail: laima.puur@pma.agri.ee) </w:t>
      </w:r>
    </w:p>
    <w:p w:rsidR="000450A7" w:rsidRPr="00F45E2A" w:rsidRDefault="000450A7" w:rsidP="000450A7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0450A7" w:rsidRDefault="000450A7" w:rsidP="000450A7">
      <w:pPr>
        <w:pStyle w:val="pldetails"/>
      </w:pPr>
      <w:r w:rsidRPr="00DD5893">
        <w:t xml:space="preserve">Anu NEMVALTS (Ms.), Head of Department, Organic Farming and Seed Department, Saku </w:t>
      </w:r>
      <w:r>
        <w:br/>
      </w:r>
      <w:r w:rsidRPr="00DD5893">
        <w:t xml:space="preserve">(e-mail: </w:t>
      </w:r>
      <w:r w:rsidRPr="00146CD2">
        <w:t>anu.nemvalts@pma.agri.ee</w:t>
      </w:r>
      <w:r w:rsidRPr="00DD5893">
        <w:t>)</w:t>
      </w:r>
    </w:p>
    <w:p w:rsidR="000450A7" w:rsidRPr="00F45E2A" w:rsidRDefault="000450A7" w:rsidP="000450A7">
      <w:pPr>
        <w:pStyle w:val="plcountry"/>
      </w:pPr>
      <w:r w:rsidRPr="00F45E2A">
        <w:t>ÉTATS-UNIS D'AMÉRIQUE / UNITED STATES OF AMERICA / ESTADOS UNIDOS DE AMÉRICA</w:t>
      </w:r>
    </w:p>
    <w:p w:rsidR="000450A7" w:rsidRDefault="000450A7" w:rsidP="000450A7">
      <w:pPr>
        <w:pStyle w:val="pldetails"/>
      </w:pPr>
      <w:r>
        <w:t xml:space="preserve">Ruihong GUO (Ms.), Deputy Administrator, AMS, Science &amp; Technology Program, United States Department of Agriculture (USDA), Washington D.C. </w:t>
      </w:r>
      <w:r>
        <w:br/>
        <w:t xml:space="preserve">(e-mail: </w:t>
      </w:r>
      <w:r w:rsidRPr="00B15DD6">
        <w:t>ruihong.guo@ams.usda.gov</w:t>
      </w:r>
      <w:r>
        <w:t>)</w:t>
      </w:r>
    </w:p>
    <w:p w:rsidR="000450A7" w:rsidRPr="006900E0" w:rsidRDefault="000450A7" w:rsidP="000450A7">
      <w:pPr>
        <w:pStyle w:val="pldetails"/>
      </w:pPr>
      <w:r w:rsidRPr="006900E0">
        <w:t>Elaine WU (Ms.), Attorney – Advisor, Office of Policy and International Affairs, U.S. Patent and Trademark Office, U.S. Department of Commerce, Alexandria</w:t>
      </w:r>
      <w:r w:rsidRPr="006900E0">
        <w:br/>
        <w:t>(e-mail: elaine.wu@uspto.gov)</w:t>
      </w:r>
    </w:p>
    <w:p w:rsidR="000450A7" w:rsidRDefault="000450A7" w:rsidP="000450A7">
      <w:pPr>
        <w:pStyle w:val="pldetails"/>
      </w:pPr>
      <w:r w:rsidRPr="006900E0">
        <w:t>Christian HANNON (Mr.), Patent Attorney, Office of Policy and International Affairs (OPIA), U.S. Patent and Trademark Office, U.S. Department of Commerce, Alexandria</w:t>
      </w:r>
      <w:r w:rsidRPr="006900E0">
        <w:br/>
        <w:t>(e-mail: christian.hannon@uspto.gov)</w:t>
      </w:r>
    </w:p>
    <w:p w:rsidR="000450A7" w:rsidRPr="00EA4962" w:rsidRDefault="000450A7" w:rsidP="000450A7">
      <w:pPr>
        <w:pStyle w:val="pldetails"/>
      </w:pPr>
      <w:r>
        <w:t xml:space="preserve">Jeffery HAYNES (Mr.), Acting Commissioner, Plant Variety Protection Office, USDA, AMS, S&amp;T, Washington D.C. </w:t>
      </w:r>
      <w:r>
        <w:br/>
        <w:t>(e-mail: Jeffery.Haynes@ams.usda.gov)</w:t>
      </w:r>
      <w:r>
        <w:br/>
      </w:r>
      <w:r w:rsidRPr="00EA4962">
        <w:rPr>
          <w:highlight w:val="lightGray"/>
        </w:rPr>
        <w:t>[via WebEx]</w:t>
      </w:r>
    </w:p>
    <w:p w:rsidR="000450A7" w:rsidRPr="00EA4962" w:rsidRDefault="000450A7" w:rsidP="000450A7">
      <w:pPr>
        <w:pStyle w:val="plcountry"/>
      </w:pPr>
      <w:r w:rsidRPr="00EA4962">
        <w:t>FÉDÉRATION DE RUSSIE / RUSSIAN FEDERATION / FEDERACIÓN DE RUSIA</w:t>
      </w:r>
    </w:p>
    <w:p w:rsidR="000450A7" w:rsidRPr="00F45E2A" w:rsidRDefault="000450A7" w:rsidP="000450A7">
      <w:pPr>
        <w:pStyle w:val="pldetails"/>
      </w:pPr>
      <w:r w:rsidRPr="004D23DE">
        <w:t>Yur</w:t>
      </w:r>
      <w:r>
        <w:t>ii</w:t>
      </w:r>
      <w:r w:rsidRPr="004D23DE">
        <w:t xml:space="preserve"> A. ROGOVSKI</w:t>
      </w:r>
      <w:r>
        <w:t>I (Mr.)</w:t>
      </w:r>
      <w:r w:rsidRPr="004D23DE">
        <w:t>, Head, Methodology and International Cooperation Department</w:t>
      </w:r>
      <w:r>
        <w:t xml:space="preserve">, </w:t>
      </w:r>
      <w:r w:rsidRPr="004D23DE">
        <w:t xml:space="preserve">Candidate of Agricultural Sciences, State Commission of the Russian Federation for Selection Achievements Test and Protection, Moscow  </w:t>
      </w:r>
      <w:r>
        <w:br/>
      </w:r>
      <w:r w:rsidRPr="004D23DE">
        <w:t xml:space="preserve">(e-mail: </w:t>
      </w:r>
      <w:r w:rsidRPr="00F45E2A">
        <w:t xml:space="preserve">yrogovskij@yandex.ru) </w:t>
      </w:r>
    </w:p>
    <w:p w:rsidR="000450A7" w:rsidRPr="004D23DE" w:rsidRDefault="000450A7" w:rsidP="000450A7">
      <w:pPr>
        <w:pStyle w:val="pldetails"/>
      </w:pPr>
      <w:r w:rsidRPr="00E523BD">
        <w:t xml:space="preserve">Antonina TRETINNIKOVA (Ms.), Deputy Head, Methodology and International Cooperation Department, State Commission of the Russian Federation for Selection Achievements Test and Protection, Moscow </w:t>
      </w:r>
      <w:r>
        <w:br/>
      </w:r>
      <w:r w:rsidRPr="00E523BD">
        <w:t>(e-mail: tretinnikova@mail.ru)</w:t>
      </w:r>
    </w:p>
    <w:p w:rsidR="000450A7" w:rsidRPr="00A959F2" w:rsidRDefault="000450A7" w:rsidP="000450A7">
      <w:pPr>
        <w:pStyle w:val="plcountry"/>
        <w:rPr>
          <w:lang w:val="fr-CH"/>
        </w:rPr>
      </w:pPr>
      <w:r>
        <w:rPr>
          <w:lang w:val="fr-CH"/>
        </w:rPr>
        <w:t xml:space="preserve">France / </w:t>
      </w:r>
      <w:r w:rsidRPr="00A959F2">
        <w:rPr>
          <w:lang w:val="fr-CH"/>
        </w:rPr>
        <w:t>FRANCE / FRANCIA</w:t>
      </w:r>
    </w:p>
    <w:p w:rsidR="000450A7" w:rsidRPr="00DF1E2D" w:rsidRDefault="000450A7" w:rsidP="000450A7">
      <w:pPr>
        <w:pStyle w:val="pldetails"/>
        <w:rPr>
          <w:lang w:val="fr-CH"/>
        </w:rPr>
      </w:pPr>
      <w:r w:rsidRPr="007736B2">
        <w:rPr>
          <w:lang w:val="fr-CH"/>
        </w:rPr>
        <w:t xml:space="preserve">Catherine MALATIER (Mme), Assistante INOV, Groupe d’étude et de contrôle des variétés et des semences (GEVES), Beaucouzé cedex </w:t>
      </w:r>
      <w:r>
        <w:rPr>
          <w:lang w:val="fr-CH"/>
        </w:rPr>
        <w:br/>
      </w:r>
      <w:r w:rsidRPr="007736B2">
        <w:rPr>
          <w:lang w:val="fr-CH"/>
        </w:rPr>
        <w:t>(e-mail: catherine.malatier@geves.fr)</w:t>
      </w:r>
      <w:r w:rsidRPr="00A959F2">
        <w:rPr>
          <w:lang w:val="fr-CH"/>
        </w:rPr>
        <w:t xml:space="preserve"> </w:t>
      </w:r>
      <w:r>
        <w:rPr>
          <w:lang w:val="fr-CH"/>
        </w:rPr>
        <w:br/>
      </w:r>
      <w:r w:rsidRPr="00DF1E2D">
        <w:rPr>
          <w:highlight w:val="lightGray"/>
          <w:lang w:val="fr-CH"/>
        </w:rPr>
        <w:t>[via WebEx]</w:t>
      </w:r>
    </w:p>
    <w:p w:rsidR="000450A7" w:rsidRPr="0032691D" w:rsidRDefault="000450A7" w:rsidP="000450A7">
      <w:pPr>
        <w:pStyle w:val="plcountry"/>
      </w:pPr>
      <w:r w:rsidRPr="003252C0">
        <w:t>GÉORGIE / GEORGIA / GEORGIA</w:t>
      </w:r>
    </w:p>
    <w:p w:rsidR="000450A7" w:rsidRPr="00527BE7" w:rsidRDefault="000450A7" w:rsidP="000450A7">
      <w:pPr>
        <w:pStyle w:val="pldetails"/>
      </w:pPr>
      <w:r w:rsidRPr="003252C0">
        <w:t>Merab KUTSIA</w:t>
      </w:r>
      <w:r>
        <w:t xml:space="preserve"> (Mr.)</w:t>
      </w:r>
      <w:r w:rsidRPr="003252C0">
        <w:t xml:space="preserve">, Head, Department of Inventions and New Plant Varieties and Animal Breeds, National Intellectual Property Center (SAKPATENTI), Mtskheta </w:t>
      </w:r>
      <w:r>
        <w:br/>
      </w:r>
      <w:r w:rsidRPr="003252C0">
        <w:t>(e-mail: mkutsia@sakpatenti.org.ge)</w:t>
      </w:r>
      <w:r>
        <w:rPr>
          <w:caps/>
        </w:rPr>
        <w:br/>
      </w:r>
      <w:r w:rsidRPr="00DF6432">
        <w:rPr>
          <w:highlight w:val="lightGray"/>
        </w:rPr>
        <w:t>[via WebEx]</w:t>
      </w:r>
    </w:p>
    <w:p w:rsidR="000450A7" w:rsidRPr="00B07B7B" w:rsidRDefault="000450A7" w:rsidP="000450A7">
      <w:pPr>
        <w:pStyle w:val="pldetails"/>
      </w:pPr>
      <w:r w:rsidRPr="003252C0">
        <w:t xml:space="preserve">Nana PANTSKHAVA (Ms.), Chief Examiner, Department of Invention and New Varieties and Breeds, National Intellectual Property Centre (SAKPATENTI), Mtskheta </w:t>
      </w:r>
      <w:r>
        <w:br/>
      </w:r>
      <w:r w:rsidRPr="003252C0">
        <w:t>(e-mail: npantskhava@sakpatenti.org.ge)</w:t>
      </w:r>
      <w:r>
        <w:rPr>
          <w:caps/>
        </w:rPr>
        <w:br/>
      </w:r>
      <w:r w:rsidRPr="00DF6432">
        <w:rPr>
          <w:highlight w:val="lightGray"/>
        </w:rPr>
        <w:t>[via WebEx]</w:t>
      </w:r>
    </w:p>
    <w:p w:rsidR="000450A7" w:rsidRPr="00091909" w:rsidRDefault="000450A7" w:rsidP="000450A7">
      <w:pPr>
        <w:pStyle w:val="plcountry"/>
      </w:pPr>
      <w:r w:rsidRPr="00091909">
        <w:t>JAPON / JAPAN / JAPÓN</w:t>
      </w:r>
    </w:p>
    <w:p w:rsidR="000450A7" w:rsidRDefault="000450A7" w:rsidP="000450A7">
      <w:pPr>
        <w:pStyle w:val="pldetails"/>
      </w:pPr>
      <w:r w:rsidRPr="00C61381">
        <w:t>Atsuhiro MENO</w:t>
      </w:r>
      <w:r>
        <w:t xml:space="preserve"> (Mr.)</w:t>
      </w:r>
      <w:r w:rsidRPr="00C61381">
        <w:t xml:space="preserve">, Senior Policy Advisor, Intellectual Property Division, Food Industry Affairs Bureau, Ministry of Agriculture, Forestry and Fisheries (MAFF), Tokyo </w:t>
      </w:r>
      <w:r>
        <w:br/>
        <w:t>(</w:t>
      </w:r>
      <w:r w:rsidRPr="00C61381">
        <w:t>e-mail: atsuhiro_meno150@maff.go.jp)</w:t>
      </w:r>
    </w:p>
    <w:p w:rsidR="000450A7" w:rsidRDefault="000450A7" w:rsidP="000450A7">
      <w:pPr>
        <w:pStyle w:val="pldetails"/>
      </w:pPr>
      <w:r w:rsidRPr="009D0F71">
        <w:t xml:space="preserve">Kenji NUMAGUCHI (Mr.), Chief Examiner, Plant Variety Protection Office, Intellectual Property Division, Food Industry Affairs Bureau, Ministry of Agriculture, Forestry and Fisheries (MAFF), Tokyo  </w:t>
      </w:r>
      <w:r w:rsidRPr="009D0F71">
        <w:br/>
        <w:t>(e-mail: kenji_numaguchi760@maff.go.jp)</w:t>
      </w:r>
      <w:r w:rsidRPr="0001070A">
        <w:t xml:space="preserve"> </w:t>
      </w:r>
    </w:p>
    <w:p w:rsidR="000450A7" w:rsidRPr="009D0F71" w:rsidRDefault="000450A7" w:rsidP="000450A7">
      <w:pPr>
        <w:pStyle w:val="pldetails"/>
      </w:pPr>
      <w:r w:rsidRPr="009D0F71">
        <w:t>Manabu SUZUKI</w:t>
      </w:r>
      <w:r>
        <w:t xml:space="preserve"> (Mr.)</w:t>
      </w:r>
      <w:r w:rsidRPr="009D0F71">
        <w:t xml:space="preserve">, Deputy Director for International Affairs, Intellectual Property Division, Food Industry Affairs Bureau, Ministry of Agriculture, Forestry and Fisheries (MAFF), Tokyo </w:t>
      </w:r>
      <w:r w:rsidRPr="009D0F71">
        <w:br/>
        <w:t>(e-mail: manabu_suzuki410@maff.go.jp)</w:t>
      </w:r>
    </w:p>
    <w:p w:rsidR="000450A7" w:rsidRPr="0001070A" w:rsidRDefault="000450A7" w:rsidP="000450A7">
      <w:pPr>
        <w:pStyle w:val="pldetails"/>
      </w:pPr>
      <w:r w:rsidRPr="00C61381">
        <w:t>Manabu OSAKI</w:t>
      </w:r>
      <w:r>
        <w:t xml:space="preserve"> (Mr.)</w:t>
      </w:r>
      <w:r w:rsidRPr="00C61381">
        <w:t>, Senior Examiner, Intellectual Property Division</w:t>
      </w:r>
      <w:r>
        <w:t xml:space="preserve">, </w:t>
      </w:r>
      <w:r w:rsidRPr="00C61381">
        <w:t xml:space="preserve">Food Industry affairs Bureau, New Business and Intellectual Property Division, Food Industry Affairs Bureau, Ministry of Agriculture, Forestry and Fisheries, Tokyo </w:t>
      </w:r>
      <w:r>
        <w:br/>
      </w:r>
      <w:r w:rsidRPr="00C61381">
        <w:t>(e-mail: manabu_oosaki190@maff.go.jp)</w:t>
      </w:r>
    </w:p>
    <w:p w:rsidR="000450A7" w:rsidRPr="00A959F2" w:rsidRDefault="000450A7" w:rsidP="000450A7">
      <w:pPr>
        <w:pStyle w:val="plcountry"/>
        <w:rPr>
          <w:lang w:val="fr-CH"/>
        </w:rPr>
      </w:pPr>
      <w:r w:rsidRPr="00A959F2">
        <w:rPr>
          <w:lang w:val="fr-CH"/>
        </w:rPr>
        <w:t>MAROC / MOROCCO / MARRUECOS</w:t>
      </w:r>
    </w:p>
    <w:p w:rsidR="000450A7" w:rsidRDefault="000450A7" w:rsidP="000450A7">
      <w:pPr>
        <w:pStyle w:val="pldetails"/>
        <w:rPr>
          <w:lang w:val="fr-CH"/>
        </w:rPr>
      </w:pPr>
      <w:r>
        <w:rPr>
          <w:lang w:val="fr-CH"/>
        </w:rPr>
        <w:t>Zoubida TAOUSSI (M</w:t>
      </w:r>
      <w:r w:rsidRPr="0015583C">
        <w:rPr>
          <w:lang w:val="fr-CH"/>
        </w:rPr>
        <w:t xml:space="preserve">s.), Chargée de la protection des obtentions végétales, Office National de Sécurité de Produits Alimentaires, Rabat  </w:t>
      </w:r>
      <w:r w:rsidRPr="0015583C">
        <w:rPr>
          <w:lang w:val="fr-CH"/>
        </w:rPr>
        <w:br/>
        <w:t xml:space="preserve">(e-mail: ztaoussi67@gmail.com) </w:t>
      </w:r>
    </w:p>
    <w:p w:rsidR="000450A7" w:rsidRPr="002416E8" w:rsidRDefault="000450A7" w:rsidP="000450A7">
      <w:pPr>
        <w:pStyle w:val="plcountry"/>
        <w:rPr>
          <w:lang w:val="es-ES_tradnl"/>
        </w:rPr>
      </w:pPr>
      <w:r w:rsidRPr="002416E8">
        <w:rPr>
          <w:lang w:val="es-ES_tradnl"/>
        </w:rPr>
        <w:t>MEXIQUE / MEXICO / MÉXICO</w:t>
      </w:r>
    </w:p>
    <w:p w:rsidR="000450A7" w:rsidRPr="00436072" w:rsidRDefault="000450A7" w:rsidP="000450A7">
      <w:pPr>
        <w:pStyle w:val="pldetails"/>
        <w:rPr>
          <w:lang w:val="es-ES_tradnl"/>
        </w:rPr>
      </w:pPr>
      <w:r w:rsidRPr="00436072">
        <w:rPr>
          <w:lang w:val="es-ES_tradnl"/>
        </w:rPr>
        <w:t>Eduardo PADILLA VACA</w:t>
      </w:r>
      <w:r>
        <w:rPr>
          <w:lang w:val="es-ES_tradnl"/>
        </w:rPr>
        <w:t xml:space="preserve"> (Sr.)</w:t>
      </w:r>
      <w:r w:rsidRPr="00436072">
        <w:rPr>
          <w:lang w:val="es-ES_tradnl"/>
        </w:rPr>
        <w:t xml:space="preserve">, Director de Registro de Variedades Vegetales, Servicio Nacional de Inspección y Certificación de Semillas (SNICS), Ciudad de México </w:t>
      </w:r>
      <w:r>
        <w:rPr>
          <w:lang w:val="es-ES_tradnl"/>
        </w:rPr>
        <w:br/>
      </w:r>
      <w:r w:rsidRPr="00436072">
        <w:rPr>
          <w:lang w:val="es-ES_tradnl"/>
        </w:rPr>
        <w:t>(e-mail: eduardo.padilla@sagarpa.gob.mx)</w:t>
      </w:r>
    </w:p>
    <w:p w:rsidR="000450A7" w:rsidRPr="00F31FF3" w:rsidRDefault="000450A7" w:rsidP="000450A7">
      <w:pPr>
        <w:pStyle w:val="plcountry"/>
      </w:pPr>
      <w:r w:rsidRPr="00F31FF3">
        <w:t>NOUVELLE-ZÉLANDE / NEW ZEALAND / NUEVA ZELANDIA</w:t>
      </w:r>
    </w:p>
    <w:p w:rsidR="000450A7" w:rsidRDefault="000450A7" w:rsidP="000450A7">
      <w:pPr>
        <w:pStyle w:val="pldetails"/>
      </w:pPr>
      <w:r w:rsidRPr="004D23DE">
        <w:t>Christopher J. BARNABY</w:t>
      </w:r>
      <w:r>
        <w:t xml:space="preserve"> (Mr.)</w:t>
      </w:r>
      <w:r w:rsidRPr="004D23DE">
        <w:t xml:space="preserve">, Assistant Commissioner / Principal Examiner for Plant Variety Rights, Plant Variety Rights Office, Intellectual Property Office of New Zealand, Ministry of Economic Development, Christchurch </w:t>
      </w:r>
      <w:r>
        <w:br/>
      </w:r>
      <w:r w:rsidRPr="004D23DE">
        <w:t xml:space="preserve">(e-mail: </w:t>
      </w:r>
      <w:r w:rsidRPr="00F82057">
        <w:t>Chris.Barnaby@pvr.govt.nz</w:t>
      </w:r>
      <w:r w:rsidRPr="004D23DE">
        <w:t xml:space="preserve">) </w:t>
      </w:r>
    </w:p>
    <w:p w:rsidR="000450A7" w:rsidRPr="000450A7" w:rsidRDefault="000450A7" w:rsidP="000450A7">
      <w:pPr>
        <w:pStyle w:val="plcountry"/>
        <w:rPr>
          <w:lang w:val="fr-FR"/>
        </w:rPr>
      </w:pPr>
      <w:r w:rsidRPr="000450A7">
        <w:rPr>
          <w:lang w:val="fr-FR"/>
        </w:rPr>
        <w:t xml:space="preserve">ORGANISATION AFRICAINE DE LA PROPRIÉTÉ INTELLECTUELLE (OAPI) / </w:t>
      </w:r>
      <w:r w:rsidRPr="000450A7">
        <w:rPr>
          <w:lang w:val="fr-FR"/>
        </w:rPr>
        <w:br/>
        <w:t xml:space="preserve">AFRICAN INTELLECTUAL PROPERTY ORGANIZATION (OAPI) / </w:t>
      </w:r>
      <w:r w:rsidRPr="000450A7">
        <w:rPr>
          <w:lang w:val="fr-FR"/>
        </w:rPr>
        <w:br/>
        <w:t>ORGANIZACIÓN AFRICANA DE LA PROPIEDAD INTELECTUAL (OAPI)</w:t>
      </w:r>
    </w:p>
    <w:p w:rsidR="000450A7" w:rsidRDefault="000450A7" w:rsidP="000450A7">
      <w:pPr>
        <w:pStyle w:val="pldetails"/>
        <w:rPr>
          <w:lang w:val="fr-CH"/>
        </w:rPr>
      </w:pPr>
      <w:r w:rsidRPr="004D23DE">
        <w:rPr>
          <w:lang w:val="fr-CH"/>
        </w:rPr>
        <w:t>Dosso MÉMASSI</w:t>
      </w:r>
      <w:r>
        <w:rPr>
          <w:lang w:val="fr-CH"/>
        </w:rPr>
        <w:t xml:space="preserve"> (M.)</w:t>
      </w:r>
      <w:r w:rsidRPr="004D23DE">
        <w:rPr>
          <w:lang w:val="fr-CH"/>
        </w:rPr>
        <w:t xml:space="preserve">, Directeur, Département de la protection de la propriété industrielle, </w:t>
      </w:r>
      <w:r>
        <w:rPr>
          <w:lang w:val="fr-CH"/>
        </w:rPr>
        <w:br/>
      </w:r>
      <w:r w:rsidRPr="00AA29D9">
        <w:rPr>
          <w:lang w:val="fr-CH"/>
        </w:rPr>
        <w:t>Organisation africaine de la propriété intellectuelle (OAPI)</w:t>
      </w:r>
      <w:r w:rsidRPr="004D23DE">
        <w:rPr>
          <w:lang w:val="fr-CH"/>
        </w:rPr>
        <w:t xml:space="preserve">, Yaoundé  </w:t>
      </w:r>
      <w:r>
        <w:rPr>
          <w:lang w:val="fr-CH"/>
        </w:rPr>
        <w:br/>
      </w:r>
      <w:r w:rsidRPr="004D23DE">
        <w:rPr>
          <w:lang w:val="fr-CH"/>
        </w:rPr>
        <w:t xml:space="preserve">(e-mail: dossomemassi@gmail.com) </w:t>
      </w:r>
    </w:p>
    <w:p w:rsidR="000450A7" w:rsidRPr="00E654CE" w:rsidRDefault="000450A7" w:rsidP="000450A7">
      <w:pPr>
        <w:pStyle w:val="plcountry"/>
      </w:pPr>
      <w:r w:rsidRPr="00E654CE">
        <w:t>PAYS-BAS / NETHERLANDS / PAÍSES BAJOS</w:t>
      </w:r>
    </w:p>
    <w:p w:rsidR="000450A7" w:rsidRPr="00B15DD6" w:rsidRDefault="000450A7" w:rsidP="000450A7">
      <w:pPr>
        <w:pStyle w:val="pldetails"/>
      </w:pPr>
      <w:r w:rsidRPr="00B15DD6">
        <w:t xml:space="preserve">Kees Jan GROENEWOUD (Mr.), Secretary, Dutch Board for Plant Variety (Raad voor Plantenrassen), Naktuinbouw, Roelofarendsveen  </w:t>
      </w:r>
      <w:r w:rsidRPr="00B15DD6">
        <w:br/>
        <w:t xml:space="preserve">(e-mail: c.j.a.groenewoud@naktuinbouw.nl) </w:t>
      </w:r>
    </w:p>
    <w:p w:rsidR="000450A7" w:rsidRPr="00E654CE" w:rsidRDefault="000450A7" w:rsidP="000450A7">
      <w:pPr>
        <w:pStyle w:val="pldetails"/>
      </w:pPr>
      <w:r w:rsidRPr="00E654CE">
        <w:t>Marcel RIJSBERGEN (Mr.), Team DUS vegetables, DUS testing department, Naktuinbouw, Roelofarendsveen</w:t>
      </w:r>
      <w:r w:rsidRPr="00E654CE">
        <w:br/>
        <w:t>(e-mail: m.rijsbergen@naktuinbouw.nl)</w:t>
      </w:r>
      <w:r w:rsidRPr="00E654CE">
        <w:br/>
      </w:r>
      <w:r w:rsidRPr="00E654CE">
        <w:rPr>
          <w:highlight w:val="lightGray"/>
        </w:rPr>
        <w:t>[via WebEx]</w:t>
      </w:r>
    </w:p>
    <w:p w:rsidR="000450A7" w:rsidRPr="00DF1E2D" w:rsidRDefault="000450A7" w:rsidP="000450A7">
      <w:pPr>
        <w:pStyle w:val="pldetails"/>
        <w:rPr>
          <w:lang w:val="de-DE"/>
        </w:rPr>
      </w:pPr>
      <w:r w:rsidRPr="00051AF2">
        <w:rPr>
          <w:lang w:val="de-DE"/>
        </w:rPr>
        <w:t>Wim SANGSTER (Mr.</w:t>
      </w:r>
      <w:r>
        <w:rPr>
          <w:lang w:val="de-DE"/>
        </w:rPr>
        <w:t>)</w:t>
      </w:r>
      <w:r w:rsidRPr="00051AF2">
        <w:rPr>
          <w:lang w:val="de-DE"/>
        </w:rPr>
        <w:t xml:space="preserve">, Team DUS Vegetables, Naktuinbouw, Roelofarendsveen </w:t>
      </w:r>
      <w:r w:rsidRPr="00051AF2">
        <w:rPr>
          <w:lang w:val="de-DE"/>
        </w:rPr>
        <w:br/>
        <w:t>(e-mail: w.sangster@naktuinbouw.nl)</w:t>
      </w:r>
      <w:r>
        <w:rPr>
          <w:lang w:val="de-DE"/>
        </w:rPr>
        <w:br/>
      </w:r>
      <w:r w:rsidRPr="00DF1E2D">
        <w:rPr>
          <w:highlight w:val="lightGray"/>
          <w:lang w:val="de-DE"/>
        </w:rPr>
        <w:t>[via WebEx]</w:t>
      </w:r>
    </w:p>
    <w:p w:rsidR="000450A7" w:rsidRPr="000450A7" w:rsidRDefault="000450A7" w:rsidP="000450A7">
      <w:pPr>
        <w:pStyle w:val="pldetails"/>
        <w:rPr>
          <w:lang w:val="de-DE"/>
        </w:rPr>
      </w:pPr>
      <w:r w:rsidRPr="000450A7">
        <w:rPr>
          <w:lang w:val="de-DE"/>
        </w:rPr>
        <w:t xml:space="preserve">Dita HAGEN (Ms.), Application Specialist, Naktuinbouw, Roelofarendsveen </w:t>
      </w:r>
      <w:r w:rsidRPr="000450A7">
        <w:rPr>
          <w:lang w:val="de-DE"/>
        </w:rPr>
        <w:br/>
        <w:t>(e-mail: d.hagen@naktuinbouw.nl)</w:t>
      </w:r>
      <w:r w:rsidRPr="000450A7">
        <w:rPr>
          <w:lang w:val="de-DE"/>
        </w:rPr>
        <w:br/>
      </w:r>
      <w:r w:rsidRPr="000450A7">
        <w:rPr>
          <w:highlight w:val="lightGray"/>
          <w:lang w:val="de-DE"/>
        </w:rPr>
        <w:t>[via WebEx]</w:t>
      </w:r>
    </w:p>
    <w:p w:rsidR="000450A7" w:rsidRPr="006771AA" w:rsidRDefault="000450A7" w:rsidP="000450A7">
      <w:pPr>
        <w:pStyle w:val="plcountry"/>
        <w:rPr>
          <w:lang w:val="es-ES_tradnl"/>
        </w:rPr>
      </w:pPr>
      <w:r w:rsidRPr="006771AA">
        <w:rPr>
          <w:lang w:val="es-ES_tradnl"/>
        </w:rPr>
        <w:t xml:space="preserve">RÉPUBLIQUE-UNIE DE TANZANIE / UNITED REPUBLIC OF TANZANIA / </w:t>
      </w:r>
      <w:r w:rsidR="00483E85">
        <w:rPr>
          <w:lang w:val="es-ES_tradnl"/>
        </w:rPr>
        <w:br/>
      </w:r>
      <w:r w:rsidRPr="006771AA">
        <w:rPr>
          <w:lang w:val="es-ES_tradnl"/>
        </w:rPr>
        <w:t>REPÚBLICA UNIDA DE TANZANÍA</w:t>
      </w:r>
    </w:p>
    <w:p w:rsidR="000450A7" w:rsidRDefault="000450A7" w:rsidP="000450A7">
      <w:pPr>
        <w:pStyle w:val="pldetails"/>
      </w:pPr>
      <w:r w:rsidRPr="001D29BE">
        <w:t>Patrick NGWEDIAGI</w:t>
      </w:r>
      <w:r>
        <w:t xml:space="preserve"> (Mr.)</w:t>
      </w:r>
      <w:r w:rsidRPr="001D29BE">
        <w:t xml:space="preserve">, Chief Executive Officer/Director General, Tanzania Official Seed Certification Institute (TOSCI), Dar es Salaam </w:t>
      </w:r>
      <w:r>
        <w:br/>
      </w:r>
      <w:r w:rsidRPr="001D29BE">
        <w:t>(e-mail: ngwedi@yahoo.com)</w:t>
      </w:r>
    </w:p>
    <w:p w:rsidR="000450A7" w:rsidRPr="00DF1952" w:rsidRDefault="000450A7" w:rsidP="000450A7">
      <w:pPr>
        <w:pStyle w:val="pldetails"/>
      </w:pPr>
      <w:r w:rsidRPr="001D29BE">
        <w:t xml:space="preserve">Joyce Eligi MOSILE (Ms.), Acting Registrar of Plant Breeders’ Rights, Ministry of Agriculture Livestock and Fisheries, Dodoma </w:t>
      </w:r>
      <w:r>
        <w:br/>
      </w:r>
      <w:r w:rsidRPr="001D29BE">
        <w:t>(e-mail: Joyce.mosile@kilimo.go.tz)</w:t>
      </w:r>
    </w:p>
    <w:p w:rsidR="000450A7" w:rsidRPr="00745E13" w:rsidRDefault="000450A7" w:rsidP="000450A7">
      <w:pPr>
        <w:pStyle w:val="plcountry"/>
      </w:pPr>
      <w:r w:rsidRPr="00745E13">
        <w:t>TURQUIE / TURKEY / TURQUÍA</w:t>
      </w:r>
    </w:p>
    <w:p w:rsidR="000450A7" w:rsidRDefault="000450A7" w:rsidP="000450A7">
      <w:pPr>
        <w:pStyle w:val="pldetails"/>
      </w:pPr>
      <w:r w:rsidRPr="00227FC1">
        <w:t>Mehmet CAKMAK</w:t>
      </w:r>
      <w:r>
        <w:t xml:space="preserve"> (Mr.)</w:t>
      </w:r>
      <w:r w:rsidRPr="00227FC1">
        <w:t xml:space="preserve">, PBR Expert, Seed Department, General Directorate of Plant Production, Ministry of Food, Agriculture and Livestock, Ankara </w:t>
      </w:r>
      <w:r w:rsidRPr="00227FC1">
        <w:br/>
        <w:t>(e-mail: mehmet.cakmak@tarim.gov.tr)</w:t>
      </w:r>
    </w:p>
    <w:p w:rsidR="000450A7" w:rsidRPr="00A959F2" w:rsidRDefault="000450A7" w:rsidP="000450A7">
      <w:pPr>
        <w:pStyle w:val="plcountry"/>
      </w:pPr>
      <w:r w:rsidRPr="00A959F2">
        <w:t>UNION EUROPÉENNE / EUROPEAN UNION / UNIÓN EUROPEA</w:t>
      </w:r>
    </w:p>
    <w:p w:rsidR="000450A7" w:rsidRPr="00F45E2A" w:rsidRDefault="000450A7" w:rsidP="000450A7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0450A7" w:rsidRDefault="000450A7" w:rsidP="000450A7">
      <w:pPr>
        <w:pStyle w:val="pldetails"/>
      </w:pPr>
      <w:r w:rsidRPr="00FD4D63">
        <w:t>Jean MAISON</w:t>
      </w:r>
      <w:r>
        <w:t xml:space="preserve"> (Mr.)</w:t>
      </w:r>
      <w:r w:rsidRPr="00FD4D63">
        <w:t xml:space="preserve">, Deputy Head, Technical Unit, Community Plant Variety Office (CPVO), Angers </w:t>
      </w:r>
      <w:r>
        <w:br/>
      </w:r>
      <w:r w:rsidRPr="00FD4D63">
        <w:t>(e-mail: maison@cpvo.europa.eu)</w:t>
      </w:r>
    </w:p>
    <w:p w:rsidR="000450A7" w:rsidRPr="000B1CE6" w:rsidRDefault="000450A7" w:rsidP="000450A7">
      <w:pPr>
        <w:pStyle w:val="plheading"/>
      </w:pPr>
      <w:r w:rsidRPr="00A93A3A">
        <w:t>II. OBSERVATEURS / OBSERVERS / OBSERVADORES</w:t>
      </w:r>
    </w:p>
    <w:p w:rsidR="000450A7" w:rsidRPr="004D23DE" w:rsidRDefault="000450A7" w:rsidP="000450A7">
      <w:pPr>
        <w:pStyle w:val="plcountry"/>
      </w:pPr>
      <w:r w:rsidRPr="004D23DE">
        <w:t>THAÏLANDE / THAILAND / TAILANDIA</w:t>
      </w:r>
    </w:p>
    <w:p w:rsidR="000450A7" w:rsidRPr="00C351AB" w:rsidRDefault="000450A7" w:rsidP="000450A7">
      <w:pPr>
        <w:pStyle w:val="pldetails"/>
      </w:pPr>
      <w:r w:rsidRPr="00DE45CD">
        <w:t>Pornthep SRITANATORN</w:t>
      </w:r>
      <w:r>
        <w:t xml:space="preserve"> (Mr.)</w:t>
      </w:r>
      <w:r w:rsidRPr="00DE45CD">
        <w:t xml:space="preserve">, Minister Counsellor, Permanent Mission of Thailand to the WTO, </w:t>
      </w:r>
      <w:r w:rsidRPr="00C351AB">
        <w:t xml:space="preserve">Cointrin </w:t>
      </w:r>
      <w:r w:rsidRPr="00C351AB">
        <w:br/>
        <w:t>(e-mail: pornthep@thaiwto.com)</w:t>
      </w:r>
    </w:p>
    <w:p w:rsidR="000450A7" w:rsidRPr="000450A7" w:rsidRDefault="000450A7" w:rsidP="000450A7">
      <w:pPr>
        <w:pStyle w:val="plheading"/>
        <w:rPr>
          <w:lang w:val="fr-FR"/>
        </w:rPr>
      </w:pPr>
      <w:r w:rsidRPr="000450A7">
        <w:rPr>
          <w:lang w:val="fr-FR"/>
        </w:rPr>
        <w:t>III. ORGANISATIONS / ORGANIZATIONS / ORGANIZACIONES</w:t>
      </w:r>
    </w:p>
    <w:p w:rsidR="000450A7" w:rsidRPr="000450A7" w:rsidRDefault="000450A7" w:rsidP="000450A7">
      <w:pPr>
        <w:pStyle w:val="plcountry"/>
        <w:rPr>
          <w:lang w:val="fr-FR"/>
        </w:rPr>
      </w:pPr>
      <w:r w:rsidRPr="000450A7">
        <w:rPr>
          <w:lang w:val="fr-FR"/>
        </w:rPr>
        <w:t xml:space="preserve">ORGANISATION RÉGIONALE AFRICAINE DE LA PROPRIÉTÉ INTELLECTUELLE (ARIPO) / </w:t>
      </w:r>
      <w:r w:rsidRPr="000450A7">
        <w:rPr>
          <w:lang w:val="fr-FR"/>
        </w:rPr>
        <w:br/>
        <w:t xml:space="preserve">AFRICAN REGIONAL INTELLECTUAL PROPERTY ORGANIZATION (ARIPO) / </w:t>
      </w:r>
      <w:r w:rsidRPr="000450A7">
        <w:rPr>
          <w:lang w:val="fr-FR"/>
        </w:rPr>
        <w:br/>
        <w:t>ORGANIZACIÓN REGIONAL AFRICANA DE LA PROPIEDAD INTELECTUAL (ARIPO)</w:t>
      </w:r>
    </w:p>
    <w:p w:rsidR="000450A7" w:rsidRDefault="000450A7" w:rsidP="000450A7">
      <w:pPr>
        <w:pStyle w:val="pldetails"/>
      </w:pPr>
      <w:r w:rsidRPr="00A42BF1">
        <w:t>Emmanuel SACKEY</w:t>
      </w:r>
      <w:r>
        <w:t xml:space="preserve"> (Mr.)</w:t>
      </w:r>
      <w:r w:rsidRPr="00A42BF1">
        <w:t>, In</w:t>
      </w:r>
      <w:r>
        <w:t>tellectual</w:t>
      </w:r>
      <w:r w:rsidRPr="00A42BF1">
        <w:t xml:space="preserve"> Property Development Executive, Harare, </w:t>
      </w:r>
      <w:r w:rsidRPr="00392402">
        <w:t>Zimbabwe</w:t>
      </w:r>
      <w:r w:rsidRPr="00A42BF1">
        <w:t xml:space="preserve"> </w:t>
      </w:r>
      <w:r>
        <w:br/>
      </w:r>
      <w:r w:rsidRPr="00A42BF1">
        <w:t>(e-mail: esackey@aripo.org)</w:t>
      </w:r>
    </w:p>
    <w:p w:rsidR="000450A7" w:rsidRPr="000450A7" w:rsidRDefault="000450A7" w:rsidP="000450A7">
      <w:pPr>
        <w:pStyle w:val="plcountry"/>
        <w:rPr>
          <w:lang w:val="fr-FR"/>
        </w:rPr>
      </w:pPr>
      <w:r w:rsidRPr="000450A7">
        <w:rPr>
          <w:lang w:val="fr-FR"/>
        </w:rPr>
        <w:t>COMMUNAUTÉ INTERNATIONALE DES OBTENTEURS DE PLANTES ORNEMENTALES ET FRUITIÈRES À REPRODUCTION ASEXUÉE (CIOPORA) / INTERNATIONAL COMMUNITY OF BREEDERS OF ASEXUALLY REPRODUCED ORNAMENTAL AND FRUIT PLANTS (CIOPORA) / COMUNIDAD INTERNACIONAL DE OBTENTORES DE VARIEDADES ORNAMENTALES Y FRUTALES DE REPRODUCCIÓN ASEXUADA (CIOPORA)</w:t>
      </w:r>
    </w:p>
    <w:p w:rsidR="000450A7" w:rsidRDefault="000450A7" w:rsidP="000450A7">
      <w:pPr>
        <w:pStyle w:val="pldetails"/>
        <w:rPr>
          <w:lang w:val="fr-CH"/>
        </w:rPr>
      </w:pPr>
      <w:r w:rsidRPr="00C4077E">
        <w:rPr>
          <w:lang w:val="fr-CH"/>
        </w:rPr>
        <w:t xml:space="preserve">Hélène JOURDAN (Madame), Secrétaire générale, AOHE, Responsible COV &amp; Marques, Meilland International S.A., Association des Obtenteurs Horticoles Européens (AOHE), Le Luc en Provence </w:t>
      </w:r>
      <w:r>
        <w:rPr>
          <w:lang w:val="fr-CH"/>
        </w:rPr>
        <w:br/>
      </w:r>
      <w:r w:rsidRPr="00C4077E">
        <w:rPr>
          <w:lang w:val="fr-CH"/>
        </w:rPr>
        <w:t xml:space="preserve">(e-mail: </w:t>
      </w:r>
      <w:r w:rsidRPr="00EC16F5">
        <w:rPr>
          <w:lang w:val="fr-CH"/>
        </w:rPr>
        <w:t>licprot@meilland.com</w:t>
      </w:r>
      <w:r w:rsidRPr="00C4077E">
        <w:rPr>
          <w:lang w:val="fr-CH"/>
        </w:rPr>
        <w:t>)</w:t>
      </w:r>
    </w:p>
    <w:p w:rsidR="000450A7" w:rsidRPr="00EC16F5" w:rsidRDefault="000450A7" w:rsidP="000450A7">
      <w:pPr>
        <w:pStyle w:val="pldetails"/>
      </w:pPr>
      <w:r w:rsidRPr="00EC16F5">
        <w:t>Herman SCHOLTEN</w:t>
      </w:r>
      <w:r>
        <w:t xml:space="preserve"> (Mr.), </w:t>
      </w:r>
      <w:r w:rsidRPr="00EC16F5">
        <w:t>Vice Head Technical Expert (THE) for ornamental crops</w:t>
      </w:r>
      <w:r>
        <w:br/>
        <w:t>(e-</w:t>
      </w:r>
      <w:r w:rsidRPr="00EC16F5">
        <w:t>mail: herman@royalty-adm-int.nl</w:t>
      </w:r>
      <w:r>
        <w:t>)</w:t>
      </w:r>
      <w:r>
        <w:br/>
      </w:r>
      <w:r w:rsidRPr="00EC16F5">
        <w:rPr>
          <w:highlight w:val="lightGray"/>
        </w:rPr>
        <w:t>[via WebEx]</w:t>
      </w:r>
    </w:p>
    <w:p w:rsidR="000450A7" w:rsidRPr="00DC6EB7" w:rsidRDefault="000450A7" w:rsidP="000450A7">
      <w:pPr>
        <w:pStyle w:val="plcountry"/>
      </w:pPr>
      <w:r w:rsidRPr="00DC6EB7">
        <w:t>CROPLIFE INTERNATIONAL</w:t>
      </w:r>
    </w:p>
    <w:p w:rsidR="000450A7" w:rsidRPr="00DC6EB7" w:rsidRDefault="000450A7" w:rsidP="000450A7">
      <w:pPr>
        <w:pStyle w:val="pldetails"/>
      </w:pPr>
      <w:r w:rsidRPr="00DC6EB7">
        <w:t>Marcel BRUINS (Mr.), Consultant, CropLife International, Bru</w:t>
      </w:r>
      <w:r>
        <w:t>ssels</w:t>
      </w:r>
      <w:r w:rsidRPr="00DC6EB7">
        <w:t xml:space="preserve"> </w:t>
      </w:r>
      <w:r w:rsidRPr="00DC6EB7">
        <w:br/>
        <w:t xml:space="preserve">(e-mail: mbruins1964@gmail.com) </w:t>
      </w:r>
    </w:p>
    <w:p w:rsidR="000450A7" w:rsidRPr="00AC3B8A" w:rsidRDefault="000450A7" w:rsidP="000450A7">
      <w:pPr>
        <w:pStyle w:val="plcountry"/>
      </w:pPr>
      <w:r w:rsidRPr="00DC6EB7">
        <w:t>INT</w:t>
      </w:r>
      <w:r w:rsidRPr="00AC3B8A">
        <w:t>ERNATIONAL SEED FEDERATION (ISF)</w:t>
      </w:r>
    </w:p>
    <w:p w:rsidR="000450A7" w:rsidRPr="00AC3B8A" w:rsidRDefault="000450A7" w:rsidP="000450A7">
      <w:pPr>
        <w:pStyle w:val="pldetails"/>
      </w:pPr>
      <w:r w:rsidRPr="00AC3B8A">
        <w:t xml:space="preserve">Szabolcs RUTHNER, Regulatory Affairs Executive, International Seed Federation (ISF), Nyon, Suisse </w:t>
      </w:r>
      <w:r w:rsidRPr="00AC3B8A">
        <w:br/>
        <w:t>(e-mail: s.ruthner@worldseed.org)</w:t>
      </w:r>
    </w:p>
    <w:p w:rsidR="000450A7" w:rsidRPr="00C4077E" w:rsidRDefault="000450A7" w:rsidP="000450A7">
      <w:pPr>
        <w:pStyle w:val="pldetails"/>
      </w:pPr>
      <w:r w:rsidRPr="00AC3B8A">
        <w:t xml:space="preserve">Astrid M. SCHENKEVELD (Ms.), Specialist, Variety Registration &amp; Protection, Rijk Zwaan Zaadteelt en Zaadhandel B.V., KX De Lier </w:t>
      </w:r>
      <w:r w:rsidRPr="00AC3B8A">
        <w:br/>
        <w:t>(e-mail: a.schenkeveld@rijkzwaan.nl)</w:t>
      </w:r>
    </w:p>
    <w:p w:rsidR="000450A7" w:rsidRPr="00527BE7" w:rsidRDefault="000450A7" w:rsidP="000450A7">
      <w:pPr>
        <w:pStyle w:val="pldetails"/>
      </w:pPr>
      <w:r w:rsidRPr="00C4077E">
        <w:t>Jan KNOL, Officer, Plant Variety Protection and Registration, Bayer CropScience Vegetable Seeds, Haelen (e-mail: jan.knol@bayer.com)</w:t>
      </w:r>
      <w:r>
        <w:br/>
      </w:r>
      <w:r w:rsidRPr="00DF6432">
        <w:rPr>
          <w:highlight w:val="lightGray"/>
        </w:rPr>
        <w:t>[via WebEx]</w:t>
      </w:r>
    </w:p>
    <w:p w:rsidR="000450A7" w:rsidRPr="00C818F8" w:rsidRDefault="000450A7" w:rsidP="000450A7">
      <w:pPr>
        <w:pStyle w:val="pldetails"/>
      </w:pPr>
      <w:r w:rsidRPr="00C818F8">
        <w:t>Maria José VILLALÓN-ROBLES (Ms.), PVP Specialist EMEA, Monsanto, Wageningen, Netherlands</w:t>
      </w:r>
      <w:r w:rsidRPr="00C818F8">
        <w:br/>
        <w:t>(e-mail: maria.jose.villalon.robles@monsanto.com)</w:t>
      </w:r>
      <w:r w:rsidRPr="00C818F8">
        <w:br/>
      </w:r>
      <w:r w:rsidRPr="00C818F8">
        <w:rPr>
          <w:highlight w:val="lightGray"/>
        </w:rPr>
        <w:t>[via WebEx]</w:t>
      </w:r>
    </w:p>
    <w:p w:rsidR="000450A7" w:rsidRPr="00AF1EBB" w:rsidRDefault="000450A7" w:rsidP="000450A7">
      <w:pPr>
        <w:pStyle w:val="plheading"/>
      </w:pPr>
      <w:r w:rsidRPr="00AF1EBB">
        <w:t>IV. BUREAU / OFFICER / OFICINA</w:t>
      </w:r>
    </w:p>
    <w:p w:rsidR="000450A7" w:rsidRPr="00537D9A" w:rsidRDefault="000450A7" w:rsidP="000450A7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 xml:space="preserve">, </w:t>
      </w:r>
      <w:r>
        <w:t>Chair</w:t>
      </w:r>
    </w:p>
    <w:p w:rsidR="000450A7" w:rsidRPr="004071DD" w:rsidRDefault="000450A7" w:rsidP="000450A7">
      <w:pPr>
        <w:pStyle w:val="plheading"/>
        <w:keepLines/>
      </w:pPr>
      <w:r w:rsidRPr="00C81650">
        <w:t>V. BUREAU DE L’UPOV / OF</w:t>
      </w:r>
      <w:r w:rsidRPr="004071DD">
        <w:t>FICE OF UPOV / OFICINA DE LA UPOV</w:t>
      </w:r>
    </w:p>
    <w:p w:rsidR="000450A7" w:rsidRPr="00841411" w:rsidRDefault="000450A7" w:rsidP="000450A7">
      <w:pPr>
        <w:pStyle w:val="pldetails"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0450A7" w:rsidRPr="00841411" w:rsidRDefault="000450A7" w:rsidP="000450A7">
      <w:pPr>
        <w:pStyle w:val="pldetails"/>
      </w:pPr>
      <w:r w:rsidRPr="00841411">
        <w:t>Yolanda HUERTA (Ms.), Legal Counsel</w:t>
      </w:r>
    </w:p>
    <w:p w:rsidR="000450A7" w:rsidRPr="00841411" w:rsidRDefault="000450A7" w:rsidP="000450A7">
      <w:pPr>
        <w:pStyle w:val="pldetails"/>
      </w:pPr>
      <w:r w:rsidRPr="00A479A8">
        <w:t>Tomochika MOTOMURA</w:t>
      </w:r>
      <w:r>
        <w:t xml:space="preserve"> (Mr.)</w:t>
      </w:r>
      <w:r w:rsidRPr="00841411">
        <w:t>, Technical/Regional Officer (Asia)</w:t>
      </w:r>
    </w:p>
    <w:p w:rsidR="000450A7" w:rsidRPr="00841411" w:rsidRDefault="000450A7" w:rsidP="000450A7">
      <w:pPr>
        <w:pStyle w:val="pldetails"/>
      </w:pPr>
      <w:r w:rsidRPr="00841411">
        <w:t>Ben RIVOIRE</w:t>
      </w:r>
      <w:r>
        <w:t xml:space="preserve"> (Mr.)</w:t>
      </w:r>
      <w:r w:rsidRPr="00841411">
        <w:t>, Technical/Regional Officer (Africa, Arab countries)</w:t>
      </w:r>
    </w:p>
    <w:p w:rsidR="000450A7" w:rsidRPr="00841411" w:rsidRDefault="000450A7" w:rsidP="000450A7">
      <w:pPr>
        <w:pStyle w:val="pldetails"/>
      </w:pPr>
      <w:r w:rsidRPr="00841411">
        <w:t>Leontino TAVEIRA</w:t>
      </w:r>
      <w:r>
        <w:t xml:space="preserve"> (Mr.)</w:t>
      </w:r>
      <w:r w:rsidRPr="00841411">
        <w:t>, Technical/Regional Officer (Latin America, Caribbean countries)</w:t>
      </w:r>
    </w:p>
    <w:p w:rsidR="000450A7" w:rsidRPr="00040EC3" w:rsidRDefault="000450A7" w:rsidP="000450A7">
      <w:pPr>
        <w:pStyle w:val="pldetails"/>
      </w:pPr>
      <w:r w:rsidRPr="00040EC3">
        <w:t>Hend MADHOUR (Ms.), Data Modeler and Business Needs Analyst</w:t>
      </w:r>
    </w:p>
    <w:p w:rsidR="000450A7" w:rsidRPr="00143BAA" w:rsidRDefault="000450A7" w:rsidP="000450A7">
      <w:pPr>
        <w:pStyle w:val="pldetails"/>
      </w:pPr>
      <w:r w:rsidRPr="00143BAA">
        <w:t>Caroline ROVERE (Ms.), Administrative Assistant</w:t>
      </w:r>
    </w:p>
    <w:p w:rsidR="000450A7" w:rsidRPr="00143BAA" w:rsidRDefault="000450A7" w:rsidP="000450A7">
      <w:pPr>
        <w:pStyle w:val="pldetails"/>
      </w:pPr>
      <w:r>
        <w:rPr>
          <w:color w:val="000000"/>
        </w:rPr>
        <w:t xml:space="preserve">Chao DENG </w:t>
      </w:r>
      <w:r>
        <w:t>(Mr.)</w:t>
      </w:r>
      <w:r w:rsidRPr="009E6645">
        <w:rPr>
          <w:color w:val="000000"/>
        </w:rPr>
        <w:t xml:space="preserve">, </w:t>
      </w:r>
      <w:r>
        <w:rPr>
          <w:color w:val="000000"/>
        </w:rPr>
        <w:t>Intern</w:t>
      </w:r>
    </w:p>
    <w:p w:rsidR="000450A7" w:rsidRPr="009F4457" w:rsidRDefault="000450A7" w:rsidP="000450A7">
      <w:pPr>
        <w:pStyle w:val="pldetails"/>
      </w:pPr>
    </w:p>
    <w:p w:rsidR="000450A7" w:rsidRPr="009F4457" w:rsidRDefault="000450A7" w:rsidP="000450A7"/>
    <w:p w:rsidR="000450A7" w:rsidRPr="009F4457" w:rsidRDefault="000450A7" w:rsidP="000450A7"/>
    <w:p w:rsidR="000450A7" w:rsidRPr="009F4457" w:rsidRDefault="000450A7" w:rsidP="000450A7"/>
    <w:p w:rsidR="000450A7" w:rsidRPr="00EA4962" w:rsidRDefault="000450A7" w:rsidP="000450A7"/>
    <w:p w:rsidR="003E3020" w:rsidRPr="00EA4962" w:rsidRDefault="003E3020" w:rsidP="00FD02CA"/>
    <w:p w:rsidR="00CB6696" w:rsidRPr="00EA4962" w:rsidRDefault="00CB6696" w:rsidP="00FD02CA"/>
    <w:p w:rsidR="00CB6696" w:rsidRDefault="003E3020" w:rsidP="00CB6696">
      <w:pPr>
        <w:jc w:val="right"/>
      </w:pPr>
      <w:r w:rsidRPr="001B600C">
        <w:t>[</w:t>
      </w:r>
      <w:r w:rsidR="00CB6696">
        <w:t xml:space="preserve">L’annexe II suit/ </w:t>
      </w:r>
    </w:p>
    <w:p w:rsidR="00CB6696" w:rsidRDefault="003E3020" w:rsidP="00CB6696">
      <w:pPr>
        <w:jc w:val="right"/>
      </w:pPr>
      <w:r w:rsidRPr="001B600C">
        <w:t>Annex II follows</w:t>
      </w:r>
      <w:r w:rsidR="00CB6696">
        <w:t xml:space="preserve">/ </w:t>
      </w:r>
    </w:p>
    <w:p w:rsidR="003E3020" w:rsidRPr="001B600C" w:rsidRDefault="00CB6696" w:rsidP="00CB6696">
      <w:pPr>
        <w:jc w:val="right"/>
      </w:pPr>
      <w:r>
        <w:t>Sigue el Anexo II</w:t>
      </w:r>
      <w:r w:rsidR="003E3020" w:rsidRPr="001B600C">
        <w:t>]</w:t>
      </w:r>
    </w:p>
    <w:p w:rsidR="003E3020" w:rsidRPr="001B600C" w:rsidRDefault="003E3020" w:rsidP="00FD02CA">
      <w:pPr>
        <w:sectPr w:rsidR="003E3020" w:rsidRPr="001B600C" w:rsidSect="003E3020">
          <w:headerReference w:type="defaul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3E3020" w:rsidRPr="001B600C" w:rsidRDefault="00B3751D" w:rsidP="00CB6696">
      <w:pPr>
        <w:jc w:val="center"/>
      </w:pPr>
      <w:r>
        <w:t>UPOV/EAF/10/3</w:t>
      </w:r>
    </w:p>
    <w:p w:rsidR="003E3020" w:rsidRPr="001B600C" w:rsidRDefault="003E3020" w:rsidP="00FD02CA"/>
    <w:p w:rsidR="003E3020" w:rsidRPr="001B600C" w:rsidRDefault="003E3020" w:rsidP="00CB6696">
      <w:pPr>
        <w:jc w:val="center"/>
      </w:pPr>
      <w:r w:rsidRPr="001B600C">
        <w:t>ANNEX II</w:t>
      </w:r>
      <w:r w:rsidR="00AD7F5F">
        <w:t xml:space="preserve"> / ANNEXE II / ANEXO II</w:t>
      </w:r>
    </w:p>
    <w:p w:rsidR="003E3020" w:rsidRPr="001B600C" w:rsidRDefault="003E3020" w:rsidP="00FD02CA"/>
    <w:p w:rsidR="003E3020" w:rsidRPr="001B600C" w:rsidRDefault="003E3020" w:rsidP="00FD02CA"/>
    <w:p w:rsidR="003E3020" w:rsidRPr="001B600C" w:rsidRDefault="003E3020" w:rsidP="00FD02CA"/>
    <w:p w:rsidR="003E3020" w:rsidRPr="00923250" w:rsidRDefault="00AD7F5F" w:rsidP="00AD7F5F">
      <w:pPr>
        <w:jc w:val="center"/>
        <w:rPr>
          <w:i/>
          <w:lang w:val="fr-FR"/>
        </w:rPr>
      </w:pPr>
      <w:r w:rsidRPr="00923250">
        <w:rPr>
          <w:i/>
          <w:lang w:val="fr-FR"/>
        </w:rPr>
        <w:t>[See the PDF version / Voir la version PDF / Veáse la versi</w:t>
      </w:r>
      <w:r w:rsidR="00483E85">
        <w:rPr>
          <w:i/>
          <w:lang w:val="fr-FR"/>
        </w:rPr>
        <w:t>ó</w:t>
      </w:r>
      <w:r w:rsidRPr="00923250">
        <w:rPr>
          <w:i/>
          <w:lang w:val="fr-FR"/>
        </w:rPr>
        <w:t>n en PDF]</w:t>
      </w:r>
    </w:p>
    <w:p w:rsidR="003E3020" w:rsidRPr="00923250" w:rsidRDefault="003E3020" w:rsidP="00FD02CA">
      <w:pPr>
        <w:rPr>
          <w:lang w:val="fr-FR"/>
        </w:rPr>
      </w:pPr>
    </w:p>
    <w:p w:rsidR="003E3020" w:rsidRPr="00923250" w:rsidRDefault="003E3020" w:rsidP="00FD02CA">
      <w:pPr>
        <w:rPr>
          <w:lang w:val="fr-FR"/>
        </w:rPr>
      </w:pPr>
    </w:p>
    <w:p w:rsidR="003E3020" w:rsidRPr="00923250" w:rsidRDefault="003E3020" w:rsidP="00FD02CA">
      <w:pPr>
        <w:rPr>
          <w:lang w:val="fr-FR"/>
        </w:rPr>
      </w:pPr>
    </w:p>
    <w:p w:rsidR="003E3020" w:rsidRPr="00923250" w:rsidRDefault="003E3020" w:rsidP="00FD02CA">
      <w:pPr>
        <w:rPr>
          <w:lang w:val="fr-FR"/>
        </w:rPr>
      </w:pPr>
    </w:p>
    <w:p w:rsidR="003E3020" w:rsidRPr="00923250" w:rsidRDefault="003E3020" w:rsidP="00FD02CA">
      <w:pPr>
        <w:rPr>
          <w:lang w:val="fr-FR"/>
        </w:rPr>
      </w:pPr>
    </w:p>
    <w:p w:rsidR="00D04487" w:rsidRDefault="00D04487" w:rsidP="00D04487">
      <w:pPr>
        <w:jc w:val="right"/>
      </w:pPr>
      <w:r>
        <w:t>[End of Annex II and of document/</w:t>
      </w:r>
    </w:p>
    <w:p w:rsidR="00AD7F5F" w:rsidRPr="00923250" w:rsidRDefault="00AD7F5F" w:rsidP="00D04487">
      <w:pPr>
        <w:jc w:val="right"/>
        <w:rPr>
          <w:lang w:val="fr-FR"/>
        </w:rPr>
      </w:pPr>
      <w:r w:rsidRPr="00923250">
        <w:rPr>
          <w:lang w:val="fr-FR"/>
        </w:rPr>
        <w:t>Fin de l’Annexe II et du document/</w:t>
      </w:r>
    </w:p>
    <w:p w:rsidR="00D04487" w:rsidRPr="00923250" w:rsidRDefault="00D04487" w:rsidP="00D04487">
      <w:pPr>
        <w:jc w:val="right"/>
        <w:rPr>
          <w:lang w:val="fr-FR"/>
        </w:rPr>
      </w:pPr>
      <w:r w:rsidRPr="00923250">
        <w:rPr>
          <w:lang w:val="fr-FR"/>
        </w:rPr>
        <w:t>Fin del Anexo II y del documento]</w:t>
      </w:r>
    </w:p>
    <w:p w:rsidR="003E3020" w:rsidRPr="00923250" w:rsidRDefault="003E3020" w:rsidP="00EA194B">
      <w:pPr>
        <w:jc w:val="right"/>
        <w:rPr>
          <w:lang w:val="fr-FR"/>
        </w:rPr>
      </w:pPr>
    </w:p>
    <w:p w:rsidR="003E3020" w:rsidRPr="00923250" w:rsidRDefault="003E3020" w:rsidP="00FD02CA">
      <w:pPr>
        <w:rPr>
          <w:lang w:val="fr-FR"/>
        </w:rPr>
      </w:pPr>
    </w:p>
    <w:p w:rsidR="00050E16" w:rsidRPr="00923250" w:rsidRDefault="00050E16" w:rsidP="00FD02CA">
      <w:pPr>
        <w:rPr>
          <w:lang w:val="fr-FR"/>
        </w:rPr>
      </w:pPr>
    </w:p>
    <w:sectPr w:rsidR="00050E16" w:rsidRPr="00923250" w:rsidSect="005B5BE3"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90" w:rsidRDefault="001A5090" w:rsidP="00FD02CA">
      <w:r>
        <w:separator/>
      </w:r>
    </w:p>
    <w:p w:rsidR="001A5090" w:rsidRDefault="001A5090" w:rsidP="00FD02CA"/>
    <w:p w:rsidR="001A5090" w:rsidRDefault="001A5090" w:rsidP="00FD02CA"/>
  </w:endnote>
  <w:endnote w:type="continuationSeparator" w:id="0">
    <w:p w:rsidR="001A5090" w:rsidRDefault="001A5090" w:rsidP="00FD02CA">
      <w:r>
        <w:separator/>
      </w:r>
    </w:p>
    <w:p w:rsidR="001A5090" w:rsidRPr="00294751" w:rsidRDefault="001A50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A5090" w:rsidRPr="00294751" w:rsidRDefault="001A5090" w:rsidP="00FD02CA">
      <w:pPr>
        <w:rPr>
          <w:lang w:val="fr-FR"/>
        </w:rPr>
      </w:pPr>
    </w:p>
    <w:p w:rsidR="001A5090" w:rsidRPr="00294751" w:rsidRDefault="001A5090" w:rsidP="00FD02CA">
      <w:pPr>
        <w:rPr>
          <w:lang w:val="fr-FR"/>
        </w:rPr>
      </w:pPr>
    </w:p>
  </w:endnote>
  <w:endnote w:type="continuationNotice" w:id="1">
    <w:p w:rsidR="001A5090" w:rsidRPr="00294751" w:rsidRDefault="001A5090" w:rsidP="00FD02CA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A5090" w:rsidRPr="00294751" w:rsidRDefault="001A5090" w:rsidP="00FD02CA">
      <w:pPr>
        <w:rPr>
          <w:lang w:val="fr-FR"/>
        </w:rPr>
      </w:pPr>
    </w:p>
    <w:p w:rsidR="001A5090" w:rsidRPr="00294751" w:rsidRDefault="001A5090" w:rsidP="00FD02CA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90" w:rsidRPr="00C43E4A" w:rsidRDefault="001A5090" w:rsidP="00425B2D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90" w:rsidRDefault="001A5090" w:rsidP="00FD02CA">
      <w:r>
        <w:separator/>
      </w:r>
    </w:p>
  </w:footnote>
  <w:footnote w:type="continuationSeparator" w:id="0">
    <w:p w:rsidR="001A5090" w:rsidRDefault="001A5090" w:rsidP="00FD02CA">
      <w:r>
        <w:separator/>
      </w:r>
    </w:p>
  </w:footnote>
  <w:footnote w:type="continuationNotice" w:id="1">
    <w:p w:rsidR="001A5090" w:rsidRPr="00AB530F" w:rsidRDefault="001A509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90" w:rsidRPr="00C5280D" w:rsidRDefault="001A509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UPOV/EAF/10/3</w:t>
    </w:r>
  </w:p>
  <w:p w:rsidR="001A5090" w:rsidRPr="00C5280D" w:rsidRDefault="001A509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3402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A5090" w:rsidRPr="00C5280D" w:rsidRDefault="001A5090" w:rsidP="00FD02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090" w:rsidRPr="00187D7B" w:rsidRDefault="00B3751D">
    <w:pPr>
      <w:pStyle w:val="Header"/>
      <w:rPr>
        <w:lang w:val="en-US"/>
      </w:rPr>
    </w:pPr>
    <w:r>
      <w:rPr>
        <w:lang w:val="en-US"/>
      </w:rPr>
      <w:t>UPOV/EAF/10/3</w:t>
    </w:r>
  </w:p>
  <w:p w:rsidR="001A5090" w:rsidRPr="00187D7B" w:rsidRDefault="001A5090">
    <w:pPr>
      <w:pStyle w:val="Header"/>
      <w:rPr>
        <w:noProof/>
        <w:lang w:val="en-US"/>
      </w:rPr>
    </w:pPr>
    <w:r>
      <w:rPr>
        <w:lang w:val="en-US"/>
      </w:rPr>
      <w:t xml:space="preserve">Annexe I / </w:t>
    </w:r>
    <w:r w:rsidRPr="00187D7B">
      <w:rPr>
        <w:lang w:val="en-US"/>
      </w:rPr>
      <w:t>Annex I</w:t>
    </w:r>
    <w:r>
      <w:rPr>
        <w:lang w:val="en-US"/>
      </w:rPr>
      <w:t xml:space="preserve"> / Anexo I</w:t>
    </w:r>
    <w:r>
      <w:rPr>
        <w:lang w:val="en-US"/>
      </w:rPr>
      <w:br/>
    </w:r>
    <w:r w:rsidRPr="00187D7B">
      <w:rPr>
        <w:lang w:val="en-US"/>
      </w:rPr>
      <w:t xml:space="preserve">page </w:t>
    </w:r>
    <w:r>
      <w:fldChar w:fldCharType="begin"/>
    </w:r>
    <w:r w:rsidRPr="00187D7B">
      <w:rPr>
        <w:lang w:val="en-US"/>
      </w:rPr>
      <w:instrText xml:space="preserve"> PAGE   \* MERGEFORMAT </w:instrText>
    </w:r>
    <w:r>
      <w:fldChar w:fldCharType="separate"/>
    </w:r>
    <w:r w:rsidR="00A53402">
      <w:rPr>
        <w:noProof/>
        <w:lang w:val="en-US"/>
      </w:rPr>
      <w:t>2</w:t>
    </w:r>
    <w:r>
      <w:rPr>
        <w:noProof/>
      </w:rPr>
      <w:fldChar w:fldCharType="end"/>
    </w:r>
    <w:r w:rsidRPr="00923250">
      <w:rPr>
        <w:noProof/>
        <w:lang w:val="en-US"/>
      </w:rPr>
      <w:t xml:space="preserve"> / página </w:t>
    </w:r>
    <w:r>
      <w:fldChar w:fldCharType="begin"/>
    </w:r>
    <w:r w:rsidRPr="00187D7B">
      <w:rPr>
        <w:lang w:val="en-US"/>
      </w:rPr>
      <w:instrText xml:space="preserve"> PAGE   \* MERGEFORMAT </w:instrText>
    </w:r>
    <w:r>
      <w:fldChar w:fldCharType="separate"/>
    </w:r>
    <w:r w:rsidR="00A53402">
      <w:rPr>
        <w:noProof/>
        <w:lang w:val="en-US"/>
      </w:rPr>
      <w:t>2</w:t>
    </w:r>
    <w:r>
      <w:rPr>
        <w:noProof/>
      </w:rPr>
      <w:fldChar w:fldCharType="end"/>
    </w:r>
  </w:p>
  <w:p w:rsidR="001A5090" w:rsidRPr="00187D7B" w:rsidRDefault="001A509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B1"/>
    <w:multiLevelType w:val="hybridMultilevel"/>
    <w:tmpl w:val="5E18555E"/>
    <w:lvl w:ilvl="0" w:tplc="9F6A0B92">
      <w:start w:val="1"/>
      <w:numFmt w:val="lowerLetter"/>
      <w:lvlText w:val="(%1)"/>
      <w:lvlJc w:val="left"/>
      <w:pPr>
        <w:ind w:left="1287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BE210C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46E9"/>
    <w:multiLevelType w:val="hybridMultilevel"/>
    <w:tmpl w:val="09C424EC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9D67C5"/>
    <w:multiLevelType w:val="hybridMultilevel"/>
    <w:tmpl w:val="988A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747EC"/>
    <w:multiLevelType w:val="hybridMultilevel"/>
    <w:tmpl w:val="FE689680"/>
    <w:lvl w:ilvl="0" w:tplc="00AAEC1A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8A7002"/>
    <w:multiLevelType w:val="hybridMultilevel"/>
    <w:tmpl w:val="5462AA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360A22"/>
    <w:multiLevelType w:val="hybridMultilevel"/>
    <w:tmpl w:val="CAEC62F8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2B23A">
      <w:start w:val="1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8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A0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C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8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0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E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DD693C"/>
    <w:multiLevelType w:val="hybridMultilevel"/>
    <w:tmpl w:val="04A80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1D49B9"/>
    <w:multiLevelType w:val="hybridMultilevel"/>
    <w:tmpl w:val="B8CCF0B6"/>
    <w:lvl w:ilvl="0" w:tplc="CC8A8A30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631395D"/>
    <w:multiLevelType w:val="hybridMultilevel"/>
    <w:tmpl w:val="C2C0E3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C4827"/>
    <w:multiLevelType w:val="hybridMultilevel"/>
    <w:tmpl w:val="9112C42A"/>
    <w:lvl w:ilvl="0" w:tplc="057E2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6058">
      <w:start w:val="4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0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A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6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E5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8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421C96"/>
    <w:multiLevelType w:val="hybridMultilevel"/>
    <w:tmpl w:val="BB9AA8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C3F74"/>
    <w:multiLevelType w:val="hybridMultilevel"/>
    <w:tmpl w:val="2B68C294"/>
    <w:lvl w:ilvl="0" w:tplc="0B122042">
      <w:start w:val="1"/>
      <w:numFmt w:val="lowerRoman"/>
      <w:lvlText w:val="(%1.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301197E"/>
    <w:multiLevelType w:val="hybridMultilevel"/>
    <w:tmpl w:val="57BE733A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E7CEE"/>
    <w:multiLevelType w:val="hybridMultilevel"/>
    <w:tmpl w:val="00762EB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6081083E"/>
    <w:multiLevelType w:val="hybridMultilevel"/>
    <w:tmpl w:val="E32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52DC0"/>
    <w:multiLevelType w:val="hybridMultilevel"/>
    <w:tmpl w:val="AB4283AA"/>
    <w:lvl w:ilvl="0" w:tplc="37A88172">
      <w:start w:val="1"/>
      <w:numFmt w:val="lowerRoman"/>
      <w:lvlText w:val="(%1)"/>
      <w:lvlJc w:val="right"/>
      <w:pPr>
        <w:ind w:left="1713" w:hanging="360"/>
      </w:pPr>
      <w:rPr>
        <w:rFonts w:cs="Times New Roman" w:hint="default"/>
        <w:color w:val="auto"/>
        <w:sz w:val="18"/>
        <w:szCs w:val="24"/>
      </w:rPr>
    </w:lvl>
    <w:lvl w:ilvl="1" w:tplc="37A88172">
      <w:start w:val="1"/>
      <w:numFmt w:val="lowerRoman"/>
      <w:lvlText w:val="(%2)"/>
      <w:lvlJc w:val="right"/>
      <w:pPr>
        <w:ind w:left="2433" w:hanging="360"/>
      </w:pPr>
      <w:rPr>
        <w:rFonts w:cs="Times New Roman" w:hint="default"/>
        <w:color w:val="auto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DD223DB"/>
    <w:multiLevelType w:val="hybridMultilevel"/>
    <w:tmpl w:val="6DC8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17"/>
  </w:num>
  <w:num w:numId="6">
    <w:abstractNumId w:val="7"/>
  </w:num>
  <w:num w:numId="7">
    <w:abstractNumId w:val="9"/>
  </w:num>
  <w:num w:numId="8">
    <w:abstractNumId w:val="18"/>
  </w:num>
  <w:num w:numId="9">
    <w:abstractNumId w:val="3"/>
  </w:num>
  <w:num w:numId="10">
    <w:abstractNumId w:val="12"/>
  </w:num>
  <w:num w:numId="11">
    <w:abstractNumId w:val="4"/>
  </w:num>
  <w:num w:numId="12">
    <w:abstractNumId w:val="5"/>
  </w:num>
  <w:num w:numId="13">
    <w:abstractNumId w:val="0"/>
  </w:num>
  <w:num w:numId="14">
    <w:abstractNumId w:val="14"/>
  </w:num>
  <w:num w:numId="15">
    <w:abstractNumId w:val="1"/>
  </w:num>
  <w:num w:numId="16">
    <w:abstractNumId w:val="16"/>
  </w:num>
  <w:num w:numId="17">
    <w:abstractNumId w:val="13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09"/>
    <w:rsid w:val="00010CF3"/>
    <w:rsid w:val="00011E27"/>
    <w:rsid w:val="000148BC"/>
    <w:rsid w:val="00024AB8"/>
    <w:rsid w:val="00030854"/>
    <w:rsid w:val="000349D8"/>
    <w:rsid w:val="0003583A"/>
    <w:rsid w:val="00036028"/>
    <w:rsid w:val="00044642"/>
    <w:rsid w:val="000446B9"/>
    <w:rsid w:val="000450A7"/>
    <w:rsid w:val="00047E21"/>
    <w:rsid w:val="00050E16"/>
    <w:rsid w:val="00065C94"/>
    <w:rsid w:val="00085505"/>
    <w:rsid w:val="0009767C"/>
    <w:rsid w:val="000A3E77"/>
    <w:rsid w:val="000A63A9"/>
    <w:rsid w:val="000C4E25"/>
    <w:rsid w:val="000C7021"/>
    <w:rsid w:val="000D6BBC"/>
    <w:rsid w:val="000D70CB"/>
    <w:rsid w:val="000D7780"/>
    <w:rsid w:val="000E636A"/>
    <w:rsid w:val="000F2F11"/>
    <w:rsid w:val="00105929"/>
    <w:rsid w:val="00110C36"/>
    <w:rsid w:val="001131D5"/>
    <w:rsid w:val="001259FF"/>
    <w:rsid w:val="00141DB8"/>
    <w:rsid w:val="00172084"/>
    <w:rsid w:val="0017474A"/>
    <w:rsid w:val="0017557A"/>
    <w:rsid w:val="001758C6"/>
    <w:rsid w:val="00182B99"/>
    <w:rsid w:val="001A24A3"/>
    <w:rsid w:val="001A4E29"/>
    <w:rsid w:val="001A5090"/>
    <w:rsid w:val="001A558E"/>
    <w:rsid w:val="001B31E9"/>
    <w:rsid w:val="001B600C"/>
    <w:rsid w:val="001C1525"/>
    <w:rsid w:val="001E390F"/>
    <w:rsid w:val="001F2358"/>
    <w:rsid w:val="0021332C"/>
    <w:rsid w:val="00213982"/>
    <w:rsid w:val="00243BFF"/>
    <w:rsid w:val="0024416D"/>
    <w:rsid w:val="00271911"/>
    <w:rsid w:val="00272B35"/>
    <w:rsid w:val="00276699"/>
    <w:rsid w:val="002800A0"/>
    <w:rsid w:val="002801B3"/>
    <w:rsid w:val="00281060"/>
    <w:rsid w:val="00282910"/>
    <w:rsid w:val="002940E8"/>
    <w:rsid w:val="00294751"/>
    <w:rsid w:val="002A6E50"/>
    <w:rsid w:val="002B4298"/>
    <w:rsid w:val="002C256A"/>
    <w:rsid w:val="002D70CF"/>
    <w:rsid w:val="002E3CCF"/>
    <w:rsid w:val="00305A7F"/>
    <w:rsid w:val="003152FE"/>
    <w:rsid w:val="00327436"/>
    <w:rsid w:val="00344BD6"/>
    <w:rsid w:val="00346B44"/>
    <w:rsid w:val="0035528D"/>
    <w:rsid w:val="00361821"/>
    <w:rsid w:val="00361E9E"/>
    <w:rsid w:val="00380ED2"/>
    <w:rsid w:val="003A1609"/>
    <w:rsid w:val="003C4A33"/>
    <w:rsid w:val="003C7FBE"/>
    <w:rsid w:val="003D227C"/>
    <w:rsid w:val="003D2B4D"/>
    <w:rsid w:val="003E3020"/>
    <w:rsid w:val="00422032"/>
    <w:rsid w:val="00425B2D"/>
    <w:rsid w:val="0043283D"/>
    <w:rsid w:val="00444A88"/>
    <w:rsid w:val="00450A82"/>
    <w:rsid w:val="00474DA4"/>
    <w:rsid w:val="00476B4D"/>
    <w:rsid w:val="004805FA"/>
    <w:rsid w:val="00483E85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6ECF"/>
    <w:rsid w:val="00567AED"/>
    <w:rsid w:val="00576BE4"/>
    <w:rsid w:val="0058716C"/>
    <w:rsid w:val="005978A4"/>
    <w:rsid w:val="005A400A"/>
    <w:rsid w:val="005B5BE3"/>
    <w:rsid w:val="005F7B92"/>
    <w:rsid w:val="00612379"/>
    <w:rsid w:val="006153B6"/>
    <w:rsid w:val="0061555F"/>
    <w:rsid w:val="006228C8"/>
    <w:rsid w:val="00636CA6"/>
    <w:rsid w:val="00641200"/>
    <w:rsid w:val="00645CA8"/>
    <w:rsid w:val="00661F6A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0F44"/>
    <w:rsid w:val="00732484"/>
    <w:rsid w:val="00732DEC"/>
    <w:rsid w:val="00735416"/>
    <w:rsid w:val="00735BD5"/>
    <w:rsid w:val="00740FAC"/>
    <w:rsid w:val="0074550B"/>
    <w:rsid w:val="00751613"/>
    <w:rsid w:val="007556F6"/>
    <w:rsid w:val="00760EEF"/>
    <w:rsid w:val="00777EE5"/>
    <w:rsid w:val="00781B3D"/>
    <w:rsid w:val="00784836"/>
    <w:rsid w:val="0079023E"/>
    <w:rsid w:val="007A2854"/>
    <w:rsid w:val="007B5575"/>
    <w:rsid w:val="007C1D92"/>
    <w:rsid w:val="007C4CB9"/>
    <w:rsid w:val="007D0B9D"/>
    <w:rsid w:val="007D19B0"/>
    <w:rsid w:val="007F498F"/>
    <w:rsid w:val="007F5B31"/>
    <w:rsid w:val="0080056C"/>
    <w:rsid w:val="0080679D"/>
    <w:rsid w:val="00810240"/>
    <w:rsid w:val="00810342"/>
    <w:rsid w:val="008108B0"/>
    <w:rsid w:val="00811B20"/>
    <w:rsid w:val="008211B5"/>
    <w:rsid w:val="0082296E"/>
    <w:rsid w:val="00824099"/>
    <w:rsid w:val="00840595"/>
    <w:rsid w:val="00846D7C"/>
    <w:rsid w:val="00867AC1"/>
    <w:rsid w:val="00872E86"/>
    <w:rsid w:val="00890DF8"/>
    <w:rsid w:val="008A743F"/>
    <w:rsid w:val="008B276C"/>
    <w:rsid w:val="008C0970"/>
    <w:rsid w:val="008C3987"/>
    <w:rsid w:val="008D0BC5"/>
    <w:rsid w:val="008D2CF7"/>
    <w:rsid w:val="008D3840"/>
    <w:rsid w:val="008E27AB"/>
    <w:rsid w:val="00900C26"/>
    <w:rsid w:val="0090197F"/>
    <w:rsid w:val="00903264"/>
    <w:rsid w:val="00906DDC"/>
    <w:rsid w:val="00916CAF"/>
    <w:rsid w:val="00923250"/>
    <w:rsid w:val="00934E09"/>
    <w:rsid w:val="00936253"/>
    <w:rsid w:val="00940D46"/>
    <w:rsid w:val="00952DD4"/>
    <w:rsid w:val="00965AE7"/>
    <w:rsid w:val="00970FED"/>
    <w:rsid w:val="00974014"/>
    <w:rsid w:val="00976378"/>
    <w:rsid w:val="00992D82"/>
    <w:rsid w:val="00997029"/>
    <w:rsid w:val="009A33F9"/>
    <w:rsid w:val="009A7339"/>
    <w:rsid w:val="009B440E"/>
    <w:rsid w:val="009D690D"/>
    <w:rsid w:val="009E47E8"/>
    <w:rsid w:val="009E65B6"/>
    <w:rsid w:val="009F77CF"/>
    <w:rsid w:val="00A24C10"/>
    <w:rsid w:val="00A33150"/>
    <w:rsid w:val="00A41F94"/>
    <w:rsid w:val="00A42AC3"/>
    <w:rsid w:val="00A430CF"/>
    <w:rsid w:val="00A47F1F"/>
    <w:rsid w:val="00A53402"/>
    <w:rsid w:val="00A54309"/>
    <w:rsid w:val="00AB2B93"/>
    <w:rsid w:val="00AB530F"/>
    <w:rsid w:val="00AB7E5B"/>
    <w:rsid w:val="00AC2883"/>
    <w:rsid w:val="00AD7F5F"/>
    <w:rsid w:val="00AE0EF1"/>
    <w:rsid w:val="00AE2937"/>
    <w:rsid w:val="00AF0684"/>
    <w:rsid w:val="00B01E9D"/>
    <w:rsid w:val="00B07301"/>
    <w:rsid w:val="00B11F3E"/>
    <w:rsid w:val="00B16798"/>
    <w:rsid w:val="00B224DE"/>
    <w:rsid w:val="00B324D4"/>
    <w:rsid w:val="00B3751D"/>
    <w:rsid w:val="00B4159F"/>
    <w:rsid w:val="00B46575"/>
    <w:rsid w:val="00B52127"/>
    <w:rsid w:val="00B61777"/>
    <w:rsid w:val="00B67675"/>
    <w:rsid w:val="00B84BBD"/>
    <w:rsid w:val="00BA1722"/>
    <w:rsid w:val="00BA43FB"/>
    <w:rsid w:val="00BB466B"/>
    <w:rsid w:val="00BC127D"/>
    <w:rsid w:val="00BC1FE6"/>
    <w:rsid w:val="00C061B6"/>
    <w:rsid w:val="00C23BE3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AA3"/>
    <w:rsid w:val="00CA304C"/>
    <w:rsid w:val="00CA774A"/>
    <w:rsid w:val="00CB6696"/>
    <w:rsid w:val="00CC11B0"/>
    <w:rsid w:val="00CC2841"/>
    <w:rsid w:val="00CF1330"/>
    <w:rsid w:val="00CF3EDA"/>
    <w:rsid w:val="00CF7E36"/>
    <w:rsid w:val="00D04487"/>
    <w:rsid w:val="00D10AA7"/>
    <w:rsid w:val="00D3708D"/>
    <w:rsid w:val="00D40426"/>
    <w:rsid w:val="00D432EC"/>
    <w:rsid w:val="00D45276"/>
    <w:rsid w:val="00D57C96"/>
    <w:rsid w:val="00D57D18"/>
    <w:rsid w:val="00D62F31"/>
    <w:rsid w:val="00D71FA6"/>
    <w:rsid w:val="00D76D09"/>
    <w:rsid w:val="00D91203"/>
    <w:rsid w:val="00D95174"/>
    <w:rsid w:val="00DA2B4A"/>
    <w:rsid w:val="00DA4973"/>
    <w:rsid w:val="00DA6F36"/>
    <w:rsid w:val="00DB596E"/>
    <w:rsid w:val="00DB7773"/>
    <w:rsid w:val="00DC00EA"/>
    <w:rsid w:val="00DC3802"/>
    <w:rsid w:val="00DF2F16"/>
    <w:rsid w:val="00E07D87"/>
    <w:rsid w:val="00E11537"/>
    <w:rsid w:val="00E32F7E"/>
    <w:rsid w:val="00E36266"/>
    <w:rsid w:val="00E46C44"/>
    <w:rsid w:val="00E5267B"/>
    <w:rsid w:val="00E63C0E"/>
    <w:rsid w:val="00E72D49"/>
    <w:rsid w:val="00E7593C"/>
    <w:rsid w:val="00E7678A"/>
    <w:rsid w:val="00E935F1"/>
    <w:rsid w:val="00E94A81"/>
    <w:rsid w:val="00EA194B"/>
    <w:rsid w:val="00EA1CB3"/>
    <w:rsid w:val="00EA1FFB"/>
    <w:rsid w:val="00EA3E13"/>
    <w:rsid w:val="00EA4962"/>
    <w:rsid w:val="00EB048E"/>
    <w:rsid w:val="00EB4E9C"/>
    <w:rsid w:val="00EE34DF"/>
    <w:rsid w:val="00EE78D4"/>
    <w:rsid w:val="00EF06EF"/>
    <w:rsid w:val="00EF2F89"/>
    <w:rsid w:val="00F03E98"/>
    <w:rsid w:val="00F1237A"/>
    <w:rsid w:val="00F22CBD"/>
    <w:rsid w:val="00F272F1"/>
    <w:rsid w:val="00F31192"/>
    <w:rsid w:val="00F45372"/>
    <w:rsid w:val="00F560F7"/>
    <w:rsid w:val="00F6334D"/>
    <w:rsid w:val="00F63599"/>
    <w:rsid w:val="00F67174"/>
    <w:rsid w:val="00F86D27"/>
    <w:rsid w:val="00FA49AB"/>
    <w:rsid w:val="00FA7167"/>
    <w:rsid w:val="00FD02CA"/>
    <w:rsid w:val="00FE1B5B"/>
    <w:rsid w:val="00FE2AA0"/>
    <w:rsid w:val="00FE39C7"/>
    <w:rsid w:val="00FF4D07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2CA"/>
    <w:pPr>
      <w:jc w:val="both"/>
    </w:pPr>
    <w:rPr>
      <w:rFonts w:ascii="Arial" w:hAnsi="Arial" w:cs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1A5090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25B2D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25B2D"/>
    <w:rPr>
      <w:rFonts w:ascii="Arial" w:hAnsi="Arial"/>
      <w:sz w:val="14"/>
    </w:rPr>
  </w:style>
  <w:style w:type="character" w:customStyle="1" w:styleId="plcountryChar">
    <w:name w:val="plcountry Char"/>
    <w:basedOn w:val="DefaultParagraphFont"/>
    <w:link w:val="plcountry"/>
    <w:rsid w:val="003E3020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3E3020"/>
    <w:rPr>
      <w:rFonts w:ascii="Arial" w:hAnsi="Arial"/>
      <w:noProof/>
      <w:snapToGrid w:val="0"/>
    </w:rPr>
  </w:style>
  <w:style w:type="character" w:customStyle="1" w:styleId="Heading2Char">
    <w:name w:val="Heading 2 Char"/>
    <w:basedOn w:val="DefaultParagraphFont"/>
    <w:link w:val="Heading2"/>
    <w:rsid w:val="00272B3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72B35"/>
    <w:rPr>
      <w:rFonts w:ascii="Arial" w:hAnsi="Arial"/>
      <w:i/>
    </w:rPr>
  </w:style>
  <w:style w:type="table" w:styleId="TableGrid">
    <w:name w:val="Table Grid"/>
    <w:basedOn w:val="TableNormal"/>
    <w:rsid w:val="00272B35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F611F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83E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2CA"/>
    <w:pPr>
      <w:jc w:val="both"/>
    </w:pPr>
    <w:rPr>
      <w:rFonts w:ascii="Arial" w:hAnsi="Arial" w:cs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1A5090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25B2D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25B2D"/>
    <w:rPr>
      <w:rFonts w:ascii="Arial" w:hAnsi="Arial"/>
      <w:sz w:val="14"/>
    </w:rPr>
  </w:style>
  <w:style w:type="character" w:customStyle="1" w:styleId="plcountryChar">
    <w:name w:val="plcountry Char"/>
    <w:basedOn w:val="DefaultParagraphFont"/>
    <w:link w:val="plcountry"/>
    <w:rsid w:val="003E3020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3E3020"/>
    <w:rPr>
      <w:rFonts w:ascii="Arial" w:hAnsi="Arial"/>
      <w:noProof/>
      <w:snapToGrid w:val="0"/>
    </w:rPr>
  </w:style>
  <w:style w:type="character" w:customStyle="1" w:styleId="Heading2Char">
    <w:name w:val="Heading 2 Char"/>
    <w:basedOn w:val="DefaultParagraphFont"/>
    <w:link w:val="Heading2"/>
    <w:rsid w:val="00272B3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72B35"/>
    <w:rPr>
      <w:rFonts w:ascii="Arial" w:hAnsi="Arial"/>
      <w:i/>
    </w:rPr>
  </w:style>
  <w:style w:type="table" w:styleId="TableGrid">
    <w:name w:val="Table Grid"/>
    <w:basedOn w:val="TableNormal"/>
    <w:rsid w:val="00272B35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F611F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83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showcase/2497325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ov.int/upovea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17\2017_04_07_meeting_EAF_09\template\upov_eaf_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upov_eaf_9.dotx</Template>
  <TotalTime>14</TotalTime>
  <Pages>11</Pages>
  <Words>3207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UPOV/EAF/9/1</vt:lpstr>
    </vt:vector>
  </TitlesOfParts>
  <Company>UPOV</Company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UPOV/EAF/10/3</dc:title>
  <dc:subject>Report EAF/10 (Oct. 2017)</dc:subject>
  <dc:creator>BESSE Ariane</dc:creator>
  <cp:lastModifiedBy>BESSE Ariane</cp:lastModifiedBy>
  <cp:revision>8</cp:revision>
  <cp:lastPrinted>2018-04-19T08:21:00Z</cp:lastPrinted>
  <dcterms:created xsi:type="dcterms:W3CDTF">2018-03-13T14:58:00Z</dcterms:created>
  <dcterms:modified xsi:type="dcterms:W3CDTF">2018-04-19T08:26:00Z</dcterms:modified>
</cp:coreProperties>
</file>