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757BCF" w:rsidRPr="00C5280D" w:rsidTr="005D1B95">
        <w:trPr>
          <w:trHeight w:val="1760"/>
        </w:trPr>
        <w:tc>
          <w:tcPr>
            <w:tcW w:w="4243" w:type="dxa"/>
          </w:tcPr>
          <w:p w:rsidR="00757BCF" w:rsidRPr="00C5280D" w:rsidRDefault="00757BCF" w:rsidP="005D1B95"/>
        </w:tc>
        <w:tc>
          <w:tcPr>
            <w:tcW w:w="1646" w:type="dxa"/>
            <w:vAlign w:val="center"/>
          </w:tcPr>
          <w:p w:rsidR="00757BCF" w:rsidRPr="00C5280D" w:rsidRDefault="00757BCF" w:rsidP="005D1B95">
            <w:pPr>
              <w:pStyle w:val="LogoUPOV"/>
            </w:pPr>
            <w:r>
              <w:rPr>
                <w:noProof/>
              </w:rPr>
              <w:drawing>
                <wp:inline distT="0" distB="0" distL="0" distR="0" wp14:anchorId="0C37C5ED" wp14:editId="52B0D28A">
                  <wp:extent cx="981710" cy="481330"/>
                  <wp:effectExtent l="0" t="0" r="889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757BCF" w:rsidRPr="00C5280D" w:rsidRDefault="00757BCF" w:rsidP="005D1B95">
            <w:pPr>
              <w:pStyle w:val="Lettrine"/>
            </w:pPr>
            <w:r w:rsidRPr="00C5280D">
              <w:t>E</w:t>
            </w:r>
          </w:p>
          <w:p w:rsidR="00757BCF" w:rsidRPr="00C5280D" w:rsidRDefault="00757BCF" w:rsidP="005D1B95">
            <w:pPr>
              <w:pStyle w:val="Docoriginal"/>
            </w:pPr>
            <w:r>
              <w:t>TWO/48/18</w:t>
            </w:r>
          </w:p>
          <w:p w:rsidR="00757BCF" w:rsidRPr="00B46575" w:rsidRDefault="00757BCF" w:rsidP="005D1B95">
            <w:pPr>
              <w:pStyle w:val="Docoriginal"/>
              <w:rPr>
                <w:b w:val="0"/>
                <w:spacing w:val="0"/>
              </w:rPr>
            </w:pPr>
            <w:r w:rsidRPr="00B46575">
              <w:rPr>
                <w:rStyle w:val="StyleDoclangBold"/>
                <w:b/>
                <w:bCs/>
                <w:spacing w:val="0"/>
              </w:rPr>
              <w:t>ORIGINAL:</w:t>
            </w:r>
            <w:r w:rsidRPr="00B46575">
              <w:rPr>
                <w:rStyle w:val="StyleDocoriginalNotBold1"/>
                <w:spacing w:val="0"/>
              </w:rPr>
              <w:t xml:space="preserve"> </w:t>
            </w:r>
            <w:r>
              <w:rPr>
                <w:rStyle w:val="StyleDocoriginalNotBold1"/>
                <w:spacing w:val="0"/>
              </w:rPr>
              <w:t xml:space="preserve"> </w:t>
            </w:r>
            <w:r w:rsidRPr="00B46575">
              <w:rPr>
                <w:b w:val="0"/>
                <w:spacing w:val="0"/>
              </w:rPr>
              <w:t>English</w:t>
            </w:r>
          </w:p>
          <w:p w:rsidR="00757BCF" w:rsidRPr="00C5280D" w:rsidRDefault="00757BCF" w:rsidP="00B6423C">
            <w:pPr>
              <w:pStyle w:val="Docoriginal"/>
            </w:pPr>
            <w:r w:rsidRPr="00B46575">
              <w:rPr>
                <w:spacing w:val="0"/>
              </w:rPr>
              <w:t>DATE:</w:t>
            </w:r>
            <w:r w:rsidRPr="00B46575">
              <w:rPr>
                <w:rStyle w:val="StyleDocoriginalNotBold1"/>
                <w:spacing w:val="0"/>
              </w:rPr>
              <w:t xml:space="preserve"> </w:t>
            </w:r>
            <w:r w:rsidR="00B6423C">
              <w:rPr>
                <w:rStyle w:val="StyleDocoriginalNotBold1"/>
                <w:spacing w:val="0"/>
              </w:rPr>
              <w:t>August 7,</w:t>
            </w:r>
            <w:r>
              <w:rPr>
                <w:rStyle w:val="StyleDocoriginalNotBold1"/>
                <w:spacing w:val="0"/>
              </w:rPr>
              <w:t xml:space="preserve"> 2015 </w:t>
            </w:r>
          </w:p>
        </w:tc>
      </w:tr>
      <w:tr w:rsidR="00757BCF" w:rsidRPr="00C5280D" w:rsidTr="005D1B95">
        <w:tc>
          <w:tcPr>
            <w:tcW w:w="10131" w:type="dxa"/>
            <w:gridSpan w:val="3"/>
          </w:tcPr>
          <w:p w:rsidR="00757BCF" w:rsidRPr="00C5280D" w:rsidRDefault="00757BCF" w:rsidP="005D1B95">
            <w:pPr>
              <w:pStyle w:val="upove"/>
              <w:rPr>
                <w:sz w:val="28"/>
              </w:rPr>
            </w:pPr>
            <w:r w:rsidRPr="00C5280D">
              <w:rPr>
                <w:snapToGrid w:val="0"/>
              </w:rPr>
              <w:t xml:space="preserve">INTERNATIONAL UNION FOR THE PROTECTION OF NEW VARIETIES OF PLANTS </w:t>
            </w:r>
          </w:p>
        </w:tc>
      </w:tr>
      <w:tr w:rsidR="00757BCF" w:rsidRPr="00C5280D" w:rsidTr="005D1B95">
        <w:tc>
          <w:tcPr>
            <w:tcW w:w="10131" w:type="dxa"/>
            <w:gridSpan w:val="3"/>
          </w:tcPr>
          <w:p w:rsidR="00757BCF" w:rsidRPr="00C5280D" w:rsidRDefault="00757BCF" w:rsidP="005D1B95">
            <w:pPr>
              <w:pStyle w:val="Country"/>
            </w:pPr>
            <w:r w:rsidRPr="00C5280D">
              <w:t>Geneva</w:t>
            </w:r>
          </w:p>
        </w:tc>
      </w:tr>
    </w:tbl>
    <w:p w:rsidR="00757BCF" w:rsidRPr="00C5280D" w:rsidRDefault="00757BCF" w:rsidP="00757BCF">
      <w:pPr>
        <w:pStyle w:val="Sessiontc"/>
      </w:pPr>
      <w:r w:rsidRPr="00C5280D">
        <w:t xml:space="preserve">Technical </w:t>
      </w:r>
      <w:r>
        <w:t xml:space="preserve">working party for ORNAMENTAL PLANTS AND </w:t>
      </w:r>
      <w:smartTag w:uri="urn:schemas-microsoft-com:office:smarttags" w:element="place">
        <w:r>
          <w:t>FOREST</w:t>
        </w:r>
      </w:smartTag>
      <w:r>
        <w:t xml:space="preserve"> TREES</w:t>
      </w:r>
    </w:p>
    <w:p w:rsidR="00757BCF" w:rsidRPr="00C5280D" w:rsidRDefault="00757BCF" w:rsidP="00757BCF">
      <w:pPr>
        <w:pStyle w:val="Sessiontcplacedate"/>
      </w:pPr>
      <w:r w:rsidRPr="00C5280D">
        <w:t>Forty-</w:t>
      </w:r>
      <w:r>
        <w:t xml:space="preserve">Eighth </w:t>
      </w:r>
      <w:r w:rsidRPr="00C5280D">
        <w:t>Session</w:t>
      </w:r>
      <w:r w:rsidRPr="00C5280D">
        <w:br/>
      </w:r>
      <w:r w:rsidRPr="00A4583D">
        <w:rPr>
          <w:rFonts w:cs="Arial"/>
        </w:rPr>
        <w:t>Cambridge, United Kingdom</w:t>
      </w:r>
      <w:r w:rsidRPr="00C5280D">
        <w:t>,</w:t>
      </w:r>
      <w:r>
        <w:t xml:space="preserve"> September 14 to 18, 2015</w:t>
      </w:r>
    </w:p>
    <w:p w:rsidR="0018780B" w:rsidRPr="00C5280D" w:rsidRDefault="0018780B" w:rsidP="0018780B">
      <w:pPr>
        <w:pStyle w:val="Sessiontcplacedate"/>
      </w:pPr>
    </w:p>
    <w:p w:rsidR="002A7B22" w:rsidRPr="00C5280D" w:rsidRDefault="002A7B22" w:rsidP="002A7B22">
      <w:pPr>
        <w:pStyle w:val="Titleofdoc0"/>
        <w:spacing w:before="480"/>
      </w:pPr>
      <w:bookmarkStart w:id="0" w:name="TitleOfDoc"/>
      <w:bookmarkEnd w:id="0"/>
      <w:r w:rsidRPr="00D24AA8">
        <w:rPr>
          <w:rFonts w:cs="Arial"/>
        </w:rPr>
        <w:t>Revision of document TGP/8: Part II: Selected Techniques Used in DUS Examination, New Section: Data Processing for the Assessment o</w:t>
      </w:r>
      <w:r w:rsidRPr="00192206">
        <w:rPr>
          <w:rFonts w:cs="Arial"/>
        </w:rPr>
        <w:t>f Distinctness and for Producing Variety Descriptions</w:t>
      </w:r>
    </w:p>
    <w:p w:rsidR="002A7B22" w:rsidRPr="00C5280D" w:rsidRDefault="002A7B22" w:rsidP="002A7B22">
      <w:pPr>
        <w:pStyle w:val="preparedby1"/>
        <w:spacing w:after="480"/>
      </w:pPr>
      <w:bookmarkStart w:id="1" w:name="Prepared"/>
      <w:bookmarkEnd w:id="1"/>
      <w:r w:rsidRPr="004A3E8F">
        <w:t>Document prepared by the Office of the Union</w:t>
      </w:r>
      <w:r>
        <w:br/>
      </w:r>
      <w:r>
        <w:br/>
      </w:r>
      <w:r>
        <w:rPr>
          <w:color w:val="A6A6A6" w:themeColor="background1" w:themeShade="A6"/>
        </w:rPr>
        <w:t>Disclaimer:  this document does not represent UPOV policies or guidance</w:t>
      </w:r>
    </w:p>
    <w:p w:rsidR="000A04EF" w:rsidRDefault="000A04EF" w:rsidP="002A7B22">
      <w:pPr>
        <w:rPr>
          <w:lang w:eastAsia="ja-JP"/>
        </w:rPr>
      </w:pPr>
    </w:p>
    <w:p w:rsidR="000A04EF" w:rsidRDefault="000A04EF" w:rsidP="002A7B22">
      <w:pPr>
        <w:rPr>
          <w:lang w:eastAsia="ja-JP"/>
        </w:rPr>
      </w:pPr>
      <w:r>
        <w:rPr>
          <w:lang w:eastAsia="ja-JP"/>
        </w:rPr>
        <w:t>EXECUTIVE SUMMARY</w:t>
      </w:r>
    </w:p>
    <w:p w:rsidR="000A04EF" w:rsidRDefault="000A04EF" w:rsidP="002A7B22">
      <w:pPr>
        <w:rPr>
          <w:lang w:eastAsia="ja-JP"/>
        </w:rPr>
      </w:pPr>
    </w:p>
    <w:p w:rsidR="002A7B22" w:rsidRDefault="002A7B22" w:rsidP="002A7B22">
      <w:pPr>
        <w:rPr>
          <w:rFonts w:cs="Arial"/>
        </w:rPr>
      </w:pPr>
      <w:r>
        <w:rPr>
          <w:lang w:eastAsia="ja-JP"/>
        </w:rPr>
        <w:fldChar w:fldCharType="begin"/>
      </w:r>
      <w:r>
        <w:rPr>
          <w:lang w:eastAsia="ja-JP"/>
        </w:rPr>
        <w:instrText xml:space="preserve"> AUTONUM  </w:instrText>
      </w:r>
      <w:r>
        <w:rPr>
          <w:lang w:eastAsia="ja-JP"/>
        </w:rPr>
        <w:fldChar w:fldCharType="end"/>
      </w:r>
      <w:r>
        <w:rPr>
          <w:lang w:eastAsia="ja-JP"/>
        </w:rPr>
        <w:tab/>
        <w:t>The purpose of this document is to present developments con</w:t>
      </w:r>
      <w:bookmarkStart w:id="2" w:name="_GoBack"/>
      <w:bookmarkEnd w:id="2"/>
      <w:r>
        <w:rPr>
          <w:lang w:eastAsia="ja-JP"/>
        </w:rPr>
        <w:t xml:space="preserve">cerning </w:t>
      </w:r>
      <w:r w:rsidR="00715D32">
        <w:rPr>
          <w:lang w:eastAsia="ja-JP"/>
        </w:rPr>
        <w:t xml:space="preserve">the </w:t>
      </w:r>
      <w:r>
        <w:rPr>
          <w:lang w:eastAsia="ja-JP"/>
        </w:rPr>
        <w:t xml:space="preserve">possible </w:t>
      </w:r>
      <w:r w:rsidR="00715D32">
        <w:rPr>
          <w:lang w:eastAsia="ja-JP"/>
        </w:rPr>
        <w:t xml:space="preserve">development of guidance </w:t>
      </w:r>
      <w:r w:rsidR="00715D32">
        <w:rPr>
          <w:rFonts w:cs="Arial"/>
        </w:rPr>
        <w:t>on d</w:t>
      </w:r>
      <w:r w:rsidRPr="00F36F19">
        <w:rPr>
          <w:rFonts w:cs="Arial"/>
        </w:rPr>
        <w:t xml:space="preserve">ata </w:t>
      </w:r>
      <w:r w:rsidR="00715D32">
        <w:rPr>
          <w:rFonts w:cs="Arial"/>
        </w:rPr>
        <w:t>p</w:t>
      </w:r>
      <w:r w:rsidRPr="00F36F19">
        <w:rPr>
          <w:rFonts w:cs="Arial"/>
        </w:rPr>
        <w:t xml:space="preserve">rocessing for the </w:t>
      </w:r>
      <w:r w:rsidR="00715D32">
        <w:rPr>
          <w:rFonts w:cs="Arial"/>
        </w:rPr>
        <w:t>a</w:t>
      </w:r>
      <w:r w:rsidRPr="00F36F19">
        <w:rPr>
          <w:rFonts w:cs="Arial"/>
        </w:rPr>
        <w:t xml:space="preserve">ssessment of </w:t>
      </w:r>
      <w:r w:rsidR="00715D32">
        <w:rPr>
          <w:rFonts w:cs="Arial"/>
        </w:rPr>
        <w:t>d</w:t>
      </w:r>
      <w:r w:rsidRPr="00F36F19">
        <w:rPr>
          <w:rFonts w:cs="Arial"/>
        </w:rPr>
        <w:t xml:space="preserve">istinctness and for </w:t>
      </w:r>
      <w:r w:rsidR="00715D32">
        <w:rPr>
          <w:rFonts w:cs="Arial"/>
        </w:rPr>
        <w:t>p</w:t>
      </w:r>
      <w:r w:rsidRPr="00F36F19">
        <w:rPr>
          <w:rFonts w:cs="Arial"/>
        </w:rPr>
        <w:t xml:space="preserve">roducing </w:t>
      </w:r>
      <w:r w:rsidR="00715D32">
        <w:rPr>
          <w:rFonts w:cs="Arial"/>
        </w:rPr>
        <w:t>v</w:t>
      </w:r>
      <w:r w:rsidRPr="00F36F19">
        <w:rPr>
          <w:rFonts w:cs="Arial"/>
        </w:rPr>
        <w:t xml:space="preserve">ariety </w:t>
      </w:r>
      <w:r w:rsidR="00715D32">
        <w:rPr>
          <w:rFonts w:cs="Arial"/>
        </w:rPr>
        <w:t>d</w:t>
      </w:r>
      <w:r w:rsidRPr="00F36F19">
        <w:rPr>
          <w:rFonts w:cs="Arial"/>
        </w:rPr>
        <w:t>escriptions</w:t>
      </w:r>
      <w:r>
        <w:rPr>
          <w:rFonts w:cs="Arial"/>
        </w:rPr>
        <w:t>.</w:t>
      </w:r>
    </w:p>
    <w:p w:rsidR="000A04EF" w:rsidRDefault="000A04EF" w:rsidP="002A7B22">
      <w:pPr>
        <w:rPr>
          <w:rFonts w:cs="Arial"/>
        </w:rPr>
      </w:pPr>
    </w:p>
    <w:p w:rsidR="000A04EF" w:rsidRDefault="000A04EF" w:rsidP="000A04EF">
      <w:pPr>
        <w:rPr>
          <w:lang w:eastAsia="ja-JP"/>
        </w:rPr>
      </w:pPr>
      <w:r>
        <w:rPr>
          <w:lang w:eastAsia="ja-JP"/>
        </w:rPr>
        <w:fldChar w:fldCharType="begin"/>
      </w:r>
      <w:r>
        <w:rPr>
          <w:lang w:eastAsia="ja-JP"/>
        </w:rPr>
        <w:instrText xml:space="preserve"> AUTONUM  </w:instrText>
      </w:r>
      <w:r>
        <w:rPr>
          <w:lang w:eastAsia="ja-JP"/>
        </w:rPr>
        <w:fldChar w:fldCharType="end"/>
      </w:r>
      <w:r w:rsidR="0092652B">
        <w:rPr>
          <w:lang w:eastAsia="ja-JP"/>
        </w:rPr>
        <w:tab/>
        <w:t xml:space="preserve">The </w:t>
      </w:r>
      <w:r w:rsidR="00757BCF">
        <w:rPr>
          <w:lang w:eastAsia="ja-JP"/>
        </w:rPr>
        <w:t>TWO</w:t>
      </w:r>
      <w:r>
        <w:rPr>
          <w:lang w:eastAsia="ja-JP"/>
        </w:rPr>
        <w:t xml:space="preserve"> </w:t>
      </w:r>
      <w:r w:rsidR="00DD7348">
        <w:rPr>
          <w:lang w:eastAsia="ja-JP"/>
        </w:rPr>
        <w:t xml:space="preserve">is </w:t>
      </w:r>
      <w:r>
        <w:rPr>
          <w:lang w:eastAsia="ja-JP"/>
        </w:rPr>
        <w:t>invited to</w:t>
      </w:r>
      <w:r w:rsidR="00FE493F">
        <w:rPr>
          <w:lang w:eastAsia="ja-JP"/>
        </w:rPr>
        <w:t xml:space="preserve"> note that</w:t>
      </w:r>
      <w:r>
        <w:rPr>
          <w:lang w:eastAsia="ja-JP"/>
        </w:rPr>
        <w:t>:</w:t>
      </w:r>
    </w:p>
    <w:p w:rsidR="000A04EF" w:rsidRDefault="000A04EF" w:rsidP="000A04EF">
      <w:pPr>
        <w:rPr>
          <w:lang w:eastAsia="ja-JP"/>
        </w:rPr>
      </w:pPr>
    </w:p>
    <w:p w:rsidR="00FE493F" w:rsidRDefault="00FE493F" w:rsidP="00FE493F">
      <w:pPr>
        <w:ind w:firstLine="567"/>
        <w:rPr>
          <w:lang w:eastAsia="ja-JP"/>
        </w:rPr>
      </w:pPr>
      <w:r>
        <w:rPr>
          <w:lang w:eastAsia="ja-JP"/>
        </w:rPr>
        <w:t>(a)</w:t>
      </w:r>
      <w:r>
        <w:rPr>
          <w:lang w:eastAsia="ja-JP"/>
        </w:rPr>
        <w:tab/>
      </w:r>
      <w:r w:rsidRPr="00FE493F">
        <w:rPr>
          <w:lang w:eastAsia="ja-JP"/>
        </w:rPr>
        <w:t>the TWC and the TWA agreed that the guidance on “Different forms that variety descriptions could take and the relevance of scale levels”, as reproduced in Annex I of this document, should be used as an introduction to future guidance to be developed on data processing for the assessment of distinctness and for producing variety descriptions;</w:t>
      </w:r>
    </w:p>
    <w:p w:rsidR="00FE493F" w:rsidRDefault="00FE493F" w:rsidP="000A04EF">
      <w:pPr>
        <w:rPr>
          <w:lang w:eastAsia="ja-JP"/>
        </w:rPr>
      </w:pPr>
    </w:p>
    <w:p w:rsidR="000A04EF" w:rsidRDefault="000A04EF" w:rsidP="000A04EF">
      <w:pPr>
        <w:rPr>
          <w:lang w:eastAsia="ja-JP"/>
        </w:rPr>
      </w:pPr>
      <w:r>
        <w:rPr>
          <w:lang w:eastAsia="ja-JP"/>
        </w:rPr>
        <w:tab/>
        <w:t>(</w:t>
      </w:r>
      <w:r w:rsidR="00FE493F">
        <w:rPr>
          <w:lang w:eastAsia="ja-JP"/>
        </w:rPr>
        <w:t>b</w:t>
      </w:r>
      <w:r>
        <w:rPr>
          <w:lang w:eastAsia="ja-JP"/>
        </w:rPr>
        <w:t>)</w:t>
      </w:r>
      <w:r>
        <w:rPr>
          <w:lang w:eastAsia="ja-JP"/>
        </w:rPr>
        <w:tab/>
        <w:t>the TWC agreed to compare the results of the practical exercise presented by the different participants to identify differences in the results obtained for further understanding of the different methodologies, for consideration at the thirty-third session of the TWC, to be in Natal, Brazil</w:t>
      </w:r>
      <w:r w:rsidR="00FF15C0">
        <w:rPr>
          <w:lang w:eastAsia="ja-JP"/>
        </w:rPr>
        <w:t>, from June 30 to July 3, 2015</w:t>
      </w:r>
      <w:r>
        <w:rPr>
          <w:lang w:eastAsia="ja-JP"/>
        </w:rPr>
        <w:t>;</w:t>
      </w:r>
    </w:p>
    <w:p w:rsidR="000A04EF" w:rsidRDefault="000A04EF" w:rsidP="000A04EF">
      <w:pPr>
        <w:rPr>
          <w:lang w:eastAsia="ja-JP"/>
        </w:rPr>
      </w:pPr>
    </w:p>
    <w:p w:rsidR="000A04EF" w:rsidRDefault="000A04EF" w:rsidP="000A04EF">
      <w:pPr>
        <w:rPr>
          <w:lang w:eastAsia="ja-JP"/>
        </w:rPr>
      </w:pPr>
      <w:r>
        <w:rPr>
          <w:lang w:eastAsia="ja-JP"/>
        </w:rPr>
        <w:tab/>
        <w:t>(</w:t>
      </w:r>
      <w:r w:rsidR="00FE493F">
        <w:rPr>
          <w:lang w:eastAsia="ja-JP"/>
        </w:rPr>
        <w:t>c</w:t>
      </w:r>
      <w:r>
        <w:rPr>
          <w:lang w:eastAsia="ja-JP"/>
        </w:rPr>
        <w:t>)</w:t>
      </w:r>
      <w:r>
        <w:rPr>
          <w:lang w:eastAsia="ja-JP"/>
        </w:rPr>
        <w:tab/>
        <w:t xml:space="preserve">the European Union reported </w:t>
      </w:r>
      <w:r w:rsidR="00DD7348">
        <w:rPr>
          <w:lang w:eastAsia="ja-JP"/>
        </w:rPr>
        <w:t xml:space="preserve">to the Technical Committee </w:t>
      </w:r>
      <w:r>
        <w:rPr>
          <w:lang w:eastAsia="ja-JP"/>
        </w:rPr>
        <w:t xml:space="preserve">that the project on a ring test on Apple for the management of variety description to be launched in 2015 </w:t>
      </w:r>
      <w:r w:rsidR="00FF15C0">
        <w:rPr>
          <w:lang w:eastAsia="ja-JP"/>
        </w:rPr>
        <w:t>has</w:t>
      </w:r>
      <w:r>
        <w:rPr>
          <w:lang w:eastAsia="ja-JP"/>
        </w:rPr>
        <w:t xml:space="preserve"> been suspended.</w:t>
      </w:r>
    </w:p>
    <w:p w:rsidR="002A7B22" w:rsidRDefault="002A7B22" w:rsidP="002A7B22">
      <w:pPr>
        <w:rPr>
          <w:snapToGrid w:val="0"/>
          <w:sz w:val="16"/>
        </w:rPr>
      </w:pPr>
    </w:p>
    <w:p w:rsidR="000A04EF" w:rsidRPr="00130A6C" w:rsidRDefault="000A04EF" w:rsidP="002A7B22">
      <w:pPr>
        <w:rPr>
          <w:snapToGrid w:val="0"/>
          <w:sz w:val="16"/>
        </w:rPr>
      </w:pPr>
    </w:p>
    <w:p w:rsidR="002A7B22" w:rsidRDefault="002A7B22" w:rsidP="002A7B22">
      <w:r>
        <w:fldChar w:fldCharType="begin"/>
      </w:r>
      <w:r>
        <w:instrText xml:space="preserve"> AUTONUM  </w:instrText>
      </w:r>
      <w:r>
        <w:fldChar w:fldCharType="end"/>
      </w:r>
      <w:r>
        <w:tab/>
        <w:t>The following abbreviations are used in this document:</w:t>
      </w:r>
    </w:p>
    <w:p w:rsidR="002A7B22" w:rsidRPr="00130A6C" w:rsidRDefault="002A7B22" w:rsidP="002A7B22">
      <w:pPr>
        <w:rPr>
          <w:color w:val="000000"/>
          <w:sz w:val="16"/>
        </w:rPr>
      </w:pPr>
    </w:p>
    <w:p w:rsidR="002A7B22" w:rsidRDefault="002A7B22" w:rsidP="002A7B22">
      <w:pPr>
        <w:ind w:left="1701" w:hanging="1134"/>
      </w:pPr>
      <w:r>
        <w:t xml:space="preserve">CAJ:  </w:t>
      </w:r>
      <w:r>
        <w:tab/>
        <w:t xml:space="preserve">Administrative and Legal Committee </w:t>
      </w:r>
    </w:p>
    <w:p w:rsidR="002A7B22" w:rsidRDefault="002A7B22" w:rsidP="002A7B22">
      <w:pPr>
        <w:ind w:left="1701" w:hanging="1134"/>
      </w:pPr>
      <w:r>
        <w:t xml:space="preserve">TC:  </w:t>
      </w:r>
      <w:r>
        <w:tab/>
        <w:t>Technical Committee</w:t>
      </w:r>
    </w:p>
    <w:p w:rsidR="002A7B22" w:rsidRDefault="002A7B22" w:rsidP="002A7B22">
      <w:pPr>
        <w:ind w:left="1701" w:hanging="1134"/>
      </w:pPr>
      <w:r>
        <w:t xml:space="preserve">TC-EDC:  </w:t>
      </w:r>
      <w:r>
        <w:tab/>
        <w:t>Enlarged Editorial Committee</w:t>
      </w:r>
    </w:p>
    <w:p w:rsidR="002A7B22" w:rsidRDefault="002A7B22" w:rsidP="002A7B22">
      <w:pPr>
        <w:ind w:left="1701" w:hanging="1134"/>
      </w:pPr>
      <w:r>
        <w:t xml:space="preserve">TWA:  </w:t>
      </w:r>
      <w:r>
        <w:tab/>
        <w:t>Technical Working Party for Agricultural Crops</w:t>
      </w:r>
    </w:p>
    <w:p w:rsidR="002A7B22" w:rsidRDefault="002A7B22" w:rsidP="002A7B22">
      <w:pPr>
        <w:ind w:left="1701" w:hanging="1134"/>
      </w:pPr>
      <w:r>
        <w:t xml:space="preserve">TWC:  </w:t>
      </w:r>
      <w:r>
        <w:tab/>
        <w:t>Technical Working Party on Automation and Computer Programs</w:t>
      </w:r>
    </w:p>
    <w:p w:rsidR="002A7B22" w:rsidRDefault="002A7B22" w:rsidP="002A7B22">
      <w:pPr>
        <w:ind w:left="1701" w:hanging="1134"/>
      </w:pPr>
      <w:r>
        <w:t xml:space="preserve">TWF:  </w:t>
      </w:r>
      <w:r>
        <w:tab/>
        <w:t xml:space="preserve">Technical Working Party for Fruit Crops </w:t>
      </w:r>
    </w:p>
    <w:p w:rsidR="002A7B22" w:rsidRDefault="002A7B22" w:rsidP="002A7B22">
      <w:pPr>
        <w:ind w:left="1701" w:hanging="1134"/>
      </w:pPr>
      <w:r>
        <w:t xml:space="preserve">TWO:  </w:t>
      </w:r>
      <w:r>
        <w:tab/>
        <w:t xml:space="preserve">Technical Working Party for Ornamental Plants and </w:t>
      </w:r>
      <w:smartTag w:uri="urn:schemas-microsoft-com:office:smarttags" w:element="place">
        <w:r>
          <w:t>Forest</w:t>
        </w:r>
      </w:smartTag>
      <w:r>
        <w:t xml:space="preserve"> Trees </w:t>
      </w:r>
    </w:p>
    <w:p w:rsidR="002A7B22" w:rsidRDefault="002A7B22" w:rsidP="002A7B22">
      <w:pPr>
        <w:ind w:left="1701" w:hanging="1134"/>
      </w:pPr>
      <w:r>
        <w:t xml:space="preserve">TWV:  </w:t>
      </w:r>
      <w:r>
        <w:tab/>
        <w:t>Technical Working Party for Vegetables</w:t>
      </w:r>
    </w:p>
    <w:p w:rsidR="002A7B22" w:rsidRDefault="002A7B22" w:rsidP="002A7B22">
      <w:pPr>
        <w:ind w:left="1701" w:hanging="1134"/>
        <w:rPr>
          <w:color w:val="000000"/>
        </w:rPr>
      </w:pPr>
      <w:r>
        <w:rPr>
          <w:color w:val="000000"/>
        </w:rPr>
        <w:t>TWPs:</w:t>
      </w:r>
      <w:r>
        <w:rPr>
          <w:color w:val="000000"/>
        </w:rPr>
        <w:tab/>
        <w:t>Technical Working Parties</w:t>
      </w:r>
    </w:p>
    <w:p w:rsidR="000A04EF" w:rsidRDefault="000A04EF">
      <w:pPr>
        <w:jc w:val="left"/>
        <w:rPr>
          <w:sz w:val="16"/>
        </w:rPr>
      </w:pPr>
      <w:r>
        <w:rPr>
          <w:sz w:val="16"/>
        </w:rPr>
        <w:br w:type="page"/>
      </w:r>
    </w:p>
    <w:p w:rsidR="002A7B22" w:rsidRDefault="002A7B22" w:rsidP="002A7B22">
      <w:pPr>
        <w:keepNext/>
        <w:rPr>
          <w:snapToGrid w:val="0"/>
        </w:rPr>
      </w:pPr>
      <w:r>
        <w:lastRenderedPageBreak/>
        <w:fldChar w:fldCharType="begin"/>
      </w:r>
      <w:r>
        <w:instrText xml:space="preserve"> AUTONUM  </w:instrText>
      </w:r>
      <w:r>
        <w:fldChar w:fldCharType="end"/>
      </w:r>
      <w:r>
        <w:tab/>
      </w:r>
      <w:r>
        <w:rPr>
          <w:snapToGrid w:val="0"/>
        </w:rPr>
        <w:t>The structure of this document is as follows:</w:t>
      </w:r>
    </w:p>
    <w:p w:rsidR="002A7B22" w:rsidRDefault="002A7B22" w:rsidP="002A7B22">
      <w:pPr>
        <w:keepNext/>
        <w:rPr>
          <w:snapToGrid w:val="0"/>
        </w:rPr>
      </w:pPr>
    </w:p>
    <w:p w:rsidR="00D6617D" w:rsidRDefault="002A7B22">
      <w:pPr>
        <w:pStyle w:val="TOC1"/>
        <w:rPr>
          <w:rStyle w:val="Hyperlink"/>
        </w:rPr>
      </w:pPr>
      <w:r w:rsidRPr="0052445F">
        <w:rPr>
          <w:rFonts w:cs="Arial"/>
          <w:bCs/>
          <w:snapToGrid w:val="0"/>
        </w:rPr>
        <w:fldChar w:fldCharType="begin"/>
      </w:r>
      <w:r w:rsidRPr="0052445F">
        <w:rPr>
          <w:rFonts w:cs="Arial"/>
          <w:bCs/>
          <w:snapToGrid w:val="0"/>
        </w:rPr>
        <w:instrText xml:space="preserve"> TOC \o "1-3" \h \z \u </w:instrText>
      </w:r>
      <w:r w:rsidRPr="0052445F">
        <w:rPr>
          <w:rFonts w:cs="Arial"/>
          <w:bCs/>
          <w:snapToGrid w:val="0"/>
        </w:rPr>
        <w:fldChar w:fldCharType="separate"/>
      </w:r>
      <w:hyperlink w:anchor="_Toc419123346" w:history="1">
        <w:r w:rsidR="00D6617D" w:rsidRPr="007A49F5">
          <w:rPr>
            <w:rStyle w:val="Hyperlink"/>
          </w:rPr>
          <w:t>DIFFERENT FORMS THAT VARIETY DESCRIPTIONS COULD TAKE AND THE RELEVANCE OF SCALE LEVELS</w:t>
        </w:r>
        <w:r w:rsidR="00D6617D">
          <w:rPr>
            <w:webHidden/>
          </w:rPr>
          <w:tab/>
        </w:r>
        <w:r w:rsidR="00D6617D">
          <w:rPr>
            <w:webHidden/>
          </w:rPr>
          <w:fldChar w:fldCharType="begin"/>
        </w:r>
        <w:r w:rsidR="00D6617D">
          <w:rPr>
            <w:webHidden/>
          </w:rPr>
          <w:instrText xml:space="preserve"> PAGEREF _Toc419123346 \h </w:instrText>
        </w:r>
        <w:r w:rsidR="00D6617D">
          <w:rPr>
            <w:webHidden/>
          </w:rPr>
        </w:r>
        <w:r w:rsidR="00D6617D">
          <w:rPr>
            <w:webHidden/>
          </w:rPr>
          <w:fldChar w:fldCharType="separate"/>
        </w:r>
        <w:r w:rsidR="00893C53">
          <w:rPr>
            <w:webHidden/>
          </w:rPr>
          <w:t>2</w:t>
        </w:r>
        <w:r w:rsidR="00D6617D">
          <w:rPr>
            <w:webHidden/>
          </w:rPr>
          <w:fldChar w:fldCharType="end"/>
        </w:r>
      </w:hyperlink>
    </w:p>
    <w:p w:rsidR="00D6617D" w:rsidRPr="00D6617D" w:rsidRDefault="00D6617D" w:rsidP="00D6617D">
      <w:pPr>
        <w:rPr>
          <w:rFonts w:eastAsiaTheme="minorEastAsia"/>
          <w:noProof/>
        </w:rPr>
      </w:pPr>
    </w:p>
    <w:p w:rsidR="00D6617D" w:rsidRDefault="00893C53">
      <w:pPr>
        <w:pStyle w:val="TOC1"/>
        <w:rPr>
          <w:rFonts w:asciiTheme="minorHAnsi" w:eastAsiaTheme="minorEastAsia" w:hAnsiTheme="minorHAnsi" w:cstheme="minorBidi"/>
          <w:caps w:val="0"/>
          <w:sz w:val="22"/>
          <w:szCs w:val="22"/>
        </w:rPr>
      </w:pPr>
      <w:hyperlink w:anchor="_Toc419123347" w:history="1">
        <w:r w:rsidR="00D6617D" w:rsidRPr="007A49F5">
          <w:rPr>
            <w:rStyle w:val="Hyperlink"/>
          </w:rPr>
          <w:t>Practical exercise with a common data set</w:t>
        </w:r>
        <w:r w:rsidR="00D6617D">
          <w:rPr>
            <w:webHidden/>
          </w:rPr>
          <w:tab/>
        </w:r>
        <w:r w:rsidR="00D6617D">
          <w:rPr>
            <w:webHidden/>
          </w:rPr>
          <w:fldChar w:fldCharType="begin"/>
        </w:r>
        <w:r w:rsidR="00D6617D">
          <w:rPr>
            <w:webHidden/>
          </w:rPr>
          <w:instrText xml:space="preserve"> PAGEREF _Toc419123347 \h </w:instrText>
        </w:r>
        <w:r w:rsidR="00D6617D">
          <w:rPr>
            <w:webHidden/>
          </w:rPr>
        </w:r>
        <w:r w:rsidR="00D6617D">
          <w:rPr>
            <w:webHidden/>
          </w:rPr>
          <w:fldChar w:fldCharType="separate"/>
        </w:r>
        <w:r>
          <w:rPr>
            <w:webHidden/>
          </w:rPr>
          <w:t>2</w:t>
        </w:r>
        <w:r w:rsidR="00D6617D">
          <w:rPr>
            <w:webHidden/>
          </w:rPr>
          <w:fldChar w:fldCharType="end"/>
        </w:r>
      </w:hyperlink>
    </w:p>
    <w:p w:rsidR="00D6617D" w:rsidRDefault="00893C53">
      <w:pPr>
        <w:pStyle w:val="TOC2"/>
        <w:rPr>
          <w:rFonts w:asciiTheme="minorHAnsi" w:eastAsiaTheme="minorEastAsia" w:hAnsiTheme="minorHAnsi" w:cstheme="minorBidi"/>
          <w:sz w:val="22"/>
          <w:szCs w:val="22"/>
        </w:rPr>
      </w:pPr>
      <w:hyperlink w:anchor="_Toc419123348" w:history="1">
        <w:r w:rsidR="00D6617D" w:rsidRPr="007A49F5">
          <w:rPr>
            <w:rStyle w:val="Hyperlink"/>
          </w:rPr>
          <w:t>Background</w:t>
        </w:r>
        <w:r w:rsidR="00D6617D">
          <w:rPr>
            <w:webHidden/>
          </w:rPr>
          <w:tab/>
        </w:r>
        <w:r w:rsidR="00D6617D">
          <w:rPr>
            <w:webHidden/>
          </w:rPr>
          <w:fldChar w:fldCharType="begin"/>
        </w:r>
        <w:r w:rsidR="00D6617D">
          <w:rPr>
            <w:webHidden/>
          </w:rPr>
          <w:instrText xml:space="preserve"> PAGEREF _Toc419123348 \h </w:instrText>
        </w:r>
        <w:r w:rsidR="00D6617D">
          <w:rPr>
            <w:webHidden/>
          </w:rPr>
        </w:r>
        <w:r w:rsidR="00D6617D">
          <w:rPr>
            <w:webHidden/>
          </w:rPr>
          <w:fldChar w:fldCharType="separate"/>
        </w:r>
        <w:r>
          <w:rPr>
            <w:webHidden/>
          </w:rPr>
          <w:t>2</w:t>
        </w:r>
        <w:r w:rsidR="00D6617D">
          <w:rPr>
            <w:webHidden/>
          </w:rPr>
          <w:fldChar w:fldCharType="end"/>
        </w:r>
      </w:hyperlink>
    </w:p>
    <w:p w:rsidR="00D6617D" w:rsidRDefault="00893C53">
      <w:pPr>
        <w:pStyle w:val="TOC2"/>
        <w:rPr>
          <w:rFonts w:asciiTheme="minorHAnsi" w:eastAsiaTheme="minorEastAsia" w:hAnsiTheme="minorHAnsi" w:cstheme="minorBidi"/>
          <w:sz w:val="22"/>
          <w:szCs w:val="22"/>
        </w:rPr>
      </w:pPr>
      <w:hyperlink w:anchor="_Toc419123349" w:history="1">
        <w:r w:rsidR="00D6617D" w:rsidRPr="007A49F5">
          <w:rPr>
            <w:rStyle w:val="Hyperlink"/>
          </w:rPr>
          <w:t>Consideration by the Technical Working Parties in 2014</w:t>
        </w:r>
        <w:r w:rsidR="00D6617D">
          <w:rPr>
            <w:webHidden/>
          </w:rPr>
          <w:tab/>
        </w:r>
        <w:r w:rsidR="00D6617D">
          <w:rPr>
            <w:webHidden/>
          </w:rPr>
          <w:fldChar w:fldCharType="begin"/>
        </w:r>
        <w:r w:rsidR="00D6617D">
          <w:rPr>
            <w:webHidden/>
          </w:rPr>
          <w:instrText xml:space="preserve"> PAGEREF _Toc419123349 \h </w:instrText>
        </w:r>
        <w:r w:rsidR="00D6617D">
          <w:rPr>
            <w:webHidden/>
          </w:rPr>
        </w:r>
        <w:r w:rsidR="00D6617D">
          <w:rPr>
            <w:webHidden/>
          </w:rPr>
          <w:fldChar w:fldCharType="separate"/>
        </w:r>
        <w:r>
          <w:rPr>
            <w:webHidden/>
          </w:rPr>
          <w:t>3</w:t>
        </w:r>
        <w:r w:rsidR="00D6617D">
          <w:rPr>
            <w:webHidden/>
          </w:rPr>
          <w:fldChar w:fldCharType="end"/>
        </w:r>
      </w:hyperlink>
    </w:p>
    <w:p w:rsidR="00D6617D" w:rsidRDefault="00893C53">
      <w:pPr>
        <w:pStyle w:val="TOC2"/>
        <w:rPr>
          <w:rFonts w:asciiTheme="minorHAnsi" w:eastAsiaTheme="minorEastAsia" w:hAnsiTheme="minorHAnsi" w:cstheme="minorBidi"/>
          <w:sz w:val="22"/>
          <w:szCs w:val="22"/>
        </w:rPr>
      </w:pPr>
      <w:hyperlink w:anchor="_Toc419123350" w:history="1">
        <w:r w:rsidR="00D6617D" w:rsidRPr="007A49F5">
          <w:rPr>
            <w:rStyle w:val="Hyperlink"/>
          </w:rPr>
          <w:t>Consideration by the Technical Committee in 2015</w:t>
        </w:r>
        <w:r w:rsidR="00D6617D">
          <w:rPr>
            <w:webHidden/>
          </w:rPr>
          <w:tab/>
        </w:r>
        <w:r w:rsidR="00D6617D">
          <w:rPr>
            <w:webHidden/>
          </w:rPr>
          <w:fldChar w:fldCharType="begin"/>
        </w:r>
        <w:r w:rsidR="00D6617D">
          <w:rPr>
            <w:webHidden/>
          </w:rPr>
          <w:instrText xml:space="preserve"> PAGEREF _Toc419123350 \h </w:instrText>
        </w:r>
        <w:r w:rsidR="00D6617D">
          <w:rPr>
            <w:webHidden/>
          </w:rPr>
        </w:r>
        <w:r w:rsidR="00D6617D">
          <w:rPr>
            <w:webHidden/>
          </w:rPr>
          <w:fldChar w:fldCharType="separate"/>
        </w:r>
        <w:r>
          <w:rPr>
            <w:webHidden/>
          </w:rPr>
          <w:t>4</w:t>
        </w:r>
        <w:r w:rsidR="00D6617D">
          <w:rPr>
            <w:webHidden/>
          </w:rPr>
          <w:fldChar w:fldCharType="end"/>
        </w:r>
      </w:hyperlink>
    </w:p>
    <w:p w:rsidR="002A7B22" w:rsidRDefault="002A7B22" w:rsidP="002A7B22">
      <w:pPr>
        <w:keepNext/>
        <w:ind w:left="993" w:hanging="993"/>
        <w:rPr>
          <w:rFonts w:cs="Arial"/>
          <w:snapToGrid w:val="0"/>
        </w:rPr>
      </w:pPr>
      <w:r w:rsidRPr="0052445F">
        <w:rPr>
          <w:rFonts w:cs="Arial"/>
          <w:snapToGrid w:val="0"/>
        </w:rPr>
        <w:fldChar w:fldCharType="end"/>
      </w:r>
    </w:p>
    <w:p w:rsidR="002A7B22" w:rsidRPr="00E9743E" w:rsidRDefault="002A7B22" w:rsidP="002A7B22">
      <w:pPr>
        <w:keepNext/>
        <w:ind w:left="993" w:hanging="993"/>
        <w:rPr>
          <w:sz w:val="18"/>
        </w:rPr>
      </w:pPr>
      <w:r w:rsidRPr="00E9743E">
        <w:rPr>
          <w:rFonts w:cs="Arial"/>
          <w:snapToGrid w:val="0"/>
          <w:sz w:val="18"/>
        </w:rPr>
        <w:t>ANNEX I</w:t>
      </w:r>
      <w:r w:rsidRPr="00E9743E">
        <w:rPr>
          <w:rFonts w:cs="Arial"/>
          <w:snapToGrid w:val="0"/>
          <w:sz w:val="18"/>
        </w:rPr>
        <w:tab/>
      </w:r>
      <w:r w:rsidRPr="00E9743E">
        <w:rPr>
          <w:sz w:val="18"/>
        </w:rPr>
        <w:t>DIFFERENT FORMS THAT VARIETY DESCRIPTIONS COULD TAKE AND THE RELEVANCE OF SCALE LEVELS (PREPARED BY AN EXPERT FROM GERMANY)</w:t>
      </w:r>
    </w:p>
    <w:p w:rsidR="002A7B22" w:rsidRPr="00E9743E" w:rsidRDefault="002A7B22" w:rsidP="002A7B22">
      <w:pPr>
        <w:spacing w:before="240"/>
        <w:ind w:left="993" w:hanging="993"/>
        <w:jc w:val="left"/>
        <w:rPr>
          <w:sz w:val="18"/>
        </w:rPr>
      </w:pPr>
      <w:r w:rsidRPr="00E9743E">
        <w:rPr>
          <w:rFonts w:cs="Arial"/>
          <w:snapToGrid w:val="0"/>
          <w:sz w:val="18"/>
        </w:rPr>
        <w:t>ANNEX II</w:t>
      </w:r>
      <w:r w:rsidRPr="00E9743E">
        <w:rPr>
          <w:rFonts w:cs="Arial"/>
          <w:snapToGrid w:val="0"/>
          <w:sz w:val="18"/>
        </w:rPr>
        <w:tab/>
      </w:r>
      <w:r w:rsidRPr="00E9743E">
        <w:rPr>
          <w:sz w:val="18"/>
        </w:rPr>
        <w:t xml:space="preserve">APPLE VARIETY REFERENCE PROJECT (PREPARED BY AN EXPERT FROM NEW ZEALAND) </w:t>
      </w:r>
    </w:p>
    <w:p w:rsidR="002A7B22" w:rsidRDefault="002A7B22" w:rsidP="002A7B22">
      <w:pPr>
        <w:jc w:val="center"/>
        <w:rPr>
          <w:snapToGrid w:val="0"/>
        </w:rPr>
      </w:pPr>
    </w:p>
    <w:p w:rsidR="002A7B22" w:rsidRDefault="002A7B22" w:rsidP="002A7B22">
      <w:pPr>
        <w:jc w:val="center"/>
        <w:rPr>
          <w:snapToGrid w:val="0"/>
        </w:rPr>
      </w:pPr>
    </w:p>
    <w:p w:rsidR="00BB75D8" w:rsidRDefault="00BB75D8" w:rsidP="00BB75D8">
      <w:pPr>
        <w:pStyle w:val="Heading1"/>
      </w:pPr>
      <w:bookmarkStart w:id="3" w:name="_Toc419123346"/>
      <w:r>
        <w:t>DIFFERENT FORMS THAT VARIETY DESCRIPTIONS COULD TAKE AND THE RELEVANCE OF SCALE LEVELS</w:t>
      </w:r>
      <w:bookmarkEnd w:id="3"/>
    </w:p>
    <w:p w:rsidR="00BB75D8" w:rsidRDefault="00BB75D8" w:rsidP="00BB75D8"/>
    <w:p w:rsidR="00BB75D8" w:rsidRPr="00FE493F" w:rsidRDefault="00BB75D8" w:rsidP="00BB75D8">
      <w:pPr>
        <w:rPr>
          <w:snapToGrid w:val="0"/>
        </w:rPr>
      </w:pPr>
      <w:r w:rsidRPr="00FE493F">
        <w:rPr>
          <w:color w:val="000000"/>
        </w:rPr>
        <w:fldChar w:fldCharType="begin"/>
      </w:r>
      <w:r w:rsidRPr="00FE493F">
        <w:rPr>
          <w:color w:val="000000"/>
        </w:rPr>
        <w:instrText xml:space="preserve"> AUTONUM  </w:instrText>
      </w:r>
      <w:r w:rsidRPr="00FE493F">
        <w:rPr>
          <w:color w:val="000000"/>
        </w:rPr>
        <w:fldChar w:fldCharType="end"/>
      </w:r>
      <w:r w:rsidRPr="00FE493F">
        <w:rPr>
          <w:color w:val="000000"/>
        </w:rPr>
        <w:tab/>
      </w:r>
      <w:r w:rsidRPr="00FE493F">
        <w:rPr>
          <w:rFonts w:cs="Arial"/>
        </w:rPr>
        <w:t xml:space="preserve">The TC, </w:t>
      </w:r>
      <w:r w:rsidRPr="00FE493F">
        <w:t>at its fiftieth session, held in Geneva from April 7 to 9, 2014, agreed to invite an expert from Germany to develop a text to explain the different forms that variety descriptions could take and the relevance of scale levels in that regard (see document TC/50/36 “Report on the Conclusions”, paragraph 56)</w:t>
      </w:r>
      <w:r w:rsidRPr="00FE493F">
        <w:rPr>
          <w:snapToGrid w:val="0"/>
        </w:rPr>
        <w:t>.</w:t>
      </w:r>
    </w:p>
    <w:p w:rsidR="00BB75D8" w:rsidRPr="00FE493F" w:rsidRDefault="00BB75D8" w:rsidP="00BB75D8">
      <w:pPr>
        <w:rPr>
          <w:snapToGrid w:val="0"/>
        </w:rPr>
      </w:pPr>
    </w:p>
    <w:p w:rsidR="00BB75D8" w:rsidRPr="00FE493F" w:rsidRDefault="00BB75D8" w:rsidP="00BB75D8">
      <w:pPr>
        <w:rPr>
          <w:snapToGrid w:val="0"/>
        </w:rPr>
      </w:pPr>
      <w:r w:rsidRPr="00FE493F">
        <w:fldChar w:fldCharType="begin"/>
      </w:r>
      <w:r w:rsidRPr="00FE493F">
        <w:instrText xml:space="preserve"> AUTONUM  </w:instrText>
      </w:r>
      <w:r w:rsidRPr="00FE493F">
        <w:fldChar w:fldCharType="end"/>
      </w:r>
      <w:r w:rsidRPr="00FE493F">
        <w:tab/>
        <w:t>In response to the request of the TC, the expert from Germany provided a text on the different forms that variety descriptions could take and the relevance of scale levels which is presented in Annex I to this document.</w:t>
      </w:r>
    </w:p>
    <w:p w:rsidR="00BB75D8" w:rsidRPr="00FE493F" w:rsidRDefault="00BB75D8" w:rsidP="00BB75D8"/>
    <w:p w:rsidR="00BB75D8" w:rsidRDefault="00BB75D8" w:rsidP="00BB75D8">
      <w:pPr>
        <w:rPr>
          <w:snapToGrid w:val="0"/>
        </w:rPr>
      </w:pPr>
      <w:r w:rsidRPr="00FE493F">
        <w:fldChar w:fldCharType="begin"/>
      </w:r>
      <w:r w:rsidRPr="00FE493F">
        <w:instrText xml:space="preserve"> AUTONUM  </w:instrText>
      </w:r>
      <w:r w:rsidRPr="00FE493F">
        <w:fldChar w:fldCharType="end"/>
      </w:r>
      <w:r w:rsidRPr="00FE493F">
        <w:tab/>
        <w:t>The TWO, TWF and TWV noted the explanation of the different forms that variety descriptions could take and the relevance of scale levels in that regard,</w:t>
      </w:r>
      <w:r w:rsidRPr="00FE493F">
        <w:rPr>
          <w:snapToGrid w:val="0"/>
        </w:rPr>
        <w:t xml:space="preserve"> as reproduced in Annex I to this document</w:t>
      </w:r>
      <w:r>
        <w:rPr>
          <w:snapToGrid w:val="0"/>
        </w:rPr>
        <w:t xml:space="preserve"> </w:t>
      </w:r>
      <w:r w:rsidRPr="00F00C80">
        <w:t>(see document</w:t>
      </w:r>
      <w:r>
        <w:t>s</w:t>
      </w:r>
      <w:r w:rsidRPr="00F00C80">
        <w:t xml:space="preserve"> TWO/4</w:t>
      </w:r>
      <w:r>
        <w:t>7</w:t>
      </w:r>
      <w:r w:rsidRPr="00F00C80">
        <w:t>/2</w:t>
      </w:r>
      <w:r>
        <w:t>8</w:t>
      </w:r>
      <w:r w:rsidRPr="00F00C80">
        <w:t xml:space="preserve"> “Report”, paragraph</w:t>
      </w:r>
      <w:r>
        <w:t xml:space="preserve"> 49 </w:t>
      </w:r>
      <w:r w:rsidRPr="00E461F1">
        <w:t>TWF/4</w:t>
      </w:r>
      <w:r>
        <w:t>5</w:t>
      </w:r>
      <w:r w:rsidRPr="00E461F1">
        <w:t>/3</w:t>
      </w:r>
      <w:r>
        <w:t>2</w:t>
      </w:r>
      <w:r w:rsidRPr="00E461F1">
        <w:t xml:space="preserve"> “Report”, paragraph</w:t>
      </w:r>
      <w:r>
        <w:t xml:space="preserve"> 39 and </w:t>
      </w:r>
      <w:r w:rsidRPr="00E461F1">
        <w:t>TWV/4</w:t>
      </w:r>
      <w:r>
        <w:t>8</w:t>
      </w:r>
      <w:r w:rsidRPr="00E461F1">
        <w:t>/</w:t>
      </w:r>
      <w:r>
        <w:t>43</w:t>
      </w:r>
      <w:r w:rsidRPr="00E461F1">
        <w:t xml:space="preserve"> “Report”, paragraph</w:t>
      </w:r>
      <w:r>
        <w:t xml:space="preserve"> 45)</w:t>
      </w:r>
      <w:r>
        <w:rPr>
          <w:snapToGrid w:val="0"/>
        </w:rPr>
        <w:t xml:space="preserve">. </w:t>
      </w:r>
    </w:p>
    <w:p w:rsidR="00BB75D8" w:rsidRDefault="00BB75D8" w:rsidP="00BB75D8"/>
    <w:p w:rsidR="00BB75D8" w:rsidRPr="00BD5B6E" w:rsidRDefault="00BB75D8" w:rsidP="00BB75D8">
      <w:r w:rsidRPr="00BD5B6E">
        <w:fldChar w:fldCharType="begin"/>
      </w:r>
      <w:r w:rsidRPr="00BD5B6E">
        <w:instrText xml:space="preserve"> AUTONUM  </w:instrText>
      </w:r>
      <w:r w:rsidRPr="00BD5B6E">
        <w:fldChar w:fldCharType="end"/>
      </w:r>
      <w:r w:rsidRPr="00BD5B6E">
        <w:rPr>
          <w:rFonts w:eastAsia="MS Mincho" w:cs="Arial"/>
          <w:lang w:eastAsia="ja-JP"/>
        </w:rPr>
        <w:tab/>
      </w:r>
      <w:r>
        <w:rPr>
          <w:rFonts w:eastAsia="MS Mincho" w:cs="Arial"/>
          <w:lang w:eastAsia="ja-JP"/>
        </w:rPr>
        <w:t xml:space="preserve">The </w:t>
      </w:r>
      <w:r w:rsidRPr="00BD5B6E">
        <w:t xml:space="preserve">TWC </w:t>
      </w:r>
      <w:r>
        <w:t xml:space="preserve">and the TWA </w:t>
      </w:r>
      <w:r w:rsidRPr="00BD5B6E">
        <w:t xml:space="preserve">received an explanation by an expert from Germany on </w:t>
      </w:r>
      <w:r>
        <w:t xml:space="preserve">“Different forms that variety descriptions could take and the relevance of scale levels”, as reproduced in Annex I of this document, </w:t>
      </w:r>
      <w:r w:rsidRPr="00BD5B6E">
        <w:t xml:space="preserve">and agreed that it should be used as </w:t>
      </w:r>
      <w:r>
        <w:t xml:space="preserve">an </w:t>
      </w:r>
      <w:r w:rsidRPr="00BD5B6E">
        <w:t>introduction to future guidance to be developed on this matter</w:t>
      </w:r>
      <w:r>
        <w:t xml:space="preserve"> </w:t>
      </w:r>
      <w:r>
        <w:rPr>
          <w:rFonts w:eastAsia="MS Mincho" w:cs="Arial"/>
          <w:lang w:eastAsia="ja-JP"/>
        </w:rPr>
        <w:t xml:space="preserve">(see </w:t>
      </w:r>
      <w:r w:rsidRPr="00E461F1">
        <w:t>document</w:t>
      </w:r>
      <w:r>
        <w:t>s</w:t>
      </w:r>
      <w:r w:rsidRPr="00E461F1">
        <w:t xml:space="preserve"> TWC/3</w:t>
      </w:r>
      <w:r>
        <w:t>2</w:t>
      </w:r>
      <w:r w:rsidRPr="00E461F1">
        <w:t>/</w:t>
      </w:r>
      <w:r>
        <w:t>28</w:t>
      </w:r>
      <w:r w:rsidRPr="00E461F1">
        <w:t xml:space="preserve"> “Report”, paragraph</w:t>
      </w:r>
      <w:r>
        <w:t xml:space="preserve"> 28 and </w:t>
      </w:r>
      <w:r w:rsidRPr="00E461F1">
        <w:t>TWA/4</w:t>
      </w:r>
      <w:r>
        <w:t>3</w:t>
      </w:r>
      <w:r w:rsidRPr="00E461F1">
        <w:t>/</w:t>
      </w:r>
      <w:r>
        <w:t>27</w:t>
      </w:r>
      <w:r w:rsidRPr="00E461F1">
        <w:t xml:space="preserve"> “Report”, paragraph</w:t>
      </w:r>
      <w:r>
        <w:t xml:space="preserve"> 42)</w:t>
      </w:r>
      <w:r w:rsidRPr="00BD5B6E">
        <w:t xml:space="preserve">. </w:t>
      </w:r>
    </w:p>
    <w:p w:rsidR="00BB75D8" w:rsidRDefault="00BB75D8" w:rsidP="00BB75D8"/>
    <w:p w:rsidR="00BB75D8" w:rsidRDefault="00BB75D8" w:rsidP="00BB75D8"/>
    <w:p w:rsidR="00BB75D8" w:rsidRDefault="00BB75D8" w:rsidP="00BB75D8">
      <w:pPr>
        <w:pStyle w:val="Heading1"/>
      </w:pPr>
      <w:bookmarkStart w:id="4" w:name="_Toc419123347"/>
      <w:r>
        <w:t>Practical exercise with a common data set</w:t>
      </w:r>
      <w:bookmarkEnd w:id="4"/>
    </w:p>
    <w:p w:rsidR="00BB75D8" w:rsidRDefault="00BB75D8" w:rsidP="002A7B22">
      <w:pPr>
        <w:jc w:val="center"/>
        <w:rPr>
          <w:snapToGrid w:val="0"/>
        </w:rPr>
      </w:pPr>
    </w:p>
    <w:p w:rsidR="002A7B22" w:rsidRDefault="00BB75D8" w:rsidP="00BB75D8">
      <w:pPr>
        <w:pStyle w:val="Heading2"/>
      </w:pPr>
      <w:bookmarkStart w:id="5" w:name="_Toc419123348"/>
      <w:r>
        <w:t>Background</w:t>
      </w:r>
      <w:bookmarkEnd w:id="5"/>
    </w:p>
    <w:p w:rsidR="002A7B22" w:rsidRDefault="002A7B22" w:rsidP="002A7B22"/>
    <w:p w:rsidR="002A7B22" w:rsidRPr="007A6CA4" w:rsidRDefault="002A7B22" w:rsidP="002A7B22">
      <w:pPr>
        <w:autoSpaceDE w:val="0"/>
        <w:autoSpaceDN w:val="0"/>
        <w:adjustRightInd w:val="0"/>
        <w:rPr>
          <w:rFonts w:ascii="ArialMT" w:eastAsia="MS Mincho" w:hAnsi="ArialMT" w:cs="ArialMT"/>
          <w:lang w:eastAsia="ja-JP"/>
        </w:rPr>
      </w:pPr>
      <w:r w:rsidRPr="005623A7">
        <w:fldChar w:fldCharType="begin"/>
      </w:r>
      <w:r w:rsidRPr="005623A7">
        <w:instrText xml:space="preserve"> AUTONUM  </w:instrText>
      </w:r>
      <w:r w:rsidRPr="005623A7">
        <w:fldChar w:fldCharType="end"/>
      </w:r>
      <w:r>
        <w:tab/>
      </w:r>
      <w:r w:rsidRPr="00301983">
        <w:t xml:space="preserve">The Technical Committee (TC), at its forty-eighth session, held in Geneva from March 26 to 28, 2012, </w:t>
      </w:r>
      <w:r w:rsidRPr="00E06578">
        <w:t>considered Annex III</w:t>
      </w:r>
      <w:r>
        <w:t>: “</w:t>
      </w:r>
      <w:r w:rsidRPr="008913B9">
        <w:t>TGP/8 PART I: DUS Trial Design and data analysis, New Section 6 – Data processing for the assessment of distinctness and for producing variety Descriptions”</w:t>
      </w:r>
      <w:r w:rsidRPr="00E06578">
        <w:t xml:space="preserve"> in conjunction with Annex VIII</w:t>
      </w:r>
      <w:r>
        <w:t>: “</w:t>
      </w:r>
      <w:r w:rsidRPr="008913B9">
        <w:t>TGP/8 PART II: Techniques used in DUS Examination, New Section 13 - Methods for data processing for the assessment of distinctness and for producing variety descriptions”</w:t>
      </w:r>
      <w:r w:rsidRPr="00E06578">
        <w:t xml:space="preserve"> of document TC/48/19 Rev.  It agreed that the information provided in Annex VIII</w:t>
      </w:r>
      <w:r>
        <w:t xml:space="preserve"> of </w:t>
      </w:r>
      <w:r w:rsidRPr="00E06578">
        <w:t>document TC/48/19 Rev</w:t>
      </w:r>
      <w:r>
        <w:t>.</w:t>
      </w:r>
      <w:r w:rsidRPr="00E06578">
        <w:t xml:space="preserve"> and at the UPOV DUS Seminar, held in Geneva in March 2010, together with the method provided by Japan and the method used in France for producing variety descriptions for herbage crops, as presented at the TWC</w:t>
      </w:r>
      <w:r>
        <w:t xml:space="preserve"> at its </w:t>
      </w:r>
      <w:r w:rsidRPr="002B5E23">
        <w:t>twenty-sixth session (see document TWC/26/15</w:t>
      </w:r>
      <w:r>
        <w:t>,</w:t>
      </w:r>
      <w:r w:rsidRPr="002B5E23">
        <w:t xml:space="preserve"> TWC/26/15 Add.</w:t>
      </w:r>
      <w:r>
        <w:t xml:space="preserve"> and </w:t>
      </w:r>
      <w:r w:rsidRPr="00946E99">
        <w:t>TWC/26/24</w:t>
      </w:r>
      <w:r w:rsidRPr="002B5E23">
        <w:t>)</w:t>
      </w:r>
      <w:r w:rsidRPr="00E06578">
        <w:t>, provided a very important first step in developing common guidance on data processing for the assessment of distinctness and for producing variety descriptions, but concluded that the information as presented in Annex VIII</w:t>
      </w:r>
      <w:r>
        <w:t xml:space="preserve"> of </w:t>
      </w:r>
      <w:r w:rsidRPr="00E06578">
        <w:t>document TC/48/19 Rev</w:t>
      </w:r>
      <w:r>
        <w:t>.</w:t>
      </w:r>
      <w:r w:rsidRPr="00E06578">
        <w:t xml:space="preserve"> would not be appropriate for inclusion in document TGP/8.  It agreed that the Office of the Union should summarize the different approaches set out in Annex</w:t>
      </w:r>
      <w:r>
        <w:t> </w:t>
      </w:r>
      <w:r w:rsidRPr="00E06578">
        <w:t>VIII</w:t>
      </w:r>
      <w:r>
        <w:t xml:space="preserve"> of </w:t>
      </w:r>
      <w:r w:rsidRPr="00E06578">
        <w:t>document TC/48/19 Rev</w:t>
      </w:r>
      <w:r>
        <w:t>.</w:t>
      </w:r>
      <w:r w:rsidRPr="00E06578">
        <w:t xml:space="preserve"> with regard to aspects in common and aspects where there was divergence.  As a next step, on the basis of that summary, consideration could be given to developing general guidance.  The TC agreed that the section should include examples to cover the range of variation of characteristics.  It further agreed that the detai</w:t>
      </w:r>
      <w:r>
        <w:t>led information on the methods</w:t>
      </w:r>
      <w:r w:rsidRPr="00E06578">
        <w:t xml:space="preserve"> should be made available via the UPOV website, with references in document TGP/8 (see document TC/48/22 “Report on </w:t>
      </w:r>
      <w:r>
        <w:t xml:space="preserve">the </w:t>
      </w:r>
      <w:r w:rsidRPr="00E06578">
        <w:t>Conclusions” paragraph</w:t>
      </w:r>
      <w:r>
        <w:t xml:space="preserve"> 52</w:t>
      </w:r>
      <w:r w:rsidRPr="00301983">
        <w:t>).</w:t>
      </w:r>
    </w:p>
    <w:p w:rsidR="002A7B22" w:rsidRDefault="002A7B22" w:rsidP="002A7B22">
      <w:bookmarkStart w:id="6" w:name="_Toc347750089"/>
    </w:p>
    <w:p w:rsidR="002A7B22" w:rsidRDefault="002A7B22" w:rsidP="002A7B22">
      <w:r w:rsidRPr="005623A7">
        <w:lastRenderedPageBreak/>
        <w:fldChar w:fldCharType="begin"/>
      </w:r>
      <w:r w:rsidRPr="005623A7">
        <w:instrText xml:space="preserve"> AUTONUM  </w:instrText>
      </w:r>
      <w:r w:rsidRPr="005623A7">
        <w:fldChar w:fldCharType="end"/>
      </w:r>
      <w:r>
        <w:tab/>
        <w:t xml:space="preserve">At their sessions in 2012, the TWPs received </w:t>
      </w:r>
      <w:bookmarkEnd w:id="6"/>
      <w:r>
        <w:t xml:space="preserve">a presentation prepared by the Office of the Union on “Summary of different approaches of transformation of measurements into notes for Variety Description”, as reproduced in the Annex I of document TC/50/25 “Revision of document TGP/8: Part II: Selected Techniques Used in DUS Examination, New Section: Data Processing for the Assessment of Distinctness and for Producing Variety Descriptions”. </w:t>
      </w:r>
    </w:p>
    <w:p w:rsidR="002A7B22" w:rsidRDefault="002A7B22" w:rsidP="002A7B22"/>
    <w:p w:rsidR="002A7B22" w:rsidRDefault="002A7B22" w:rsidP="002A7B22">
      <w:pPr>
        <w:rPr>
          <w:rFonts w:cs="Arial"/>
        </w:rPr>
      </w:pPr>
      <w:r w:rsidRPr="005623A7">
        <w:fldChar w:fldCharType="begin"/>
      </w:r>
      <w:r w:rsidRPr="005623A7">
        <w:instrText xml:space="preserve"> AUTONUM  </w:instrText>
      </w:r>
      <w:r w:rsidRPr="005623A7">
        <w:fldChar w:fldCharType="end"/>
      </w:r>
      <w:r>
        <w:tab/>
      </w:r>
      <w:r w:rsidRPr="00A726B5">
        <w:t>The TWC</w:t>
      </w:r>
      <w:r>
        <w:t>, at its thirtieth session</w:t>
      </w:r>
      <w:r w:rsidR="005673D0">
        <w:t>, held in Chisinau, Republic of Moldova, from June 26 to 29, 2012</w:t>
      </w:r>
      <w:r>
        <w:t>,</w:t>
      </w:r>
      <w:r w:rsidRPr="00A726B5">
        <w:t xml:space="preserve"> agreed that the experts from Finland, Italy and the United Kingdom would support the Office of the Union to summarize the different approaches for further developing common guidance on data processing for the assessment of distinctness and for producing variety descriptions</w:t>
      </w:r>
      <w:r>
        <w:t xml:space="preserve"> </w:t>
      </w:r>
      <w:r>
        <w:rPr>
          <w:rFonts w:cs="Arial"/>
        </w:rPr>
        <w:t xml:space="preserve">(see document TWC/30/41 “Report”, paragraph 42). It also agreed </w:t>
      </w:r>
      <w:r w:rsidRPr="00A726B5">
        <w:t xml:space="preserve">that experts from the United Kingdom in cooperation with experts from France and </w:t>
      </w:r>
      <w:r w:rsidRPr="00F76B10">
        <w:rPr>
          <w:color w:val="000000"/>
        </w:rPr>
        <w:t>Germany should conduct a practical exercise. The exercise would be to process a common data set to</w:t>
      </w:r>
      <w:r w:rsidRPr="00A726B5">
        <w:t xml:space="preserve"> produce variety description</w:t>
      </w:r>
      <w:r>
        <w:t>s</w:t>
      </w:r>
      <w:r w:rsidRPr="00A726B5">
        <w:t xml:space="preserve"> in order to determine the aspects in common and where there was divergence among the methods</w:t>
      </w:r>
      <w:r>
        <w:t xml:space="preserve"> (</w:t>
      </w:r>
      <w:r>
        <w:rPr>
          <w:rFonts w:cs="Arial"/>
        </w:rPr>
        <w:t>see document TWC/30/41 “Report”, paragraph 43)</w:t>
      </w:r>
    </w:p>
    <w:p w:rsidR="002A7B22" w:rsidRDefault="002A7B22" w:rsidP="002A7B22"/>
    <w:p w:rsidR="002A7B22" w:rsidRDefault="002A7B22" w:rsidP="002A7B22">
      <w:pPr>
        <w:rPr>
          <w:rFonts w:cs="Arial"/>
        </w:rPr>
      </w:pPr>
      <w:r w:rsidRPr="00820EFF">
        <w:fldChar w:fldCharType="begin"/>
      </w:r>
      <w:r w:rsidRPr="00820EFF">
        <w:instrText xml:space="preserve"> AUTONUM  </w:instrText>
      </w:r>
      <w:r w:rsidRPr="00820EFF">
        <w:fldChar w:fldCharType="end"/>
      </w:r>
      <w:r w:rsidRPr="00820EFF">
        <w:tab/>
      </w:r>
      <w:r>
        <w:t>In response to the request for a common data set, the</w:t>
      </w:r>
      <w:r w:rsidRPr="008D375D">
        <w:t xml:space="preserve"> Office of the Union </w:t>
      </w:r>
      <w:r>
        <w:t>received</w:t>
      </w:r>
      <w:r w:rsidRPr="008D375D">
        <w:t xml:space="preserve"> da</w:t>
      </w:r>
      <w:r>
        <w:t>ta sets of Chrysanthemum, Pea and Flax</w:t>
      </w:r>
      <w:r w:rsidRPr="008D375D">
        <w:t xml:space="preserve"> from Japan</w:t>
      </w:r>
      <w:r>
        <w:t>,</w:t>
      </w:r>
      <w:r w:rsidRPr="008D375D">
        <w:t xml:space="preserve"> </w:t>
      </w:r>
      <w:r>
        <w:t>the Netherlands and France respectively</w:t>
      </w:r>
      <w:r w:rsidRPr="008D375D">
        <w:t>.</w:t>
      </w:r>
      <w:r>
        <w:t xml:space="preserve"> </w:t>
      </w:r>
      <w:r w:rsidRPr="00836E33">
        <w:rPr>
          <w:rFonts w:cs="Arial"/>
        </w:rPr>
        <w:t xml:space="preserve">In the first instance, </w:t>
      </w:r>
      <w:r>
        <w:rPr>
          <w:rFonts w:cs="Arial"/>
        </w:rPr>
        <w:t xml:space="preserve">it was concluded that </w:t>
      </w:r>
      <w:r w:rsidRPr="00836E33">
        <w:rPr>
          <w:rFonts w:cs="Arial"/>
        </w:rPr>
        <w:t xml:space="preserve">the practical exercise </w:t>
      </w:r>
      <w:r>
        <w:rPr>
          <w:rFonts w:cs="Arial"/>
        </w:rPr>
        <w:t>should be</w:t>
      </w:r>
      <w:r w:rsidRPr="00836E33">
        <w:rPr>
          <w:rFonts w:cs="Arial"/>
        </w:rPr>
        <w:t xml:space="preserve"> conducted with a data set for flax, provided by experts from Franc</w:t>
      </w:r>
      <w:r>
        <w:rPr>
          <w:rFonts w:cs="Arial"/>
        </w:rPr>
        <w:t>e, on the basis that the data was</w:t>
      </w:r>
      <w:r w:rsidRPr="00836E33">
        <w:rPr>
          <w:rFonts w:cs="Arial"/>
        </w:rPr>
        <w:t xml:space="preserve"> sufficiently comprehensive and structured in a way that should allow the exercise to be completed by all interested UPOV members</w:t>
      </w:r>
      <w:r>
        <w:rPr>
          <w:rFonts w:cs="Arial"/>
        </w:rPr>
        <w:t xml:space="preserve">. </w:t>
      </w:r>
    </w:p>
    <w:p w:rsidR="002A7B22" w:rsidRDefault="002A7B22" w:rsidP="002A7B22">
      <w:pPr>
        <w:rPr>
          <w:rFonts w:cs="Arial"/>
        </w:rPr>
      </w:pPr>
    </w:p>
    <w:p w:rsidR="002A7B22" w:rsidRPr="00797745" w:rsidRDefault="002A7B22" w:rsidP="002A7B22">
      <w:pPr>
        <w:rPr>
          <w:rFonts w:cs="Arial"/>
        </w:rPr>
      </w:pPr>
      <w:r w:rsidRPr="00820EFF">
        <w:fldChar w:fldCharType="begin"/>
      </w:r>
      <w:r w:rsidRPr="00820EFF">
        <w:instrText xml:space="preserve"> AUTONUM  </w:instrText>
      </w:r>
      <w:r w:rsidRPr="00820EFF">
        <w:fldChar w:fldCharType="end"/>
      </w:r>
      <w:r w:rsidRPr="00820EFF">
        <w:tab/>
      </w:r>
      <w:r>
        <w:t>O</w:t>
      </w:r>
      <w:r>
        <w:rPr>
          <w:rFonts w:cs="Arial"/>
        </w:rPr>
        <w:t xml:space="preserve">n December 20, 2013, a request was issued to </w:t>
      </w:r>
      <w:r>
        <w:t>France, Germany, Italy, Japan, Netherlands, Republic of Korea</w:t>
      </w:r>
      <w:r w:rsidRPr="00C713C5">
        <w:t xml:space="preserve"> and United Kingdom</w:t>
      </w:r>
      <w:r>
        <w:rPr>
          <w:rFonts w:cs="Arial"/>
        </w:rPr>
        <w:t>, inviting them to apply their methods to the flax data provided for a single characteristic (</w:t>
      </w:r>
      <w:r w:rsidRPr="00797745">
        <w:rPr>
          <w:rFonts w:cs="Arial"/>
        </w:rPr>
        <w:t>Stem: length from cotyledon scar to top boll) for the years 2002-2012</w:t>
      </w:r>
      <w:r>
        <w:rPr>
          <w:rFonts w:cs="Arial"/>
        </w:rPr>
        <w:t>.</w:t>
      </w:r>
    </w:p>
    <w:p w:rsidR="002A7B22" w:rsidRDefault="002A7B22" w:rsidP="002A7B22"/>
    <w:p w:rsidR="002A7B22" w:rsidRDefault="002A7B22" w:rsidP="002A7B22">
      <w:r w:rsidRPr="00E27362">
        <w:fldChar w:fldCharType="begin"/>
      </w:r>
      <w:r w:rsidRPr="00E27362">
        <w:instrText xml:space="preserve"> AUTONUM  </w:instrText>
      </w:r>
      <w:r w:rsidRPr="00E27362">
        <w:fldChar w:fldCharType="end"/>
      </w:r>
      <w:r>
        <w:tab/>
      </w:r>
      <w:r w:rsidRPr="00E27362">
        <w:t>The TC</w:t>
      </w:r>
      <w:r>
        <w:t>,</w:t>
      </w:r>
      <w:r w:rsidRPr="00F40D89">
        <w:t xml:space="preserve"> </w:t>
      </w:r>
      <w:r>
        <w:t>at its fiftieth session, agreed that</w:t>
      </w:r>
      <w:r w:rsidRPr="00E27362">
        <w:t xml:space="preserve"> the experts</w:t>
      </w:r>
      <w:r>
        <w:t xml:space="preserve"> from France, Germany, Italy, Japan, Netherlands, Republic of Korea</w:t>
      </w:r>
      <w:r w:rsidRPr="00C713C5">
        <w:t xml:space="preserve"> and United Kingdom</w:t>
      </w:r>
      <w:r w:rsidRPr="00E27362">
        <w:t xml:space="preserve"> </w:t>
      </w:r>
      <w:r>
        <w:t>should</w:t>
      </w:r>
      <w:r w:rsidRPr="00E27362">
        <w:t xml:space="preserve"> provide </w:t>
      </w:r>
      <w:r>
        <w:t>the</w:t>
      </w:r>
      <w:r w:rsidRPr="00E27362">
        <w:t xml:space="preserve"> results on the practical exercise to the Office of the Union and noted </w:t>
      </w:r>
      <w:r>
        <w:t xml:space="preserve">the plans for </w:t>
      </w:r>
      <w:r w:rsidRPr="00E27362">
        <w:t xml:space="preserve">a summary </w:t>
      </w:r>
      <w:r w:rsidRPr="00E27362">
        <w:rPr>
          <w:rFonts w:cs="Arial"/>
        </w:rPr>
        <w:t>of aspects in common and divergence</w:t>
      </w:r>
      <w:r>
        <w:rPr>
          <w:rFonts w:cs="Arial"/>
        </w:rPr>
        <w:t>s</w:t>
      </w:r>
      <w:r w:rsidRPr="00E27362">
        <w:rPr>
          <w:rFonts w:cs="Arial"/>
        </w:rPr>
        <w:t xml:space="preserve"> between </w:t>
      </w:r>
      <w:r>
        <w:rPr>
          <w:rFonts w:cs="Arial"/>
        </w:rPr>
        <w:t xml:space="preserve">the </w:t>
      </w:r>
      <w:r w:rsidRPr="00E27362">
        <w:rPr>
          <w:rFonts w:cs="Arial"/>
        </w:rPr>
        <w:t>methods</w:t>
      </w:r>
      <w:r w:rsidRPr="00E27362">
        <w:t xml:space="preserve"> </w:t>
      </w:r>
      <w:r>
        <w:t>to</w:t>
      </w:r>
      <w:r w:rsidRPr="00E27362">
        <w:t xml:space="preserve"> be presented to the TWPs in 2014</w:t>
      </w:r>
      <w:r>
        <w:t xml:space="preserve"> and </w:t>
      </w:r>
      <w:r w:rsidRPr="00E27362">
        <w:t>to th</w:t>
      </w:r>
      <w:r>
        <w:t xml:space="preserve">e TC at its fifty-first session </w:t>
      </w:r>
      <w:r w:rsidRPr="008A572D">
        <w:t>(see documen</w:t>
      </w:r>
      <w:r>
        <w:t>t</w:t>
      </w:r>
      <w:r w:rsidR="008E135C">
        <w:t> </w:t>
      </w:r>
      <w:r>
        <w:t xml:space="preserve">TC/50/36 “Report </w:t>
      </w:r>
      <w:r w:rsidRPr="00C920D5">
        <w:t>on the Conclusions</w:t>
      </w:r>
      <w:r>
        <w:t>”, paragraph 57</w:t>
      </w:r>
      <w:r w:rsidRPr="008A572D">
        <w:t>)</w:t>
      </w:r>
      <w:r w:rsidRPr="004717F7">
        <w:t>.</w:t>
      </w:r>
      <w:r>
        <w:t xml:space="preserve"> </w:t>
      </w:r>
    </w:p>
    <w:p w:rsidR="002A7B22" w:rsidRDefault="002A7B22" w:rsidP="002A7B22"/>
    <w:p w:rsidR="002A7B22" w:rsidRDefault="002A7B22" w:rsidP="002A7B22">
      <w:r>
        <w:fldChar w:fldCharType="begin"/>
      </w:r>
      <w:r>
        <w:instrText xml:space="preserve"> AUTONUM  </w:instrText>
      </w:r>
      <w:r>
        <w:fldChar w:fldCharType="end"/>
      </w:r>
      <w:r>
        <w:tab/>
        <w:t>The TC,</w:t>
      </w:r>
      <w:r w:rsidRPr="00F40D89">
        <w:t xml:space="preserve"> </w:t>
      </w:r>
      <w:r>
        <w:t>on the basis of the results of the practical exercise, would be invited to consider whether to develop guidance</w:t>
      </w:r>
      <w:r w:rsidRPr="00F00C80">
        <w:t xml:space="preserve"> on data processing for the assessment of distinctness and for producing variety descriptions</w:t>
      </w:r>
      <w:r>
        <w:t xml:space="preserve"> that would be relevant for different types of propagation </w:t>
      </w:r>
      <w:r w:rsidRPr="008A572D">
        <w:t>(see documen</w:t>
      </w:r>
      <w:r>
        <w:t xml:space="preserve">t TC/50/36 “Report </w:t>
      </w:r>
      <w:r w:rsidRPr="00C920D5">
        <w:t>on the Conclusions</w:t>
      </w:r>
      <w:r>
        <w:t>”, paragraph 58</w:t>
      </w:r>
      <w:r w:rsidRPr="008A572D">
        <w:t>)</w:t>
      </w:r>
      <w:r w:rsidRPr="004717F7">
        <w:t>.</w:t>
      </w:r>
    </w:p>
    <w:p w:rsidR="002A7B22" w:rsidRDefault="002A7B22" w:rsidP="002A7B22"/>
    <w:p w:rsidR="002A7B22" w:rsidRDefault="002A7B22" w:rsidP="002A7B22">
      <w:r>
        <w:fldChar w:fldCharType="begin"/>
      </w:r>
      <w:r>
        <w:instrText xml:space="preserve"> AUTONUM  </w:instrText>
      </w:r>
      <w:r>
        <w:fldChar w:fldCharType="end"/>
      </w:r>
      <w:r>
        <w:tab/>
        <w:t>Results were received from France, Germany, Italy</w:t>
      </w:r>
      <w:r w:rsidRPr="00C713C5">
        <w:t xml:space="preserve"> and United Kingdom</w:t>
      </w:r>
      <w:r>
        <w:t>. All available results were presented to the TWC at its thirty-second session, held in Helsinki, Finland from June 3 to 6, 2014 (see document TWC/32/18 Add.).</w:t>
      </w:r>
    </w:p>
    <w:p w:rsidR="002A7B22" w:rsidRDefault="002A7B22" w:rsidP="002A7B22"/>
    <w:p w:rsidR="002A7B22" w:rsidRDefault="002A7B22" w:rsidP="00F0624D">
      <w:pPr>
        <w:pStyle w:val="Heading2"/>
      </w:pPr>
      <w:bookmarkStart w:id="7" w:name="_Toc419123349"/>
      <w:r>
        <w:t>Consideration by the Technical Working Parties in 2014</w:t>
      </w:r>
      <w:bookmarkEnd w:id="7"/>
    </w:p>
    <w:p w:rsidR="002A7B22" w:rsidRDefault="002A7B22" w:rsidP="002A7B22"/>
    <w:p w:rsidR="002A7B22" w:rsidRPr="00450B44" w:rsidRDefault="002A7B22" w:rsidP="002A7B22">
      <w:pPr>
        <w:rPr>
          <w:u w:val="single"/>
        </w:rPr>
      </w:pPr>
      <w:r w:rsidRPr="00AF2207">
        <w:rPr>
          <w:snapToGrid w:val="0"/>
        </w:rPr>
        <w:fldChar w:fldCharType="begin"/>
      </w:r>
      <w:r w:rsidRPr="00AF2207">
        <w:rPr>
          <w:snapToGrid w:val="0"/>
        </w:rPr>
        <w:instrText xml:space="preserve"> AUTONUM  </w:instrText>
      </w:r>
      <w:r w:rsidRPr="00AF2207">
        <w:rPr>
          <w:snapToGrid w:val="0"/>
        </w:rPr>
        <w:fldChar w:fldCharType="end"/>
      </w:r>
      <w:r w:rsidRPr="00AF2207">
        <w:rPr>
          <w:snapToGrid w:val="0"/>
        </w:rPr>
        <w:tab/>
      </w:r>
      <w:r>
        <w:t xml:space="preserve">The TWO, TWF, </w:t>
      </w:r>
      <w:r w:rsidRPr="00E461F1">
        <w:t>TWC</w:t>
      </w:r>
      <w:r>
        <w:t>,</w:t>
      </w:r>
      <w:r w:rsidRPr="00E461F1">
        <w:t xml:space="preserve"> </w:t>
      </w:r>
      <w:r w:rsidRPr="00F00C80">
        <w:t>TWV</w:t>
      </w:r>
      <w:r w:rsidRPr="00E461F1">
        <w:t xml:space="preserve"> </w:t>
      </w:r>
      <w:r>
        <w:t xml:space="preserve">and TWA </w:t>
      </w:r>
      <w:r w:rsidRPr="00F00C80">
        <w:t>considered</w:t>
      </w:r>
      <w:r w:rsidRPr="00AF2207">
        <w:rPr>
          <w:snapToGrid w:val="0"/>
        </w:rPr>
        <w:t xml:space="preserve"> document</w:t>
      </w:r>
      <w:r>
        <w:rPr>
          <w:snapToGrid w:val="0"/>
        </w:rPr>
        <w:t>s</w:t>
      </w:r>
      <w:r w:rsidRPr="00AF2207">
        <w:rPr>
          <w:snapToGrid w:val="0"/>
        </w:rPr>
        <w:t xml:space="preserve"> TWO/47/1</w:t>
      </w:r>
      <w:r>
        <w:rPr>
          <w:snapToGrid w:val="0"/>
        </w:rPr>
        <w:t>8,</w:t>
      </w:r>
      <w:r w:rsidRPr="00A628A7">
        <w:t xml:space="preserve"> </w:t>
      </w:r>
      <w:r w:rsidRPr="00653DEB">
        <w:t>TWF/45/1</w:t>
      </w:r>
      <w:r>
        <w:t>8,</w:t>
      </w:r>
      <w:r w:rsidRPr="00A628A7">
        <w:rPr>
          <w:snapToGrid w:val="0"/>
        </w:rPr>
        <w:t xml:space="preserve"> </w:t>
      </w:r>
      <w:r w:rsidRPr="00BD5B6E">
        <w:rPr>
          <w:snapToGrid w:val="0"/>
        </w:rPr>
        <w:t>TWC/32/1</w:t>
      </w:r>
      <w:r>
        <w:rPr>
          <w:snapToGrid w:val="0"/>
        </w:rPr>
        <w:t xml:space="preserve">8, </w:t>
      </w:r>
      <w:r w:rsidRPr="00142558">
        <w:t>TWV/48/1</w:t>
      </w:r>
      <w:r>
        <w:t xml:space="preserve">8, </w:t>
      </w:r>
      <w:r w:rsidRPr="007D0BAC">
        <w:t>TWA/43/1</w:t>
      </w:r>
      <w:r>
        <w:t xml:space="preserve">8 </w:t>
      </w:r>
      <w:r w:rsidRPr="00450B44">
        <w:t>“Revision of Document TGP/8: Part II: Selected Techniques Used in DUS Examination, New Section: Data Processing for the Assessment of Distinctness and for Producing Variety Descriptions”</w:t>
      </w:r>
      <w:r>
        <w:t xml:space="preserve"> </w:t>
      </w:r>
      <w:r w:rsidRPr="00F00C80">
        <w:t>(see document TWO/4</w:t>
      </w:r>
      <w:r>
        <w:t>7</w:t>
      </w:r>
      <w:r w:rsidRPr="00F00C80">
        <w:t>/2</w:t>
      </w:r>
      <w:r>
        <w:t>8</w:t>
      </w:r>
      <w:r w:rsidRPr="00F00C80">
        <w:t xml:space="preserve"> “Report”, paragraphs </w:t>
      </w:r>
      <w:r>
        <w:t>47</w:t>
      </w:r>
      <w:r w:rsidRPr="00F00C80">
        <w:t xml:space="preserve"> </w:t>
      </w:r>
      <w:r>
        <w:t>to 51</w:t>
      </w:r>
      <w:r w:rsidRPr="00F00C80">
        <w:t xml:space="preserve"> </w:t>
      </w:r>
      <w:r w:rsidRPr="00E461F1">
        <w:t>, document TWF/4</w:t>
      </w:r>
      <w:r>
        <w:t>5</w:t>
      </w:r>
      <w:r w:rsidRPr="00E461F1">
        <w:t>/3</w:t>
      </w:r>
      <w:r>
        <w:t>2</w:t>
      </w:r>
      <w:r w:rsidRPr="00E461F1">
        <w:t xml:space="preserve"> “Report”, paragraphs </w:t>
      </w:r>
      <w:r>
        <w:t>37</w:t>
      </w:r>
      <w:r w:rsidRPr="00E461F1">
        <w:t xml:space="preserve"> to </w:t>
      </w:r>
      <w:r>
        <w:t>41</w:t>
      </w:r>
      <w:r w:rsidRPr="00E461F1">
        <w:t>, document TWC/3</w:t>
      </w:r>
      <w:r>
        <w:t>2</w:t>
      </w:r>
      <w:r w:rsidRPr="00E461F1">
        <w:t>/</w:t>
      </w:r>
      <w:r>
        <w:t>28</w:t>
      </w:r>
      <w:r w:rsidRPr="00E461F1">
        <w:t xml:space="preserve"> “Report”, paragraphs </w:t>
      </w:r>
      <w:r>
        <w:t>25</w:t>
      </w:r>
      <w:r w:rsidRPr="00E461F1">
        <w:t xml:space="preserve"> </w:t>
      </w:r>
      <w:r>
        <w:t xml:space="preserve">to 33, </w:t>
      </w:r>
      <w:r w:rsidRPr="00E461F1">
        <w:t>document TWV/4</w:t>
      </w:r>
      <w:r>
        <w:t>8</w:t>
      </w:r>
      <w:r w:rsidRPr="00E461F1">
        <w:t>/</w:t>
      </w:r>
      <w:r>
        <w:t>43</w:t>
      </w:r>
      <w:r w:rsidRPr="00E461F1">
        <w:t xml:space="preserve"> “Report”, paragraphs </w:t>
      </w:r>
      <w:r>
        <w:t>43</w:t>
      </w:r>
      <w:r w:rsidRPr="00E461F1">
        <w:t xml:space="preserve"> to </w:t>
      </w:r>
      <w:r>
        <w:t>48</w:t>
      </w:r>
      <w:r w:rsidRPr="00E461F1">
        <w:t xml:space="preserve"> and document TWA/4</w:t>
      </w:r>
      <w:r>
        <w:t>3</w:t>
      </w:r>
      <w:r w:rsidRPr="00E461F1">
        <w:t>/</w:t>
      </w:r>
      <w:r>
        <w:t>27</w:t>
      </w:r>
      <w:r w:rsidRPr="00E461F1">
        <w:t xml:space="preserve"> “Report”, paragraphs</w:t>
      </w:r>
      <w:r>
        <w:t xml:space="preserve"> 40</w:t>
      </w:r>
      <w:r w:rsidRPr="00E461F1">
        <w:t xml:space="preserve"> to </w:t>
      </w:r>
      <w:r>
        <w:t>44</w:t>
      </w:r>
      <w:r w:rsidRPr="00F00C80">
        <w:t>)</w:t>
      </w:r>
      <w:r w:rsidRPr="00AF2207">
        <w:rPr>
          <w:snapToGrid w:val="0"/>
        </w:rPr>
        <w:t>.</w:t>
      </w:r>
    </w:p>
    <w:p w:rsidR="002A7B22" w:rsidRDefault="002A7B22" w:rsidP="002A7B22"/>
    <w:p w:rsidR="002A7B22" w:rsidRPr="00653DEB" w:rsidRDefault="002A7B22" w:rsidP="002A7B22">
      <w:r w:rsidRPr="00653DEB">
        <w:rPr>
          <w:color w:val="000000"/>
        </w:rPr>
        <w:fldChar w:fldCharType="begin"/>
      </w:r>
      <w:r w:rsidRPr="00653DEB">
        <w:rPr>
          <w:color w:val="000000"/>
        </w:rPr>
        <w:instrText xml:space="preserve"> AUTONUM  </w:instrText>
      </w:r>
      <w:r w:rsidRPr="00653DEB">
        <w:rPr>
          <w:color w:val="000000"/>
        </w:rPr>
        <w:fldChar w:fldCharType="end"/>
      </w:r>
      <w:r w:rsidRPr="00653DEB">
        <w:rPr>
          <w:color w:val="000000"/>
        </w:rPr>
        <w:tab/>
      </w:r>
      <w:r w:rsidRPr="00653DEB">
        <w:t>The TWF received a presentation from an expert from New Zealand on the project for “apple reference varieties”, as reproduced in Annex I</w:t>
      </w:r>
      <w:r>
        <w:t>II</w:t>
      </w:r>
      <w:r w:rsidRPr="00653DEB">
        <w:t xml:space="preserve"> to </w:t>
      </w:r>
      <w:r>
        <w:t>this document</w:t>
      </w:r>
      <w:r w:rsidRPr="00653DEB">
        <w:t>.  The TWF noted the importance of the quality of the Test Guidelines in providing good consistent characteristics, and a complete set of example varieties ensuring harmonized variety descriptions</w:t>
      </w:r>
      <w:r>
        <w:t xml:space="preserve"> (see </w:t>
      </w:r>
      <w:r w:rsidRPr="00E461F1">
        <w:t>document TWF/4</w:t>
      </w:r>
      <w:r>
        <w:t>5</w:t>
      </w:r>
      <w:r w:rsidRPr="00E461F1">
        <w:t>/3</w:t>
      </w:r>
      <w:r>
        <w:t>2</w:t>
      </w:r>
      <w:r w:rsidRPr="00E461F1">
        <w:t xml:space="preserve"> “Report”, paragraph</w:t>
      </w:r>
      <w:r>
        <w:t xml:space="preserve"> 38)</w:t>
      </w:r>
      <w:r w:rsidRPr="00653DEB">
        <w:t>.</w:t>
      </w:r>
    </w:p>
    <w:p w:rsidR="002A7B22" w:rsidRDefault="002A7B22" w:rsidP="002A7B22"/>
    <w:p w:rsidR="002A7B22" w:rsidRDefault="002A7B22" w:rsidP="002A7B22">
      <w:r w:rsidRPr="00653DEB">
        <w:fldChar w:fldCharType="begin"/>
      </w:r>
      <w:r w:rsidRPr="00653DEB">
        <w:instrText xml:space="preserve"> AUTONUM  </w:instrText>
      </w:r>
      <w:r w:rsidRPr="00653DEB">
        <w:fldChar w:fldCharType="end"/>
      </w:r>
      <w:r w:rsidRPr="00653DEB">
        <w:tab/>
        <w:t>The TWF received information from an expert from</w:t>
      </w:r>
      <w:r w:rsidRPr="00C12E20">
        <w:t xml:space="preserve"> </w:t>
      </w:r>
      <w:r w:rsidRPr="00653DEB">
        <w:t>the European Union on a ring test project on Apple for the management of variety descr</w:t>
      </w:r>
      <w:r>
        <w:t xml:space="preserve">iption to be launched in 2015. </w:t>
      </w:r>
      <w:r w:rsidRPr="00653DEB">
        <w:t>The aim of the project w</w:t>
      </w:r>
      <w:r>
        <w:t>as</w:t>
      </w:r>
      <w:r w:rsidRPr="00653DEB">
        <w:t xml:space="preserve"> to identify the reason for differences in variety description between offices in Europe, when using similar varieties and </w:t>
      </w:r>
      <w:r>
        <w:t xml:space="preserve">the </w:t>
      </w:r>
      <w:r w:rsidRPr="00653DEB">
        <w:t xml:space="preserve">same rootstock.  The TWF requested </w:t>
      </w:r>
      <w:r>
        <w:t xml:space="preserve">an </w:t>
      </w:r>
      <w:r w:rsidRPr="00653DEB">
        <w:t>expert from</w:t>
      </w:r>
      <w:r w:rsidRPr="00C12E20">
        <w:t xml:space="preserve"> </w:t>
      </w:r>
      <w:r w:rsidRPr="00653DEB">
        <w:t xml:space="preserve">the European Union to report on </w:t>
      </w:r>
      <w:r>
        <w:t>progress with</w:t>
      </w:r>
      <w:r w:rsidRPr="00653DEB">
        <w:t xml:space="preserve"> this project at its forty</w:t>
      </w:r>
      <w:r w:rsidRPr="00653DEB">
        <w:noBreakHyphen/>
        <w:t>sixth session</w:t>
      </w:r>
      <w:r>
        <w:t xml:space="preserve"> (see </w:t>
      </w:r>
      <w:r w:rsidRPr="00E461F1">
        <w:t>document TWF/4</w:t>
      </w:r>
      <w:r>
        <w:t>5</w:t>
      </w:r>
      <w:r w:rsidRPr="00E461F1">
        <w:t>/3</w:t>
      </w:r>
      <w:r>
        <w:t>2</w:t>
      </w:r>
      <w:r w:rsidRPr="00E461F1">
        <w:t xml:space="preserve"> “Report”, paragraph</w:t>
      </w:r>
      <w:r>
        <w:t xml:space="preserve"> 29)</w:t>
      </w:r>
      <w:r w:rsidRPr="00653DEB">
        <w:t>.</w:t>
      </w:r>
    </w:p>
    <w:p w:rsidR="002A7B22" w:rsidRDefault="002A7B22" w:rsidP="002A7B22"/>
    <w:p w:rsidR="002A7B22" w:rsidRPr="00BD5B6E" w:rsidRDefault="002A7B22" w:rsidP="002A7B22">
      <w:r w:rsidRPr="00BD5B6E">
        <w:fldChar w:fldCharType="begin"/>
      </w:r>
      <w:r w:rsidRPr="00BD5B6E">
        <w:instrText xml:space="preserve"> AUTONUM  </w:instrText>
      </w:r>
      <w:r w:rsidRPr="00BD5B6E">
        <w:fldChar w:fldCharType="end"/>
      </w:r>
      <w:r w:rsidRPr="00BD5B6E">
        <w:rPr>
          <w:rFonts w:eastAsia="MS Mincho" w:cs="Arial"/>
          <w:lang w:eastAsia="ja-JP"/>
        </w:rPr>
        <w:tab/>
      </w:r>
      <w:r w:rsidRPr="00BD5B6E">
        <w:t>The TWC noted that the description</w:t>
      </w:r>
      <w:r>
        <w:t>s</w:t>
      </w:r>
      <w:r w:rsidRPr="00BD5B6E">
        <w:t xml:space="preserve"> of the methods used in France, Germany</w:t>
      </w:r>
      <w:r>
        <w:t>,</w:t>
      </w:r>
      <w:r w:rsidRPr="00BD5B6E">
        <w:t xml:space="preserve"> Japan</w:t>
      </w:r>
      <w:r>
        <w:t xml:space="preserve"> and the United Kingdom</w:t>
      </w:r>
      <w:r w:rsidRPr="00BD5B6E">
        <w:t xml:space="preserve"> </w:t>
      </w:r>
      <w:r>
        <w:t xml:space="preserve">were provided in the document considered </w:t>
      </w:r>
      <w:r w:rsidR="0046345C">
        <w:t>in previous sessions of the TWC.</w:t>
      </w:r>
    </w:p>
    <w:p w:rsidR="002A7B22" w:rsidRPr="00BD5B6E" w:rsidRDefault="002A7B22" w:rsidP="002A7B22"/>
    <w:p w:rsidR="002A7B22" w:rsidRPr="00BD5B6E" w:rsidRDefault="002A7B22" w:rsidP="002A7B22">
      <w:pPr>
        <w:rPr>
          <w:rFonts w:eastAsia="MS Mincho" w:cs="Arial"/>
          <w:lang w:eastAsia="ja-JP"/>
        </w:rPr>
      </w:pPr>
      <w:r w:rsidRPr="00BD5B6E">
        <w:lastRenderedPageBreak/>
        <w:fldChar w:fldCharType="begin"/>
      </w:r>
      <w:r w:rsidRPr="00BD5B6E">
        <w:instrText xml:space="preserve"> AUTONUM  </w:instrText>
      </w:r>
      <w:r w:rsidRPr="00BD5B6E">
        <w:fldChar w:fldCharType="end"/>
      </w:r>
      <w:r w:rsidRPr="00BD5B6E">
        <w:rPr>
          <w:rFonts w:eastAsia="MS Mincho" w:cs="Arial"/>
          <w:lang w:eastAsia="ja-JP"/>
        </w:rPr>
        <w:tab/>
      </w:r>
      <w:r w:rsidRPr="00BD5B6E">
        <w:t>The TWC received a presentation by an expert from Italy on the Italian method for the development of variety description</w:t>
      </w:r>
      <w:r>
        <w:t>s</w:t>
      </w:r>
      <w:r w:rsidRPr="00BD5B6E">
        <w:t xml:space="preserve">, as </w:t>
      </w:r>
      <w:r>
        <w:t xml:space="preserve">reproduced </w:t>
      </w:r>
      <w:r w:rsidRPr="00BD5B6E">
        <w:t xml:space="preserve">in </w:t>
      </w:r>
      <w:r w:rsidR="00BB2F1E" w:rsidRPr="005673D0">
        <w:t xml:space="preserve">document TWC/32/18, </w:t>
      </w:r>
      <w:r w:rsidR="005673D0" w:rsidRPr="005673D0">
        <w:t>Annex II</w:t>
      </w:r>
      <w:r w:rsidRPr="005673D0">
        <w:rPr>
          <w:rFonts w:eastAsia="MS Mincho" w:cs="Arial"/>
          <w:lang w:eastAsia="ja-JP"/>
        </w:rPr>
        <w:t>.</w:t>
      </w:r>
    </w:p>
    <w:p w:rsidR="002A7B22" w:rsidRPr="00BD5B6E" w:rsidRDefault="002A7B22" w:rsidP="002A7B22">
      <w:pPr>
        <w:rPr>
          <w:rFonts w:eastAsia="MS Mincho" w:cs="Arial"/>
          <w:lang w:eastAsia="ja-JP"/>
        </w:rPr>
      </w:pPr>
    </w:p>
    <w:p w:rsidR="002A7B22" w:rsidRPr="00BD5B6E" w:rsidRDefault="002A7B22" w:rsidP="002A7B22">
      <w:r w:rsidRPr="00BD5B6E">
        <w:fldChar w:fldCharType="begin"/>
      </w:r>
      <w:r w:rsidRPr="00BD5B6E">
        <w:instrText xml:space="preserve"> AUTONUM  </w:instrText>
      </w:r>
      <w:r w:rsidRPr="00BD5B6E">
        <w:fldChar w:fldCharType="end"/>
      </w:r>
      <w:r w:rsidRPr="00BD5B6E">
        <w:rPr>
          <w:rFonts w:eastAsia="MS Mincho" w:cs="Arial"/>
          <w:lang w:eastAsia="ja-JP"/>
        </w:rPr>
        <w:tab/>
        <w:t xml:space="preserve">The TWC agreed </w:t>
      </w:r>
      <w:r w:rsidRPr="00BD5B6E">
        <w:t xml:space="preserve">that the method presented by the expert from Italy </w:t>
      </w:r>
      <w:r>
        <w:t>had</w:t>
      </w:r>
      <w:r w:rsidRPr="00BD5B6E">
        <w:t xml:space="preserve"> similar</w:t>
      </w:r>
      <w:r>
        <w:t>ities</w:t>
      </w:r>
      <w:r w:rsidRPr="00BD5B6E">
        <w:t xml:space="preserve"> </w:t>
      </w:r>
      <w:r>
        <w:t xml:space="preserve">with </w:t>
      </w:r>
      <w:r w:rsidRPr="00BD5B6E">
        <w:t xml:space="preserve">the method used in the United Kingdom.  The TWC noted that the range of expression of the variety means was divided by the amount of notes used for a characteristic, but that in Italy the extreme notes were not </w:t>
      </w:r>
      <w:r>
        <w:t xml:space="preserve">always </w:t>
      </w:r>
      <w:r w:rsidRPr="00BD5B6E">
        <w:t>used (e.g. 1 and 9) allowing space for future progress in plant breeding</w:t>
      </w:r>
      <w:r w:rsidR="0046345C">
        <w:t>.</w:t>
      </w:r>
    </w:p>
    <w:p w:rsidR="002A7B22" w:rsidRPr="00BD5B6E" w:rsidRDefault="002A7B22" w:rsidP="002A7B22">
      <w:pPr>
        <w:rPr>
          <w:rFonts w:ascii="Times New Roman" w:eastAsia="MS Mincho" w:hAnsi="Times New Roman"/>
          <w:lang w:eastAsia="ja-JP"/>
        </w:rPr>
      </w:pPr>
    </w:p>
    <w:p w:rsidR="002A7B22" w:rsidRPr="00BD5B6E" w:rsidRDefault="002A7B22" w:rsidP="002A7B22">
      <w:r w:rsidRPr="00BD5B6E">
        <w:fldChar w:fldCharType="begin"/>
      </w:r>
      <w:r w:rsidRPr="00BD5B6E">
        <w:instrText xml:space="preserve"> AUTONUM  </w:instrText>
      </w:r>
      <w:r w:rsidRPr="00BD5B6E">
        <w:fldChar w:fldCharType="end"/>
      </w:r>
      <w:r w:rsidRPr="00BD5B6E">
        <w:rPr>
          <w:rFonts w:eastAsia="MS Mincho" w:cs="Arial"/>
          <w:lang w:eastAsia="ja-JP"/>
        </w:rPr>
        <w:tab/>
      </w:r>
      <w:r w:rsidRPr="00BD5B6E">
        <w:t>The TWC considered the results of a practical exercise presented in document TWC/32/18 Add. and agreed to request those participants to the practical exercise to complement the information provided with regard to the steps used in the procedure to obtain the calculated results in order to clarify the methods used</w:t>
      </w:r>
      <w:r w:rsidR="0046345C">
        <w:t>.</w:t>
      </w:r>
      <w:r w:rsidRPr="00BD5B6E">
        <w:t xml:space="preserve"> </w:t>
      </w:r>
    </w:p>
    <w:p w:rsidR="002A7B22" w:rsidRPr="00BD5B6E" w:rsidRDefault="002A7B22" w:rsidP="002A7B22"/>
    <w:p w:rsidR="002A7B22" w:rsidRPr="00BD5B6E" w:rsidRDefault="002A7B22" w:rsidP="002A7B22">
      <w:r w:rsidRPr="00BD5B6E">
        <w:fldChar w:fldCharType="begin"/>
      </w:r>
      <w:r w:rsidRPr="00BD5B6E">
        <w:instrText xml:space="preserve"> AUTONUM  </w:instrText>
      </w:r>
      <w:r w:rsidRPr="00BD5B6E">
        <w:fldChar w:fldCharType="end"/>
      </w:r>
      <w:r w:rsidRPr="00BD5B6E">
        <w:rPr>
          <w:rFonts w:eastAsia="MS Mincho" w:cs="Arial"/>
          <w:lang w:eastAsia="ja-JP"/>
        </w:rPr>
        <w:tab/>
      </w:r>
      <w:r w:rsidRPr="00BD5B6E">
        <w:t>The TWC agreed to request an expert from France to compare the results of the practical exercise presented by the different participants to identify differences in the results obtained</w:t>
      </w:r>
      <w:r>
        <w:t xml:space="preserve"> for further understanding of the different methodologies</w:t>
      </w:r>
      <w:r w:rsidRPr="00BD5B6E">
        <w:t>. The TWC agreed that the comparison of results should be presented for consideration at the next session of the TWC</w:t>
      </w:r>
      <w:r w:rsidR="0046345C">
        <w:t>.</w:t>
      </w:r>
    </w:p>
    <w:p w:rsidR="002A7B22" w:rsidRPr="00BD5B6E" w:rsidRDefault="002A7B22" w:rsidP="002A7B22"/>
    <w:p w:rsidR="002A7B22" w:rsidRPr="00BD5B6E" w:rsidRDefault="002A7B22" w:rsidP="002A7B22">
      <w:r w:rsidRPr="00BD5B6E">
        <w:fldChar w:fldCharType="begin"/>
      </w:r>
      <w:r w:rsidRPr="00BD5B6E">
        <w:instrText xml:space="preserve"> AUTONUM  </w:instrText>
      </w:r>
      <w:r w:rsidRPr="00BD5B6E">
        <w:fldChar w:fldCharType="end"/>
      </w:r>
      <w:r w:rsidRPr="00BD5B6E">
        <w:rPr>
          <w:rFonts w:eastAsia="MS Mincho" w:cs="Arial"/>
          <w:lang w:eastAsia="ja-JP"/>
        </w:rPr>
        <w:tab/>
      </w:r>
      <w:r w:rsidRPr="00BD5B6E">
        <w:t>The TWC agreed to invite the expert from China to provide information on the methods used for data processing for the assessment of distinctness and for producing variety descriptions in China</w:t>
      </w:r>
      <w:r>
        <w:t xml:space="preserve"> at the next session of the TWC </w:t>
      </w:r>
      <w:r>
        <w:rPr>
          <w:rFonts w:eastAsia="MS Mincho" w:cs="Arial"/>
          <w:lang w:eastAsia="ja-JP"/>
        </w:rPr>
        <w:t xml:space="preserve">(see </w:t>
      </w:r>
      <w:r w:rsidRPr="00E461F1">
        <w:t>document TWC/3</w:t>
      </w:r>
      <w:r>
        <w:t>2</w:t>
      </w:r>
      <w:r w:rsidRPr="00E461F1">
        <w:t>/</w:t>
      </w:r>
      <w:r>
        <w:t>28</w:t>
      </w:r>
      <w:r w:rsidRPr="00E461F1">
        <w:t xml:space="preserve"> “Report”, paragraph</w:t>
      </w:r>
      <w:r w:rsidR="0046345C">
        <w:t>s 27 to</w:t>
      </w:r>
      <w:r>
        <w:t xml:space="preserve"> 33)</w:t>
      </w:r>
      <w:r w:rsidRPr="00BD5B6E">
        <w:t xml:space="preserve">. </w:t>
      </w:r>
    </w:p>
    <w:p w:rsidR="002A7B22" w:rsidRDefault="002A7B22" w:rsidP="002A7B22"/>
    <w:p w:rsidR="002A7B22" w:rsidRPr="00142558" w:rsidRDefault="002A7B22" w:rsidP="002A7B22">
      <w:r w:rsidRPr="00142558">
        <w:fldChar w:fldCharType="begin"/>
      </w:r>
      <w:r w:rsidRPr="00142558">
        <w:instrText xml:space="preserve"> AUTONUM  </w:instrText>
      </w:r>
      <w:r w:rsidRPr="00142558">
        <w:fldChar w:fldCharType="end"/>
      </w:r>
      <w:r w:rsidRPr="00142558">
        <w:tab/>
      </w:r>
      <w:r w:rsidRPr="00142558">
        <w:rPr>
          <w:rFonts w:cs="Arial"/>
        </w:rPr>
        <w:t>The TWV recognized the importance of the expertise of the DUS examiners, and agreed that in the vegetable sector, measurements were rarely used, therefore the example given in document</w:t>
      </w:r>
      <w:r w:rsidRPr="00142558">
        <w:t> TWV/48/18 were not relevant for vegetables examination. It further agreed that experts from France, Netherlands and United Kingdom would provide a relevant example for vegetables crops (e.g. onion, pea)</w:t>
      </w:r>
      <w:r>
        <w:t xml:space="preserve"> (see document</w:t>
      </w:r>
      <w:r w:rsidR="00120C54">
        <w:t> TWV</w:t>
      </w:r>
      <w:r w:rsidRPr="00E461F1">
        <w:t>/4</w:t>
      </w:r>
      <w:r>
        <w:t>8</w:t>
      </w:r>
      <w:r w:rsidRPr="00E461F1">
        <w:t>/</w:t>
      </w:r>
      <w:r>
        <w:t>43</w:t>
      </w:r>
      <w:r w:rsidRPr="00E461F1">
        <w:t xml:space="preserve"> “Report”, paragraphs </w:t>
      </w:r>
      <w:r>
        <w:t>48)</w:t>
      </w:r>
      <w:r w:rsidRPr="00142558">
        <w:t>.</w:t>
      </w:r>
    </w:p>
    <w:p w:rsidR="002A7B22" w:rsidRDefault="002A7B22" w:rsidP="002A7B22"/>
    <w:p w:rsidR="002A7B22" w:rsidRPr="00142558" w:rsidRDefault="002A7B22" w:rsidP="002A7B22">
      <w:r w:rsidRPr="00142558">
        <w:fldChar w:fldCharType="begin"/>
      </w:r>
      <w:r w:rsidRPr="00142558">
        <w:instrText xml:space="preserve"> AUTONUM  </w:instrText>
      </w:r>
      <w:r w:rsidRPr="00142558">
        <w:fldChar w:fldCharType="end"/>
      </w:r>
      <w:r w:rsidRPr="00142558">
        <w:tab/>
        <w:t>The TWV agreed on a ring test on lettuce for the management of DUS examinations to be launched in 2015 by experts from France, the Netherlands and other UPOV members.  The aim would be to identify possible reasons for differences in DUS examination and variety descriptions for the same varieties.  Participants would receive seed of five different varieties and instructions on the examination.  The varieties would be described during the technical visit of the forty-ninth session of the TWV, and experts invited to compare the results with their own data</w:t>
      </w:r>
      <w:r>
        <w:t xml:space="preserve"> (see document </w:t>
      </w:r>
      <w:r w:rsidRPr="00E461F1">
        <w:t>TWV/4</w:t>
      </w:r>
      <w:r>
        <w:t>8</w:t>
      </w:r>
      <w:r w:rsidRPr="00E461F1">
        <w:t>/</w:t>
      </w:r>
      <w:r>
        <w:t>43</w:t>
      </w:r>
      <w:r w:rsidRPr="00F00C80">
        <w:t xml:space="preserve"> “Report”, paragraph</w:t>
      </w:r>
      <w:r>
        <w:t xml:space="preserve"> 37)</w:t>
      </w:r>
      <w:r w:rsidRPr="00142558">
        <w:t>.</w:t>
      </w:r>
    </w:p>
    <w:p w:rsidR="002A7B22" w:rsidRDefault="002A7B22" w:rsidP="002A7B22"/>
    <w:p w:rsidR="00D02ED3" w:rsidRDefault="000A04EF" w:rsidP="00F0624D">
      <w:pPr>
        <w:pStyle w:val="Heading2"/>
      </w:pPr>
      <w:bookmarkStart w:id="8" w:name="_Toc419123350"/>
      <w:r>
        <w:t xml:space="preserve">Consideration by the Technical </w:t>
      </w:r>
      <w:r w:rsidR="00F0624D">
        <w:t>Committee</w:t>
      </w:r>
      <w:r>
        <w:t xml:space="preserve"> </w:t>
      </w:r>
      <w:r w:rsidR="00D02ED3">
        <w:t>in 2015</w:t>
      </w:r>
      <w:bookmarkEnd w:id="8"/>
    </w:p>
    <w:p w:rsidR="002A7B22" w:rsidRDefault="002A7B22" w:rsidP="002A7B22"/>
    <w:p w:rsidR="00D02ED3" w:rsidRPr="000B03FD" w:rsidRDefault="00D02ED3" w:rsidP="00D02ED3">
      <w:r w:rsidRPr="000B03FD">
        <w:fldChar w:fldCharType="begin"/>
      </w:r>
      <w:r w:rsidRPr="000B03FD">
        <w:instrText xml:space="preserve"> AUTONUM  </w:instrText>
      </w:r>
      <w:r w:rsidRPr="000B03FD">
        <w:fldChar w:fldCharType="end"/>
      </w:r>
      <w:r w:rsidRPr="000B03FD">
        <w:tab/>
        <w:t>The TC noted the information provided in document TC/51/19</w:t>
      </w:r>
      <w:r>
        <w:t xml:space="preserve"> “</w:t>
      </w:r>
      <w:r w:rsidRPr="000B03FD">
        <w:t>Revision of document TGP/8: Part II: Selected Techniques Used in DUS Examination, New Section: Data Processing for the Assessment of Distinctness and for Producing Variety Descriptions</w:t>
      </w:r>
      <w:r>
        <w:t>”</w:t>
      </w:r>
      <w:r w:rsidRPr="000B03FD">
        <w:t>.</w:t>
      </w:r>
    </w:p>
    <w:p w:rsidR="00D02ED3" w:rsidRPr="000B03FD" w:rsidRDefault="00D02ED3" w:rsidP="00D02ED3"/>
    <w:p w:rsidR="00D02ED3" w:rsidRPr="000B03FD" w:rsidRDefault="00D02ED3" w:rsidP="00D02ED3">
      <w:r w:rsidRPr="000B03FD">
        <w:fldChar w:fldCharType="begin"/>
      </w:r>
      <w:r w:rsidRPr="000B03FD">
        <w:instrText xml:space="preserve"> AUTONUM  </w:instrText>
      </w:r>
      <w:r w:rsidRPr="000B03FD">
        <w:fldChar w:fldCharType="end"/>
      </w:r>
      <w:r w:rsidRPr="000B03FD">
        <w:tab/>
        <w:t>The TC welcomed the proposal made by the TWC, as presented in paragraph 32 of document TC/51/19, to compare the results of the practical exercise presented by the different participants to identify differences in the results obtained for further understanding of the different methodologies, for consideration at the thirty-third session of the TWC, to be held in Natal, Brazil.</w:t>
      </w:r>
    </w:p>
    <w:p w:rsidR="00D02ED3" w:rsidRPr="000B03FD" w:rsidRDefault="00D02ED3" w:rsidP="00D02ED3"/>
    <w:p w:rsidR="00D02ED3" w:rsidRDefault="00D02ED3" w:rsidP="002A7B22">
      <w:r w:rsidRPr="000B03FD">
        <w:fldChar w:fldCharType="begin"/>
      </w:r>
      <w:r w:rsidRPr="000B03FD">
        <w:instrText xml:space="preserve"> AUTONUM  </w:instrText>
      </w:r>
      <w:r w:rsidRPr="000B03FD">
        <w:fldChar w:fldCharType="end"/>
      </w:r>
      <w:r w:rsidRPr="000B03FD">
        <w:tab/>
        <w:t>The European Union reported that the project on a ring test on Apple for the management of variety description to be launched in 2015 had been suspended beca</w:t>
      </w:r>
      <w:r>
        <w:t>use of the high costs involved (see document</w:t>
      </w:r>
      <w:r w:rsidR="0013319C">
        <w:t> </w:t>
      </w:r>
      <w:r>
        <w:t>TC/51/39 “Report”, paragraphs 146 to 148).</w:t>
      </w:r>
    </w:p>
    <w:p w:rsidR="00D02ED3" w:rsidRPr="002E4602" w:rsidRDefault="00D02ED3" w:rsidP="002A7B22"/>
    <w:p w:rsidR="007163AE" w:rsidRDefault="002A7B22" w:rsidP="00715D32">
      <w:pPr>
        <w:tabs>
          <w:tab w:val="left" w:pos="5529"/>
        </w:tabs>
        <w:ind w:left="4820"/>
        <w:rPr>
          <w:i/>
        </w:rPr>
      </w:pPr>
      <w:r w:rsidRPr="00715D32">
        <w:rPr>
          <w:i/>
        </w:rPr>
        <w:fldChar w:fldCharType="begin"/>
      </w:r>
      <w:r w:rsidRPr="00715D32">
        <w:rPr>
          <w:i/>
        </w:rPr>
        <w:instrText xml:space="preserve"> AUTONUM  </w:instrText>
      </w:r>
      <w:r w:rsidRPr="00715D32">
        <w:rPr>
          <w:i/>
        </w:rPr>
        <w:fldChar w:fldCharType="end"/>
      </w:r>
      <w:r w:rsidRPr="00715D32">
        <w:rPr>
          <w:i/>
        </w:rPr>
        <w:tab/>
        <w:t xml:space="preserve">The </w:t>
      </w:r>
      <w:r w:rsidR="00757BCF">
        <w:rPr>
          <w:i/>
        </w:rPr>
        <w:t>TWO</w:t>
      </w:r>
      <w:r w:rsidRPr="00715D32">
        <w:rPr>
          <w:i/>
        </w:rPr>
        <w:t xml:space="preserve"> invited to</w:t>
      </w:r>
      <w:r w:rsidR="00FE493F">
        <w:rPr>
          <w:i/>
        </w:rPr>
        <w:t xml:space="preserve"> note that</w:t>
      </w:r>
      <w:r w:rsidR="007163AE">
        <w:rPr>
          <w:i/>
        </w:rPr>
        <w:t>:</w:t>
      </w:r>
    </w:p>
    <w:p w:rsidR="007163AE" w:rsidRDefault="007163AE" w:rsidP="00715D32">
      <w:pPr>
        <w:tabs>
          <w:tab w:val="left" w:pos="5529"/>
        </w:tabs>
        <w:ind w:left="4820"/>
        <w:rPr>
          <w:i/>
        </w:rPr>
      </w:pPr>
    </w:p>
    <w:p w:rsidR="002A7B22" w:rsidRPr="000C43F0" w:rsidRDefault="007163AE" w:rsidP="007163AE">
      <w:pPr>
        <w:tabs>
          <w:tab w:val="left" w:pos="5387"/>
          <w:tab w:val="left" w:pos="5954"/>
        </w:tabs>
        <w:ind w:left="4820"/>
        <w:rPr>
          <w:i/>
        </w:rPr>
      </w:pPr>
      <w:r w:rsidRPr="000C43F0">
        <w:rPr>
          <w:i/>
        </w:rPr>
        <w:tab/>
        <w:t>(a)</w:t>
      </w:r>
      <w:r w:rsidRPr="000C43F0">
        <w:rPr>
          <w:i/>
        </w:rPr>
        <w:tab/>
      </w:r>
      <w:r w:rsidR="000C43F0" w:rsidRPr="000C43F0">
        <w:rPr>
          <w:i/>
        </w:rPr>
        <w:t xml:space="preserve">the TWC and the TWA agreed that the guidance on “Different forms that variety descriptions could take and the relevance of scale levels”, as reproduced in Annex I of this document, should be used as an introduction to future guidance to be developed on </w:t>
      </w:r>
      <w:r w:rsidR="000C43F0" w:rsidRPr="000C43F0">
        <w:rPr>
          <w:rFonts w:cs="Arial"/>
          <w:i/>
        </w:rPr>
        <w:t>data processing for the assessment of distinctness and for producing variety descriptions;</w:t>
      </w:r>
    </w:p>
    <w:p w:rsidR="000C43F0" w:rsidRDefault="000C43F0" w:rsidP="007163AE">
      <w:pPr>
        <w:tabs>
          <w:tab w:val="left" w:pos="5387"/>
          <w:tab w:val="left" w:pos="5954"/>
        </w:tabs>
        <w:ind w:left="4820"/>
        <w:rPr>
          <w:i/>
        </w:rPr>
      </w:pPr>
    </w:p>
    <w:p w:rsidR="000C43F0" w:rsidRDefault="000C43F0" w:rsidP="00332060">
      <w:pPr>
        <w:keepLines/>
        <w:tabs>
          <w:tab w:val="left" w:pos="5387"/>
          <w:tab w:val="left" w:pos="5954"/>
        </w:tabs>
        <w:ind w:left="4820"/>
        <w:rPr>
          <w:i/>
        </w:rPr>
      </w:pPr>
      <w:r>
        <w:rPr>
          <w:i/>
        </w:rPr>
        <w:lastRenderedPageBreak/>
        <w:tab/>
        <w:t>(b)</w:t>
      </w:r>
      <w:r>
        <w:rPr>
          <w:i/>
        </w:rPr>
        <w:tab/>
      </w:r>
      <w:r w:rsidRPr="00715D32">
        <w:rPr>
          <w:i/>
        </w:rPr>
        <w:t>the TWC agreed to compare the results of the practical exercise presented by the different participants to identify differences in the results obtained for further understanding of the different methodologies, for consideration at the thirty</w:t>
      </w:r>
      <w:r w:rsidR="0019390B">
        <w:rPr>
          <w:i/>
        </w:rPr>
        <w:noBreakHyphen/>
      </w:r>
      <w:r w:rsidRPr="00715D32">
        <w:rPr>
          <w:i/>
        </w:rPr>
        <w:t>third session of the TWC, to be held in Natal, Brazil</w:t>
      </w:r>
      <w:r>
        <w:rPr>
          <w:i/>
        </w:rPr>
        <w:t>, from June 30 to July 3, 2015;</w:t>
      </w:r>
    </w:p>
    <w:p w:rsidR="007163AE" w:rsidRDefault="007163AE" w:rsidP="007163AE">
      <w:pPr>
        <w:tabs>
          <w:tab w:val="left" w:pos="5387"/>
          <w:tab w:val="left" w:pos="5954"/>
        </w:tabs>
        <w:ind w:left="4820"/>
        <w:rPr>
          <w:i/>
        </w:rPr>
      </w:pPr>
    </w:p>
    <w:p w:rsidR="007163AE" w:rsidRPr="00715D32" w:rsidRDefault="007163AE" w:rsidP="007163AE">
      <w:pPr>
        <w:tabs>
          <w:tab w:val="left" w:pos="5387"/>
          <w:tab w:val="left" w:pos="5954"/>
        </w:tabs>
        <w:ind w:left="4820"/>
        <w:rPr>
          <w:i/>
        </w:rPr>
      </w:pPr>
      <w:r>
        <w:rPr>
          <w:i/>
        </w:rPr>
        <w:tab/>
        <w:t>(</w:t>
      </w:r>
      <w:r w:rsidR="000C43F0">
        <w:rPr>
          <w:i/>
        </w:rPr>
        <w:t>c</w:t>
      </w:r>
      <w:r>
        <w:rPr>
          <w:i/>
        </w:rPr>
        <w:t>)</w:t>
      </w:r>
      <w:r>
        <w:rPr>
          <w:i/>
        </w:rPr>
        <w:tab/>
        <w:t xml:space="preserve">the </w:t>
      </w:r>
      <w:r w:rsidRPr="007163AE">
        <w:rPr>
          <w:i/>
        </w:rPr>
        <w:t xml:space="preserve">European Union </w:t>
      </w:r>
      <w:r w:rsidR="0097491A" w:rsidRPr="0097491A">
        <w:rPr>
          <w:i/>
        </w:rPr>
        <w:t xml:space="preserve">reported to the Technical Committee </w:t>
      </w:r>
      <w:r w:rsidRPr="007163AE">
        <w:rPr>
          <w:i/>
        </w:rPr>
        <w:t>that the project on a ring test on Apple for the management of variety description to be launched in 2015 had been suspended</w:t>
      </w:r>
      <w:r>
        <w:rPr>
          <w:i/>
        </w:rPr>
        <w:t>.</w:t>
      </w:r>
    </w:p>
    <w:p w:rsidR="002A7B22" w:rsidRDefault="002A7B22" w:rsidP="002A7B22">
      <w:pPr>
        <w:jc w:val="right"/>
        <w:rPr>
          <w:snapToGrid w:val="0"/>
        </w:rPr>
      </w:pPr>
    </w:p>
    <w:p w:rsidR="002A7B22" w:rsidRDefault="002A7B22" w:rsidP="002A7B22">
      <w:pPr>
        <w:jc w:val="right"/>
        <w:rPr>
          <w:snapToGrid w:val="0"/>
        </w:rPr>
      </w:pPr>
    </w:p>
    <w:p w:rsidR="00B92D6C" w:rsidRDefault="00B92D6C" w:rsidP="002A7B22">
      <w:pPr>
        <w:jc w:val="right"/>
        <w:rPr>
          <w:snapToGrid w:val="0"/>
        </w:rPr>
      </w:pPr>
    </w:p>
    <w:p w:rsidR="002A7B22" w:rsidRDefault="002A7B22" w:rsidP="002A7B22">
      <w:pPr>
        <w:jc w:val="right"/>
      </w:pPr>
      <w:r w:rsidRPr="00BF7EBF">
        <w:rPr>
          <w:snapToGrid w:val="0"/>
        </w:rPr>
        <w:t>[</w:t>
      </w:r>
      <w:r>
        <w:t>Annexes follow]</w:t>
      </w:r>
    </w:p>
    <w:p w:rsidR="002A7B22" w:rsidRDefault="002A7B22" w:rsidP="002A7B22"/>
    <w:p w:rsidR="002A7B22" w:rsidRDefault="002A7B22" w:rsidP="002A7B22">
      <w:pPr>
        <w:jc w:val="right"/>
        <w:sectPr w:rsidR="002A7B22" w:rsidSect="00450B44">
          <w:headerReference w:type="default" r:id="rId9"/>
          <w:pgSz w:w="11907" w:h="16840" w:code="9"/>
          <w:pgMar w:top="510" w:right="1134" w:bottom="1134" w:left="1134" w:header="510" w:footer="680" w:gutter="0"/>
          <w:pgNumType w:start="1"/>
          <w:cols w:space="720"/>
          <w:titlePg/>
        </w:sectPr>
      </w:pPr>
    </w:p>
    <w:p w:rsidR="002A7B22" w:rsidRDefault="002A7B22" w:rsidP="002A7B22">
      <w:pPr>
        <w:spacing w:line="360" w:lineRule="auto"/>
      </w:pPr>
    </w:p>
    <w:p w:rsidR="002A7B22" w:rsidRDefault="002A7B22" w:rsidP="002A7B22">
      <w:pPr>
        <w:spacing w:line="360" w:lineRule="auto"/>
        <w:jc w:val="center"/>
      </w:pPr>
      <w:r w:rsidRPr="000F09FC">
        <w:t xml:space="preserve">DIFFERENT FORMS THAT VARIETY DESCRIPTIONS COULD TAKE </w:t>
      </w:r>
    </w:p>
    <w:p w:rsidR="002A7B22" w:rsidRDefault="002A7B22" w:rsidP="002A7B22">
      <w:pPr>
        <w:spacing w:line="360" w:lineRule="auto"/>
        <w:jc w:val="center"/>
      </w:pPr>
      <w:r w:rsidRPr="000F09FC">
        <w:t>AND THE RELEVANCE OF SCALE LEVELS</w:t>
      </w:r>
    </w:p>
    <w:p w:rsidR="002A7B22" w:rsidRDefault="002A7B22" w:rsidP="002A7B22">
      <w:pPr>
        <w:spacing w:line="360" w:lineRule="auto"/>
        <w:jc w:val="center"/>
      </w:pPr>
      <w:r>
        <w:t>Document prepared by an expert from Germany</w:t>
      </w:r>
    </w:p>
    <w:p w:rsidR="002A7B22" w:rsidRPr="000F09FC" w:rsidRDefault="002A7B22" w:rsidP="002A7B22">
      <w:pPr>
        <w:spacing w:line="360" w:lineRule="auto"/>
        <w:jc w:val="center"/>
      </w:pPr>
    </w:p>
    <w:p w:rsidR="002A7B22" w:rsidRPr="00A864D1" w:rsidRDefault="002A7B22" w:rsidP="002A7B22">
      <w:pPr>
        <w:rPr>
          <w:rFonts w:cs="Arial"/>
        </w:rPr>
      </w:pPr>
      <w:r>
        <w:rPr>
          <w:rFonts w:cs="Arial"/>
        </w:rPr>
        <w:t xml:space="preserve">Variety descriptions can be based on different data depending on the purpose of the description. Different variety descriptions may be used for the assessment of distinctness or in the official document which forms the basis for granting protection. When variety descriptions are used for the assessment of distinctness it is important to take into account on which data the descriptions for different varieties are based. Special attention has to be </w:t>
      </w:r>
      <w:r w:rsidRPr="00A864D1">
        <w:rPr>
          <w:rFonts w:cs="Arial"/>
        </w:rPr>
        <w:t>given to the potential influence of years and locations.</w:t>
      </w:r>
    </w:p>
    <w:p w:rsidR="002A7B22" w:rsidRPr="00A571A1" w:rsidRDefault="002A7B22" w:rsidP="002A7B22">
      <w:pPr>
        <w:rPr>
          <w:rFonts w:cs="Arial"/>
        </w:rPr>
      </w:pPr>
    </w:p>
    <w:p w:rsidR="002A7B22" w:rsidRPr="00A571A1" w:rsidRDefault="002A7B22" w:rsidP="002A7B22">
      <w:pPr>
        <w:rPr>
          <w:rFonts w:cs="Arial"/>
        </w:rPr>
      </w:pPr>
      <w:r w:rsidRPr="00A571A1">
        <w:rPr>
          <w:rFonts w:cs="Arial"/>
        </w:rPr>
        <w:t>The different forms of variety descriptions and their relevance for the assessment of distinctness can be classified according to the different process levels to look at a characteristic. The process levels are defined in document TGP/8</w:t>
      </w:r>
      <w:r w:rsidRPr="00A571A1">
        <w:rPr>
          <w:rFonts w:cs="Arial"/>
          <w:caps/>
        </w:rPr>
        <w:t xml:space="preserve">: </w:t>
      </w:r>
      <w:bookmarkStart w:id="9" w:name="_Toc374557600"/>
      <w:bookmarkStart w:id="10" w:name="_Toc374631085"/>
      <w:bookmarkStart w:id="11" w:name="_Toc374632557"/>
      <w:bookmarkStart w:id="12" w:name="_Toc374635755"/>
      <w:bookmarkStart w:id="13" w:name="_Toc377740963"/>
      <w:bookmarkStart w:id="14" w:name="_Toc377741130"/>
      <w:bookmarkStart w:id="15" w:name="_Toc378079306"/>
      <w:bookmarkStart w:id="16" w:name="_Toc378079654"/>
      <w:bookmarkStart w:id="17" w:name="_Toc378251549"/>
      <w:bookmarkStart w:id="18" w:name="_Toc378252009"/>
      <w:bookmarkStart w:id="19" w:name="_Toc378253039"/>
      <w:bookmarkStart w:id="20" w:name="_Toc381277710"/>
      <w:r w:rsidRPr="00A571A1">
        <w:rPr>
          <w:rFonts w:cs="Arial"/>
        </w:rPr>
        <w:t>Part I: DUS trial design and data analysis</w:t>
      </w:r>
      <w:bookmarkEnd w:id="9"/>
      <w:bookmarkEnd w:id="10"/>
      <w:bookmarkEnd w:id="11"/>
      <w:bookmarkEnd w:id="12"/>
      <w:bookmarkEnd w:id="13"/>
      <w:bookmarkEnd w:id="14"/>
      <w:bookmarkEnd w:id="15"/>
      <w:bookmarkEnd w:id="16"/>
      <w:bookmarkEnd w:id="17"/>
      <w:bookmarkEnd w:id="18"/>
      <w:bookmarkEnd w:id="19"/>
      <w:bookmarkEnd w:id="20"/>
      <w:r w:rsidRPr="00A571A1">
        <w:rPr>
          <w:rFonts w:cs="Arial"/>
        </w:rPr>
        <w:t xml:space="preserve">. </w:t>
      </w:r>
      <w:bookmarkStart w:id="21" w:name="_Toc374557601"/>
      <w:bookmarkStart w:id="22" w:name="_Toc374631086"/>
      <w:bookmarkStart w:id="23" w:name="_Toc374632558"/>
      <w:bookmarkStart w:id="24" w:name="_Toc374635756"/>
      <w:bookmarkStart w:id="25" w:name="_Toc377740964"/>
      <w:bookmarkStart w:id="26" w:name="_Toc377741131"/>
      <w:bookmarkStart w:id="27" w:name="_Toc378079307"/>
      <w:bookmarkStart w:id="28" w:name="_Toc378079655"/>
      <w:bookmarkStart w:id="29" w:name="_Toc378251550"/>
      <w:bookmarkStart w:id="30" w:name="_Toc378252010"/>
      <w:bookmarkStart w:id="31" w:name="_Toc378253040"/>
      <w:bookmarkStart w:id="32" w:name="_Toc378686700"/>
      <w:bookmarkStart w:id="33" w:name="_Toc381277711"/>
      <w:r w:rsidRPr="00A571A1">
        <w:rPr>
          <w:rFonts w:cs="Arial"/>
        </w:rPr>
        <w:t>Section 2 (New): Data to be recorded</w:t>
      </w:r>
      <w:bookmarkEnd w:id="21"/>
      <w:bookmarkEnd w:id="22"/>
      <w:bookmarkEnd w:id="23"/>
      <w:bookmarkEnd w:id="24"/>
      <w:bookmarkEnd w:id="25"/>
      <w:bookmarkEnd w:id="26"/>
      <w:bookmarkEnd w:id="27"/>
      <w:bookmarkEnd w:id="28"/>
      <w:bookmarkEnd w:id="29"/>
      <w:bookmarkEnd w:id="30"/>
      <w:bookmarkEnd w:id="31"/>
      <w:bookmarkEnd w:id="32"/>
      <w:bookmarkEnd w:id="33"/>
      <w:r w:rsidRPr="00A571A1">
        <w:rPr>
          <w:rFonts w:cs="Arial"/>
        </w:rPr>
        <w:t xml:space="preserve"> (see TC/50/5, Annex II) as follows:</w:t>
      </w:r>
    </w:p>
    <w:p w:rsidR="002A7B22" w:rsidRPr="00A571A1" w:rsidRDefault="002A7B22" w:rsidP="002A7B22">
      <w:pPr>
        <w:rPr>
          <w:rFonts w:cs="Arial"/>
        </w:rPr>
      </w:pPr>
    </w:p>
    <w:p w:rsidR="002A7B22" w:rsidRPr="00A571A1" w:rsidRDefault="002A7B22" w:rsidP="002A7B22">
      <w:pPr>
        <w:tabs>
          <w:tab w:val="left" w:pos="9072"/>
        </w:tabs>
        <w:autoSpaceDE w:val="0"/>
        <w:autoSpaceDN w:val="0"/>
        <w:adjustRightInd w:val="0"/>
        <w:spacing w:line="271" w:lineRule="exact"/>
        <w:ind w:left="567"/>
        <w:rPr>
          <w:rFonts w:cs="Arial"/>
          <w:lang w:val="en-GB"/>
        </w:rPr>
      </w:pPr>
      <w:r w:rsidRPr="00A571A1">
        <w:rPr>
          <w:rFonts w:cs="Arial"/>
          <w:i/>
          <w:iCs/>
          <w:position w:val="-1"/>
          <w:lang w:val="en-GB"/>
        </w:rPr>
        <w:t>Table 5:  Definition of different proc</w:t>
      </w:r>
      <w:r w:rsidRPr="00A571A1">
        <w:rPr>
          <w:rFonts w:cs="Arial"/>
          <w:i/>
          <w:iCs/>
          <w:spacing w:val="-1"/>
          <w:position w:val="-1"/>
          <w:lang w:val="en-GB"/>
        </w:rPr>
        <w:t>e</w:t>
      </w:r>
      <w:r w:rsidRPr="00A571A1">
        <w:rPr>
          <w:rFonts w:cs="Arial"/>
          <w:i/>
          <w:iCs/>
          <w:position w:val="-1"/>
          <w:lang w:val="en-GB"/>
        </w:rPr>
        <w:t>ss le</w:t>
      </w:r>
      <w:r w:rsidRPr="00A571A1">
        <w:rPr>
          <w:rFonts w:cs="Arial"/>
          <w:i/>
          <w:iCs/>
          <w:spacing w:val="-1"/>
          <w:position w:val="-1"/>
          <w:lang w:val="en-GB"/>
        </w:rPr>
        <w:t>v</w:t>
      </w:r>
      <w:r w:rsidRPr="00A571A1">
        <w:rPr>
          <w:rFonts w:cs="Arial"/>
          <w:i/>
          <w:iCs/>
          <w:position w:val="-1"/>
          <w:lang w:val="en-GB"/>
        </w:rPr>
        <w:t>els to consider c</w:t>
      </w:r>
      <w:r w:rsidRPr="00A571A1">
        <w:rPr>
          <w:rFonts w:cs="Arial"/>
          <w:i/>
          <w:iCs/>
          <w:spacing w:val="-1"/>
          <w:position w:val="-1"/>
          <w:lang w:val="en-GB"/>
        </w:rPr>
        <w:t>h</w:t>
      </w:r>
      <w:r w:rsidRPr="00A571A1">
        <w:rPr>
          <w:rFonts w:cs="Arial"/>
          <w:i/>
          <w:iCs/>
          <w:position w:val="-1"/>
          <w:lang w:val="en-GB"/>
        </w:rPr>
        <w:t>aracte</w:t>
      </w:r>
      <w:r w:rsidRPr="00A571A1">
        <w:rPr>
          <w:rFonts w:cs="Arial"/>
          <w:i/>
          <w:iCs/>
          <w:spacing w:val="-1"/>
          <w:position w:val="-1"/>
          <w:lang w:val="en-GB"/>
        </w:rPr>
        <w:t>r</w:t>
      </w:r>
      <w:r w:rsidRPr="00A571A1">
        <w:rPr>
          <w:rFonts w:cs="Arial"/>
          <w:i/>
          <w:iCs/>
          <w:position w:val="-1"/>
          <w:lang w:val="en-GB"/>
        </w:rPr>
        <w:t>istics</w:t>
      </w:r>
    </w:p>
    <w:p w:rsidR="002A7B22" w:rsidRPr="00A571A1" w:rsidRDefault="002A7B22" w:rsidP="002A7B22">
      <w:pPr>
        <w:autoSpaceDE w:val="0"/>
        <w:autoSpaceDN w:val="0"/>
        <w:adjustRightInd w:val="0"/>
        <w:spacing w:before="2" w:line="280" w:lineRule="exact"/>
        <w:rPr>
          <w:rFonts w:cs="Arial"/>
          <w:lang w:val="en-GB"/>
        </w:rPr>
      </w:pPr>
    </w:p>
    <w:tbl>
      <w:tblPr>
        <w:tblW w:w="0" w:type="auto"/>
        <w:tblInd w:w="572" w:type="dxa"/>
        <w:tblLayout w:type="fixed"/>
        <w:tblCellMar>
          <w:left w:w="0" w:type="dxa"/>
          <w:right w:w="0" w:type="dxa"/>
        </w:tblCellMar>
        <w:tblLook w:val="0000" w:firstRow="0" w:lastRow="0" w:firstColumn="0" w:lastColumn="0" w:noHBand="0" w:noVBand="0"/>
      </w:tblPr>
      <w:tblGrid>
        <w:gridCol w:w="1680"/>
        <w:gridCol w:w="5245"/>
      </w:tblGrid>
      <w:tr w:rsidR="002A7B22" w:rsidRPr="00B85321" w:rsidTr="002E7585">
        <w:trPr>
          <w:trHeight w:hRule="exact" w:val="343"/>
        </w:trPr>
        <w:tc>
          <w:tcPr>
            <w:tcW w:w="1680" w:type="dxa"/>
            <w:tcBorders>
              <w:top w:val="single" w:sz="4" w:space="0" w:color="auto"/>
              <w:left w:val="single" w:sz="4" w:space="0" w:color="auto"/>
              <w:bottom w:val="single" w:sz="4" w:space="0" w:color="auto"/>
              <w:right w:val="single" w:sz="4" w:space="0" w:color="auto"/>
            </w:tcBorders>
            <w:shd w:val="clear" w:color="auto" w:fill="DFDFDF"/>
          </w:tcPr>
          <w:p w:rsidR="002A7B22" w:rsidRPr="00A571A1" w:rsidRDefault="002A7B22" w:rsidP="002E7585">
            <w:pPr>
              <w:autoSpaceDE w:val="0"/>
              <w:autoSpaceDN w:val="0"/>
              <w:adjustRightInd w:val="0"/>
              <w:spacing w:before="37"/>
              <w:ind w:left="35"/>
              <w:jc w:val="center"/>
              <w:rPr>
                <w:rFonts w:cs="Arial"/>
                <w:lang w:val="en-GB"/>
              </w:rPr>
            </w:pPr>
            <w:r w:rsidRPr="00A571A1">
              <w:rPr>
                <w:rFonts w:cs="Arial"/>
                <w:lang w:val="en-GB"/>
              </w:rPr>
              <w:t>Process</w:t>
            </w:r>
            <w:r w:rsidRPr="00A571A1">
              <w:rPr>
                <w:rFonts w:cs="Arial"/>
                <w:spacing w:val="-7"/>
                <w:lang w:val="en-GB"/>
              </w:rPr>
              <w:t xml:space="preserve"> </w:t>
            </w:r>
            <w:r w:rsidRPr="00A571A1">
              <w:rPr>
                <w:rFonts w:cs="Arial"/>
                <w:lang w:val="en-GB"/>
              </w:rPr>
              <w:t>level</w:t>
            </w:r>
          </w:p>
        </w:tc>
        <w:tc>
          <w:tcPr>
            <w:tcW w:w="5245" w:type="dxa"/>
            <w:tcBorders>
              <w:top w:val="single" w:sz="4" w:space="0" w:color="auto"/>
              <w:left w:val="single" w:sz="4" w:space="0" w:color="auto"/>
              <w:bottom w:val="single" w:sz="4" w:space="0" w:color="auto"/>
              <w:right w:val="single" w:sz="4" w:space="0" w:color="auto"/>
            </w:tcBorders>
            <w:shd w:val="clear" w:color="auto" w:fill="DFDFDF"/>
          </w:tcPr>
          <w:p w:rsidR="002A7B22" w:rsidRPr="00A571A1" w:rsidRDefault="002A7B22" w:rsidP="002E7585">
            <w:pPr>
              <w:autoSpaceDE w:val="0"/>
              <w:autoSpaceDN w:val="0"/>
              <w:adjustRightInd w:val="0"/>
              <w:spacing w:before="37"/>
              <w:ind w:left="231"/>
              <w:rPr>
                <w:rFonts w:cs="Arial"/>
                <w:lang w:val="en-GB"/>
              </w:rPr>
            </w:pPr>
            <w:r w:rsidRPr="00A571A1">
              <w:rPr>
                <w:rFonts w:cs="Arial"/>
                <w:lang w:val="en-GB"/>
              </w:rPr>
              <w:t>Des</w:t>
            </w:r>
            <w:r w:rsidRPr="00A571A1">
              <w:rPr>
                <w:rFonts w:cs="Arial"/>
                <w:spacing w:val="1"/>
                <w:lang w:val="en-GB"/>
              </w:rPr>
              <w:t>c</w:t>
            </w:r>
            <w:r w:rsidRPr="00A571A1">
              <w:rPr>
                <w:rFonts w:cs="Arial"/>
                <w:lang w:val="en-GB"/>
              </w:rPr>
              <w:t>ription</w:t>
            </w:r>
            <w:r w:rsidRPr="00A571A1">
              <w:rPr>
                <w:rFonts w:cs="Arial"/>
                <w:spacing w:val="-10"/>
                <w:lang w:val="en-GB"/>
              </w:rPr>
              <w:t xml:space="preserve"> </w:t>
            </w:r>
            <w:r w:rsidRPr="00A571A1">
              <w:rPr>
                <w:rFonts w:cs="Arial"/>
                <w:lang w:val="en-GB"/>
              </w:rPr>
              <w:t>of</w:t>
            </w:r>
            <w:r w:rsidRPr="00A571A1">
              <w:rPr>
                <w:rFonts w:cs="Arial"/>
                <w:spacing w:val="-2"/>
                <w:lang w:val="en-GB"/>
              </w:rPr>
              <w:t xml:space="preserve"> </w:t>
            </w:r>
            <w:r w:rsidRPr="00A571A1">
              <w:rPr>
                <w:rFonts w:cs="Arial"/>
                <w:lang w:val="en-GB"/>
              </w:rPr>
              <w:t>the</w:t>
            </w:r>
            <w:r w:rsidRPr="00A571A1">
              <w:rPr>
                <w:rFonts w:cs="Arial"/>
                <w:spacing w:val="-3"/>
                <w:lang w:val="en-GB"/>
              </w:rPr>
              <w:t xml:space="preserve"> </w:t>
            </w:r>
            <w:r w:rsidRPr="00A571A1">
              <w:rPr>
                <w:rFonts w:cs="Arial"/>
                <w:lang w:val="en-GB"/>
              </w:rPr>
              <w:t>process</w:t>
            </w:r>
            <w:r w:rsidRPr="00A571A1">
              <w:rPr>
                <w:rFonts w:cs="Arial"/>
                <w:spacing w:val="-7"/>
                <w:lang w:val="en-GB"/>
              </w:rPr>
              <w:t xml:space="preserve"> </w:t>
            </w:r>
            <w:r w:rsidRPr="00A571A1">
              <w:rPr>
                <w:rFonts w:cs="Arial"/>
                <w:lang w:val="en-GB"/>
              </w:rPr>
              <w:t>level</w:t>
            </w:r>
          </w:p>
        </w:tc>
      </w:tr>
      <w:tr w:rsidR="002A7B22" w:rsidRPr="00B85321" w:rsidTr="002E7585">
        <w:trPr>
          <w:trHeight w:hRule="exact" w:val="342"/>
        </w:trPr>
        <w:tc>
          <w:tcPr>
            <w:tcW w:w="1680" w:type="dxa"/>
            <w:tcBorders>
              <w:top w:val="single" w:sz="4" w:space="0" w:color="auto"/>
              <w:left w:val="single" w:sz="4" w:space="0" w:color="auto"/>
              <w:bottom w:val="single" w:sz="4" w:space="0" w:color="auto"/>
              <w:right w:val="single" w:sz="4" w:space="0" w:color="auto"/>
            </w:tcBorders>
          </w:tcPr>
          <w:p w:rsidR="002A7B22" w:rsidRPr="00A571A1" w:rsidRDefault="002A7B22" w:rsidP="002E7585">
            <w:pPr>
              <w:autoSpaceDE w:val="0"/>
              <w:autoSpaceDN w:val="0"/>
              <w:adjustRightInd w:val="0"/>
              <w:spacing w:before="37"/>
              <w:ind w:left="60"/>
              <w:jc w:val="center"/>
              <w:rPr>
                <w:rFonts w:cs="Arial"/>
                <w:lang w:val="en-GB"/>
              </w:rPr>
            </w:pPr>
            <w:r w:rsidRPr="00A571A1">
              <w:rPr>
                <w:rFonts w:cs="Arial"/>
                <w:lang w:val="en-GB"/>
              </w:rPr>
              <w:t>1</w:t>
            </w:r>
          </w:p>
        </w:tc>
        <w:tc>
          <w:tcPr>
            <w:tcW w:w="5245" w:type="dxa"/>
            <w:tcBorders>
              <w:top w:val="single" w:sz="4" w:space="0" w:color="auto"/>
              <w:left w:val="single" w:sz="4" w:space="0" w:color="auto"/>
              <w:bottom w:val="single" w:sz="4" w:space="0" w:color="auto"/>
              <w:right w:val="single" w:sz="4" w:space="0" w:color="auto"/>
            </w:tcBorders>
          </w:tcPr>
          <w:p w:rsidR="002A7B22" w:rsidRPr="00A571A1" w:rsidRDefault="002A7B22" w:rsidP="002E7585">
            <w:pPr>
              <w:autoSpaceDE w:val="0"/>
              <w:autoSpaceDN w:val="0"/>
              <w:adjustRightInd w:val="0"/>
              <w:spacing w:before="37"/>
              <w:ind w:left="231"/>
              <w:rPr>
                <w:rFonts w:cs="Arial"/>
                <w:lang w:val="en-GB"/>
              </w:rPr>
            </w:pPr>
            <w:r w:rsidRPr="00A571A1">
              <w:rPr>
                <w:rFonts w:cs="Arial"/>
                <w:lang w:val="en-GB"/>
              </w:rPr>
              <w:t>charact</w:t>
            </w:r>
            <w:r w:rsidRPr="00A571A1">
              <w:rPr>
                <w:rFonts w:cs="Arial"/>
                <w:spacing w:val="1"/>
                <w:lang w:val="en-GB"/>
              </w:rPr>
              <w:t>e</w:t>
            </w:r>
            <w:r w:rsidRPr="00A571A1">
              <w:rPr>
                <w:rFonts w:cs="Arial"/>
                <w:lang w:val="en-GB"/>
              </w:rPr>
              <w:t>risti</w:t>
            </w:r>
            <w:r w:rsidRPr="00A571A1">
              <w:rPr>
                <w:rFonts w:cs="Arial"/>
                <w:spacing w:val="1"/>
                <w:lang w:val="en-GB"/>
              </w:rPr>
              <w:t>c</w:t>
            </w:r>
            <w:r w:rsidRPr="00A571A1">
              <w:rPr>
                <w:rFonts w:cs="Arial"/>
                <w:lang w:val="en-GB"/>
              </w:rPr>
              <w:t>s</w:t>
            </w:r>
            <w:r w:rsidRPr="00A571A1">
              <w:rPr>
                <w:rFonts w:cs="Arial"/>
                <w:spacing w:val="-13"/>
                <w:lang w:val="en-GB"/>
              </w:rPr>
              <w:t xml:space="preserve"> </w:t>
            </w:r>
            <w:r w:rsidRPr="00A571A1">
              <w:rPr>
                <w:rFonts w:cs="Arial"/>
                <w:lang w:val="en-GB"/>
              </w:rPr>
              <w:t>as</w:t>
            </w:r>
            <w:r w:rsidRPr="00A571A1">
              <w:rPr>
                <w:rFonts w:cs="Arial"/>
                <w:spacing w:val="-2"/>
                <w:lang w:val="en-GB"/>
              </w:rPr>
              <w:t xml:space="preserve"> </w:t>
            </w:r>
            <w:r w:rsidRPr="00A571A1">
              <w:rPr>
                <w:rFonts w:cs="Arial"/>
                <w:lang w:val="en-GB"/>
              </w:rPr>
              <w:t>expre</w:t>
            </w:r>
            <w:r w:rsidRPr="00A571A1">
              <w:rPr>
                <w:rFonts w:cs="Arial"/>
                <w:spacing w:val="1"/>
                <w:lang w:val="en-GB"/>
              </w:rPr>
              <w:t>s</w:t>
            </w:r>
            <w:r w:rsidRPr="00A571A1">
              <w:rPr>
                <w:rFonts w:cs="Arial"/>
                <w:lang w:val="en-GB"/>
              </w:rPr>
              <w:t>s</w:t>
            </w:r>
            <w:r w:rsidRPr="00A571A1">
              <w:rPr>
                <w:rFonts w:cs="Arial"/>
                <w:spacing w:val="1"/>
                <w:lang w:val="en-GB"/>
              </w:rPr>
              <w:t>e</w:t>
            </w:r>
            <w:r w:rsidRPr="00A571A1">
              <w:rPr>
                <w:rFonts w:cs="Arial"/>
                <w:lang w:val="en-GB"/>
              </w:rPr>
              <w:t>d</w:t>
            </w:r>
            <w:r w:rsidRPr="00A571A1">
              <w:rPr>
                <w:rFonts w:cs="Arial"/>
                <w:spacing w:val="-9"/>
                <w:lang w:val="en-GB"/>
              </w:rPr>
              <w:t xml:space="preserve"> </w:t>
            </w:r>
            <w:r w:rsidRPr="00A571A1">
              <w:rPr>
                <w:rFonts w:cs="Arial"/>
                <w:lang w:val="en-GB"/>
              </w:rPr>
              <w:t>in</w:t>
            </w:r>
            <w:r w:rsidRPr="00A571A1">
              <w:rPr>
                <w:rFonts w:cs="Arial"/>
                <w:spacing w:val="-2"/>
                <w:lang w:val="en-GB"/>
              </w:rPr>
              <w:t xml:space="preserve"> </w:t>
            </w:r>
            <w:r w:rsidRPr="00A571A1">
              <w:rPr>
                <w:rFonts w:cs="Arial"/>
                <w:lang w:val="en-GB"/>
              </w:rPr>
              <w:t>trial</w:t>
            </w:r>
          </w:p>
        </w:tc>
      </w:tr>
      <w:tr w:rsidR="002A7B22" w:rsidRPr="00B85321" w:rsidTr="002E7585">
        <w:trPr>
          <w:trHeight w:hRule="exact" w:val="343"/>
        </w:trPr>
        <w:tc>
          <w:tcPr>
            <w:tcW w:w="1680" w:type="dxa"/>
            <w:tcBorders>
              <w:top w:val="single" w:sz="4" w:space="0" w:color="auto"/>
              <w:left w:val="single" w:sz="4" w:space="0" w:color="auto"/>
              <w:bottom w:val="single" w:sz="4" w:space="0" w:color="auto"/>
              <w:right w:val="single" w:sz="4" w:space="0" w:color="auto"/>
            </w:tcBorders>
          </w:tcPr>
          <w:p w:rsidR="002A7B22" w:rsidRPr="00A571A1" w:rsidRDefault="002A7B22" w:rsidP="002E7585">
            <w:pPr>
              <w:autoSpaceDE w:val="0"/>
              <w:autoSpaceDN w:val="0"/>
              <w:adjustRightInd w:val="0"/>
              <w:spacing w:before="37"/>
              <w:ind w:left="60"/>
              <w:jc w:val="center"/>
              <w:rPr>
                <w:rFonts w:cs="Arial"/>
                <w:lang w:val="en-GB"/>
              </w:rPr>
            </w:pPr>
            <w:r w:rsidRPr="00A571A1">
              <w:rPr>
                <w:rFonts w:cs="Arial"/>
                <w:lang w:val="en-GB"/>
              </w:rPr>
              <w:t>2</w:t>
            </w:r>
          </w:p>
        </w:tc>
        <w:tc>
          <w:tcPr>
            <w:tcW w:w="5245" w:type="dxa"/>
            <w:tcBorders>
              <w:top w:val="single" w:sz="4" w:space="0" w:color="auto"/>
              <w:left w:val="single" w:sz="4" w:space="0" w:color="auto"/>
              <w:bottom w:val="single" w:sz="4" w:space="0" w:color="auto"/>
              <w:right w:val="single" w:sz="4" w:space="0" w:color="auto"/>
            </w:tcBorders>
          </w:tcPr>
          <w:p w:rsidR="002A7B22" w:rsidRPr="00A571A1" w:rsidRDefault="002A7B22" w:rsidP="002E7585">
            <w:pPr>
              <w:autoSpaceDE w:val="0"/>
              <w:autoSpaceDN w:val="0"/>
              <w:adjustRightInd w:val="0"/>
              <w:spacing w:before="37"/>
              <w:ind w:left="231"/>
              <w:rPr>
                <w:rFonts w:cs="Arial"/>
                <w:lang w:val="en-GB"/>
              </w:rPr>
            </w:pPr>
            <w:r w:rsidRPr="00A571A1">
              <w:rPr>
                <w:rFonts w:cs="Arial"/>
                <w:lang w:val="en-GB"/>
              </w:rPr>
              <w:t>data</w:t>
            </w:r>
            <w:r w:rsidRPr="00A571A1">
              <w:rPr>
                <w:rFonts w:cs="Arial"/>
                <w:spacing w:val="-4"/>
                <w:lang w:val="en-GB"/>
              </w:rPr>
              <w:t xml:space="preserve"> </w:t>
            </w:r>
            <w:r w:rsidRPr="00A571A1">
              <w:rPr>
                <w:rFonts w:cs="Arial"/>
                <w:lang w:val="en-GB"/>
              </w:rPr>
              <w:t>for</w:t>
            </w:r>
            <w:r w:rsidRPr="00A571A1">
              <w:rPr>
                <w:rFonts w:cs="Arial"/>
                <w:spacing w:val="-3"/>
                <w:lang w:val="en-GB"/>
              </w:rPr>
              <w:t xml:space="preserve"> </w:t>
            </w:r>
            <w:r w:rsidRPr="00A571A1">
              <w:rPr>
                <w:rFonts w:cs="Arial"/>
                <w:lang w:val="en-GB"/>
              </w:rPr>
              <w:t>evaluation</w:t>
            </w:r>
            <w:r w:rsidRPr="00A571A1">
              <w:rPr>
                <w:rFonts w:cs="Arial"/>
                <w:spacing w:val="-8"/>
                <w:lang w:val="en-GB"/>
              </w:rPr>
              <w:t xml:space="preserve"> </w:t>
            </w:r>
            <w:r w:rsidRPr="00A571A1">
              <w:rPr>
                <w:rFonts w:cs="Arial"/>
                <w:lang w:val="en-GB"/>
              </w:rPr>
              <w:t>of</w:t>
            </w:r>
            <w:r w:rsidRPr="00A571A1">
              <w:rPr>
                <w:rFonts w:cs="Arial"/>
                <w:spacing w:val="-2"/>
                <w:lang w:val="en-GB"/>
              </w:rPr>
              <w:t xml:space="preserve"> </w:t>
            </w:r>
            <w:r w:rsidRPr="00A571A1">
              <w:rPr>
                <w:rFonts w:cs="Arial"/>
                <w:lang w:val="en-GB"/>
              </w:rPr>
              <w:t>characteristi</w:t>
            </w:r>
            <w:r w:rsidRPr="00A571A1">
              <w:rPr>
                <w:rFonts w:cs="Arial"/>
                <w:spacing w:val="1"/>
                <w:lang w:val="en-GB"/>
              </w:rPr>
              <w:t>c</w:t>
            </w:r>
            <w:r w:rsidRPr="00A571A1">
              <w:rPr>
                <w:rFonts w:cs="Arial"/>
                <w:lang w:val="en-GB"/>
              </w:rPr>
              <w:t>s</w:t>
            </w:r>
          </w:p>
        </w:tc>
      </w:tr>
      <w:tr w:rsidR="002A7B22" w:rsidRPr="00A571A1" w:rsidTr="002E7585">
        <w:trPr>
          <w:trHeight w:hRule="exact" w:val="343"/>
        </w:trPr>
        <w:tc>
          <w:tcPr>
            <w:tcW w:w="1680" w:type="dxa"/>
            <w:tcBorders>
              <w:top w:val="single" w:sz="4" w:space="0" w:color="auto"/>
              <w:left w:val="single" w:sz="4" w:space="0" w:color="auto"/>
              <w:bottom w:val="single" w:sz="4" w:space="0" w:color="auto"/>
              <w:right w:val="single" w:sz="4" w:space="0" w:color="auto"/>
            </w:tcBorders>
          </w:tcPr>
          <w:p w:rsidR="002A7B22" w:rsidRPr="00A571A1" w:rsidRDefault="002A7B22" w:rsidP="002E7585">
            <w:pPr>
              <w:autoSpaceDE w:val="0"/>
              <w:autoSpaceDN w:val="0"/>
              <w:adjustRightInd w:val="0"/>
              <w:spacing w:before="37"/>
              <w:ind w:left="60"/>
              <w:jc w:val="center"/>
              <w:rPr>
                <w:rFonts w:cs="Arial"/>
                <w:lang w:val="en-GB"/>
              </w:rPr>
            </w:pPr>
            <w:r w:rsidRPr="00A571A1">
              <w:rPr>
                <w:rFonts w:cs="Arial"/>
                <w:lang w:val="en-GB"/>
              </w:rPr>
              <w:t>3</w:t>
            </w:r>
          </w:p>
        </w:tc>
        <w:tc>
          <w:tcPr>
            <w:tcW w:w="5245" w:type="dxa"/>
            <w:tcBorders>
              <w:top w:val="single" w:sz="4" w:space="0" w:color="auto"/>
              <w:left w:val="single" w:sz="4" w:space="0" w:color="auto"/>
              <w:bottom w:val="single" w:sz="4" w:space="0" w:color="auto"/>
              <w:right w:val="single" w:sz="4" w:space="0" w:color="auto"/>
            </w:tcBorders>
          </w:tcPr>
          <w:p w:rsidR="002A7B22" w:rsidRPr="00A571A1" w:rsidRDefault="002A7B22" w:rsidP="002E7585">
            <w:pPr>
              <w:autoSpaceDE w:val="0"/>
              <w:autoSpaceDN w:val="0"/>
              <w:adjustRightInd w:val="0"/>
              <w:spacing w:before="37"/>
              <w:ind w:left="231"/>
              <w:rPr>
                <w:rFonts w:cs="Arial"/>
                <w:lang w:val="en-GB"/>
              </w:rPr>
            </w:pPr>
            <w:r w:rsidRPr="00A571A1">
              <w:rPr>
                <w:rFonts w:cs="Arial"/>
                <w:lang w:val="en-GB"/>
              </w:rPr>
              <w:t>variety</w:t>
            </w:r>
            <w:r w:rsidRPr="00A571A1">
              <w:rPr>
                <w:rFonts w:cs="Arial"/>
                <w:spacing w:val="-5"/>
                <w:lang w:val="en-GB"/>
              </w:rPr>
              <w:t xml:space="preserve"> </w:t>
            </w:r>
            <w:r w:rsidRPr="00A571A1">
              <w:rPr>
                <w:rFonts w:cs="Arial"/>
                <w:lang w:val="en-GB"/>
              </w:rPr>
              <w:t>description</w:t>
            </w:r>
          </w:p>
        </w:tc>
      </w:tr>
    </w:tbl>
    <w:p w:rsidR="002A7B22" w:rsidRDefault="002A7B22" w:rsidP="002A7B22">
      <w:pPr>
        <w:autoSpaceDE w:val="0"/>
        <w:autoSpaceDN w:val="0"/>
        <w:adjustRightInd w:val="0"/>
        <w:spacing w:before="18" w:line="220" w:lineRule="exact"/>
        <w:ind w:left="7797"/>
        <w:rPr>
          <w:rFonts w:cs="Arial"/>
          <w:lang w:val="en-GB"/>
        </w:rPr>
      </w:pPr>
    </w:p>
    <w:p w:rsidR="002A7B22" w:rsidRPr="00A571A1" w:rsidRDefault="002A7B22" w:rsidP="002A7B22">
      <w:pPr>
        <w:autoSpaceDE w:val="0"/>
        <w:autoSpaceDN w:val="0"/>
        <w:adjustRightInd w:val="0"/>
        <w:spacing w:before="18" w:line="220" w:lineRule="exact"/>
        <w:rPr>
          <w:rFonts w:cs="Arial"/>
          <w:lang w:val="en-GB"/>
        </w:rPr>
      </w:pPr>
    </w:p>
    <w:p w:rsidR="002A7B22" w:rsidRDefault="002A7B22" w:rsidP="002A7B22">
      <w:pPr>
        <w:rPr>
          <w:rFonts w:cs="Arial"/>
        </w:rPr>
      </w:pPr>
      <w:r>
        <w:rPr>
          <w:rFonts w:cs="Arial"/>
        </w:rPr>
        <w:t>The process levels relevant for the assessment of distinctness are level 2 and 3. Any comparison between varieties in the same trial (same year(s), same location) is carried out on the actual data recorded in the trial. This approach relates to process level 2. If varieties are not grown in the same trial, they have to be compared on the basis of variety descriptions which relates to process level 3. In general, the identification of similar varieties to be included in the growing trial ("Management of variety collection") relates to process level 3, whereas data evaluation within the growing trial relates to process level 2.</w:t>
      </w:r>
    </w:p>
    <w:p w:rsidR="002A7B22" w:rsidRDefault="002A7B22" w:rsidP="002A7B22">
      <w:pPr>
        <w:rPr>
          <w:rFonts w:cs="Arial"/>
        </w:rPr>
      </w:pPr>
    </w:p>
    <w:p w:rsidR="002A7B22" w:rsidRDefault="002A7B22" w:rsidP="002A7B22">
      <w:pPr>
        <w:rPr>
          <w:rFonts w:cs="Arial"/>
        </w:rPr>
      </w:pPr>
    </w:p>
    <w:tbl>
      <w:tblPr>
        <w:tblStyle w:val="TableGrid"/>
        <w:tblW w:w="0" w:type="auto"/>
        <w:tblLook w:val="04A0" w:firstRow="1" w:lastRow="0" w:firstColumn="1" w:lastColumn="0" w:noHBand="0" w:noVBand="1"/>
      </w:tblPr>
      <w:tblGrid>
        <w:gridCol w:w="1101"/>
        <w:gridCol w:w="2268"/>
        <w:gridCol w:w="2976"/>
        <w:gridCol w:w="2867"/>
      </w:tblGrid>
      <w:tr w:rsidR="002A7B22" w:rsidRPr="00317F03" w:rsidTr="002E7585">
        <w:tc>
          <w:tcPr>
            <w:tcW w:w="1101" w:type="dxa"/>
            <w:tcBorders>
              <w:top w:val="single" w:sz="4" w:space="0" w:color="auto"/>
            </w:tcBorders>
          </w:tcPr>
          <w:p w:rsidR="002A7B22" w:rsidRPr="00317F03" w:rsidRDefault="002A7B22" w:rsidP="002E7585">
            <w:pPr>
              <w:jc w:val="center"/>
              <w:rPr>
                <w:rFonts w:cs="Arial"/>
              </w:rPr>
            </w:pPr>
            <w:r w:rsidRPr="00A571A1">
              <w:rPr>
                <w:rFonts w:cs="Arial"/>
                <w:lang w:val="en-GB"/>
              </w:rPr>
              <w:t>Process</w:t>
            </w:r>
            <w:r w:rsidRPr="00A571A1">
              <w:rPr>
                <w:rFonts w:cs="Arial"/>
                <w:spacing w:val="-7"/>
                <w:lang w:val="en-GB"/>
              </w:rPr>
              <w:t xml:space="preserve"> </w:t>
            </w:r>
            <w:r w:rsidRPr="00A571A1">
              <w:rPr>
                <w:rFonts w:cs="Arial"/>
                <w:lang w:val="en-GB"/>
              </w:rPr>
              <w:t>level</w:t>
            </w:r>
          </w:p>
        </w:tc>
        <w:tc>
          <w:tcPr>
            <w:tcW w:w="2268" w:type="dxa"/>
            <w:tcBorders>
              <w:top w:val="single" w:sz="4" w:space="0" w:color="auto"/>
            </w:tcBorders>
          </w:tcPr>
          <w:p w:rsidR="002A7B22" w:rsidRDefault="002A7B22" w:rsidP="002E7585">
            <w:pPr>
              <w:jc w:val="center"/>
              <w:rPr>
                <w:rFonts w:cs="Arial"/>
              </w:rPr>
            </w:pPr>
            <w:r w:rsidRPr="00317F03">
              <w:rPr>
                <w:rFonts w:cs="Arial"/>
              </w:rPr>
              <w:t>Measurement</w:t>
            </w:r>
            <w:r>
              <w:rPr>
                <w:rFonts w:cs="Arial"/>
              </w:rPr>
              <w:t>s</w:t>
            </w:r>
          </w:p>
          <w:p w:rsidR="002A7B22" w:rsidRPr="00317F03" w:rsidRDefault="002A7B22" w:rsidP="002E7585">
            <w:pPr>
              <w:jc w:val="center"/>
              <w:rPr>
                <w:rFonts w:cs="Arial"/>
              </w:rPr>
            </w:pPr>
            <w:r>
              <w:rPr>
                <w:rFonts w:cs="Arial"/>
              </w:rPr>
              <w:t>(QN)</w:t>
            </w:r>
          </w:p>
        </w:tc>
        <w:tc>
          <w:tcPr>
            <w:tcW w:w="2976" w:type="dxa"/>
            <w:tcBorders>
              <w:top w:val="single" w:sz="4" w:space="0" w:color="auto"/>
            </w:tcBorders>
          </w:tcPr>
          <w:p w:rsidR="002A7B22" w:rsidRPr="003B1FB4" w:rsidRDefault="002A7B22" w:rsidP="002E7585">
            <w:pPr>
              <w:jc w:val="center"/>
              <w:rPr>
                <w:rFonts w:cs="Arial"/>
                <w:lang w:val="pt-BR"/>
              </w:rPr>
            </w:pPr>
            <w:r w:rsidRPr="003B1FB4">
              <w:rPr>
                <w:rFonts w:cs="Arial"/>
                <w:lang w:val="pt-BR"/>
              </w:rPr>
              <w:t>Visual assessment</w:t>
            </w:r>
          </w:p>
          <w:p w:rsidR="002A7B22" w:rsidRPr="003B1FB4" w:rsidRDefault="002A7B22" w:rsidP="002E7585">
            <w:pPr>
              <w:jc w:val="center"/>
              <w:rPr>
                <w:rFonts w:cs="Arial"/>
                <w:lang w:val="pt-BR"/>
              </w:rPr>
            </w:pPr>
            <w:r w:rsidRPr="003B1FB4">
              <w:rPr>
                <w:rFonts w:cs="Arial"/>
                <w:lang w:val="pt-BR"/>
              </w:rPr>
              <w:t>(QN/QL/PQ)</w:t>
            </w:r>
          </w:p>
        </w:tc>
        <w:tc>
          <w:tcPr>
            <w:tcW w:w="2867" w:type="dxa"/>
            <w:tcBorders>
              <w:top w:val="single" w:sz="4" w:space="0" w:color="auto"/>
            </w:tcBorders>
          </w:tcPr>
          <w:p w:rsidR="002A7B22" w:rsidRPr="00317F03" w:rsidRDefault="002A7B22" w:rsidP="002E7585">
            <w:pPr>
              <w:rPr>
                <w:rFonts w:cs="Arial"/>
              </w:rPr>
            </w:pPr>
            <w:r>
              <w:rPr>
                <w:rFonts w:cs="Arial"/>
              </w:rPr>
              <w:t>Remark</w:t>
            </w:r>
          </w:p>
        </w:tc>
      </w:tr>
      <w:tr w:rsidR="002A7B22" w:rsidRPr="00B85321" w:rsidTr="002E7585">
        <w:tc>
          <w:tcPr>
            <w:tcW w:w="1101" w:type="dxa"/>
            <w:tcBorders>
              <w:bottom w:val="single" w:sz="4" w:space="0" w:color="auto"/>
            </w:tcBorders>
          </w:tcPr>
          <w:p w:rsidR="002A7B22" w:rsidRPr="00317F03" w:rsidRDefault="002A7B22" w:rsidP="002E7585">
            <w:pPr>
              <w:spacing w:before="240"/>
              <w:jc w:val="center"/>
              <w:rPr>
                <w:rFonts w:cs="Arial"/>
              </w:rPr>
            </w:pPr>
            <w:r w:rsidRPr="00317F03">
              <w:rPr>
                <w:rFonts w:cs="Arial"/>
              </w:rPr>
              <w:t>2</w:t>
            </w:r>
          </w:p>
        </w:tc>
        <w:tc>
          <w:tcPr>
            <w:tcW w:w="2268" w:type="dxa"/>
            <w:tcBorders>
              <w:bottom w:val="single" w:sz="4" w:space="0" w:color="auto"/>
            </w:tcBorders>
          </w:tcPr>
          <w:p w:rsidR="002A7B22" w:rsidRPr="00317F03" w:rsidRDefault="002A7B22" w:rsidP="002E7585">
            <w:pPr>
              <w:spacing w:before="240"/>
              <w:rPr>
                <w:rFonts w:cs="Arial"/>
              </w:rPr>
            </w:pPr>
            <w:r>
              <w:rPr>
                <w:rFonts w:cs="Arial"/>
                <w:noProof/>
              </w:rPr>
              <mc:AlternateContent>
                <mc:Choice Requires="wps">
                  <w:drawing>
                    <wp:anchor distT="0" distB="0" distL="114300" distR="114300" simplePos="0" relativeHeight="251661312" behindDoc="0" locked="0" layoutInCell="1" allowOverlap="1" wp14:anchorId="3D28110D" wp14:editId="4522EF5F">
                      <wp:simplePos x="0" y="0"/>
                      <wp:positionH relativeFrom="column">
                        <wp:posOffset>118110</wp:posOffset>
                      </wp:positionH>
                      <wp:positionV relativeFrom="paragraph">
                        <wp:posOffset>396240</wp:posOffset>
                      </wp:positionV>
                      <wp:extent cx="116840" cy="619125"/>
                      <wp:effectExtent l="19050" t="0" r="35560" b="47625"/>
                      <wp:wrapNone/>
                      <wp:docPr id="18" name="Pfeil nach unten 6"/>
                      <wp:cNvGraphicFramePr/>
                      <a:graphic xmlns:a="http://schemas.openxmlformats.org/drawingml/2006/main">
                        <a:graphicData uri="http://schemas.microsoft.com/office/word/2010/wordprocessingShape">
                          <wps:wsp>
                            <wps:cNvSpPr/>
                            <wps:spPr>
                              <a:xfrm flipH="1">
                                <a:off x="0" y="0"/>
                                <a:ext cx="11684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6" o:spid="_x0000_s1026" type="#_x0000_t67" style="position:absolute;margin-left:9.3pt;margin-top:31.2pt;width:9.2pt;height:48.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" adj="19562" fillcolor="#4f81bd [3204]" strokecolor="#243f60 [1604]" strokeweight="2pt"/>
                  </w:pict>
                </mc:Fallback>
              </mc:AlternateContent>
            </w:r>
            <w:r w:rsidRPr="00317F03">
              <w:rPr>
                <w:rFonts w:cs="Arial"/>
              </w:rPr>
              <w:t>Values</w:t>
            </w:r>
          </w:p>
        </w:tc>
        <w:tc>
          <w:tcPr>
            <w:tcW w:w="2976" w:type="dxa"/>
            <w:tcBorders>
              <w:bottom w:val="single" w:sz="4" w:space="0" w:color="auto"/>
            </w:tcBorders>
          </w:tcPr>
          <w:p w:rsidR="002A7B22" w:rsidRPr="00317F03" w:rsidRDefault="002A7B22" w:rsidP="002E7585">
            <w:pPr>
              <w:spacing w:before="240"/>
              <w:rPr>
                <w:rFonts w:cs="Arial"/>
              </w:rPr>
            </w:pPr>
            <w:r>
              <w:rPr>
                <w:rFonts w:cs="Arial"/>
                <w:noProof/>
              </w:rPr>
              <mc:AlternateContent>
                <mc:Choice Requires="wps">
                  <w:drawing>
                    <wp:anchor distT="0" distB="0" distL="114300" distR="114300" simplePos="0" relativeHeight="251659264" behindDoc="0" locked="0" layoutInCell="1" allowOverlap="1" wp14:anchorId="5D918DCE" wp14:editId="33F9FFD6">
                      <wp:simplePos x="0" y="0"/>
                      <wp:positionH relativeFrom="column">
                        <wp:posOffset>122555</wp:posOffset>
                      </wp:positionH>
                      <wp:positionV relativeFrom="paragraph">
                        <wp:posOffset>396240</wp:posOffset>
                      </wp:positionV>
                      <wp:extent cx="116840" cy="619125"/>
                      <wp:effectExtent l="19050" t="0" r="35560" b="47625"/>
                      <wp:wrapNone/>
                      <wp:docPr id="19" name="Pfeil nach unten 2"/>
                      <wp:cNvGraphicFramePr/>
                      <a:graphic xmlns:a="http://schemas.openxmlformats.org/drawingml/2006/main">
                        <a:graphicData uri="http://schemas.microsoft.com/office/word/2010/wordprocessingShape">
                          <wps:wsp>
                            <wps:cNvSpPr/>
                            <wps:spPr>
                              <a:xfrm flipH="1">
                                <a:off x="0" y="0"/>
                                <a:ext cx="11684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2" o:spid="_x0000_s1026" type="#_x0000_t67" style="position:absolute;margin-left:9.65pt;margin-top:31.2pt;width:9.2pt;height:48.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" adj="19562" fillcolor="#4f81bd [3204]" strokecolor="#243f60 [1604]" strokeweight="2pt"/>
                  </w:pict>
                </mc:Fallback>
              </mc:AlternateContent>
            </w:r>
            <w:r w:rsidRPr="00317F03">
              <w:rPr>
                <w:rFonts w:cs="Arial"/>
              </w:rPr>
              <w:t>Notes</w:t>
            </w:r>
          </w:p>
        </w:tc>
        <w:tc>
          <w:tcPr>
            <w:tcW w:w="2867" w:type="dxa"/>
            <w:tcBorders>
              <w:bottom w:val="single" w:sz="4" w:space="0" w:color="auto"/>
            </w:tcBorders>
          </w:tcPr>
          <w:p w:rsidR="002A7B22" w:rsidRDefault="002A7B22" w:rsidP="002E7585">
            <w:pPr>
              <w:spacing w:before="240"/>
              <w:rPr>
                <w:rFonts w:cs="Arial"/>
              </w:rPr>
            </w:pPr>
            <w:r>
              <w:rPr>
                <w:rFonts w:cs="Arial"/>
              </w:rPr>
              <w:t>Basis for comparison within the same trial</w:t>
            </w:r>
          </w:p>
          <w:p w:rsidR="002A7B22" w:rsidRPr="00317F03" w:rsidRDefault="002A7B22" w:rsidP="002E7585">
            <w:pPr>
              <w:rPr>
                <w:rFonts w:cs="Arial"/>
              </w:rPr>
            </w:pPr>
          </w:p>
        </w:tc>
      </w:tr>
      <w:tr w:rsidR="002A7B22" w:rsidRPr="00B85321" w:rsidTr="002E7585">
        <w:tc>
          <w:tcPr>
            <w:tcW w:w="1101" w:type="dxa"/>
            <w:tcBorders>
              <w:bottom w:val="nil"/>
              <w:right w:val="single" w:sz="4" w:space="0" w:color="auto"/>
            </w:tcBorders>
          </w:tcPr>
          <w:p w:rsidR="002A7B22" w:rsidRPr="00317F03" w:rsidRDefault="002A7B22" w:rsidP="002E7585">
            <w:pPr>
              <w:spacing w:before="240"/>
              <w:jc w:val="center"/>
              <w:rPr>
                <w:rFonts w:cs="Arial"/>
              </w:rPr>
            </w:pPr>
            <w:r w:rsidRPr="00317F03">
              <w:rPr>
                <w:rFonts w:cs="Arial"/>
              </w:rPr>
              <w:t>3</w:t>
            </w:r>
          </w:p>
        </w:tc>
        <w:tc>
          <w:tcPr>
            <w:tcW w:w="2268" w:type="dxa"/>
            <w:tcBorders>
              <w:top w:val="single" w:sz="4" w:space="0" w:color="auto"/>
              <w:left w:val="single" w:sz="4" w:space="0" w:color="auto"/>
              <w:bottom w:val="nil"/>
              <w:right w:val="single" w:sz="4" w:space="0" w:color="auto"/>
            </w:tcBorders>
          </w:tcPr>
          <w:p w:rsidR="002A7B22" w:rsidRDefault="002A7B22" w:rsidP="002E7585">
            <w:pPr>
              <w:spacing w:before="120"/>
              <w:ind w:left="600"/>
              <w:rPr>
                <w:rFonts w:cs="Arial"/>
              </w:rPr>
            </w:pPr>
            <w:r>
              <w:rPr>
                <w:rFonts w:cs="Arial"/>
              </w:rPr>
              <w:t>Transformation into notes</w:t>
            </w:r>
            <w:r w:rsidRPr="00317F03">
              <w:rPr>
                <w:rFonts w:cs="Arial"/>
              </w:rPr>
              <w:t xml:space="preserve"> </w:t>
            </w:r>
          </w:p>
          <w:p w:rsidR="002A7B22" w:rsidRPr="00317F03" w:rsidRDefault="002A7B22" w:rsidP="002E7585">
            <w:pPr>
              <w:spacing w:before="120"/>
              <w:rPr>
                <w:rFonts w:cs="Arial"/>
              </w:rPr>
            </w:pPr>
            <w:r w:rsidRPr="00317F03">
              <w:rPr>
                <w:rFonts w:cs="Arial"/>
              </w:rPr>
              <w:t>Notes</w:t>
            </w:r>
          </w:p>
        </w:tc>
        <w:tc>
          <w:tcPr>
            <w:tcW w:w="2976" w:type="dxa"/>
            <w:tcBorders>
              <w:left w:val="single" w:sz="4" w:space="0" w:color="auto"/>
              <w:bottom w:val="nil"/>
            </w:tcBorders>
          </w:tcPr>
          <w:p w:rsidR="002A7B22" w:rsidRDefault="002A7B22" w:rsidP="002E7585">
            <w:pPr>
              <w:spacing w:before="120"/>
              <w:ind w:left="459"/>
              <w:rPr>
                <w:rFonts w:cs="Arial"/>
              </w:rPr>
            </w:pPr>
            <w:r>
              <w:rPr>
                <w:rFonts w:cs="Arial"/>
              </w:rPr>
              <w:t>Same Notes as in Process level 1</w:t>
            </w:r>
          </w:p>
          <w:p w:rsidR="002A7B22" w:rsidRDefault="002A7B22" w:rsidP="002E7585">
            <w:pPr>
              <w:spacing w:before="120"/>
              <w:ind w:left="34"/>
              <w:rPr>
                <w:rFonts w:cs="Arial"/>
              </w:rPr>
            </w:pPr>
          </w:p>
          <w:p w:rsidR="002A7B22" w:rsidRPr="00317F03" w:rsidRDefault="002A7B22" w:rsidP="002E7585">
            <w:pPr>
              <w:ind w:left="34"/>
              <w:rPr>
                <w:rFonts w:cs="Arial"/>
              </w:rPr>
            </w:pPr>
            <w:r w:rsidRPr="00317F03">
              <w:rPr>
                <w:rFonts w:cs="Arial"/>
              </w:rPr>
              <w:t>Notes</w:t>
            </w:r>
          </w:p>
        </w:tc>
        <w:tc>
          <w:tcPr>
            <w:tcW w:w="2867" w:type="dxa"/>
            <w:tcBorders>
              <w:bottom w:val="nil"/>
            </w:tcBorders>
          </w:tcPr>
          <w:p w:rsidR="002A7B22" w:rsidRPr="00317F03" w:rsidRDefault="002A7B22" w:rsidP="002E7585">
            <w:pPr>
              <w:spacing w:before="240"/>
              <w:rPr>
                <w:rFonts w:cs="Arial"/>
              </w:rPr>
            </w:pPr>
            <w:r>
              <w:rPr>
                <w:rFonts w:cs="Arial"/>
              </w:rPr>
              <w:t>Notes resulting from one year and location</w:t>
            </w:r>
          </w:p>
        </w:tc>
      </w:tr>
      <w:tr w:rsidR="002A7B22" w:rsidRPr="00B85321" w:rsidTr="002E7585">
        <w:tc>
          <w:tcPr>
            <w:tcW w:w="1101" w:type="dxa"/>
            <w:tcBorders>
              <w:top w:val="nil"/>
            </w:tcBorders>
          </w:tcPr>
          <w:p w:rsidR="002A7B22" w:rsidRPr="00317F03" w:rsidRDefault="002A7B22" w:rsidP="002E7585">
            <w:pPr>
              <w:jc w:val="center"/>
              <w:rPr>
                <w:rFonts w:cs="Arial"/>
              </w:rPr>
            </w:pPr>
          </w:p>
        </w:tc>
        <w:tc>
          <w:tcPr>
            <w:tcW w:w="5244" w:type="dxa"/>
            <w:gridSpan w:val="2"/>
            <w:tcBorders>
              <w:top w:val="nil"/>
            </w:tcBorders>
          </w:tcPr>
          <w:p w:rsidR="002A7B22" w:rsidRDefault="002A7B22" w:rsidP="002E7585">
            <w:pPr>
              <w:spacing w:before="240"/>
              <w:jc w:val="center"/>
              <w:rPr>
                <w:rFonts w:cs="Arial"/>
              </w:rPr>
            </w:pPr>
            <w:r w:rsidRPr="006605CE">
              <w:rPr>
                <w:rFonts w:cs="Arial"/>
                <w:noProof/>
              </w:rPr>
              <mc:AlternateContent>
                <mc:Choice Requires="wps">
                  <w:drawing>
                    <wp:anchor distT="0" distB="0" distL="114300" distR="114300" simplePos="0" relativeHeight="251660288" behindDoc="0" locked="0" layoutInCell="1" allowOverlap="1" wp14:anchorId="7C19A647" wp14:editId="7F0CDE36">
                      <wp:simplePos x="0" y="0"/>
                      <wp:positionH relativeFrom="column">
                        <wp:posOffset>1334770</wp:posOffset>
                      </wp:positionH>
                      <wp:positionV relativeFrom="paragraph">
                        <wp:posOffset>92710</wp:posOffset>
                      </wp:positionV>
                      <wp:extent cx="116840" cy="314325"/>
                      <wp:effectExtent l="19050" t="0" r="35560" b="47625"/>
                      <wp:wrapNone/>
                      <wp:docPr id="20" name="Pfeil nach unten 4"/>
                      <wp:cNvGraphicFramePr/>
                      <a:graphic xmlns:a="http://schemas.openxmlformats.org/drawingml/2006/main">
                        <a:graphicData uri="http://schemas.microsoft.com/office/word/2010/wordprocessingShape">
                          <wps:wsp>
                            <wps:cNvSpPr/>
                            <wps:spPr>
                              <a:xfrm flipH="1">
                                <a:off x="0" y="0"/>
                                <a:ext cx="116840" cy="314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4" o:spid="_x0000_s1026" type="#_x0000_t67" style="position:absolute;margin-left:105.1pt;margin-top:7.3pt;width:9.2pt;height:24.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" adj="17585" fillcolor="#4f81bd [3204]" strokecolor="#243f60 [1604]" strokeweight="2pt"/>
                  </w:pict>
                </mc:Fallback>
              </mc:AlternateContent>
            </w:r>
          </w:p>
          <w:p w:rsidR="002A7B22" w:rsidRDefault="002A7B22" w:rsidP="002E7585">
            <w:pPr>
              <w:spacing w:before="240"/>
              <w:jc w:val="center"/>
              <w:rPr>
                <w:rFonts w:cs="Arial"/>
              </w:rPr>
            </w:pPr>
            <w:r>
              <w:rPr>
                <w:rFonts w:cs="Arial"/>
              </w:rPr>
              <w:t>"</w:t>
            </w:r>
            <w:r w:rsidRPr="005C592E">
              <w:rPr>
                <w:rFonts w:cs="Arial"/>
                <w:b/>
              </w:rPr>
              <w:t>Mean variety description</w:t>
            </w:r>
            <w:r>
              <w:rPr>
                <w:rFonts w:cs="Arial"/>
              </w:rPr>
              <w:t xml:space="preserve">" </w:t>
            </w:r>
          </w:p>
          <w:p w:rsidR="002A7B22" w:rsidRPr="00317F03" w:rsidRDefault="002A7B22" w:rsidP="002E7585">
            <w:pPr>
              <w:spacing w:before="120"/>
              <w:jc w:val="center"/>
              <w:rPr>
                <w:rFonts w:cs="Arial"/>
              </w:rPr>
            </w:pPr>
            <w:r>
              <w:rPr>
                <w:rFonts w:cs="Arial"/>
              </w:rPr>
              <w:t>If varieties are assessed in several trials/years/locations mean descriptions can be established.</w:t>
            </w:r>
          </w:p>
        </w:tc>
        <w:tc>
          <w:tcPr>
            <w:tcW w:w="2867" w:type="dxa"/>
            <w:tcBorders>
              <w:top w:val="nil"/>
            </w:tcBorders>
          </w:tcPr>
          <w:p w:rsidR="002A7B22" w:rsidRDefault="002A7B22" w:rsidP="002E7585">
            <w:pPr>
              <w:spacing w:before="240"/>
              <w:rPr>
                <w:rFonts w:cs="Arial"/>
              </w:rPr>
            </w:pPr>
          </w:p>
          <w:p w:rsidR="002A7B22" w:rsidRPr="00317F03" w:rsidRDefault="002A7B22" w:rsidP="002E7585">
            <w:pPr>
              <w:spacing w:before="240"/>
              <w:rPr>
                <w:rFonts w:cs="Arial"/>
              </w:rPr>
            </w:pPr>
            <w:r>
              <w:rPr>
                <w:rFonts w:cs="Arial"/>
              </w:rPr>
              <w:t>Basis for management of variety collection</w:t>
            </w:r>
          </w:p>
        </w:tc>
      </w:tr>
    </w:tbl>
    <w:p w:rsidR="002A7B22" w:rsidRDefault="002A7B22" w:rsidP="002A7B22">
      <w:pPr>
        <w:rPr>
          <w:rFonts w:cs="Arial"/>
        </w:rPr>
      </w:pPr>
    </w:p>
    <w:p w:rsidR="002A7B22" w:rsidRPr="00A571A1" w:rsidRDefault="002A7B22" w:rsidP="002A7B22">
      <w:pPr>
        <w:rPr>
          <w:rFonts w:cs="Arial"/>
        </w:rPr>
      </w:pPr>
    </w:p>
    <w:p w:rsidR="002A7B22" w:rsidRDefault="002A7B22" w:rsidP="002A7B22">
      <w:pPr>
        <w:rPr>
          <w:rFonts w:cs="Arial"/>
        </w:rPr>
      </w:pPr>
      <w:r>
        <w:rPr>
          <w:rFonts w:cs="Arial"/>
        </w:rPr>
        <w:t xml:space="preserve">In general, quantitative characteristics are influenced by the environment. An efficient way to reduce the environmental influence is the transformation of actual measurements into notes. The notes represent a standardized description of varieties in relation to example varieties (see TGP/7). In addition, the comparability of variety descriptions for varieties not tested in the same trial can be improved by calculating a mean description over several growing cycles. In particular, the mean description over several growing </w:t>
      </w:r>
      <w:r>
        <w:rPr>
          <w:rFonts w:cs="Arial"/>
        </w:rPr>
        <w:lastRenderedPageBreak/>
        <w:t>cycles at the same location can provide a representative description related to the location. The calculation of a mean description over different locations should only be considered if the effects of the locations are very well known and variety x location interactions can be excluded for all characteristics. The calculation of mean descriptions over locations should be restricted to the cases where these conditions are fulfilled.</w:t>
      </w:r>
    </w:p>
    <w:p w:rsidR="002A7B22" w:rsidRDefault="002A7B22" w:rsidP="002A7B22">
      <w:pPr>
        <w:rPr>
          <w:rFonts w:cs="Arial"/>
        </w:rPr>
      </w:pPr>
    </w:p>
    <w:p w:rsidR="002A7B22" w:rsidRDefault="002A7B22" w:rsidP="002A7B22">
      <w:pPr>
        <w:rPr>
          <w:rFonts w:cs="Arial"/>
        </w:rPr>
      </w:pPr>
      <w:r>
        <w:rPr>
          <w:rFonts w:cs="Arial"/>
        </w:rPr>
        <w:t>If variety descriptions from different growing trials are used for the assessment of distinctness - that means for the management of variety collections - it is important to take into account the origin of the different variety descriptions of the candidate variety and the varieties of common knowledge. The comparability of variety descriptions is influenced by many factors, for example:</w:t>
      </w:r>
    </w:p>
    <w:p w:rsidR="002A7B22" w:rsidRDefault="002A7B22" w:rsidP="002A7B22">
      <w:pPr>
        <w:rPr>
          <w:rFonts w:cs="Arial"/>
        </w:rPr>
      </w:pPr>
    </w:p>
    <w:p w:rsidR="002A7B22" w:rsidRDefault="002A7B22" w:rsidP="002A7B22">
      <w:pPr>
        <w:numPr>
          <w:ilvl w:val="0"/>
          <w:numId w:val="11"/>
        </w:numPr>
        <w:rPr>
          <w:rFonts w:cs="Arial"/>
        </w:rPr>
      </w:pPr>
      <w:r>
        <w:rPr>
          <w:rFonts w:cs="Arial"/>
        </w:rPr>
        <w:t>Description based on a single year or a mean over several years?</w:t>
      </w:r>
    </w:p>
    <w:p w:rsidR="002A7B22" w:rsidRDefault="002A7B22" w:rsidP="002A7B22">
      <w:pPr>
        <w:numPr>
          <w:ilvl w:val="0"/>
          <w:numId w:val="11"/>
        </w:numPr>
        <w:rPr>
          <w:rFonts w:cs="Arial"/>
        </w:rPr>
      </w:pPr>
      <w:r>
        <w:rPr>
          <w:rFonts w:cs="Arial"/>
        </w:rPr>
        <w:t>Description based on the same location or different locations?</w:t>
      </w:r>
    </w:p>
    <w:p w:rsidR="002A7B22" w:rsidRDefault="002A7B22" w:rsidP="002A7B22">
      <w:pPr>
        <w:numPr>
          <w:ilvl w:val="0"/>
          <w:numId w:val="11"/>
        </w:numPr>
        <w:rPr>
          <w:rFonts w:cs="Arial"/>
        </w:rPr>
      </w:pPr>
      <w:r>
        <w:rPr>
          <w:rFonts w:cs="Arial"/>
        </w:rPr>
        <w:t>Are the effects of the different location known?</w:t>
      </w:r>
    </w:p>
    <w:p w:rsidR="002A7B22" w:rsidRDefault="002A7B22" w:rsidP="002A7B22">
      <w:pPr>
        <w:numPr>
          <w:ilvl w:val="0"/>
          <w:numId w:val="11"/>
        </w:numPr>
        <w:rPr>
          <w:rFonts w:cs="Arial"/>
        </w:rPr>
      </w:pPr>
      <w:r>
        <w:rPr>
          <w:rFonts w:cs="Arial"/>
        </w:rPr>
        <w:t>Varieties described in relation to the same variety collection or a variety collection which might cover a different range of variation?</w:t>
      </w:r>
    </w:p>
    <w:p w:rsidR="002A7B22" w:rsidRDefault="002A7B22" w:rsidP="002A7B22">
      <w:pPr>
        <w:rPr>
          <w:rFonts w:cs="Arial"/>
        </w:rPr>
      </w:pPr>
    </w:p>
    <w:p w:rsidR="002A7B22" w:rsidRDefault="002A7B22" w:rsidP="002A7B22">
      <w:pPr>
        <w:rPr>
          <w:rFonts w:cs="Arial"/>
        </w:rPr>
      </w:pPr>
      <w:r>
        <w:rPr>
          <w:rFonts w:cs="Arial"/>
        </w:rPr>
        <w:t>The potential bias of variety descriptions due to environmental effects between candidate varieties and varieties in the variety collection have to be taken into account in the process of distinctness testing, and in particular, for the identification of varieties of common knowledge to be included in the growing trial.</w:t>
      </w:r>
    </w:p>
    <w:p w:rsidR="002A7B22" w:rsidRDefault="002A7B22" w:rsidP="002A7B22">
      <w:pPr>
        <w:rPr>
          <w:rFonts w:cs="Arial"/>
        </w:rPr>
      </w:pPr>
    </w:p>
    <w:p w:rsidR="002A7B22" w:rsidRDefault="002A7B22" w:rsidP="002A7B22">
      <w:pPr>
        <w:rPr>
          <w:rFonts w:cs="Arial"/>
        </w:rPr>
      </w:pPr>
    </w:p>
    <w:p w:rsidR="002A7B22" w:rsidRDefault="002A7B22" w:rsidP="002A7B22">
      <w:pPr>
        <w:spacing w:line="360" w:lineRule="auto"/>
        <w:jc w:val="center"/>
      </w:pPr>
    </w:p>
    <w:p w:rsidR="002A7B22" w:rsidRDefault="002A7B22" w:rsidP="0013319C">
      <w:pPr>
        <w:spacing w:line="360" w:lineRule="auto"/>
        <w:jc w:val="right"/>
        <w:sectPr w:rsidR="002A7B22" w:rsidSect="00F852EA">
          <w:headerReference w:type="default" r:id="rId10"/>
          <w:headerReference w:type="first" r:id="rId11"/>
          <w:pgSz w:w="11907" w:h="16840" w:code="9"/>
          <w:pgMar w:top="510" w:right="1134" w:bottom="1134" w:left="1134" w:header="510" w:footer="680" w:gutter="0"/>
          <w:pgNumType w:start="1"/>
          <w:cols w:space="720"/>
          <w:titlePg/>
        </w:sectPr>
      </w:pPr>
      <w:r>
        <w:t>[Annex II follows]</w:t>
      </w:r>
      <w:r w:rsidR="0013319C">
        <w:t xml:space="preserve"> </w:t>
      </w:r>
    </w:p>
    <w:p w:rsidR="002A7B22" w:rsidRDefault="002A7B22" w:rsidP="002A7B22">
      <w:pPr>
        <w:jc w:val="left"/>
      </w:pPr>
    </w:p>
    <w:p w:rsidR="002A7B22" w:rsidRDefault="002A7B22" w:rsidP="002A7B22">
      <w:pPr>
        <w:spacing w:line="360" w:lineRule="auto"/>
        <w:jc w:val="center"/>
      </w:pPr>
      <w:r>
        <w:object w:dxaOrig="7632"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301.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5" DrawAspect="Content" ObjectID="_1500804585" r:id="rId13"/>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26" type="#_x0000_t75" style="width:425.25pt;height:300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6" DrawAspect="Content" ObjectID="_1500804586" r:id="rId15"/>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27" type="#_x0000_t75" style="width:425.25pt;height:300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7" DrawAspect="Content" ObjectID="_1500804587" r:id="rId17"/>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28" type="#_x0000_t75" style="width:425.25pt;height:300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28" DrawAspect="Content" ObjectID="_1500804588" r:id="rId19"/>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29" type="#_x0000_t75" style="width:425.25pt;height:300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29" DrawAspect="Content" ObjectID="_1500804589" r:id="rId21"/>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30" type="#_x0000_t75" style="width:425.25pt;height:300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0" DrawAspect="Content" ObjectID="_1500804590" r:id="rId23"/>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31" type="#_x0000_t75" style="width:425.25pt;height:300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1" DrawAspect="Content" ObjectID="_1500804591" r:id="rId25"/>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32" type="#_x0000_t75" style="width:425.25pt;height:300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2" DrawAspect="Content" ObjectID="_1500804592" r:id="rId27"/>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33" type="#_x0000_t75" style="width:425.25pt;height:300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3" DrawAspect="Content" ObjectID="_1500804593" r:id="rId29"/>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34" type="#_x0000_t75" style="width:425.25pt;height:300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4" DrawAspect="Content" ObjectID="_1500804594" r:id="rId31"/>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35" type="#_x0000_t75" style="width:425.25pt;height:300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5" DrawAspect="Content" ObjectID="_1500804595" r:id="rId33"/>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36" type="#_x0000_t75" style="width:425.25pt;height:300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6" DrawAspect="Content" ObjectID="_1500804596" r:id="rId35"/>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37" type="#_x0000_t75" style="width:425.25pt;height:300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37" DrawAspect="Content" ObjectID="_1500804597" r:id="rId37"/>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38" type="#_x0000_t75" style="width:425.25pt;height:300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38" DrawAspect="Content" ObjectID="_1500804598" r:id="rId39"/>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39" type="#_x0000_t75" style="width:425.25pt;height:300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39" DrawAspect="Content" ObjectID="_1500804599" r:id="rId41"/>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40" type="#_x0000_t75" style="width:425.25pt;height:300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40" DrawAspect="Content" ObjectID="_1500804600" r:id="rId43"/>
        </w:object>
      </w:r>
    </w:p>
    <w:p w:rsidR="002A7B22" w:rsidRDefault="002A7B22" w:rsidP="002A7B22">
      <w:pPr>
        <w:spacing w:line="360" w:lineRule="auto"/>
        <w:jc w:val="center"/>
      </w:pPr>
    </w:p>
    <w:p w:rsidR="002A7B22" w:rsidRDefault="002A7B22" w:rsidP="002A7B22">
      <w:pPr>
        <w:spacing w:line="360" w:lineRule="auto"/>
        <w:jc w:val="center"/>
      </w:pPr>
    </w:p>
    <w:p w:rsidR="00DF474C" w:rsidRDefault="002A7B22" w:rsidP="0013319C">
      <w:pPr>
        <w:spacing w:line="360" w:lineRule="auto"/>
        <w:jc w:val="right"/>
        <w:rPr>
          <w:snapToGrid w:val="0"/>
        </w:rPr>
      </w:pPr>
      <w:r>
        <w:t>[End of Annex II and of document]</w:t>
      </w:r>
    </w:p>
    <w:sectPr w:rsidR="00DF474C" w:rsidSect="0092652B">
      <w:headerReference w:type="default" r:id="rId44"/>
      <w:headerReference w:type="first" r:id="rId45"/>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BC8" w:rsidRDefault="00A55BC8" w:rsidP="006655D3">
      <w:r>
        <w:separator/>
      </w:r>
    </w:p>
    <w:p w:rsidR="00A55BC8" w:rsidRDefault="00A55BC8" w:rsidP="006655D3"/>
    <w:p w:rsidR="00A55BC8" w:rsidRDefault="00A55BC8" w:rsidP="006655D3"/>
  </w:endnote>
  <w:endnote w:type="continuationSeparator" w:id="0">
    <w:p w:rsidR="00A55BC8" w:rsidRDefault="00A55BC8" w:rsidP="006655D3">
      <w:r>
        <w:separator/>
      </w:r>
    </w:p>
    <w:p w:rsidR="00A55BC8" w:rsidRPr="00CC5597" w:rsidRDefault="00A55BC8">
      <w:pPr>
        <w:pStyle w:val="Footer"/>
        <w:spacing w:after="60"/>
        <w:rPr>
          <w:sz w:val="18"/>
          <w:lang w:val="fr-CH"/>
        </w:rPr>
      </w:pPr>
      <w:r w:rsidRPr="00CC5597">
        <w:rPr>
          <w:sz w:val="18"/>
          <w:lang w:val="fr-CH"/>
        </w:rPr>
        <w:t>[Suite de la note de la page précédente]</w:t>
      </w:r>
    </w:p>
    <w:p w:rsidR="00A55BC8" w:rsidRPr="00CC5597" w:rsidRDefault="00A55BC8" w:rsidP="006655D3">
      <w:pPr>
        <w:rPr>
          <w:lang w:val="fr-CH"/>
        </w:rPr>
      </w:pPr>
    </w:p>
    <w:p w:rsidR="00A55BC8" w:rsidRPr="00CC5597" w:rsidRDefault="00A55BC8" w:rsidP="006655D3">
      <w:pPr>
        <w:rPr>
          <w:lang w:val="fr-CH"/>
        </w:rPr>
      </w:pPr>
    </w:p>
  </w:endnote>
  <w:endnote w:type="continuationNotice" w:id="1">
    <w:p w:rsidR="00A55BC8" w:rsidRPr="00CC5597" w:rsidRDefault="00A55BC8" w:rsidP="006655D3">
      <w:pPr>
        <w:rPr>
          <w:lang w:val="fr-CH"/>
        </w:rPr>
      </w:pPr>
      <w:r w:rsidRPr="00CC5597">
        <w:rPr>
          <w:lang w:val="fr-CH"/>
        </w:rPr>
        <w:t>[Suite de la note page suivante]</w:t>
      </w:r>
    </w:p>
    <w:p w:rsidR="00A55BC8" w:rsidRPr="00CC5597" w:rsidRDefault="00A55BC8" w:rsidP="006655D3">
      <w:pPr>
        <w:rPr>
          <w:lang w:val="fr-CH"/>
        </w:rPr>
      </w:pPr>
    </w:p>
    <w:p w:rsidR="00A55BC8" w:rsidRPr="00CC5597" w:rsidRDefault="00A55BC8"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BC8" w:rsidRDefault="00A55BC8" w:rsidP="006655D3">
      <w:r>
        <w:separator/>
      </w:r>
    </w:p>
  </w:footnote>
  <w:footnote w:type="continuationSeparator" w:id="0">
    <w:p w:rsidR="00A55BC8" w:rsidRDefault="00A55BC8" w:rsidP="006655D3">
      <w:r>
        <w:separator/>
      </w:r>
    </w:p>
  </w:footnote>
  <w:footnote w:type="continuationNotice" w:id="1">
    <w:p w:rsidR="00A55BC8" w:rsidRPr="00AB530F" w:rsidRDefault="00A55BC8"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B22" w:rsidRPr="00C5280D" w:rsidRDefault="00757BCF" w:rsidP="00860E2C">
    <w:pPr>
      <w:pStyle w:val="Header"/>
      <w:rPr>
        <w:rStyle w:val="PageNumber"/>
      </w:rPr>
    </w:pPr>
    <w:r>
      <w:t>TWO/48</w:t>
    </w:r>
    <w:r w:rsidR="002A7B22">
      <w:t>/18</w:t>
    </w:r>
  </w:p>
  <w:p w:rsidR="002A7B22" w:rsidRPr="00C5280D" w:rsidRDefault="002A7B22" w:rsidP="00450B44">
    <w:pPr>
      <w:pStyle w:val="Header"/>
    </w:pPr>
    <w:proofErr w:type="gramStart"/>
    <w:r w:rsidRPr="00C5280D">
      <w:t>page</w:t>
    </w:r>
    <w:proofErr w:type="gramEnd"/>
    <w:r w:rsidRPr="00C5280D">
      <w:t xml:space="preserv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893C53">
      <w:rPr>
        <w:rStyle w:val="PageNumber"/>
        <w:noProof/>
      </w:rPr>
      <w:t>2</w:t>
    </w:r>
    <w:r w:rsidRPr="00C5280D">
      <w:rPr>
        <w:rStyle w:val="PageNumber"/>
      </w:rPr>
      <w:fldChar w:fldCharType="end"/>
    </w:r>
  </w:p>
  <w:p w:rsidR="002A7B22" w:rsidRPr="00FE789F" w:rsidRDefault="002A7B22" w:rsidP="00450B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B22" w:rsidRDefault="00757BCF" w:rsidP="004A3E8F">
    <w:pPr>
      <w:pStyle w:val="Header"/>
    </w:pPr>
    <w:r>
      <w:t>TWO/48</w:t>
    </w:r>
    <w:r w:rsidR="002A7B22">
      <w:t>/18</w:t>
    </w:r>
  </w:p>
  <w:p w:rsidR="002A7B22" w:rsidRPr="00C5280D" w:rsidRDefault="002A7B22" w:rsidP="004A3E8F">
    <w:pPr>
      <w:pStyle w:val="Header"/>
      <w:rPr>
        <w:rStyle w:val="PageNumber"/>
      </w:rPr>
    </w:pPr>
    <w:r>
      <w:rPr>
        <w:rStyle w:val="PageNumber"/>
      </w:rPr>
      <w:t xml:space="preserve">Annex I, </w:t>
    </w:r>
    <w:r w:rsidRPr="00F852EA">
      <w:rPr>
        <w:rStyle w:val="PageNumber"/>
        <w:snapToGrid w:val="0"/>
      </w:rPr>
      <w:t xml:space="preserve">page </w:t>
    </w:r>
    <w:r w:rsidRPr="00F852EA">
      <w:rPr>
        <w:rStyle w:val="PageNumber"/>
        <w:snapToGrid w:val="0"/>
      </w:rPr>
      <w:fldChar w:fldCharType="begin"/>
    </w:r>
    <w:r w:rsidRPr="00F852EA">
      <w:rPr>
        <w:rStyle w:val="PageNumber"/>
        <w:snapToGrid w:val="0"/>
      </w:rPr>
      <w:instrText xml:space="preserve"> PAGE </w:instrText>
    </w:r>
    <w:r w:rsidRPr="00F852EA">
      <w:rPr>
        <w:rStyle w:val="PageNumber"/>
        <w:snapToGrid w:val="0"/>
      </w:rPr>
      <w:fldChar w:fldCharType="separate"/>
    </w:r>
    <w:r w:rsidR="00893C53">
      <w:rPr>
        <w:rStyle w:val="PageNumber"/>
        <w:noProof/>
        <w:snapToGrid w:val="0"/>
      </w:rPr>
      <w:t>2</w:t>
    </w:r>
    <w:r w:rsidRPr="00F852EA">
      <w:rPr>
        <w:rStyle w:val="PageNumber"/>
        <w:snapToGrid w:val="0"/>
      </w:rPr>
      <w:fldChar w:fldCharType="end"/>
    </w:r>
  </w:p>
  <w:p w:rsidR="002A7B22" w:rsidRPr="00C5280D" w:rsidRDefault="002A7B22" w:rsidP="006655D3"/>
  <w:p w:rsidR="002A7B22" w:rsidRDefault="002A7B22"/>
  <w:p w:rsidR="002A7B22" w:rsidRDefault="002A7B2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B22" w:rsidRPr="00C5280D" w:rsidRDefault="00757BCF" w:rsidP="00860E2C">
    <w:pPr>
      <w:pStyle w:val="Header"/>
      <w:rPr>
        <w:rStyle w:val="PageNumber"/>
      </w:rPr>
    </w:pPr>
    <w:r>
      <w:t>TWO/48</w:t>
    </w:r>
    <w:r w:rsidR="002A7B22">
      <w:t>/18</w:t>
    </w:r>
  </w:p>
  <w:p w:rsidR="002A7B22" w:rsidRDefault="002A7B22" w:rsidP="004A3E8F">
    <w:pPr>
      <w:pStyle w:val="Header"/>
      <w:rPr>
        <w:rStyle w:val="PageNumber"/>
      </w:rPr>
    </w:pPr>
  </w:p>
  <w:p w:rsidR="002A7B22" w:rsidRPr="00C5280D" w:rsidRDefault="002A7B22" w:rsidP="004A3E8F">
    <w:pPr>
      <w:pStyle w:val="Header"/>
      <w:rPr>
        <w:rStyle w:val="PageNumber"/>
      </w:rPr>
    </w:pPr>
    <w:r>
      <w:rPr>
        <w:rStyle w:val="PageNumber"/>
      </w:rPr>
      <w:t>ANNEX I</w:t>
    </w:r>
  </w:p>
  <w:p w:rsidR="002A7B22" w:rsidRPr="005F6F40" w:rsidRDefault="002A7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656" w:rsidRPr="00832298" w:rsidRDefault="00757BCF" w:rsidP="00832298">
    <w:pPr>
      <w:pStyle w:val="Header"/>
    </w:pPr>
    <w:r>
      <w:t>TWO/48</w:t>
    </w:r>
    <w:r w:rsidR="002A7B22">
      <w:t>/18</w:t>
    </w:r>
  </w:p>
  <w:p w:rsidR="00903656" w:rsidRPr="00C5280D" w:rsidRDefault="002A7B22" w:rsidP="00EB048E">
    <w:pPr>
      <w:pStyle w:val="Header"/>
    </w:pPr>
    <w:r>
      <w:t xml:space="preserve">Annex II, </w:t>
    </w:r>
    <w:r w:rsidR="00903656" w:rsidRPr="00C5280D">
      <w:t xml:space="preserve">page </w:t>
    </w:r>
    <w:r w:rsidR="00903656" w:rsidRPr="00832298">
      <w:fldChar w:fldCharType="begin"/>
    </w:r>
    <w:r w:rsidR="00903656" w:rsidRPr="00832298">
      <w:instrText xml:space="preserve"> PAGE </w:instrText>
    </w:r>
    <w:r w:rsidR="00903656" w:rsidRPr="00832298">
      <w:fldChar w:fldCharType="separate"/>
    </w:r>
    <w:r w:rsidR="00893C53">
      <w:rPr>
        <w:noProof/>
      </w:rPr>
      <w:t>8</w:t>
    </w:r>
    <w:r w:rsidR="00903656" w:rsidRPr="00832298">
      <w:fldChar w:fldCharType="end"/>
    </w:r>
  </w:p>
  <w:p w:rsidR="00903656" w:rsidRPr="00C5280D" w:rsidRDefault="00903656" w:rsidP="008322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B22" w:rsidRPr="00C5280D" w:rsidRDefault="00757BCF" w:rsidP="00860E2C">
    <w:pPr>
      <w:pStyle w:val="Header"/>
      <w:rPr>
        <w:rStyle w:val="PageNumber"/>
      </w:rPr>
    </w:pPr>
    <w:r>
      <w:t>TWO/48</w:t>
    </w:r>
    <w:r w:rsidR="002A7B22">
      <w:t>/18</w:t>
    </w:r>
  </w:p>
  <w:p w:rsidR="002A7B22" w:rsidRDefault="002A7B22" w:rsidP="004A3E8F">
    <w:pPr>
      <w:pStyle w:val="Header"/>
      <w:rPr>
        <w:rStyle w:val="PageNumber"/>
      </w:rPr>
    </w:pPr>
  </w:p>
  <w:p w:rsidR="002A7B22" w:rsidRPr="00C5280D" w:rsidRDefault="002A7B22" w:rsidP="004A3E8F">
    <w:pPr>
      <w:pStyle w:val="Header"/>
      <w:rPr>
        <w:rStyle w:val="PageNumber"/>
      </w:rPr>
    </w:pPr>
    <w:r>
      <w:rPr>
        <w:rStyle w:val="PageNumber"/>
      </w:rPr>
      <w:t>ANNEX II</w:t>
    </w:r>
  </w:p>
  <w:p w:rsidR="002A7B22" w:rsidRPr="005F6F40" w:rsidRDefault="002A7B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0CF45A"/>
    <w:lvl w:ilvl="0">
      <w:start w:val="1"/>
      <w:numFmt w:val="decimal"/>
      <w:lvlText w:val="%1."/>
      <w:lvlJc w:val="left"/>
      <w:pPr>
        <w:tabs>
          <w:tab w:val="num" w:pos="1492"/>
        </w:tabs>
        <w:ind w:left="1492" w:hanging="360"/>
      </w:pPr>
    </w:lvl>
  </w:abstractNum>
  <w:abstractNum w:abstractNumId="1">
    <w:nsid w:val="FFFFFF7D"/>
    <w:multiLevelType w:val="singleLevel"/>
    <w:tmpl w:val="8E280274"/>
    <w:lvl w:ilvl="0">
      <w:start w:val="1"/>
      <w:numFmt w:val="decimal"/>
      <w:lvlText w:val="%1."/>
      <w:lvlJc w:val="left"/>
      <w:pPr>
        <w:tabs>
          <w:tab w:val="num" w:pos="1209"/>
        </w:tabs>
        <w:ind w:left="1209" w:hanging="360"/>
      </w:pPr>
    </w:lvl>
  </w:abstractNum>
  <w:abstractNum w:abstractNumId="2">
    <w:nsid w:val="FFFFFF7E"/>
    <w:multiLevelType w:val="singleLevel"/>
    <w:tmpl w:val="B606840E"/>
    <w:lvl w:ilvl="0">
      <w:start w:val="1"/>
      <w:numFmt w:val="decimal"/>
      <w:lvlText w:val="%1."/>
      <w:lvlJc w:val="left"/>
      <w:pPr>
        <w:tabs>
          <w:tab w:val="num" w:pos="926"/>
        </w:tabs>
        <w:ind w:left="926" w:hanging="360"/>
      </w:pPr>
    </w:lvl>
  </w:abstractNum>
  <w:abstractNum w:abstractNumId="3">
    <w:nsid w:val="FFFFFF7F"/>
    <w:multiLevelType w:val="singleLevel"/>
    <w:tmpl w:val="0C602A28"/>
    <w:lvl w:ilvl="0">
      <w:start w:val="1"/>
      <w:numFmt w:val="decimal"/>
      <w:lvlText w:val="%1."/>
      <w:lvlJc w:val="left"/>
      <w:pPr>
        <w:tabs>
          <w:tab w:val="num" w:pos="643"/>
        </w:tabs>
        <w:ind w:left="643" w:hanging="360"/>
      </w:pPr>
    </w:lvl>
  </w:abstractNum>
  <w:abstractNum w:abstractNumId="4">
    <w:nsid w:val="FFFFFF80"/>
    <w:multiLevelType w:val="singleLevel"/>
    <w:tmpl w:val="8C2E68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986B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441B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16FC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B00E96"/>
    <w:lvl w:ilvl="0">
      <w:start w:val="1"/>
      <w:numFmt w:val="decimal"/>
      <w:lvlText w:val="%1."/>
      <w:lvlJc w:val="left"/>
      <w:pPr>
        <w:tabs>
          <w:tab w:val="num" w:pos="360"/>
        </w:tabs>
        <w:ind w:left="360" w:hanging="360"/>
      </w:pPr>
    </w:lvl>
  </w:abstractNum>
  <w:abstractNum w:abstractNumId="9">
    <w:nsid w:val="FFFFFF89"/>
    <w:multiLevelType w:val="singleLevel"/>
    <w:tmpl w:val="B2A2752A"/>
    <w:lvl w:ilvl="0">
      <w:start w:val="1"/>
      <w:numFmt w:val="bullet"/>
      <w:lvlText w:val=""/>
      <w:lvlJc w:val="left"/>
      <w:pPr>
        <w:tabs>
          <w:tab w:val="num" w:pos="360"/>
        </w:tabs>
        <w:ind w:left="360" w:hanging="360"/>
      </w:pPr>
      <w:rPr>
        <w:rFonts w:ascii="Symbol" w:hAnsi="Symbol" w:hint="default"/>
      </w:rPr>
    </w:lvl>
  </w:abstractNum>
  <w:abstractNum w:abstractNumId="10">
    <w:nsid w:val="28450A25"/>
    <w:multiLevelType w:val="hybridMultilevel"/>
    <w:tmpl w:val="55CAC0BA"/>
    <w:lvl w:ilvl="0" w:tplc="763EABFC">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0861FB7"/>
    <w:multiLevelType w:val="hybridMultilevel"/>
    <w:tmpl w:val="E0047C26"/>
    <w:lvl w:ilvl="0" w:tplc="17101ADC">
      <w:start w:val="1"/>
      <w:numFmt w:val="lowerLetter"/>
      <w:lvlText w:val="(%1)"/>
      <w:lvlJc w:val="right"/>
      <w:pPr>
        <w:ind w:left="6173" w:hanging="360"/>
      </w:pPr>
      <w:rPr>
        <w:rFonts w:hint="default"/>
      </w:rPr>
    </w:lvl>
    <w:lvl w:ilvl="1" w:tplc="04090019" w:tentative="1">
      <w:start w:val="1"/>
      <w:numFmt w:val="lowerLetter"/>
      <w:lvlText w:val="%2."/>
      <w:lvlJc w:val="left"/>
      <w:pPr>
        <w:ind w:left="6893" w:hanging="360"/>
      </w:pPr>
    </w:lvl>
    <w:lvl w:ilvl="2" w:tplc="0409001B" w:tentative="1">
      <w:start w:val="1"/>
      <w:numFmt w:val="lowerRoman"/>
      <w:lvlText w:val="%3."/>
      <w:lvlJc w:val="right"/>
      <w:pPr>
        <w:ind w:left="7613" w:hanging="180"/>
      </w:pPr>
    </w:lvl>
    <w:lvl w:ilvl="3" w:tplc="0409000F" w:tentative="1">
      <w:start w:val="1"/>
      <w:numFmt w:val="decimal"/>
      <w:lvlText w:val="%4."/>
      <w:lvlJc w:val="left"/>
      <w:pPr>
        <w:ind w:left="8333" w:hanging="360"/>
      </w:pPr>
    </w:lvl>
    <w:lvl w:ilvl="4" w:tplc="04090019" w:tentative="1">
      <w:start w:val="1"/>
      <w:numFmt w:val="lowerLetter"/>
      <w:lvlText w:val="%5."/>
      <w:lvlJc w:val="left"/>
      <w:pPr>
        <w:ind w:left="9053" w:hanging="360"/>
      </w:pPr>
    </w:lvl>
    <w:lvl w:ilvl="5" w:tplc="0409001B" w:tentative="1">
      <w:start w:val="1"/>
      <w:numFmt w:val="lowerRoman"/>
      <w:lvlText w:val="%6."/>
      <w:lvlJc w:val="right"/>
      <w:pPr>
        <w:ind w:left="9773" w:hanging="180"/>
      </w:pPr>
    </w:lvl>
    <w:lvl w:ilvl="6" w:tplc="0409000F" w:tentative="1">
      <w:start w:val="1"/>
      <w:numFmt w:val="decimal"/>
      <w:lvlText w:val="%7."/>
      <w:lvlJc w:val="left"/>
      <w:pPr>
        <w:ind w:left="10493" w:hanging="360"/>
      </w:pPr>
    </w:lvl>
    <w:lvl w:ilvl="7" w:tplc="04090019" w:tentative="1">
      <w:start w:val="1"/>
      <w:numFmt w:val="lowerLetter"/>
      <w:lvlText w:val="%8."/>
      <w:lvlJc w:val="left"/>
      <w:pPr>
        <w:ind w:left="11213" w:hanging="360"/>
      </w:pPr>
    </w:lvl>
    <w:lvl w:ilvl="8" w:tplc="0409001B" w:tentative="1">
      <w:start w:val="1"/>
      <w:numFmt w:val="lowerRoman"/>
      <w:lvlText w:val="%9."/>
      <w:lvlJc w:val="right"/>
      <w:pPr>
        <w:ind w:left="11933"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BC8"/>
    <w:rsid w:val="00010CF3"/>
    <w:rsid w:val="00011E27"/>
    <w:rsid w:val="000148BC"/>
    <w:rsid w:val="00024AB8"/>
    <w:rsid w:val="00030854"/>
    <w:rsid w:val="00036028"/>
    <w:rsid w:val="00044642"/>
    <w:rsid w:val="000446B9"/>
    <w:rsid w:val="00047E21"/>
    <w:rsid w:val="00085505"/>
    <w:rsid w:val="000A04EF"/>
    <w:rsid w:val="000C43F0"/>
    <w:rsid w:val="000C7021"/>
    <w:rsid w:val="000D6BBC"/>
    <w:rsid w:val="000D7780"/>
    <w:rsid w:val="001011C4"/>
    <w:rsid w:val="00105929"/>
    <w:rsid w:val="001131D5"/>
    <w:rsid w:val="00120C54"/>
    <w:rsid w:val="001266DB"/>
    <w:rsid w:val="001322D2"/>
    <w:rsid w:val="0013319C"/>
    <w:rsid w:val="00141DB8"/>
    <w:rsid w:val="0017474A"/>
    <w:rsid w:val="001758C6"/>
    <w:rsid w:val="00182B99"/>
    <w:rsid w:val="0018780B"/>
    <w:rsid w:val="0019390B"/>
    <w:rsid w:val="001A2921"/>
    <w:rsid w:val="0021332C"/>
    <w:rsid w:val="00213982"/>
    <w:rsid w:val="002249B2"/>
    <w:rsid w:val="0024416D"/>
    <w:rsid w:val="002800A0"/>
    <w:rsid w:val="002801B3"/>
    <w:rsid w:val="00281060"/>
    <w:rsid w:val="002940E8"/>
    <w:rsid w:val="002A6E50"/>
    <w:rsid w:val="002A7B22"/>
    <w:rsid w:val="002C1006"/>
    <w:rsid w:val="002C256A"/>
    <w:rsid w:val="002D2C8A"/>
    <w:rsid w:val="00305A7F"/>
    <w:rsid w:val="003152FE"/>
    <w:rsid w:val="00327436"/>
    <w:rsid w:val="00332060"/>
    <w:rsid w:val="00344BD6"/>
    <w:rsid w:val="0035528D"/>
    <w:rsid w:val="00361821"/>
    <w:rsid w:val="00375D51"/>
    <w:rsid w:val="003776C3"/>
    <w:rsid w:val="003B3894"/>
    <w:rsid w:val="003D227C"/>
    <w:rsid w:val="003D2B4D"/>
    <w:rsid w:val="00413C63"/>
    <w:rsid w:val="00444A88"/>
    <w:rsid w:val="0046345C"/>
    <w:rsid w:val="0046614D"/>
    <w:rsid w:val="00474DA4"/>
    <w:rsid w:val="00476B4D"/>
    <w:rsid w:val="004805FA"/>
    <w:rsid w:val="004967C7"/>
    <w:rsid w:val="004D047D"/>
    <w:rsid w:val="004F305A"/>
    <w:rsid w:val="00512164"/>
    <w:rsid w:val="00520297"/>
    <w:rsid w:val="005338F9"/>
    <w:rsid w:val="0054281C"/>
    <w:rsid w:val="0055268D"/>
    <w:rsid w:val="005673D0"/>
    <w:rsid w:val="00576BE4"/>
    <w:rsid w:val="0057736E"/>
    <w:rsid w:val="005A400A"/>
    <w:rsid w:val="005F4849"/>
    <w:rsid w:val="00612379"/>
    <w:rsid w:val="0061555F"/>
    <w:rsid w:val="00633FD4"/>
    <w:rsid w:val="00641200"/>
    <w:rsid w:val="006655D3"/>
    <w:rsid w:val="00667404"/>
    <w:rsid w:val="00685222"/>
    <w:rsid w:val="0068592D"/>
    <w:rsid w:val="00687EB4"/>
    <w:rsid w:val="006B17D2"/>
    <w:rsid w:val="006C224E"/>
    <w:rsid w:val="006C7423"/>
    <w:rsid w:val="006D780A"/>
    <w:rsid w:val="006E1436"/>
    <w:rsid w:val="00715D32"/>
    <w:rsid w:val="007163AE"/>
    <w:rsid w:val="00732DEC"/>
    <w:rsid w:val="00735BD5"/>
    <w:rsid w:val="007556F6"/>
    <w:rsid w:val="00757BCF"/>
    <w:rsid w:val="00760EEF"/>
    <w:rsid w:val="00777EE5"/>
    <w:rsid w:val="00784836"/>
    <w:rsid w:val="0079023E"/>
    <w:rsid w:val="00794494"/>
    <w:rsid w:val="007A2854"/>
    <w:rsid w:val="007B2D2F"/>
    <w:rsid w:val="007D0B9D"/>
    <w:rsid w:val="007D19B0"/>
    <w:rsid w:val="007F498F"/>
    <w:rsid w:val="0080679D"/>
    <w:rsid w:val="008108B0"/>
    <w:rsid w:val="00811B20"/>
    <w:rsid w:val="0082296E"/>
    <w:rsid w:val="00824099"/>
    <w:rsid w:val="00832298"/>
    <w:rsid w:val="00835CE4"/>
    <w:rsid w:val="00867AC1"/>
    <w:rsid w:val="00876C58"/>
    <w:rsid w:val="00893C53"/>
    <w:rsid w:val="008A743F"/>
    <w:rsid w:val="008C0970"/>
    <w:rsid w:val="008D2CF7"/>
    <w:rsid w:val="008E135C"/>
    <w:rsid w:val="00900C26"/>
    <w:rsid w:val="0090197F"/>
    <w:rsid w:val="00903656"/>
    <w:rsid w:val="009054D1"/>
    <w:rsid w:val="00906DDC"/>
    <w:rsid w:val="0092652B"/>
    <w:rsid w:val="00934E09"/>
    <w:rsid w:val="00936253"/>
    <w:rsid w:val="00952DD4"/>
    <w:rsid w:val="00962C45"/>
    <w:rsid w:val="00970FED"/>
    <w:rsid w:val="0097491A"/>
    <w:rsid w:val="00974D22"/>
    <w:rsid w:val="00997029"/>
    <w:rsid w:val="009D690D"/>
    <w:rsid w:val="009E65B6"/>
    <w:rsid w:val="00A24C10"/>
    <w:rsid w:val="00A42AC3"/>
    <w:rsid w:val="00A430CF"/>
    <w:rsid w:val="00A54309"/>
    <w:rsid w:val="00A55BC8"/>
    <w:rsid w:val="00A903A1"/>
    <w:rsid w:val="00AB2B93"/>
    <w:rsid w:val="00AB530F"/>
    <w:rsid w:val="00AB7E5B"/>
    <w:rsid w:val="00AE0EF1"/>
    <w:rsid w:val="00AE2937"/>
    <w:rsid w:val="00B07301"/>
    <w:rsid w:val="00B152FB"/>
    <w:rsid w:val="00B224DE"/>
    <w:rsid w:val="00B46575"/>
    <w:rsid w:val="00B6423C"/>
    <w:rsid w:val="00B67C06"/>
    <w:rsid w:val="00B71144"/>
    <w:rsid w:val="00B75B90"/>
    <w:rsid w:val="00B84BBD"/>
    <w:rsid w:val="00B92D6C"/>
    <w:rsid w:val="00BA43FB"/>
    <w:rsid w:val="00BB0967"/>
    <w:rsid w:val="00BB2F1E"/>
    <w:rsid w:val="00BB75D8"/>
    <w:rsid w:val="00BC127D"/>
    <w:rsid w:val="00BC1FE6"/>
    <w:rsid w:val="00C061B6"/>
    <w:rsid w:val="00C2446C"/>
    <w:rsid w:val="00C36AE5"/>
    <w:rsid w:val="00C41F17"/>
    <w:rsid w:val="00C5280D"/>
    <w:rsid w:val="00C55371"/>
    <w:rsid w:val="00C5791C"/>
    <w:rsid w:val="00C66290"/>
    <w:rsid w:val="00C72B7A"/>
    <w:rsid w:val="00C973F2"/>
    <w:rsid w:val="00CA304C"/>
    <w:rsid w:val="00CA774A"/>
    <w:rsid w:val="00CC11B0"/>
    <w:rsid w:val="00CC5597"/>
    <w:rsid w:val="00CE63BA"/>
    <w:rsid w:val="00CF7E36"/>
    <w:rsid w:val="00D02ED3"/>
    <w:rsid w:val="00D3708D"/>
    <w:rsid w:val="00D40426"/>
    <w:rsid w:val="00D57C96"/>
    <w:rsid w:val="00D6617D"/>
    <w:rsid w:val="00D91203"/>
    <w:rsid w:val="00D95174"/>
    <w:rsid w:val="00DA6F36"/>
    <w:rsid w:val="00DB596E"/>
    <w:rsid w:val="00DB7773"/>
    <w:rsid w:val="00DC00EA"/>
    <w:rsid w:val="00DD7348"/>
    <w:rsid w:val="00DF474C"/>
    <w:rsid w:val="00E30ACD"/>
    <w:rsid w:val="00E32F7E"/>
    <w:rsid w:val="00E72D49"/>
    <w:rsid w:val="00E7593C"/>
    <w:rsid w:val="00E7602C"/>
    <w:rsid w:val="00E7678A"/>
    <w:rsid w:val="00E935F1"/>
    <w:rsid w:val="00E94A81"/>
    <w:rsid w:val="00E96064"/>
    <w:rsid w:val="00EA1FFB"/>
    <w:rsid w:val="00EB048E"/>
    <w:rsid w:val="00EE34DF"/>
    <w:rsid w:val="00EF2F89"/>
    <w:rsid w:val="00F0624D"/>
    <w:rsid w:val="00F1237A"/>
    <w:rsid w:val="00F22CBD"/>
    <w:rsid w:val="00F23371"/>
    <w:rsid w:val="00F45372"/>
    <w:rsid w:val="00F560F7"/>
    <w:rsid w:val="00F6334D"/>
    <w:rsid w:val="00FA49AB"/>
    <w:rsid w:val="00FD51B6"/>
    <w:rsid w:val="00FD54E2"/>
    <w:rsid w:val="00FE39C7"/>
    <w:rsid w:val="00FE493F"/>
    <w:rsid w:val="00FF15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aliases w:val="VARIETY,variety"/>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75B90"/>
    <w:rPr>
      <w:rFonts w:ascii="Tahoma" w:hAnsi="Tahoma" w:cs="Tahoma"/>
      <w:sz w:val="16"/>
      <w:szCs w:val="16"/>
    </w:rPr>
  </w:style>
  <w:style w:type="character" w:customStyle="1" w:styleId="BalloonTextChar">
    <w:name w:val="Balloon Text Char"/>
    <w:basedOn w:val="DefaultParagraphFont"/>
    <w:link w:val="BalloonText"/>
    <w:rsid w:val="00B75B9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uiPriority w:val="39"/>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table" w:styleId="TableGrid">
    <w:name w:val="Table Grid"/>
    <w:basedOn w:val="TableNormal"/>
    <w:rsid w:val="002A7B2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7B22"/>
    <w:pPr>
      <w:ind w:left="720"/>
      <w:contextualSpacing/>
    </w:pPr>
  </w:style>
  <w:style w:type="character" w:customStyle="1" w:styleId="HeaderChar">
    <w:name w:val="Header Char"/>
    <w:basedOn w:val="DefaultParagraphFont"/>
    <w:link w:val="Header"/>
    <w:rsid w:val="002A7B22"/>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aliases w:val="VARIETY,variety"/>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75B90"/>
    <w:rPr>
      <w:rFonts w:ascii="Tahoma" w:hAnsi="Tahoma" w:cs="Tahoma"/>
      <w:sz w:val="16"/>
      <w:szCs w:val="16"/>
    </w:rPr>
  </w:style>
  <w:style w:type="character" w:customStyle="1" w:styleId="BalloonTextChar">
    <w:name w:val="Balloon Text Char"/>
    <w:basedOn w:val="DefaultParagraphFont"/>
    <w:link w:val="BalloonText"/>
    <w:rsid w:val="00B75B9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uiPriority w:val="39"/>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table" w:styleId="TableGrid">
    <w:name w:val="Table Grid"/>
    <w:basedOn w:val="TableNormal"/>
    <w:rsid w:val="002A7B2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7B22"/>
    <w:pPr>
      <w:ind w:left="720"/>
      <w:contextualSpacing/>
    </w:pPr>
  </w:style>
  <w:style w:type="character" w:customStyle="1" w:styleId="HeaderChar">
    <w:name w:val="Header Char"/>
    <w:basedOn w:val="DefaultParagraphFont"/>
    <w:link w:val="Header"/>
    <w:rsid w:val="002A7B2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1027550">
      <w:bodyDiv w:val="1"/>
      <w:marLeft w:val="0"/>
      <w:marRight w:val="0"/>
      <w:marTop w:val="0"/>
      <w:marBottom w:val="0"/>
      <w:divBdr>
        <w:top w:val="none" w:sz="0" w:space="0" w:color="auto"/>
        <w:left w:val="none" w:sz="0" w:space="0" w:color="auto"/>
        <w:bottom w:val="none" w:sz="0" w:space="0" w:color="auto"/>
        <w:right w:val="none" w:sz="0" w:space="0" w:color="auto"/>
      </w:divBdr>
    </w:div>
    <w:div w:id="1843546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PowerPoint_Slide1.sld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PowerPoint_Slide14.sldx"/><Relationship Id="rId3" Type="http://schemas.microsoft.com/office/2007/relationships/stylesWithEffects" Target="stylesWithEffects.xml"/><Relationship Id="rId21" Type="http://schemas.openxmlformats.org/officeDocument/2006/relationships/package" Target="embeddings/Microsoft_PowerPoint_Slide5.sldx"/><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PowerPoint_Slide3.sldx"/><Relationship Id="rId25" Type="http://schemas.openxmlformats.org/officeDocument/2006/relationships/package" Target="embeddings/Microsoft_PowerPoint_Slide7.sldx"/><Relationship Id="rId33" Type="http://schemas.openxmlformats.org/officeDocument/2006/relationships/package" Target="embeddings/Microsoft_PowerPoint_Slide11.sldx"/><Relationship Id="rId38" Type="http://schemas.openxmlformats.org/officeDocument/2006/relationships/image" Target="media/image15.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PowerPoint_Slide9.sldx"/><Relationship Id="rId41" Type="http://schemas.openxmlformats.org/officeDocument/2006/relationships/package" Target="embeddings/Microsoft_PowerPoint_Slide15.sld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PowerPoint_Slide13.sldx"/><Relationship Id="rId40" Type="http://schemas.openxmlformats.org/officeDocument/2006/relationships/image" Target="media/image16.emf"/><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package" Target="embeddings/Microsoft_PowerPoint_Slide2.sldx"/><Relationship Id="rId23" Type="http://schemas.openxmlformats.org/officeDocument/2006/relationships/package" Target="embeddings/Microsoft_PowerPoint_Slide6.sldx"/><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header" Target="header2.xml"/><Relationship Id="rId19" Type="http://schemas.openxmlformats.org/officeDocument/2006/relationships/package" Target="embeddings/Microsoft_PowerPoint_Slide4.sldx"/><Relationship Id="rId31" Type="http://schemas.openxmlformats.org/officeDocument/2006/relationships/package" Target="embeddings/Microsoft_PowerPoint_Slide10.sldx"/><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PowerPoint_Slide8.sldx"/><Relationship Id="rId30" Type="http://schemas.openxmlformats.org/officeDocument/2006/relationships/image" Target="media/image11.emf"/><Relationship Id="rId35" Type="http://schemas.openxmlformats.org/officeDocument/2006/relationships/package" Target="embeddings/Microsoft_PowerPoint_Slide12.sldx"/><Relationship Id="rId43" Type="http://schemas.openxmlformats.org/officeDocument/2006/relationships/package" Target="embeddings/Microsoft_PowerPoint_Slide16.sldx"/></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V\Twv49\Template\twv_4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twv_49</Template>
  <TotalTime>145</TotalTime>
  <Pages>15</Pages>
  <Words>3058</Words>
  <Characters>17648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TWV/47</vt:lpstr>
    </vt:vector>
  </TitlesOfParts>
  <Company>UPOV</Company>
  <LinksUpToDate>false</LinksUpToDate>
  <CharactersWithSpaces>20665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TWV/47</dc:title>
  <dc:creator>REZENDE TAVEIRA Leontino</dc:creator>
  <cp:lastModifiedBy>LONG Victoria</cp:lastModifiedBy>
  <cp:revision>7</cp:revision>
  <cp:lastPrinted>2015-08-11T11:23:00Z</cp:lastPrinted>
  <dcterms:created xsi:type="dcterms:W3CDTF">2015-06-18T10:14:00Z</dcterms:created>
  <dcterms:modified xsi:type="dcterms:W3CDTF">2015-08-11T11:23:00Z</dcterms:modified>
</cp:coreProperties>
</file>