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6B73" w:rsidRPr="00C5280D" w:rsidTr="00CB176C">
        <w:trPr>
          <w:trHeight w:val="1760"/>
        </w:trPr>
        <w:tc>
          <w:tcPr>
            <w:tcW w:w="4243" w:type="dxa"/>
          </w:tcPr>
          <w:p w:rsidR="00D96B73" w:rsidRPr="00C5280D" w:rsidRDefault="00D96B73" w:rsidP="003659DF">
            <w:bookmarkStart w:id="0" w:name="TitleOfDoc"/>
            <w:bookmarkEnd w:id="0"/>
          </w:p>
        </w:tc>
        <w:tc>
          <w:tcPr>
            <w:tcW w:w="1646" w:type="dxa"/>
            <w:vAlign w:val="center"/>
          </w:tcPr>
          <w:p w:rsidR="00D96B73" w:rsidRPr="00C5280D" w:rsidRDefault="00ED1023" w:rsidP="003659DF">
            <w:pPr>
              <w:pStyle w:val="LogoUPOV"/>
            </w:pPr>
            <w:r w:rsidRPr="0079538F">
              <w:rPr>
                <w:noProof/>
              </w:rPr>
              <w:drawing>
                <wp:inline distT="0" distB="0" distL="0" distR="0" wp14:anchorId="60424EC0" wp14:editId="6AD4138F">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96B73" w:rsidRPr="00C5280D" w:rsidRDefault="00D96B73" w:rsidP="003659DF">
            <w:pPr>
              <w:pStyle w:val="Lettrine"/>
            </w:pPr>
            <w:r w:rsidRPr="00C5280D">
              <w:t>E</w:t>
            </w:r>
          </w:p>
          <w:p w:rsidR="00D96B73" w:rsidRPr="00C5280D" w:rsidRDefault="00A93BEB" w:rsidP="003659DF">
            <w:pPr>
              <w:pStyle w:val="Docoriginal"/>
            </w:pPr>
            <w:r>
              <w:t>TWF</w:t>
            </w:r>
            <w:r w:rsidR="002B764B">
              <w:t>/4</w:t>
            </w:r>
            <w:r>
              <w:t>7</w:t>
            </w:r>
            <w:r w:rsidR="00D96B73" w:rsidRPr="00C5280D">
              <w:t>/</w:t>
            </w:r>
            <w:bookmarkStart w:id="1" w:name="Code"/>
            <w:bookmarkEnd w:id="1"/>
            <w:r w:rsidR="004B7968">
              <w:t>14</w:t>
            </w:r>
          </w:p>
          <w:p w:rsidR="00D96B73" w:rsidRPr="00B46575" w:rsidRDefault="00D96B73"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D96B73" w:rsidRPr="00C5280D" w:rsidRDefault="00D96B73" w:rsidP="007E5649">
            <w:pPr>
              <w:pStyle w:val="Docoriginal"/>
              <w:rPr>
                <w:lang w:eastAsia="ja-JP"/>
              </w:rPr>
            </w:pPr>
            <w:bookmarkStart w:id="3" w:name="_GoBack"/>
            <w:bookmarkEnd w:id="3"/>
            <w:r w:rsidRPr="007E5649">
              <w:rPr>
                <w:spacing w:val="0"/>
              </w:rPr>
              <w:t xml:space="preserve">DATE: </w:t>
            </w:r>
            <w:r w:rsidR="007654F6" w:rsidRPr="007E5649">
              <w:rPr>
                <w:b w:val="0"/>
                <w:spacing w:val="0"/>
              </w:rPr>
              <w:t>October 1</w:t>
            </w:r>
            <w:r w:rsidR="007E5649" w:rsidRPr="007E5649">
              <w:rPr>
                <w:b w:val="0"/>
                <w:spacing w:val="0"/>
              </w:rPr>
              <w:t>9</w:t>
            </w:r>
            <w:r w:rsidR="007654F6" w:rsidRPr="007E5649">
              <w:rPr>
                <w:b w:val="0"/>
                <w:spacing w:val="0"/>
              </w:rPr>
              <w:t>,</w:t>
            </w:r>
            <w:r w:rsidRPr="007E5649">
              <w:rPr>
                <w:b w:val="0"/>
                <w:spacing w:val="0"/>
              </w:rPr>
              <w:t xml:space="preserve"> 2016</w:t>
            </w:r>
          </w:p>
        </w:tc>
      </w:tr>
      <w:tr w:rsidR="00D96B73" w:rsidRPr="00C5280D" w:rsidTr="00CB176C">
        <w:tc>
          <w:tcPr>
            <w:tcW w:w="10131" w:type="dxa"/>
            <w:gridSpan w:val="3"/>
          </w:tcPr>
          <w:p w:rsidR="00D96B73" w:rsidRPr="00C5280D" w:rsidRDefault="00D96B73"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D96B73" w:rsidRPr="00C5280D" w:rsidTr="00CB176C">
        <w:tc>
          <w:tcPr>
            <w:tcW w:w="10131" w:type="dxa"/>
            <w:gridSpan w:val="3"/>
          </w:tcPr>
          <w:p w:rsidR="00D96B73" w:rsidRPr="00C5280D" w:rsidRDefault="00D96B73" w:rsidP="003659DF">
            <w:pPr>
              <w:pStyle w:val="Country"/>
            </w:pPr>
            <w:smartTag w:uri="urn:schemas-microsoft-com:office:smarttags" w:element="City">
              <w:smartTag w:uri="urn:schemas-microsoft-com:office:smarttags" w:element="place">
                <w:r w:rsidRPr="00C5280D">
                  <w:t>Geneva</w:t>
                </w:r>
              </w:smartTag>
            </w:smartTag>
          </w:p>
        </w:tc>
      </w:tr>
    </w:tbl>
    <w:p w:rsidR="002B764B" w:rsidRPr="00E7724F" w:rsidRDefault="002B764B" w:rsidP="002B764B">
      <w:pPr>
        <w:pStyle w:val="Sessiontc"/>
      </w:pPr>
      <w:r w:rsidRPr="00E7724F">
        <w:t xml:space="preserve">Technical working party for </w:t>
      </w:r>
      <w:r w:rsidR="00A93BEB">
        <w:t>fruit</w:t>
      </w:r>
      <w:r w:rsidRPr="00E7724F">
        <w:t xml:space="preserve"> crops</w:t>
      </w:r>
    </w:p>
    <w:p w:rsidR="002B764B" w:rsidRPr="00E7724F" w:rsidRDefault="002B764B" w:rsidP="002B764B">
      <w:pPr>
        <w:pStyle w:val="Sessiontcplacedate"/>
      </w:pPr>
      <w:r w:rsidRPr="00E7724F">
        <w:t>Forty-</w:t>
      </w:r>
      <w:r w:rsidR="00A93BEB">
        <w:t>Seven</w:t>
      </w:r>
      <w:r w:rsidRPr="00E7724F">
        <w:t>th Session</w:t>
      </w:r>
      <w:r w:rsidRPr="00E7724F">
        <w:br/>
      </w:r>
      <w:r w:rsidR="00A93BEB">
        <w:rPr>
          <w:rFonts w:cs="Arial"/>
        </w:rPr>
        <w:t>Angers, France</w:t>
      </w:r>
      <w:r w:rsidRPr="00E7724F">
        <w:t xml:space="preserve">, </w:t>
      </w:r>
      <w:r w:rsidR="00A93BEB">
        <w:t>November</w:t>
      </w:r>
      <w:r w:rsidRPr="00E7724F">
        <w:t xml:space="preserve"> 1</w:t>
      </w:r>
      <w:r w:rsidR="00A93BEB">
        <w:t>4</w:t>
      </w:r>
      <w:r w:rsidRPr="00E7724F">
        <w:t xml:space="preserve"> to 1</w:t>
      </w:r>
      <w:r w:rsidR="00A93BEB">
        <w:t>8</w:t>
      </w:r>
      <w:r w:rsidRPr="00E7724F">
        <w:t>, 2016</w:t>
      </w:r>
    </w:p>
    <w:p w:rsidR="000D7780" w:rsidRPr="00C5280D" w:rsidRDefault="0055179D" w:rsidP="0055179D">
      <w:pPr>
        <w:pStyle w:val="Titleofdoc0"/>
      </w:pPr>
      <w:r w:rsidRPr="00BE4A7F">
        <w:t>Matters concerning variety descriptions</w:t>
      </w:r>
    </w:p>
    <w:p w:rsidR="00050E16" w:rsidRPr="00C5280D" w:rsidRDefault="00AE0EF1" w:rsidP="00050E16">
      <w:pPr>
        <w:pStyle w:val="preparedby1"/>
      </w:pPr>
      <w:bookmarkStart w:id="4" w:name="Prepared"/>
      <w:bookmarkEnd w:id="4"/>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55179D" w:rsidRDefault="0055179D" w:rsidP="0055179D">
      <w:bookmarkStart w:id="5"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EF689C" w:rsidRPr="00EF689C" w:rsidRDefault="00EF689C" w:rsidP="001A0ACE">
      <w:pPr>
        <w:pStyle w:val="DecisionParagraphs"/>
        <w:tabs>
          <w:tab w:val="clear" w:pos="5387"/>
          <w:tab w:val="left" w:pos="567"/>
          <w:tab w:val="left" w:pos="1134"/>
          <w:tab w:val="left" w:pos="12333"/>
        </w:tabs>
        <w:ind w:left="0"/>
        <w:rPr>
          <w:i w:val="0"/>
        </w:rPr>
      </w:pPr>
      <w:r w:rsidRPr="00EF689C">
        <w:rPr>
          <w:i w:val="0"/>
        </w:rPr>
        <w:fldChar w:fldCharType="begin"/>
      </w:r>
      <w:r w:rsidRPr="00EF689C">
        <w:rPr>
          <w:i w:val="0"/>
        </w:rPr>
        <w:instrText xml:space="preserve"> AUTONUM  </w:instrText>
      </w:r>
      <w:r w:rsidRPr="00EF689C">
        <w:rPr>
          <w:i w:val="0"/>
        </w:rPr>
        <w:fldChar w:fldCharType="end"/>
      </w:r>
      <w:r w:rsidRPr="00EF689C">
        <w:rPr>
          <w:i w:val="0"/>
        </w:rPr>
        <w:tab/>
        <w:t xml:space="preserve">The </w:t>
      </w:r>
      <w:r w:rsidR="00E67D6B">
        <w:rPr>
          <w:i w:val="0"/>
        </w:rPr>
        <w:t>TW</w:t>
      </w:r>
      <w:r w:rsidR="00A93BEB">
        <w:rPr>
          <w:i w:val="0"/>
        </w:rPr>
        <w:t>F</w:t>
      </w:r>
      <w:r w:rsidRPr="00EF689C">
        <w:rPr>
          <w:i w:val="0"/>
        </w:rPr>
        <w:t xml:space="preserve"> is invited to:</w:t>
      </w:r>
    </w:p>
    <w:p w:rsidR="00EF689C" w:rsidRPr="00EF689C"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EF689C">
        <w:rPr>
          <w:i w:val="0"/>
        </w:rPr>
        <w:tab/>
        <w:t>(a)</w:t>
      </w:r>
      <w:r w:rsidRPr="00EF689C">
        <w:rPr>
          <w:i w:val="0"/>
        </w:rPr>
        <w:tab/>
        <w:t xml:space="preserve">note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w:t>
      </w:r>
      <w:r w:rsidRPr="006B18E4">
        <w:rPr>
          <w:i w:val="0"/>
        </w:rPr>
        <w:t>in paragraph </w:t>
      </w:r>
      <w:r w:rsidR="00610855" w:rsidRPr="006B18E4">
        <w:rPr>
          <w:i w:val="0"/>
        </w:rPr>
        <w:t>28</w:t>
      </w:r>
      <w:r w:rsidRPr="006B18E4">
        <w:rPr>
          <w:i w:val="0"/>
        </w:rPr>
        <w:t xml:space="preserve">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(b)</w:t>
      </w:r>
      <w:r w:rsidRPr="006B18E4">
        <w:rPr>
          <w:i w:val="0"/>
        </w:rPr>
        <w:tab/>
        <w:t>note the presentations on “matters concerning variety descriptions” received by the TWPs, at their sessions in 2015, as set out in paragraph 7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(c)</w:t>
      </w:r>
      <w:r w:rsidRPr="006B18E4">
        <w:rPr>
          <w:i w:val="0"/>
        </w:rPr>
        <w:tab/>
        <w:t xml:space="preserve">note the comments by the TWPs, at their sessions in 2015, on matters concerning variety descriptions and the role of plant material used as the basis for the DUS examination, as set out in paragraphs 8 to </w:t>
      </w:r>
      <w:r w:rsidR="00610855" w:rsidRPr="006B18E4">
        <w:rPr>
          <w:i w:val="0"/>
        </w:rPr>
        <w:t>26</w:t>
      </w:r>
      <w:r w:rsidRPr="006B18E4">
        <w:rPr>
          <w:i w:val="0"/>
        </w:rPr>
        <w:t xml:space="preserve"> of this document; and</w:t>
      </w:r>
    </w:p>
    <w:p w:rsidR="00EF689C" w:rsidRPr="006B18E4" w:rsidRDefault="00EF689C" w:rsidP="001A0ACE">
      <w:pPr>
        <w:pStyle w:val="DecisionParagraphs"/>
        <w:tabs>
          <w:tab w:val="clear" w:pos="5387"/>
          <w:tab w:val="left" w:pos="567"/>
          <w:tab w:val="left" w:pos="1134"/>
          <w:tab w:val="left" w:pos="12333"/>
        </w:tabs>
        <w:ind w:left="0"/>
        <w:rPr>
          <w:i w:val="0"/>
        </w:rPr>
      </w:pPr>
    </w:p>
    <w:p w:rsidR="001A0ACE" w:rsidRPr="00A24AEF" w:rsidRDefault="00EF689C" w:rsidP="001A0ACE">
      <w:pPr>
        <w:rPr>
          <w:rFonts w:cs="Arial"/>
        </w:rPr>
      </w:pPr>
      <w:r w:rsidRPr="006B18E4">
        <w:tab/>
        <w:t>(d)</w:t>
      </w:r>
      <w:r w:rsidRPr="006B18E4">
        <w:tab/>
        <w:t xml:space="preserve">consider the presentations made by experts on their experiences with regard to the role of plant material used as the basis for the DUS examination in relation to matters presented in paragraph </w:t>
      </w:r>
      <w:r w:rsidR="00610855" w:rsidRPr="006B18E4">
        <w:t>31</w:t>
      </w:r>
      <w:r w:rsidRPr="00A24AEF">
        <w:t xml:space="preserve"> of this document.</w:t>
      </w:r>
      <w:r w:rsidR="001A0ACE" w:rsidRPr="00A24AEF">
        <w:rPr>
          <w:rFonts w:cs="Arial"/>
        </w:rPr>
        <w:t xml:space="preserve"> </w:t>
      </w:r>
    </w:p>
    <w:p w:rsidR="001A0ACE" w:rsidRDefault="001A0ACE" w:rsidP="001A0ACE">
      <w:pPr>
        <w:rPr>
          <w:rFonts w:cs="Arial"/>
        </w:rPr>
      </w:pPr>
    </w:p>
    <w:p w:rsidR="001A0ACE" w:rsidRPr="00803FBF" w:rsidRDefault="001A0ACE" w:rsidP="001A0AC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A0ACE" w:rsidRPr="00803FBF" w:rsidRDefault="001A0ACE" w:rsidP="001A0ACE">
      <w:pPr>
        <w:ind w:left="1701" w:hanging="1134"/>
        <w:rPr>
          <w:rFonts w:cs="Arial"/>
        </w:rPr>
      </w:pPr>
    </w:p>
    <w:p w:rsidR="001A0ACE" w:rsidRPr="00803FBF" w:rsidRDefault="001A0ACE" w:rsidP="001A0ACE">
      <w:pPr>
        <w:ind w:left="1701" w:hanging="1134"/>
        <w:rPr>
          <w:rFonts w:cs="Arial"/>
        </w:rPr>
      </w:pPr>
      <w:r w:rsidRPr="00803FBF">
        <w:rPr>
          <w:rFonts w:cs="Arial"/>
        </w:rPr>
        <w:t xml:space="preserve">CAJ:  </w:t>
      </w:r>
      <w:r w:rsidRPr="00803FBF">
        <w:rPr>
          <w:rFonts w:cs="Arial"/>
        </w:rPr>
        <w:tab/>
        <w:t xml:space="preserve">Administrative and Legal Committee </w:t>
      </w:r>
    </w:p>
    <w:p w:rsidR="001A0ACE" w:rsidRPr="00803FBF" w:rsidRDefault="001A0ACE" w:rsidP="001A0ACE">
      <w:pPr>
        <w:ind w:left="1701" w:hanging="1134"/>
        <w:rPr>
          <w:rFonts w:cs="Arial"/>
        </w:rPr>
      </w:pPr>
      <w:r w:rsidRPr="00803FBF">
        <w:rPr>
          <w:rFonts w:cs="Arial"/>
        </w:rPr>
        <w:t xml:space="preserve">TC:  </w:t>
      </w:r>
      <w:r w:rsidRPr="00803FBF">
        <w:rPr>
          <w:rFonts w:cs="Arial"/>
        </w:rPr>
        <w:tab/>
        <w:t>Technical Committee</w:t>
      </w:r>
    </w:p>
    <w:p w:rsidR="001A0ACE" w:rsidRPr="00803FBF" w:rsidRDefault="001A0ACE" w:rsidP="001A0ACE">
      <w:pPr>
        <w:ind w:left="1701" w:hanging="1134"/>
        <w:rPr>
          <w:rFonts w:cs="Arial"/>
        </w:rPr>
      </w:pPr>
      <w:r w:rsidRPr="00803FBF">
        <w:rPr>
          <w:rFonts w:cs="Arial"/>
        </w:rPr>
        <w:t xml:space="preserve">TC-EDC:  </w:t>
      </w:r>
      <w:r w:rsidRPr="00803FBF">
        <w:rPr>
          <w:rFonts w:cs="Arial"/>
        </w:rPr>
        <w:tab/>
        <w:t>Enlarged Editorial Committee</w:t>
      </w:r>
    </w:p>
    <w:p w:rsidR="001A0ACE" w:rsidRPr="00803FBF" w:rsidRDefault="001A0ACE" w:rsidP="001A0ACE">
      <w:pPr>
        <w:ind w:left="1701" w:hanging="1134"/>
        <w:rPr>
          <w:rFonts w:cs="Arial"/>
        </w:rPr>
      </w:pPr>
      <w:r w:rsidRPr="00803FBF">
        <w:rPr>
          <w:rFonts w:cs="Arial"/>
        </w:rPr>
        <w:t xml:space="preserve">TWA:  </w:t>
      </w:r>
      <w:r w:rsidRPr="00803FBF">
        <w:rPr>
          <w:rFonts w:cs="Arial"/>
        </w:rPr>
        <w:tab/>
        <w:t>Technical Working Party for Agricultural Crops</w:t>
      </w:r>
    </w:p>
    <w:p w:rsidR="001A0ACE" w:rsidRPr="00803FBF" w:rsidRDefault="001A0ACE" w:rsidP="001A0ACE">
      <w:pPr>
        <w:ind w:left="1701" w:hanging="1134"/>
        <w:rPr>
          <w:rFonts w:cs="Arial"/>
        </w:rPr>
      </w:pPr>
      <w:r w:rsidRPr="00803FBF">
        <w:rPr>
          <w:rFonts w:cs="Arial"/>
        </w:rPr>
        <w:t xml:space="preserve">TWC:  </w:t>
      </w:r>
      <w:r w:rsidRPr="00803FBF">
        <w:rPr>
          <w:rFonts w:cs="Arial"/>
        </w:rPr>
        <w:tab/>
        <w:t>Technical Working Party on Automation and Computer Programs</w:t>
      </w:r>
    </w:p>
    <w:p w:rsidR="001A0ACE" w:rsidRPr="00803FBF" w:rsidRDefault="001A0ACE" w:rsidP="001A0ACE">
      <w:pPr>
        <w:ind w:left="1701" w:hanging="1134"/>
        <w:rPr>
          <w:rFonts w:cs="Arial"/>
        </w:rPr>
      </w:pPr>
      <w:r w:rsidRPr="00803FBF">
        <w:rPr>
          <w:rFonts w:cs="Arial"/>
        </w:rPr>
        <w:t xml:space="preserve">TWF:  </w:t>
      </w:r>
      <w:r w:rsidRPr="00803FBF">
        <w:rPr>
          <w:rFonts w:cs="Arial"/>
        </w:rPr>
        <w:tab/>
        <w:t xml:space="preserve">Technical Working Party for Fruit Crops </w:t>
      </w:r>
    </w:p>
    <w:p w:rsidR="001A0ACE" w:rsidRPr="00803FBF" w:rsidRDefault="001A0ACE" w:rsidP="001A0ACE">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1A0ACE" w:rsidRPr="00803FBF" w:rsidRDefault="001A0ACE" w:rsidP="001A0ACE">
      <w:pPr>
        <w:ind w:left="1701" w:hanging="1134"/>
        <w:rPr>
          <w:rFonts w:cs="Arial"/>
        </w:rPr>
      </w:pPr>
      <w:r w:rsidRPr="00803FBF">
        <w:rPr>
          <w:rFonts w:cs="Arial"/>
        </w:rPr>
        <w:t xml:space="preserve">TWV:  </w:t>
      </w:r>
      <w:r w:rsidRPr="00803FBF">
        <w:rPr>
          <w:rFonts w:cs="Arial"/>
        </w:rPr>
        <w:tab/>
        <w:t>Technical Working Party for Vegetables</w:t>
      </w:r>
    </w:p>
    <w:p w:rsidR="001A0ACE" w:rsidRDefault="001A0ACE" w:rsidP="001A0ACE">
      <w:pPr>
        <w:ind w:firstLine="567"/>
        <w:rPr>
          <w:rFonts w:cs="Arial"/>
          <w:color w:val="000000"/>
        </w:rPr>
      </w:pPr>
      <w:r w:rsidRPr="00803FBF">
        <w:rPr>
          <w:rFonts w:cs="Arial"/>
          <w:color w:val="000000"/>
        </w:rPr>
        <w:t>TWPs:</w:t>
      </w:r>
      <w:r w:rsidRPr="00803FBF">
        <w:rPr>
          <w:rFonts w:cs="Arial"/>
          <w:color w:val="000000"/>
        </w:rPr>
        <w:tab/>
        <w:t>Technical Working Parties</w:t>
      </w:r>
    </w:p>
    <w:p w:rsidR="00EF689C" w:rsidRPr="00EF689C" w:rsidRDefault="00EF689C" w:rsidP="001A0ACE">
      <w:pPr>
        <w:pStyle w:val="DecisionParagraphs"/>
        <w:tabs>
          <w:tab w:val="clear" w:pos="5387"/>
          <w:tab w:val="left" w:pos="567"/>
          <w:tab w:val="left" w:pos="1134"/>
          <w:tab w:val="left" w:pos="12333"/>
        </w:tabs>
        <w:ind w:left="0"/>
        <w:rPr>
          <w:rFonts w:eastAsia="SimSun"/>
          <w:i w:val="0"/>
        </w:rPr>
      </w:pP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1C02DC" w:rsidRDefault="0055179D">
      <w:pPr>
        <w:pStyle w:val="TOC1"/>
        <w:rPr>
          <w:rStyle w:val="Hyperlink"/>
          <w:noProof/>
        </w:rPr>
      </w:pPr>
      <w:r>
        <w:rPr>
          <w:noProof/>
        </w:rPr>
        <w:fldChar w:fldCharType="begin"/>
      </w:r>
      <w:r>
        <w:instrText xml:space="preserve"> TOC \o "1-3" \h \z \u </w:instrText>
      </w:r>
      <w:r>
        <w:rPr>
          <w:noProof/>
        </w:rPr>
        <w:fldChar w:fldCharType="separate"/>
      </w:r>
      <w:hyperlink w:anchor="_Toc449099976" w:history="1">
        <w:r w:rsidR="001C02DC" w:rsidRPr="00516428">
          <w:rPr>
            <w:rStyle w:val="Hyperlink"/>
            <w:noProof/>
          </w:rPr>
          <w:t>Background</w:t>
        </w:r>
        <w:r w:rsidR="001C02DC">
          <w:rPr>
            <w:noProof/>
            <w:webHidden/>
          </w:rPr>
          <w:tab/>
        </w:r>
        <w:r w:rsidR="001C02DC">
          <w:rPr>
            <w:noProof/>
            <w:webHidden/>
          </w:rPr>
          <w:fldChar w:fldCharType="begin"/>
        </w:r>
        <w:r w:rsidR="001C02DC">
          <w:rPr>
            <w:noProof/>
            <w:webHidden/>
          </w:rPr>
          <w:instrText xml:space="preserve"> PAGEREF _Toc449099976 \h </w:instrText>
        </w:r>
        <w:r w:rsidR="001C02DC">
          <w:rPr>
            <w:noProof/>
            <w:webHidden/>
          </w:rPr>
        </w:r>
        <w:r w:rsidR="001C02DC">
          <w:rPr>
            <w:noProof/>
            <w:webHidden/>
          </w:rPr>
          <w:fldChar w:fldCharType="separate"/>
        </w:r>
        <w:r w:rsidR="007E5649">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7E5649">
      <w:pPr>
        <w:pStyle w:val="TOC1"/>
        <w:rPr>
          <w:rStyle w:val="Hyperlink"/>
          <w:noProof/>
        </w:rPr>
      </w:pPr>
      <w:hyperlink w:anchor="_Toc449099977" w:history="1">
        <w:r w:rsidR="001C02DC" w:rsidRPr="00516428">
          <w:rPr>
            <w:rStyle w:val="Hyperlink"/>
            <w:noProof/>
          </w:rPr>
          <w:t>presentations to the TWPs at their sessions in 2015</w:t>
        </w:r>
        <w:r w:rsidR="001C02DC">
          <w:rPr>
            <w:noProof/>
            <w:webHidden/>
          </w:rPr>
          <w:tab/>
        </w:r>
        <w:r w:rsidR="001C02DC">
          <w:rPr>
            <w:noProof/>
            <w:webHidden/>
          </w:rPr>
          <w:fldChar w:fldCharType="begin"/>
        </w:r>
        <w:r w:rsidR="001C02DC">
          <w:rPr>
            <w:noProof/>
            <w:webHidden/>
          </w:rPr>
          <w:instrText xml:space="preserve"> PAGEREF _Toc449099977 \h </w:instrText>
        </w:r>
        <w:r w:rsidR="001C02DC">
          <w:rPr>
            <w:noProof/>
            <w:webHidden/>
          </w:rPr>
        </w:r>
        <w:r w:rsidR="001C02DC">
          <w:rPr>
            <w:noProof/>
            <w:webHidden/>
          </w:rPr>
          <w:fldChar w:fldCharType="separate"/>
        </w:r>
        <w:r>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7E5649">
      <w:pPr>
        <w:pStyle w:val="TOC1"/>
        <w:rPr>
          <w:rFonts w:asciiTheme="minorHAnsi" w:eastAsiaTheme="minorEastAsia" w:hAnsiTheme="minorHAnsi" w:cstheme="minorBidi"/>
          <w:caps w:val="0"/>
          <w:noProof/>
          <w:sz w:val="22"/>
          <w:szCs w:val="22"/>
        </w:rPr>
      </w:pPr>
      <w:hyperlink w:anchor="_Toc449099978" w:history="1">
        <w:r w:rsidR="001C02DC" w:rsidRPr="00516428">
          <w:rPr>
            <w:rStyle w:val="Hyperlink"/>
            <w:noProof/>
          </w:rPr>
          <w:t>Comments by the Technical Working Parties</w:t>
        </w:r>
        <w:r w:rsidR="001C02DC">
          <w:rPr>
            <w:noProof/>
            <w:webHidden/>
          </w:rPr>
          <w:tab/>
        </w:r>
        <w:r w:rsidR="001C02DC">
          <w:rPr>
            <w:noProof/>
            <w:webHidden/>
          </w:rPr>
          <w:fldChar w:fldCharType="begin"/>
        </w:r>
        <w:r w:rsidR="001C02DC">
          <w:rPr>
            <w:noProof/>
            <w:webHidden/>
          </w:rPr>
          <w:instrText xml:space="preserve"> PAGEREF _Toc449099978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2"/>
        <w:rPr>
          <w:rFonts w:asciiTheme="minorHAnsi" w:eastAsiaTheme="minorEastAsia" w:hAnsiTheme="minorHAnsi" w:cstheme="minorBidi"/>
          <w:smallCaps w:val="0"/>
          <w:noProof/>
          <w:sz w:val="22"/>
          <w:szCs w:val="22"/>
        </w:rPr>
      </w:pPr>
      <w:hyperlink w:anchor="_Toc449099979" w:history="1">
        <w:r w:rsidR="001C02DC" w:rsidRPr="00516428">
          <w:rPr>
            <w:rStyle w:val="Hyperlink"/>
            <w:noProof/>
          </w:rPr>
          <w:t>Technical Working Party for Vegetables</w:t>
        </w:r>
        <w:r w:rsidR="001C02DC">
          <w:rPr>
            <w:noProof/>
            <w:webHidden/>
          </w:rPr>
          <w:tab/>
        </w:r>
        <w:r w:rsidR="001C02DC">
          <w:rPr>
            <w:noProof/>
            <w:webHidden/>
          </w:rPr>
          <w:fldChar w:fldCharType="begin"/>
        </w:r>
        <w:r w:rsidR="001C02DC">
          <w:rPr>
            <w:noProof/>
            <w:webHidden/>
          </w:rPr>
          <w:instrText xml:space="preserve"> PAGEREF _Toc449099979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2"/>
        <w:rPr>
          <w:rFonts w:asciiTheme="minorHAnsi" w:eastAsiaTheme="minorEastAsia" w:hAnsiTheme="minorHAnsi" w:cstheme="minorBidi"/>
          <w:smallCaps w:val="0"/>
          <w:noProof/>
          <w:sz w:val="22"/>
          <w:szCs w:val="22"/>
        </w:rPr>
      </w:pPr>
      <w:hyperlink w:anchor="_Toc449099980" w:history="1">
        <w:r w:rsidR="001C02DC" w:rsidRPr="00516428">
          <w:rPr>
            <w:rStyle w:val="Hyperlink"/>
            <w:rFonts w:eastAsia="PMingLiU"/>
            <w:noProof/>
          </w:rPr>
          <w:t>Technical Working Party on Automation and Computer Programs</w:t>
        </w:r>
        <w:r w:rsidR="001C02DC">
          <w:rPr>
            <w:noProof/>
            <w:webHidden/>
          </w:rPr>
          <w:tab/>
        </w:r>
        <w:r w:rsidR="001C02DC">
          <w:rPr>
            <w:noProof/>
            <w:webHidden/>
          </w:rPr>
          <w:fldChar w:fldCharType="begin"/>
        </w:r>
        <w:r w:rsidR="001C02DC">
          <w:rPr>
            <w:noProof/>
            <w:webHidden/>
          </w:rPr>
          <w:instrText xml:space="preserve"> PAGEREF _Toc449099980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3"/>
        <w:rPr>
          <w:rFonts w:asciiTheme="minorHAnsi" w:eastAsiaTheme="minorEastAsia" w:hAnsiTheme="minorHAnsi" w:cstheme="minorBidi"/>
          <w:noProof/>
          <w:sz w:val="22"/>
          <w:szCs w:val="22"/>
          <w:lang w:val="en-US"/>
        </w:rPr>
      </w:pPr>
      <w:hyperlink w:anchor="_Toc449099981" w:history="1">
        <w:r w:rsidR="001C02DC" w:rsidRPr="00516428">
          <w:rPr>
            <w:rStyle w:val="Hyperlink"/>
            <w:noProof/>
          </w:rPr>
          <w:t>Verifying the maintenance of the variety</w:t>
        </w:r>
        <w:r w:rsidR="001C02DC">
          <w:rPr>
            <w:noProof/>
            <w:webHidden/>
          </w:rPr>
          <w:tab/>
        </w:r>
        <w:r w:rsidR="001C02DC">
          <w:rPr>
            <w:noProof/>
            <w:webHidden/>
          </w:rPr>
          <w:fldChar w:fldCharType="begin"/>
        </w:r>
        <w:r w:rsidR="001C02DC">
          <w:rPr>
            <w:noProof/>
            <w:webHidden/>
          </w:rPr>
          <w:instrText xml:space="preserve"> PAGEREF _Toc449099981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3"/>
        <w:rPr>
          <w:rFonts w:asciiTheme="minorHAnsi" w:eastAsiaTheme="minorEastAsia" w:hAnsiTheme="minorHAnsi" w:cstheme="minorBidi"/>
          <w:noProof/>
          <w:sz w:val="22"/>
          <w:szCs w:val="22"/>
          <w:lang w:val="en-US"/>
        </w:rPr>
      </w:pPr>
      <w:hyperlink w:anchor="_Toc449099982" w:history="1">
        <w:r w:rsidR="001C02DC" w:rsidRPr="00516428">
          <w:rPr>
            <w:rStyle w:val="Hyperlink"/>
            <w:noProof/>
          </w:rPr>
          <w:t>Matters concerning variety descriptions</w:t>
        </w:r>
        <w:r w:rsidR="001C02DC">
          <w:rPr>
            <w:noProof/>
            <w:webHidden/>
          </w:rPr>
          <w:tab/>
        </w:r>
        <w:r w:rsidR="001C02DC">
          <w:rPr>
            <w:noProof/>
            <w:webHidden/>
          </w:rPr>
          <w:fldChar w:fldCharType="begin"/>
        </w:r>
        <w:r w:rsidR="001C02DC">
          <w:rPr>
            <w:noProof/>
            <w:webHidden/>
          </w:rPr>
          <w:instrText xml:space="preserve"> PAGEREF _Toc449099982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2"/>
        <w:rPr>
          <w:rFonts w:asciiTheme="minorHAnsi" w:eastAsiaTheme="minorEastAsia" w:hAnsiTheme="minorHAnsi" w:cstheme="minorBidi"/>
          <w:smallCaps w:val="0"/>
          <w:noProof/>
          <w:sz w:val="22"/>
          <w:szCs w:val="22"/>
        </w:rPr>
      </w:pPr>
      <w:hyperlink w:anchor="_Toc449099983" w:history="1">
        <w:r w:rsidR="001C02DC" w:rsidRPr="00516428">
          <w:rPr>
            <w:rStyle w:val="Hyperlink"/>
            <w:noProof/>
          </w:rPr>
          <w:t>Technical Working Party for Agricultural Crops</w:t>
        </w:r>
        <w:r w:rsidR="001C02DC">
          <w:rPr>
            <w:noProof/>
            <w:webHidden/>
          </w:rPr>
          <w:tab/>
        </w:r>
        <w:r w:rsidR="001C02DC">
          <w:rPr>
            <w:noProof/>
            <w:webHidden/>
          </w:rPr>
          <w:fldChar w:fldCharType="begin"/>
        </w:r>
        <w:r w:rsidR="001C02DC">
          <w:rPr>
            <w:noProof/>
            <w:webHidden/>
          </w:rPr>
          <w:instrText xml:space="preserve"> PAGEREF _Toc449099983 \h </w:instrText>
        </w:r>
        <w:r w:rsidR="001C02DC">
          <w:rPr>
            <w:noProof/>
            <w:webHidden/>
          </w:rPr>
        </w:r>
        <w:r w:rsidR="001C02DC">
          <w:rPr>
            <w:noProof/>
            <w:webHidden/>
          </w:rPr>
          <w:fldChar w:fldCharType="separate"/>
        </w:r>
        <w:r>
          <w:rPr>
            <w:noProof/>
            <w:webHidden/>
          </w:rPr>
          <w:t>3</w:t>
        </w:r>
        <w:r w:rsidR="001C02DC">
          <w:rPr>
            <w:noProof/>
            <w:webHidden/>
          </w:rPr>
          <w:fldChar w:fldCharType="end"/>
        </w:r>
      </w:hyperlink>
    </w:p>
    <w:p w:rsidR="001C02DC" w:rsidRDefault="007E5649">
      <w:pPr>
        <w:pStyle w:val="TOC2"/>
        <w:rPr>
          <w:rFonts w:asciiTheme="minorHAnsi" w:eastAsiaTheme="minorEastAsia" w:hAnsiTheme="minorHAnsi" w:cstheme="minorBidi"/>
          <w:smallCaps w:val="0"/>
          <w:noProof/>
          <w:sz w:val="22"/>
          <w:szCs w:val="22"/>
        </w:rPr>
      </w:pPr>
      <w:hyperlink w:anchor="_Toc449099984" w:history="1">
        <w:r w:rsidR="001C02DC" w:rsidRPr="00516428">
          <w:rPr>
            <w:rStyle w:val="Hyperlink"/>
            <w:noProof/>
          </w:rPr>
          <w:t>Technical Working Party for Fruit Crops</w:t>
        </w:r>
        <w:r w:rsidR="001C02DC">
          <w:rPr>
            <w:noProof/>
            <w:webHidden/>
          </w:rPr>
          <w:tab/>
        </w:r>
        <w:r w:rsidR="001C02DC">
          <w:rPr>
            <w:noProof/>
            <w:webHidden/>
          </w:rPr>
          <w:fldChar w:fldCharType="begin"/>
        </w:r>
        <w:r w:rsidR="001C02DC">
          <w:rPr>
            <w:noProof/>
            <w:webHidden/>
          </w:rPr>
          <w:instrText xml:space="preserve"> PAGEREF _Toc449099984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7E5649">
      <w:pPr>
        <w:pStyle w:val="TOC2"/>
        <w:rPr>
          <w:rStyle w:val="Hyperlink"/>
          <w:noProof/>
        </w:rPr>
      </w:pPr>
      <w:hyperlink w:anchor="_Toc449099985" w:history="1">
        <w:r w:rsidR="001C02DC" w:rsidRPr="00516428">
          <w:rPr>
            <w:rStyle w:val="Hyperlink"/>
            <w:noProof/>
          </w:rPr>
          <w:t>Technical Working Party on Ornamental Plants</w:t>
        </w:r>
        <w:r w:rsidR="001C02DC">
          <w:rPr>
            <w:noProof/>
            <w:webHidden/>
          </w:rPr>
          <w:tab/>
        </w:r>
        <w:r w:rsidR="001C02DC">
          <w:rPr>
            <w:noProof/>
            <w:webHidden/>
          </w:rPr>
          <w:fldChar w:fldCharType="begin"/>
        </w:r>
        <w:r w:rsidR="001C02DC">
          <w:rPr>
            <w:noProof/>
            <w:webHidden/>
          </w:rPr>
          <w:instrText xml:space="preserve"> PAGEREF _Toc449099985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Pr="001C02DC" w:rsidRDefault="001C02DC" w:rsidP="001C02DC">
      <w:pPr>
        <w:rPr>
          <w:rFonts w:eastAsiaTheme="minorEastAsia"/>
          <w:noProof/>
        </w:rPr>
      </w:pPr>
    </w:p>
    <w:p w:rsidR="001C02DC" w:rsidRDefault="007E5649">
      <w:pPr>
        <w:pStyle w:val="TOC1"/>
        <w:rPr>
          <w:rFonts w:asciiTheme="minorHAnsi" w:eastAsiaTheme="minorEastAsia" w:hAnsiTheme="minorHAnsi" w:cstheme="minorBidi"/>
          <w:caps w:val="0"/>
          <w:noProof/>
          <w:sz w:val="22"/>
          <w:szCs w:val="22"/>
        </w:rPr>
      </w:pPr>
      <w:hyperlink w:anchor="_Toc449099986" w:history="1">
        <w:r w:rsidR="001C02DC" w:rsidRPr="00516428">
          <w:rPr>
            <w:rStyle w:val="Hyperlink"/>
            <w:noProof/>
          </w:rPr>
          <w:t>Developments in the Technical Committee in 2016</w:t>
        </w:r>
        <w:r w:rsidR="001C02DC">
          <w:rPr>
            <w:noProof/>
            <w:webHidden/>
          </w:rPr>
          <w:tab/>
        </w:r>
        <w:r w:rsidR="001C02DC">
          <w:rPr>
            <w:noProof/>
            <w:webHidden/>
          </w:rPr>
          <w:fldChar w:fldCharType="begin"/>
        </w:r>
        <w:r w:rsidR="001C02DC">
          <w:rPr>
            <w:noProof/>
            <w:webHidden/>
          </w:rPr>
          <w:instrText xml:space="preserve"> PAGEREF _Toc449099986 \h </w:instrText>
        </w:r>
        <w:r w:rsidR="001C02DC">
          <w:rPr>
            <w:noProof/>
            <w:webHidden/>
          </w:rPr>
        </w:r>
        <w:r w:rsidR="001C02DC">
          <w:rPr>
            <w:noProof/>
            <w:webHidden/>
          </w:rPr>
          <w:fldChar w:fldCharType="separate"/>
        </w:r>
        <w:r>
          <w:rPr>
            <w:noProof/>
            <w:webHidden/>
          </w:rPr>
          <w:t>4</w:t>
        </w:r>
        <w:r w:rsidR="001C02DC">
          <w:rPr>
            <w:noProof/>
            <w:webHidden/>
          </w:rPr>
          <w:fldChar w:fldCharType="end"/>
        </w:r>
      </w:hyperlink>
    </w:p>
    <w:p w:rsidR="001C02DC" w:rsidRDefault="007E5649">
      <w:pPr>
        <w:pStyle w:val="TOC2"/>
        <w:rPr>
          <w:rFonts w:asciiTheme="minorHAnsi" w:eastAsiaTheme="minorEastAsia" w:hAnsiTheme="minorHAnsi" w:cstheme="minorBidi"/>
          <w:smallCaps w:val="0"/>
          <w:noProof/>
          <w:sz w:val="22"/>
          <w:szCs w:val="22"/>
        </w:rPr>
      </w:pPr>
      <w:hyperlink w:anchor="_Toc449099987" w:history="1">
        <w:r w:rsidR="001C02DC" w:rsidRPr="00516428">
          <w:rPr>
            <w:rStyle w:val="Hyperlink"/>
            <w:noProof/>
          </w:rPr>
          <w:t>Presentations to the TWPs at their sessions in 2016</w:t>
        </w:r>
        <w:r w:rsidR="001C02DC">
          <w:rPr>
            <w:noProof/>
            <w:webHidden/>
          </w:rPr>
          <w:tab/>
        </w:r>
        <w:r w:rsidR="001C02DC">
          <w:rPr>
            <w:noProof/>
            <w:webHidden/>
          </w:rPr>
          <w:fldChar w:fldCharType="begin"/>
        </w:r>
        <w:r w:rsidR="001C02DC">
          <w:rPr>
            <w:noProof/>
            <w:webHidden/>
          </w:rPr>
          <w:instrText xml:space="preserve"> PAGEREF _Toc449099987 \h </w:instrText>
        </w:r>
        <w:r w:rsidR="001C02DC">
          <w:rPr>
            <w:noProof/>
            <w:webHidden/>
          </w:rPr>
        </w:r>
        <w:r w:rsidR="001C02DC">
          <w:rPr>
            <w:noProof/>
            <w:webHidden/>
          </w:rPr>
          <w:fldChar w:fldCharType="separate"/>
        </w:r>
        <w:r>
          <w:rPr>
            <w:noProof/>
            <w:webHidden/>
          </w:rPr>
          <w:t>6</w:t>
        </w:r>
        <w:r w:rsidR="001C02DC">
          <w:rPr>
            <w:noProof/>
            <w:webHidden/>
          </w:rPr>
          <w:fldChar w:fldCharType="end"/>
        </w:r>
      </w:hyperlink>
    </w:p>
    <w:p w:rsidR="00FB1BCD" w:rsidRPr="00FB1BCD" w:rsidRDefault="0055179D" w:rsidP="0055179D">
      <w:pPr>
        <w:ind w:left="851" w:hanging="851"/>
      </w:pPr>
      <w:r>
        <w:fldChar w:fldCharType="end"/>
      </w:r>
    </w:p>
    <w:p w:rsidR="0055179D" w:rsidRDefault="0055179D" w:rsidP="0055179D">
      <w:pPr>
        <w:jc w:val="left"/>
      </w:pPr>
    </w:p>
    <w:p w:rsidR="00FE4CA8" w:rsidRDefault="00FE4CA8" w:rsidP="00FE4CA8">
      <w:pPr>
        <w:pStyle w:val="Heading1"/>
      </w:pPr>
      <w:bookmarkStart w:id="6" w:name="_Toc449099976"/>
      <w:bookmarkStart w:id="7" w:name="_Toc418531190"/>
      <w:bookmarkEnd w:id="5"/>
      <w:r>
        <w:t>Background</w:t>
      </w:r>
      <w:bookmarkEnd w:id="6"/>
    </w:p>
    <w:p w:rsidR="00FE4CA8" w:rsidRPr="00FE4CA8" w:rsidRDefault="00FE4CA8" w:rsidP="00FE4CA8"/>
    <w:bookmarkStart w:id="8" w:name="_Toc440377316"/>
    <w:bookmarkEnd w:id="7"/>
    <w:p w:rsidR="009D5F41" w:rsidRDefault="004B1FCD" w:rsidP="00A00C7A">
      <w:r w:rsidRPr="006B18E4">
        <w:rPr>
          <w:rFonts w:cs="Arial"/>
        </w:rPr>
        <w:fldChar w:fldCharType="begin"/>
      </w:r>
      <w:r w:rsidRPr="006B18E4">
        <w:rPr>
          <w:rFonts w:cs="Arial"/>
        </w:rPr>
        <w:instrText xml:space="preserve"> AUTONUM  </w:instrText>
      </w:r>
      <w:r w:rsidRPr="006B18E4">
        <w:rPr>
          <w:rFonts w:cs="Arial"/>
        </w:rPr>
        <w:fldChar w:fldCharType="end"/>
      </w:r>
      <w:r w:rsidRPr="006B18E4">
        <w:rPr>
          <w:rFonts w:cs="Arial"/>
        </w:rPr>
        <w:tab/>
      </w:r>
      <w:r w:rsidRPr="006B18E4">
        <w:rPr>
          <w:szCs w:val="24"/>
        </w:rPr>
        <w:t xml:space="preserve">The background to this matter is provided in document </w:t>
      </w:r>
      <w:r w:rsidRPr="006B18E4">
        <w:t>T</w:t>
      </w:r>
      <w:r w:rsidR="005B094A" w:rsidRPr="006B18E4">
        <w:t>W</w:t>
      </w:r>
      <w:r w:rsidR="00327480">
        <w:t>F</w:t>
      </w:r>
      <w:r w:rsidRPr="006B18E4">
        <w:t>/</w:t>
      </w:r>
      <w:r w:rsidR="002F18FA">
        <w:t>4</w:t>
      </w:r>
      <w:r w:rsidR="00327480">
        <w:t>6</w:t>
      </w:r>
      <w:r w:rsidRPr="006B18E4">
        <w:t>/</w:t>
      </w:r>
      <w:r w:rsidR="005B094A" w:rsidRPr="006B18E4">
        <w:t>10</w:t>
      </w:r>
      <w:r w:rsidRPr="006B18E4">
        <w:t xml:space="preserve"> “Matters concerning variety descriptions”.</w:t>
      </w:r>
    </w:p>
    <w:p w:rsidR="00254EB4" w:rsidRDefault="00254EB4" w:rsidP="00A00C7A"/>
    <w:p w:rsidR="007F6968" w:rsidRDefault="007F6968" w:rsidP="00A00C7A"/>
    <w:p w:rsidR="00A00C7A" w:rsidRPr="000B03FD" w:rsidRDefault="00A00C7A" w:rsidP="00A00C7A">
      <w:pPr>
        <w:pStyle w:val="Heading1"/>
      </w:pPr>
      <w:bookmarkStart w:id="9" w:name="_Toc449099977"/>
      <w:r>
        <w:t>presentations to the TWPs at their sessions in 2015</w:t>
      </w:r>
      <w:bookmarkEnd w:id="9"/>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t>the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t xml:space="preserve">the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t>how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A00C7A" w:rsidRDefault="00A00C7A" w:rsidP="00A00C7A">
      <w:r>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0" w:name="_Toc449099978"/>
      <w:r>
        <w:lastRenderedPageBreak/>
        <w:t xml:space="preserve">Comments by the </w:t>
      </w:r>
      <w:r w:rsidR="00B940CB">
        <w:t>T</w:t>
      </w:r>
      <w:r>
        <w:t xml:space="preserve">echnical </w:t>
      </w:r>
      <w:r w:rsidR="00B940CB">
        <w:t>W</w:t>
      </w:r>
      <w:r>
        <w:t xml:space="preserve">orking </w:t>
      </w:r>
      <w:r w:rsidR="00B940CB">
        <w:t>P</w:t>
      </w:r>
      <w:r>
        <w:t>arties</w:t>
      </w:r>
      <w:bookmarkEnd w:id="8"/>
      <w:bookmarkEnd w:id="10"/>
      <w:r w:rsidR="00B940CB">
        <w:t xml:space="preserve"> </w:t>
      </w:r>
    </w:p>
    <w:p w:rsidR="00822D20" w:rsidRDefault="00822D20" w:rsidP="00822D20"/>
    <w:p w:rsidR="005B094A" w:rsidRPr="008E5149" w:rsidRDefault="005B094A" w:rsidP="005B094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10, </w:t>
      </w:r>
      <w:r w:rsidRPr="008E5149">
        <w:rPr>
          <w:snapToGrid w:val="0"/>
        </w:rPr>
        <w:t>TWC/33/</w:t>
      </w:r>
      <w:r>
        <w:rPr>
          <w:snapToGrid w:val="0"/>
        </w:rPr>
        <w:t>10, TWA/44/10</w:t>
      </w:r>
      <w:r w:rsidRPr="008E5149">
        <w:rPr>
          <w:snapToGrid w:val="0"/>
        </w:rPr>
        <w:t>,</w:t>
      </w:r>
      <w:r>
        <w:rPr>
          <w:snapToGrid w:val="0"/>
        </w:rPr>
        <w:t xml:space="preserve"> TWF/46/10 and TWO/48/10 </w:t>
      </w:r>
      <w:r>
        <w:t>“Matters concerning variety descriptions”</w:t>
      </w:r>
      <w:r>
        <w:rPr>
          <w:snapToGrid w:val="0"/>
        </w:rPr>
        <w:t>,</w:t>
      </w:r>
      <w:r w:rsidRPr="008E5149">
        <w:rPr>
          <w:snapToGrid w:val="0"/>
        </w:rPr>
        <w:t xml:space="preserve"> respectively</w:t>
      </w:r>
      <w:r>
        <w:rPr>
          <w:snapToGrid w:val="0"/>
        </w:rPr>
        <w:t xml:space="preserve"> </w:t>
      </w:r>
      <w:r>
        <w:rPr>
          <w:rFonts w:cs="Arial"/>
        </w:rPr>
        <w:t xml:space="preserve">(see documents TWV/49/32 Rev. “Revised Report”, </w:t>
      </w:r>
      <w:r w:rsidRPr="00D34DF2">
        <w:t>paragraphs 73 to 75</w:t>
      </w:r>
      <w:r>
        <w:rPr>
          <w:rFonts w:cs="Arial"/>
        </w:rPr>
        <w:t>;</w:t>
      </w:r>
      <w:r w:rsidRPr="004A6A70">
        <w:rPr>
          <w:rFonts w:cs="Arial"/>
        </w:rPr>
        <w:t xml:space="preserve"> </w:t>
      </w:r>
      <w:r>
        <w:rPr>
          <w:rFonts w:cs="Arial"/>
        </w:rPr>
        <w:t xml:space="preserve">TWC/33/30 “Report”, </w:t>
      </w:r>
      <w:r w:rsidRPr="00D34DF2">
        <w:t>paragraphs</w:t>
      </w:r>
      <w:r>
        <w:t> </w:t>
      </w:r>
      <w:r w:rsidRPr="00D34DF2">
        <w:t>62 to 64</w:t>
      </w:r>
      <w:r>
        <w:rPr>
          <w:rFonts w:cs="Arial"/>
        </w:rPr>
        <w:t xml:space="preserve">; TWA/44/23 “Report”, </w:t>
      </w:r>
      <w:r w:rsidRPr="00D34DF2">
        <w:t>paragraphs 56 to 58</w:t>
      </w:r>
      <w:r>
        <w:rPr>
          <w:rFonts w:cs="Arial"/>
        </w:rPr>
        <w:t xml:space="preserve">; TWF/46/29 Rev. “Revised Report”, </w:t>
      </w:r>
      <w:r>
        <w:t>paragraphs 64 and 65</w:t>
      </w:r>
      <w:r>
        <w:rPr>
          <w:rFonts w:cs="Arial"/>
        </w:rPr>
        <w:t xml:space="preserve">; and TWO/48/26 “Report”, </w:t>
      </w:r>
      <w:r>
        <w:t>paragraphs 60 to 69</w:t>
      </w:r>
      <w:r>
        <w:rPr>
          <w:rFonts w:cs="Arial"/>
        </w:rPr>
        <w:t>)</w:t>
      </w:r>
      <w:r w:rsidRPr="008E5149">
        <w:rPr>
          <w:snapToGrid w:val="0"/>
        </w:rPr>
        <w:t>.</w:t>
      </w:r>
    </w:p>
    <w:p w:rsidR="005B094A" w:rsidRDefault="005B094A" w:rsidP="00822D20"/>
    <w:p w:rsidR="00822D20" w:rsidRPr="00B97838" w:rsidRDefault="00822D20" w:rsidP="00B97838">
      <w:pPr>
        <w:pStyle w:val="Heading2"/>
        <w:rPr>
          <w:rStyle w:val="Emphasis"/>
          <w:i w:val="0"/>
          <w:iCs w:val="0"/>
        </w:rPr>
      </w:pPr>
      <w:bookmarkStart w:id="11" w:name="_Toc440299521"/>
      <w:bookmarkStart w:id="12" w:name="_Toc440377317"/>
      <w:bookmarkStart w:id="13" w:name="_Toc449099979"/>
      <w:r w:rsidRPr="00B97838">
        <w:rPr>
          <w:rStyle w:val="Emphasis"/>
          <w:i w:val="0"/>
          <w:iCs w:val="0"/>
        </w:rPr>
        <w:t>Technical Working Party for Vegetables</w:t>
      </w:r>
      <w:bookmarkEnd w:id="11"/>
      <w:bookmarkEnd w:id="12"/>
      <w:bookmarkEnd w:id="13"/>
    </w:p>
    <w:p w:rsidR="00822D20" w:rsidRDefault="00822D20" w:rsidP="00822D20"/>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4" w:name="_Toc440299522"/>
      <w:bookmarkStart w:id="15" w:name="_Toc440377318"/>
      <w:bookmarkStart w:id="16" w:name="_Toc449099980"/>
      <w:r w:rsidRPr="00D34DF2">
        <w:rPr>
          <w:rFonts w:eastAsia="PMingLiU"/>
        </w:rPr>
        <w:t>Technical Working Party on Automation and Computer Programs</w:t>
      </w:r>
      <w:bookmarkEnd w:id="14"/>
      <w:bookmarkEnd w:id="15"/>
      <w:bookmarkEnd w:id="16"/>
    </w:p>
    <w:p w:rsidR="00822D20" w:rsidRDefault="00822D20" w:rsidP="00822D20">
      <w:pPr>
        <w:ind w:firstLine="567"/>
      </w:pPr>
    </w:p>
    <w:p w:rsidR="00822D20" w:rsidRPr="00FE4CA8" w:rsidRDefault="00822D20" w:rsidP="00B97838">
      <w:pPr>
        <w:pStyle w:val="Heading3"/>
      </w:pPr>
      <w:bookmarkStart w:id="17" w:name="_Toc449099981"/>
      <w:r w:rsidRPr="00FE4CA8">
        <w:t>Verifying the maintenance of the variety</w:t>
      </w:r>
      <w:bookmarkEnd w:id="17"/>
    </w:p>
    <w:p w:rsidR="005B094A" w:rsidRDefault="005B094A" w:rsidP="00822D20">
      <w:pPr>
        <w:rPr>
          <w:snapToGrid w:val="0"/>
        </w:rPr>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were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w:t>
      </w:r>
    </w:p>
    <w:p w:rsidR="00822D20" w:rsidRDefault="00822D20" w:rsidP="00822D20"/>
    <w:p w:rsidR="00822D20" w:rsidRPr="00FE4CA8" w:rsidRDefault="00822D20" w:rsidP="00B97838">
      <w:pPr>
        <w:pStyle w:val="Heading3"/>
      </w:pPr>
      <w:bookmarkStart w:id="18" w:name="_Toc449099982"/>
      <w:r w:rsidRPr="00FE4CA8">
        <w:t>Matters concerning variety descriptions</w:t>
      </w:r>
      <w:bookmarkEnd w:id="18"/>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w:t>
      </w:r>
      <w:r w:rsidRPr="00340C7C">
        <w:t>.</w:t>
      </w:r>
    </w:p>
    <w:p w:rsidR="00822D20" w:rsidRPr="00D34DF2" w:rsidRDefault="00822D20" w:rsidP="00822D20"/>
    <w:p w:rsidR="00822D20" w:rsidRPr="00D34DF2" w:rsidRDefault="00822D20" w:rsidP="00B97838">
      <w:pPr>
        <w:pStyle w:val="Heading2"/>
      </w:pPr>
      <w:bookmarkStart w:id="19" w:name="_Toc440299523"/>
      <w:bookmarkStart w:id="20" w:name="_Toc440377319"/>
      <w:bookmarkStart w:id="21" w:name="_Toc449099983"/>
      <w:r w:rsidRPr="00D34DF2">
        <w:t>Technical Working Party for Agricultural Crops</w:t>
      </w:r>
      <w:bookmarkEnd w:id="19"/>
      <w:bookmarkEnd w:id="20"/>
      <w:bookmarkEnd w:id="21"/>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7F6968" w:rsidRDefault="007F6968" w:rsidP="00822D20"/>
    <w:p w:rsidR="007F6968" w:rsidRDefault="007F6968" w:rsidP="00822D20"/>
    <w:p w:rsidR="00822D20" w:rsidRPr="00AA56DF" w:rsidRDefault="00822D20" w:rsidP="005B094A">
      <w:pPr>
        <w:pStyle w:val="Heading2"/>
      </w:pPr>
      <w:bookmarkStart w:id="22" w:name="_Toc440299524"/>
      <w:bookmarkStart w:id="23" w:name="_Toc440377320"/>
      <w:bookmarkStart w:id="24" w:name="_Toc449099984"/>
      <w:r>
        <w:t>Technical Working Party for Fruit Crops</w:t>
      </w:r>
      <w:bookmarkEnd w:id="22"/>
      <w:bookmarkEnd w:id="23"/>
      <w:bookmarkEnd w:id="24"/>
    </w:p>
    <w:p w:rsidR="00822D20" w:rsidRPr="00212ED6" w:rsidRDefault="00822D20" w:rsidP="005B094A">
      <w:pPr>
        <w:keepNext/>
      </w:pPr>
    </w:p>
    <w:p w:rsidR="00822D20" w:rsidRDefault="00822D20" w:rsidP="005B094A">
      <w:pPr>
        <w:keepNext/>
      </w:pPr>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5" w:name="_Toc440299525"/>
      <w:bookmarkStart w:id="26" w:name="_Toc440377321"/>
      <w:bookmarkStart w:id="27" w:name="_Toc449099985"/>
      <w:r>
        <w:t>Technical Working Party on Ornamental Plants</w:t>
      </w:r>
      <w:bookmarkEnd w:id="25"/>
      <w:bookmarkEnd w:id="26"/>
      <w:bookmarkEnd w:id="27"/>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Default="00822D20" w:rsidP="0055179D">
      <w:pPr>
        <w:rPr>
          <w:rFonts w:cs="Arial"/>
        </w:rPr>
      </w:pPr>
    </w:p>
    <w:p w:rsidR="00D72243" w:rsidRDefault="00D72243" w:rsidP="0055179D">
      <w:pPr>
        <w:rPr>
          <w:rFonts w:cs="Arial"/>
        </w:rPr>
      </w:pPr>
    </w:p>
    <w:p w:rsidR="00D96B73" w:rsidRPr="00804825" w:rsidRDefault="00D96B73" w:rsidP="00D96B73">
      <w:pPr>
        <w:pStyle w:val="Heading1"/>
      </w:pPr>
      <w:bookmarkStart w:id="28" w:name="_Toc449099986"/>
      <w:r>
        <w:t>Developments in the Technical Committee in 2016</w:t>
      </w:r>
      <w:bookmarkEnd w:id="28"/>
    </w:p>
    <w:p w:rsidR="00D96B73" w:rsidRDefault="00D96B73" w:rsidP="00D96B73">
      <w:pPr>
        <w:keepNext/>
        <w:jc w:val="left"/>
      </w:pPr>
    </w:p>
    <w:p w:rsidR="00D96B73" w:rsidRDefault="00D96B73" w:rsidP="00D96B73">
      <w:pPr>
        <w:keepNext/>
      </w:pPr>
      <w:r>
        <w:fldChar w:fldCharType="begin"/>
      </w:r>
      <w:r>
        <w:instrText xml:space="preserve"> AUTONUM  </w:instrText>
      </w:r>
      <w:r>
        <w:fldChar w:fldCharType="end"/>
      </w:r>
      <w:r>
        <w:tab/>
      </w:r>
      <w:r w:rsidRPr="00696B1B">
        <w:t>The TC</w:t>
      </w:r>
      <w:r>
        <w:t xml:space="preserve">, at its fifty-second session, held in Geneva from March 14 to 16, 2016, </w:t>
      </w:r>
      <w:r w:rsidRPr="00696B1B">
        <w:t>considered document</w:t>
      </w:r>
      <w:r>
        <w:t> </w:t>
      </w:r>
      <w:r w:rsidRPr="00696B1B">
        <w:t>TC/52/</w:t>
      </w:r>
      <w:r>
        <w:t xml:space="preserve">21 </w:t>
      </w:r>
      <w:r w:rsidR="005B094A">
        <w:t xml:space="preserve">“Matters concerning variety descriptions” </w:t>
      </w:r>
      <w:r>
        <w:t>(see document TC/52/29 Rev. “Revised Report”, paragraphs 138 to 142).</w:t>
      </w:r>
    </w:p>
    <w:p w:rsidR="00D96B73" w:rsidRDefault="00D96B73" w:rsidP="00D96B73">
      <w:pPr>
        <w:keepNext/>
      </w:pPr>
    </w:p>
    <w:p w:rsidR="00D96B73" w:rsidRDefault="00D96B73" w:rsidP="00D96B73">
      <w:r>
        <w:fldChar w:fldCharType="begin"/>
      </w:r>
      <w:r>
        <w:instrText xml:space="preserve"> AUTONUM  </w:instrText>
      </w:r>
      <w:r>
        <w:fldChar w:fldCharType="end"/>
      </w:r>
      <w:r>
        <w:tab/>
        <w:t>The TC noted that the CAJ, at its seventy-first session, had endorsed the conclusion of the CAJ-AG, at its ninth session, on the:</w:t>
      </w:r>
    </w:p>
    <w:p w:rsidR="00D96B73" w:rsidRDefault="00D96B73" w:rsidP="00D96B73"/>
    <w:p w:rsidR="00D96B73" w:rsidRPr="007528A3" w:rsidRDefault="00D96B73" w:rsidP="00D96B73">
      <w:r>
        <w:tab/>
        <w:t>(</w:t>
      </w:r>
      <w:proofErr w:type="spellStart"/>
      <w:r>
        <w:t>i</w:t>
      </w:r>
      <w:proofErr w:type="spellEnd"/>
      <w:r>
        <w:t>)</w:t>
      </w:r>
      <w:r>
        <w:tab/>
        <w:t xml:space="preserve">purpose of the variety description developed at the time of the grant of the breeder’s right (original variety description), </w:t>
      </w:r>
      <w:r w:rsidRPr="007528A3">
        <w:t>as follows:</w:t>
      </w:r>
    </w:p>
    <w:p w:rsidR="00D96B73" w:rsidRPr="007528A3" w:rsidRDefault="00D96B73" w:rsidP="00D96B73"/>
    <w:p w:rsidR="00D96B73" w:rsidRPr="007528A3" w:rsidRDefault="00D96B73" w:rsidP="00D96B7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D96B73" w:rsidRPr="007528A3" w:rsidRDefault="00D96B73" w:rsidP="00D96B73">
      <w:pPr>
        <w:ind w:left="567" w:right="567"/>
        <w:rPr>
          <w:sz w:val="18"/>
        </w:rPr>
      </w:pPr>
    </w:p>
    <w:p w:rsidR="00D96B73" w:rsidRPr="003470B4" w:rsidRDefault="00D96B73" w:rsidP="00D96B73">
      <w:pPr>
        <w:keepNext/>
        <w:ind w:left="1134" w:right="567"/>
        <w:rPr>
          <w:sz w:val="18"/>
        </w:rPr>
      </w:pPr>
      <w:r w:rsidRPr="003470B4">
        <w:rPr>
          <w:sz w:val="18"/>
        </w:rPr>
        <w:t>(a)</w:t>
      </w:r>
      <w:r w:rsidRPr="003470B4">
        <w:rPr>
          <w:sz w:val="18"/>
        </w:rPr>
        <w:tab/>
        <w:t>to describe the characteristics of the variety; and</w:t>
      </w:r>
    </w:p>
    <w:p w:rsidR="00D96B73" w:rsidRPr="003470B4" w:rsidRDefault="00D96B73" w:rsidP="00D96B73">
      <w:pPr>
        <w:ind w:left="1134" w:right="567"/>
        <w:rPr>
          <w:sz w:val="18"/>
        </w:rPr>
      </w:pPr>
      <w:r w:rsidRPr="003470B4">
        <w:rPr>
          <w:sz w:val="18"/>
        </w:rPr>
        <w:t>(b)</w:t>
      </w:r>
      <w:r w:rsidRPr="003470B4">
        <w:rPr>
          <w:sz w:val="18"/>
        </w:rPr>
        <w:tab/>
        <w:t xml:space="preserve">to identify and list similar varieties and differences from these varieties; </w:t>
      </w:r>
    </w:p>
    <w:p w:rsidR="00D96B73" w:rsidRPr="003470B4" w:rsidRDefault="00D96B73" w:rsidP="00D96B73">
      <w:pPr>
        <w:ind w:left="2835" w:right="567" w:hanging="1134"/>
        <w:rPr>
          <w:sz w:val="18"/>
        </w:rPr>
      </w:pPr>
      <w:r w:rsidRPr="003470B4">
        <w:rPr>
          <w:sz w:val="18"/>
        </w:rPr>
        <w:t>combined with the information on the basis for (a) and (b), namely:</w:t>
      </w:r>
    </w:p>
    <w:p w:rsidR="00D96B73" w:rsidRPr="003470B4" w:rsidRDefault="00D96B73" w:rsidP="00D96B73">
      <w:pPr>
        <w:ind w:left="1701" w:right="567"/>
        <w:rPr>
          <w:sz w:val="18"/>
        </w:rPr>
      </w:pPr>
      <w:r w:rsidRPr="003470B4">
        <w:rPr>
          <w:rFonts w:cs="Arial"/>
          <w:sz w:val="18"/>
        </w:rPr>
        <w:t>▪</w:t>
      </w:r>
      <w:r w:rsidRPr="003470B4">
        <w:rPr>
          <w:sz w:val="18"/>
        </w:rPr>
        <w:tab/>
        <w:t>Date and document number of UPOV Test Guidelines;</w:t>
      </w:r>
    </w:p>
    <w:p w:rsidR="00D96B73" w:rsidRPr="003470B4" w:rsidRDefault="00D96B73" w:rsidP="00D96B73">
      <w:pPr>
        <w:ind w:left="1701" w:right="567"/>
        <w:rPr>
          <w:sz w:val="18"/>
        </w:rPr>
      </w:pPr>
      <w:r w:rsidRPr="003470B4">
        <w:rPr>
          <w:rFonts w:cs="Arial"/>
          <w:sz w:val="18"/>
        </w:rPr>
        <w:t>▪</w:t>
      </w:r>
      <w:r w:rsidRPr="003470B4">
        <w:rPr>
          <w:sz w:val="18"/>
        </w:rPr>
        <w:tab/>
        <w:t>Date and/or document number of Reporting Authority’s test guidelines;</w:t>
      </w:r>
    </w:p>
    <w:p w:rsidR="00D96B73" w:rsidRPr="003470B4" w:rsidRDefault="00D96B73" w:rsidP="00D96B73">
      <w:pPr>
        <w:ind w:left="1701" w:right="567"/>
        <w:rPr>
          <w:sz w:val="18"/>
        </w:rPr>
      </w:pPr>
      <w:r w:rsidRPr="003470B4">
        <w:rPr>
          <w:rFonts w:cs="Arial"/>
          <w:sz w:val="18"/>
        </w:rPr>
        <w:t>▪</w:t>
      </w:r>
      <w:r w:rsidRPr="003470B4">
        <w:rPr>
          <w:sz w:val="18"/>
        </w:rPr>
        <w:tab/>
        <w:t>Reporting Authority;</w:t>
      </w:r>
    </w:p>
    <w:p w:rsidR="00D96B73" w:rsidRPr="003470B4" w:rsidRDefault="00D96B73" w:rsidP="00D96B73">
      <w:pPr>
        <w:ind w:left="1701" w:right="567"/>
        <w:rPr>
          <w:sz w:val="18"/>
        </w:rPr>
      </w:pPr>
      <w:r w:rsidRPr="003470B4">
        <w:rPr>
          <w:rFonts w:cs="Arial"/>
          <w:sz w:val="18"/>
        </w:rPr>
        <w:t>▪</w:t>
      </w:r>
      <w:r w:rsidRPr="003470B4">
        <w:rPr>
          <w:sz w:val="18"/>
        </w:rPr>
        <w:tab/>
        <w:t>Testing station(s) and place(s);</w:t>
      </w:r>
    </w:p>
    <w:p w:rsidR="00D96B73" w:rsidRPr="003470B4" w:rsidRDefault="00D96B73" w:rsidP="00D96B73">
      <w:pPr>
        <w:ind w:left="1701" w:right="567"/>
        <w:rPr>
          <w:sz w:val="18"/>
        </w:rPr>
      </w:pPr>
      <w:r w:rsidRPr="003470B4">
        <w:rPr>
          <w:rFonts w:cs="Arial"/>
          <w:sz w:val="18"/>
        </w:rPr>
        <w:t>▪</w:t>
      </w:r>
      <w:r w:rsidRPr="003470B4">
        <w:rPr>
          <w:sz w:val="18"/>
        </w:rPr>
        <w:tab/>
        <w:t>Period of testing;</w:t>
      </w:r>
    </w:p>
    <w:p w:rsidR="00D96B73" w:rsidRPr="003470B4" w:rsidRDefault="00D96B73" w:rsidP="00D96B73">
      <w:pPr>
        <w:ind w:left="1701" w:right="567"/>
        <w:rPr>
          <w:sz w:val="18"/>
        </w:rPr>
      </w:pPr>
      <w:r w:rsidRPr="003470B4">
        <w:rPr>
          <w:rFonts w:cs="Arial"/>
          <w:sz w:val="18"/>
        </w:rPr>
        <w:t>▪</w:t>
      </w:r>
      <w:r w:rsidRPr="003470B4">
        <w:rPr>
          <w:sz w:val="18"/>
        </w:rPr>
        <w:tab/>
        <w:t>Date and place of issue of document;</w:t>
      </w:r>
    </w:p>
    <w:p w:rsidR="00D96B73" w:rsidRPr="003470B4" w:rsidRDefault="00D96B73" w:rsidP="00D96B73">
      <w:pPr>
        <w:ind w:left="1701" w:right="567"/>
        <w:rPr>
          <w:sz w:val="18"/>
        </w:rPr>
      </w:pPr>
      <w:r w:rsidRPr="003470B4">
        <w:rPr>
          <w:rFonts w:cs="Arial"/>
          <w:sz w:val="18"/>
        </w:rPr>
        <w:t>▪</w:t>
      </w:r>
      <w:r w:rsidRPr="003470B4">
        <w:rPr>
          <w:sz w:val="18"/>
        </w:rPr>
        <w:tab/>
        <w:t>Group: (Table: Characteristics; States of Expression; Note; Remarks);</w:t>
      </w:r>
    </w:p>
    <w:p w:rsidR="00D96B73" w:rsidRPr="003470B4" w:rsidRDefault="00D96B73" w:rsidP="00D96B73">
      <w:pPr>
        <w:ind w:left="1701" w:right="567"/>
        <w:rPr>
          <w:sz w:val="18"/>
        </w:rPr>
      </w:pPr>
      <w:r w:rsidRPr="003470B4">
        <w:rPr>
          <w:rFonts w:cs="Arial"/>
          <w:sz w:val="18"/>
        </w:rPr>
        <w:t>▪</w:t>
      </w:r>
      <w:r w:rsidRPr="003470B4">
        <w:rPr>
          <w:sz w:val="18"/>
        </w:rPr>
        <w:tab/>
        <w:t>Additional Information;</w:t>
      </w:r>
    </w:p>
    <w:p w:rsidR="00D96B73" w:rsidRPr="007528A3" w:rsidRDefault="00D96B73" w:rsidP="00D96B73">
      <w:pPr>
        <w:ind w:left="1701" w:right="567"/>
        <w:rPr>
          <w:sz w:val="18"/>
        </w:rPr>
      </w:pPr>
      <w:r w:rsidRPr="003470B4">
        <w:rPr>
          <w:sz w:val="18"/>
        </w:rPr>
        <w:tab/>
        <w:t>(a)</w:t>
      </w:r>
      <w:r w:rsidRPr="003470B4">
        <w:rPr>
          <w:sz w:val="18"/>
        </w:rPr>
        <w:tab/>
        <w:t>Additional Data</w:t>
      </w:r>
    </w:p>
    <w:p w:rsidR="00D96B73" w:rsidRPr="007528A3" w:rsidRDefault="00D96B73" w:rsidP="00D96B73">
      <w:pPr>
        <w:ind w:left="1701" w:right="567"/>
        <w:rPr>
          <w:sz w:val="18"/>
        </w:rPr>
      </w:pPr>
      <w:r w:rsidRPr="007528A3">
        <w:rPr>
          <w:sz w:val="18"/>
        </w:rPr>
        <w:tab/>
        <w:t>(b)</w:t>
      </w:r>
      <w:r w:rsidRPr="007528A3">
        <w:rPr>
          <w:sz w:val="18"/>
        </w:rPr>
        <w:tab/>
        <w:t>Photograph (if appropriate)</w:t>
      </w:r>
    </w:p>
    <w:p w:rsidR="00D96B73" w:rsidRPr="007528A3" w:rsidRDefault="00D96B73" w:rsidP="00D96B73">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D96B73" w:rsidRPr="007528A3" w:rsidRDefault="00D96B73" w:rsidP="00D96B73">
      <w:pPr>
        <w:ind w:left="1701" w:right="567"/>
        <w:rPr>
          <w:sz w:val="18"/>
        </w:rPr>
      </w:pPr>
      <w:r w:rsidRPr="007528A3">
        <w:rPr>
          <w:sz w:val="18"/>
        </w:rPr>
        <w:tab/>
        <w:t>(d)</w:t>
      </w:r>
      <w:r w:rsidRPr="007528A3">
        <w:rPr>
          <w:sz w:val="18"/>
        </w:rPr>
        <w:tab/>
        <w:t>Remarks.”</w:t>
      </w:r>
    </w:p>
    <w:p w:rsidR="00D96B73" w:rsidRDefault="00D96B73" w:rsidP="00D96B73"/>
    <w:p w:rsidR="00D96B73" w:rsidRDefault="00D96B73" w:rsidP="00D96B73">
      <w:pPr>
        <w:ind w:left="567"/>
      </w:pPr>
      <w:r>
        <w:t>and</w:t>
      </w:r>
    </w:p>
    <w:p w:rsidR="00D96B73" w:rsidRDefault="00D96B73" w:rsidP="00D96B73"/>
    <w:p w:rsidR="00D96B73" w:rsidRPr="007528A3" w:rsidRDefault="00D96B73" w:rsidP="00D96B73">
      <w:r>
        <w:tab/>
        <w:t>(ii)</w:t>
      </w:r>
      <w:r>
        <w:tab/>
        <w:t xml:space="preserve">status of the original variety description in relation to the verification of the conformity of plant material to a protected variety for enforcement of the breeder’s right, </w:t>
      </w:r>
      <w:r w:rsidRPr="007528A3">
        <w:t>as follows:</w:t>
      </w:r>
    </w:p>
    <w:p w:rsidR="00D96B73" w:rsidRPr="007528A3" w:rsidRDefault="00D96B73" w:rsidP="00D96B73"/>
    <w:p w:rsidR="00D96B73" w:rsidRPr="00A30B0A" w:rsidRDefault="00D96B73" w:rsidP="00D96B73">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96B73" w:rsidRPr="00A30B0A" w:rsidRDefault="00D96B73" w:rsidP="00D96B73">
      <w:pPr>
        <w:pStyle w:val="ListParagraph"/>
        <w:ind w:left="567" w:right="567"/>
        <w:rPr>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 xml:space="preserve">“SECTION II: Some possible measures for the enforcement of breeders’ rights </w:t>
      </w:r>
    </w:p>
    <w:p w:rsidR="00D96B73" w:rsidRPr="00A30B0A" w:rsidRDefault="00D96B73" w:rsidP="00D96B73">
      <w:pPr>
        <w:pStyle w:val="ListParagraph"/>
        <w:ind w:left="567" w:right="567"/>
        <w:rPr>
          <w:rFonts w:cs="Arial"/>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t>
      </w:r>
    </w:p>
    <w:p w:rsidR="00D96B73" w:rsidRPr="00033D1C" w:rsidRDefault="00D96B73" w:rsidP="00D96B73">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D96B73" w:rsidRPr="00033D1C" w:rsidRDefault="00D96B73" w:rsidP="00D96B73">
      <w:pPr>
        <w:ind w:left="567" w:right="567"/>
        <w:rPr>
          <w:rFonts w:cs="Arial"/>
          <w:snapToGrid w:val="0"/>
          <w:sz w:val="18"/>
          <w:szCs w:val="18"/>
        </w:rPr>
      </w:pPr>
    </w:p>
    <w:p w:rsidR="00D96B73" w:rsidRPr="00033D1C" w:rsidRDefault="00D96B73" w:rsidP="00D96B73">
      <w:pPr>
        <w:pStyle w:val="ListParagraph"/>
        <w:keepNext/>
        <w:numPr>
          <w:ilvl w:val="2"/>
          <w:numId w:val="2"/>
        </w:numPr>
        <w:tabs>
          <w:tab w:val="left" w:pos="567"/>
          <w:tab w:val="left" w:pos="1560"/>
        </w:tabs>
        <w:spacing w:line="276" w:lineRule="auto"/>
        <w:ind w:left="567" w:right="567" w:firstLine="0"/>
        <w:rPr>
          <w:rFonts w:cs="Arial"/>
          <w:sz w:val="18"/>
          <w:szCs w:val="18"/>
        </w:rPr>
      </w:pPr>
      <w:r w:rsidRPr="00033D1C">
        <w:rPr>
          <w:rFonts w:cs="Arial"/>
          <w:sz w:val="18"/>
          <w:szCs w:val="18"/>
        </w:rPr>
        <w:t>Date and document number of UPOV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and/or document number of Reporting Authority’s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Reporting Authority</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Testing station(s) and place(s)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Period of testing</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 place of issue of document</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Group: (Table: Characteristics; States of Expression; Note; Remarks)</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Additional Information;</w:t>
      </w:r>
    </w:p>
    <w:p w:rsidR="00D96B73" w:rsidRPr="00033D1C" w:rsidRDefault="00D96B73" w:rsidP="00D96B73">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 xml:space="preserve">RHS </w:t>
      </w:r>
      <w:proofErr w:type="spellStart"/>
      <w:r w:rsidRPr="00033D1C">
        <w:rPr>
          <w:rFonts w:cs="Arial"/>
          <w:color w:val="000000"/>
          <w:sz w:val="18"/>
          <w:szCs w:val="18"/>
        </w:rPr>
        <w:t>Colour</w:t>
      </w:r>
      <w:proofErr w:type="spellEnd"/>
      <w:r w:rsidRPr="00033D1C">
        <w:rPr>
          <w:rFonts w:cs="Arial"/>
          <w:color w:val="000000"/>
          <w:sz w:val="18"/>
          <w:szCs w:val="18"/>
        </w:rPr>
        <w:t xml:space="preserve"> Chart version used (if appropriate)</w:t>
      </w:r>
    </w:p>
    <w:p w:rsidR="00D96B73" w:rsidRPr="00033D1C" w:rsidRDefault="00D96B73" w:rsidP="00D96B73">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D96B73" w:rsidRPr="007528A3" w:rsidRDefault="00D96B73" w:rsidP="00D96B73"/>
    <w:p w:rsidR="00D96B73" w:rsidRPr="006B18E4" w:rsidRDefault="00D96B73" w:rsidP="00D96B73">
      <w:r>
        <w:fldChar w:fldCharType="begin"/>
      </w:r>
      <w:r>
        <w:instrText xml:space="preserve"> AUTONUM  </w:instrText>
      </w:r>
      <w:r>
        <w:fldChar w:fldCharType="end"/>
      </w:r>
      <w:r>
        <w:tab/>
        <w:t>The TC noted the presentations on “matters concerning variety descriptions” received by the TWPs, at their sessions in 2015</w:t>
      </w:r>
      <w:r w:rsidRPr="006B18E4">
        <w:t xml:space="preserve">, as set out in paragraph 7 of </w:t>
      </w:r>
      <w:r w:rsidR="005B094A" w:rsidRPr="006B18E4">
        <w:t xml:space="preserve">this </w:t>
      </w:r>
      <w:r w:rsidRPr="006B18E4">
        <w:t>document.</w:t>
      </w:r>
    </w:p>
    <w:p w:rsidR="00D96B73" w:rsidRPr="006B18E4" w:rsidRDefault="00D96B73" w:rsidP="00D96B73"/>
    <w:p w:rsidR="00D96B73" w:rsidRDefault="00D96B73" w:rsidP="00D96B73">
      <w:r w:rsidRPr="006B18E4">
        <w:fldChar w:fldCharType="begin"/>
      </w:r>
      <w:r w:rsidRPr="006B18E4">
        <w:instrText xml:space="preserve"> AUTONUM  </w:instrText>
      </w:r>
      <w:r w:rsidRPr="006B18E4">
        <w:fldChar w:fldCharType="end"/>
      </w:r>
      <w:r w:rsidRPr="006B18E4">
        <w:tab/>
        <w:t xml:space="preserve">The TC noted the comments by the TWPs, at their sessions in 2015, on matters concerning variety descriptions and the role of plant material used as the basis for the DUS examination, as set out in </w:t>
      </w:r>
      <w:r w:rsidR="005B094A" w:rsidRPr="006B18E4">
        <w:t xml:space="preserve">paragraphs </w:t>
      </w:r>
      <w:r w:rsidRPr="006B18E4">
        <w:t xml:space="preserve">8 to </w:t>
      </w:r>
      <w:r w:rsidR="005B094A" w:rsidRPr="006B18E4">
        <w:t>26</w:t>
      </w:r>
      <w:r w:rsidRPr="006B18E4">
        <w:t xml:space="preserve"> of</w:t>
      </w:r>
      <w:r>
        <w:t xml:space="preserve"> </w:t>
      </w:r>
      <w:r w:rsidR="005B094A">
        <w:t>this document</w:t>
      </w:r>
      <w:r w:rsidRPr="00696B1B">
        <w:t>.</w:t>
      </w:r>
    </w:p>
    <w:p w:rsidR="00D96B73" w:rsidRDefault="00D96B73" w:rsidP="00D96B73"/>
    <w:p w:rsidR="00D96B73" w:rsidRDefault="00D96B73" w:rsidP="00D96B73">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w:t>
      </w:r>
      <w:r w:rsidR="005B094A">
        <w:t xml:space="preserve">the following </w:t>
      </w:r>
      <w:r>
        <w:t>matters:</w:t>
      </w:r>
    </w:p>
    <w:p w:rsidR="00D96B73" w:rsidRDefault="00D96B73" w:rsidP="00D96B73"/>
    <w:p w:rsidR="00D96B73" w:rsidRPr="00697F3F" w:rsidRDefault="00D96B73" w:rsidP="00D96B73">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D96B73" w:rsidRPr="00697F3F" w:rsidRDefault="00D96B73" w:rsidP="00D96B73">
      <w:pPr>
        <w:tabs>
          <w:tab w:val="left" w:pos="7500"/>
        </w:tabs>
        <w:rPr>
          <w:rFonts w:cs="Arial"/>
        </w:rPr>
      </w:pPr>
    </w:p>
    <w:p w:rsidR="00D96B73" w:rsidRPr="00697F3F" w:rsidRDefault="00D96B73" w:rsidP="00D96B73">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p>
    <w:p w:rsidR="00D96B73" w:rsidRPr="00697F3F" w:rsidRDefault="00D96B73" w:rsidP="00D96B73">
      <w:pPr>
        <w:ind w:left="567" w:right="567"/>
      </w:pPr>
    </w:p>
    <w:p w:rsidR="00D96B73" w:rsidRDefault="00D96B73" w:rsidP="00D96B73">
      <w:pPr>
        <w:ind w:firstLine="567"/>
      </w:pPr>
      <w:r w:rsidRPr="00697F3F">
        <w:t>(c)</w:t>
      </w:r>
      <w:r w:rsidRPr="00697F3F">
        <w:tab/>
        <w:t>the status of the original variety description in relation to the verification of the conformity of plant material to a protected variety for the purposes of:</w:t>
      </w:r>
    </w:p>
    <w:p w:rsidR="00D96B73" w:rsidRPr="00697F3F" w:rsidRDefault="00D96B73" w:rsidP="00D96B73">
      <w:pPr>
        <w:ind w:firstLine="567"/>
      </w:pPr>
    </w:p>
    <w:p w:rsidR="00D96B73" w:rsidRPr="00697F3F" w:rsidRDefault="00D96B73" w:rsidP="00D96B73">
      <w:pPr>
        <w:ind w:left="1701" w:hanging="567"/>
      </w:pPr>
      <w:r w:rsidRPr="00697F3F">
        <w:t>(</w:t>
      </w:r>
      <w:proofErr w:type="spellStart"/>
      <w:r w:rsidRPr="00697F3F">
        <w:t>i</w:t>
      </w:r>
      <w:proofErr w:type="spellEnd"/>
      <w:r w:rsidRPr="00697F3F">
        <w:t>)</w:t>
      </w:r>
      <w:r w:rsidRPr="00697F3F">
        <w:tab/>
        <w:t>verifying the maintenance of the variety (Article 22 of the 1991 Act, Article 10 of the 1978 Act);</w:t>
      </w:r>
    </w:p>
    <w:p w:rsidR="00D96B73" w:rsidRPr="00697F3F" w:rsidRDefault="00D96B73" w:rsidP="00D96B73">
      <w:pPr>
        <w:ind w:left="1134"/>
      </w:pPr>
      <w:r w:rsidRPr="00697F3F">
        <w:t>(ii)</w:t>
      </w:r>
      <w:r w:rsidRPr="00697F3F">
        <w:tab/>
        <w:t xml:space="preserve">the examination of distinctness, uniformity and stability (“DUS”) of candidate varieties;  </w:t>
      </w:r>
    </w:p>
    <w:p w:rsidR="00D96B73" w:rsidRPr="00697F3F" w:rsidRDefault="00D96B73" w:rsidP="00D96B73">
      <w:pPr>
        <w:ind w:left="567" w:right="567"/>
      </w:pPr>
    </w:p>
    <w:p w:rsidR="00D96B73" w:rsidRDefault="00D96B73" w:rsidP="00D96B73">
      <w:pPr>
        <w:ind w:right="567" w:firstLine="567"/>
      </w:pPr>
      <w:r w:rsidRPr="00697F3F">
        <w:t>(d)</w:t>
      </w:r>
      <w:r w:rsidRPr="00697F3F">
        <w:tab/>
        <w:t>the status of a modified variety description produced, for example, as a result of:</w:t>
      </w:r>
    </w:p>
    <w:p w:rsidR="00D96B73" w:rsidRPr="00697F3F" w:rsidRDefault="00D96B73" w:rsidP="00D96B73">
      <w:pPr>
        <w:ind w:right="567" w:firstLine="567"/>
      </w:pPr>
    </w:p>
    <w:p w:rsidR="00D96B73" w:rsidRPr="00697F3F" w:rsidRDefault="00D96B73" w:rsidP="00D96B73">
      <w:pPr>
        <w:spacing w:after="60"/>
        <w:ind w:left="1701" w:hanging="567"/>
      </w:pPr>
      <w:r w:rsidRPr="00697F3F">
        <w:t>(</w:t>
      </w:r>
      <w:proofErr w:type="spellStart"/>
      <w:r w:rsidRPr="00697F3F">
        <w:t>i</w:t>
      </w:r>
      <w:proofErr w:type="spellEnd"/>
      <w:r w:rsidRPr="00697F3F">
        <w:t>)</w:t>
      </w:r>
      <w:r w:rsidRPr="00697F3F">
        <w:tab/>
        <w:t>a recalibration of the scale in the Test Guidelines (particularly for non</w:t>
      </w:r>
      <w:r w:rsidRPr="00697F3F">
        <w:noBreakHyphen/>
        <w:t>asterisked characteristics);</w:t>
      </w:r>
    </w:p>
    <w:p w:rsidR="00D96B73" w:rsidRPr="00697F3F" w:rsidRDefault="00D96B73" w:rsidP="00D96B73">
      <w:pPr>
        <w:spacing w:after="60"/>
        <w:ind w:left="1701" w:hanging="567"/>
      </w:pPr>
      <w:r w:rsidRPr="00697F3F">
        <w:t>(ii)</w:t>
      </w:r>
      <w:r w:rsidRPr="00697F3F">
        <w:tab/>
        <w:t>variation due to the environmental conditions of the years of testing for characteristics that are influenced by the environment;</w:t>
      </w:r>
    </w:p>
    <w:p w:rsidR="00D96B73" w:rsidRPr="00697F3F" w:rsidRDefault="00D96B73" w:rsidP="00D96B73">
      <w:pPr>
        <w:spacing w:after="60"/>
        <w:ind w:left="1701" w:hanging="567"/>
      </w:pPr>
      <w:r w:rsidRPr="00697F3F">
        <w:t>(iii)</w:t>
      </w:r>
      <w:r w:rsidRPr="00697F3F">
        <w:tab/>
        <w:t>variation due to observation by different experts;  or</w:t>
      </w:r>
    </w:p>
    <w:p w:rsidR="00D96B73" w:rsidRPr="00697F3F" w:rsidRDefault="00D96B73" w:rsidP="00D96B73">
      <w:pPr>
        <w:ind w:left="1701" w:hanging="567"/>
      </w:pPr>
      <w:r w:rsidRPr="00697F3F">
        <w:t>(iv)</w:t>
      </w:r>
      <w:r w:rsidRPr="00697F3F">
        <w:tab/>
        <w:t>the use of different versions of scales (e.g. different v</w:t>
      </w:r>
      <w:r>
        <w:t xml:space="preserve">ersions of the RHS </w:t>
      </w:r>
      <w:proofErr w:type="spellStart"/>
      <w:r>
        <w:t>Colour</w:t>
      </w:r>
      <w:proofErr w:type="spellEnd"/>
      <w:r>
        <w:t xml:space="preserve"> Chart); and </w:t>
      </w:r>
    </w:p>
    <w:p w:rsidR="00D96B73" w:rsidRPr="00697F3F" w:rsidRDefault="00D96B73" w:rsidP="00D96B73">
      <w:pPr>
        <w:ind w:left="567" w:right="567"/>
      </w:pPr>
    </w:p>
    <w:p w:rsidR="00D96B73" w:rsidRPr="00697F3F" w:rsidRDefault="00D96B73" w:rsidP="00D96B73">
      <w:pPr>
        <w:ind w:left="567" w:right="567"/>
      </w:pPr>
      <w:r w:rsidRPr="00697F3F">
        <w:t>(e)</w:t>
      </w:r>
      <w:r w:rsidRPr="00697F3F">
        <w:tab/>
        <w:t>situations where an error is subsequently discovered in the initial variety description.</w:t>
      </w:r>
    </w:p>
    <w:p w:rsidR="001A0ACE" w:rsidRDefault="001A0ACE" w:rsidP="00D96B73"/>
    <w:p w:rsidR="001A0ACE" w:rsidRDefault="001A0ACE" w:rsidP="001A0ACE">
      <w:pPr>
        <w:pStyle w:val="Heading2"/>
      </w:pPr>
      <w:bookmarkStart w:id="29" w:name="_Toc449099987"/>
      <w:r>
        <w:t>Presentations to the TWPs at their sessions in 2016</w:t>
      </w:r>
      <w:bookmarkEnd w:id="29"/>
    </w:p>
    <w:p w:rsidR="001A0ACE" w:rsidRDefault="001A0ACE" w:rsidP="00D96B73"/>
    <w:p w:rsidR="004B1FCD" w:rsidRPr="006B18E4" w:rsidRDefault="004B1FCD" w:rsidP="004B1FCD">
      <w:r w:rsidRPr="00F321B6">
        <w:fldChar w:fldCharType="begin"/>
      </w:r>
      <w:r w:rsidRPr="00F321B6">
        <w:instrText xml:space="preserve"> AUTONUM  </w:instrText>
      </w:r>
      <w:r w:rsidRPr="00F321B6">
        <w:fldChar w:fldCharType="end"/>
      </w:r>
      <w:r w:rsidRPr="00F321B6">
        <w:tab/>
        <w:t xml:space="preserve">On </w:t>
      </w:r>
      <w:r w:rsidR="00D72243" w:rsidRPr="00F321B6">
        <w:t>April 12</w:t>
      </w:r>
      <w:r w:rsidRPr="00F321B6">
        <w:t>, 201</w:t>
      </w:r>
      <w:r w:rsidR="00D72243" w:rsidRPr="00F321B6">
        <w:t>6</w:t>
      </w:r>
      <w:r w:rsidRPr="00F321B6">
        <w:t>, by means of Circular E</w:t>
      </w:r>
      <w:r w:rsidRPr="00F321B6">
        <w:noBreakHyphen/>
        <w:t>1</w:t>
      </w:r>
      <w:r w:rsidR="00F321B6" w:rsidRPr="00F321B6">
        <w:t>6</w:t>
      </w:r>
      <w:r w:rsidRPr="00F321B6">
        <w:t>/</w:t>
      </w:r>
      <w:r w:rsidR="00F321B6" w:rsidRPr="00F321B6">
        <w:t>095</w:t>
      </w:r>
      <w:r w:rsidRPr="00F321B6">
        <w:t xml:space="preserve">, </w:t>
      </w:r>
      <w:r w:rsidRPr="006B18E4">
        <w:t>the TC and TWP experts were invited to make presentations to the TWPs, at their sessions in 201</w:t>
      </w:r>
      <w:r w:rsidR="00F321B6" w:rsidRPr="006B18E4">
        <w:t>6</w:t>
      </w:r>
      <w:r w:rsidRPr="006B18E4">
        <w:t xml:space="preserve"> </w:t>
      </w:r>
      <w:r w:rsidR="00F321B6" w:rsidRPr="006B18E4">
        <w:t>on their experiences with regard to the role of plant material used as the basis for the DUS examination in relation to matters presented in paragraph 3</w:t>
      </w:r>
      <w:r w:rsidR="00B17CC8" w:rsidRPr="006B18E4">
        <w:t>1</w:t>
      </w:r>
      <w:r w:rsidR="00F321B6" w:rsidRPr="006B18E4">
        <w:t xml:space="preserve"> of this document.</w:t>
      </w:r>
    </w:p>
    <w:p w:rsidR="004B1FCD" w:rsidRPr="006B18E4" w:rsidRDefault="004B1FCD" w:rsidP="0055179D">
      <w:pPr>
        <w:rPr>
          <w:rFonts w:cs="Arial"/>
        </w:rPr>
      </w:pPr>
    </w:p>
    <w:p w:rsidR="006B5901" w:rsidRPr="006B18E4" w:rsidRDefault="006B5901" w:rsidP="006B5901">
      <w:r w:rsidRPr="006B18E4">
        <w:fldChar w:fldCharType="begin"/>
      </w:r>
      <w:r w:rsidRPr="006B18E4">
        <w:instrText xml:space="preserve"> AUTONUM  </w:instrText>
      </w:r>
      <w:r w:rsidRPr="006B18E4">
        <w:fldChar w:fldCharType="end"/>
      </w:r>
      <w:r w:rsidRPr="006B18E4">
        <w:tab/>
        <w:t xml:space="preserve">The presentations made at the </w:t>
      </w:r>
      <w:r w:rsidR="002F18FA">
        <w:t>forty-</w:t>
      </w:r>
      <w:r w:rsidR="00327480">
        <w:t>seven</w:t>
      </w:r>
      <w:r w:rsidR="002F18FA">
        <w:t>th</w:t>
      </w:r>
      <w:r w:rsidRPr="006B18E4">
        <w:t xml:space="preserve"> session of the TW</w:t>
      </w:r>
      <w:r w:rsidR="00327480">
        <w:t>F</w:t>
      </w:r>
      <w:r w:rsidRPr="006B18E4">
        <w:t xml:space="preserve"> under this agenda item will be published as an addendum to this document.</w:t>
      </w:r>
    </w:p>
    <w:p w:rsidR="006B5901" w:rsidRPr="006B18E4" w:rsidRDefault="006B5901" w:rsidP="0055179D">
      <w:pPr>
        <w:rPr>
          <w:rFonts w:cs="Arial"/>
        </w:rPr>
      </w:pPr>
    </w:p>
    <w:p w:rsidR="0055179D" w:rsidRPr="006B18E4" w:rsidRDefault="0055179D" w:rsidP="005F22C0">
      <w:pPr>
        <w:pStyle w:val="DecisionParagraphs"/>
        <w:tabs>
          <w:tab w:val="left" w:pos="5954"/>
          <w:tab w:val="left" w:pos="6521"/>
        </w:tabs>
      </w:pPr>
      <w:r w:rsidRPr="006B18E4">
        <w:fldChar w:fldCharType="begin"/>
      </w:r>
      <w:r w:rsidRPr="006B18E4">
        <w:instrText xml:space="preserve"> AUTONUM  </w:instrText>
      </w:r>
      <w:r w:rsidRPr="006B18E4">
        <w:fldChar w:fldCharType="end"/>
      </w:r>
      <w:r w:rsidRPr="006B18E4">
        <w:tab/>
        <w:t xml:space="preserve">The </w:t>
      </w:r>
      <w:r w:rsidR="00D476C2" w:rsidRPr="006B18E4">
        <w:t>T</w:t>
      </w:r>
      <w:r w:rsidR="002E391D" w:rsidRPr="006B18E4">
        <w:t>W</w:t>
      </w:r>
      <w:r w:rsidR="00327480">
        <w:t>F</w:t>
      </w:r>
      <w:r w:rsidRPr="006B18E4">
        <w:t xml:space="preserve"> is invited to:</w:t>
      </w:r>
    </w:p>
    <w:p w:rsidR="00D476C2" w:rsidRPr="006B18E4" w:rsidRDefault="00D476C2" w:rsidP="005F22C0">
      <w:pPr>
        <w:pStyle w:val="DecisionParagraphs"/>
        <w:tabs>
          <w:tab w:val="left" w:pos="5954"/>
          <w:tab w:val="left" w:pos="6521"/>
        </w:tabs>
      </w:pPr>
    </w:p>
    <w:p w:rsidR="002B17EF" w:rsidRPr="006B18E4" w:rsidRDefault="00015F74" w:rsidP="008D2F9D">
      <w:pPr>
        <w:pStyle w:val="DecisionParagraphs"/>
        <w:tabs>
          <w:tab w:val="left" w:pos="5954"/>
          <w:tab w:val="left" w:pos="6521"/>
        </w:tabs>
      </w:pPr>
      <w:r w:rsidRPr="006B18E4">
        <w:tab/>
        <w:t>(a)</w:t>
      </w:r>
      <w:r w:rsidRPr="006B18E4">
        <w:tab/>
      </w:r>
      <w:r w:rsidR="00D476C2" w:rsidRPr="006B18E4">
        <w:t>note the</w:t>
      </w:r>
      <w:r w:rsidR="008D2F9D" w:rsidRPr="006B18E4">
        <w:t xml:space="preserve"> </w:t>
      </w:r>
      <w:r w:rsidR="00D476C2" w:rsidRPr="006B18E4">
        <w:t>purpose of the variety description developed at the time of the granted of the breeder</w:t>
      </w:r>
      <w:r w:rsidR="00254EB4" w:rsidRPr="006B18E4">
        <w:t>’</w:t>
      </w:r>
      <w:r w:rsidR="00D476C2" w:rsidRPr="006B18E4">
        <w:t>s right (original variety description)</w:t>
      </w:r>
      <w:r w:rsidR="002B17EF" w:rsidRPr="006B18E4">
        <w:t xml:space="preserve">, </w:t>
      </w:r>
      <w:r w:rsidR="00C334C6" w:rsidRPr="006B18E4">
        <w:t>and</w:t>
      </w:r>
      <w:r w:rsidR="008D2F9D" w:rsidRPr="006B18E4">
        <w:t xml:space="preserve"> the </w:t>
      </w:r>
      <w:r w:rsidR="002B17EF" w:rsidRPr="006B18E4">
        <w:t>status of the original variety description in relation to the verification of the conformity of plant material to a protected variety for enforcement of the breeder</w:t>
      </w:r>
      <w:r w:rsidR="00254EB4" w:rsidRPr="006B18E4">
        <w:t>’</w:t>
      </w:r>
      <w:r w:rsidR="002B17EF" w:rsidRPr="006B18E4">
        <w:t>s right, as set out in paragraph </w:t>
      </w:r>
      <w:r w:rsidR="00610855" w:rsidRPr="006B18E4">
        <w:t>28</w:t>
      </w:r>
      <w:r w:rsidR="002B17EF" w:rsidRPr="006B18E4">
        <w:t xml:space="preserve"> of this document;</w:t>
      </w:r>
    </w:p>
    <w:p w:rsidR="008B44BD" w:rsidRPr="006B18E4" w:rsidRDefault="008B44BD" w:rsidP="005F22C0">
      <w:pPr>
        <w:pStyle w:val="DecisionParagraphs"/>
        <w:tabs>
          <w:tab w:val="left" w:pos="5954"/>
          <w:tab w:val="left" w:pos="6521"/>
        </w:tabs>
      </w:pPr>
    </w:p>
    <w:p w:rsidR="008B44BD" w:rsidRPr="006B18E4" w:rsidRDefault="00015F74" w:rsidP="005F22C0">
      <w:pPr>
        <w:pStyle w:val="DecisionParagraphs"/>
        <w:tabs>
          <w:tab w:val="left" w:pos="5954"/>
          <w:tab w:val="left" w:pos="6521"/>
        </w:tabs>
      </w:pPr>
      <w:r w:rsidRPr="006B18E4">
        <w:tab/>
        <w:t>(</w:t>
      </w:r>
      <w:r w:rsidR="00C334C6" w:rsidRPr="006B18E4">
        <w:t>b</w:t>
      </w:r>
      <w:r w:rsidRPr="006B18E4">
        <w:t>)</w:t>
      </w:r>
      <w:r w:rsidRPr="006B18E4">
        <w:tab/>
      </w:r>
      <w:r w:rsidR="008B44BD" w:rsidRPr="006B18E4">
        <w:t xml:space="preserve">note the presentations </w:t>
      </w:r>
      <w:r w:rsidR="005C665E" w:rsidRPr="006B18E4">
        <w:t xml:space="preserve">on “matters concerning variety descriptions” </w:t>
      </w:r>
      <w:r w:rsidR="008B44BD" w:rsidRPr="006B18E4">
        <w:t xml:space="preserve">received by the TWPs, at their sessions in 2015, as </w:t>
      </w:r>
      <w:r w:rsidR="00917B74" w:rsidRPr="006B18E4">
        <w:t>set out in paragraph 7 of this document</w:t>
      </w:r>
      <w:r w:rsidR="005C665E" w:rsidRPr="006B18E4">
        <w:t>;</w:t>
      </w:r>
    </w:p>
    <w:p w:rsidR="0055179D" w:rsidRPr="006B18E4" w:rsidRDefault="0055179D" w:rsidP="005F22C0">
      <w:pPr>
        <w:pStyle w:val="DecisionParagraphs"/>
        <w:tabs>
          <w:tab w:val="left" w:pos="5954"/>
          <w:tab w:val="left" w:pos="6521"/>
        </w:tabs>
      </w:pPr>
    </w:p>
    <w:p w:rsidR="00250F46" w:rsidRPr="006B18E4" w:rsidRDefault="00015F74" w:rsidP="005F22C0">
      <w:pPr>
        <w:pStyle w:val="DecisionParagraphs"/>
        <w:tabs>
          <w:tab w:val="left" w:pos="5954"/>
          <w:tab w:val="left" w:pos="6521"/>
        </w:tabs>
      </w:pPr>
      <w:r w:rsidRPr="006B18E4">
        <w:tab/>
        <w:t>(</w:t>
      </w:r>
      <w:r w:rsidR="00C334C6" w:rsidRPr="006B18E4">
        <w:t>c</w:t>
      </w:r>
      <w:r w:rsidRPr="006B18E4">
        <w:t>)</w:t>
      </w:r>
      <w:r w:rsidRPr="006B18E4">
        <w:tab/>
      </w:r>
      <w:r w:rsidR="00917B74" w:rsidRPr="006B18E4">
        <w:t>note</w:t>
      </w:r>
      <w:r w:rsidR="00250F46" w:rsidRPr="006B18E4">
        <w:t xml:space="preserve"> </w:t>
      </w:r>
      <w:r w:rsidR="00BE4939" w:rsidRPr="006B18E4">
        <w:t xml:space="preserve">the comments by the TWPs, at their sessions in 2015, </w:t>
      </w:r>
      <w:r w:rsidR="00917B74" w:rsidRPr="006B18E4">
        <w:t>on matters concerning variety descriptions and the role of plant material used as the basis for the DUS examination</w:t>
      </w:r>
      <w:r w:rsidR="00250F46" w:rsidRPr="006B18E4">
        <w:t xml:space="preserve">, as set out </w:t>
      </w:r>
      <w:r w:rsidR="00BE4939" w:rsidRPr="006B18E4">
        <w:t>in</w:t>
      </w:r>
      <w:r w:rsidR="00250F46" w:rsidRPr="006B18E4">
        <w:t xml:space="preserve"> paragraphs </w:t>
      </w:r>
      <w:r w:rsidR="00BE4939" w:rsidRPr="006B18E4">
        <w:t>8</w:t>
      </w:r>
      <w:r w:rsidR="00250F46" w:rsidRPr="006B18E4">
        <w:t xml:space="preserve"> to </w:t>
      </w:r>
      <w:r w:rsidR="00610855" w:rsidRPr="006B18E4">
        <w:t>26</w:t>
      </w:r>
      <w:r w:rsidR="00250F46" w:rsidRPr="006B18E4">
        <w:t xml:space="preserve"> of this document;</w:t>
      </w:r>
      <w:r w:rsidR="00E25395" w:rsidRPr="006B18E4">
        <w:t xml:space="preserve"> and</w:t>
      </w:r>
    </w:p>
    <w:p w:rsidR="00250F46" w:rsidRPr="006B18E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6B18E4">
        <w:tab/>
        <w:t>(</w:t>
      </w:r>
      <w:r w:rsidR="00C334C6" w:rsidRPr="006B18E4">
        <w:t>d</w:t>
      </w:r>
      <w:r w:rsidRPr="006B18E4">
        <w:t>)</w:t>
      </w:r>
      <w:r w:rsidRPr="006B18E4">
        <w:tab/>
      </w:r>
      <w:r w:rsidR="0017698D" w:rsidRPr="006B18E4">
        <w:t xml:space="preserve">consider </w:t>
      </w:r>
      <w:r w:rsidR="008D2F9D" w:rsidRPr="006B18E4">
        <w:t>the presentations made by</w:t>
      </w:r>
      <w:r w:rsidR="00C334C6" w:rsidRPr="006B18E4">
        <w:t xml:space="preserve"> experts </w:t>
      </w:r>
      <w:r w:rsidR="008D2F9D" w:rsidRPr="006B18E4">
        <w:t xml:space="preserve">on </w:t>
      </w:r>
      <w:r w:rsidR="00C334C6" w:rsidRPr="006B18E4">
        <w:t xml:space="preserve">their experiences with regard to </w:t>
      </w:r>
      <w:r w:rsidR="0017698D" w:rsidRPr="006B18E4">
        <w:t>t</w:t>
      </w:r>
      <w:r w:rsidR="00BE4939" w:rsidRPr="006B18E4">
        <w:t xml:space="preserve">he role of plant material used as the basis for the DUS examination in relation to matters presented in paragraph </w:t>
      </w:r>
      <w:r w:rsidR="008D2F9D" w:rsidRPr="006B18E4">
        <w:t>3</w:t>
      </w:r>
      <w:r w:rsidR="00610855" w:rsidRPr="006B18E4">
        <w:t>1</w:t>
      </w:r>
      <w:r w:rsidR="00BE4939" w:rsidRPr="00254EB4">
        <w:t xml:space="preserve"> of this document.</w:t>
      </w: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2B764B" w:rsidP="00EB048E">
    <w:pPr>
      <w:pStyle w:val="Header"/>
      <w:rPr>
        <w:rStyle w:val="PageNumber"/>
        <w:lang w:val="en-US"/>
      </w:rPr>
    </w:pPr>
    <w:r>
      <w:rPr>
        <w:rStyle w:val="PageNumber"/>
        <w:lang w:val="en-US"/>
      </w:rPr>
      <w:t>TW</w:t>
    </w:r>
    <w:r w:rsidR="00A93BEB">
      <w:rPr>
        <w:rStyle w:val="PageNumber"/>
        <w:lang w:val="en-US"/>
      </w:rPr>
      <w:t>F</w:t>
    </w:r>
    <w:r>
      <w:rPr>
        <w:rStyle w:val="PageNumber"/>
        <w:lang w:val="en-US"/>
      </w:rPr>
      <w:t>/4</w:t>
    </w:r>
    <w:r w:rsidR="00A93BEB">
      <w:rPr>
        <w:rStyle w:val="PageNumber"/>
        <w:lang w:val="en-US"/>
      </w:rPr>
      <w:t>7</w:t>
    </w:r>
    <w:r w:rsidR="009372A3">
      <w:rPr>
        <w:rStyle w:val="PageNumber"/>
        <w:lang w:val="en-US"/>
      </w:rPr>
      <w:t>/</w:t>
    </w:r>
    <w:r w:rsidR="00D96B73">
      <w:rPr>
        <w:rStyle w:val="PageNumber"/>
        <w:lang w:val="en-US"/>
      </w:rPr>
      <w:t>14</w:t>
    </w:r>
  </w:p>
  <w:p w:rsidR="002B17EF" w:rsidRPr="00C5280D" w:rsidRDefault="002B17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E5649">
      <w:rPr>
        <w:rStyle w:val="PageNumber"/>
        <w:noProof/>
        <w:lang w:val="en-US"/>
      </w:rPr>
      <w:t>2</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34B8"/>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D25"/>
    <w:rsid w:val="000F2F11"/>
    <w:rsid w:val="00105929"/>
    <w:rsid w:val="00110C36"/>
    <w:rsid w:val="001131D5"/>
    <w:rsid w:val="00141DB8"/>
    <w:rsid w:val="0017474A"/>
    <w:rsid w:val="001758C6"/>
    <w:rsid w:val="0017698D"/>
    <w:rsid w:val="001778B5"/>
    <w:rsid w:val="001824B0"/>
    <w:rsid w:val="00182B99"/>
    <w:rsid w:val="001A0ACE"/>
    <w:rsid w:val="001C02DC"/>
    <w:rsid w:val="001D0AD1"/>
    <w:rsid w:val="001E7C64"/>
    <w:rsid w:val="0021332C"/>
    <w:rsid w:val="00213982"/>
    <w:rsid w:val="0024416D"/>
    <w:rsid w:val="00250F46"/>
    <w:rsid w:val="00254EB4"/>
    <w:rsid w:val="00271911"/>
    <w:rsid w:val="002800A0"/>
    <w:rsid w:val="002801B3"/>
    <w:rsid w:val="00281060"/>
    <w:rsid w:val="00283624"/>
    <w:rsid w:val="00283737"/>
    <w:rsid w:val="00284849"/>
    <w:rsid w:val="002940E8"/>
    <w:rsid w:val="002A6E50"/>
    <w:rsid w:val="002B17EF"/>
    <w:rsid w:val="002B764B"/>
    <w:rsid w:val="002C256A"/>
    <w:rsid w:val="002D0983"/>
    <w:rsid w:val="002E391D"/>
    <w:rsid w:val="002F18FA"/>
    <w:rsid w:val="00305A7F"/>
    <w:rsid w:val="003076E5"/>
    <w:rsid w:val="00314042"/>
    <w:rsid w:val="003152FE"/>
    <w:rsid w:val="00317C95"/>
    <w:rsid w:val="00327436"/>
    <w:rsid w:val="00327480"/>
    <w:rsid w:val="00344BD6"/>
    <w:rsid w:val="0035528D"/>
    <w:rsid w:val="00361821"/>
    <w:rsid w:val="00374651"/>
    <w:rsid w:val="003D227C"/>
    <w:rsid w:val="003D2B4D"/>
    <w:rsid w:val="00427270"/>
    <w:rsid w:val="00444A88"/>
    <w:rsid w:val="0046731E"/>
    <w:rsid w:val="00474DA4"/>
    <w:rsid w:val="00476B4D"/>
    <w:rsid w:val="004805FA"/>
    <w:rsid w:val="00481013"/>
    <w:rsid w:val="004935D2"/>
    <w:rsid w:val="004B1215"/>
    <w:rsid w:val="004B1FCD"/>
    <w:rsid w:val="004B7968"/>
    <w:rsid w:val="004D047D"/>
    <w:rsid w:val="004D51B3"/>
    <w:rsid w:val="004F0A84"/>
    <w:rsid w:val="004F305A"/>
    <w:rsid w:val="00503AF5"/>
    <w:rsid w:val="005115CA"/>
    <w:rsid w:val="00512164"/>
    <w:rsid w:val="00514BD2"/>
    <w:rsid w:val="00520297"/>
    <w:rsid w:val="005338F9"/>
    <w:rsid w:val="0054281C"/>
    <w:rsid w:val="00544581"/>
    <w:rsid w:val="0055179D"/>
    <w:rsid w:val="0055268D"/>
    <w:rsid w:val="00576BE4"/>
    <w:rsid w:val="005A400A"/>
    <w:rsid w:val="005B094A"/>
    <w:rsid w:val="005C1CEF"/>
    <w:rsid w:val="005C665E"/>
    <w:rsid w:val="005F22C0"/>
    <w:rsid w:val="00610855"/>
    <w:rsid w:val="00612379"/>
    <w:rsid w:val="0061555F"/>
    <w:rsid w:val="006240AA"/>
    <w:rsid w:val="00637D19"/>
    <w:rsid w:val="0064055C"/>
    <w:rsid w:val="00641200"/>
    <w:rsid w:val="00652280"/>
    <w:rsid w:val="006655D3"/>
    <w:rsid w:val="00667404"/>
    <w:rsid w:val="00671540"/>
    <w:rsid w:val="00682EEC"/>
    <w:rsid w:val="00687EB4"/>
    <w:rsid w:val="00697F3F"/>
    <w:rsid w:val="006B17D2"/>
    <w:rsid w:val="006B18E4"/>
    <w:rsid w:val="006B5901"/>
    <w:rsid w:val="006C224E"/>
    <w:rsid w:val="006D780A"/>
    <w:rsid w:val="00732DEC"/>
    <w:rsid w:val="007359B5"/>
    <w:rsid w:val="00735BD5"/>
    <w:rsid w:val="007464C6"/>
    <w:rsid w:val="007556F6"/>
    <w:rsid w:val="007561C2"/>
    <w:rsid w:val="00760EEF"/>
    <w:rsid w:val="007654F6"/>
    <w:rsid w:val="00777EE5"/>
    <w:rsid w:val="00784836"/>
    <w:rsid w:val="0079023E"/>
    <w:rsid w:val="007A2854"/>
    <w:rsid w:val="007D0B9D"/>
    <w:rsid w:val="007D19B0"/>
    <w:rsid w:val="007E5649"/>
    <w:rsid w:val="007F498F"/>
    <w:rsid w:val="007F6968"/>
    <w:rsid w:val="0080679D"/>
    <w:rsid w:val="00807855"/>
    <w:rsid w:val="008108B0"/>
    <w:rsid w:val="00811B20"/>
    <w:rsid w:val="0082296E"/>
    <w:rsid w:val="00822D20"/>
    <w:rsid w:val="00824099"/>
    <w:rsid w:val="00833F8A"/>
    <w:rsid w:val="00846D7C"/>
    <w:rsid w:val="008511C2"/>
    <w:rsid w:val="008513D5"/>
    <w:rsid w:val="00867AC1"/>
    <w:rsid w:val="00882B21"/>
    <w:rsid w:val="00897BE9"/>
    <w:rsid w:val="008A743F"/>
    <w:rsid w:val="008B44BD"/>
    <w:rsid w:val="008C0970"/>
    <w:rsid w:val="008D0BC5"/>
    <w:rsid w:val="008D2CF7"/>
    <w:rsid w:val="008D2F9D"/>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73DB3"/>
    <w:rsid w:val="00992D82"/>
    <w:rsid w:val="00997029"/>
    <w:rsid w:val="009B440E"/>
    <w:rsid w:val="009D5F41"/>
    <w:rsid w:val="009D690D"/>
    <w:rsid w:val="009E65B6"/>
    <w:rsid w:val="009F266F"/>
    <w:rsid w:val="00A00C7A"/>
    <w:rsid w:val="00A24AEF"/>
    <w:rsid w:val="00A24C10"/>
    <w:rsid w:val="00A307C2"/>
    <w:rsid w:val="00A341BF"/>
    <w:rsid w:val="00A3528B"/>
    <w:rsid w:val="00A42AC3"/>
    <w:rsid w:val="00A430CF"/>
    <w:rsid w:val="00A54309"/>
    <w:rsid w:val="00A93BEB"/>
    <w:rsid w:val="00AA6AFA"/>
    <w:rsid w:val="00AB2B93"/>
    <w:rsid w:val="00AB530F"/>
    <w:rsid w:val="00AB7E5B"/>
    <w:rsid w:val="00AC756F"/>
    <w:rsid w:val="00AE0EF1"/>
    <w:rsid w:val="00AE2937"/>
    <w:rsid w:val="00B07301"/>
    <w:rsid w:val="00B17CC8"/>
    <w:rsid w:val="00B224DE"/>
    <w:rsid w:val="00B324D4"/>
    <w:rsid w:val="00B46575"/>
    <w:rsid w:val="00B54B69"/>
    <w:rsid w:val="00B84BBD"/>
    <w:rsid w:val="00B940CB"/>
    <w:rsid w:val="00B97838"/>
    <w:rsid w:val="00BA43FB"/>
    <w:rsid w:val="00BC127D"/>
    <w:rsid w:val="00BC1FE6"/>
    <w:rsid w:val="00BE32A5"/>
    <w:rsid w:val="00BE4939"/>
    <w:rsid w:val="00BF1AE2"/>
    <w:rsid w:val="00C061B6"/>
    <w:rsid w:val="00C2446C"/>
    <w:rsid w:val="00C27506"/>
    <w:rsid w:val="00C334C6"/>
    <w:rsid w:val="00C33AF5"/>
    <w:rsid w:val="00C36AE5"/>
    <w:rsid w:val="00C41F17"/>
    <w:rsid w:val="00C42BE9"/>
    <w:rsid w:val="00C5280D"/>
    <w:rsid w:val="00C5791C"/>
    <w:rsid w:val="00C66290"/>
    <w:rsid w:val="00C71FC6"/>
    <w:rsid w:val="00C72B7A"/>
    <w:rsid w:val="00C973F2"/>
    <w:rsid w:val="00CA02B7"/>
    <w:rsid w:val="00CA304C"/>
    <w:rsid w:val="00CA70E8"/>
    <w:rsid w:val="00CA774A"/>
    <w:rsid w:val="00CB176C"/>
    <w:rsid w:val="00CC11B0"/>
    <w:rsid w:val="00CE21A6"/>
    <w:rsid w:val="00CF7E36"/>
    <w:rsid w:val="00D05784"/>
    <w:rsid w:val="00D15CFF"/>
    <w:rsid w:val="00D20DBE"/>
    <w:rsid w:val="00D22F83"/>
    <w:rsid w:val="00D34DF2"/>
    <w:rsid w:val="00D3708D"/>
    <w:rsid w:val="00D40426"/>
    <w:rsid w:val="00D476C2"/>
    <w:rsid w:val="00D56302"/>
    <w:rsid w:val="00D57C96"/>
    <w:rsid w:val="00D72243"/>
    <w:rsid w:val="00D91203"/>
    <w:rsid w:val="00D95174"/>
    <w:rsid w:val="00D96B73"/>
    <w:rsid w:val="00DA6F36"/>
    <w:rsid w:val="00DB03D5"/>
    <w:rsid w:val="00DB596E"/>
    <w:rsid w:val="00DB7773"/>
    <w:rsid w:val="00DC00EA"/>
    <w:rsid w:val="00DC79CA"/>
    <w:rsid w:val="00DE0034"/>
    <w:rsid w:val="00E12076"/>
    <w:rsid w:val="00E25395"/>
    <w:rsid w:val="00E32F7E"/>
    <w:rsid w:val="00E67D6B"/>
    <w:rsid w:val="00E7036F"/>
    <w:rsid w:val="00E72D49"/>
    <w:rsid w:val="00E75793"/>
    <w:rsid w:val="00E7593C"/>
    <w:rsid w:val="00E7678A"/>
    <w:rsid w:val="00E935F1"/>
    <w:rsid w:val="00E94A81"/>
    <w:rsid w:val="00EA1FFB"/>
    <w:rsid w:val="00EB048E"/>
    <w:rsid w:val="00ED1023"/>
    <w:rsid w:val="00EE34DF"/>
    <w:rsid w:val="00EF0B0D"/>
    <w:rsid w:val="00EF2F89"/>
    <w:rsid w:val="00EF689C"/>
    <w:rsid w:val="00F064A0"/>
    <w:rsid w:val="00F1237A"/>
    <w:rsid w:val="00F22CBD"/>
    <w:rsid w:val="00F321B6"/>
    <w:rsid w:val="00F45372"/>
    <w:rsid w:val="00F560F7"/>
    <w:rsid w:val="00F6334D"/>
    <w:rsid w:val="00F745F4"/>
    <w:rsid w:val="00F95499"/>
    <w:rsid w:val="00FA49AB"/>
    <w:rsid w:val="00FB1BCD"/>
    <w:rsid w:val="00FC6B81"/>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8314">
      <w:bodyDiv w:val="1"/>
      <w:marLeft w:val="0"/>
      <w:marRight w:val="0"/>
      <w:marTop w:val="0"/>
      <w:marBottom w:val="0"/>
      <w:divBdr>
        <w:top w:val="none" w:sz="0" w:space="0" w:color="auto"/>
        <w:left w:val="none" w:sz="0" w:space="0" w:color="auto"/>
        <w:bottom w:val="none" w:sz="0" w:space="0" w:color="auto"/>
        <w:right w:val="none" w:sz="0" w:space="0" w:color="auto"/>
      </w:divBdr>
    </w:div>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4294-14F4-42AC-ADE8-BFB2D5F4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4</TotalTime>
  <Pages>6</Pages>
  <Words>2941</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OERTEL Romy</cp:lastModifiedBy>
  <cp:revision>7</cp:revision>
  <cp:lastPrinted>2016-10-19T09:41:00Z</cp:lastPrinted>
  <dcterms:created xsi:type="dcterms:W3CDTF">2016-08-04T13:36:00Z</dcterms:created>
  <dcterms:modified xsi:type="dcterms:W3CDTF">2016-10-19T09:42:00Z</dcterms:modified>
</cp:coreProperties>
</file>