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3224E3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20C2B">
              <w:t>F</w:t>
            </w:r>
            <w:r>
              <w:t>/4</w:t>
            </w:r>
            <w:r w:rsidR="00A20C2B">
              <w:t>4</w:t>
            </w:r>
            <w:r>
              <w:t>/</w:t>
            </w:r>
            <w:bookmarkStart w:id="0" w:name="Code"/>
            <w:bookmarkEnd w:id="0"/>
            <w:r w:rsidR="008500EC">
              <w:t>21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1508D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8500EC">
              <w:rPr>
                <w:rStyle w:val="StyleDocoriginalNotBold1"/>
                <w:spacing w:val="0"/>
              </w:rPr>
              <w:t>April 1</w:t>
            </w:r>
            <w:r w:rsidR="0001508D">
              <w:rPr>
                <w:rStyle w:val="StyleDocoriginalNotBold1"/>
                <w:spacing w:val="0"/>
              </w:rPr>
              <w:t>8</w:t>
            </w:r>
            <w:r w:rsidR="008500EC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65813">
        <w:t>fruit crop</w:t>
      </w:r>
      <w:r>
        <w:t>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A20C2B">
        <w:t>Fourth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A20C2B">
        <w:rPr>
          <w:rFonts w:cs="Arial"/>
        </w:rPr>
        <w:t>Napier</w:t>
      </w:r>
      <w:r w:rsidR="0018780B" w:rsidRPr="00CC587F">
        <w:rPr>
          <w:rFonts w:cs="Arial"/>
        </w:rPr>
        <w:t xml:space="preserve">, </w:t>
      </w:r>
      <w:r w:rsidR="00A20C2B">
        <w:rPr>
          <w:rFonts w:cs="Arial"/>
        </w:rPr>
        <w:t>New Zealand</w:t>
      </w:r>
      <w:r w:rsidR="0018780B" w:rsidRPr="00C5280D">
        <w:t>,</w:t>
      </w:r>
      <w:r w:rsidR="0018780B">
        <w:t xml:space="preserve"> April </w:t>
      </w:r>
      <w:r w:rsidR="00A20C2B">
        <w:t>29 to May 3</w:t>
      </w:r>
      <w:r w:rsidR="0018780B">
        <w:t>, 2013</w:t>
      </w:r>
    </w:p>
    <w:p w:rsidR="008500EC" w:rsidRPr="00C5280D" w:rsidRDefault="008500EC" w:rsidP="008500EC">
      <w:pPr>
        <w:pStyle w:val="Titleofdoc0"/>
      </w:pPr>
      <w:bookmarkStart w:id="3" w:name="TitleOfDoc"/>
      <w:bookmarkEnd w:id="3"/>
      <w:r>
        <w:t>revision of document tgp/14: section 2: botanical terms, subsection 3: color, definition of dot</w:t>
      </w:r>
    </w:p>
    <w:p w:rsidR="008500EC" w:rsidRPr="00C5280D" w:rsidRDefault="008500EC" w:rsidP="008500EC">
      <w:pPr>
        <w:pStyle w:val="preparedby1"/>
      </w:pPr>
      <w:bookmarkStart w:id="4" w:name="Prepared"/>
      <w:bookmarkEnd w:id="4"/>
      <w:r w:rsidRPr="009D7A64">
        <w:t>Document prepared by t</w:t>
      </w:r>
      <w:r w:rsidRPr="00C5280D">
        <w:t xml:space="preserve">he Office of the </w:t>
      </w:r>
      <w:smartTag w:uri="urn:schemas-microsoft-com:office:smarttags" w:element="place">
        <w:r w:rsidRPr="00C5280D">
          <w:t>Union</w:t>
        </w:r>
      </w:smartTag>
    </w:p>
    <w:p w:rsidR="008500EC" w:rsidRDefault="008500EC" w:rsidP="008500EC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document is to propose a definition for the term “dot” for a future revision of document TGP/14 Section 2: “Botanical Terms, Subsection 3: Color”. </w:t>
      </w:r>
    </w:p>
    <w:p w:rsidR="008500EC" w:rsidRDefault="008500EC" w:rsidP="008500EC">
      <w:pPr>
        <w:rPr>
          <w:snapToGrid w:val="0"/>
        </w:rPr>
      </w:pPr>
    </w:p>
    <w:p w:rsidR="008500EC" w:rsidRDefault="008500EC" w:rsidP="008500EC">
      <w:pPr>
        <w:rPr>
          <w:rFonts w:cs="Arial"/>
          <w:color w:val="00000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8500EC" w:rsidRDefault="008500EC" w:rsidP="008500EC">
      <w:pPr>
        <w:rPr>
          <w:rFonts w:cs="Arial"/>
          <w:color w:val="000000"/>
        </w:rPr>
      </w:pPr>
    </w:p>
    <w:p w:rsidR="008500EC" w:rsidRPr="00322838" w:rsidRDefault="008500EC" w:rsidP="008500EC">
      <w:pPr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8500EC" w:rsidRPr="00322838" w:rsidRDefault="008500EC" w:rsidP="008500EC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8500EC" w:rsidRPr="00322838" w:rsidRDefault="008500EC" w:rsidP="008500EC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8500EC" w:rsidRPr="00322838" w:rsidRDefault="008500EC" w:rsidP="008500EC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8500EC" w:rsidRPr="00322838" w:rsidRDefault="008500EC" w:rsidP="008500EC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8500EC" w:rsidRPr="00322838" w:rsidRDefault="008500EC" w:rsidP="008500EC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8500EC" w:rsidRPr="00322838" w:rsidRDefault="008500EC" w:rsidP="008500EC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8500EC" w:rsidRPr="00FF5F20" w:rsidRDefault="008500EC" w:rsidP="008500EC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8500EC" w:rsidRDefault="008500EC" w:rsidP="008500EC">
      <w:pPr>
        <w:rPr>
          <w:snapToGrid w:val="0"/>
        </w:rPr>
      </w:pPr>
    </w:p>
    <w:p w:rsidR="008500EC" w:rsidRDefault="008500EC" w:rsidP="008500EC">
      <w:pPr>
        <w:pStyle w:val="Heading1"/>
        <w:rPr>
          <w:snapToGrid w:val="0"/>
        </w:rPr>
      </w:pPr>
      <w:r>
        <w:rPr>
          <w:snapToGrid w:val="0"/>
        </w:rPr>
        <w:t>BACKGROUND</w:t>
      </w:r>
    </w:p>
    <w:p w:rsidR="008500EC" w:rsidRDefault="008500EC" w:rsidP="008500EC">
      <w:pPr>
        <w:rPr>
          <w:snapToGrid w:val="0"/>
        </w:rPr>
      </w:pPr>
    </w:p>
    <w:p w:rsidR="008500EC" w:rsidRDefault="008500EC" w:rsidP="008500EC">
      <w:pPr>
        <w:keepNext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2F6EFE">
        <w:rPr>
          <w:color w:val="000000"/>
        </w:rPr>
        <w:t>The TC</w:t>
      </w:r>
      <w:r>
        <w:rPr>
          <w:rFonts w:cs="Arial"/>
          <w:lang w:eastAsia="ja-JP"/>
        </w:rPr>
        <w:t>,</w:t>
      </w:r>
      <w:r w:rsidRPr="00FF2AF5">
        <w:rPr>
          <w:rFonts w:cs="Arial"/>
          <w:lang w:eastAsia="ja-JP"/>
        </w:rPr>
        <w:t xml:space="preserve"> at its forty-</w:t>
      </w:r>
      <w:r>
        <w:rPr>
          <w:rFonts w:cs="Arial"/>
          <w:lang w:eastAsia="ja-JP"/>
        </w:rPr>
        <w:t>ninth</w:t>
      </w:r>
      <w:r w:rsidRPr="00FF2AF5">
        <w:rPr>
          <w:rFonts w:cs="Arial"/>
          <w:lang w:eastAsia="ja-JP"/>
        </w:rPr>
        <w:t xml:space="preserve"> session held in Geneva from </w:t>
      </w:r>
      <w:r>
        <w:rPr>
          <w:rFonts w:cs="Arial"/>
          <w:lang w:eastAsia="ja-JP"/>
        </w:rPr>
        <w:t>March 18 to 20</w:t>
      </w:r>
      <w:r w:rsidRPr="00FF2AF5">
        <w:rPr>
          <w:rFonts w:cs="Arial"/>
          <w:lang w:eastAsia="ja-JP"/>
        </w:rPr>
        <w:t>, 201</w:t>
      </w:r>
      <w:r>
        <w:rPr>
          <w:rFonts w:cs="Arial"/>
          <w:lang w:eastAsia="ja-JP"/>
        </w:rPr>
        <w:t>3</w:t>
      </w:r>
      <w:r w:rsidRPr="00FF2AF5">
        <w:rPr>
          <w:rFonts w:cs="Arial"/>
          <w:lang w:eastAsia="ja-JP"/>
        </w:rPr>
        <w:t>,</w:t>
      </w:r>
      <w:r w:rsidRPr="002F6EFE">
        <w:rPr>
          <w:color w:val="000000"/>
        </w:rPr>
        <w:t xml:space="preserve"> </w:t>
      </w:r>
      <w:r>
        <w:rPr>
          <w:color w:val="000000"/>
        </w:rPr>
        <w:t xml:space="preserve">and the </w:t>
      </w:r>
      <w:r w:rsidRPr="00D671B7">
        <w:t>CAJ</w:t>
      </w:r>
      <w:r>
        <w:t>, at its sixty</w:t>
      </w:r>
      <w:r>
        <w:noBreakHyphen/>
        <w:t>seventh session, held in Geneva, on March 21, 2013,</w:t>
      </w:r>
      <w:r w:rsidRPr="00D671B7">
        <w:t xml:space="preserve"> </w:t>
      </w:r>
      <w:r>
        <w:t xml:space="preserve">agreed to </w:t>
      </w:r>
      <w:r w:rsidRPr="00B22F6D">
        <w:rPr>
          <w:color w:val="000000"/>
        </w:rPr>
        <w:t xml:space="preserve">invite </w:t>
      </w:r>
      <w:r w:rsidRPr="00B22F6D">
        <w:rPr>
          <w:iCs/>
          <w:snapToGrid w:val="0"/>
        </w:rPr>
        <w:t>the Council to adopt document TGP/14/2 “Glossary of Terms Used in UPOV Documents”, at its forty-seventh session, to be held on October</w:t>
      </w:r>
      <w:r>
        <w:rPr>
          <w:iCs/>
          <w:snapToGrid w:val="0"/>
        </w:rPr>
        <w:t> </w:t>
      </w:r>
      <w:r w:rsidRPr="00B22F6D">
        <w:rPr>
          <w:iCs/>
          <w:snapToGrid w:val="0"/>
        </w:rPr>
        <w:t>24, 2013</w:t>
      </w:r>
      <w:r>
        <w:rPr>
          <w:iCs/>
          <w:snapToGrid w:val="0"/>
        </w:rPr>
        <w:t xml:space="preserve"> </w:t>
      </w:r>
      <w:r>
        <w:rPr>
          <w:rFonts w:cs="Arial"/>
        </w:rPr>
        <w:t>(see document TC/49/41</w:t>
      </w:r>
      <w:r w:rsidRPr="00FF2AF5">
        <w:rPr>
          <w:rFonts w:cs="Arial"/>
        </w:rPr>
        <w:t xml:space="preserve"> “Repor</w:t>
      </w:r>
      <w:r>
        <w:rPr>
          <w:rFonts w:cs="Arial"/>
        </w:rPr>
        <w:t>t on the Conclusions”, paragraphs 29 and 30, and document CAJ/67/14</w:t>
      </w:r>
      <w:r w:rsidRPr="00FF2AF5">
        <w:rPr>
          <w:rFonts w:cs="Arial"/>
        </w:rPr>
        <w:t xml:space="preserve"> “Report on the Conclusions”, paragraph</w:t>
      </w:r>
      <w:r>
        <w:rPr>
          <w:rFonts w:cs="Arial"/>
        </w:rPr>
        <w:t xml:space="preserve"> 36)</w:t>
      </w:r>
      <w:r>
        <w:t xml:space="preserve">. </w:t>
      </w:r>
    </w:p>
    <w:p w:rsidR="008500EC" w:rsidRDefault="008500EC" w:rsidP="008500EC">
      <w:pPr>
        <w:keepNext/>
      </w:pPr>
    </w:p>
    <w:p w:rsidR="008500EC" w:rsidRDefault="008500EC" w:rsidP="008500EC">
      <w:pPr>
        <w:keepNext/>
        <w:rPr>
          <w:iCs/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Document </w:t>
      </w:r>
      <w:r w:rsidRPr="00B22F6D">
        <w:rPr>
          <w:iCs/>
          <w:snapToGrid w:val="0"/>
        </w:rPr>
        <w:t>TGP/14/2 “Glossary of Terms Used in UPOV Documents”</w:t>
      </w:r>
      <w:r>
        <w:rPr>
          <w:iCs/>
          <w:snapToGrid w:val="0"/>
        </w:rPr>
        <w:t xml:space="preserve"> contains a new “Subsection 3: Color”, and provides d</w:t>
      </w:r>
      <w:r w:rsidRPr="00450E32">
        <w:rPr>
          <w:szCs w:val="24"/>
        </w:rPr>
        <w:t>efinitions of botanical terms with an indication of whether those terms are generally used in Test Guidelines, or whether alternative terms might be more appropriate for use in Test Guidelines</w:t>
      </w:r>
      <w:r>
        <w:rPr>
          <w:iCs/>
          <w:snapToGrid w:val="0"/>
        </w:rPr>
        <w:t xml:space="preserve"> (see documents TC/49/36, Part I, 1(c), page 4). </w:t>
      </w:r>
    </w:p>
    <w:p w:rsidR="008500EC" w:rsidRDefault="008500EC" w:rsidP="008500EC">
      <w:pPr>
        <w:keepNext/>
        <w:rPr>
          <w:iCs/>
          <w:snapToGrid w:val="0"/>
        </w:rPr>
      </w:pPr>
    </w:p>
    <w:p w:rsidR="008500EC" w:rsidRDefault="008500EC" w:rsidP="008500EC">
      <w:pPr>
        <w:rPr>
          <w:rFonts w:cs="Arial"/>
        </w:rPr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Document TGP/14/2 provides a definition of the terms “spot”, “blotch” and “speckle”, but does not mention “dot”. </w:t>
      </w:r>
      <w:r w:rsidRPr="00AF342C">
        <w:t>The TC</w:t>
      </w:r>
      <w:r>
        <w:t>, at its forty-ninth session,</w:t>
      </w:r>
      <w:r w:rsidRPr="00AF342C">
        <w:t xml:space="preserve"> agreed that a definition for “dot” be provided in a future revision of document TGP/14 Section 2: “Botanical Terms, Subsection 3: Color” </w:t>
      </w:r>
      <w:r w:rsidRPr="00AF342C">
        <w:rPr>
          <w:rFonts w:cs="Arial"/>
        </w:rPr>
        <w:t>and requested the Office of the Union to prepare a draft for consideration by the TWPs at their sessions in 2013</w:t>
      </w:r>
      <w:r>
        <w:rPr>
          <w:rFonts w:cs="Arial"/>
        </w:rPr>
        <w:t xml:space="preserve"> (see document TC/49/41 “Report on the Conclusions”, paragraph 35)</w:t>
      </w:r>
      <w:r w:rsidRPr="00AF342C">
        <w:rPr>
          <w:rFonts w:cs="Arial"/>
        </w:rPr>
        <w:t>.</w:t>
      </w:r>
    </w:p>
    <w:p w:rsidR="008500EC" w:rsidRDefault="008500EC" w:rsidP="008500EC">
      <w:pPr>
        <w:rPr>
          <w:rFonts w:cs="Arial"/>
        </w:rPr>
      </w:pPr>
    </w:p>
    <w:p w:rsidR="008500EC" w:rsidRPr="00AF342C" w:rsidRDefault="008500EC" w:rsidP="008500EC"/>
    <w:p w:rsidR="008500EC" w:rsidRDefault="008500EC" w:rsidP="008500EC">
      <w:pPr>
        <w:pStyle w:val="Heading1"/>
        <w:keepNext/>
        <w:rPr>
          <w:snapToGrid w:val="0"/>
        </w:rPr>
      </w:pPr>
      <w:r>
        <w:rPr>
          <w:snapToGrid w:val="0"/>
        </w:rPr>
        <w:lastRenderedPageBreak/>
        <w:t>EXAMPLES of use OF DOT AND SPOT</w:t>
      </w:r>
    </w:p>
    <w:p w:rsidR="008500EC" w:rsidRDefault="008500EC" w:rsidP="008500EC">
      <w:pPr>
        <w:keepNext/>
      </w:pPr>
    </w:p>
    <w:p w:rsidR="008500EC" w:rsidRDefault="008500EC" w:rsidP="008500EC">
      <w:pPr>
        <w:keepNext/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A search of the UPOV Test Guidelines presents 67 results on the use of the </w:t>
      </w:r>
      <w:r>
        <w:t>term “dot” in Test Guidelines. The following characteristics are examples on the use of “dot” where the term “spot” is also used:</w:t>
      </w:r>
    </w:p>
    <w:p w:rsidR="008500EC" w:rsidRDefault="008500EC" w:rsidP="008500EC">
      <w:pPr>
        <w:keepNext/>
        <w:rPr>
          <w:snapToGrid w:val="0"/>
        </w:rPr>
      </w:pPr>
    </w:p>
    <w:p w:rsidR="008500EC" w:rsidRPr="00C24147" w:rsidRDefault="008500EC" w:rsidP="008500EC">
      <w:pPr>
        <w:pStyle w:val="Header"/>
        <w:rPr>
          <w:rFonts w:cs="Arial"/>
          <w:lang w:val="it-CH"/>
        </w:rPr>
      </w:pPr>
      <w:r w:rsidRPr="00C24147">
        <w:rPr>
          <w:rFonts w:cs="Arial"/>
          <w:spacing w:val="10"/>
          <w:lang w:val="it-CH"/>
        </w:rPr>
        <w:t>TG/28/9 Corr.</w:t>
      </w:r>
    </w:p>
    <w:p w:rsidR="008500EC" w:rsidRDefault="008500EC" w:rsidP="008500EC">
      <w:pPr>
        <w:pStyle w:val="Header"/>
        <w:rPr>
          <w:rFonts w:cs="Arial"/>
          <w:lang w:val="it-CH"/>
        </w:rPr>
      </w:pPr>
      <w:r w:rsidRPr="00C24147">
        <w:rPr>
          <w:rFonts w:cs="Arial"/>
          <w:lang w:val="it-CH"/>
        </w:rPr>
        <w:t>Zonal Pelargonium, Ivy-leaved Pelargonium/Géranium lierre, Pelargonium zonale/</w:t>
      </w:r>
      <w:r w:rsidRPr="00C24147">
        <w:rPr>
          <w:rFonts w:cs="Arial"/>
          <w:lang w:val="it-CH"/>
        </w:rPr>
        <w:br/>
        <w:t>Zonal-Pelargonie, Efeupelargonie, Efeublättrige Pelargonie/Geranio, 2009-04-01 + 2009-10-27</w:t>
      </w:r>
    </w:p>
    <w:p w:rsidR="008500EC" w:rsidRPr="00C24147" w:rsidRDefault="008500EC" w:rsidP="008500EC">
      <w:pPr>
        <w:pStyle w:val="Header"/>
        <w:rPr>
          <w:rFonts w:cs="Arial"/>
          <w:lang w:val="it-CH"/>
        </w:rPr>
      </w:pPr>
    </w:p>
    <w:tbl>
      <w:tblPr>
        <w:tblW w:w="9640" w:type="dxa"/>
        <w:jc w:val="center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1841"/>
        <w:gridCol w:w="1984"/>
        <w:gridCol w:w="1843"/>
        <w:gridCol w:w="1843"/>
        <w:gridCol w:w="568"/>
        <w:gridCol w:w="425"/>
      </w:tblGrid>
      <w:tr w:rsidR="0001508D" w:rsidRPr="0046224D" w:rsidTr="0001508D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</w:tcBorders>
          </w:tcPr>
          <w:p w:rsidR="0001508D" w:rsidRPr="0046224D" w:rsidRDefault="0001508D" w:rsidP="005D1523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55.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01508D" w:rsidRPr="0046224D" w:rsidRDefault="0001508D" w:rsidP="005D1523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1508D" w:rsidRPr="0046224D" w:rsidRDefault="0001508D" w:rsidP="005D1523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>Lower</w:t>
            </w:r>
            <w:r w:rsidRPr="0046224D">
              <w:rPr>
                <w:rFonts w:cs="Arial"/>
                <w:b/>
                <w:color w:val="000000"/>
                <w:sz w:val="18"/>
                <w:szCs w:val="18"/>
              </w:rPr>
              <w:t xml:space="preserve"> petal: type of marking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1508D" w:rsidRPr="0001508D" w:rsidRDefault="0001508D" w:rsidP="005D1523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 xml:space="preserve">Pétale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inférieur</w:t>
            </w: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> : type d’ornementations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1508D" w:rsidRPr="0046224D" w:rsidRDefault="0001508D" w:rsidP="005D1523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  <w:lang w:val="de-DE"/>
              </w:rPr>
              <w:t>Unteres</w:t>
            </w:r>
            <w:r w:rsidRPr="0046224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Blütenblatt: Art der Zeichnung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1508D" w:rsidRPr="0046224D" w:rsidRDefault="0001508D" w:rsidP="005D1523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 xml:space="preserve">Pétalo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es-ES_tradnl"/>
              </w:rPr>
              <w:t>inferior</w:t>
            </w: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>: tipo de manchas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01508D" w:rsidRPr="0046224D" w:rsidRDefault="0001508D" w:rsidP="005D1523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01508D" w:rsidRPr="0046224D" w:rsidRDefault="0001508D" w:rsidP="005D1523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8500EC" w:rsidRPr="0046224D" w:rsidTr="0001508D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8500EC" w:rsidRPr="0046224D" w:rsidRDefault="008500EC" w:rsidP="005D1523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PQ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(b)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only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46224D">
              <w:rPr>
                <w:rFonts w:cs="Arial"/>
                <w:sz w:val="18"/>
                <w:szCs w:val="18"/>
                <w:lang w:val="fr-FR"/>
              </w:rPr>
              <w:t>stries</w:t>
            </w:r>
            <w:proofErr w:type="gramEnd"/>
            <w:r w:rsidRPr="0046224D">
              <w:rPr>
                <w:rFonts w:cs="Arial"/>
                <w:sz w:val="18"/>
                <w:szCs w:val="18"/>
                <w:lang w:val="fr-FR"/>
              </w:rPr>
              <w:t xml:space="preserve"> seulement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nur gestreift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rayas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500EC" w:rsidRPr="0046224D" w:rsidRDefault="008500EC" w:rsidP="005D1523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</w:tr>
      <w:tr w:rsidR="008500EC" w:rsidRPr="0046224D" w:rsidTr="0001508D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(c)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dots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points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Punkte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puntos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2</w:t>
            </w:r>
          </w:p>
        </w:tc>
      </w:tr>
      <w:tr w:rsidR="008500EC" w:rsidRPr="0046224D" w:rsidTr="0001508D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spot/spots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tache/taches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Fleck/Flecken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una o más manchas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3</w:t>
            </w:r>
          </w:p>
        </w:tc>
      </w:tr>
      <w:tr w:rsidR="008500EC" w:rsidRPr="0046224D" w:rsidTr="0001508D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b"/>
              <w:keepNext w:val="0"/>
              <w:tabs>
                <w:tab w:val="left" w:pos="709"/>
              </w:tabs>
              <w:spacing w:before="60" w:after="60"/>
              <w:jc w:val="center"/>
              <w:rPr>
                <w:rFonts w:ascii="Arial" w:hAnsi="Arial" w:cs="Arial"/>
                <w:noProof w:val="0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single spot only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"/>
              <w:tabs>
                <w:tab w:val="left" w:pos="709"/>
              </w:tabs>
              <w:spacing w:before="60" w:after="60"/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 xml:space="preserve">une seule tache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nur einzelner Fleck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una única mancha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8500EC" w:rsidRPr="0046224D" w:rsidRDefault="008500EC" w:rsidP="005D1523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4</w:t>
            </w:r>
          </w:p>
        </w:tc>
      </w:tr>
    </w:tbl>
    <w:p w:rsidR="008500EC" w:rsidRDefault="008500EC" w:rsidP="008500EC">
      <w:pPr>
        <w:tabs>
          <w:tab w:val="left" w:pos="709"/>
        </w:tabs>
        <w:rPr>
          <w:szCs w:val="24"/>
          <w:u w:val="single"/>
        </w:rPr>
      </w:pPr>
    </w:p>
    <w:p w:rsidR="008500EC" w:rsidRPr="00041E49" w:rsidRDefault="008500EC" w:rsidP="008500EC">
      <w:pPr>
        <w:tabs>
          <w:tab w:val="left" w:pos="709"/>
        </w:tabs>
        <w:rPr>
          <w:szCs w:val="24"/>
          <w:u w:val="single"/>
        </w:rPr>
      </w:pPr>
      <w:proofErr w:type="gramStart"/>
      <w:r w:rsidRPr="00041E49">
        <w:rPr>
          <w:szCs w:val="24"/>
          <w:u w:val="single"/>
        </w:rPr>
        <w:t>Ad.</w:t>
      </w:r>
      <w:proofErr w:type="gramEnd"/>
      <w:r w:rsidRPr="00041E49">
        <w:rPr>
          <w:szCs w:val="24"/>
          <w:u w:val="single"/>
        </w:rPr>
        <w:t xml:space="preserve"> 55:  Lower petal: type of marking</w:t>
      </w:r>
    </w:p>
    <w:p w:rsidR="008500EC" w:rsidRPr="00041E49" w:rsidRDefault="008500EC" w:rsidP="008500EC">
      <w:pPr>
        <w:pStyle w:val="Normaltg"/>
        <w:tabs>
          <w:tab w:val="clear" w:pos="1418"/>
        </w:tabs>
        <w:rPr>
          <w:szCs w:val="24"/>
        </w:rPr>
      </w:pPr>
    </w:p>
    <w:tbl>
      <w:tblPr>
        <w:tblW w:w="8930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4"/>
        <w:gridCol w:w="1843"/>
        <w:gridCol w:w="3083"/>
        <w:gridCol w:w="2020"/>
      </w:tblGrid>
      <w:tr w:rsidR="008500EC" w:rsidRPr="00041E49" w:rsidTr="005D1523">
        <w:trPr>
          <w:jc w:val="center"/>
        </w:trPr>
        <w:tc>
          <w:tcPr>
            <w:tcW w:w="1984" w:type="dxa"/>
          </w:tcPr>
          <w:p w:rsidR="008500EC" w:rsidRPr="00041E49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1F0577FB" wp14:editId="2FD8A1B1">
                  <wp:extent cx="838200" cy="914400"/>
                  <wp:effectExtent l="0" t="0" r="0" b="0"/>
                  <wp:docPr id="6" name="Picture 6" descr="Zeich_Petale_oh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ich_Petale_oh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500EC" w:rsidRPr="00041E49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24BFBE0C" wp14:editId="6AEA956B">
                  <wp:extent cx="838200" cy="914400"/>
                  <wp:effectExtent l="0" t="0" r="0" b="0"/>
                  <wp:docPr id="5" name="Picture 5" descr="Zeich_Petale_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ich_Petale_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8500EC" w:rsidRPr="00041E49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44731984" wp14:editId="0EA6A929">
                  <wp:extent cx="838200" cy="914400"/>
                  <wp:effectExtent l="0" t="0" r="0" b="0"/>
                  <wp:docPr id="4" name="Picture 4" descr="Zeich_Petale_Fl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eich_Petale_Fl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2AB432F5" wp14:editId="5E13A929">
                  <wp:extent cx="838200" cy="914400"/>
                  <wp:effectExtent l="0" t="0" r="0" b="0"/>
                  <wp:docPr id="3" name="Picture 3" descr="Zeich_Petale_zwei 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eich_Petale_zwei 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8500EC" w:rsidRPr="00041E49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334D60AA" wp14:editId="3A821A46">
                  <wp:extent cx="723900" cy="866775"/>
                  <wp:effectExtent l="0" t="0" r="0" b="9525"/>
                  <wp:docPr id="2" name="Picture 2" descr="Flec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ec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0EC" w:rsidRPr="00D2170F" w:rsidTr="005D1523">
        <w:trPr>
          <w:jc w:val="center"/>
        </w:trPr>
        <w:tc>
          <w:tcPr>
            <w:tcW w:w="1984" w:type="dxa"/>
          </w:tcPr>
          <w:p w:rsidR="008500EC" w:rsidRPr="00D2170F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</w:tcPr>
          <w:p w:rsidR="008500EC" w:rsidRPr="00D2170F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83" w:type="dxa"/>
          </w:tcPr>
          <w:p w:rsidR="008500EC" w:rsidRPr="00D2170F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20" w:type="dxa"/>
          </w:tcPr>
          <w:p w:rsidR="008500EC" w:rsidRPr="00D2170F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4</w:t>
            </w:r>
          </w:p>
        </w:tc>
      </w:tr>
      <w:tr w:rsidR="008500EC" w:rsidRPr="00D2170F" w:rsidTr="005D1523">
        <w:trPr>
          <w:jc w:val="center"/>
        </w:trPr>
        <w:tc>
          <w:tcPr>
            <w:tcW w:w="1984" w:type="dxa"/>
          </w:tcPr>
          <w:p w:rsidR="008500EC" w:rsidRPr="00D2170F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only</w:t>
            </w:r>
          </w:p>
        </w:tc>
        <w:tc>
          <w:tcPr>
            <w:tcW w:w="1843" w:type="dxa"/>
          </w:tcPr>
          <w:p w:rsidR="008500EC" w:rsidRPr="00D2170F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dots</w:t>
            </w:r>
          </w:p>
        </w:tc>
        <w:tc>
          <w:tcPr>
            <w:tcW w:w="3083" w:type="dxa"/>
          </w:tcPr>
          <w:p w:rsidR="008500EC" w:rsidRPr="00D2170F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spot/spots</w:t>
            </w:r>
          </w:p>
        </w:tc>
        <w:tc>
          <w:tcPr>
            <w:tcW w:w="2020" w:type="dxa"/>
          </w:tcPr>
          <w:p w:rsidR="008500EC" w:rsidRPr="00D2170F" w:rsidRDefault="008500EC" w:rsidP="005D1523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single spot only</w:t>
            </w:r>
          </w:p>
        </w:tc>
      </w:tr>
    </w:tbl>
    <w:p w:rsidR="008500EC" w:rsidRDefault="008500EC" w:rsidP="008500EC">
      <w:pPr>
        <w:pStyle w:val="Header"/>
        <w:rPr>
          <w:lang w:val="es-ES"/>
        </w:rPr>
      </w:pPr>
    </w:p>
    <w:p w:rsidR="008500EC" w:rsidRDefault="008500EC" w:rsidP="008500EC">
      <w:pPr>
        <w:pStyle w:val="Header"/>
        <w:rPr>
          <w:lang w:val="es-ES"/>
        </w:rPr>
      </w:pPr>
    </w:p>
    <w:p w:rsidR="008500EC" w:rsidRPr="00901EED" w:rsidRDefault="008500EC" w:rsidP="008500EC">
      <w:pPr>
        <w:pStyle w:val="Header"/>
        <w:rPr>
          <w:lang w:val="es-ES"/>
        </w:rPr>
      </w:pPr>
      <w:r w:rsidRPr="00901EED">
        <w:rPr>
          <w:lang w:val="es-ES"/>
        </w:rPr>
        <w:t>TG/70/4 Rev.</w:t>
      </w:r>
    </w:p>
    <w:p w:rsidR="008500EC" w:rsidRDefault="008500EC" w:rsidP="008500EC">
      <w:pPr>
        <w:pStyle w:val="Header"/>
        <w:rPr>
          <w:lang w:val="es-ES"/>
        </w:rPr>
      </w:pPr>
      <w:proofErr w:type="spellStart"/>
      <w:r w:rsidRPr="00901EED">
        <w:rPr>
          <w:lang w:val="es-ES"/>
        </w:rPr>
        <w:t>Apricot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Abricotier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Aprikose</w:t>
      </w:r>
      <w:proofErr w:type="spellEnd"/>
      <w:r w:rsidRPr="00901EED">
        <w:rPr>
          <w:lang w:val="es-ES"/>
        </w:rPr>
        <w:t xml:space="preserve">, </w:t>
      </w:r>
      <w:proofErr w:type="spellStart"/>
      <w:r w:rsidRPr="00901EED">
        <w:rPr>
          <w:lang w:val="es-ES"/>
        </w:rPr>
        <w:t>Marille</w:t>
      </w:r>
      <w:proofErr w:type="spellEnd"/>
      <w:r w:rsidRPr="00901EED">
        <w:rPr>
          <w:lang w:val="es-ES"/>
        </w:rPr>
        <w:t>/Albaricoquero, Chabacano, Damasco, 2007-03-28</w:t>
      </w:r>
    </w:p>
    <w:p w:rsidR="008500EC" w:rsidRPr="00901EED" w:rsidRDefault="008500EC" w:rsidP="008500EC">
      <w:pPr>
        <w:pStyle w:val="Header"/>
        <w:rPr>
          <w:lang w:val="es-ES"/>
        </w:rPr>
      </w:pPr>
    </w:p>
    <w:tbl>
      <w:tblPr>
        <w:tblW w:w="96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2"/>
        <w:gridCol w:w="1824"/>
        <w:gridCol w:w="1994"/>
        <w:gridCol w:w="1843"/>
        <w:gridCol w:w="1974"/>
        <w:gridCol w:w="907"/>
        <w:gridCol w:w="246"/>
      </w:tblGrid>
      <w:tr w:rsidR="008500EC" w:rsidRPr="0046224D" w:rsidTr="005D1523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8500EC" w:rsidRPr="0046224D" w:rsidRDefault="008500EC" w:rsidP="005D1523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8500EC" w:rsidRPr="0046224D" w:rsidRDefault="008500EC" w:rsidP="005D1523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8500EC" w:rsidRPr="0046224D" w:rsidRDefault="008500EC" w:rsidP="005D1523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Fruit: pattern of over color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8500EC" w:rsidRPr="0046224D" w:rsidRDefault="008500EC" w:rsidP="005D1523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Fruit: distribution du 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00EC" w:rsidRPr="0046224D" w:rsidRDefault="008500EC" w:rsidP="005D1523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Frucht: Verteilung der Deckfarbe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8500EC" w:rsidRPr="0046224D" w:rsidRDefault="008500EC" w:rsidP="005D1523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Fruto: distribución  del color superpuesto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8500EC" w:rsidRPr="0046224D" w:rsidRDefault="008500EC" w:rsidP="005D1523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8500EC" w:rsidRPr="0046224D" w:rsidRDefault="008500EC" w:rsidP="005D1523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500EC" w:rsidRPr="0046224D" w:rsidTr="005D1523">
        <w:trPr>
          <w:cantSplit/>
          <w:jc w:val="center"/>
        </w:trPr>
        <w:tc>
          <w:tcPr>
            <w:tcW w:w="567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24D">
              <w:rPr>
                <w:rFonts w:ascii="Arial" w:hAnsi="Arial" w:cs="Arial"/>
                <w:b/>
                <w:sz w:val="18"/>
                <w:szCs w:val="18"/>
              </w:rPr>
              <w:t>PQ</w:t>
            </w:r>
          </w:p>
        </w:tc>
        <w:tc>
          <w:tcPr>
            <w:tcW w:w="322" w:type="dxa"/>
          </w:tcPr>
          <w:p w:rsidR="008500EC" w:rsidRPr="0001508D" w:rsidRDefault="0001508D" w:rsidP="005D1523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08D">
              <w:rPr>
                <w:rFonts w:ascii="Arial" w:hAnsi="Arial" w:cs="Arial"/>
                <w:b/>
                <w:sz w:val="18"/>
                <w:szCs w:val="18"/>
              </w:rPr>
              <w:t>(d)</w:t>
            </w:r>
          </w:p>
        </w:tc>
        <w:tc>
          <w:tcPr>
            <w:tcW w:w="1824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isolated flecks (spots)</w:t>
            </w:r>
          </w:p>
        </w:tc>
        <w:tc>
          <w:tcPr>
            <w:tcW w:w="1994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panachure isolée (tâches)</w:t>
            </w:r>
          </w:p>
        </w:tc>
        <w:tc>
          <w:tcPr>
            <w:tcW w:w="1843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isolierte Panaschierung (Flecken)</w:t>
            </w:r>
          </w:p>
        </w:tc>
        <w:tc>
          <w:tcPr>
            <w:tcW w:w="1974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manchas aisladas (lunares)</w:t>
            </w:r>
          </w:p>
        </w:tc>
        <w:tc>
          <w:tcPr>
            <w:tcW w:w="907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Rouge du Roussillon</w:t>
            </w:r>
          </w:p>
        </w:tc>
        <w:tc>
          <w:tcPr>
            <w:tcW w:w="246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500EC" w:rsidRPr="0046224D" w:rsidTr="005D1523">
        <w:trPr>
          <w:cantSplit/>
          <w:jc w:val="center"/>
        </w:trPr>
        <w:tc>
          <w:tcPr>
            <w:tcW w:w="567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solid flush</w:t>
            </w:r>
          </w:p>
        </w:tc>
        <w:tc>
          <w:tcPr>
            <w:tcW w:w="1994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en plages continues</w:t>
            </w:r>
          </w:p>
        </w:tc>
        <w:tc>
          <w:tcPr>
            <w:tcW w:w="1843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ganzflächig</w:t>
            </w:r>
          </w:p>
        </w:tc>
        <w:tc>
          <w:tcPr>
            <w:tcW w:w="1974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tono uniforme</w:t>
            </w:r>
          </w:p>
        </w:tc>
        <w:tc>
          <w:tcPr>
            <w:tcW w:w="907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Bergeron</w:t>
            </w:r>
          </w:p>
        </w:tc>
        <w:tc>
          <w:tcPr>
            <w:tcW w:w="246" w:type="dxa"/>
          </w:tcPr>
          <w:p w:rsidR="008500EC" w:rsidRPr="0046224D" w:rsidRDefault="008500EC" w:rsidP="005D1523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500EC" w:rsidRPr="0046224D" w:rsidTr="005D1523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covered all over with very small dots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totalement recouvert avec de très petits points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überall sehr fein gepunktet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cubierto con puntos muy pequeños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Moniquí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8500EC" w:rsidRPr="0046224D" w:rsidRDefault="008500EC" w:rsidP="005D1523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8500EC" w:rsidRDefault="008500EC" w:rsidP="008500EC">
      <w:pPr>
        <w:pStyle w:val="Header"/>
        <w:jc w:val="left"/>
        <w:rPr>
          <w:lang w:val="it-CH"/>
        </w:rPr>
      </w:pPr>
    </w:p>
    <w:p w:rsidR="008500EC" w:rsidRDefault="008500EC" w:rsidP="008500EC">
      <w:pPr>
        <w:pStyle w:val="Header"/>
        <w:jc w:val="left"/>
        <w:rPr>
          <w:lang w:val="it-CH"/>
        </w:rPr>
      </w:pPr>
      <w:r>
        <w:rPr>
          <w:lang w:val="it-CH"/>
        </w:rPr>
        <w:fldChar w:fldCharType="begin"/>
      </w:r>
      <w:r>
        <w:rPr>
          <w:lang w:val="it-CH"/>
        </w:rPr>
        <w:instrText xml:space="preserve"> AUTONUM  </w:instrText>
      </w:r>
      <w:r>
        <w:rPr>
          <w:lang w:val="it-CH"/>
        </w:rPr>
        <w:fldChar w:fldCharType="end"/>
      </w:r>
      <w:r>
        <w:rPr>
          <w:lang w:val="it-CH"/>
        </w:rPr>
        <w:tab/>
        <w:t xml:space="preserve">Different translations for the terms “dot” and “spot” were found in all UPOV languages and among the different characteristics. </w:t>
      </w:r>
    </w:p>
    <w:p w:rsidR="008500EC" w:rsidRDefault="008500EC" w:rsidP="008500EC">
      <w:pPr>
        <w:pStyle w:val="Header"/>
        <w:jc w:val="left"/>
      </w:pPr>
    </w:p>
    <w:p w:rsidR="008500EC" w:rsidRDefault="008500EC" w:rsidP="008500EC">
      <w:pPr>
        <w:pStyle w:val="Heading1"/>
      </w:pPr>
      <w:r>
        <w:t>PROPOSAL FOR DEFINITION of DOT</w:t>
      </w:r>
    </w:p>
    <w:p w:rsidR="008500EC" w:rsidRDefault="008500EC" w:rsidP="008500EC">
      <w:pPr>
        <w:pStyle w:val="Header"/>
        <w:jc w:val="left"/>
      </w:pPr>
    </w:p>
    <w:p w:rsidR="008500EC" w:rsidRDefault="008500EC" w:rsidP="008500EC">
      <w:pPr>
        <w:pStyle w:val="Header"/>
        <w:jc w:val="both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On the basis of the existing use of the term “dot” in Test Guidelines, it is proposed to add the following definition of “dot”, for inclusion in a future revision of document TGP/14, Section 4</w:t>
      </w:r>
      <w:r w:rsidR="00C02FA8">
        <w:t>.</w:t>
      </w:r>
      <w:r>
        <w:t>2</w:t>
      </w:r>
      <w:r w:rsidR="00C02FA8">
        <w:t>.</w:t>
      </w:r>
      <w:r>
        <w:t>1</w:t>
      </w:r>
      <w:r w:rsidR="00C02FA8">
        <w:t>.</w:t>
      </w:r>
      <w:bookmarkStart w:id="5" w:name="_GoBack"/>
      <w:bookmarkEnd w:id="5"/>
      <w:r>
        <w:t>2.</w:t>
      </w:r>
    </w:p>
    <w:p w:rsidR="008500EC" w:rsidRDefault="008500EC" w:rsidP="008500EC">
      <w:pPr>
        <w:pStyle w:val="Header"/>
        <w:jc w:val="both"/>
      </w:pPr>
    </w:p>
    <w:p w:rsidR="008500EC" w:rsidRDefault="008500EC" w:rsidP="008500EC">
      <w:pPr>
        <w:pStyle w:val="Heading5"/>
        <w:ind w:firstLine="0"/>
      </w:pPr>
      <w:bookmarkStart w:id="6" w:name="_Toc323031857"/>
      <w:bookmarkStart w:id="7" w:name="_Toc333313628"/>
      <w:bookmarkStart w:id="8" w:name="_Toc346525377"/>
      <w:bookmarkStart w:id="9" w:name="_Toc346525505"/>
      <w:r>
        <w:t>“</w:t>
      </w:r>
      <w:r w:rsidRPr="00C20E9B">
        <w:t>4.2.1.2</w:t>
      </w:r>
      <w:r w:rsidRPr="00C20E9B">
        <w:tab/>
        <w:t>Spotted/ Blotched / Speckled</w:t>
      </w:r>
      <w:bookmarkEnd w:id="6"/>
      <w:bookmarkEnd w:id="7"/>
      <w:bookmarkEnd w:id="8"/>
      <w:bookmarkEnd w:id="9"/>
    </w:p>
    <w:p w:rsidR="00C02FA8" w:rsidRPr="00C02FA8" w:rsidRDefault="00C02FA8" w:rsidP="00C02FA8"/>
    <w:p w:rsidR="008500EC" w:rsidRPr="00C20E9B" w:rsidRDefault="008500EC" w:rsidP="008500EC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Spot:</w:t>
      </w:r>
      <w:r w:rsidRPr="00C20E9B">
        <w:rPr>
          <w:sz w:val="18"/>
          <w:szCs w:val="18"/>
        </w:rPr>
        <w:tab/>
        <w:t>sharp, clear outlined round or nearly round shaped colored area.</w:t>
      </w:r>
    </w:p>
    <w:p w:rsidR="008500EC" w:rsidRPr="00F50692" w:rsidRDefault="008500EC" w:rsidP="008500EC">
      <w:pPr>
        <w:tabs>
          <w:tab w:val="left" w:pos="2127"/>
        </w:tabs>
        <w:ind w:left="2127" w:hanging="993"/>
        <w:rPr>
          <w:sz w:val="18"/>
          <w:szCs w:val="18"/>
          <w:u w:val="single"/>
        </w:rPr>
      </w:pPr>
      <w:r w:rsidRPr="00F50692">
        <w:rPr>
          <w:sz w:val="18"/>
          <w:szCs w:val="18"/>
          <w:highlight w:val="lightGray"/>
          <w:u w:val="single"/>
        </w:rPr>
        <w:t>Dot:</w:t>
      </w:r>
      <w:r w:rsidRPr="00F50692">
        <w:rPr>
          <w:sz w:val="18"/>
          <w:szCs w:val="18"/>
          <w:highlight w:val="lightGray"/>
          <w:u w:val="single"/>
        </w:rPr>
        <w:tab/>
        <w:t>very small sharp, clear outlined round or nearly round shaped colored area (smaller than spot).</w:t>
      </w:r>
    </w:p>
    <w:p w:rsidR="008500EC" w:rsidRPr="00C20E9B" w:rsidRDefault="008500EC" w:rsidP="008500EC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Blotch:</w:t>
      </w:r>
      <w:r w:rsidRPr="00C20E9B">
        <w:rPr>
          <w:sz w:val="18"/>
          <w:szCs w:val="18"/>
        </w:rPr>
        <w:tab/>
        <w:t>sharp, clear outlined irregular shaped colored area.</w:t>
      </w:r>
    </w:p>
    <w:p w:rsidR="008500EC" w:rsidRPr="00C20E9B" w:rsidRDefault="008500EC" w:rsidP="008500EC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Speckle:</w:t>
      </w:r>
      <w:r w:rsidRPr="00C20E9B">
        <w:rPr>
          <w:sz w:val="18"/>
          <w:szCs w:val="18"/>
        </w:rPr>
        <w:tab/>
        <w:t>diffuse outlined irregular shaped colored area.</w:t>
      </w:r>
      <w:r>
        <w:rPr>
          <w:sz w:val="18"/>
          <w:szCs w:val="18"/>
        </w:rPr>
        <w:t>”</w:t>
      </w:r>
    </w:p>
    <w:p w:rsidR="008500EC" w:rsidRDefault="008500EC" w:rsidP="008500EC">
      <w:pPr>
        <w:pStyle w:val="Header"/>
        <w:jc w:val="both"/>
      </w:pPr>
    </w:p>
    <w:p w:rsidR="008500EC" w:rsidRDefault="008500EC" w:rsidP="008500EC">
      <w:pPr>
        <w:pStyle w:val="Header"/>
        <w:tabs>
          <w:tab w:val="left" w:pos="5387"/>
        </w:tabs>
        <w:ind w:left="4820"/>
        <w:jc w:val="both"/>
      </w:pPr>
      <w:r w:rsidRPr="007B1C75">
        <w:rPr>
          <w:i/>
        </w:rPr>
        <w:lastRenderedPageBreak/>
        <w:fldChar w:fldCharType="begin"/>
      </w:r>
      <w:r w:rsidRPr="007B1C75">
        <w:rPr>
          <w:i/>
        </w:rPr>
        <w:instrText xml:space="preserve"> AUTONUM  </w:instrText>
      </w:r>
      <w:r w:rsidRPr="007B1C75">
        <w:rPr>
          <w:i/>
        </w:rPr>
        <w:fldChar w:fldCharType="end"/>
      </w:r>
      <w:r w:rsidRPr="007B1C75">
        <w:rPr>
          <w:i/>
        </w:rPr>
        <w:tab/>
        <w:t>The TW</w:t>
      </w:r>
      <w:r>
        <w:rPr>
          <w:i/>
        </w:rPr>
        <w:t>F</w:t>
      </w:r>
      <w:r w:rsidRPr="007B1C75">
        <w:rPr>
          <w:i/>
        </w:rPr>
        <w:t xml:space="preserve"> is invited to consider the definition of dot as </w:t>
      </w:r>
      <w:r>
        <w:rPr>
          <w:i/>
        </w:rPr>
        <w:t xml:space="preserve">presented in paragraph </w:t>
      </w:r>
      <w:r w:rsidR="00194B75">
        <w:rPr>
          <w:i/>
        </w:rPr>
        <w:t>8</w:t>
      </w:r>
      <w:r w:rsidRPr="007B1C75">
        <w:rPr>
          <w:i/>
        </w:rPr>
        <w:t xml:space="preserve">, for inclusion in </w:t>
      </w:r>
      <w:r>
        <w:rPr>
          <w:i/>
        </w:rPr>
        <w:t>a</w:t>
      </w:r>
      <w:r w:rsidRPr="007B1C75">
        <w:rPr>
          <w:i/>
        </w:rPr>
        <w:t xml:space="preserve"> future revision of document TGP/14</w:t>
      </w:r>
      <w:r>
        <w:rPr>
          <w:i/>
        </w:rPr>
        <w:t>, Section 4.2.1.2.</w:t>
      </w:r>
    </w:p>
    <w:p w:rsidR="008500EC" w:rsidRPr="008161DA" w:rsidRDefault="008500EC" w:rsidP="008500EC">
      <w:pPr>
        <w:pStyle w:val="Header"/>
        <w:jc w:val="both"/>
      </w:pPr>
    </w:p>
    <w:p w:rsidR="008500EC" w:rsidRDefault="008500EC" w:rsidP="008500E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p w:rsidR="00DF474C" w:rsidRDefault="00DF474C" w:rsidP="008500EC">
      <w:pPr>
        <w:pStyle w:val="Titleofdoc0"/>
        <w:rPr>
          <w:snapToGrid w:val="0"/>
        </w:rPr>
      </w:pPr>
    </w:p>
    <w:sectPr w:rsidR="00DF474C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EC" w:rsidRDefault="008500EC" w:rsidP="006655D3">
      <w:r>
        <w:separator/>
      </w:r>
    </w:p>
    <w:p w:rsidR="008500EC" w:rsidRDefault="008500EC" w:rsidP="006655D3"/>
    <w:p w:rsidR="008500EC" w:rsidRDefault="008500EC" w:rsidP="006655D3"/>
  </w:endnote>
  <w:endnote w:type="continuationSeparator" w:id="0">
    <w:p w:rsidR="008500EC" w:rsidRDefault="008500EC" w:rsidP="006655D3">
      <w:r>
        <w:separator/>
      </w:r>
    </w:p>
    <w:p w:rsidR="008500EC" w:rsidRPr="00194B75" w:rsidRDefault="008500EC">
      <w:pPr>
        <w:pStyle w:val="Footer"/>
        <w:spacing w:after="60"/>
        <w:rPr>
          <w:sz w:val="18"/>
          <w:lang w:val="fr-FR"/>
        </w:rPr>
      </w:pPr>
      <w:r w:rsidRPr="00194B75">
        <w:rPr>
          <w:sz w:val="18"/>
          <w:lang w:val="fr-FR"/>
        </w:rPr>
        <w:t>[Suite de la note de la page précédente]</w:t>
      </w:r>
    </w:p>
    <w:p w:rsidR="008500EC" w:rsidRPr="00194B75" w:rsidRDefault="008500EC" w:rsidP="006655D3">
      <w:pPr>
        <w:rPr>
          <w:lang w:val="fr-FR"/>
        </w:rPr>
      </w:pPr>
    </w:p>
    <w:p w:rsidR="008500EC" w:rsidRPr="00194B75" w:rsidRDefault="008500EC" w:rsidP="006655D3">
      <w:pPr>
        <w:rPr>
          <w:lang w:val="fr-FR"/>
        </w:rPr>
      </w:pPr>
    </w:p>
  </w:endnote>
  <w:endnote w:type="continuationNotice" w:id="1">
    <w:p w:rsidR="008500EC" w:rsidRPr="00194B75" w:rsidRDefault="008500EC" w:rsidP="006655D3">
      <w:pPr>
        <w:rPr>
          <w:lang w:val="fr-FR"/>
        </w:rPr>
      </w:pPr>
      <w:r w:rsidRPr="00194B75">
        <w:rPr>
          <w:lang w:val="fr-FR"/>
        </w:rPr>
        <w:t>[Suite de la note page suivante]</w:t>
      </w:r>
    </w:p>
    <w:p w:rsidR="008500EC" w:rsidRPr="00194B75" w:rsidRDefault="008500EC" w:rsidP="006655D3">
      <w:pPr>
        <w:rPr>
          <w:lang w:val="fr-FR"/>
        </w:rPr>
      </w:pPr>
    </w:p>
    <w:p w:rsidR="008500EC" w:rsidRPr="00194B75" w:rsidRDefault="008500E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EC" w:rsidRDefault="008500EC" w:rsidP="006655D3">
      <w:r>
        <w:separator/>
      </w:r>
    </w:p>
  </w:footnote>
  <w:footnote w:type="continuationSeparator" w:id="0">
    <w:p w:rsidR="008500EC" w:rsidRDefault="008500EC" w:rsidP="006655D3">
      <w:r>
        <w:separator/>
      </w:r>
    </w:p>
  </w:footnote>
  <w:footnote w:type="continuationNotice" w:id="1">
    <w:p w:rsidR="008500EC" w:rsidRPr="00AB530F" w:rsidRDefault="008500E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0B" w:rsidRPr="00832298" w:rsidRDefault="00C2250B" w:rsidP="00832298">
    <w:pPr>
      <w:pStyle w:val="Header"/>
    </w:pPr>
    <w:r w:rsidRPr="00832298">
      <w:t>TW</w:t>
    </w:r>
    <w:r>
      <w:t>F</w:t>
    </w:r>
    <w:r w:rsidRPr="00832298">
      <w:t>/4</w:t>
    </w:r>
    <w:r>
      <w:t>4</w:t>
    </w:r>
    <w:r w:rsidRPr="00832298">
      <w:t>/</w:t>
    </w:r>
    <w:r w:rsidR="008500EC">
      <w:t>21</w:t>
    </w:r>
  </w:p>
  <w:p w:rsidR="00C2250B" w:rsidRPr="00C5280D" w:rsidRDefault="00C2250B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02FA8">
      <w:rPr>
        <w:noProof/>
      </w:rPr>
      <w:t>2</w:t>
    </w:r>
    <w:r w:rsidRPr="00832298">
      <w:fldChar w:fldCharType="end"/>
    </w:r>
  </w:p>
  <w:p w:rsidR="00C2250B" w:rsidRPr="00C5280D" w:rsidRDefault="00C2250B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EC"/>
    <w:rsid w:val="00010CF3"/>
    <w:rsid w:val="00011E27"/>
    <w:rsid w:val="000148BC"/>
    <w:rsid w:val="0001508D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4B75"/>
    <w:rsid w:val="0021332C"/>
    <w:rsid w:val="00213982"/>
    <w:rsid w:val="0024416D"/>
    <w:rsid w:val="00262714"/>
    <w:rsid w:val="002800A0"/>
    <w:rsid w:val="002801B3"/>
    <w:rsid w:val="00281060"/>
    <w:rsid w:val="0028481F"/>
    <w:rsid w:val="002940E8"/>
    <w:rsid w:val="002A6E50"/>
    <w:rsid w:val="002C256A"/>
    <w:rsid w:val="00305A7F"/>
    <w:rsid w:val="003152FE"/>
    <w:rsid w:val="003224E3"/>
    <w:rsid w:val="00327436"/>
    <w:rsid w:val="003375FA"/>
    <w:rsid w:val="00344BD6"/>
    <w:rsid w:val="0035528D"/>
    <w:rsid w:val="00361821"/>
    <w:rsid w:val="003B3894"/>
    <w:rsid w:val="003D227C"/>
    <w:rsid w:val="003D2B4D"/>
    <w:rsid w:val="004015BE"/>
    <w:rsid w:val="00444A88"/>
    <w:rsid w:val="00474DA4"/>
    <w:rsid w:val="00476B4D"/>
    <w:rsid w:val="004805FA"/>
    <w:rsid w:val="004C7FE9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500EC"/>
    <w:rsid w:val="00867AC1"/>
    <w:rsid w:val="00876C58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15C36"/>
    <w:rsid w:val="00A20C2B"/>
    <w:rsid w:val="00A24C10"/>
    <w:rsid w:val="00A42AC3"/>
    <w:rsid w:val="00A430CF"/>
    <w:rsid w:val="00A54309"/>
    <w:rsid w:val="00A65813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2FA8"/>
    <w:rsid w:val="00C061B6"/>
    <w:rsid w:val="00C2250B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2522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500EC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8500EC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8500EC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locked/>
    <w:rsid w:val="008500EC"/>
    <w:rPr>
      <w:rFonts w:ascii="Arial" w:hAnsi="Arial"/>
    </w:rPr>
  </w:style>
  <w:style w:type="paragraph" w:customStyle="1" w:styleId="Normaltg">
    <w:name w:val="Normaltg"/>
    <w:basedOn w:val="Normal"/>
    <w:rsid w:val="008500EC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500EC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8500EC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8500EC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locked/>
    <w:rsid w:val="008500EC"/>
    <w:rPr>
      <w:rFonts w:ascii="Arial" w:hAnsi="Arial"/>
    </w:rPr>
  </w:style>
  <w:style w:type="paragraph" w:customStyle="1" w:styleId="Normaltg">
    <w:name w:val="Normaltg"/>
    <w:basedOn w:val="Normal"/>
    <w:rsid w:val="008500EC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4\Template\twf_4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twf_44</Template>
  <TotalTime>6</TotalTime>
  <Pages>3</Pages>
  <Words>733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twf_44</vt:lpstr>
    </vt:vector>
  </TitlesOfParts>
  <Company>UPOV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FAVA Alexandra</dc:creator>
  <cp:lastModifiedBy>OERTEL Romy</cp:lastModifiedBy>
  <cp:revision>5</cp:revision>
  <cp:lastPrinted>2012-11-23T13:14:00Z</cp:lastPrinted>
  <dcterms:created xsi:type="dcterms:W3CDTF">2013-04-15T13:55:00Z</dcterms:created>
  <dcterms:modified xsi:type="dcterms:W3CDTF">2013-04-18T10:37:00Z</dcterms:modified>
</cp:coreProperties>
</file>