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7F03A7" w:rsidP="006655D3">
            <w:pPr>
              <w:pStyle w:val="LogoUPOV"/>
            </w:pPr>
            <w:r>
              <w:rPr>
                <w:noProof/>
              </w:rPr>
              <w:drawing>
                <wp:inline distT="0" distB="0" distL="0" distR="0">
                  <wp:extent cx="962025" cy="450215"/>
                  <wp:effectExtent l="0" t="0" r="952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5021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F5371D" w:rsidRPr="00EB2BF0" w:rsidRDefault="00F5371D" w:rsidP="00F5371D">
            <w:pPr>
              <w:pStyle w:val="Docoriginal"/>
            </w:pPr>
            <w:r w:rsidRPr="000050F9">
              <w:t>TW</w:t>
            </w:r>
            <w:r w:rsidR="007F03A7">
              <w:t>F</w:t>
            </w:r>
            <w:r w:rsidRPr="000050F9">
              <w:t>/4</w:t>
            </w:r>
            <w:r w:rsidR="007F03A7">
              <w:t>4</w:t>
            </w:r>
            <w:r w:rsidRPr="000050F9">
              <w:t>/</w:t>
            </w:r>
            <w:r>
              <w:t>19</w:t>
            </w:r>
          </w:p>
          <w:p w:rsidR="00F5371D" w:rsidRPr="00EB2BF0" w:rsidRDefault="00F5371D" w:rsidP="00F5371D">
            <w:pPr>
              <w:pStyle w:val="Docoriginal"/>
              <w:rPr>
                <w:b w:val="0"/>
                <w:spacing w:val="0"/>
              </w:rPr>
            </w:pPr>
            <w:r w:rsidRPr="00EB2BF0">
              <w:rPr>
                <w:rStyle w:val="StyleDoclangBold"/>
                <w:b/>
                <w:bCs/>
                <w:spacing w:val="0"/>
              </w:rPr>
              <w:t>ORIGINAL:</w:t>
            </w:r>
            <w:r w:rsidRPr="00EB2BF0">
              <w:rPr>
                <w:rStyle w:val="StyleDocoriginalNotBold1"/>
                <w:spacing w:val="0"/>
              </w:rPr>
              <w:t xml:space="preserve"> </w:t>
            </w:r>
            <w:r w:rsidRPr="00EB2BF0">
              <w:rPr>
                <w:spacing w:val="0"/>
              </w:rPr>
              <w:t xml:space="preserve"> </w:t>
            </w:r>
            <w:bookmarkStart w:id="0" w:name="Original"/>
            <w:bookmarkEnd w:id="0"/>
            <w:r w:rsidRPr="00EB2BF0">
              <w:rPr>
                <w:b w:val="0"/>
                <w:spacing w:val="0"/>
              </w:rPr>
              <w:t>English</w:t>
            </w:r>
          </w:p>
          <w:p w:rsidR="000D7780" w:rsidRPr="00C5280D" w:rsidRDefault="00F5371D" w:rsidP="007A334E">
            <w:pPr>
              <w:pStyle w:val="Docoriginal"/>
            </w:pPr>
            <w:r w:rsidRPr="00EB2BF0">
              <w:rPr>
                <w:spacing w:val="0"/>
              </w:rPr>
              <w:t>DATE</w:t>
            </w:r>
            <w:r w:rsidRPr="00AD3101">
              <w:rPr>
                <w:spacing w:val="0"/>
              </w:rPr>
              <w:t xml:space="preserve">: </w:t>
            </w:r>
            <w:r w:rsidRPr="00AD3101">
              <w:rPr>
                <w:rStyle w:val="StyleDocoriginalNotBold1"/>
                <w:spacing w:val="0"/>
              </w:rPr>
              <w:t xml:space="preserve"> </w:t>
            </w:r>
            <w:bookmarkStart w:id="1" w:name="Date"/>
            <w:bookmarkEnd w:id="1"/>
            <w:r w:rsidRPr="00AD3101">
              <w:rPr>
                <w:rStyle w:val="StyleDocoriginalNotBold1"/>
                <w:spacing w:val="0"/>
              </w:rPr>
              <w:t xml:space="preserve">April </w:t>
            </w:r>
            <w:r w:rsidR="00AD3101" w:rsidRPr="00AD3101">
              <w:rPr>
                <w:rStyle w:val="StyleDocoriginalNotBold1"/>
                <w:spacing w:val="0"/>
              </w:rPr>
              <w:t>1</w:t>
            </w:r>
            <w:r w:rsidR="007A334E">
              <w:rPr>
                <w:rStyle w:val="StyleDocoriginalNotBold1"/>
                <w:spacing w:val="0"/>
              </w:rPr>
              <w:t>8</w:t>
            </w:r>
            <w:r w:rsidRPr="00AD3101">
              <w:rPr>
                <w:b w:val="0"/>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7F03A7" w:rsidRPr="00C5280D" w:rsidRDefault="007F03A7" w:rsidP="007F03A7">
      <w:pPr>
        <w:pStyle w:val="Sessiontc"/>
      </w:pPr>
      <w:r w:rsidRPr="00C5280D">
        <w:t xml:space="preserve">Technical </w:t>
      </w:r>
      <w:r>
        <w:t>working party for fruit cropS</w:t>
      </w:r>
    </w:p>
    <w:p w:rsidR="007F03A7" w:rsidRPr="00C5280D" w:rsidRDefault="007F03A7" w:rsidP="007F03A7">
      <w:pPr>
        <w:pStyle w:val="Sessiontcplacedate"/>
      </w:pPr>
      <w:bookmarkStart w:id="2" w:name="TitleOfDoc"/>
      <w:bookmarkEnd w:id="2"/>
      <w:r w:rsidRPr="00C5280D">
        <w:t>Forty-</w:t>
      </w:r>
      <w:r>
        <w:t>Fourth</w:t>
      </w:r>
      <w:r w:rsidRPr="00C5280D">
        <w:t xml:space="preserve"> Session</w:t>
      </w:r>
      <w:r w:rsidRPr="00C5280D">
        <w:br/>
      </w:r>
      <w:r>
        <w:rPr>
          <w:rFonts w:cs="Arial"/>
        </w:rPr>
        <w:t>Napier</w:t>
      </w:r>
      <w:r w:rsidRPr="00CC587F">
        <w:rPr>
          <w:rFonts w:cs="Arial"/>
        </w:rPr>
        <w:t xml:space="preserve">, </w:t>
      </w:r>
      <w:r>
        <w:rPr>
          <w:rFonts w:cs="Arial"/>
        </w:rPr>
        <w:t>New Zealand</w:t>
      </w:r>
      <w:r w:rsidRPr="00C5280D">
        <w:t>,</w:t>
      </w:r>
      <w:r>
        <w:t xml:space="preserve"> April 29 to May 3, 2013</w:t>
      </w:r>
    </w:p>
    <w:p w:rsidR="00F5371D" w:rsidRPr="00E6400E" w:rsidRDefault="00F5371D" w:rsidP="00F5371D">
      <w:pPr>
        <w:pStyle w:val="Titleofdoc0"/>
        <w:rPr>
          <w:rFonts w:cs="Arial"/>
        </w:rPr>
      </w:pPr>
      <w:r w:rsidRPr="001A5C74">
        <w:rPr>
          <w:rFonts w:cs="Arial"/>
        </w:rPr>
        <w:t>Revision of document TGP/8: Part</w:t>
      </w:r>
      <w:r w:rsidRPr="00F36F19">
        <w:rPr>
          <w:rFonts w:cs="Arial"/>
        </w:rPr>
        <w:t xml:space="preserve"> II: </w:t>
      </w:r>
      <w:r>
        <w:rPr>
          <w:rFonts w:cs="Arial"/>
        </w:rPr>
        <w:br/>
      </w:r>
      <w:r w:rsidRPr="00F36F19">
        <w:rPr>
          <w:rFonts w:cs="Arial"/>
        </w:rPr>
        <w:t>New Section: Guidance of Data Analysis for Blind Randomized Trials</w:t>
      </w:r>
    </w:p>
    <w:p w:rsidR="00F5371D" w:rsidRDefault="00F5371D" w:rsidP="00F5371D">
      <w:pPr>
        <w:pStyle w:val="preparedby1"/>
        <w:spacing w:after="0"/>
      </w:pPr>
      <w:bookmarkStart w:id="3" w:name="Prepared"/>
      <w:bookmarkEnd w:id="3"/>
      <w:r w:rsidRPr="00C2475E">
        <w:t>Document prepared</w:t>
      </w:r>
      <w:r w:rsidRPr="00C5280D">
        <w:t xml:space="preserve"> by the Office of the Union</w:t>
      </w:r>
    </w:p>
    <w:p w:rsidR="00F5371D" w:rsidRPr="00C5280D" w:rsidRDefault="00F5371D" w:rsidP="00F5371D">
      <w:pPr>
        <w:pStyle w:val="preparedby1"/>
        <w:spacing w:before="0"/>
        <w:jc w:val="both"/>
      </w:pPr>
    </w:p>
    <w:p w:rsidR="00F5371D" w:rsidRDefault="00F5371D" w:rsidP="00F5371D">
      <w:pPr>
        <w:rPr>
          <w:rFonts w:cs="Arial"/>
          <w:lang w:eastAsia="ja-JP"/>
        </w:rPr>
      </w:pPr>
      <w:r w:rsidRPr="00BD39F8">
        <w:rPr>
          <w:rFonts w:cs="Arial"/>
          <w:lang w:eastAsia="ja-JP"/>
        </w:rPr>
        <w:fldChar w:fldCharType="begin"/>
      </w:r>
      <w:r w:rsidRPr="00BD39F8">
        <w:rPr>
          <w:rFonts w:cs="Arial"/>
          <w:lang w:eastAsia="ja-JP"/>
        </w:rPr>
        <w:instrText xml:space="preserve"> AUTONUM  </w:instrText>
      </w:r>
      <w:r w:rsidRPr="00BD39F8">
        <w:rPr>
          <w:rFonts w:cs="Arial"/>
          <w:lang w:eastAsia="ja-JP"/>
        </w:rPr>
        <w:fldChar w:fldCharType="end"/>
      </w:r>
      <w:r w:rsidRPr="00BD39F8">
        <w:rPr>
          <w:rFonts w:cs="Arial"/>
          <w:lang w:eastAsia="ja-JP"/>
        </w:rPr>
        <w:tab/>
        <w:t xml:space="preserve">The purpose of this document is to </w:t>
      </w:r>
      <w:r>
        <w:rPr>
          <w:rFonts w:cs="Arial"/>
          <w:lang w:eastAsia="ja-JP"/>
        </w:rPr>
        <w:t>present draft guidance on data analysis for blind randomized trials for inclusion in a future revision of document TGP/8</w:t>
      </w:r>
      <w:r w:rsidR="003205DA">
        <w:t>.</w:t>
      </w:r>
    </w:p>
    <w:p w:rsidR="00F5371D" w:rsidRDefault="00F5371D" w:rsidP="00F5371D">
      <w:pPr>
        <w:rPr>
          <w:rFonts w:cs="Arial"/>
          <w:lang w:eastAsia="ja-JP"/>
        </w:rPr>
      </w:pPr>
    </w:p>
    <w:p w:rsidR="00F5371D" w:rsidRDefault="00F5371D" w:rsidP="00F5371D">
      <w:pPr>
        <w:rPr>
          <w:rFonts w:cs="Arial"/>
          <w:color w:val="000000"/>
        </w:rPr>
      </w:pPr>
      <w:r w:rsidRPr="00322838">
        <w:rPr>
          <w:rFonts w:cs="Arial"/>
          <w:color w:val="000000"/>
        </w:rPr>
        <w:fldChar w:fldCharType="begin"/>
      </w:r>
      <w:r w:rsidRPr="00322838">
        <w:rPr>
          <w:rFonts w:cs="Arial"/>
          <w:color w:val="000000"/>
        </w:rPr>
        <w:instrText xml:space="preserve"> AUTONUM  </w:instrText>
      </w:r>
      <w:r w:rsidRPr="00322838">
        <w:rPr>
          <w:rFonts w:cs="Arial"/>
          <w:color w:val="000000"/>
        </w:rPr>
        <w:fldChar w:fldCharType="end"/>
      </w:r>
      <w:r w:rsidRPr="00322838">
        <w:rPr>
          <w:rFonts w:cs="Arial"/>
          <w:color w:val="000000"/>
        </w:rPr>
        <w:tab/>
        <w:t>The following abbreviations are used in this document:</w:t>
      </w:r>
    </w:p>
    <w:p w:rsidR="00F5371D" w:rsidRDefault="00F5371D" w:rsidP="00F5371D">
      <w:pPr>
        <w:rPr>
          <w:rFonts w:cs="Arial"/>
          <w:color w:val="000000"/>
        </w:rPr>
      </w:pPr>
    </w:p>
    <w:p w:rsidR="00F5371D" w:rsidRPr="00322838" w:rsidRDefault="00F5371D" w:rsidP="00F5371D">
      <w:pPr>
        <w:rPr>
          <w:rFonts w:cs="Arial"/>
        </w:rPr>
      </w:pPr>
      <w:r w:rsidRPr="00322838">
        <w:rPr>
          <w:rFonts w:cs="Arial"/>
        </w:rPr>
        <w:tab/>
        <w:t>TC:</w:t>
      </w:r>
      <w:r w:rsidRPr="00322838">
        <w:rPr>
          <w:rFonts w:cs="Arial"/>
        </w:rPr>
        <w:tab/>
      </w:r>
      <w:r w:rsidRPr="00322838">
        <w:rPr>
          <w:rFonts w:cs="Arial"/>
        </w:rPr>
        <w:tab/>
        <w:t>Technical Committee</w:t>
      </w:r>
    </w:p>
    <w:p w:rsidR="00F5371D" w:rsidRPr="00322838" w:rsidRDefault="00F5371D" w:rsidP="00F5371D">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F5371D" w:rsidRPr="00322838" w:rsidRDefault="00F5371D" w:rsidP="00F5371D">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F5371D" w:rsidRPr="00322838" w:rsidRDefault="00F5371D" w:rsidP="00F5371D">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F5371D" w:rsidRPr="00322838" w:rsidRDefault="00F5371D" w:rsidP="00F5371D">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F5371D" w:rsidRPr="00322838" w:rsidRDefault="00F5371D" w:rsidP="00F5371D">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 xml:space="preserve">Technical Working Party for Ornamental Plants and </w:t>
      </w:r>
      <w:smartTag w:uri="urn:schemas-microsoft-com:office:smarttags" w:element="place">
        <w:r w:rsidRPr="00322838">
          <w:rPr>
            <w:rFonts w:eastAsia="PMingLiU" w:cs="Arial"/>
            <w:szCs w:val="24"/>
          </w:rPr>
          <w:t>Forest</w:t>
        </w:r>
      </w:smartTag>
      <w:r w:rsidRPr="00322838">
        <w:rPr>
          <w:rFonts w:eastAsia="PMingLiU" w:cs="Arial"/>
          <w:szCs w:val="24"/>
        </w:rPr>
        <w:t xml:space="preserve"> Trees</w:t>
      </w:r>
    </w:p>
    <w:p w:rsidR="00F5371D" w:rsidRPr="00322838" w:rsidRDefault="00F5371D" w:rsidP="00F5371D">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F5371D" w:rsidRPr="00322838" w:rsidRDefault="00F5371D" w:rsidP="00F5371D">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F5371D" w:rsidRDefault="00F5371D" w:rsidP="00F5371D"/>
    <w:p w:rsidR="005163AC" w:rsidRDefault="005163AC" w:rsidP="005163AC">
      <w:pPr>
        <w:autoSpaceDE w:val="0"/>
        <w:autoSpaceDN w:val="0"/>
        <w:adjustRightInd w:val="0"/>
        <w:spacing w:before="120"/>
        <w:rPr>
          <w:rFonts w:eastAsia="MS Mincho"/>
          <w:color w:val="000000"/>
          <w:szCs w:val="24"/>
          <w:lang w:eastAsia="ja-JP"/>
        </w:rPr>
      </w:pPr>
      <w:r w:rsidRPr="005623A7">
        <w:fldChar w:fldCharType="begin"/>
      </w:r>
      <w:r w:rsidRPr="005623A7">
        <w:instrText xml:space="preserve"> AUTONUM  </w:instrText>
      </w:r>
      <w:r w:rsidRPr="005623A7">
        <w:fldChar w:fldCharType="end"/>
      </w:r>
      <w:r>
        <w:tab/>
      </w:r>
      <w:r>
        <w:rPr>
          <w:rFonts w:eastAsia="MS Mincho"/>
          <w:color w:val="000000"/>
          <w:szCs w:val="24"/>
          <w:lang w:eastAsia="ja-JP"/>
        </w:rPr>
        <w:t>The structure of this document is as follows:</w:t>
      </w:r>
    </w:p>
    <w:p w:rsidR="005163AC" w:rsidRPr="00A70561" w:rsidRDefault="005163AC" w:rsidP="005163AC">
      <w:pPr>
        <w:autoSpaceDE w:val="0"/>
        <w:autoSpaceDN w:val="0"/>
        <w:adjustRightInd w:val="0"/>
        <w:rPr>
          <w:rFonts w:eastAsia="MS Mincho"/>
          <w:color w:val="000000"/>
          <w:szCs w:val="16"/>
          <w:lang w:eastAsia="ja-JP"/>
        </w:rPr>
      </w:pPr>
    </w:p>
    <w:p w:rsidR="005163AC" w:rsidRPr="005163AC" w:rsidRDefault="005163AC">
      <w:pPr>
        <w:pStyle w:val="TOC1"/>
        <w:rPr>
          <w:rFonts w:ascii="Calibri" w:hAnsi="Calibri"/>
          <w:caps w:val="0"/>
          <w:sz w:val="22"/>
          <w:szCs w:val="22"/>
        </w:rPr>
      </w:pPr>
      <w:r>
        <w:fldChar w:fldCharType="begin"/>
      </w:r>
      <w:r>
        <w:instrText xml:space="preserve"> TOC \o "1-3" \h \z \u </w:instrText>
      </w:r>
      <w:r>
        <w:fldChar w:fldCharType="separate"/>
      </w:r>
      <w:hyperlink w:anchor="_Toc353810749" w:history="1">
        <w:r w:rsidRPr="00A56C31">
          <w:rPr>
            <w:rStyle w:val="Hyperlink"/>
          </w:rPr>
          <w:t>background</w:t>
        </w:r>
        <w:r>
          <w:rPr>
            <w:webHidden/>
          </w:rPr>
          <w:tab/>
        </w:r>
        <w:r>
          <w:rPr>
            <w:webHidden/>
          </w:rPr>
          <w:fldChar w:fldCharType="begin"/>
        </w:r>
        <w:r>
          <w:rPr>
            <w:webHidden/>
          </w:rPr>
          <w:instrText xml:space="preserve"> PAGEREF _Toc353810749 \h </w:instrText>
        </w:r>
        <w:r>
          <w:rPr>
            <w:webHidden/>
          </w:rPr>
        </w:r>
        <w:r>
          <w:rPr>
            <w:webHidden/>
          </w:rPr>
          <w:fldChar w:fldCharType="separate"/>
        </w:r>
        <w:r w:rsidR="005860F2">
          <w:rPr>
            <w:webHidden/>
          </w:rPr>
          <w:t>1</w:t>
        </w:r>
        <w:r>
          <w:rPr>
            <w:webHidden/>
          </w:rPr>
          <w:fldChar w:fldCharType="end"/>
        </w:r>
      </w:hyperlink>
    </w:p>
    <w:p w:rsidR="005163AC" w:rsidRPr="005163AC" w:rsidRDefault="005535BE">
      <w:pPr>
        <w:pStyle w:val="TOC1"/>
        <w:rPr>
          <w:rFonts w:ascii="Calibri" w:hAnsi="Calibri"/>
          <w:caps w:val="0"/>
          <w:sz w:val="22"/>
          <w:szCs w:val="22"/>
        </w:rPr>
      </w:pPr>
      <w:hyperlink w:anchor="_Toc353810750" w:history="1">
        <w:r w:rsidR="005163AC" w:rsidRPr="00A56C31">
          <w:rPr>
            <w:rStyle w:val="Hyperlink"/>
          </w:rPr>
          <w:t>COMMENTS BY THE TECHNICAL WORKING PARTIES IN 2012</w:t>
        </w:r>
        <w:r w:rsidR="005163AC">
          <w:rPr>
            <w:webHidden/>
          </w:rPr>
          <w:tab/>
        </w:r>
        <w:r w:rsidR="005163AC">
          <w:rPr>
            <w:webHidden/>
          </w:rPr>
          <w:fldChar w:fldCharType="begin"/>
        </w:r>
        <w:r w:rsidR="005163AC">
          <w:rPr>
            <w:webHidden/>
          </w:rPr>
          <w:instrText xml:space="preserve"> PAGEREF _Toc353810750 \h </w:instrText>
        </w:r>
        <w:r w:rsidR="005163AC">
          <w:rPr>
            <w:webHidden/>
          </w:rPr>
        </w:r>
        <w:r w:rsidR="005163AC">
          <w:rPr>
            <w:webHidden/>
          </w:rPr>
          <w:fldChar w:fldCharType="separate"/>
        </w:r>
        <w:r w:rsidR="005860F2">
          <w:rPr>
            <w:webHidden/>
          </w:rPr>
          <w:t>2</w:t>
        </w:r>
        <w:r w:rsidR="005163AC">
          <w:rPr>
            <w:webHidden/>
          </w:rPr>
          <w:fldChar w:fldCharType="end"/>
        </w:r>
      </w:hyperlink>
    </w:p>
    <w:p w:rsidR="005163AC" w:rsidRPr="005163AC" w:rsidRDefault="005535BE">
      <w:pPr>
        <w:pStyle w:val="TOC1"/>
        <w:rPr>
          <w:rFonts w:ascii="Calibri" w:hAnsi="Calibri"/>
          <w:caps w:val="0"/>
          <w:sz w:val="22"/>
          <w:szCs w:val="22"/>
        </w:rPr>
      </w:pPr>
      <w:hyperlink w:anchor="_Toc353810751" w:history="1">
        <w:r w:rsidR="005163AC" w:rsidRPr="00A56C31">
          <w:rPr>
            <w:rStyle w:val="Hyperlink"/>
          </w:rPr>
          <w:t>Comments by the enlarged editorial committee in 2013</w:t>
        </w:r>
        <w:r w:rsidR="005163AC">
          <w:rPr>
            <w:webHidden/>
          </w:rPr>
          <w:tab/>
        </w:r>
        <w:r w:rsidR="005163AC">
          <w:rPr>
            <w:webHidden/>
          </w:rPr>
          <w:fldChar w:fldCharType="begin"/>
        </w:r>
        <w:r w:rsidR="005163AC">
          <w:rPr>
            <w:webHidden/>
          </w:rPr>
          <w:instrText xml:space="preserve"> PAGEREF _Toc353810751 \h </w:instrText>
        </w:r>
        <w:r w:rsidR="005163AC">
          <w:rPr>
            <w:webHidden/>
          </w:rPr>
        </w:r>
        <w:r w:rsidR="005163AC">
          <w:rPr>
            <w:webHidden/>
          </w:rPr>
          <w:fldChar w:fldCharType="separate"/>
        </w:r>
        <w:r w:rsidR="005860F2">
          <w:rPr>
            <w:webHidden/>
          </w:rPr>
          <w:t>2</w:t>
        </w:r>
        <w:r w:rsidR="005163AC">
          <w:rPr>
            <w:webHidden/>
          </w:rPr>
          <w:fldChar w:fldCharType="end"/>
        </w:r>
      </w:hyperlink>
    </w:p>
    <w:p w:rsidR="005163AC" w:rsidRPr="005163AC" w:rsidRDefault="005535BE">
      <w:pPr>
        <w:pStyle w:val="TOC1"/>
        <w:rPr>
          <w:rFonts w:ascii="Calibri" w:hAnsi="Calibri"/>
          <w:caps w:val="0"/>
          <w:sz w:val="22"/>
          <w:szCs w:val="22"/>
        </w:rPr>
      </w:pPr>
      <w:hyperlink w:anchor="_Toc353810752" w:history="1">
        <w:r w:rsidR="005163AC" w:rsidRPr="00A56C31">
          <w:rPr>
            <w:rStyle w:val="Hyperlink"/>
          </w:rPr>
          <w:t>Comments by the technical committee in 2013</w:t>
        </w:r>
        <w:r w:rsidR="005163AC">
          <w:rPr>
            <w:webHidden/>
          </w:rPr>
          <w:tab/>
        </w:r>
        <w:r w:rsidR="005163AC">
          <w:rPr>
            <w:webHidden/>
          </w:rPr>
          <w:fldChar w:fldCharType="begin"/>
        </w:r>
        <w:r w:rsidR="005163AC">
          <w:rPr>
            <w:webHidden/>
          </w:rPr>
          <w:instrText xml:space="preserve"> PAGEREF _Toc353810752 \h </w:instrText>
        </w:r>
        <w:r w:rsidR="005163AC">
          <w:rPr>
            <w:webHidden/>
          </w:rPr>
        </w:r>
        <w:r w:rsidR="005163AC">
          <w:rPr>
            <w:webHidden/>
          </w:rPr>
          <w:fldChar w:fldCharType="separate"/>
        </w:r>
        <w:r w:rsidR="005860F2">
          <w:rPr>
            <w:webHidden/>
          </w:rPr>
          <w:t>2</w:t>
        </w:r>
        <w:r w:rsidR="005163AC">
          <w:rPr>
            <w:webHidden/>
          </w:rPr>
          <w:fldChar w:fldCharType="end"/>
        </w:r>
      </w:hyperlink>
    </w:p>
    <w:p w:rsidR="005163AC" w:rsidRDefault="005163AC" w:rsidP="005163AC">
      <w:pPr>
        <w:rPr>
          <w:rFonts w:eastAsia="MS Mincho"/>
          <w:color w:val="000000"/>
          <w:szCs w:val="24"/>
          <w:lang w:eastAsia="ja-JP"/>
        </w:rPr>
      </w:pPr>
      <w:r>
        <w:rPr>
          <w:b/>
          <w:bCs/>
          <w:noProof/>
        </w:rPr>
        <w:fldChar w:fldCharType="end"/>
      </w:r>
    </w:p>
    <w:p w:rsidR="005163AC" w:rsidRDefault="005163AC" w:rsidP="00EF5181">
      <w:pPr>
        <w:tabs>
          <w:tab w:val="left" w:pos="1701"/>
        </w:tabs>
        <w:autoSpaceDE w:val="0"/>
        <w:autoSpaceDN w:val="0"/>
        <w:adjustRightInd w:val="0"/>
        <w:ind w:left="1710" w:hanging="1710"/>
        <w:rPr>
          <w:rFonts w:eastAsia="MS Mincho"/>
          <w:color w:val="000000"/>
          <w:szCs w:val="24"/>
          <w:lang w:eastAsia="ja-JP"/>
        </w:rPr>
      </w:pPr>
      <w:r>
        <w:rPr>
          <w:rFonts w:eastAsia="MS Mincho"/>
          <w:color w:val="000000"/>
          <w:szCs w:val="24"/>
          <w:lang w:eastAsia="ja-JP"/>
        </w:rPr>
        <w:t xml:space="preserve">ANNEX I: </w:t>
      </w:r>
      <w:r>
        <w:rPr>
          <w:rFonts w:eastAsia="MS Mincho"/>
          <w:color w:val="000000"/>
          <w:szCs w:val="24"/>
          <w:lang w:eastAsia="ja-JP"/>
        </w:rPr>
        <w:tab/>
      </w:r>
      <w:r w:rsidR="00EF5181">
        <w:rPr>
          <w:rFonts w:eastAsia="MS Mincho"/>
          <w:color w:val="000000"/>
          <w:szCs w:val="24"/>
          <w:lang w:eastAsia="ja-JP"/>
        </w:rPr>
        <w:t>Extract from document TGP/8/1: Part I: DUS trial design and data analysis: Section 1.5.3.4 “</w:t>
      </w:r>
      <w:r w:rsidR="005D541A">
        <w:rPr>
          <w:rFonts w:eastAsia="MS Mincho"/>
          <w:color w:val="000000"/>
          <w:szCs w:val="24"/>
          <w:lang w:eastAsia="ja-JP"/>
        </w:rPr>
        <w:t>Blind Randomized Trials</w:t>
      </w:r>
      <w:r w:rsidR="00EF5181">
        <w:rPr>
          <w:rFonts w:eastAsia="MS Mincho"/>
          <w:color w:val="000000"/>
          <w:szCs w:val="24"/>
          <w:lang w:eastAsia="ja-JP"/>
        </w:rPr>
        <w:t>”</w:t>
      </w:r>
    </w:p>
    <w:p w:rsidR="00EF5181" w:rsidRPr="0083609F" w:rsidRDefault="005163AC" w:rsidP="00EF5181">
      <w:pPr>
        <w:tabs>
          <w:tab w:val="left" w:pos="1710"/>
        </w:tabs>
        <w:ind w:left="1710" w:hanging="1710"/>
        <w:rPr>
          <w:caps/>
          <w:u w:val="single"/>
        </w:rPr>
      </w:pPr>
      <w:r>
        <w:rPr>
          <w:rFonts w:eastAsia="MS Mincho"/>
          <w:color w:val="000000"/>
          <w:szCs w:val="24"/>
          <w:lang w:eastAsia="ja-JP"/>
        </w:rPr>
        <w:t>ANNEX II:</w:t>
      </w:r>
      <w:r>
        <w:rPr>
          <w:rFonts w:eastAsia="MS Mincho"/>
          <w:color w:val="000000"/>
          <w:szCs w:val="24"/>
          <w:lang w:eastAsia="ja-JP"/>
        </w:rPr>
        <w:tab/>
      </w:r>
      <w:r w:rsidR="00EF5181">
        <w:rPr>
          <w:rFonts w:eastAsia="MS Mincho"/>
          <w:color w:val="000000"/>
          <w:szCs w:val="24"/>
          <w:lang w:eastAsia="ja-JP"/>
        </w:rPr>
        <w:t xml:space="preserve">Draft guidance of data analysis for blind randomized trials conducted by the applicant or under </w:t>
      </w:r>
      <w:r w:rsidR="00623440">
        <w:rPr>
          <w:rFonts w:eastAsia="MS Mincho"/>
          <w:color w:val="000000"/>
          <w:szCs w:val="24"/>
          <w:lang w:eastAsia="ja-JP"/>
        </w:rPr>
        <w:t>their</w:t>
      </w:r>
      <w:r w:rsidR="00EF5181">
        <w:rPr>
          <w:rFonts w:eastAsia="MS Mincho"/>
          <w:color w:val="000000"/>
          <w:szCs w:val="24"/>
          <w:lang w:eastAsia="ja-JP"/>
        </w:rPr>
        <w:t xml:space="preserve"> responsibility</w:t>
      </w:r>
    </w:p>
    <w:p w:rsidR="00F5371D" w:rsidRDefault="00F5371D" w:rsidP="00F5371D"/>
    <w:p w:rsidR="005163AC" w:rsidRPr="006E3BB4" w:rsidRDefault="005163AC" w:rsidP="00F5371D"/>
    <w:p w:rsidR="00F5371D" w:rsidRDefault="00F5371D" w:rsidP="00EF5181">
      <w:pPr>
        <w:pStyle w:val="Heading1"/>
      </w:pPr>
      <w:bookmarkStart w:id="4" w:name="_Toc353810749"/>
      <w:r>
        <w:t>background</w:t>
      </w:r>
      <w:bookmarkEnd w:id="4"/>
    </w:p>
    <w:p w:rsidR="00F5371D" w:rsidRDefault="00F5371D" w:rsidP="00F5371D"/>
    <w:p w:rsidR="00F5371D" w:rsidRDefault="00F5371D" w:rsidP="00F5371D">
      <w:r w:rsidRPr="005623A7">
        <w:fldChar w:fldCharType="begin"/>
      </w:r>
      <w:r w:rsidRPr="005623A7">
        <w:instrText xml:space="preserve"> AUTONUM  </w:instrText>
      </w:r>
      <w:r w:rsidRPr="005623A7">
        <w:fldChar w:fldCharType="end"/>
      </w:r>
      <w:r>
        <w:tab/>
        <w:t xml:space="preserve">The Technical Committee (TC), at its forty-eighth session, held in Geneva from March 26 to 28, 2012, agreed </w:t>
      </w:r>
      <w:r w:rsidRPr="005623A7">
        <w:t>that the experts from France should develop guidance on data analysis for blind randomized trials from their experience, including their use of blind randomized trials for diseas</w:t>
      </w:r>
      <w:r>
        <w:t>e resistance and other examples (see document TC/48/22 “Report on conclusions”, paragraph 60).</w:t>
      </w:r>
    </w:p>
    <w:p w:rsidR="00F5371D" w:rsidRDefault="00F5371D" w:rsidP="00F5371D"/>
    <w:p w:rsidR="00B47525" w:rsidRDefault="00B47525" w:rsidP="00F5371D">
      <w:r>
        <w:fldChar w:fldCharType="begin"/>
      </w:r>
      <w:r>
        <w:instrText xml:space="preserve"> AUTONUM  </w:instrText>
      </w:r>
      <w:r>
        <w:fldChar w:fldCharType="end"/>
      </w:r>
      <w:r>
        <w:tab/>
      </w:r>
      <w:r w:rsidR="005D541A">
        <w:t xml:space="preserve">Annex I of this document presents an extract from </w:t>
      </w:r>
      <w:r w:rsidR="00111802">
        <w:t>d</w:t>
      </w:r>
      <w:r>
        <w:t>ocument TGP/8</w:t>
      </w:r>
      <w:r w:rsidR="00111802">
        <w:t>, Part </w:t>
      </w:r>
      <w:r>
        <w:t>I:</w:t>
      </w:r>
      <w:r w:rsidR="00111802">
        <w:t> </w:t>
      </w:r>
      <w:r>
        <w:t xml:space="preserve">DUS Trial Design and Data Analysis, Section 1: DUS Trial </w:t>
      </w:r>
      <w:r w:rsidR="00111802">
        <w:t>Design,</w:t>
      </w:r>
      <w:r w:rsidR="005D541A">
        <w:t xml:space="preserve"> with specific guidance on trial layout for blind randomized trials.</w:t>
      </w:r>
    </w:p>
    <w:p w:rsidR="00F5371D" w:rsidRDefault="00F5371D" w:rsidP="00F5371D"/>
    <w:p w:rsidR="00B47525" w:rsidRDefault="00B47525" w:rsidP="00F5371D"/>
    <w:p w:rsidR="00F5371D" w:rsidRDefault="00F5371D" w:rsidP="00EF5181">
      <w:pPr>
        <w:pStyle w:val="Heading1"/>
      </w:pPr>
      <w:bookmarkStart w:id="5" w:name="_Toc353810750"/>
      <w:r>
        <w:t>COMMENTS BY THE TECHNICAL WORKING PARTIES IN 2012</w:t>
      </w:r>
      <w:bookmarkEnd w:id="5"/>
    </w:p>
    <w:p w:rsidR="00F5371D" w:rsidRDefault="00F5371D" w:rsidP="00F5371D"/>
    <w:p w:rsidR="00F5371D" w:rsidRDefault="00F5371D" w:rsidP="00F5371D">
      <w:pPr>
        <w:pStyle w:val="Default"/>
        <w:jc w:val="both"/>
        <w:rPr>
          <w:rFonts w:eastAsia="Times New Roman" w:cs="Times New Roman"/>
          <w:color w:val="auto"/>
          <w:sz w:val="20"/>
          <w:szCs w:val="20"/>
          <w:lang w:eastAsia="en-US"/>
        </w:rPr>
      </w:pPr>
      <w:r w:rsidRPr="00D7482C">
        <w:rPr>
          <w:rFonts w:eastAsia="Times New Roman" w:cs="Times New Roman"/>
          <w:color w:val="auto"/>
          <w:sz w:val="20"/>
          <w:szCs w:val="20"/>
          <w:lang w:eastAsia="en-US"/>
        </w:rPr>
        <w:fldChar w:fldCharType="begin"/>
      </w:r>
      <w:r w:rsidRPr="00D7482C">
        <w:rPr>
          <w:rFonts w:eastAsia="Times New Roman" w:cs="Times New Roman"/>
          <w:color w:val="auto"/>
          <w:sz w:val="20"/>
          <w:szCs w:val="20"/>
          <w:lang w:eastAsia="en-US"/>
        </w:rPr>
        <w:instrText xml:space="preserve"> AUTONUM  </w:instrText>
      </w:r>
      <w:r w:rsidRPr="00D7482C">
        <w:rPr>
          <w:rFonts w:eastAsia="Times New Roman" w:cs="Times New Roman"/>
          <w:color w:val="auto"/>
          <w:sz w:val="20"/>
          <w:szCs w:val="20"/>
          <w:lang w:eastAsia="en-US"/>
        </w:rPr>
        <w:fldChar w:fldCharType="end"/>
      </w:r>
      <w:r w:rsidRPr="00D7482C">
        <w:rPr>
          <w:rFonts w:eastAsia="Times New Roman" w:cs="Times New Roman"/>
          <w:color w:val="auto"/>
          <w:sz w:val="20"/>
          <w:szCs w:val="20"/>
          <w:lang w:eastAsia="en-US"/>
        </w:rPr>
        <w:tab/>
      </w:r>
      <w:r>
        <w:rPr>
          <w:rFonts w:eastAsia="Times New Roman" w:cs="Times New Roman"/>
          <w:color w:val="auto"/>
          <w:sz w:val="20"/>
          <w:szCs w:val="20"/>
          <w:lang w:eastAsia="en-US"/>
        </w:rPr>
        <w:t>At their sessions in 2012, t</w:t>
      </w:r>
      <w:r w:rsidRPr="00D7482C">
        <w:rPr>
          <w:rFonts w:eastAsia="Times New Roman" w:cs="Times New Roman"/>
          <w:color w:val="auto"/>
          <w:sz w:val="20"/>
          <w:szCs w:val="20"/>
          <w:lang w:eastAsia="en-US"/>
        </w:rPr>
        <w:t>he TWA, TWV, TWC, TWF and TWO considered documents TWA/41/</w:t>
      </w:r>
      <w:r>
        <w:rPr>
          <w:rFonts w:eastAsia="Times New Roman" w:cs="Times New Roman"/>
          <w:color w:val="auto"/>
          <w:sz w:val="20"/>
          <w:szCs w:val="20"/>
          <w:lang w:eastAsia="en-US"/>
        </w:rPr>
        <w:t>17</w:t>
      </w:r>
      <w:r w:rsidRPr="00D7482C">
        <w:rPr>
          <w:rFonts w:eastAsia="Times New Roman" w:cs="Times New Roman"/>
          <w:color w:val="auto"/>
          <w:sz w:val="20"/>
          <w:szCs w:val="20"/>
          <w:lang w:eastAsia="en-US"/>
        </w:rPr>
        <w:t>, TWV/46/1</w:t>
      </w:r>
      <w:r>
        <w:rPr>
          <w:rFonts w:eastAsia="Times New Roman" w:cs="Times New Roman"/>
          <w:color w:val="auto"/>
          <w:sz w:val="20"/>
          <w:szCs w:val="20"/>
          <w:lang w:eastAsia="en-US"/>
        </w:rPr>
        <w:t>7</w:t>
      </w:r>
      <w:r w:rsidRPr="00D7482C">
        <w:rPr>
          <w:rFonts w:eastAsia="Times New Roman" w:cs="Times New Roman"/>
          <w:color w:val="auto"/>
          <w:sz w:val="20"/>
          <w:szCs w:val="20"/>
          <w:lang w:eastAsia="en-US"/>
        </w:rPr>
        <w:t>, TWC/30/1</w:t>
      </w:r>
      <w:r>
        <w:rPr>
          <w:rFonts w:eastAsia="Times New Roman" w:cs="Times New Roman"/>
          <w:color w:val="auto"/>
          <w:sz w:val="20"/>
          <w:szCs w:val="20"/>
          <w:lang w:eastAsia="en-US"/>
        </w:rPr>
        <w:t>7</w:t>
      </w:r>
      <w:r w:rsidRPr="00D7482C">
        <w:rPr>
          <w:rFonts w:eastAsia="Times New Roman" w:cs="Times New Roman"/>
          <w:color w:val="auto"/>
          <w:sz w:val="20"/>
          <w:szCs w:val="20"/>
          <w:lang w:eastAsia="en-US"/>
        </w:rPr>
        <w:t>, TWF/43/1</w:t>
      </w:r>
      <w:r>
        <w:rPr>
          <w:rFonts w:eastAsia="Times New Roman" w:cs="Times New Roman"/>
          <w:color w:val="auto"/>
          <w:sz w:val="20"/>
          <w:szCs w:val="20"/>
          <w:lang w:eastAsia="en-US"/>
        </w:rPr>
        <w:t>7</w:t>
      </w:r>
      <w:r w:rsidRPr="00D7482C">
        <w:rPr>
          <w:rFonts w:eastAsia="Times New Roman" w:cs="Times New Roman"/>
          <w:color w:val="auto"/>
          <w:sz w:val="20"/>
          <w:szCs w:val="20"/>
          <w:lang w:eastAsia="en-US"/>
        </w:rPr>
        <w:t xml:space="preserve"> and TWO/45/1</w:t>
      </w:r>
      <w:r>
        <w:rPr>
          <w:rFonts w:eastAsia="Times New Roman" w:cs="Times New Roman"/>
          <w:color w:val="auto"/>
          <w:sz w:val="20"/>
          <w:szCs w:val="20"/>
          <w:lang w:eastAsia="en-US"/>
        </w:rPr>
        <w:t>7</w:t>
      </w:r>
      <w:r w:rsidRPr="00D7482C">
        <w:rPr>
          <w:rFonts w:eastAsia="Times New Roman" w:cs="Times New Roman"/>
          <w:color w:val="auto"/>
          <w:sz w:val="20"/>
          <w:szCs w:val="20"/>
          <w:lang w:eastAsia="en-US"/>
        </w:rPr>
        <w:t xml:space="preserve"> respectively</w:t>
      </w:r>
      <w:r>
        <w:rPr>
          <w:rFonts w:eastAsia="Times New Roman" w:cs="Times New Roman"/>
          <w:color w:val="auto"/>
          <w:sz w:val="20"/>
          <w:szCs w:val="20"/>
          <w:lang w:eastAsia="en-US"/>
        </w:rPr>
        <w:t>,</w:t>
      </w:r>
      <w:r w:rsidRPr="00D7482C">
        <w:rPr>
          <w:rFonts w:eastAsia="Times New Roman" w:cs="Times New Roman"/>
          <w:color w:val="auto"/>
          <w:sz w:val="20"/>
          <w:szCs w:val="20"/>
          <w:lang w:eastAsia="en-US"/>
        </w:rPr>
        <w:t xml:space="preserve"> </w:t>
      </w:r>
      <w:r>
        <w:rPr>
          <w:rFonts w:eastAsia="Times New Roman" w:cs="Times New Roman"/>
          <w:color w:val="auto"/>
          <w:sz w:val="20"/>
          <w:szCs w:val="20"/>
          <w:lang w:eastAsia="en-US"/>
        </w:rPr>
        <w:t xml:space="preserve">on </w:t>
      </w:r>
      <w:r w:rsidRPr="00D7482C">
        <w:rPr>
          <w:rFonts w:eastAsia="Times New Roman" w:cs="Times New Roman"/>
          <w:color w:val="auto"/>
          <w:sz w:val="20"/>
          <w:szCs w:val="20"/>
          <w:lang w:eastAsia="en-US"/>
        </w:rPr>
        <w:t>guidance of data analysis for blind randomized trials and commented as follows:</w:t>
      </w:r>
    </w:p>
    <w:p w:rsidR="00111802" w:rsidRDefault="00111802" w:rsidP="00F5371D">
      <w:pPr>
        <w:pStyle w:val="Default"/>
        <w:jc w:val="both"/>
      </w:pPr>
    </w:p>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18"/>
        <w:gridCol w:w="7348"/>
        <w:gridCol w:w="839"/>
      </w:tblGrid>
      <w:tr w:rsidR="00F5371D" w:rsidRPr="00FE540A" w:rsidTr="005163AC">
        <w:tc>
          <w:tcPr>
            <w:tcW w:w="1418" w:type="dxa"/>
            <w:shd w:val="clear" w:color="auto" w:fill="auto"/>
          </w:tcPr>
          <w:p w:rsidR="00F5371D" w:rsidRPr="005163AC" w:rsidRDefault="00F5371D" w:rsidP="005163AC">
            <w:pPr>
              <w:jc w:val="left"/>
              <w:rPr>
                <w:rFonts w:cs="Arial"/>
              </w:rPr>
            </w:pPr>
            <w:r w:rsidRPr="005163AC">
              <w:rPr>
                <w:rFonts w:cs="Arial"/>
              </w:rPr>
              <w:t>General</w:t>
            </w:r>
          </w:p>
        </w:tc>
        <w:tc>
          <w:tcPr>
            <w:tcW w:w="7348" w:type="dxa"/>
            <w:shd w:val="clear" w:color="auto" w:fill="auto"/>
          </w:tcPr>
          <w:p w:rsidR="00F5371D" w:rsidRPr="005163AC" w:rsidRDefault="00F5371D" w:rsidP="005163AC">
            <w:pPr>
              <w:autoSpaceDE w:val="0"/>
              <w:autoSpaceDN w:val="0"/>
              <w:adjustRightInd w:val="0"/>
              <w:rPr>
                <w:rFonts w:cs="Arial"/>
              </w:rPr>
            </w:pPr>
            <w:r w:rsidRPr="005163AC">
              <w:rPr>
                <w:rFonts w:eastAsia="MS Mincho" w:cs="Arial"/>
                <w:lang w:eastAsia="ja-JP"/>
              </w:rPr>
              <w:t xml:space="preserve">The TWA considered document TWA/41/17. The TWA noted the information contained in document TWA/41/17 and the presentation received by the expert from </w:t>
            </w:r>
            <w:smartTag w:uri="urn:schemas-microsoft-com:office:smarttags" w:element="place">
              <w:smartTag w:uri="urn:schemas-microsoft-com:office:smarttags" w:element="country-region">
                <w:r w:rsidRPr="005163AC">
                  <w:rPr>
                    <w:rFonts w:eastAsia="MS Mincho" w:cs="Arial"/>
                    <w:lang w:eastAsia="ja-JP"/>
                  </w:rPr>
                  <w:t>France</w:t>
                </w:r>
              </w:smartTag>
            </w:smartTag>
            <w:r w:rsidRPr="005163AC">
              <w:rPr>
                <w:rFonts w:eastAsia="MS Mincho" w:cs="Arial"/>
                <w:lang w:eastAsia="ja-JP"/>
              </w:rPr>
              <w:t xml:space="preserve"> on guidance of data analysis for blind randomized trials. Remarks by the TWA expressed the importance of these blind randomized trials for the breeders and mentioned the contribution they made to the system. The TWA recommended that the work on that guidance should be continued on the basis of that document</w:t>
            </w:r>
            <w:r w:rsidRPr="005163AC">
              <w:rPr>
                <w:rFonts w:cs="Arial"/>
              </w:rPr>
              <w:t xml:space="preserve"> (see document TWA/41/34 “Report”, paragraphs 23 and 24).</w:t>
            </w:r>
          </w:p>
          <w:p w:rsidR="00F5371D" w:rsidRPr="005163AC" w:rsidRDefault="00F5371D" w:rsidP="00B45F62">
            <w:pPr>
              <w:rPr>
                <w:rFonts w:cs="Arial"/>
              </w:rPr>
            </w:pPr>
          </w:p>
        </w:tc>
        <w:tc>
          <w:tcPr>
            <w:tcW w:w="839" w:type="dxa"/>
            <w:shd w:val="clear" w:color="auto" w:fill="auto"/>
          </w:tcPr>
          <w:p w:rsidR="00F5371D" w:rsidRDefault="00F5371D" w:rsidP="00B45F62">
            <w:r>
              <w:t>TWA</w:t>
            </w:r>
          </w:p>
        </w:tc>
      </w:tr>
      <w:tr w:rsidR="00F5371D" w:rsidRPr="00FE540A" w:rsidTr="005163AC">
        <w:tc>
          <w:tcPr>
            <w:tcW w:w="1418" w:type="dxa"/>
            <w:shd w:val="clear" w:color="auto" w:fill="auto"/>
          </w:tcPr>
          <w:p w:rsidR="00F5371D" w:rsidRPr="005163AC" w:rsidRDefault="00F5371D" w:rsidP="005163AC">
            <w:pPr>
              <w:keepNext/>
              <w:jc w:val="left"/>
              <w:rPr>
                <w:rFonts w:cs="Arial"/>
              </w:rPr>
            </w:pPr>
          </w:p>
        </w:tc>
        <w:tc>
          <w:tcPr>
            <w:tcW w:w="7348" w:type="dxa"/>
            <w:shd w:val="clear" w:color="auto" w:fill="auto"/>
          </w:tcPr>
          <w:p w:rsidR="00F5371D" w:rsidRPr="005163AC" w:rsidRDefault="00F5371D" w:rsidP="005163AC">
            <w:pPr>
              <w:keepNext/>
              <w:rPr>
                <w:rFonts w:cs="Arial"/>
              </w:rPr>
            </w:pPr>
            <w:r w:rsidRPr="005163AC">
              <w:rPr>
                <w:rFonts w:cs="Arial"/>
              </w:rPr>
              <w:t xml:space="preserve">The TWV considered document TWV/46/17 and agreed with the comments of the TWA expressing the importance of these blind randomized trials for the breeders and the contribution they made to the system and recommending that the work on that guidance should be continued on the basis of that document </w:t>
            </w:r>
            <w:r w:rsidRPr="004F329E">
              <w:t xml:space="preserve">(see </w:t>
            </w:r>
            <w:r w:rsidRPr="005163AC">
              <w:rPr>
                <w:rFonts w:cs="Arial"/>
              </w:rPr>
              <w:t>document TWV/46/41 “Report”, paragraph 23).</w:t>
            </w:r>
          </w:p>
          <w:p w:rsidR="00F5371D" w:rsidRPr="00CC4F79" w:rsidRDefault="00F5371D" w:rsidP="005163AC">
            <w:pPr>
              <w:keepNext/>
            </w:pPr>
          </w:p>
        </w:tc>
        <w:tc>
          <w:tcPr>
            <w:tcW w:w="839" w:type="dxa"/>
            <w:shd w:val="clear" w:color="auto" w:fill="auto"/>
          </w:tcPr>
          <w:p w:rsidR="00F5371D" w:rsidRDefault="00F5371D" w:rsidP="005163AC">
            <w:pPr>
              <w:keepNext/>
            </w:pPr>
            <w:r>
              <w:t>TWV</w:t>
            </w:r>
          </w:p>
        </w:tc>
      </w:tr>
      <w:tr w:rsidR="00F5371D" w:rsidRPr="00FE540A" w:rsidTr="005163AC">
        <w:tc>
          <w:tcPr>
            <w:tcW w:w="1418" w:type="dxa"/>
            <w:shd w:val="clear" w:color="auto" w:fill="auto"/>
          </w:tcPr>
          <w:p w:rsidR="00F5371D" w:rsidRPr="005163AC" w:rsidRDefault="00F5371D" w:rsidP="005163AC">
            <w:pPr>
              <w:jc w:val="left"/>
              <w:rPr>
                <w:rFonts w:cs="Arial"/>
              </w:rPr>
            </w:pPr>
          </w:p>
        </w:tc>
        <w:tc>
          <w:tcPr>
            <w:tcW w:w="7348" w:type="dxa"/>
            <w:shd w:val="clear" w:color="auto" w:fill="auto"/>
          </w:tcPr>
          <w:p w:rsidR="00F5371D" w:rsidRPr="005163AC" w:rsidRDefault="00F5371D" w:rsidP="005163AC">
            <w:pPr>
              <w:keepLines/>
              <w:rPr>
                <w:rFonts w:cs="Arial"/>
              </w:rPr>
            </w:pPr>
            <w:r>
              <w:t>The TWC agreed with the further development of the document and recommended that it should be made more general so as to apply to all possible users, e.g. to remove the mention to GEVES. The TWC requested that further clarifications be provided for paragraphs 2, 4 and 5. Further guidance provided by the document should include information on the number of replications to ensure that correct labeling of the variety by chance would not be likely (</w:t>
            </w:r>
            <w:r w:rsidRPr="005163AC">
              <w:rPr>
                <w:rFonts w:cs="Arial"/>
              </w:rPr>
              <w:t>see document TWC/30/41 “Report”, paragraph 45).</w:t>
            </w:r>
          </w:p>
          <w:p w:rsidR="00F5371D" w:rsidRPr="00CC4F79" w:rsidRDefault="00F5371D" w:rsidP="00B45F62"/>
        </w:tc>
        <w:tc>
          <w:tcPr>
            <w:tcW w:w="839" w:type="dxa"/>
            <w:shd w:val="clear" w:color="auto" w:fill="auto"/>
          </w:tcPr>
          <w:p w:rsidR="00F5371D" w:rsidRDefault="00F5371D" w:rsidP="00B45F62">
            <w:r>
              <w:t>TWC</w:t>
            </w:r>
          </w:p>
        </w:tc>
      </w:tr>
      <w:tr w:rsidR="00F5371D" w:rsidRPr="00FE540A" w:rsidTr="005163AC">
        <w:tc>
          <w:tcPr>
            <w:tcW w:w="1418" w:type="dxa"/>
            <w:shd w:val="clear" w:color="auto" w:fill="auto"/>
          </w:tcPr>
          <w:p w:rsidR="00F5371D" w:rsidRPr="005163AC" w:rsidRDefault="00F5371D" w:rsidP="005163AC">
            <w:pPr>
              <w:jc w:val="left"/>
              <w:rPr>
                <w:rFonts w:cs="Arial"/>
              </w:rPr>
            </w:pPr>
          </w:p>
        </w:tc>
        <w:tc>
          <w:tcPr>
            <w:tcW w:w="7348" w:type="dxa"/>
            <w:shd w:val="clear" w:color="auto" w:fill="auto"/>
          </w:tcPr>
          <w:p w:rsidR="00F5371D" w:rsidRPr="005163AC" w:rsidRDefault="00F5371D" w:rsidP="005163AC">
            <w:pPr>
              <w:keepLines/>
              <w:rPr>
                <w:rFonts w:cs="Arial"/>
              </w:rPr>
            </w:pPr>
            <w:r w:rsidRPr="005163AC">
              <w:rPr>
                <w:rFonts w:cs="Arial"/>
              </w:rPr>
              <w:t>The TWF considered document TWF/43/17. The TWF requested experts to provide more examples of the use of data analysis for blind randomized trials, which would be considered in the development of guidance. The TWF agreed that the guidance should provide more precise explanation concerning cases in which this method is appropriate and how the use of this technique would assist in DUS examination (see document TWF/43/38 “Report”, paragraphs 32 to 34).</w:t>
            </w:r>
          </w:p>
          <w:p w:rsidR="00F5371D" w:rsidRDefault="00F5371D" w:rsidP="005163AC">
            <w:pPr>
              <w:keepLines/>
            </w:pPr>
          </w:p>
        </w:tc>
        <w:tc>
          <w:tcPr>
            <w:tcW w:w="839" w:type="dxa"/>
            <w:shd w:val="clear" w:color="auto" w:fill="auto"/>
          </w:tcPr>
          <w:p w:rsidR="00F5371D" w:rsidRDefault="00F5371D" w:rsidP="00B45F62">
            <w:r>
              <w:t>TWF</w:t>
            </w:r>
          </w:p>
        </w:tc>
      </w:tr>
      <w:tr w:rsidR="00F5371D" w:rsidRPr="00FE540A" w:rsidTr="005163AC">
        <w:tc>
          <w:tcPr>
            <w:tcW w:w="1418" w:type="dxa"/>
            <w:shd w:val="clear" w:color="auto" w:fill="auto"/>
          </w:tcPr>
          <w:p w:rsidR="00F5371D" w:rsidRPr="005163AC" w:rsidRDefault="00F5371D" w:rsidP="005163AC">
            <w:pPr>
              <w:jc w:val="left"/>
              <w:rPr>
                <w:rFonts w:cs="Arial"/>
              </w:rPr>
            </w:pPr>
          </w:p>
        </w:tc>
        <w:tc>
          <w:tcPr>
            <w:tcW w:w="7348" w:type="dxa"/>
            <w:shd w:val="clear" w:color="auto" w:fill="auto"/>
          </w:tcPr>
          <w:p w:rsidR="00F5371D" w:rsidRPr="005163AC" w:rsidRDefault="00F5371D" w:rsidP="005163AC">
            <w:pPr>
              <w:keepLines/>
              <w:rPr>
                <w:rFonts w:cs="Arial"/>
              </w:rPr>
            </w:pPr>
            <w:r w:rsidRPr="005163AC">
              <w:rPr>
                <w:rFonts w:cs="Arial"/>
              </w:rPr>
              <w:t>The TWO proposed that examples of use of blind randomized trials for other crop types, such as ornamentals, be included in the further development of the guidance (see document TWO/45/37 “Report”, paragraph 33).</w:t>
            </w:r>
          </w:p>
          <w:p w:rsidR="00F5371D" w:rsidRPr="005163AC" w:rsidRDefault="00F5371D" w:rsidP="005163AC">
            <w:pPr>
              <w:keepNext/>
              <w:rPr>
                <w:rFonts w:cs="Arial"/>
              </w:rPr>
            </w:pPr>
          </w:p>
        </w:tc>
        <w:tc>
          <w:tcPr>
            <w:tcW w:w="839" w:type="dxa"/>
            <w:shd w:val="clear" w:color="auto" w:fill="auto"/>
          </w:tcPr>
          <w:p w:rsidR="00F5371D" w:rsidRDefault="00F5371D" w:rsidP="00B45F62">
            <w:r>
              <w:t>TWO</w:t>
            </w:r>
          </w:p>
        </w:tc>
      </w:tr>
    </w:tbl>
    <w:p w:rsidR="00F5371D" w:rsidRPr="007A3A6D" w:rsidRDefault="00F5371D" w:rsidP="00F5371D">
      <w:pPr>
        <w:pStyle w:val="Default"/>
        <w:jc w:val="both"/>
        <w:rPr>
          <w:rFonts w:eastAsia="Times New Roman"/>
          <w:color w:val="auto"/>
          <w:sz w:val="20"/>
          <w:szCs w:val="20"/>
          <w:lang w:eastAsia="en-US"/>
        </w:rPr>
      </w:pPr>
    </w:p>
    <w:p w:rsidR="00F5371D" w:rsidRDefault="00F5371D" w:rsidP="00F5371D"/>
    <w:p w:rsidR="00F5371D" w:rsidRPr="005163AC" w:rsidRDefault="00F5371D" w:rsidP="00EF5181">
      <w:pPr>
        <w:pStyle w:val="Heading1"/>
      </w:pPr>
      <w:bookmarkStart w:id="6" w:name="_Toc353810751"/>
      <w:r w:rsidRPr="005163AC">
        <w:t>Comments by the enlarged editorial committee in 2013</w:t>
      </w:r>
      <w:bookmarkEnd w:id="6"/>
      <w:r w:rsidRPr="005163AC">
        <w:t xml:space="preserve"> </w:t>
      </w:r>
    </w:p>
    <w:p w:rsidR="00F5371D" w:rsidRDefault="00F5371D" w:rsidP="00F5371D"/>
    <w:p w:rsidR="00F5371D" w:rsidRDefault="003205DA" w:rsidP="00F5371D">
      <w:r>
        <w:fldChar w:fldCharType="begin"/>
      </w:r>
      <w:r>
        <w:instrText xml:space="preserve"> AUTONUM  </w:instrText>
      </w:r>
      <w:r>
        <w:fldChar w:fldCharType="end"/>
      </w:r>
      <w:r>
        <w:tab/>
      </w:r>
      <w:r w:rsidR="00F5371D">
        <w:t>The TC­EDC, at its meeting on January 9 and 10, 2013, considered document TC-EDC/Jan13/17 and made the following proposals:</w:t>
      </w:r>
    </w:p>
    <w:p w:rsidR="00F5371D" w:rsidRDefault="00F5371D" w:rsidP="00F5371D"/>
    <w:tbl>
      <w:tblPr>
        <w:tblW w:w="9639"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985"/>
        <w:gridCol w:w="7654"/>
      </w:tblGrid>
      <w:tr w:rsidR="00F5371D" w:rsidRPr="005F2F8D" w:rsidTr="00111802">
        <w:tc>
          <w:tcPr>
            <w:tcW w:w="1985" w:type="dxa"/>
          </w:tcPr>
          <w:p w:rsidR="00F5371D" w:rsidRPr="005F2F8D" w:rsidRDefault="00F5371D" w:rsidP="00B45F62">
            <w:pPr>
              <w:rPr>
                <w:rFonts w:cs="Arial"/>
              </w:rPr>
            </w:pPr>
            <w:r>
              <w:rPr>
                <w:rFonts w:cs="Arial"/>
              </w:rPr>
              <w:t>General remark</w:t>
            </w:r>
          </w:p>
        </w:tc>
        <w:tc>
          <w:tcPr>
            <w:tcW w:w="7654" w:type="dxa"/>
          </w:tcPr>
          <w:p w:rsidR="00F5371D" w:rsidRPr="002D3B59" w:rsidRDefault="00F5371D" w:rsidP="00B45F62">
            <w:pPr>
              <w:jc w:val="left"/>
              <w:rPr>
                <w:rFonts w:eastAsia="MS Mincho" w:cs="Arial"/>
                <w:lang w:eastAsia="ja-JP"/>
              </w:rPr>
            </w:pPr>
            <w:r>
              <w:rPr>
                <w:rFonts w:cs="Arial"/>
              </w:rPr>
              <w:t xml:space="preserve">to add an introduction to explain the role of blind randomized trials. </w:t>
            </w:r>
          </w:p>
          <w:p w:rsidR="00F5371D" w:rsidRPr="005F2F8D" w:rsidRDefault="00F5371D" w:rsidP="00B45F62">
            <w:pPr>
              <w:keepNext/>
              <w:rPr>
                <w:rFonts w:cs="Arial"/>
              </w:rPr>
            </w:pPr>
          </w:p>
        </w:tc>
      </w:tr>
      <w:tr w:rsidR="00F5371D" w:rsidRPr="005F2F8D" w:rsidTr="00111802">
        <w:tc>
          <w:tcPr>
            <w:tcW w:w="1985" w:type="dxa"/>
          </w:tcPr>
          <w:p w:rsidR="00F5371D" w:rsidRDefault="00F5371D" w:rsidP="00B45F62">
            <w:pPr>
              <w:rPr>
                <w:rFonts w:cs="Arial"/>
              </w:rPr>
            </w:pPr>
            <w:r w:rsidRPr="005F2F8D">
              <w:rPr>
                <w:rFonts w:cs="Arial"/>
              </w:rPr>
              <w:t>Annex</w:t>
            </w:r>
            <w:r>
              <w:rPr>
                <w:rFonts w:cs="Arial"/>
              </w:rPr>
              <w:t>: Background</w:t>
            </w:r>
          </w:p>
          <w:p w:rsidR="00F5371D" w:rsidRDefault="00F5371D" w:rsidP="00B45F62">
            <w:pPr>
              <w:rPr>
                <w:rFonts w:cs="Arial"/>
              </w:rPr>
            </w:pPr>
            <w:r w:rsidRPr="002D3B59">
              <w:rPr>
                <w:rFonts w:cs="Arial"/>
                <w:spacing w:val="-4"/>
              </w:rPr>
              <w:t>Paragraph</w:t>
            </w:r>
            <w:r>
              <w:rPr>
                <w:rFonts w:cs="Arial"/>
              </w:rPr>
              <w:t> 1</w:t>
            </w:r>
          </w:p>
          <w:p w:rsidR="00F5371D" w:rsidRPr="005F2F8D" w:rsidRDefault="00F5371D" w:rsidP="00B45F62">
            <w:pPr>
              <w:rPr>
                <w:rFonts w:cs="Arial"/>
              </w:rPr>
            </w:pPr>
            <w:r>
              <w:rPr>
                <w:rFonts w:cs="Arial"/>
              </w:rPr>
              <w:t>Second bullet</w:t>
            </w:r>
          </w:p>
        </w:tc>
        <w:tc>
          <w:tcPr>
            <w:tcW w:w="7654" w:type="dxa"/>
          </w:tcPr>
          <w:p w:rsidR="00F5371D" w:rsidRPr="005F2F8D" w:rsidRDefault="00F5371D" w:rsidP="005535BE">
            <w:pPr>
              <w:keepNext/>
              <w:rPr>
                <w:rFonts w:cs="Arial"/>
              </w:rPr>
            </w:pPr>
            <w:r>
              <w:rPr>
                <w:rFonts w:cs="Arial"/>
              </w:rPr>
              <w:t xml:space="preserve">to read: “check some genetic diseases resistance not officially tested </w:t>
            </w:r>
            <w:r w:rsidRPr="00A36CAA">
              <w:rPr>
                <w:strike/>
                <w:highlight w:val="lightGray"/>
              </w:rPr>
              <w:t>by</w:t>
            </w:r>
            <w:r w:rsidRPr="00A36CAA">
              <w:rPr>
                <w:highlight w:val="lightGray"/>
              </w:rPr>
              <w:t xml:space="preserve"> </w:t>
            </w:r>
            <w:r w:rsidRPr="00A36CAA">
              <w:rPr>
                <w:strike/>
                <w:highlight w:val="lightGray"/>
              </w:rPr>
              <w:t xml:space="preserve">le </w:t>
            </w:r>
            <w:proofErr w:type="spellStart"/>
            <w:r w:rsidRPr="00576C15">
              <w:rPr>
                <w:strike/>
                <w:highlight w:val="lightGray"/>
              </w:rPr>
              <w:t>Groupe</w:t>
            </w:r>
            <w:proofErr w:type="spellEnd"/>
            <w:r w:rsidRPr="00576C15">
              <w:rPr>
                <w:strike/>
                <w:highlight w:val="lightGray"/>
              </w:rPr>
              <w:t xml:space="preserve"> </w:t>
            </w:r>
            <w:proofErr w:type="spellStart"/>
            <w:r w:rsidRPr="00576C15">
              <w:rPr>
                <w:strike/>
                <w:highlight w:val="lightGray"/>
              </w:rPr>
              <w:t>d'étude</w:t>
            </w:r>
            <w:proofErr w:type="spellEnd"/>
            <w:r w:rsidRPr="00576C15">
              <w:rPr>
                <w:strike/>
                <w:highlight w:val="lightGray"/>
              </w:rPr>
              <w:t xml:space="preserve"> et de </w:t>
            </w:r>
            <w:bookmarkStart w:id="7" w:name="_GoBack"/>
            <w:bookmarkEnd w:id="7"/>
            <w:proofErr w:type="spellStart"/>
            <w:r w:rsidRPr="00576C15">
              <w:rPr>
                <w:strike/>
                <w:highlight w:val="lightGray"/>
              </w:rPr>
              <w:t>contrôle</w:t>
            </w:r>
            <w:proofErr w:type="spellEnd"/>
            <w:r w:rsidRPr="00576C15">
              <w:rPr>
                <w:strike/>
                <w:highlight w:val="lightGray"/>
              </w:rPr>
              <w:t xml:space="preserve"> des </w:t>
            </w:r>
            <w:proofErr w:type="spellStart"/>
            <w:r w:rsidRPr="00576C15">
              <w:rPr>
                <w:strike/>
                <w:highlight w:val="lightGray"/>
              </w:rPr>
              <w:t>variétés</w:t>
            </w:r>
            <w:proofErr w:type="spellEnd"/>
            <w:r w:rsidRPr="00576C15">
              <w:rPr>
                <w:strike/>
                <w:highlight w:val="lightGray"/>
              </w:rPr>
              <w:t xml:space="preserve"> et des </w:t>
            </w:r>
            <w:proofErr w:type="spellStart"/>
            <w:r w:rsidRPr="00576C15">
              <w:rPr>
                <w:strike/>
                <w:highlight w:val="lightGray"/>
              </w:rPr>
              <w:t>semences</w:t>
            </w:r>
            <w:proofErr w:type="spellEnd"/>
            <w:r w:rsidRPr="00576C15">
              <w:rPr>
                <w:strike/>
                <w:highlight w:val="lightGray"/>
              </w:rPr>
              <w:t xml:space="preserve"> (GEVES</w:t>
            </w:r>
            <w:r w:rsidRPr="00A36CAA">
              <w:rPr>
                <w:strike/>
                <w:highlight w:val="lightGray"/>
              </w:rPr>
              <w:t xml:space="preserve">) </w:t>
            </w:r>
            <w:r w:rsidRPr="00A36CAA">
              <w:rPr>
                <w:strike/>
                <w:highlight w:val="lightGray"/>
                <w:u w:val="single"/>
              </w:rPr>
              <w:t>the authority in charge of DUS examination</w:t>
            </w:r>
            <w:r w:rsidRPr="005E587B">
              <w:t>.</w:t>
            </w:r>
            <w:r>
              <w:t>”</w:t>
            </w:r>
          </w:p>
        </w:tc>
      </w:tr>
      <w:tr w:rsidR="00F5371D" w:rsidRPr="005F2F8D" w:rsidTr="00111802">
        <w:tc>
          <w:tcPr>
            <w:tcW w:w="1985" w:type="dxa"/>
          </w:tcPr>
          <w:p w:rsidR="00F5371D" w:rsidRDefault="00F5371D" w:rsidP="00B45F62">
            <w:pPr>
              <w:rPr>
                <w:rFonts w:cs="Arial"/>
              </w:rPr>
            </w:pPr>
            <w:r w:rsidRPr="005F2F8D">
              <w:rPr>
                <w:rFonts w:cs="Arial"/>
              </w:rPr>
              <w:t>Annex</w:t>
            </w:r>
            <w:r>
              <w:rPr>
                <w:rFonts w:cs="Arial"/>
              </w:rPr>
              <w:t xml:space="preserve">: </w:t>
            </w:r>
          </w:p>
          <w:p w:rsidR="00F5371D" w:rsidRDefault="00F5371D" w:rsidP="00B45F62">
            <w:pPr>
              <w:rPr>
                <w:rFonts w:cs="Arial"/>
              </w:rPr>
            </w:pPr>
            <w:r w:rsidRPr="002D3B59">
              <w:rPr>
                <w:rFonts w:cs="Arial"/>
                <w:spacing w:val="-4"/>
              </w:rPr>
              <w:t>Paragraph</w:t>
            </w:r>
            <w:r>
              <w:rPr>
                <w:rFonts w:cs="Arial"/>
              </w:rPr>
              <w:t> 2</w:t>
            </w:r>
          </w:p>
          <w:p w:rsidR="00F5371D" w:rsidRPr="005F2F8D" w:rsidRDefault="00F5371D" w:rsidP="00B45F62">
            <w:pPr>
              <w:rPr>
                <w:rFonts w:cs="Arial"/>
              </w:rPr>
            </w:pPr>
            <w:r>
              <w:rPr>
                <w:rFonts w:cs="Arial"/>
              </w:rPr>
              <w:t>Preparation of the Trial: first bullet</w:t>
            </w:r>
          </w:p>
        </w:tc>
        <w:tc>
          <w:tcPr>
            <w:tcW w:w="7654" w:type="dxa"/>
          </w:tcPr>
          <w:p w:rsidR="00F5371D" w:rsidRDefault="00F5371D" w:rsidP="00FF17C1">
            <w:pPr>
              <w:keepNext/>
              <w:spacing w:before="40"/>
              <w:rPr>
                <w:rFonts w:cs="Arial"/>
              </w:rPr>
            </w:pPr>
            <w:r>
              <w:rPr>
                <w:rFonts w:cs="Arial"/>
              </w:rPr>
              <w:t>- to read: “</w:t>
            </w:r>
            <w:r w:rsidRPr="005F2F8D">
              <w:rPr>
                <w:rFonts w:cs="Arial"/>
              </w:rPr>
              <w:t>T</w:t>
            </w:r>
            <w:r>
              <w:rPr>
                <w:rFonts w:cs="Arial"/>
              </w:rPr>
              <w:t xml:space="preserve">he applicant has the choice to accept </w:t>
            </w:r>
            <w:r w:rsidRPr="005F30F6">
              <w:rPr>
                <w:rFonts w:cs="Arial"/>
                <w:strike/>
                <w:highlight w:val="lightGray"/>
              </w:rPr>
              <w:t>or not</w:t>
            </w:r>
            <w:r w:rsidRPr="005F2F8D">
              <w:rPr>
                <w:rFonts w:cs="Arial"/>
              </w:rPr>
              <w:t xml:space="preserve"> </w:t>
            </w:r>
            <w:r>
              <w:rPr>
                <w:rFonts w:cs="Arial"/>
              </w:rPr>
              <w:t xml:space="preserve">this possibility </w:t>
            </w:r>
            <w:r w:rsidRPr="005F30F6">
              <w:rPr>
                <w:rFonts w:cs="Arial"/>
                <w:highlight w:val="lightGray"/>
                <w:u w:val="single"/>
              </w:rPr>
              <w:t>or not</w:t>
            </w:r>
            <w:r>
              <w:rPr>
                <w:rFonts w:cs="Arial"/>
              </w:rPr>
              <w:t>;</w:t>
            </w:r>
          </w:p>
          <w:p w:rsidR="00F5371D" w:rsidRDefault="00F5371D" w:rsidP="00FF17C1">
            <w:pPr>
              <w:keepNext/>
              <w:spacing w:before="40"/>
              <w:rPr>
                <w:rFonts w:cs="Arial"/>
              </w:rPr>
            </w:pPr>
            <w:r>
              <w:rPr>
                <w:rFonts w:cs="Arial"/>
              </w:rPr>
              <w:t>- to clarify that the trial could also be conducted at an official site</w:t>
            </w:r>
            <w:r w:rsidR="00FF17C1">
              <w:rPr>
                <w:rFonts w:cs="Arial"/>
              </w:rPr>
              <w:t>;</w:t>
            </w:r>
          </w:p>
          <w:p w:rsidR="00F5371D" w:rsidRPr="005F2F8D" w:rsidRDefault="00F5371D" w:rsidP="00FF17C1">
            <w:pPr>
              <w:keepNext/>
              <w:spacing w:before="40"/>
              <w:rPr>
                <w:rFonts w:cs="Arial"/>
              </w:rPr>
            </w:pPr>
            <w:r>
              <w:rPr>
                <w:rFonts w:cs="Arial"/>
              </w:rPr>
              <w:t xml:space="preserve">- to add a possibility for blind randomized trials for </w:t>
            </w:r>
            <w:proofErr w:type="spellStart"/>
            <w:r>
              <w:rPr>
                <w:rFonts w:cs="Arial"/>
              </w:rPr>
              <w:t>vegetatively</w:t>
            </w:r>
            <w:proofErr w:type="spellEnd"/>
            <w:r>
              <w:rPr>
                <w:rFonts w:cs="Arial"/>
              </w:rPr>
              <w:t xml:space="preserve"> propagated varieties</w:t>
            </w:r>
            <w:r w:rsidR="00FF17C1">
              <w:rPr>
                <w:rFonts w:cs="Arial"/>
              </w:rPr>
              <w:t>.</w:t>
            </w:r>
          </w:p>
        </w:tc>
      </w:tr>
    </w:tbl>
    <w:p w:rsidR="005163AC" w:rsidRDefault="005163AC" w:rsidP="00EF5181">
      <w:pPr>
        <w:pStyle w:val="Heading1"/>
      </w:pPr>
    </w:p>
    <w:p w:rsidR="005163AC" w:rsidRDefault="005163AC" w:rsidP="00EF5181">
      <w:pPr>
        <w:pStyle w:val="Heading1"/>
      </w:pPr>
    </w:p>
    <w:p w:rsidR="003205DA" w:rsidRDefault="003205DA" w:rsidP="00EF5181">
      <w:pPr>
        <w:pStyle w:val="Heading1"/>
      </w:pPr>
      <w:bookmarkStart w:id="8" w:name="_Toc353810752"/>
      <w:r w:rsidRPr="00FA7008">
        <w:t xml:space="preserve">Comments by the </w:t>
      </w:r>
      <w:r>
        <w:t xml:space="preserve">technical committee </w:t>
      </w:r>
      <w:r w:rsidRPr="00FA7008">
        <w:t>in 201</w:t>
      </w:r>
      <w:r>
        <w:t>3</w:t>
      </w:r>
      <w:bookmarkEnd w:id="8"/>
      <w:r w:rsidRPr="00FA7008">
        <w:t xml:space="preserve"> </w:t>
      </w:r>
    </w:p>
    <w:p w:rsidR="003205DA" w:rsidRDefault="003205DA" w:rsidP="00F5371D"/>
    <w:p w:rsidR="003205DA" w:rsidRPr="00AF342C" w:rsidRDefault="003205DA" w:rsidP="003205DA">
      <w:pPr>
        <w:rPr>
          <w:rFonts w:cs="Arial"/>
        </w:rPr>
      </w:pPr>
      <w:r>
        <w:rPr>
          <w:iCs/>
          <w:spacing w:val="-4"/>
        </w:rPr>
        <w:fldChar w:fldCharType="begin"/>
      </w:r>
      <w:r>
        <w:rPr>
          <w:iCs/>
          <w:spacing w:val="-4"/>
        </w:rPr>
        <w:instrText xml:space="preserve"> AUTONUM  </w:instrText>
      </w:r>
      <w:r>
        <w:rPr>
          <w:iCs/>
          <w:spacing w:val="-4"/>
        </w:rPr>
        <w:fldChar w:fldCharType="end"/>
      </w:r>
      <w:r>
        <w:rPr>
          <w:iCs/>
          <w:spacing w:val="-4"/>
        </w:rPr>
        <w:tab/>
      </w:r>
      <w:r w:rsidRPr="002F6EFE">
        <w:rPr>
          <w:color w:val="000000"/>
        </w:rPr>
        <w:t>The TC</w:t>
      </w:r>
      <w:r>
        <w:rPr>
          <w:rFonts w:cs="Arial"/>
          <w:lang w:eastAsia="ja-JP"/>
        </w:rPr>
        <w:t>,</w:t>
      </w:r>
      <w:r w:rsidRPr="00FF2AF5">
        <w:rPr>
          <w:rFonts w:cs="Arial"/>
          <w:lang w:eastAsia="ja-JP"/>
        </w:rPr>
        <w:t xml:space="preserve"> at its forty-</w:t>
      </w:r>
      <w:r>
        <w:rPr>
          <w:rFonts w:cs="Arial"/>
          <w:lang w:eastAsia="ja-JP"/>
        </w:rPr>
        <w:t>ninth</w:t>
      </w:r>
      <w:r w:rsidRPr="00FF2AF5">
        <w:rPr>
          <w:rFonts w:cs="Arial"/>
          <w:lang w:eastAsia="ja-JP"/>
        </w:rPr>
        <w:t xml:space="preserve"> session held in Geneva from </w:t>
      </w:r>
      <w:r>
        <w:rPr>
          <w:rFonts w:cs="Arial"/>
          <w:lang w:eastAsia="ja-JP"/>
        </w:rPr>
        <w:t>March 18 to 20</w:t>
      </w:r>
      <w:r w:rsidRPr="00FF2AF5">
        <w:rPr>
          <w:rFonts w:cs="Arial"/>
          <w:lang w:eastAsia="ja-JP"/>
        </w:rPr>
        <w:t>, 201</w:t>
      </w:r>
      <w:r>
        <w:rPr>
          <w:rFonts w:cs="Arial"/>
          <w:lang w:eastAsia="ja-JP"/>
        </w:rPr>
        <w:t>3</w:t>
      </w:r>
      <w:r w:rsidRPr="00FF2AF5">
        <w:rPr>
          <w:rFonts w:cs="Arial"/>
          <w:lang w:eastAsia="ja-JP"/>
        </w:rPr>
        <w:t>,</w:t>
      </w:r>
      <w:r w:rsidRPr="002F6EFE">
        <w:rPr>
          <w:color w:val="000000"/>
        </w:rPr>
        <w:t xml:space="preserve"> </w:t>
      </w:r>
      <w:r w:rsidRPr="00AF342C">
        <w:rPr>
          <w:iCs/>
          <w:spacing w:val="-4"/>
        </w:rPr>
        <w:t xml:space="preserve">agreed to the preparation of a new draft for a new Section on “Guidance for Data Analysis for Blind Randomized Trials” by an expert from </w:t>
      </w:r>
      <w:r w:rsidRPr="00AF342C">
        <w:rPr>
          <w:iCs/>
          <w:spacing w:val="-4"/>
        </w:rPr>
        <w:lastRenderedPageBreak/>
        <w:t xml:space="preserve">France, on the basis of the Annex to document TC/49/30 and the comments by the TWPs </w:t>
      </w:r>
      <w:r w:rsidRPr="00AF342C">
        <w:t xml:space="preserve">at their sessions in 2012, </w:t>
      </w:r>
      <w:r w:rsidRPr="00AF342C">
        <w:rPr>
          <w:iCs/>
          <w:spacing w:val="-4"/>
        </w:rPr>
        <w:t>and the TC-EDC</w:t>
      </w:r>
      <w:r w:rsidRPr="00AF342C">
        <w:t xml:space="preserve"> at its meeting in 2013</w:t>
      </w:r>
      <w:r w:rsidRPr="00AF342C">
        <w:rPr>
          <w:iCs/>
          <w:spacing w:val="-4"/>
        </w:rPr>
        <w:t>, for consideration by the TWPs at their sessions in 2013</w:t>
      </w:r>
      <w:r>
        <w:rPr>
          <w:iCs/>
          <w:spacing w:val="-4"/>
        </w:rPr>
        <w:t xml:space="preserve"> </w:t>
      </w:r>
      <w:r w:rsidR="001E34C0">
        <w:rPr>
          <w:rFonts w:cs="Arial"/>
        </w:rPr>
        <w:t>(see document TC/49/41</w:t>
      </w:r>
      <w:r w:rsidR="001E34C0" w:rsidRPr="00FF2AF5">
        <w:rPr>
          <w:rFonts w:cs="Arial"/>
        </w:rPr>
        <w:t xml:space="preserve"> “Repor</w:t>
      </w:r>
      <w:r w:rsidR="001E34C0">
        <w:rPr>
          <w:rFonts w:cs="Arial"/>
        </w:rPr>
        <w:t>t on the Conclusions”, paragraphs 67 and 68)</w:t>
      </w:r>
      <w:r w:rsidRPr="00AF342C">
        <w:rPr>
          <w:iCs/>
          <w:spacing w:val="-4"/>
        </w:rPr>
        <w:t>.</w:t>
      </w:r>
    </w:p>
    <w:p w:rsidR="003205DA" w:rsidRDefault="003205DA" w:rsidP="00F5371D"/>
    <w:p w:rsidR="00F5371D" w:rsidRDefault="005E4FDE" w:rsidP="00F5371D">
      <w:r>
        <w:rPr>
          <w:rFonts w:cs="Arial"/>
        </w:rPr>
        <w:fldChar w:fldCharType="begin"/>
      </w:r>
      <w:r>
        <w:rPr>
          <w:rFonts w:cs="Arial"/>
        </w:rPr>
        <w:instrText xml:space="preserve"> AUTONUM  </w:instrText>
      </w:r>
      <w:r>
        <w:rPr>
          <w:rFonts w:cs="Arial"/>
        </w:rPr>
        <w:fldChar w:fldCharType="end"/>
      </w:r>
      <w:r>
        <w:rPr>
          <w:rFonts w:cs="Arial"/>
        </w:rPr>
        <w:tab/>
      </w:r>
      <w:r w:rsidR="00F5371D">
        <w:rPr>
          <w:rFonts w:cs="Arial"/>
        </w:rPr>
        <w:t xml:space="preserve">The </w:t>
      </w:r>
      <w:r w:rsidR="00F5371D">
        <w:rPr>
          <w:bCs/>
        </w:rPr>
        <w:t>Annex</w:t>
      </w:r>
      <w:r w:rsidR="005D541A">
        <w:rPr>
          <w:bCs/>
        </w:rPr>
        <w:t xml:space="preserve"> II</w:t>
      </w:r>
      <w:r w:rsidR="00F5371D">
        <w:rPr>
          <w:bCs/>
        </w:rPr>
        <w:t xml:space="preserve"> to this document contains </w:t>
      </w:r>
      <w:r w:rsidR="00F5371D">
        <w:rPr>
          <w:rFonts w:cs="Arial"/>
          <w:lang w:eastAsia="ja-JP"/>
        </w:rPr>
        <w:t xml:space="preserve">draft guidance on data analysis for blind randomized trials for inclusion in a future revision of document TGP/8, </w:t>
      </w:r>
      <w:r w:rsidR="00F5371D">
        <w:t>as prepared by experts from France</w:t>
      </w:r>
      <w:r w:rsidR="00D82441">
        <w:t>,</w:t>
      </w:r>
      <w:r w:rsidR="00F5371D">
        <w:t xml:space="preserve"> </w:t>
      </w:r>
      <w:r w:rsidR="00D82441">
        <w:t xml:space="preserve">on the basis of </w:t>
      </w:r>
      <w:r w:rsidR="00F5371D">
        <w:t>the comments made by the TWPs at their sessions in 2012</w:t>
      </w:r>
      <w:r w:rsidR="001F788F">
        <w:t xml:space="preserve"> and the TC-EDC, at its meeting in January, 2013</w:t>
      </w:r>
      <w:r w:rsidR="00F5371D">
        <w:rPr>
          <w:rFonts w:cs="Arial"/>
          <w:lang w:eastAsia="ja-JP"/>
        </w:rPr>
        <w:t xml:space="preserve">. </w:t>
      </w:r>
      <w:r w:rsidR="00F5371D">
        <w:t>The amendments to the text considered by the TWPs at their sessions in 2012</w:t>
      </w:r>
      <w:r w:rsidR="001F788F">
        <w:t xml:space="preserve"> and the TC-EDC, at its meeting in January, 2013</w:t>
      </w:r>
      <w:r w:rsidR="001E34C0">
        <w:t xml:space="preserve">, </w:t>
      </w:r>
      <w:r w:rsidR="00F5371D">
        <w:t>are indicated by highlighting and strikethrough for deletions and highlighting and underlining for additions.</w:t>
      </w:r>
    </w:p>
    <w:p w:rsidR="00F5371D" w:rsidRDefault="00F5371D" w:rsidP="00F5371D"/>
    <w:p w:rsidR="00F5371D" w:rsidRPr="00F02F34" w:rsidRDefault="005E4FDE" w:rsidP="005E4FDE">
      <w:pPr>
        <w:pStyle w:val="DecisionParagraphs"/>
        <w:tabs>
          <w:tab w:val="num" w:pos="5387"/>
        </w:tabs>
      </w:pPr>
      <w:r>
        <w:fldChar w:fldCharType="begin"/>
      </w:r>
      <w:r>
        <w:instrText xml:space="preserve"> AUTONUM  </w:instrText>
      </w:r>
      <w:r>
        <w:fldChar w:fldCharType="end"/>
      </w:r>
      <w:r>
        <w:tab/>
      </w:r>
      <w:r w:rsidR="00F5371D" w:rsidRPr="00F02F34">
        <w:t xml:space="preserve">The </w:t>
      </w:r>
      <w:r>
        <w:t>TW</w:t>
      </w:r>
      <w:r w:rsidR="007F03A7">
        <w:t>F</w:t>
      </w:r>
      <w:r>
        <w:t xml:space="preserve"> </w:t>
      </w:r>
      <w:r w:rsidR="00F5371D" w:rsidRPr="00F02F34">
        <w:t xml:space="preserve">is invited to </w:t>
      </w:r>
      <w:r>
        <w:t xml:space="preserve">consider the </w:t>
      </w:r>
      <w:r w:rsidR="00F5371D" w:rsidRPr="00F02F34">
        <w:t>draft new Section</w:t>
      </w:r>
      <w:r>
        <w:t xml:space="preserve"> </w:t>
      </w:r>
      <w:r w:rsidR="00F5371D" w:rsidRPr="00F02F34">
        <w:t>on “Guidance for Data Analysis for Blind Randomized Trials”, on the basis of the Annex to this document and the comments by the TWP</w:t>
      </w:r>
      <w:r w:rsidR="00F5371D">
        <w:t>s</w:t>
      </w:r>
      <w:r>
        <w:t xml:space="preserve">, </w:t>
      </w:r>
      <w:r w:rsidR="003412CF">
        <w:t xml:space="preserve">the </w:t>
      </w:r>
      <w:r w:rsidR="00F5371D" w:rsidRPr="00F02F34">
        <w:t>TC</w:t>
      </w:r>
      <w:r w:rsidR="003412CF">
        <w:noBreakHyphen/>
      </w:r>
      <w:r w:rsidR="00F5371D" w:rsidRPr="00F02F34">
        <w:t>EDC</w:t>
      </w:r>
      <w:r>
        <w:t xml:space="preserve"> and</w:t>
      </w:r>
      <w:r w:rsidR="003412CF">
        <w:t xml:space="preserve"> the</w:t>
      </w:r>
      <w:r>
        <w:t xml:space="preserve"> TC,</w:t>
      </w:r>
      <w:r w:rsidR="00F5371D" w:rsidRPr="00F02F34">
        <w:t xml:space="preserve"> as set out in paragraphs </w:t>
      </w:r>
      <w:r w:rsidR="00EF5181">
        <w:t>6</w:t>
      </w:r>
      <w:r w:rsidR="00F5371D" w:rsidRPr="00F02F34">
        <w:t xml:space="preserve"> </w:t>
      </w:r>
      <w:r>
        <w:t xml:space="preserve">to </w:t>
      </w:r>
      <w:r w:rsidR="00EF5181">
        <w:t>8</w:t>
      </w:r>
      <w:r w:rsidR="00F5371D" w:rsidRPr="00F02F34">
        <w:t xml:space="preserve"> of this document.</w:t>
      </w:r>
    </w:p>
    <w:p w:rsidR="00F5371D" w:rsidRPr="00F02F34" w:rsidRDefault="00F5371D" w:rsidP="00F5371D">
      <w:pPr>
        <w:pStyle w:val="DecisionParagraphs"/>
        <w:spacing w:before="120"/>
        <w:ind w:left="0"/>
      </w:pPr>
    </w:p>
    <w:p w:rsidR="00F5371D" w:rsidRDefault="00F5371D" w:rsidP="00F5371D"/>
    <w:p w:rsidR="00F5371D" w:rsidRDefault="00F5371D" w:rsidP="00F5371D"/>
    <w:p w:rsidR="00F5371D" w:rsidRDefault="00F5371D" w:rsidP="00F5371D">
      <w:pPr>
        <w:jc w:val="right"/>
      </w:pPr>
      <w:r>
        <w:t>[Annex</w:t>
      </w:r>
      <w:r w:rsidR="005613F7">
        <w:t>es</w:t>
      </w:r>
      <w:r>
        <w:t xml:space="preserve"> fo</w:t>
      </w:r>
      <w:r w:rsidR="005613F7">
        <w:t>llow</w:t>
      </w:r>
      <w:r>
        <w:t>]</w:t>
      </w:r>
    </w:p>
    <w:p w:rsidR="00F5371D" w:rsidRDefault="00F5371D" w:rsidP="00F5371D"/>
    <w:p w:rsidR="00F5371D" w:rsidRDefault="00F5371D" w:rsidP="00F5371D">
      <w:pPr>
        <w:sectPr w:rsidR="00F5371D" w:rsidSect="00906DDC">
          <w:headerReference w:type="default" r:id="rId10"/>
          <w:pgSz w:w="11907" w:h="16840" w:code="9"/>
          <w:pgMar w:top="510" w:right="1134" w:bottom="1134" w:left="1134" w:header="510" w:footer="680" w:gutter="0"/>
          <w:cols w:space="720"/>
          <w:titlePg/>
        </w:sectPr>
      </w:pPr>
    </w:p>
    <w:p w:rsidR="00CE4A5B" w:rsidRDefault="00CE4A5B" w:rsidP="00CE4A5B">
      <w:pPr>
        <w:jc w:val="center"/>
        <w:rPr>
          <w:caps/>
        </w:rPr>
      </w:pPr>
    </w:p>
    <w:p w:rsidR="00D9707D" w:rsidRPr="00CE4A5B" w:rsidRDefault="00D9707D" w:rsidP="00CE4A5B">
      <w:pPr>
        <w:jc w:val="center"/>
        <w:rPr>
          <w:caps/>
        </w:rPr>
      </w:pPr>
      <w:r w:rsidRPr="00CE4A5B">
        <w:rPr>
          <w:caps/>
        </w:rPr>
        <w:t>Extract from Document TGP/8</w:t>
      </w:r>
    </w:p>
    <w:p w:rsidR="00D9707D" w:rsidRPr="00D9707D" w:rsidRDefault="00D9707D" w:rsidP="00AC78F4">
      <w:pPr>
        <w:autoSpaceDE w:val="0"/>
        <w:autoSpaceDN w:val="0"/>
        <w:adjustRightInd w:val="0"/>
        <w:jc w:val="left"/>
        <w:rPr>
          <w:rFonts w:cs="Arial"/>
        </w:rPr>
      </w:pPr>
    </w:p>
    <w:p w:rsidR="00D9707D" w:rsidRPr="00D9707D" w:rsidRDefault="00D9707D" w:rsidP="00AC78F4">
      <w:pPr>
        <w:autoSpaceDE w:val="0"/>
        <w:autoSpaceDN w:val="0"/>
        <w:adjustRightInd w:val="0"/>
        <w:jc w:val="left"/>
        <w:rPr>
          <w:rFonts w:cs="Arial"/>
        </w:rPr>
      </w:pPr>
    </w:p>
    <w:p w:rsidR="00AC78F4" w:rsidRPr="00D9707D" w:rsidRDefault="00AC78F4" w:rsidP="00AC78F4">
      <w:pPr>
        <w:autoSpaceDE w:val="0"/>
        <w:autoSpaceDN w:val="0"/>
        <w:adjustRightInd w:val="0"/>
        <w:jc w:val="left"/>
        <w:rPr>
          <w:rFonts w:cs="Arial"/>
        </w:rPr>
      </w:pPr>
      <w:r w:rsidRPr="00D9707D">
        <w:rPr>
          <w:rFonts w:cs="Arial"/>
        </w:rPr>
        <w:t>PART I: DUS TRIAL DESIGN AND DATA ANALYSIS</w:t>
      </w:r>
    </w:p>
    <w:p w:rsidR="00D9707D" w:rsidRPr="00D9707D" w:rsidRDefault="00D9707D" w:rsidP="00AC78F4">
      <w:pPr>
        <w:autoSpaceDE w:val="0"/>
        <w:autoSpaceDN w:val="0"/>
        <w:adjustRightInd w:val="0"/>
        <w:jc w:val="left"/>
        <w:rPr>
          <w:rFonts w:cs="Arial"/>
        </w:rPr>
      </w:pPr>
    </w:p>
    <w:p w:rsidR="00AC78F4" w:rsidRPr="007A334E" w:rsidRDefault="00AC78F4" w:rsidP="00AC78F4">
      <w:pPr>
        <w:pStyle w:val="Heading4"/>
        <w:ind w:left="0" w:right="9"/>
        <w:rPr>
          <w:rFonts w:cs="Arial"/>
          <w:i w:val="0"/>
          <w:lang w:val="en-US"/>
        </w:rPr>
      </w:pPr>
      <w:r w:rsidRPr="007A334E">
        <w:rPr>
          <w:rFonts w:cs="Arial"/>
          <w:i w:val="0"/>
          <w:lang w:val="en-US"/>
        </w:rPr>
        <w:t>1. DUS TRIAL DESIGN</w:t>
      </w:r>
    </w:p>
    <w:p w:rsidR="00D9707D" w:rsidRPr="007A334E" w:rsidRDefault="00EF5181" w:rsidP="00D9707D">
      <w:r w:rsidRPr="007A334E">
        <w:t>[…]</w:t>
      </w:r>
    </w:p>
    <w:p w:rsidR="00EF5181" w:rsidRPr="007A334E" w:rsidRDefault="00EF5181" w:rsidP="00D9707D"/>
    <w:p w:rsidR="00AC78F4" w:rsidRPr="007A334E" w:rsidRDefault="00AC78F4" w:rsidP="00AC78F4">
      <w:pPr>
        <w:pStyle w:val="Heading4"/>
        <w:ind w:left="0" w:right="9"/>
        <w:rPr>
          <w:rFonts w:cs="Arial"/>
          <w:i w:val="0"/>
          <w:lang w:val="en-US"/>
        </w:rPr>
      </w:pPr>
      <w:r w:rsidRPr="007A334E">
        <w:rPr>
          <w:rFonts w:cs="Arial"/>
          <w:i w:val="0"/>
          <w:lang w:val="en-US"/>
        </w:rPr>
        <w:t>1.5 Test Design</w:t>
      </w:r>
    </w:p>
    <w:p w:rsidR="00EF5181" w:rsidRPr="007A334E" w:rsidRDefault="00EF5181" w:rsidP="00EF5181">
      <w:r w:rsidRPr="007A334E">
        <w:t>[…]</w:t>
      </w:r>
    </w:p>
    <w:p w:rsidR="00D9707D" w:rsidRPr="007A334E" w:rsidRDefault="00D9707D" w:rsidP="00D9707D"/>
    <w:p w:rsidR="00AC78F4" w:rsidRPr="007A334E" w:rsidRDefault="00AC78F4" w:rsidP="00AC78F4">
      <w:pPr>
        <w:rPr>
          <w:rFonts w:cs="Arial"/>
        </w:rPr>
      </w:pPr>
      <w:r w:rsidRPr="00D9707D">
        <w:rPr>
          <w:rFonts w:cs="Arial"/>
        </w:rPr>
        <w:t>1.5.3 Trial layout</w:t>
      </w:r>
    </w:p>
    <w:p w:rsidR="00EF5181" w:rsidRPr="007A334E" w:rsidRDefault="00EF5181" w:rsidP="00EF5181">
      <w:r w:rsidRPr="007A334E">
        <w:t>[…]</w:t>
      </w:r>
    </w:p>
    <w:p w:rsidR="00AC78F4" w:rsidRDefault="00AC78F4" w:rsidP="00AC78F4">
      <w:pPr>
        <w:pStyle w:val="Heading4"/>
        <w:ind w:left="0" w:right="9"/>
        <w:rPr>
          <w:rFonts w:cs="Arial"/>
          <w:lang w:val="en-US"/>
        </w:rPr>
      </w:pPr>
    </w:p>
    <w:p w:rsidR="001F788F" w:rsidRPr="007A334E" w:rsidRDefault="001F788F" w:rsidP="00AC78F4">
      <w:pPr>
        <w:pStyle w:val="Heading4"/>
        <w:ind w:left="0" w:right="9"/>
        <w:rPr>
          <w:rFonts w:cs="Arial"/>
          <w:lang w:val="en-US"/>
        </w:rPr>
      </w:pPr>
      <w:r w:rsidRPr="00AC78F4">
        <w:rPr>
          <w:rFonts w:cs="Arial"/>
          <w:lang w:val="en-US"/>
        </w:rPr>
        <w:t>“</w:t>
      </w:r>
      <w:r w:rsidRPr="007A334E">
        <w:rPr>
          <w:rFonts w:cs="Arial"/>
          <w:lang w:val="en-US"/>
        </w:rPr>
        <w:t>1.5.3</w:t>
      </w:r>
      <w:r w:rsidRPr="007A334E">
        <w:rPr>
          <w:rFonts w:cs="Arial"/>
          <w:color w:val="000000"/>
          <w:lang w:val="en-US"/>
        </w:rPr>
        <w:t>.4</w:t>
      </w:r>
      <w:r w:rsidRPr="007A334E">
        <w:rPr>
          <w:rFonts w:cs="Arial"/>
          <w:color w:val="000000"/>
          <w:lang w:val="en-US"/>
        </w:rPr>
        <w:tab/>
      </w:r>
      <w:r w:rsidRPr="007A334E">
        <w:rPr>
          <w:rFonts w:cs="Arial"/>
          <w:lang w:val="en-US"/>
        </w:rPr>
        <w:t>Blind Randomized Trials</w:t>
      </w:r>
    </w:p>
    <w:p w:rsidR="001F788F" w:rsidRPr="007A334E" w:rsidRDefault="001F788F" w:rsidP="00AC78F4">
      <w:pPr>
        <w:ind w:right="9"/>
      </w:pPr>
    </w:p>
    <w:p w:rsidR="001F788F" w:rsidRPr="00AC78F4" w:rsidRDefault="001F788F" w:rsidP="00AC78F4">
      <w:pPr>
        <w:pStyle w:val="BodyTextIndent"/>
        <w:tabs>
          <w:tab w:val="left" w:pos="1080"/>
        </w:tabs>
        <w:ind w:left="0" w:right="9"/>
        <w:rPr>
          <w:rFonts w:ascii="Arial" w:hAnsi="Arial" w:cs="Arial"/>
          <w:sz w:val="20"/>
        </w:rPr>
      </w:pPr>
      <w:r w:rsidRPr="00AC78F4">
        <w:rPr>
          <w:rFonts w:ascii="Arial" w:hAnsi="Arial" w:cs="Arial"/>
          <w:sz w:val="20"/>
        </w:rPr>
        <w:t>1.5.3</w:t>
      </w:r>
      <w:r w:rsidRPr="00AC78F4">
        <w:rPr>
          <w:rFonts w:ascii="Arial" w:hAnsi="Arial" w:cs="Arial"/>
          <w:color w:val="000000"/>
          <w:sz w:val="20"/>
        </w:rPr>
        <w:t>.4.1</w:t>
      </w:r>
      <w:r w:rsidRPr="00AC78F4">
        <w:rPr>
          <w:rFonts w:ascii="Arial" w:hAnsi="Arial" w:cs="Arial"/>
          <w:color w:val="000000"/>
          <w:sz w:val="20"/>
        </w:rPr>
        <w:tab/>
        <w:t xml:space="preserve">Part of a trial may consist of plots sown specifically for randomized “blind” testing, </w:t>
      </w:r>
      <w:r w:rsidRPr="00AC78F4">
        <w:rPr>
          <w:rFonts w:ascii="Arial" w:hAnsi="Arial" w:cs="Arial"/>
          <w:sz w:val="20"/>
        </w:rPr>
        <w:t xml:space="preserve">such as plots containing plants of both the varieties to be distinguished between, with the plants sown in a random but known order, </w:t>
      </w:r>
      <w:r w:rsidRPr="00AC78F4">
        <w:rPr>
          <w:rFonts w:ascii="Arial" w:hAnsi="Arial" w:cs="Arial"/>
          <w:color w:val="000000"/>
          <w:sz w:val="20"/>
        </w:rPr>
        <w:t xml:space="preserve">or alternatively a mixture of pots with the two varieties in a greenhouse.  The two varieties comprise </w:t>
      </w:r>
      <w:r w:rsidRPr="00AC78F4">
        <w:rPr>
          <w:rFonts w:ascii="Arial" w:hAnsi="Arial" w:cs="Arial"/>
          <w:sz w:val="20"/>
        </w:rPr>
        <w:t xml:space="preserve">the candidate plus the variety with which the distinctness of the candidate is in dispute.  The principle of </w:t>
      </w:r>
      <w:r w:rsidRPr="00AC78F4">
        <w:rPr>
          <w:rFonts w:ascii="Arial" w:hAnsi="Arial" w:cs="Arial"/>
          <w:color w:val="000000"/>
          <w:sz w:val="20"/>
        </w:rPr>
        <w:t>randomized “blind” testing</w:t>
      </w:r>
      <w:r w:rsidRPr="00AC78F4">
        <w:rPr>
          <w:rFonts w:ascii="Arial" w:hAnsi="Arial" w:cs="Arial"/>
          <w:sz w:val="20"/>
        </w:rPr>
        <w:t xml:space="preserve"> is that a judge, sometimes the breeder, is presented with the plants and is asked to tell plant by plant which is the candidate, and which is the other variety.  </w:t>
      </w:r>
    </w:p>
    <w:p w:rsidR="001F788F" w:rsidRPr="00AC78F4" w:rsidRDefault="001F788F" w:rsidP="00AC78F4">
      <w:pPr>
        <w:pStyle w:val="BodyTextIndent"/>
        <w:ind w:left="0" w:right="9"/>
        <w:rPr>
          <w:rFonts w:ascii="Arial" w:hAnsi="Arial" w:cs="Arial"/>
          <w:sz w:val="20"/>
        </w:rPr>
      </w:pPr>
    </w:p>
    <w:p w:rsidR="001F788F" w:rsidRPr="00AC78F4" w:rsidRDefault="001F788F" w:rsidP="00AC78F4">
      <w:pPr>
        <w:pStyle w:val="BodyTextIndent"/>
        <w:tabs>
          <w:tab w:val="left" w:pos="1200"/>
        </w:tabs>
        <w:ind w:left="0" w:right="9"/>
        <w:rPr>
          <w:rFonts w:ascii="Arial" w:hAnsi="Arial" w:cs="Arial"/>
          <w:sz w:val="20"/>
        </w:rPr>
      </w:pPr>
      <w:r w:rsidRPr="00AC78F4">
        <w:rPr>
          <w:rFonts w:ascii="Arial" w:hAnsi="Arial" w:cs="Arial"/>
          <w:sz w:val="20"/>
        </w:rPr>
        <w:t>1.5.3</w:t>
      </w:r>
      <w:r w:rsidRPr="00AC78F4">
        <w:rPr>
          <w:rFonts w:ascii="Arial" w:hAnsi="Arial" w:cs="Arial"/>
          <w:color w:val="000000"/>
          <w:sz w:val="20"/>
        </w:rPr>
        <w:t>.4.2</w:t>
      </w:r>
      <w:r w:rsidRPr="00AC78F4">
        <w:rPr>
          <w:rFonts w:ascii="Arial" w:hAnsi="Arial" w:cs="Arial"/>
          <w:color w:val="000000"/>
          <w:sz w:val="20"/>
        </w:rPr>
        <w:tab/>
      </w:r>
      <w:r w:rsidRPr="00AC78F4">
        <w:rPr>
          <w:rFonts w:ascii="Arial" w:hAnsi="Arial" w:cs="Arial"/>
          <w:sz w:val="20"/>
        </w:rPr>
        <w:t>To allow this, the plants must be presented or sown in a random order but such that the tester knows which is which variety, the judge judges each plant, and the tester counts the number of times the different varieties are correctly identified.  In order to reinforce the blindness of the test, a different number of plants from each of the two varieties are presented, for instance 51 of the candidate and 69 of the other, rather than 60 of each.  As differences may occur at different stages of growth, the judge can assess the plants on more than one occasion.</w:t>
      </w:r>
      <w:r w:rsidR="00D9707D">
        <w:rPr>
          <w:rFonts w:ascii="Arial" w:hAnsi="Arial" w:cs="Arial"/>
          <w:sz w:val="20"/>
        </w:rPr>
        <w:t>”</w:t>
      </w:r>
    </w:p>
    <w:p w:rsidR="00F5371D" w:rsidRPr="00AC78F4" w:rsidRDefault="00F5371D" w:rsidP="00AC78F4">
      <w:pPr>
        <w:ind w:right="9"/>
        <w:jc w:val="right"/>
      </w:pPr>
    </w:p>
    <w:p w:rsidR="00F5371D" w:rsidRPr="00AC78F4" w:rsidRDefault="00F5371D" w:rsidP="00AC78F4">
      <w:pPr>
        <w:ind w:right="9"/>
        <w:jc w:val="right"/>
      </w:pPr>
    </w:p>
    <w:p w:rsidR="00F5371D" w:rsidRPr="00AC78F4" w:rsidRDefault="00F5371D" w:rsidP="00AC78F4">
      <w:pPr>
        <w:ind w:right="9"/>
        <w:jc w:val="right"/>
      </w:pPr>
    </w:p>
    <w:p w:rsidR="00DF474C" w:rsidRPr="00AC78F4" w:rsidRDefault="00F5371D" w:rsidP="00AC78F4">
      <w:pPr>
        <w:ind w:right="9"/>
        <w:jc w:val="right"/>
      </w:pPr>
      <w:r w:rsidRPr="00AC78F4">
        <w:t>[</w:t>
      </w:r>
      <w:r w:rsidR="001F788F" w:rsidRPr="00AC78F4">
        <w:t>Annex II follows</w:t>
      </w:r>
      <w:r w:rsidRPr="00AC78F4">
        <w:t>]</w:t>
      </w:r>
    </w:p>
    <w:p w:rsidR="005163AC" w:rsidRDefault="005163AC" w:rsidP="00F5371D">
      <w:pPr>
        <w:jc w:val="right"/>
      </w:pPr>
    </w:p>
    <w:p w:rsidR="001F788F" w:rsidRPr="007A334E" w:rsidRDefault="005163AC" w:rsidP="001F788F">
      <w:pPr>
        <w:pStyle w:val="Heading4"/>
        <w:ind w:left="720" w:right="639"/>
        <w:rPr>
          <w:lang w:val="en-US"/>
        </w:rPr>
      </w:pPr>
      <w:r w:rsidRPr="007A334E">
        <w:rPr>
          <w:lang w:val="en-US"/>
        </w:rPr>
        <w:br w:type="page"/>
      </w:r>
    </w:p>
    <w:p w:rsidR="001F788F" w:rsidRDefault="00EF5181" w:rsidP="001F788F">
      <w:pPr>
        <w:jc w:val="center"/>
        <w:rPr>
          <w:rFonts w:cs="Arial"/>
          <w:caps/>
        </w:rPr>
      </w:pPr>
      <w:r>
        <w:rPr>
          <w:rFonts w:cs="Arial"/>
          <w:caps/>
        </w:rPr>
        <w:lastRenderedPageBreak/>
        <w:t xml:space="preserve">draft </w:t>
      </w:r>
      <w:r w:rsidR="001F788F" w:rsidRPr="00AA533F">
        <w:rPr>
          <w:rFonts w:cs="Arial"/>
          <w:caps/>
        </w:rPr>
        <w:t>Guidance of Data Analysis for Blind Randomized Trials</w:t>
      </w:r>
    </w:p>
    <w:p w:rsidR="0083609F" w:rsidRPr="0083609F" w:rsidRDefault="0083609F" w:rsidP="008B3EB2">
      <w:pPr>
        <w:shd w:val="clear" w:color="auto" w:fill="FFFFFF"/>
        <w:jc w:val="center"/>
        <w:rPr>
          <w:caps/>
          <w:u w:val="single"/>
        </w:rPr>
      </w:pPr>
      <w:r w:rsidRPr="008B3EB2">
        <w:rPr>
          <w:rFonts w:cs="Arial"/>
          <w:caps/>
          <w:u w:val="single"/>
          <w:shd w:val="clear" w:color="auto" w:fill="D9D9D9"/>
        </w:rPr>
        <w:t xml:space="preserve">CONDUCTED BY THE APPLICANT OR UNDER </w:t>
      </w:r>
      <w:r w:rsidR="00623440">
        <w:rPr>
          <w:rFonts w:cs="Arial"/>
          <w:caps/>
          <w:u w:val="single"/>
          <w:shd w:val="clear" w:color="auto" w:fill="D9D9D9"/>
        </w:rPr>
        <w:t>their</w:t>
      </w:r>
      <w:r w:rsidRPr="008B3EB2">
        <w:rPr>
          <w:rFonts w:cs="Arial"/>
          <w:caps/>
          <w:u w:val="single"/>
          <w:shd w:val="clear" w:color="auto" w:fill="D9D9D9"/>
        </w:rPr>
        <w:t xml:space="preserve"> RESPONS</w:t>
      </w:r>
      <w:r w:rsidR="00EF5181">
        <w:rPr>
          <w:rFonts w:cs="Arial"/>
          <w:caps/>
          <w:u w:val="single"/>
          <w:shd w:val="clear" w:color="auto" w:fill="D9D9D9"/>
        </w:rPr>
        <w:t>i</w:t>
      </w:r>
      <w:r w:rsidRPr="008B3EB2">
        <w:rPr>
          <w:rFonts w:cs="Arial"/>
          <w:caps/>
          <w:u w:val="single"/>
          <w:shd w:val="clear" w:color="auto" w:fill="D9D9D9"/>
        </w:rPr>
        <w:t>BILITY</w:t>
      </w:r>
    </w:p>
    <w:p w:rsidR="0083609F" w:rsidRPr="00AA533F" w:rsidRDefault="0083609F" w:rsidP="001F788F">
      <w:pPr>
        <w:jc w:val="center"/>
        <w:rPr>
          <w:caps/>
        </w:rPr>
      </w:pPr>
    </w:p>
    <w:p w:rsidR="001F788F" w:rsidRDefault="001F788F" w:rsidP="001F788F"/>
    <w:p w:rsidR="0083609F" w:rsidRDefault="0083609F" w:rsidP="001F788F"/>
    <w:p w:rsidR="0083609F" w:rsidRDefault="0083609F" w:rsidP="0083609F">
      <w:pPr>
        <w:rPr>
          <w:u w:val="single"/>
        </w:rPr>
      </w:pPr>
      <w:r w:rsidRPr="008B3EB2">
        <w:rPr>
          <w:u w:val="single"/>
          <w:shd w:val="clear" w:color="auto" w:fill="BFBFBF"/>
        </w:rPr>
        <w:t>Introduction:</w:t>
      </w:r>
    </w:p>
    <w:p w:rsidR="0083609F" w:rsidRPr="0083609F" w:rsidRDefault="00EF5181" w:rsidP="0083609F">
      <w:r>
        <w:rPr>
          <w:shd w:val="clear" w:color="auto" w:fill="BFBFBF"/>
        </w:rPr>
        <w:t>[To be provided]</w:t>
      </w:r>
    </w:p>
    <w:p w:rsidR="0083609F" w:rsidRDefault="0083609F" w:rsidP="001F788F"/>
    <w:p w:rsidR="001F788F" w:rsidRDefault="001F788F" w:rsidP="001F788F">
      <w:pPr>
        <w:rPr>
          <w:u w:val="single"/>
        </w:rPr>
      </w:pPr>
      <w:r w:rsidRPr="00AA533F">
        <w:rPr>
          <w:u w:val="single"/>
        </w:rPr>
        <w:t>Background:</w:t>
      </w:r>
    </w:p>
    <w:p w:rsidR="001F788F" w:rsidRPr="00AA533F" w:rsidRDefault="001F788F" w:rsidP="001F788F">
      <w:pPr>
        <w:rPr>
          <w:u w:val="single"/>
        </w:rPr>
      </w:pPr>
    </w:p>
    <w:p w:rsidR="001F788F" w:rsidRDefault="001F788F" w:rsidP="001F788F">
      <w:r>
        <w:t>1.</w:t>
      </w:r>
      <w:r w:rsidRPr="006431CB">
        <w:tab/>
        <w:t xml:space="preserve">The blind randomized trials have been used in </w:t>
      </w:r>
      <w:smartTag w:uri="urn:schemas-microsoft-com:office:smarttags" w:element="place">
        <w:smartTag w:uri="urn:schemas-microsoft-com:office:smarttags" w:element="country-region">
          <w:r w:rsidRPr="006431CB">
            <w:t>France</w:t>
          </w:r>
        </w:smartTag>
      </w:smartTag>
      <w:r w:rsidRPr="006431CB">
        <w:t xml:space="preserve"> for many years in order to:</w:t>
      </w:r>
    </w:p>
    <w:p w:rsidR="001F788F" w:rsidRDefault="001F788F" w:rsidP="001F788F"/>
    <w:p w:rsidR="001F788F" w:rsidRPr="00C12C6C" w:rsidRDefault="001F788F" w:rsidP="001F788F">
      <w:pPr>
        <w:ind w:left="567"/>
      </w:pPr>
      <w:r w:rsidRPr="00C12C6C">
        <w:t>-</w:t>
      </w:r>
      <w:r>
        <w:t xml:space="preserve"> </w:t>
      </w:r>
      <w:r>
        <w:tab/>
      </w:r>
      <w:r w:rsidRPr="00C12C6C">
        <w:t>confirm some characteristics announced by the applicant;</w:t>
      </w:r>
    </w:p>
    <w:p w:rsidR="001F788F" w:rsidRPr="005E587B" w:rsidRDefault="001F788F" w:rsidP="001F788F">
      <w:pPr>
        <w:ind w:left="567"/>
      </w:pPr>
      <w:r w:rsidRPr="005E587B">
        <w:t xml:space="preserve">- </w:t>
      </w:r>
      <w:r w:rsidRPr="005E587B">
        <w:tab/>
        <w:t xml:space="preserve">check some genetic diseases resistances not officially tested </w:t>
      </w:r>
      <w:r w:rsidRPr="00A62722">
        <w:rPr>
          <w:strike/>
          <w:highlight w:val="lightGray"/>
        </w:rPr>
        <w:t>by</w:t>
      </w:r>
      <w:r w:rsidRPr="00A62722">
        <w:rPr>
          <w:highlight w:val="lightGray"/>
        </w:rPr>
        <w:t xml:space="preserve"> </w:t>
      </w:r>
      <w:r w:rsidRPr="00A62722">
        <w:rPr>
          <w:strike/>
          <w:highlight w:val="lightGray"/>
        </w:rPr>
        <w:t xml:space="preserve">le </w:t>
      </w:r>
      <w:proofErr w:type="spellStart"/>
      <w:r w:rsidRPr="00576C15">
        <w:rPr>
          <w:strike/>
          <w:highlight w:val="lightGray"/>
        </w:rPr>
        <w:t>Groupe</w:t>
      </w:r>
      <w:proofErr w:type="spellEnd"/>
      <w:r w:rsidRPr="00576C15">
        <w:rPr>
          <w:strike/>
          <w:highlight w:val="lightGray"/>
        </w:rPr>
        <w:t xml:space="preserve"> </w:t>
      </w:r>
      <w:proofErr w:type="spellStart"/>
      <w:r w:rsidRPr="00576C15">
        <w:rPr>
          <w:strike/>
          <w:highlight w:val="lightGray"/>
        </w:rPr>
        <w:t>d'étude</w:t>
      </w:r>
      <w:proofErr w:type="spellEnd"/>
      <w:r w:rsidRPr="00576C15">
        <w:rPr>
          <w:strike/>
          <w:highlight w:val="lightGray"/>
        </w:rPr>
        <w:t xml:space="preserve"> et de </w:t>
      </w:r>
      <w:r w:rsidRPr="00576C15">
        <w:rPr>
          <w:strike/>
          <w:highlight w:val="lightGray"/>
        </w:rPr>
        <w:tab/>
      </w:r>
      <w:proofErr w:type="spellStart"/>
      <w:r w:rsidRPr="00576C15">
        <w:rPr>
          <w:strike/>
          <w:highlight w:val="lightGray"/>
        </w:rPr>
        <w:t>contrôle</w:t>
      </w:r>
      <w:proofErr w:type="spellEnd"/>
      <w:r w:rsidRPr="00576C15">
        <w:rPr>
          <w:strike/>
          <w:highlight w:val="lightGray"/>
        </w:rPr>
        <w:t xml:space="preserve"> des </w:t>
      </w:r>
      <w:proofErr w:type="spellStart"/>
      <w:r w:rsidRPr="00576C15">
        <w:rPr>
          <w:strike/>
          <w:highlight w:val="lightGray"/>
        </w:rPr>
        <w:t>variétés</w:t>
      </w:r>
      <w:proofErr w:type="spellEnd"/>
      <w:r w:rsidRPr="00576C15">
        <w:rPr>
          <w:strike/>
          <w:highlight w:val="lightGray"/>
        </w:rPr>
        <w:t xml:space="preserve"> et des </w:t>
      </w:r>
      <w:proofErr w:type="spellStart"/>
      <w:r w:rsidRPr="00576C15">
        <w:rPr>
          <w:strike/>
          <w:highlight w:val="lightGray"/>
        </w:rPr>
        <w:t>semences</w:t>
      </w:r>
      <w:proofErr w:type="spellEnd"/>
      <w:r w:rsidRPr="00576C15">
        <w:rPr>
          <w:strike/>
          <w:highlight w:val="lightGray"/>
        </w:rPr>
        <w:t xml:space="preserve"> (GEVES)</w:t>
      </w:r>
      <w:r w:rsidRPr="00576C15">
        <w:rPr>
          <w:highlight w:val="lightGray"/>
        </w:rPr>
        <w:t xml:space="preserve"> </w:t>
      </w:r>
      <w:r w:rsidRPr="00A62722">
        <w:rPr>
          <w:strike/>
          <w:highlight w:val="lightGray"/>
          <w:u w:val="single"/>
        </w:rPr>
        <w:t>the authority in charge of DUS examination</w:t>
      </w:r>
      <w:r w:rsidRPr="005E587B">
        <w:t>.</w:t>
      </w:r>
    </w:p>
    <w:p w:rsidR="001F788F" w:rsidRPr="005E587B" w:rsidRDefault="001F788F" w:rsidP="001F788F">
      <w:pPr>
        <w:ind w:left="567"/>
      </w:pPr>
    </w:p>
    <w:p w:rsidR="001F788F" w:rsidRPr="00C12C6C" w:rsidRDefault="001F788F" w:rsidP="001F788F">
      <w:r>
        <w:t>2</w:t>
      </w:r>
      <w:r w:rsidRPr="00AA533F">
        <w:t>.</w:t>
      </w:r>
      <w:r w:rsidRPr="00AA533F">
        <w:tab/>
      </w:r>
      <w:r w:rsidRPr="00C12C6C">
        <w:t>In case</w:t>
      </w:r>
      <w:r>
        <w:t>s</w:t>
      </w:r>
      <w:r w:rsidRPr="00C12C6C">
        <w:t xml:space="preserve"> of difficulties </w:t>
      </w:r>
      <w:r>
        <w:t>with distinctness</w:t>
      </w:r>
      <w:r w:rsidRPr="00C12C6C">
        <w:t xml:space="preserve"> after one or two </w:t>
      </w:r>
      <w:r>
        <w:t>growing</w:t>
      </w:r>
      <w:r w:rsidRPr="00C12C6C">
        <w:t xml:space="preserve"> cycles,</w:t>
      </w:r>
      <w:r>
        <w:t xml:space="preserve"> the blind randomized trials have been used to take account</w:t>
      </w:r>
      <w:r w:rsidRPr="00C12C6C">
        <w:t xml:space="preserve"> of spec</w:t>
      </w:r>
      <w:r>
        <w:t>ific adaptations in DUS test (r</w:t>
      </w:r>
      <w:r w:rsidRPr="00C12C6C">
        <w:t>egional, climatic</w:t>
      </w:r>
      <w:r>
        <w:t>, etc.)</w:t>
      </w:r>
      <w:r w:rsidRPr="00C12C6C">
        <w:t>.</w:t>
      </w:r>
    </w:p>
    <w:p w:rsidR="001F788F" w:rsidRDefault="001F788F" w:rsidP="001F788F"/>
    <w:p w:rsidR="001F788F" w:rsidRPr="0025055A" w:rsidRDefault="001F788F" w:rsidP="001F788F">
      <w:pPr>
        <w:rPr>
          <w:u w:val="single"/>
        </w:rPr>
      </w:pPr>
      <w:r>
        <w:rPr>
          <w:u w:val="single"/>
        </w:rPr>
        <w:t>Preparation of the trial:</w:t>
      </w:r>
    </w:p>
    <w:p w:rsidR="001F788F" w:rsidRDefault="001F788F" w:rsidP="001F788F"/>
    <w:p w:rsidR="001F788F" w:rsidRPr="00C12C6C" w:rsidRDefault="001F788F" w:rsidP="001F788F">
      <w:pPr>
        <w:numPr>
          <w:ilvl w:val="0"/>
          <w:numId w:val="11"/>
        </w:numPr>
        <w:tabs>
          <w:tab w:val="clear" w:pos="720"/>
        </w:tabs>
        <w:spacing w:line="276" w:lineRule="auto"/>
        <w:ind w:left="1134" w:hanging="567"/>
        <w:jc w:val="left"/>
      </w:pPr>
      <w:r w:rsidRPr="00C12C6C">
        <w:t xml:space="preserve">The applicant has the choice to accept </w:t>
      </w:r>
      <w:r w:rsidRPr="00A62722">
        <w:rPr>
          <w:strike/>
          <w:highlight w:val="lightGray"/>
        </w:rPr>
        <w:t>or not</w:t>
      </w:r>
      <w:r w:rsidRPr="00C12C6C">
        <w:t xml:space="preserve"> this possibility</w:t>
      </w:r>
      <w:r>
        <w:t xml:space="preserve"> </w:t>
      </w:r>
      <w:r w:rsidRPr="00A62722">
        <w:rPr>
          <w:highlight w:val="lightGray"/>
          <w:u w:val="single"/>
        </w:rPr>
        <w:t>or not</w:t>
      </w:r>
      <w:r w:rsidRPr="00C12C6C">
        <w:t>;</w:t>
      </w:r>
    </w:p>
    <w:p w:rsidR="001F788F" w:rsidRPr="00C12C6C" w:rsidRDefault="001F788F" w:rsidP="001F788F">
      <w:pPr>
        <w:numPr>
          <w:ilvl w:val="0"/>
          <w:numId w:val="11"/>
        </w:numPr>
        <w:tabs>
          <w:tab w:val="clear" w:pos="720"/>
        </w:tabs>
        <w:spacing w:line="276" w:lineRule="auto"/>
        <w:ind w:left="1134" w:hanging="567"/>
        <w:jc w:val="left"/>
      </w:pPr>
      <w:r w:rsidRPr="00C12C6C">
        <w:t>Seeds are sen</w:t>
      </w:r>
      <w:r>
        <w:t>t</w:t>
      </w:r>
      <w:r w:rsidRPr="00C12C6C">
        <w:t xml:space="preserve"> to the applicant under code A, B, C, D, E … (</w:t>
      </w:r>
      <w:r>
        <w:t>v</w:t>
      </w:r>
      <w:r w:rsidRPr="00C12C6C">
        <w:t>ariety in DUS test + closed reference variety + mixture);</w:t>
      </w:r>
    </w:p>
    <w:p w:rsidR="001F788F" w:rsidRDefault="001F788F" w:rsidP="001F788F">
      <w:pPr>
        <w:numPr>
          <w:ilvl w:val="0"/>
          <w:numId w:val="11"/>
        </w:numPr>
        <w:tabs>
          <w:tab w:val="clear" w:pos="720"/>
        </w:tabs>
        <w:spacing w:line="276" w:lineRule="auto"/>
        <w:ind w:left="1134" w:hanging="567"/>
        <w:jc w:val="left"/>
      </w:pPr>
      <w:r w:rsidRPr="00C12C6C">
        <w:t>The trial is conduct</w:t>
      </w:r>
      <w:r>
        <w:t>ed</w:t>
      </w:r>
      <w:r w:rsidRPr="00C12C6C">
        <w:t xml:space="preserve"> in the applicant</w:t>
      </w:r>
      <w:r>
        <w:t>’s</w:t>
      </w:r>
      <w:r w:rsidRPr="00C12C6C">
        <w:t xml:space="preserve"> facilities</w:t>
      </w:r>
      <w:r>
        <w:t xml:space="preserve"> </w:t>
      </w:r>
      <w:r w:rsidR="00EF5181">
        <w:rPr>
          <w:highlight w:val="lightGray"/>
          <w:u w:val="single"/>
        </w:rPr>
        <w:t>on the basis</w:t>
      </w:r>
      <w:r w:rsidRPr="00576C15">
        <w:rPr>
          <w:highlight w:val="lightGray"/>
          <w:u w:val="single"/>
        </w:rPr>
        <w:t xml:space="preserve"> of at least two replications</w:t>
      </w:r>
      <w:r w:rsidRPr="00C12C6C">
        <w:t>;</w:t>
      </w:r>
    </w:p>
    <w:p w:rsidR="0083609F" w:rsidRPr="0083609F" w:rsidRDefault="0083609F" w:rsidP="0083609F">
      <w:pPr>
        <w:numPr>
          <w:ilvl w:val="0"/>
          <w:numId w:val="11"/>
        </w:numPr>
        <w:tabs>
          <w:tab w:val="clear" w:pos="720"/>
        </w:tabs>
        <w:spacing w:line="276" w:lineRule="auto"/>
        <w:ind w:left="1134" w:hanging="567"/>
        <w:jc w:val="left"/>
        <w:rPr>
          <w:u w:val="single"/>
        </w:rPr>
      </w:pPr>
      <w:r w:rsidRPr="008B3EB2">
        <w:rPr>
          <w:u w:val="single"/>
          <w:shd w:val="clear" w:color="auto" w:fill="BFBFBF"/>
        </w:rPr>
        <w:t>The number of plants observed must be at least the number recommended in the guideline;</w:t>
      </w:r>
      <w:r w:rsidRPr="0083609F">
        <w:rPr>
          <w:u w:val="single"/>
        </w:rPr>
        <w:t xml:space="preserve"> </w:t>
      </w:r>
    </w:p>
    <w:p w:rsidR="001F788F" w:rsidRPr="00C12C6C" w:rsidRDefault="001F788F" w:rsidP="001F788F">
      <w:pPr>
        <w:numPr>
          <w:ilvl w:val="0"/>
          <w:numId w:val="11"/>
        </w:numPr>
        <w:tabs>
          <w:tab w:val="clear" w:pos="720"/>
        </w:tabs>
        <w:ind w:left="1134" w:hanging="567"/>
        <w:jc w:val="left"/>
      </w:pPr>
      <w:r>
        <w:t>The a</w:t>
      </w:r>
      <w:r w:rsidRPr="00C12C6C">
        <w:t xml:space="preserve">pplicant must inform </w:t>
      </w:r>
      <w:r w:rsidRPr="00576C15">
        <w:rPr>
          <w:strike/>
          <w:highlight w:val="lightGray"/>
        </w:rPr>
        <w:t>GEVES</w:t>
      </w:r>
      <w:r w:rsidRPr="00576C15">
        <w:rPr>
          <w:highlight w:val="lightGray"/>
        </w:rPr>
        <w:t xml:space="preserve"> </w:t>
      </w:r>
      <w:r w:rsidRPr="00576C15">
        <w:rPr>
          <w:highlight w:val="lightGray"/>
          <w:u w:val="single"/>
        </w:rPr>
        <w:t>the authority</w:t>
      </w:r>
      <w:r w:rsidRPr="00576C15">
        <w:rPr>
          <w:highlight w:val="lightGray"/>
        </w:rPr>
        <w:t xml:space="preserve"> </w:t>
      </w:r>
      <w:r w:rsidRPr="00576C15">
        <w:rPr>
          <w:strike/>
          <w:highlight w:val="lightGray"/>
        </w:rPr>
        <w:t>of</w:t>
      </w:r>
      <w:r w:rsidRPr="00576C15">
        <w:rPr>
          <w:highlight w:val="lightGray"/>
        </w:rPr>
        <w:t xml:space="preserve"> </w:t>
      </w:r>
      <w:r w:rsidRPr="00576C15">
        <w:rPr>
          <w:highlight w:val="lightGray"/>
          <w:u w:val="single"/>
        </w:rPr>
        <w:t>on</w:t>
      </w:r>
      <w:r>
        <w:t xml:space="preserve"> the progress of the trial for an eventual visit.</w:t>
      </w:r>
    </w:p>
    <w:p w:rsidR="001F788F" w:rsidRDefault="001F788F" w:rsidP="001F788F"/>
    <w:p w:rsidR="001F788F" w:rsidRPr="00C12C6C" w:rsidRDefault="001F788F" w:rsidP="001F788F">
      <w:r>
        <w:t>3.</w:t>
      </w:r>
      <w:r>
        <w:tab/>
      </w:r>
      <w:r w:rsidRPr="00C12C6C">
        <w:t xml:space="preserve">In </w:t>
      </w:r>
      <w:r>
        <w:t xml:space="preserve">the </w:t>
      </w:r>
      <w:r w:rsidRPr="00C12C6C">
        <w:t xml:space="preserve">case of </w:t>
      </w:r>
      <w:r>
        <w:t xml:space="preserve">a </w:t>
      </w:r>
      <w:r w:rsidRPr="00C12C6C">
        <w:t xml:space="preserve">problem of </w:t>
      </w:r>
      <w:r>
        <w:t>distinctness</w:t>
      </w:r>
      <w:r w:rsidRPr="00C12C6C">
        <w:t xml:space="preserve">, </w:t>
      </w:r>
      <w:r>
        <w:t>a</w:t>
      </w:r>
      <w:r w:rsidRPr="00C12C6C">
        <w:t xml:space="preserve"> blind test </w:t>
      </w:r>
      <w:r>
        <w:t>may</w:t>
      </w:r>
      <w:r w:rsidRPr="00C12C6C">
        <w:t xml:space="preserve"> be planted in </w:t>
      </w:r>
      <w:r w:rsidRPr="00D4401F">
        <w:rPr>
          <w:strike/>
          <w:highlight w:val="lightGray"/>
        </w:rPr>
        <w:t xml:space="preserve">GEVES </w:t>
      </w:r>
      <w:r w:rsidRPr="00D4401F">
        <w:rPr>
          <w:highlight w:val="lightGray"/>
          <w:u w:val="single"/>
        </w:rPr>
        <w:t>the authority’s</w:t>
      </w:r>
      <w:r w:rsidRPr="00C12C6C">
        <w:t xml:space="preserve"> facilities to avoid</w:t>
      </w:r>
      <w:r>
        <w:t xml:space="preserve"> </w:t>
      </w:r>
      <w:r w:rsidRPr="00C12C6C">
        <w:t xml:space="preserve">identification by other </w:t>
      </w:r>
      <w:r>
        <w:t xml:space="preserve">methods (e.g. DNA profiling). The applicant is invited to visit this trial.  </w:t>
      </w:r>
      <w:r w:rsidRPr="00C12C6C">
        <w:t>The protocol of the test is not compuls</w:t>
      </w:r>
      <w:r>
        <w:t xml:space="preserve">ory but </w:t>
      </w:r>
      <w:r w:rsidRPr="00D4401F">
        <w:rPr>
          <w:strike/>
          <w:highlight w:val="lightGray"/>
        </w:rPr>
        <w:t>GEVES</w:t>
      </w:r>
      <w:r w:rsidRPr="00D4401F">
        <w:rPr>
          <w:highlight w:val="lightGray"/>
        </w:rPr>
        <w:t xml:space="preserve"> </w:t>
      </w:r>
      <w:r w:rsidRPr="00D4401F">
        <w:rPr>
          <w:highlight w:val="lightGray"/>
          <w:u w:val="single"/>
        </w:rPr>
        <w:t>the authority</w:t>
      </w:r>
      <w:r>
        <w:t xml:space="preserve"> could ask him and some recommendations are made to the applicant; (number of </w:t>
      </w:r>
      <w:r w:rsidRPr="00D4401F">
        <w:rPr>
          <w:strike/>
          <w:highlight w:val="lightGray"/>
        </w:rPr>
        <w:t>replications</w:t>
      </w:r>
      <w:r w:rsidRPr="00D4401F">
        <w:rPr>
          <w:highlight w:val="lightGray"/>
        </w:rPr>
        <w:t xml:space="preserve"> </w:t>
      </w:r>
      <w:r w:rsidRPr="00D4401F">
        <w:rPr>
          <w:highlight w:val="lightGray"/>
          <w:u w:val="single"/>
        </w:rPr>
        <w:t>plants to be observed</w:t>
      </w:r>
      <w:r>
        <w:t>).</w:t>
      </w:r>
    </w:p>
    <w:p w:rsidR="001F788F" w:rsidRDefault="001F788F" w:rsidP="001F788F"/>
    <w:p w:rsidR="001F788F" w:rsidRDefault="001F788F" w:rsidP="001F788F">
      <w:pPr>
        <w:rPr>
          <w:u w:val="single"/>
        </w:rPr>
      </w:pPr>
      <w:r>
        <w:rPr>
          <w:u w:val="single"/>
        </w:rPr>
        <w:t>Transmission of results:</w:t>
      </w:r>
    </w:p>
    <w:p w:rsidR="001F788F" w:rsidRPr="0025055A" w:rsidRDefault="001F788F" w:rsidP="001F788F">
      <w:pPr>
        <w:rPr>
          <w:u w:val="single"/>
        </w:rPr>
      </w:pPr>
    </w:p>
    <w:p w:rsidR="001F788F" w:rsidRDefault="001F788F" w:rsidP="001F788F">
      <w:r>
        <w:t>4.</w:t>
      </w:r>
      <w:r>
        <w:tab/>
      </w:r>
      <w:r w:rsidRPr="00C12C6C">
        <w:t xml:space="preserve">The results are transmitted to </w:t>
      </w:r>
      <w:r w:rsidRPr="00D4401F">
        <w:rPr>
          <w:strike/>
          <w:highlight w:val="lightGray"/>
        </w:rPr>
        <w:t>GEVES</w:t>
      </w:r>
      <w:r w:rsidRPr="00D4401F">
        <w:rPr>
          <w:highlight w:val="lightGray"/>
        </w:rPr>
        <w:t xml:space="preserve"> </w:t>
      </w:r>
      <w:r w:rsidRPr="00D4401F">
        <w:rPr>
          <w:highlight w:val="lightGray"/>
          <w:u w:val="single"/>
        </w:rPr>
        <w:t>the authority</w:t>
      </w:r>
      <w:r>
        <w:t xml:space="preserve"> </w:t>
      </w:r>
      <w:r w:rsidRPr="00C12C6C">
        <w:t xml:space="preserve">by the applicant </w:t>
      </w:r>
      <w:r>
        <w:t>as below</w:t>
      </w:r>
      <w:r w:rsidRPr="00C12C6C">
        <w:t>:</w:t>
      </w:r>
    </w:p>
    <w:p w:rsidR="001F788F" w:rsidRPr="00C12C6C" w:rsidRDefault="001F788F" w:rsidP="001F788F"/>
    <w:p w:rsidR="001F788F" w:rsidRPr="00C12C6C" w:rsidRDefault="001F788F" w:rsidP="001F788F">
      <w:r>
        <w:tab/>
        <w:t>A = Candidate variety</w:t>
      </w:r>
    </w:p>
    <w:p w:rsidR="001F788F" w:rsidRPr="00C12C6C" w:rsidRDefault="001F788F" w:rsidP="001F788F">
      <w:r>
        <w:tab/>
        <w:t>B = Reference variety</w:t>
      </w:r>
    </w:p>
    <w:p w:rsidR="001F788F" w:rsidRPr="00C12C6C" w:rsidRDefault="001F788F" w:rsidP="001F788F">
      <w:r>
        <w:tab/>
        <w:t>C = Mixture</w:t>
      </w:r>
    </w:p>
    <w:p w:rsidR="001F788F" w:rsidRPr="00C12C6C" w:rsidRDefault="001F788F" w:rsidP="001F788F">
      <w:r>
        <w:tab/>
        <w:t>D = Candidate variety</w:t>
      </w:r>
    </w:p>
    <w:p w:rsidR="001F788F" w:rsidRPr="00E567A4" w:rsidRDefault="001F788F" w:rsidP="001F788F">
      <w:r>
        <w:tab/>
        <w:t>E = Reference variety</w:t>
      </w:r>
    </w:p>
    <w:p w:rsidR="001F788F" w:rsidRDefault="001F788F" w:rsidP="001F788F"/>
    <w:p w:rsidR="001F788F" w:rsidRPr="00C12C6C" w:rsidRDefault="001F788F" w:rsidP="001F788F">
      <w:r>
        <w:t>5.</w:t>
      </w:r>
      <w:r>
        <w:tab/>
      </w:r>
      <w:r w:rsidRPr="00C12C6C">
        <w:t>The fact that the applicant give</w:t>
      </w:r>
      <w:r>
        <w:t xml:space="preserve">s </w:t>
      </w:r>
      <w:r w:rsidRPr="00C12C6C">
        <w:t>good results is a very important point</w:t>
      </w:r>
      <w:r>
        <w:t>,</w:t>
      </w:r>
      <w:r w:rsidRPr="00C12C6C">
        <w:t xml:space="preserve"> but not enough. </w:t>
      </w:r>
      <w:r>
        <w:t xml:space="preserve"> </w:t>
      </w:r>
      <w:r w:rsidRPr="00C12C6C">
        <w:t>The final decision is always take</w:t>
      </w:r>
      <w:r>
        <w:t>n</w:t>
      </w:r>
      <w:r w:rsidRPr="00C12C6C">
        <w:t xml:space="preserve"> </w:t>
      </w:r>
      <w:r w:rsidRPr="00D4401F">
        <w:rPr>
          <w:strike/>
          <w:highlight w:val="lightGray"/>
        </w:rPr>
        <w:t>by GEVES</w:t>
      </w:r>
      <w:r w:rsidRPr="00C12C6C">
        <w:t xml:space="preserve"> after analysis of all results. </w:t>
      </w:r>
      <w:r>
        <w:t xml:space="preserve"> In the case of a distinctness problem, t</w:t>
      </w:r>
      <w:r w:rsidRPr="00C12C6C">
        <w:t xml:space="preserve">he characteristics used by the applicant to distinguish the varieties must be more or less the same </w:t>
      </w:r>
      <w:r>
        <w:t>as</w:t>
      </w:r>
      <w:r w:rsidRPr="00C12C6C">
        <w:t xml:space="preserve"> those observed </w:t>
      </w:r>
      <w:r w:rsidRPr="00A7006C">
        <w:rPr>
          <w:strike/>
          <w:highlight w:val="lightGray"/>
        </w:rPr>
        <w:t>by GEVES</w:t>
      </w:r>
      <w:r w:rsidRPr="00C12C6C">
        <w:t xml:space="preserve"> during official cycles.</w:t>
      </w:r>
    </w:p>
    <w:p w:rsidR="001F788F" w:rsidRDefault="001F788F" w:rsidP="001F788F"/>
    <w:p w:rsidR="001F788F" w:rsidRPr="004B5667" w:rsidRDefault="001F788F" w:rsidP="001F788F">
      <w:r>
        <w:t>6.</w:t>
      </w:r>
      <w:r>
        <w:tab/>
      </w:r>
      <w:r w:rsidRPr="004B5667">
        <w:t xml:space="preserve">This approach amounts to formalize the results obtained through a </w:t>
      </w:r>
      <w:r w:rsidR="00CE4A5B" w:rsidRPr="004B5667">
        <w:t>non-official</w:t>
      </w:r>
      <w:r w:rsidRPr="004B5667">
        <w:t xml:space="preserve"> test.</w:t>
      </w:r>
    </w:p>
    <w:p w:rsidR="001F788F" w:rsidRDefault="001F788F" w:rsidP="00F5371D">
      <w:pPr>
        <w:jc w:val="right"/>
      </w:pPr>
    </w:p>
    <w:p w:rsidR="001F788F" w:rsidRDefault="001F788F" w:rsidP="00F5371D">
      <w:pPr>
        <w:jc w:val="right"/>
      </w:pPr>
    </w:p>
    <w:p w:rsidR="001F788F" w:rsidRDefault="001F788F" w:rsidP="00F5371D">
      <w:pPr>
        <w:jc w:val="right"/>
      </w:pPr>
    </w:p>
    <w:p w:rsidR="001F788F" w:rsidRPr="00F5371D" w:rsidRDefault="001F788F" w:rsidP="00F5371D">
      <w:pPr>
        <w:jc w:val="right"/>
      </w:pPr>
      <w:r>
        <w:t xml:space="preserve">[End of </w:t>
      </w:r>
      <w:r w:rsidR="00AC78F4">
        <w:t>Annex II and of document]</w:t>
      </w:r>
    </w:p>
    <w:sectPr w:rsidR="001F788F" w:rsidRPr="00F5371D" w:rsidSect="00906DDC">
      <w:headerReference w:type="default" r:id="rId11"/>
      <w:headerReference w:type="first" r:id="rId12"/>
      <w:footerReference w:type="first" r:id="rId13"/>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560" w:rsidRDefault="003C7560" w:rsidP="006655D3">
      <w:r>
        <w:separator/>
      </w:r>
    </w:p>
    <w:p w:rsidR="003C7560" w:rsidRDefault="003C7560" w:rsidP="006655D3"/>
    <w:p w:rsidR="003C7560" w:rsidRDefault="003C7560" w:rsidP="006655D3"/>
  </w:endnote>
  <w:endnote w:type="continuationSeparator" w:id="0">
    <w:p w:rsidR="003C7560" w:rsidRDefault="003C7560" w:rsidP="006655D3">
      <w:r>
        <w:separator/>
      </w:r>
    </w:p>
    <w:p w:rsidR="003C7560" w:rsidRPr="007A334E" w:rsidRDefault="003C7560">
      <w:pPr>
        <w:pStyle w:val="Footer"/>
        <w:spacing w:after="60"/>
        <w:rPr>
          <w:sz w:val="18"/>
          <w:lang w:val="fr-CH"/>
        </w:rPr>
      </w:pPr>
      <w:r w:rsidRPr="007A334E">
        <w:rPr>
          <w:sz w:val="18"/>
          <w:lang w:val="fr-CH"/>
        </w:rPr>
        <w:t>[Suite de la note de la page précédente]</w:t>
      </w:r>
    </w:p>
    <w:p w:rsidR="003C7560" w:rsidRPr="007A334E" w:rsidRDefault="003C7560" w:rsidP="006655D3">
      <w:pPr>
        <w:rPr>
          <w:lang w:val="fr-CH"/>
        </w:rPr>
      </w:pPr>
    </w:p>
    <w:p w:rsidR="003C7560" w:rsidRPr="007A334E" w:rsidRDefault="003C7560" w:rsidP="006655D3">
      <w:pPr>
        <w:rPr>
          <w:lang w:val="fr-CH"/>
        </w:rPr>
      </w:pPr>
    </w:p>
  </w:endnote>
  <w:endnote w:type="continuationNotice" w:id="1">
    <w:p w:rsidR="003C7560" w:rsidRPr="007A334E" w:rsidRDefault="003C7560" w:rsidP="006655D3">
      <w:pPr>
        <w:rPr>
          <w:lang w:val="fr-CH"/>
        </w:rPr>
      </w:pPr>
      <w:r w:rsidRPr="007A334E">
        <w:rPr>
          <w:lang w:val="fr-CH"/>
        </w:rPr>
        <w:t>[Suite de la note page suivante]</w:t>
      </w:r>
    </w:p>
    <w:p w:rsidR="003C7560" w:rsidRPr="007A334E" w:rsidRDefault="003C7560" w:rsidP="006655D3">
      <w:pPr>
        <w:rPr>
          <w:lang w:val="fr-CH"/>
        </w:rPr>
      </w:pPr>
    </w:p>
    <w:p w:rsidR="003C7560" w:rsidRPr="007A334E" w:rsidRDefault="003C7560"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181" w:rsidRPr="00AE0EF1" w:rsidRDefault="00EF51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560" w:rsidRDefault="003C7560" w:rsidP="006655D3">
      <w:r>
        <w:separator/>
      </w:r>
    </w:p>
  </w:footnote>
  <w:footnote w:type="continuationSeparator" w:id="0">
    <w:p w:rsidR="003C7560" w:rsidRDefault="003C7560" w:rsidP="006655D3">
      <w:r>
        <w:separator/>
      </w:r>
    </w:p>
  </w:footnote>
  <w:footnote w:type="continuationNotice" w:id="1">
    <w:p w:rsidR="003C7560" w:rsidRPr="00AB530F" w:rsidRDefault="003C7560"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181" w:rsidRPr="00C5280D" w:rsidRDefault="00EF5181" w:rsidP="00EB048E">
    <w:pPr>
      <w:pStyle w:val="Header"/>
      <w:rPr>
        <w:rStyle w:val="PageNumber"/>
      </w:rPr>
    </w:pPr>
    <w:r>
      <w:rPr>
        <w:rStyle w:val="PageNumber"/>
      </w:rPr>
      <w:t>TW</w:t>
    </w:r>
    <w:r w:rsidR="007F03A7">
      <w:rPr>
        <w:rStyle w:val="PageNumber"/>
      </w:rPr>
      <w:t>F</w:t>
    </w:r>
    <w:r>
      <w:rPr>
        <w:rStyle w:val="PageNumber"/>
      </w:rPr>
      <w:t>/4</w:t>
    </w:r>
    <w:r w:rsidR="007F03A7">
      <w:rPr>
        <w:rStyle w:val="PageNumber"/>
      </w:rPr>
      <w:t>4</w:t>
    </w:r>
    <w:r>
      <w:rPr>
        <w:rStyle w:val="PageNumber"/>
      </w:rPr>
      <w:t>/19</w:t>
    </w:r>
  </w:p>
  <w:p w:rsidR="00EF5181" w:rsidRPr="00C5280D" w:rsidRDefault="00EF5181" w:rsidP="00EB048E">
    <w:pPr>
      <w:pStyle w:val="Header"/>
    </w:pPr>
    <w:proofErr w:type="gramStart"/>
    <w:r w:rsidRPr="00C5280D">
      <w:t>page</w:t>
    </w:r>
    <w:proofErr w:type="gramEnd"/>
    <w:r w:rsidRPr="00C5280D">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5535BE">
      <w:rPr>
        <w:rStyle w:val="PageNumber"/>
        <w:noProof/>
      </w:rPr>
      <w:t>3</w:t>
    </w:r>
    <w:r w:rsidRPr="00C5280D">
      <w:rPr>
        <w:rStyle w:val="PageNumber"/>
      </w:rPr>
      <w:fldChar w:fldCharType="end"/>
    </w:r>
  </w:p>
  <w:p w:rsidR="00EF5181" w:rsidRPr="00C5280D" w:rsidRDefault="00EF5181"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181" w:rsidRPr="00832298" w:rsidRDefault="00EF5181" w:rsidP="00832298">
    <w:pPr>
      <w:pStyle w:val="Header"/>
    </w:pPr>
    <w:r w:rsidRPr="00832298">
      <w:t>TW</w:t>
    </w:r>
    <w:r w:rsidR="007F03A7">
      <w:t>F</w:t>
    </w:r>
    <w:r w:rsidRPr="00832298">
      <w:t>/4</w:t>
    </w:r>
    <w:r w:rsidR="007F03A7">
      <w:t>4</w:t>
    </w:r>
    <w:r w:rsidRPr="00832298">
      <w:t>/</w:t>
    </w:r>
    <w:r>
      <w:t>19</w:t>
    </w:r>
  </w:p>
  <w:p w:rsidR="00EF5181" w:rsidRDefault="00EF5181" w:rsidP="00EB048E">
    <w:pPr>
      <w:pStyle w:val="Header"/>
    </w:pPr>
  </w:p>
  <w:p w:rsidR="00EF5181" w:rsidRPr="00C5280D" w:rsidRDefault="00EF5181" w:rsidP="00EB048E">
    <w:pPr>
      <w:pStyle w:val="Header"/>
    </w:pPr>
    <w:r>
      <w:t>ANNEX II</w:t>
    </w:r>
  </w:p>
  <w:p w:rsidR="00EF5181" w:rsidRPr="00C5280D" w:rsidRDefault="00EF5181"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181" w:rsidRDefault="00EF5181">
    <w:pPr>
      <w:pStyle w:val="Header"/>
    </w:pPr>
    <w:r>
      <w:t>TW</w:t>
    </w:r>
    <w:r w:rsidR="007F03A7">
      <w:t>F</w:t>
    </w:r>
    <w:r>
      <w:t>/4</w:t>
    </w:r>
    <w:r w:rsidR="007F03A7">
      <w:t>4</w:t>
    </w:r>
    <w:r>
      <w:t>/19</w:t>
    </w:r>
  </w:p>
  <w:p w:rsidR="00EF5181" w:rsidRDefault="00EF5181">
    <w:pPr>
      <w:pStyle w:val="Header"/>
    </w:pPr>
  </w:p>
  <w:p w:rsidR="00EF5181" w:rsidRDefault="00EF5181">
    <w:pPr>
      <w:pStyle w:val="Header"/>
    </w:pPr>
    <w:r>
      <w:t>ANNEX I</w:t>
    </w:r>
  </w:p>
  <w:p w:rsidR="00EF5181" w:rsidRDefault="00EF51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5B311EF6"/>
    <w:multiLevelType w:val="hybridMultilevel"/>
    <w:tmpl w:val="DB0297D8"/>
    <w:lvl w:ilvl="0" w:tplc="960253CA">
      <w:start w:val="7"/>
      <w:numFmt w:val="decimal"/>
      <w:lvlText w:val="%1."/>
      <w:lvlJc w:val="left"/>
      <w:pPr>
        <w:tabs>
          <w:tab w:val="num" w:pos="5180"/>
        </w:tabs>
        <w:ind w:left="5180" w:hanging="360"/>
      </w:pPr>
      <w:rPr>
        <w:rFonts w:hint="default"/>
      </w:rPr>
    </w:lvl>
    <w:lvl w:ilvl="1" w:tplc="04090019" w:tentative="1">
      <w:start w:val="1"/>
      <w:numFmt w:val="lowerLetter"/>
      <w:lvlText w:val="%2."/>
      <w:lvlJc w:val="left"/>
      <w:pPr>
        <w:tabs>
          <w:tab w:val="num" w:pos="5900"/>
        </w:tabs>
        <w:ind w:left="5900" w:hanging="360"/>
      </w:pPr>
    </w:lvl>
    <w:lvl w:ilvl="2" w:tplc="0409001B" w:tentative="1">
      <w:start w:val="1"/>
      <w:numFmt w:val="lowerRoman"/>
      <w:lvlText w:val="%3."/>
      <w:lvlJc w:val="right"/>
      <w:pPr>
        <w:tabs>
          <w:tab w:val="num" w:pos="6620"/>
        </w:tabs>
        <w:ind w:left="6620" w:hanging="180"/>
      </w:pPr>
    </w:lvl>
    <w:lvl w:ilvl="3" w:tplc="0409000F" w:tentative="1">
      <w:start w:val="1"/>
      <w:numFmt w:val="decimal"/>
      <w:lvlText w:val="%4."/>
      <w:lvlJc w:val="left"/>
      <w:pPr>
        <w:tabs>
          <w:tab w:val="num" w:pos="7340"/>
        </w:tabs>
        <w:ind w:left="7340" w:hanging="360"/>
      </w:pPr>
    </w:lvl>
    <w:lvl w:ilvl="4" w:tplc="04090019" w:tentative="1">
      <w:start w:val="1"/>
      <w:numFmt w:val="lowerLetter"/>
      <w:lvlText w:val="%5."/>
      <w:lvlJc w:val="left"/>
      <w:pPr>
        <w:tabs>
          <w:tab w:val="num" w:pos="8060"/>
        </w:tabs>
        <w:ind w:left="8060" w:hanging="360"/>
      </w:pPr>
    </w:lvl>
    <w:lvl w:ilvl="5" w:tplc="0409001B" w:tentative="1">
      <w:start w:val="1"/>
      <w:numFmt w:val="lowerRoman"/>
      <w:lvlText w:val="%6."/>
      <w:lvlJc w:val="right"/>
      <w:pPr>
        <w:tabs>
          <w:tab w:val="num" w:pos="8780"/>
        </w:tabs>
        <w:ind w:left="8780" w:hanging="180"/>
      </w:pPr>
    </w:lvl>
    <w:lvl w:ilvl="6" w:tplc="0409000F" w:tentative="1">
      <w:start w:val="1"/>
      <w:numFmt w:val="decimal"/>
      <w:lvlText w:val="%7."/>
      <w:lvlJc w:val="left"/>
      <w:pPr>
        <w:tabs>
          <w:tab w:val="num" w:pos="9500"/>
        </w:tabs>
        <w:ind w:left="9500" w:hanging="360"/>
      </w:pPr>
    </w:lvl>
    <w:lvl w:ilvl="7" w:tplc="04090019" w:tentative="1">
      <w:start w:val="1"/>
      <w:numFmt w:val="lowerLetter"/>
      <w:lvlText w:val="%8."/>
      <w:lvlJc w:val="left"/>
      <w:pPr>
        <w:tabs>
          <w:tab w:val="num" w:pos="10220"/>
        </w:tabs>
        <w:ind w:left="10220" w:hanging="360"/>
      </w:pPr>
    </w:lvl>
    <w:lvl w:ilvl="8" w:tplc="0409001B" w:tentative="1">
      <w:start w:val="1"/>
      <w:numFmt w:val="lowerRoman"/>
      <w:lvlText w:val="%9."/>
      <w:lvlJc w:val="right"/>
      <w:pPr>
        <w:tabs>
          <w:tab w:val="num" w:pos="10940"/>
        </w:tabs>
        <w:ind w:left="10940" w:hanging="180"/>
      </w:pPr>
    </w:lvl>
  </w:abstractNum>
  <w:abstractNum w:abstractNumId="11">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71D"/>
    <w:rsid w:val="00010CF3"/>
    <w:rsid w:val="00011E27"/>
    <w:rsid w:val="000148BC"/>
    <w:rsid w:val="00024AB8"/>
    <w:rsid w:val="00030854"/>
    <w:rsid w:val="00036028"/>
    <w:rsid w:val="00044642"/>
    <w:rsid w:val="000446B9"/>
    <w:rsid w:val="00047E21"/>
    <w:rsid w:val="00083069"/>
    <w:rsid w:val="00085505"/>
    <w:rsid w:val="00092AAF"/>
    <w:rsid w:val="000C7021"/>
    <w:rsid w:val="000D6BBC"/>
    <w:rsid w:val="000D7780"/>
    <w:rsid w:val="00105929"/>
    <w:rsid w:val="00111802"/>
    <w:rsid w:val="001131D5"/>
    <w:rsid w:val="001322D2"/>
    <w:rsid w:val="00141DB8"/>
    <w:rsid w:val="0017474A"/>
    <w:rsid w:val="001758C6"/>
    <w:rsid w:val="00182B99"/>
    <w:rsid w:val="0018780B"/>
    <w:rsid w:val="001E34C0"/>
    <w:rsid w:val="001F788F"/>
    <w:rsid w:val="0021332C"/>
    <w:rsid w:val="00213982"/>
    <w:rsid w:val="0024416D"/>
    <w:rsid w:val="002800A0"/>
    <w:rsid w:val="002801B3"/>
    <w:rsid w:val="00281060"/>
    <w:rsid w:val="002940E8"/>
    <w:rsid w:val="002A6E50"/>
    <w:rsid w:val="002C256A"/>
    <w:rsid w:val="00305A7F"/>
    <w:rsid w:val="003152FE"/>
    <w:rsid w:val="003205DA"/>
    <w:rsid w:val="00327436"/>
    <w:rsid w:val="003412CF"/>
    <w:rsid w:val="00344BD6"/>
    <w:rsid w:val="0035528D"/>
    <w:rsid w:val="00361821"/>
    <w:rsid w:val="0039344D"/>
    <w:rsid w:val="003B3894"/>
    <w:rsid w:val="003C7560"/>
    <w:rsid w:val="003D227C"/>
    <w:rsid w:val="003D2B4D"/>
    <w:rsid w:val="00444A88"/>
    <w:rsid w:val="00473329"/>
    <w:rsid w:val="00474DA4"/>
    <w:rsid w:val="00476B4D"/>
    <w:rsid w:val="004805FA"/>
    <w:rsid w:val="004D047D"/>
    <w:rsid w:val="004F305A"/>
    <w:rsid w:val="00512164"/>
    <w:rsid w:val="005163AC"/>
    <w:rsid w:val="00520297"/>
    <w:rsid w:val="005338F9"/>
    <w:rsid w:val="0054281C"/>
    <w:rsid w:val="0055268D"/>
    <w:rsid w:val="005535BE"/>
    <w:rsid w:val="005613F7"/>
    <w:rsid w:val="00576BE4"/>
    <w:rsid w:val="0057736E"/>
    <w:rsid w:val="005860F2"/>
    <w:rsid w:val="005A400A"/>
    <w:rsid w:val="005D541A"/>
    <w:rsid w:val="005E4FDE"/>
    <w:rsid w:val="00612379"/>
    <w:rsid w:val="0061555F"/>
    <w:rsid w:val="00623440"/>
    <w:rsid w:val="00641200"/>
    <w:rsid w:val="006655D3"/>
    <w:rsid w:val="00667404"/>
    <w:rsid w:val="00685222"/>
    <w:rsid w:val="00687EB4"/>
    <w:rsid w:val="006B17D2"/>
    <w:rsid w:val="006C224E"/>
    <w:rsid w:val="006D4442"/>
    <w:rsid w:val="006D780A"/>
    <w:rsid w:val="006E1436"/>
    <w:rsid w:val="00732DEC"/>
    <w:rsid w:val="00735BD5"/>
    <w:rsid w:val="0074657B"/>
    <w:rsid w:val="007556F6"/>
    <w:rsid w:val="00760EEF"/>
    <w:rsid w:val="00777EE5"/>
    <w:rsid w:val="00784836"/>
    <w:rsid w:val="0079023E"/>
    <w:rsid w:val="007A2854"/>
    <w:rsid w:val="007A334E"/>
    <w:rsid w:val="007D0B9D"/>
    <w:rsid w:val="007D19B0"/>
    <w:rsid w:val="007F03A7"/>
    <w:rsid w:val="007F498F"/>
    <w:rsid w:val="0080679D"/>
    <w:rsid w:val="008108B0"/>
    <w:rsid w:val="00811B20"/>
    <w:rsid w:val="0082296E"/>
    <w:rsid w:val="00824099"/>
    <w:rsid w:val="00832298"/>
    <w:rsid w:val="0083609F"/>
    <w:rsid w:val="00850EED"/>
    <w:rsid w:val="00867AC1"/>
    <w:rsid w:val="00876C58"/>
    <w:rsid w:val="008A743F"/>
    <w:rsid w:val="008B3EB2"/>
    <w:rsid w:val="008B43A3"/>
    <w:rsid w:val="008C0970"/>
    <w:rsid w:val="008D2CF7"/>
    <w:rsid w:val="00900C26"/>
    <w:rsid w:val="0090197F"/>
    <w:rsid w:val="00903656"/>
    <w:rsid w:val="00906DDC"/>
    <w:rsid w:val="00934E09"/>
    <w:rsid w:val="00936253"/>
    <w:rsid w:val="00952DD4"/>
    <w:rsid w:val="00970FED"/>
    <w:rsid w:val="00997029"/>
    <w:rsid w:val="009B2AF7"/>
    <w:rsid w:val="009D690D"/>
    <w:rsid w:val="009E65B6"/>
    <w:rsid w:val="00A24C10"/>
    <w:rsid w:val="00A42AC3"/>
    <w:rsid w:val="00A430CF"/>
    <w:rsid w:val="00A54309"/>
    <w:rsid w:val="00AB2B93"/>
    <w:rsid w:val="00AB530F"/>
    <w:rsid w:val="00AB7E5B"/>
    <w:rsid w:val="00AC78F4"/>
    <w:rsid w:val="00AD3101"/>
    <w:rsid w:val="00AE0EF1"/>
    <w:rsid w:val="00AE2937"/>
    <w:rsid w:val="00B07301"/>
    <w:rsid w:val="00B224DE"/>
    <w:rsid w:val="00B45F62"/>
    <w:rsid w:val="00B46575"/>
    <w:rsid w:val="00B47525"/>
    <w:rsid w:val="00B71144"/>
    <w:rsid w:val="00B84BBD"/>
    <w:rsid w:val="00B908B9"/>
    <w:rsid w:val="00BA43FB"/>
    <w:rsid w:val="00BB0967"/>
    <w:rsid w:val="00BC127D"/>
    <w:rsid w:val="00BC1FE6"/>
    <w:rsid w:val="00C061B6"/>
    <w:rsid w:val="00C2446C"/>
    <w:rsid w:val="00C36AE5"/>
    <w:rsid w:val="00C41F17"/>
    <w:rsid w:val="00C423E5"/>
    <w:rsid w:val="00C5280D"/>
    <w:rsid w:val="00C5791C"/>
    <w:rsid w:val="00C66290"/>
    <w:rsid w:val="00C72B7A"/>
    <w:rsid w:val="00C973F2"/>
    <w:rsid w:val="00CA304C"/>
    <w:rsid w:val="00CA774A"/>
    <w:rsid w:val="00CC11B0"/>
    <w:rsid w:val="00CE4A5B"/>
    <w:rsid w:val="00CF7E36"/>
    <w:rsid w:val="00D3708D"/>
    <w:rsid w:val="00D40426"/>
    <w:rsid w:val="00D57C96"/>
    <w:rsid w:val="00D666BA"/>
    <w:rsid w:val="00D82441"/>
    <w:rsid w:val="00D91203"/>
    <w:rsid w:val="00D95174"/>
    <w:rsid w:val="00D9707D"/>
    <w:rsid w:val="00DA6F36"/>
    <w:rsid w:val="00DB596E"/>
    <w:rsid w:val="00DB7773"/>
    <w:rsid w:val="00DC00EA"/>
    <w:rsid w:val="00DF474C"/>
    <w:rsid w:val="00E32F7E"/>
    <w:rsid w:val="00E72D49"/>
    <w:rsid w:val="00E7593C"/>
    <w:rsid w:val="00E7678A"/>
    <w:rsid w:val="00E935F1"/>
    <w:rsid w:val="00E94A81"/>
    <w:rsid w:val="00EA1FFB"/>
    <w:rsid w:val="00EB048E"/>
    <w:rsid w:val="00EE34DF"/>
    <w:rsid w:val="00EF2F89"/>
    <w:rsid w:val="00EF5181"/>
    <w:rsid w:val="00F02F90"/>
    <w:rsid w:val="00F03780"/>
    <w:rsid w:val="00F1237A"/>
    <w:rsid w:val="00F22CBD"/>
    <w:rsid w:val="00F34591"/>
    <w:rsid w:val="00F45372"/>
    <w:rsid w:val="00F5371D"/>
    <w:rsid w:val="00F560F7"/>
    <w:rsid w:val="00F6334D"/>
    <w:rsid w:val="00F76C59"/>
    <w:rsid w:val="00FA49AB"/>
    <w:rsid w:val="00FD54E2"/>
    <w:rsid w:val="00FE39C7"/>
    <w:rsid w:val="00FF1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EF5181"/>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table" w:styleId="TableGrid">
    <w:name w:val="Table Grid"/>
    <w:basedOn w:val="TableNormal"/>
    <w:rsid w:val="00F5371D"/>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5371D"/>
    <w:pPr>
      <w:autoSpaceDE w:val="0"/>
      <w:autoSpaceDN w:val="0"/>
      <w:adjustRightInd w:val="0"/>
    </w:pPr>
    <w:rPr>
      <w:rFonts w:ascii="Arial" w:eastAsia="MS Mincho" w:hAnsi="Arial" w:cs="Arial"/>
      <w:color w:val="000000"/>
      <w:sz w:val="24"/>
      <w:szCs w:val="24"/>
      <w:lang w:eastAsia="ja-JP"/>
    </w:rPr>
  </w:style>
  <w:style w:type="character" w:customStyle="1" w:styleId="StyleDocoriginalNotBold1">
    <w:name w:val="Style Doc_original + Not Bold1"/>
    <w:rsid w:val="00B71144"/>
    <w:rPr>
      <w:rFonts w:ascii="Arial" w:hAnsi="Arial"/>
      <w:b/>
      <w:bCs/>
      <w:spacing w:val="10"/>
      <w:lang w:val="en-US" w:eastAsia="en-US" w:bidi="ar-SA"/>
    </w:rPr>
  </w:style>
  <w:style w:type="character" w:customStyle="1" w:styleId="StyleDoclangBold">
    <w:name w:val="Style Doc_lang + Bold"/>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link w:val="Heading1"/>
    <w:rsid w:val="00EF5181"/>
    <w:rPr>
      <w:rFonts w:ascii="Arial" w:hAnsi="Arial"/>
      <w:caps/>
    </w:rPr>
  </w:style>
  <w:style w:type="paragraph" w:styleId="BodyTextIndent">
    <w:name w:val="Body Text Indent"/>
    <w:basedOn w:val="Normal"/>
    <w:rsid w:val="00111802"/>
    <w:pPr>
      <w:ind w:left="1134"/>
    </w:pPr>
    <w:rPr>
      <w:rFonts w:ascii="Times New Roman" w:hAnsi="Times New Roman"/>
      <w:sz w:val="24"/>
    </w:rPr>
  </w:style>
  <w:style w:type="paragraph" w:customStyle="1" w:styleId="CarCar">
    <w:name w:val="Car Car"/>
    <w:basedOn w:val="Normal"/>
    <w:rsid w:val="00111802"/>
    <w:pPr>
      <w:spacing w:after="160" w:line="240" w:lineRule="exact"/>
      <w:jc w:val="left"/>
    </w:pPr>
    <w:rPr>
      <w:rFonts w:ascii="Verdana" w:eastAsia="PMingLiU" w:hAnsi="Verdana"/>
    </w:rPr>
  </w:style>
  <w:style w:type="paragraph" w:styleId="TOCHeading">
    <w:name w:val="TOC Heading"/>
    <w:basedOn w:val="Heading1"/>
    <w:next w:val="Normal"/>
    <w:uiPriority w:val="39"/>
    <w:semiHidden/>
    <w:unhideWhenUsed/>
    <w:qFormat/>
    <w:rsid w:val="005163AC"/>
    <w:pPr>
      <w:keepLines/>
      <w:spacing w:before="480" w:line="276" w:lineRule="auto"/>
      <w:jc w:val="left"/>
      <w:outlineLvl w:val="9"/>
    </w:pPr>
    <w:rPr>
      <w:rFonts w:ascii="Cambria" w:eastAsia="MS Gothic" w:hAnsi="Cambria"/>
      <w:b/>
      <w:bCs/>
      <w:caps w:val="0"/>
      <w:color w:val="365F91"/>
      <w:sz w:val="28"/>
      <w:szCs w:val="28"/>
      <w:lang w:eastAsia="ja-JP"/>
    </w:rPr>
  </w:style>
  <w:style w:type="paragraph" w:styleId="BalloonText">
    <w:name w:val="Balloon Text"/>
    <w:basedOn w:val="Normal"/>
    <w:link w:val="BalloonTextChar"/>
    <w:rsid w:val="007A334E"/>
    <w:rPr>
      <w:rFonts w:ascii="Tahoma" w:hAnsi="Tahoma" w:cs="Tahoma"/>
      <w:sz w:val="16"/>
      <w:szCs w:val="16"/>
    </w:rPr>
  </w:style>
  <w:style w:type="character" w:customStyle="1" w:styleId="BalloonTextChar">
    <w:name w:val="Balloon Text Char"/>
    <w:basedOn w:val="DefaultParagraphFont"/>
    <w:link w:val="BalloonText"/>
    <w:rsid w:val="007A33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EF5181"/>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table" w:styleId="TableGrid">
    <w:name w:val="Table Grid"/>
    <w:basedOn w:val="TableNormal"/>
    <w:rsid w:val="00F5371D"/>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5371D"/>
    <w:pPr>
      <w:autoSpaceDE w:val="0"/>
      <w:autoSpaceDN w:val="0"/>
      <w:adjustRightInd w:val="0"/>
    </w:pPr>
    <w:rPr>
      <w:rFonts w:ascii="Arial" w:eastAsia="MS Mincho" w:hAnsi="Arial" w:cs="Arial"/>
      <w:color w:val="000000"/>
      <w:sz w:val="24"/>
      <w:szCs w:val="24"/>
      <w:lang w:eastAsia="ja-JP"/>
    </w:rPr>
  </w:style>
  <w:style w:type="character" w:customStyle="1" w:styleId="StyleDocoriginalNotBold1">
    <w:name w:val="Style Doc_original + Not Bold1"/>
    <w:rsid w:val="00B71144"/>
    <w:rPr>
      <w:rFonts w:ascii="Arial" w:hAnsi="Arial"/>
      <w:b/>
      <w:bCs/>
      <w:spacing w:val="10"/>
      <w:lang w:val="en-US" w:eastAsia="en-US" w:bidi="ar-SA"/>
    </w:rPr>
  </w:style>
  <w:style w:type="character" w:customStyle="1" w:styleId="StyleDoclangBold">
    <w:name w:val="Style Doc_lang + Bold"/>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link w:val="Heading1"/>
    <w:rsid w:val="00EF5181"/>
    <w:rPr>
      <w:rFonts w:ascii="Arial" w:hAnsi="Arial"/>
      <w:caps/>
    </w:rPr>
  </w:style>
  <w:style w:type="paragraph" w:styleId="BodyTextIndent">
    <w:name w:val="Body Text Indent"/>
    <w:basedOn w:val="Normal"/>
    <w:rsid w:val="00111802"/>
    <w:pPr>
      <w:ind w:left="1134"/>
    </w:pPr>
    <w:rPr>
      <w:rFonts w:ascii="Times New Roman" w:hAnsi="Times New Roman"/>
      <w:sz w:val="24"/>
    </w:rPr>
  </w:style>
  <w:style w:type="paragraph" w:customStyle="1" w:styleId="CarCar">
    <w:name w:val="Car Car"/>
    <w:basedOn w:val="Normal"/>
    <w:rsid w:val="00111802"/>
    <w:pPr>
      <w:spacing w:after="160" w:line="240" w:lineRule="exact"/>
      <w:jc w:val="left"/>
    </w:pPr>
    <w:rPr>
      <w:rFonts w:ascii="Verdana" w:eastAsia="PMingLiU" w:hAnsi="Verdana"/>
    </w:rPr>
  </w:style>
  <w:style w:type="paragraph" w:styleId="TOCHeading">
    <w:name w:val="TOC Heading"/>
    <w:basedOn w:val="Heading1"/>
    <w:next w:val="Normal"/>
    <w:uiPriority w:val="39"/>
    <w:semiHidden/>
    <w:unhideWhenUsed/>
    <w:qFormat/>
    <w:rsid w:val="005163AC"/>
    <w:pPr>
      <w:keepLines/>
      <w:spacing w:before="480" w:line="276" w:lineRule="auto"/>
      <w:jc w:val="left"/>
      <w:outlineLvl w:val="9"/>
    </w:pPr>
    <w:rPr>
      <w:rFonts w:ascii="Cambria" w:eastAsia="MS Gothic" w:hAnsi="Cambria"/>
      <w:b/>
      <w:bCs/>
      <w:caps w:val="0"/>
      <w:color w:val="365F91"/>
      <w:sz w:val="28"/>
      <w:szCs w:val="28"/>
      <w:lang w:eastAsia="ja-JP"/>
    </w:rPr>
  </w:style>
  <w:style w:type="paragraph" w:styleId="BalloonText">
    <w:name w:val="Balloon Text"/>
    <w:basedOn w:val="Normal"/>
    <w:link w:val="BalloonTextChar"/>
    <w:rsid w:val="007A334E"/>
    <w:rPr>
      <w:rFonts w:ascii="Tahoma" w:hAnsi="Tahoma" w:cs="Tahoma"/>
      <w:sz w:val="16"/>
      <w:szCs w:val="16"/>
    </w:rPr>
  </w:style>
  <w:style w:type="character" w:customStyle="1" w:styleId="BalloonTextChar">
    <w:name w:val="Balloon Text Char"/>
    <w:basedOn w:val="DefaultParagraphFont"/>
    <w:link w:val="BalloonText"/>
    <w:rsid w:val="007A33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6\Template\two_4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90749-2D4E-46E1-AC05-CE82564E1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two_46</Template>
  <TotalTime>3</TotalTime>
  <Pages>5</Pages>
  <Words>1683</Words>
  <Characters>9042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template TC/49</vt:lpstr>
    </vt:vector>
  </TitlesOfParts>
  <Company>UPOV</Company>
  <LinksUpToDate>false</LinksUpToDate>
  <CharactersWithSpaces>10704</CharactersWithSpaces>
  <SharedDoc>false</SharedDoc>
  <HLinks>
    <vt:vector size="24" baseType="variant">
      <vt:variant>
        <vt:i4>2031670</vt:i4>
      </vt:variant>
      <vt:variant>
        <vt:i4>26</vt:i4>
      </vt:variant>
      <vt:variant>
        <vt:i4>0</vt:i4>
      </vt:variant>
      <vt:variant>
        <vt:i4>5</vt:i4>
      </vt:variant>
      <vt:variant>
        <vt:lpwstr/>
      </vt:variant>
      <vt:variant>
        <vt:lpwstr>_Toc353810752</vt:lpwstr>
      </vt:variant>
      <vt:variant>
        <vt:i4>2031670</vt:i4>
      </vt:variant>
      <vt:variant>
        <vt:i4>20</vt:i4>
      </vt:variant>
      <vt:variant>
        <vt:i4>0</vt:i4>
      </vt:variant>
      <vt:variant>
        <vt:i4>5</vt:i4>
      </vt:variant>
      <vt:variant>
        <vt:lpwstr/>
      </vt:variant>
      <vt:variant>
        <vt:lpwstr>_Toc353810751</vt:lpwstr>
      </vt:variant>
      <vt:variant>
        <vt:i4>2031670</vt:i4>
      </vt:variant>
      <vt:variant>
        <vt:i4>14</vt:i4>
      </vt:variant>
      <vt:variant>
        <vt:i4>0</vt:i4>
      </vt:variant>
      <vt:variant>
        <vt:i4>5</vt:i4>
      </vt:variant>
      <vt:variant>
        <vt:lpwstr/>
      </vt:variant>
      <vt:variant>
        <vt:lpwstr>_Toc353810750</vt:lpwstr>
      </vt:variant>
      <vt:variant>
        <vt:i4>1966134</vt:i4>
      </vt:variant>
      <vt:variant>
        <vt:i4>8</vt:i4>
      </vt:variant>
      <vt:variant>
        <vt:i4>0</vt:i4>
      </vt:variant>
      <vt:variant>
        <vt:i4>5</vt:i4>
      </vt:variant>
      <vt:variant>
        <vt:lpwstr/>
      </vt:variant>
      <vt:variant>
        <vt:lpwstr>_Toc353810749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TC/49</dc:title>
  <dc:creator>FavaA</dc:creator>
  <cp:lastModifiedBy>OERTEL Romy</cp:lastModifiedBy>
  <cp:revision>5</cp:revision>
  <cp:lastPrinted>2013-04-18T10:31:00Z</cp:lastPrinted>
  <dcterms:created xsi:type="dcterms:W3CDTF">2013-04-17T15:36:00Z</dcterms:created>
  <dcterms:modified xsi:type="dcterms:W3CDTF">2013-04-18T12:52:00Z</dcterms:modified>
</cp:coreProperties>
</file>