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lang w:val="es-ES_tradnl" w:eastAsia="es-ES_tradnl"/>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EB4E9C">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AC2883" w:rsidRDefault="00E70039" w:rsidP="00DA4499">
            <w:pPr>
              <w:pStyle w:val="Sessiontc"/>
            </w:pPr>
            <w:r w:rsidRPr="00E70039">
              <w:t xml:space="preserve">Technical Working Party </w:t>
            </w:r>
            <w:r w:rsidR="00E95BB1" w:rsidRPr="00E95BB1">
              <w:t>on Automation and Computer Programs</w:t>
            </w:r>
          </w:p>
          <w:p w:rsidR="00EB4E9C" w:rsidRPr="00DC3802" w:rsidRDefault="00E95BB1" w:rsidP="00E95BB1">
            <w:pPr>
              <w:pStyle w:val="Sessiontcplacedate"/>
              <w:rPr>
                <w:sz w:val="22"/>
              </w:rPr>
            </w:pPr>
            <w:r>
              <w:t xml:space="preserve">Thirty-Fifth </w:t>
            </w:r>
            <w:r w:rsidR="00EB4E9C" w:rsidRPr="00DA4973">
              <w:t>Session</w:t>
            </w:r>
            <w:r w:rsidR="00EB4E9C" w:rsidRPr="00DA4973">
              <w:br/>
            </w:r>
            <w:r w:rsidRPr="00E95BB1">
              <w:t>Buenos Aires, Argentina</w:t>
            </w:r>
            <w:r w:rsidR="00EB4E9C" w:rsidRPr="00DA4973">
              <w:t xml:space="preserve">, </w:t>
            </w:r>
            <w:r>
              <w:t>November</w:t>
            </w:r>
            <w:r w:rsidR="00E70039">
              <w:t xml:space="preserve"> </w:t>
            </w:r>
            <w:r w:rsidR="00EE41AF">
              <w:t>1</w:t>
            </w:r>
            <w:r>
              <w:t>4</w:t>
            </w:r>
            <w:r w:rsidR="00E70039">
              <w:t xml:space="preserve"> to </w:t>
            </w:r>
            <w:r>
              <w:t>17</w:t>
            </w:r>
            <w:r w:rsidR="00EB4E9C" w:rsidRPr="00DA4973">
              <w:t>, 2017</w:t>
            </w:r>
          </w:p>
        </w:tc>
        <w:tc>
          <w:tcPr>
            <w:tcW w:w="3127" w:type="dxa"/>
          </w:tcPr>
          <w:p w:rsidR="00DA4499" w:rsidRPr="007B48C6" w:rsidRDefault="00621302" w:rsidP="003C7FBE">
            <w:pPr>
              <w:pStyle w:val="Doccode"/>
            </w:pPr>
            <w:r w:rsidRPr="007B48C6">
              <w:t>T</w:t>
            </w:r>
            <w:r w:rsidR="00E70039" w:rsidRPr="007B48C6">
              <w:t>W</w:t>
            </w:r>
            <w:r w:rsidR="00E95BB1" w:rsidRPr="007B48C6">
              <w:t>C</w:t>
            </w:r>
            <w:r w:rsidR="00EB4E9C" w:rsidRPr="007B48C6">
              <w:t>/</w:t>
            </w:r>
            <w:r w:rsidR="00E95BB1" w:rsidRPr="007B48C6">
              <w:t>35</w:t>
            </w:r>
            <w:r w:rsidR="00EB4E9C" w:rsidRPr="007B48C6">
              <w:t>/</w:t>
            </w:r>
            <w:r w:rsidR="000A468A">
              <w:t>14</w:t>
            </w:r>
          </w:p>
          <w:p w:rsidR="00EB4E9C" w:rsidRPr="003C7FBE" w:rsidRDefault="00EB4E9C" w:rsidP="003C7FBE">
            <w:pPr>
              <w:pStyle w:val="Docoriginal"/>
            </w:pPr>
            <w:r w:rsidRPr="00AC2883">
              <w:t>Original:</w:t>
            </w:r>
            <w:r w:rsidRPr="000E636A">
              <w:rPr>
                <w:b w:val="0"/>
                <w:spacing w:val="0"/>
              </w:rPr>
              <w:t xml:space="preserve">  English</w:t>
            </w:r>
          </w:p>
          <w:p w:rsidR="00796BAF" w:rsidRPr="00796BAF" w:rsidRDefault="00EB4E9C" w:rsidP="00636BE8">
            <w:pPr>
              <w:pStyle w:val="Docoriginal"/>
              <w:rPr>
                <w:b w:val="0"/>
                <w:spacing w:val="0"/>
              </w:rPr>
            </w:pPr>
            <w:r w:rsidRPr="00AC2883">
              <w:t>Date:</w:t>
            </w:r>
            <w:r w:rsidRPr="000E636A">
              <w:rPr>
                <w:b w:val="0"/>
                <w:spacing w:val="0"/>
              </w:rPr>
              <w:t xml:space="preserve">  </w:t>
            </w:r>
            <w:bookmarkStart w:id="0" w:name="_GoBack"/>
            <w:bookmarkEnd w:id="0"/>
            <w:r w:rsidR="0021042B" w:rsidRPr="00636BE8">
              <w:rPr>
                <w:b w:val="0"/>
                <w:spacing w:val="0"/>
              </w:rPr>
              <w:t xml:space="preserve">October </w:t>
            </w:r>
            <w:r w:rsidR="00636BE8" w:rsidRPr="00636BE8">
              <w:rPr>
                <w:b w:val="0"/>
                <w:spacing w:val="0"/>
              </w:rPr>
              <w:t>3</w:t>
            </w:r>
            <w:r w:rsidR="00636BE8">
              <w:rPr>
                <w:b w:val="0"/>
                <w:spacing w:val="0"/>
              </w:rPr>
              <w:t>0</w:t>
            </w:r>
            <w:r w:rsidRPr="00796BAF">
              <w:rPr>
                <w:b w:val="0"/>
                <w:spacing w:val="0"/>
              </w:rPr>
              <w:t>,</w:t>
            </w:r>
            <w:r w:rsidRPr="000E636A">
              <w:rPr>
                <w:b w:val="0"/>
                <w:spacing w:val="0"/>
              </w:rPr>
              <w:t xml:space="preserve"> 2017</w:t>
            </w:r>
          </w:p>
        </w:tc>
      </w:tr>
    </w:tbl>
    <w:p w:rsidR="000A468A" w:rsidRPr="000A468A" w:rsidRDefault="000A468A" w:rsidP="000A468A">
      <w:pPr>
        <w:pStyle w:val="Titleofdoc0"/>
        <w:rPr>
          <w:bCs/>
          <w:lang w:val="en-GB"/>
        </w:rPr>
      </w:pPr>
      <w:bookmarkStart w:id="1" w:name="TitleOfDoc"/>
      <w:bookmarkEnd w:id="1"/>
      <w:r w:rsidRPr="000A468A">
        <w:rPr>
          <w:bCs/>
          <w:lang w:val="en-GB"/>
        </w:rPr>
        <w:t>Reasons and situations when the approaches described in the U</w:t>
      </w:r>
      <w:r w:rsidR="004607AF">
        <w:rPr>
          <w:bCs/>
          <w:lang w:val="en-GB"/>
        </w:rPr>
        <w:t xml:space="preserve">nited </w:t>
      </w:r>
      <w:r w:rsidRPr="000A468A">
        <w:rPr>
          <w:bCs/>
          <w:lang w:val="en-GB"/>
        </w:rPr>
        <w:t>K</w:t>
      </w:r>
      <w:r w:rsidR="004607AF">
        <w:rPr>
          <w:bCs/>
          <w:lang w:val="en-GB"/>
        </w:rPr>
        <w:t>ingdom</w:t>
      </w:r>
      <w:r w:rsidRPr="000A468A">
        <w:rPr>
          <w:bCs/>
          <w:lang w:val="en-GB"/>
        </w:rPr>
        <w:t xml:space="preserve"> practical exercise (TWC/30/32) would/would not be appropriate for transforming observations into notes on measured, quantitative characteristics</w:t>
      </w:r>
    </w:p>
    <w:p w:rsidR="006A644A" w:rsidRPr="006A644A" w:rsidRDefault="00AE0EF1" w:rsidP="006A644A">
      <w:pPr>
        <w:pStyle w:val="preparedby1"/>
        <w:jc w:val="left"/>
      </w:pPr>
      <w:bookmarkStart w:id="2" w:name="Prepared"/>
      <w:bookmarkEnd w:id="2"/>
      <w:r w:rsidRPr="000C4E25">
        <w:t xml:space="preserve">Document </w:t>
      </w:r>
      <w:r w:rsidR="0061555F" w:rsidRPr="000C4E25">
        <w:t xml:space="preserve">prepared by </w:t>
      </w:r>
      <w:r w:rsidR="008E71B5">
        <w:t xml:space="preserve">an </w:t>
      </w:r>
      <w:r w:rsidR="002966F1">
        <w:t xml:space="preserve">expert from </w:t>
      </w:r>
      <w:r w:rsidR="000A468A">
        <w:t>the United Kingdom</w:t>
      </w:r>
    </w:p>
    <w:p w:rsidR="00050E16" w:rsidRPr="006A644A" w:rsidRDefault="00050E16" w:rsidP="006A644A">
      <w:pPr>
        <w:pStyle w:val="Disclaimer"/>
      </w:pPr>
      <w:r w:rsidRPr="006A644A">
        <w:t>Disclaimer:  this document does not represent UPOV policies or guidance</w:t>
      </w:r>
    </w:p>
    <w:p w:rsidR="00A800D4" w:rsidRDefault="00A800D4" w:rsidP="00DC50A9">
      <w:pPr>
        <w:pStyle w:val="Heading1"/>
        <w:rPr>
          <w:lang w:val="en-GB"/>
        </w:rPr>
      </w:pPr>
      <w:r>
        <w:rPr>
          <w:lang w:val="en-GB"/>
        </w:rPr>
        <w:t>INTRODUCTION</w:t>
      </w:r>
    </w:p>
    <w:p w:rsidR="00A800D4" w:rsidRPr="00D1780A" w:rsidRDefault="00551040" w:rsidP="00A800D4">
      <w:pPr>
        <w:spacing w:before="240"/>
      </w:pPr>
      <w:r>
        <w:fldChar w:fldCharType="begin"/>
      </w:r>
      <w:r>
        <w:instrText xml:space="preserve"> AUTONUM  </w:instrText>
      </w:r>
      <w:r>
        <w:fldChar w:fldCharType="end"/>
      </w:r>
      <w:r>
        <w:tab/>
      </w:r>
      <w:r w:rsidR="00A800D4">
        <w:t>When the content</w:t>
      </w:r>
      <w:r w:rsidR="00A800D4" w:rsidRPr="00D1780A">
        <w:t xml:space="preserve"> of </w:t>
      </w:r>
      <w:r w:rsidR="00A800D4">
        <w:t>Annex</w:t>
      </w:r>
      <w:r w:rsidR="00A800D4" w:rsidRPr="00D1780A">
        <w:t xml:space="preserve"> V to document TWP/1/15</w:t>
      </w:r>
      <w:r w:rsidR="00DD474E">
        <w:t xml:space="preserve"> “Data Processing for the assessment of distinctness and for producing variety descriptions”</w:t>
      </w:r>
      <w:r w:rsidR="00A800D4" w:rsidRPr="00D1780A">
        <w:t xml:space="preserve"> </w:t>
      </w:r>
      <w:r w:rsidR="00A800D4">
        <w:t xml:space="preserve">was </w:t>
      </w:r>
      <w:r w:rsidR="00A800D4" w:rsidRPr="00D1780A">
        <w:t xml:space="preserve">presented to TWPs in 2016, experts from the United Kingdom realized that some revision of the content was necessary. The following is the revised content.  The experts from the United Kingdom propose that the following replaces the content of </w:t>
      </w:r>
      <w:r w:rsidR="00A800D4">
        <w:t>Annex</w:t>
      </w:r>
      <w:r w:rsidR="00A800D4" w:rsidRPr="00D1780A">
        <w:t xml:space="preserve"> V to document TWP/1/15</w:t>
      </w:r>
      <w:r w:rsidR="00A800D4">
        <w:t>.</w:t>
      </w:r>
    </w:p>
    <w:p w:rsidR="00BC7449" w:rsidRDefault="00BC7449" w:rsidP="00BC7449">
      <w:pPr>
        <w:pStyle w:val="Heading1"/>
      </w:pPr>
    </w:p>
    <w:p w:rsidR="00A800D4" w:rsidRPr="00A800D4" w:rsidRDefault="00A800D4" w:rsidP="00A800D4"/>
    <w:p w:rsidR="000A468A" w:rsidRPr="00686320" w:rsidRDefault="000A468A" w:rsidP="00BC7449">
      <w:pPr>
        <w:pStyle w:val="Heading1"/>
      </w:pPr>
      <w:r w:rsidRPr="00686320">
        <w:t xml:space="preserve">Cases when use of </w:t>
      </w:r>
      <w:r w:rsidRPr="006A6C23">
        <w:t>delineating varieties</w:t>
      </w:r>
      <w:r w:rsidRPr="00686320">
        <w:t xml:space="preserve"> </w:t>
      </w:r>
      <w:r>
        <w:t>chosen</w:t>
      </w:r>
      <w:r w:rsidRPr="00493093">
        <w:t xml:space="preserve"> </w:t>
      </w:r>
      <w:r>
        <w:t xml:space="preserve">by </w:t>
      </w:r>
      <w:r w:rsidRPr="00686320">
        <w:t xml:space="preserve">crop expert </w:t>
      </w:r>
      <w:r>
        <w:t xml:space="preserve">judgement </w:t>
      </w:r>
      <w:r w:rsidRPr="00686320">
        <w:t>would</w:t>
      </w:r>
      <w:r>
        <w:t xml:space="preserve"> or </w:t>
      </w:r>
      <w:r w:rsidRPr="00686320">
        <w:t>would not be appropriate for transforming observations into notes</w:t>
      </w:r>
    </w:p>
    <w:p w:rsidR="000A468A" w:rsidRPr="00686320" w:rsidRDefault="00551040" w:rsidP="00BC7449">
      <w:pPr>
        <w:spacing w:before="240"/>
      </w:pPr>
      <w:r>
        <w:fldChar w:fldCharType="begin"/>
      </w:r>
      <w:r>
        <w:instrText xml:space="preserve"> AUTONUM  </w:instrText>
      </w:r>
      <w:r>
        <w:fldChar w:fldCharType="end"/>
      </w:r>
      <w:r>
        <w:tab/>
      </w:r>
      <w:r w:rsidR="000A468A" w:rsidRPr="00686320">
        <w:t xml:space="preserve">Crop expert </w:t>
      </w:r>
      <w:r w:rsidR="000A468A">
        <w:t>chosen d</w:t>
      </w:r>
      <w:r w:rsidR="000A468A" w:rsidRPr="00686320">
        <w:t>elineating varieties</w:t>
      </w:r>
      <w:r w:rsidR="000A468A">
        <w:t>*</w:t>
      </w:r>
      <w:r w:rsidR="000A468A" w:rsidRPr="00686320">
        <w:t xml:space="preserve"> would </w:t>
      </w:r>
      <w:r w:rsidR="000A468A" w:rsidRPr="00686320">
        <w:rPr>
          <w:b/>
        </w:rPr>
        <w:t xml:space="preserve">not be used if </w:t>
      </w:r>
    </w:p>
    <w:p w:rsidR="000A468A" w:rsidRPr="00686320" w:rsidRDefault="000A468A" w:rsidP="000A468A">
      <w:pPr>
        <w:pStyle w:val="ListParagraph"/>
        <w:numPr>
          <w:ilvl w:val="0"/>
          <w:numId w:val="12"/>
        </w:numPr>
        <w:spacing w:before="240"/>
        <w:ind w:left="1134"/>
        <w:jc w:val="left"/>
      </w:pPr>
      <w:proofErr w:type="gramStart"/>
      <w:r w:rsidRPr="00686320">
        <w:t>the</w:t>
      </w:r>
      <w:proofErr w:type="gramEnd"/>
      <w:r w:rsidRPr="00686320">
        <w:t xml:space="preserve"> delineating variety did not express the same state as in previous years, </w:t>
      </w:r>
      <w:r>
        <w:t xml:space="preserve">e.g. </w:t>
      </w:r>
      <w:r w:rsidRPr="00686320">
        <w:t xml:space="preserve"> if the delineating varieties “drifted”, or </w:t>
      </w:r>
    </w:p>
    <w:p w:rsidR="000A468A" w:rsidRDefault="000A468A" w:rsidP="000A468A">
      <w:pPr>
        <w:pStyle w:val="ListParagraph"/>
        <w:numPr>
          <w:ilvl w:val="0"/>
          <w:numId w:val="12"/>
        </w:numPr>
        <w:spacing w:before="240"/>
        <w:ind w:left="1134"/>
        <w:jc w:val="left"/>
      </w:pPr>
      <w:proofErr w:type="gramStart"/>
      <w:r w:rsidRPr="00686320">
        <w:t>new</w:t>
      </w:r>
      <w:proofErr w:type="gramEnd"/>
      <w:r w:rsidRPr="00686320">
        <w:t xml:space="preserve"> varieties regularly arose that showed more extreme expression.</w:t>
      </w:r>
    </w:p>
    <w:p w:rsidR="000A468A" w:rsidRPr="00686320" w:rsidRDefault="008E71B5" w:rsidP="000A468A">
      <w:pPr>
        <w:pStyle w:val="ListParagraph"/>
        <w:numPr>
          <w:ilvl w:val="0"/>
          <w:numId w:val="12"/>
        </w:numPr>
        <w:spacing w:before="240"/>
        <w:ind w:left="1134"/>
        <w:jc w:val="left"/>
      </w:pPr>
      <w:proofErr w:type="gramStart"/>
      <w:r>
        <w:t>a</w:t>
      </w:r>
      <w:r w:rsidR="000A468A">
        <w:t>vailable</w:t>
      </w:r>
      <w:proofErr w:type="gramEnd"/>
      <w:r w:rsidR="000A468A">
        <w:t xml:space="preserve"> datasets too small for COYD analysis.</w:t>
      </w:r>
    </w:p>
    <w:p w:rsidR="000A468A" w:rsidRPr="00686320" w:rsidRDefault="00551040" w:rsidP="00BC7449">
      <w:pPr>
        <w:spacing w:before="240"/>
      </w:pPr>
      <w:r>
        <w:fldChar w:fldCharType="begin"/>
      </w:r>
      <w:r>
        <w:instrText xml:space="preserve"> AUTONUM  </w:instrText>
      </w:r>
      <w:r>
        <w:fldChar w:fldCharType="end"/>
      </w:r>
      <w:r>
        <w:tab/>
      </w:r>
      <w:r w:rsidR="000A468A" w:rsidRPr="00686320">
        <w:t xml:space="preserve">Crop expert </w:t>
      </w:r>
      <w:r w:rsidR="000A468A">
        <w:t>chosen d</w:t>
      </w:r>
      <w:r w:rsidR="000A468A" w:rsidRPr="00686320">
        <w:t>elineating varieties</w:t>
      </w:r>
      <w:r w:rsidR="000A468A" w:rsidRPr="00686320" w:rsidDel="00AF18AA">
        <w:t xml:space="preserve"> </w:t>
      </w:r>
      <w:r w:rsidR="000A468A" w:rsidRPr="00686320">
        <w:t>would</w:t>
      </w:r>
      <w:r w:rsidR="000A468A" w:rsidRPr="00686320">
        <w:rPr>
          <w:b/>
        </w:rPr>
        <w:t xml:space="preserve"> be used if</w:t>
      </w:r>
    </w:p>
    <w:p w:rsidR="000A468A" w:rsidRPr="00686320" w:rsidRDefault="000A468A" w:rsidP="000A468A">
      <w:pPr>
        <w:pStyle w:val="ListParagraph"/>
        <w:numPr>
          <w:ilvl w:val="0"/>
          <w:numId w:val="12"/>
        </w:numPr>
        <w:spacing w:before="240"/>
        <w:ind w:left="1134"/>
        <w:jc w:val="left"/>
      </w:pPr>
      <w:proofErr w:type="gramStart"/>
      <w:r w:rsidRPr="00686320">
        <w:t>the</w:t>
      </w:r>
      <w:proofErr w:type="gramEnd"/>
      <w:r w:rsidRPr="00686320">
        <w:t xml:space="preserve"> delineating varieties do not drift</w:t>
      </w:r>
      <w:r>
        <w:t>, s</w:t>
      </w:r>
      <w:r w:rsidRPr="00686320">
        <w:t>uch as with herbage crops</w:t>
      </w:r>
      <w:r>
        <w:t xml:space="preserve"> where t</w:t>
      </w:r>
      <w:r w:rsidRPr="00686320">
        <w:t xml:space="preserve">here are annual changes according to field and climate conditions, but then all the varieties tend to be affected in the same way by these.  It is also used for cereals and winter oilseed rape crops.  </w:t>
      </w:r>
    </w:p>
    <w:p w:rsidR="000A468A" w:rsidRDefault="000A468A" w:rsidP="000A468A">
      <w:pPr>
        <w:spacing w:before="240"/>
        <w:ind w:left="284" w:hanging="284"/>
      </w:pPr>
      <w:r w:rsidRPr="006A6C23">
        <w:t>*</w:t>
      </w:r>
      <w:r w:rsidRPr="006A6C23">
        <w:tab/>
        <w:t>Delineating varieties differ from example varieties in that in the former, a delineating variety defines each upper (or lower) intervening limit of the states within the range of expression.  By contrast, with example varieties an example variety represents the typical or mid-interval expression of each state within the range of expression.</w:t>
      </w:r>
    </w:p>
    <w:p w:rsidR="00BC7449" w:rsidRDefault="00BC7449" w:rsidP="000A468A">
      <w:pPr>
        <w:spacing w:before="240"/>
        <w:ind w:left="284" w:hanging="284"/>
      </w:pPr>
    </w:p>
    <w:p w:rsidR="000A468A" w:rsidRPr="00686320" w:rsidRDefault="000A468A" w:rsidP="00A800D4">
      <w:pPr>
        <w:pStyle w:val="Heading1"/>
        <w:keepLines/>
      </w:pPr>
      <w:r w:rsidRPr="00686320">
        <w:lastRenderedPageBreak/>
        <w:t>Cases when use of equal-spaced states would/would not be appropriate for transforming observations into notes</w:t>
      </w:r>
    </w:p>
    <w:p w:rsidR="000A468A" w:rsidRPr="00686320" w:rsidRDefault="00551040" w:rsidP="00A800D4">
      <w:pPr>
        <w:keepNext/>
        <w:keepLines/>
        <w:spacing w:before="240"/>
      </w:pPr>
      <w:r>
        <w:fldChar w:fldCharType="begin"/>
      </w:r>
      <w:r>
        <w:instrText xml:space="preserve"> AUTONUM  </w:instrText>
      </w:r>
      <w:r>
        <w:fldChar w:fldCharType="end"/>
      </w:r>
      <w:r>
        <w:tab/>
      </w:r>
      <w:r w:rsidR="000A468A">
        <w:t>E</w:t>
      </w:r>
      <w:r w:rsidR="000A468A" w:rsidRPr="00686320">
        <w:t xml:space="preserve">qual-spaced states would </w:t>
      </w:r>
      <w:r w:rsidR="000A468A" w:rsidRPr="00686320">
        <w:rPr>
          <w:b/>
        </w:rPr>
        <w:t>not be used if</w:t>
      </w:r>
      <w:r w:rsidR="000A468A" w:rsidRPr="00686320">
        <w:t xml:space="preserve"> </w:t>
      </w:r>
    </w:p>
    <w:p w:rsidR="000A468A" w:rsidRPr="00686320" w:rsidRDefault="000A468A" w:rsidP="00A800D4">
      <w:pPr>
        <w:pStyle w:val="ListParagraph"/>
        <w:keepNext/>
        <w:keepLines/>
        <w:numPr>
          <w:ilvl w:val="0"/>
          <w:numId w:val="12"/>
        </w:numPr>
        <w:spacing w:before="240"/>
        <w:ind w:left="1134"/>
        <w:jc w:val="left"/>
      </w:pPr>
      <w:r w:rsidRPr="00686320">
        <w:t xml:space="preserve">reference varieties with more ‘extreme’ states </w:t>
      </w:r>
      <w:r>
        <w:t>are not included in the growing trial</w:t>
      </w:r>
    </w:p>
    <w:p w:rsidR="000A468A" w:rsidRPr="00686320" w:rsidRDefault="000A468A" w:rsidP="00A800D4">
      <w:pPr>
        <w:pStyle w:val="ListParagraph"/>
        <w:keepNext/>
        <w:keepLines/>
        <w:numPr>
          <w:ilvl w:val="0"/>
          <w:numId w:val="12"/>
        </w:numPr>
        <w:spacing w:before="240"/>
        <w:ind w:left="1134"/>
        <w:jc w:val="left"/>
      </w:pPr>
      <w:proofErr w:type="gramStart"/>
      <w:r w:rsidRPr="00686320">
        <w:t>where</w:t>
      </w:r>
      <w:proofErr w:type="gramEnd"/>
      <w:r w:rsidRPr="00686320">
        <w:t xml:space="preserve"> the range of values is not continuous, e</w:t>
      </w:r>
      <w:r w:rsidR="008E71B5">
        <w:t>.</w:t>
      </w:r>
      <w:r w:rsidRPr="00686320">
        <w:t>g</w:t>
      </w:r>
      <w:r w:rsidR="008E71B5">
        <w:t>.</w:t>
      </w:r>
      <w:r w:rsidRPr="00686320">
        <w:t xml:space="preserve"> in pod width characteristic in peas (and to a certain extent also the length characteristic). In peas there are two types of pod</w:t>
      </w:r>
      <w:r w:rsidR="008E71B5">
        <w:t>;</w:t>
      </w:r>
      <w:r w:rsidRPr="00686320">
        <w:t xml:space="preserve"> the “normal” and the “balloon”.  Below are pictures and a histogram of the over-years </w:t>
      </w:r>
      <w:proofErr w:type="gramStart"/>
      <w:r w:rsidRPr="00686320">
        <w:t>mean</w:t>
      </w:r>
      <w:proofErr w:type="gramEnd"/>
      <w:r w:rsidRPr="00686320">
        <w:t xml:space="preserve"> pod width.  This shows that there is </w:t>
      </w:r>
      <w:r>
        <w:t xml:space="preserve">a mixture of two distributions for the pod width, corresponding to the two types: </w:t>
      </w:r>
      <w:r w:rsidRPr="00686320">
        <w:t>a normal distribution for the “normal” type but a scattering of “balloon” types at the top end.  If you use the “Equal-spaced method” in this case the individual notes get stretched.  There are really two discrete scales here which reflect the two different pod-types.</w:t>
      </w:r>
      <w:r w:rsidRPr="006E207C">
        <w:t xml:space="preserve"> </w:t>
      </w:r>
    </w:p>
    <w:p w:rsidR="000A468A" w:rsidRPr="00686320" w:rsidRDefault="008E71B5" w:rsidP="00A800D4">
      <w:pPr>
        <w:pStyle w:val="ListParagraph"/>
        <w:keepNext/>
        <w:keepLines/>
        <w:numPr>
          <w:ilvl w:val="0"/>
          <w:numId w:val="12"/>
        </w:numPr>
        <w:spacing w:before="240"/>
        <w:ind w:left="1134"/>
        <w:jc w:val="left"/>
      </w:pPr>
      <w:proofErr w:type="gramStart"/>
      <w:r>
        <w:t>a</w:t>
      </w:r>
      <w:r w:rsidR="000A468A">
        <w:t>vailable</w:t>
      </w:r>
      <w:proofErr w:type="gramEnd"/>
      <w:r w:rsidR="000A468A">
        <w:t xml:space="preserve"> datasets too small for COYD analysis.</w:t>
      </w:r>
      <w:r w:rsidR="000A468A" w:rsidRPr="006E207C">
        <w:t xml:space="preserve"> </w:t>
      </w:r>
    </w:p>
    <w:p w:rsidR="000A468A" w:rsidRPr="00686320" w:rsidRDefault="00551040" w:rsidP="00BC7449">
      <w:pPr>
        <w:spacing w:before="240"/>
      </w:pPr>
      <w:r>
        <w:fldChar w:fldCharType="begin"/>
      </w:r>
      <w:r>
        <w:instrText xml:space="preserve"> AUTONUM  </w:instrText>
      </w:r>
      <w:r>
        <w:fldChar w:fldCharType="end"/>
      </w:r>
      <w:r>
        <w:tab/>
      </w:r>
      <w:r w:rsidR="000A468A">
        <w:t>E</w:t>
      </w:r>
      <w:r w:rsidR="000A468A" w:rsidRPr="00686320">
        <w:t xml:space="preserve">qual-spaced states would </w:t>
      </w:r>
      <w:r w:rsidR="000A468A" w:rsidRPr="003549D6">
        <w:rPr>
          <w:b/>
        </w:rPr>
        <w:t>be used if</w:t>
      </w:r>
      <w:r w:rsidR="000A468A" w:rsidRPr="00686320">
        <w:t xml:space="preserve"> </w:t>
      </w:r>
    </w:p>
    <w:p w:rsidR="000A468A" w:rsidRPr="00686320" w:rsidRDefault="000A468A" w:rsidP="000A468A">
      <w:pPr>
        <w:pStyle w:val="ListParagraph"/>
        <w:numPr>
          <w:ilvl w:val="0"/>
          <w:numId w:val="12"/>
        </w:numPr>
        <w:spacing w:before="240"/>
        <w:ind w:left="1134"/>
        <w:jc w:val="left"/>
      </w:pPr>
      <w:proofErr w:type="gramStart"/>
      <w:r>
        <w:t>reference</w:t>
      </w:r>
      <w:proofErr w:type="gramEnd"/>
      <w:r>
        <w:t xml:space="preserve"> varieties represent the full states of expressions.</w:t>
      </w:r>
      <w:r w:rsidRPr="006E207C">
        <w:t xml:space="preserve"> </w:t>
      </w:r>
    </w:p>
    <w:p w:rsidR="000A468A" w:rsidRPr="00686320" w:rsidRDefault="000A468A" w:rsidP="000A468A">
      <w:pPr>
        <w:pStyle w:val="ListParagraph"/>
        <w:numPr>
          <w:ilvl w:val="0"/>
          <w:numId w:val="12"/>
        </w:numPr>
        <w:spacing w:before="240" w:after="240"/>
        <w:ind w:left="1134" w:hanging="357"/>
        <w:jc w:val="left"/>
      </w:pPr>
      <w:r>
        <w:t>where the range of values is continuous</w:t>
      </w:r>
    </w:p>
    <w:tbl>
      <w:tblPr>
        <w:tblStyle w:val="TableGrid"/>
        <w:tblW w:w="10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4"/>
        <w:gridCol w:w="5076"/>
      </w:tblGrid>
      <w:tr w:rsidR="000A468A" w:rsidRPr="00686320" w:rsidTr="00DA5C88">
        <w:tc>
          <w:tcPr>
            <w:tcW w:w="4934" w:type="dxa"/>
          </w:tcPr>
          <w:p w:rsidR="000A468A" w:rsidRPr="00686320" w:rsidRDefault="000A468A" w:rsidP="00DA5C88">
            <w:pPr>
              <w:pStyle w:val="Heading3"/>
              <w:outlineLvl w:val="2"/>
            </w:pPr>
            <w:r w:rsidRPr="00686320">
              <w:t>Balloon pods</w:t>
            </w:r>
          </w:p>
          <w:p w:rsidR="000A468A" w:rsidRPr="00686320" w:rsidRDefault="000A468A" w:rsidP="00DA5C88">
            <w:r>
              <w:rPr>
                <w:noProof/>
                <w:lang w:val="es-ES_tradnl" w:eastAsia="es-ES_tradnl"/>
              </w:rPr>
              <w:drawing>
                <wp:inline distT="0" distB="0" distL="0" distR="0" wp14:anchorId="668081C1" wp14:editId="6AFEBE4D">
                  <wp:extent cx="2976563" cy="227885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983925" cy="2284491"/>
                          </a:xfrm>
                          <a:prstGeom prst="rect">
                            <a:avLst/>
                          </a:prstGeom>
                          <a:noFill/>
                          <a:ln w="9525">
                            <a:noFill/>
                            <a:miter lim="800000"/>
                            <a:headEnd/>
                            <a:tailEnd/>
                          </a:ln>
                        </pic:spPr>
                      </pic:pic>
                    </a:graphicData>
                  </a:graphic>
                </wp:inline>
              </w:drawing>
            </w:r>
          </w:p>
        </w:tc>
        <w:tc>
          <w:tcPr>
            <w:tcW w:w="5076" w:type="dxa"/>
          </w:tcPr>
          <w:p w:rsidR="000A468A" w:rsidRPr="00686320" w:rsidRDefault="000A468A" w:rsidP="00DA5C88">
            <w:pPr>
              <w:pStyle w:val="Heading3"/>
              <w:outlineLvl w:val="2"/>
            </w:pPr>
            <w:r w:rsidRPr="00686320">
              <w:t>Normal pods</w:t>
            </w:r>
          </w:p>
          <w:p w:rsidR="000A468A" w:rsidRPr="00686320" w:rsidRDefault="000A468A" w:rsidP="00DA5C88">
            <w:r w:rsidRPr="00D11F8D">
              <w:rPr>
                <w:noProof/>
                <w:lang w:val="es-ES_tradnl" w:eastAsia="es-ES_tradnl"/>
              </w:rPr>
              <w:drawing>
                <wp:inline distT="0" distB="0" distL="0" distR="0" wp14:anchorId="4F62443F" wp14:editId="07E0FF7B">
                  <wp:extent cx="3066180" cy="2278121"/>
                  <wp:effectExtent l="19050" t="0" r="87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062969" cy="2275735"/>
                          </a:xfrm>
                          <a:prstGeom prst="rect">
                            <a:avLst/>
                          </a:prstGeom>
                          <a:noFill/>
                          <a:ln w="9525">
                            <a:noFill/>
                            <a:miter lim="800000"/>
                            <a:headEnd/>
                            <a:tailEnd/>
                          </a:ln>
                        </pic:spPr>
                      </pic:pic>
                    </a:graphicData>
                  </a:graphic>
                </wp:inline>
              </w:drawing>
            </w:r>
          </w:p>
        </w:tc>
      </w:tr>
    </w:tbl>
    <w:p w:rsidR="000A468A" w:rsidRPr="00686320" w:rsidRDefault="000A468A" w:rsidP="000A468A"/>
    <w:p w:rsidR="000A468A" w:rsidRPr="00686320" w:rsidRDefault="000A468A" w:rsidP="000A468A">
      <w:pPr>
        <w:pStyle w:val="Heading3"/>
      </w:pPr>
      <w:r w:rsidRPr="00686320">
        <w:lastRenderedPageBreak/>
        <w:t>Histogram of pea pod width characteristic</w:t>
      </w:r>
    </w:p>
    <w:p w:rsidR="000A468A" w:rsidRPr="00686320" w:rsidRDefault="000A468A" w:rsidP="000A468A">
      <w:pPr>
        <w:spacing w:before="240"/>
      </w:pPr>
      <w:r>
        <w:rPr>
          <w:noProof/>
          <w:lang w:val="es-ES_tradnl" w:eastAsia="es-ES_tradnl"/>
        </w:rPr>
        <w:drawing>
          <wp:inline distT="0" distB="0" distL="0" distR="0" wp14:anchorId="1422FC44" wp14:editId="1D3489F5">
            <wp:extent cx="5731510" cy="3821007"/>
            <wp:effectExtent l="1905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254618" w:rsidRDefault="00254618" w:rsidP="004A2BBE"/>
    <w:p w:rsidR="00A800D4" w:rsidRDefault="00A800D4" w:rsidP="004A2BBE"/>
    <w:p w:rsidR="00A800D4" w:rsidRDefault="00A800D4" w:rsidP="004A2BBE"/>
    <w:p w:rsidR="004A2BBE" w:rsidRPr="001531EB" w:rsidRDefault="000A468A" w:rsidP="004A2BBE">
      <w:pPr>
        <w:rPr>
          <w:lang w:val="en-GB"/>
        </w:rPr>
      </w:pPr>
      <w:r w:rsidRPr="000A468A">
        <w:rPr>
          <w:lang w:val="en-GB"/>
        </w:rPr>
        <w:t xml:space="preserve">Sally Watson, </w:t>
      </w:r>
      <w:r w:rsidR="001531EB" w:rsidRPr="001531EB">
        <w:rPr>
          <w:lang w:val="en-GB"/>
        </w:rPr>
        <w:t>Consultant Statistician</w:t>
      </w:r>
      <w:r w:rsidR="001531EB">
        <w:rPr>
          <w:lang w:val="en-GB"/>
        </w:rPr>
        <w:t>,</w:t>
      </w:r>
      <w:r w:rsidR="001531EB" w:rsidRPr="001531EB">
        <w:rPr>
          <w:lang w:val="en-GB"/>
        </w:rPr>
        <w:t xml:space="preserve"> </w:t>
      </w:r>
      <w:r w:rsidRPr="001531EB">
        <w:rPr>
          <w:lang w:val="en-GB"/>
        </w:rPr>
        <w:t>Statistical Services Branch</w:t>
      </w:r>
      <w:r w:rsidR="001531EB" w:rsidRPr="001531EB">
        <w:rPr>
          <w:lang w:val="en-GB"/>
        </w:rPr>
        <w:t xml:space="preserve">, </w:t>
      </w:r>
      <w:proofErr w:type="spellStart"/>
      <w:r w:rsidR="001531EB" w:rsidRPr="001531EB">
        <w:rPr>
          <w:lang w:val="en-GB"/>
        </w:rPr>
        <w:t>Agri</w:t>
      </w:r>
      <w:proofErr w:type="spellEnd"/>
      <w:r w:rsidR="001531EB" w:rsidRPr="001531EB">
        <w:rPr>
          <w:lang w:val="en-GB"/>
        </w:rPr>
        <w:t>-Food &amp; Biosciences Institute</w:t>
      </w:r>
      <w:r w:rsidR="001531EB">
        <w:rPr>
          <w:lang w:val="en-GB"/>
        </w:rPr>
        <w:t>, United </w:t>
      </w:r>
      <w:r w:rsidR="001531EB" w:rsidRPr="001531EB">
        <w:rPr>
          <w:lang w:val="en-GB"/>
        </w:rPr>
        <w:t>Kingdom</w:t>
      </w:r>
    </w:p>
    <w:p w:rsidR="004A2BBE" w:rsidRPr="00A800D4" w:rsidRDefault="004A2BBE" w:rsidP="004A2BBE">
      <w:pPr>
        <w:rPr>
          <w:lang w:val="en-GB"/>
        </w:rPr>
      </w:pPr>
    </w:p>
    <w:p w:rsidR="005B7B97" w:rsidRPr="009A19EC" w:rsidRDefault="005B7B97" w:rsidP="005B7B97">
      <w:pPr>
        <w:ind w:left="567" w:hanging="567"/>
      </w:pPr>
    </w:p>
    <w:p w:rsidR="005B7B97" w:rsidRPr="009A19EC" w:rsidRDefault="005B7B97" w:rsidP="005B7B97">
      <w:pPr>
        <w:ind w:left="567" w:hanging="567"/>
      </w:pPr>
    </w:p>
    <w:p w:rsidR="00050E16" w:rsidRPr="00C5280D" w:rsidRDefault="005B7B97" w:rsidP="00571767">
      <w:pPr>
        <w:jc w:val="right"/>
      </w:pPr>
      <w:r w:rsidRPr="002768BF">
        <w:t>[End of document]</w:t>
      </w:r>
    </w:p>
    <w:sectPr w:rsidR="00050E16" w:rsidRPr="00C5280D" w:rsidSect="00906DDC">
      <w:headerReference w:type="default" r:id="rId12"/>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750" w:rsidRDefault="00083750" w:rsidP="006655D3">
      <w:r>
        <w:separator/>
      </w:r>
    </w:p>
    <w:p w:rsidR="00083750" w:rsidRDefault="00083750" w:rsidP="006655D3"/>
    <w:p w:rsidR="00083750" w:rsidRDefault="00083750" w:rsidP="006655D3"/>
  </w:endnote>
  <w:endnote w:type="continuationSeparator" w:id="0">
    <w:p w:rsidR="00083750" w:rsidRDefault="00083750" w:rsidP="006655D3">
      <w:r>
        <w:separator/>
      </w:r>
    </w:p>
    <w:p w:rsidR="00083750" w:rsidRPr="00294751" w:rsidRDefault="00083750">
      <w:pPr>
        <w:pStyle w:val="Footer"/>
        <w:spacing w:after="60"/>
        <w:rPr>
          <w:sz w:val="18"/>
          <w:lang w:val="fr-FR"/>
        </w:rPr>
      </w:pPr>
      <w:r w:rsidRPr="00294751">
        <w:rPr>
          <w:sz w:val="18"/>
          <w:lang w:val="fr-FR"/>
        </w:rPr>
        <w:t>[Suite de la note de la page précédente]</w:t>
      </w:r>
    </w:p>
    <w:p w:rsidR="00083750" w:rsidRPr="00294751" w:rsidRDefault="00083750" w:rsidP="006655D3">
      <w:pPr>
        <w:rPr>
          <w:lang w:val="fr-FR"/>
        </w:rPr>
      </w:pPr>
    </w:p>
    <w:p w:rsidR="00083750" w:rsidRPr="00294751" w:rsidRDefault="00083750" w:rsidP="006655D3">
      <w:pPr>
        <w:rPr>
          <w:lang w:val="fr-FR"/>
        </w:rPr>
      </w:pPr>
    </w:p>
  </w:endnote>
  <w:endnote w:type="continuationNotice" w:id="1">
    <w:p w:rsidR="00083750" w:rsidRPr="00294751" w:rsidRDefault="00083750" w:rsidP="006655D3">
      <w:pPr>
        <w:rPr>
          <w:lang w:val="fr-FR"/>
        </w:rPr>
      </w:pPr>
      <w:r w:rsidRPr="00294751">
        <w:rPr>
          <w:lang w:val="fr-FR"/>
        </w:rPr>
        <w:t>[Suite de la note page suivante]</w:t>
      </w:r>
    </w:p>
    <w:p w:rsidR="00083750" w:rsidRPr="00294751" w:rsidRDefault="00083750" w:rsidP="006655D3">
      <w:pPr>
        <w:rPr>
          <w:lang w:val="fr-FR"/>
        </w:rPr>
      </w:pPr>
    </w:p>
    <w:p w:rsidR="00083750" w:rsidRPr="00294751" w:rsidRDefault="00083750"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750" w:rsidRDefault="00083750" w:rsidP="006655D3">
      <w:r>
        <w:separator/>
      </w:r>
    </w:p>
  </w:footnote>
  <w:footnote w:type="continuationSeparator" w:id="0">
    <w:p w:rsidR="00083750" w:rsidRDefault="00083750" w:rsidP="006655D3">
      <w:r>
        <w:separator/>
      </w:r>
    </w:p>
  </w:footnote>
  <w:footnote w:type="continuationNotice" w:id="1">
    <w:p w:rsidR="00083750" w:rsidRPr="00AB530F" w:rsidRDefault="00083750"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B99" w:rsidRPr="00C5280D" w:rsidRDefault="00C53EB3" w:rsidP="00EB048E">
    <w:pPr>
      <w:pStyle w:val="Header"/>
      <w:rPr>
        <w:rStyle w:val="PageNumber"/>
        <w:lang w:val="en-US"/>
      </w:rPr>
    </w:pPr>
    <w:r>
      <w:rPr>
        <w:rStyle w:val="PageNumber"/>
        <w:lang w:val="en-US"/>
      </w:rPr>
      <w:t>T</w:t>
    </w:r>
    <w:r w:rsidR="00E70039">
      <w:rPr>
        <w:rStyle w:val="PageNumber"/>
        <w:lang w:val="en-US"/>
      </w:rPr>
      <w:t>W</w:t>
    </w:r>
    <w:r w:rsidR="00E95BB1">
      <w:rPr>
        <w:rStyle w:val="PageNumber"/>
        <w:lang w:val="en-US"/>
      </w:rPr>
      <w:t>C</w:t>
    </w:r>
    <w:r>
      <w:rPr>
        <w:rStyle w:val="PageNumber"/>
        <w:lang w:val="en-US"/>
      </w:rPr>
      <w:t>/</w:t>
    </w:r>
    <w:r w:rsidR="00E95BB1">
      <w:rPr>
        <w:rStyle w:val="PageNumber"/>
        <w:lang w:val="en-US"/>
      </w:rPr>
      <w:t>35</w:t>
    </w:r>
    <w:r w:rsidR="00667404">
      <w:rPr>
        <w:rStyle w:val="PageNumber"/>
        <w:lang w:val="en-US"/>
      </w:rPr>
      <w:t>/</w:t>
    </w:r>
    <w:r w:rsidR="001531EB">
      <w:rPr>
        <w:rStyle w:val="PageNumber"/>
        <w:lang w:val="en-US"/>
      </w:rPr>
      <w:t>14</w:t>
    </w:r>
  </w:p>
  <w:p w:rsidR="00182B99" w:rsidRPr="00C5280D" w:rsidRDefault="00182B99"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636BE8">
      <w:rPr>
        <w:rStyle w:val="PageNumber"/>
        <w:noProof/>
        <w:lang w:val="en-US"/>
      </w:rPr>
      <w:t>3</w:t>
    </w:r>
    <w:r w:rsidRPr="00C5280D">
      <w:rPr>
        <w:rStyle w:val="PageNumber"/>
        <w:lang w:val="en-US"/>
      </w:rPr>
      <w:fldChar w:fldCharType="end"/>
    </w:r>
  </w:p>
  <w:p w:rsidR="00182B99" w:rsidRPr="00C5280D" w:rsidRDefault="00182B99" w:rsidP="006655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035AC"/>
    <w:multiLevelType w:val="singleLevel"/>
    <w:tmpl w:val="13E6CF88"/>
    <w:lvl w:ilvl="0">
      <w:start w:val="1"/>
      <w:numFmt w:val="bullet"/>
      <w:pStyle w:val="indentpara"/>
      <w:lvlText w:val=""/>
      <w:lvlJc w:val="left"/>
      <w:pPr>
        <w:tabs>
          <w:tab w:val="num" w:pos="4897"/>
        </w:tabs>
        <w:ind w:left="4897" w:hanging="360"/>
      </w:pPr>
      <w:rPr>
        <w:rFonts w:ascii="Symbol" w:hAnsi="Symbol" w:hint="default"/>
      </w:rPr>
    </w:lvl>
  </w:abstractNum>
  <w:abstractNum w:abstractNumId="1">
    <w:nsid w:val="0D274E3C"/>
    <w:multiLevelType w:val="hybridMultilevel"/>
    <w:tmpl w:val="2FCAC2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3834A7E"/>
    <w:multiLevelType w:val="hybridMultilevel"/>
    <w:tmpl w:val="E07468F4"/>
    <w:lvl w:ilvl="0" w:tplc="00AAEC1A">
      <w:start w:val="1"/>
      <w:numFmt w:val="bullet"/>
      <w:lvlText w:val="•"/>
      <w:lvlJc w:val="left"/>
      <w:pPr>
        <w:ind w:left="1712" w:hanging="360"/>
      </w:pPr>
      <w:rPr>
        <w:rFonts w:ascii="Arial" w:hAnsi="Arial" w:hint="default"/>
      </w:rPr>
    </w:lvl>
    <w:lvl w:ilvl="1" w:tplc="04090003">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3">
    <w:nsid w:val="15B43D1A"/>
    <w:multiLevelType w:val="hybridMultilevel"/>
    <w:tmpl w:val="7D9E8D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8AE75D9"/>
    <w:multiLevelType w:val="hybridMultilevel"/>
    <w:tmpl w:val="8F10CA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19924FC"/>
    <w:multiLevelType w:val="hybridMultilevel"/>
    <w:tmpl w:val="4328BE50"/>
    <w:lvl w:ilvl="0" w:tplc="00AAEC1A">
      <w:start w:val="1"/>
      <w:numFmt w:val="bullet"/>
      <w:lvlText w:val="•"/>
      <w:lvlJc w:val="left"/>
      <w:pPr>
        <w:ind w:left="1412" w:hanging="420"/>
      </w:pPr>
      <w:rPr>
        <w:rFonts w:ascii="Arial" w:hAnsi="Arial" w:hint="default"/>
        <w:i/>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6">
    <w:nsid w:val="2E565076"/>
    <w:multiLevelType w:val="hybridMultilevel"/>
    <w:tmpl w:val="0B28634A"/>
    <w:lvl w:ilvl="0" w:tplc="00AAEC1A">
      <w:start w:val="1"/>
      <w:numFmt w:val="bullet"/>
      <w:lvlText w:val="•"/>
      <w:lvlJc w:val="left"/>
      <w:pPr>
        <w:ind w:left="1712" w:hanging="360"/>
      </w:pPr>
      <w:rPr>
        <w:rFonts w:ascii="Arial" w:hAnsi="Aria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7">
    <w:nsid w:val="33737845"/>
    <w:multiLevelType w:val="hybridMultilevel"/>
    <w:tmpl w:val="7108A464"/>
    <w:lvl w:ilvl="0" w:tplc="4BF8C83E">
      <w:start w:val="3"/>
      <w:numFmt w:val="bullet"/>
      <w:lvlText w:val="–"/>
      <w:lvlJc w:val="left"/>
      <w:pPr>
        <w:ind w:left="1412" w:hanging="420"/>
      </w:pPr>
      <w:rPr>
        <w:rFonts w:ascii="Arial" w:eastAsia="Times New Roman" w:hAnsi="Arial" w:cs="Aria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8">
    <w:nsid w:val="35775566"/>
    <w:multiLevelType w:val="hybridMultilevel"/>
    <w:tmpl w:val="FF7614BE"/>
    <w:lvl w:ilvl="0" w:tplc="3B58EFDA">
      <w:start w:val="3"/>
      <w:numFmt w:val="bullet"/>
      <w:lvlText w:val="–"/>
      <w:lvlJc w:val="left"/>
      <w:pPr>
        <w:ind w:left="1412" w:hanging="420"/>
      </w:pPr>
      <w:rPr>
        <w:rFonts w:ascii="Arial" w:eastAsia="Times New Roman" w:hAnsi="Arial" w:cs="Arial" w:hint="default"/>
        <w:i/>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9">
    <w:nsid w:val="4AC407F4"/>
    <w:multiLevelType w:val="hybridMultilevel"/>
    <w:tmpl w:val="04B6384A"/>
    <w:lvl w:ilvl="0" w:tplc="6B7E5054">
      <w:start w:val="1"/>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
    <w:nsid w:val="57784F26"/>
    <w:multiLevelType w:val="hybridMultilevel"/>
    <w:tmpl w:val="3EC67B54"/>
    <w:lvl w:ilvl="0" w:tplc="00AAEC1A">
      <w:start w:val="1"/>
      <w:numFmt w:val="bullet"/>
      <w:lvlText w:val="•"/>
      <w:lvlJc w:val="left"/>
      <w:pPr>
        <w:ind w:left="1712" w:hanging="360"/>
      </w:pPr>
      <w:rPr>
        <w:rFonts w:ascii="Arial" w:hAnsi="Aria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1">
    <w:nsid w:val="62AB7769"/>
    <w:multiLevelType w:val="hybridMultilevel"/>
    <w:tmpl w:val="9A46F13E"/>
    <w:lvl w:ilvl="0" w:tplc="BD9A55EC">
      <w:start w:val="1"/>
      <w:numFmt w:val="lowerRoman"/>
      <w:lvlText w:val="(%1)"/>
      <w:lvlJc w:val="righ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nsid w:val="79BC6F3F"/>
    <w:multiLevelType w:val="hybridMultilevel"/>
    <w:tmpl w:val="45703934"/>
    <w:lvl w:ilvl="0" w:tplc="EE8893E8">
      <w:start w:val="3"/>
      <w:numFmt w:val="bullet"/>
      <w:lvlText w:val="–"/>
      <w:lvlJc w:val="left"/>
      <w:pPr>
        <w:ind w:left="1352" w:hanging="360"/>
      </w:pPr>
      <w:rPr>
        <w:rFonts w:ascii="Arial" w:eastAsia="Times New Roman" w:hAnsi="Arial" w:cs="Arial" w:hint="default"/>
      </w:rPr>
    </w:lvl>
    <w:lvl w:ilvl="1" w:tplc="CB307D98">
      <w:start w:val="3"/>
      <w:numFmt w:val="bullet"/>
      <w:lvlText w:val=""/>
      <w:lvlJc w:val="left"/>
      <w:pPr>
        <w:ind w:left="2072" w:hanging="360"/>
      </w:pPr>
      <w:rPr>
        <w:rFonts w:ascii="Wingdings" w:eastAsia="Times New Roman" w:hAnsi="Wingdings" w:cs="Arial"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num w:numId="1">
    <w:abstractNumId w:val="0"/>
  </w:num>
  <w:num w:numId="2">
    <w:abstractNumId w:val="11"/>
  </w:num>
  <w:num w:numId="3">
    <w:abstractNumId w:val="9"/>
  </w:num>
  <w:num w:numId="4">
    <w:abstractNumId w:val="2"/>
  </w:num>
  <w:num w:numId="5">
    <w:abstractNumId w:val="12"/>
  </w:num>
  <w:num w:numId="6">
    <w:abstractNumId w:val="6"/>
  </w:num>
  <w:num w:numId="7">
    <w:abstractNumId w:val="8"/>
  </w:num>
  <w:num w:numId="8">
    <w:abstractNumId w:val="5"/>
  </w:num>
  <w:num w:numId="9">
    <w:abstractNumId w:val="10"/>
  </w:num>
  <w:num w:numId="10">
    <w:abstractNumId w:val="7"/>
  </w:num>
  <w:num w:numId="11">
    <w:abstractNumId w:val="1"/>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B97"/>
    <w:rsid w:val="00010CF3"/>
    <w:rsid w:val="00011E27"/>
    <w:rsid w:val="000148BC"/>
    <w:rsid w:val="00024AB8"/>
    <w:rsid w:val="000272B4"/>
    <w:rsid w:val="00030854"/>
    <w:rsid w:val="00036028"/>
    <w:rsid w:val="00044642"/>
    <w:rsid w:val="000446B9"/>
    <w:rsid w:val="00047E21"/>
    <w:rsid w:val="00050E16"/>
    <w:rsid w:val="0005428A"/>
    <w:rsid w:val="00057817"/>
    <w:rsid w:val="000669EB"/>
    <w:rsid w:val="00076A8E"/>
    <w:rsid w:val="00083750"/>
    <w:rsid w:val="00085505"/>
    <w:rsid w:val="0009084B"/>
    <w:rsid w:val="000A21B3"/>
    <w:rsid w:val="000A468A"/>
    <w:rsid w:val="000B1032"/>
    <w:rsid w:val="000C4E25"/>
    <w:rsid w:val="000C7021"/>
    <w:rsid w:val="000D2EBB"/>
    <w:rsid w:val="000D6BBC"/>
    <w:rsid w:val="000D7780"/>
    <w:rsid w:val="000E636A"/>
    <w:rsid w:val="000F2F11"/>
    <w:rsid w:val="00105929"/>
    <w:rsid w:val="00110C36"/>
    <w:rsid w:val="001131D5"/>
    <w:rsid w:val="001132F2"/>
    <w:rsid w:val="00131564"/>
    <w:rsid w:val="00141DB8"/>
    <w:rsid w:val="001531EB"/>
    <w:rsid w:val="001641C6"/>
    <w:rsid w:val="00172084"/>
    <w:rsid w:val="0017474A"/>
    <w:rsid w:val="001758C6"/>
    <w:rsid w:val="00182B99"/>
    <w:rsid w:val="001A12B5"/>
    <w:rsid w:val="001C31D9"/>
    <w:rsid w:val="001D6303"/>
    <w:rsid w:val="002004A1"/>
    <w:rsid w:val="0021042B"/>
    <w:rsid w:val="0021332C"/>
    <w:rsid w:val="00213982"/>
    <w:rsid w:val="0024416D"/>
    <w:rsid w:val="00254618"/>
    <w:rsid w:val="00260EC2"/>
    <w:rsid w:val="00271911"/>
    <w:rsid w:val="002800A0"/>
    <w:rsid w:val="002801B3"/>
    <w:rsid w:val="00281060"/>
    <w:rsid w:val="002940E8"/>
    <w:rsid w:val="00294751"/>
    <w:rsid w:val="00296192"/>
    <w:rsid w:val="002966F1"/>
    <w:rsid w:val="002A6E50"/>
    <w:rsid w:val="002B4298"/>
    <w:rsid w:val="002C256A"/>
    <w:rsid w:val="002D75FD"/>
    <w:rsid w:val="002D7C70"/>
    <w:rsid w:val="00305A7F"/>
    <w:rsid w:val="003152FE"/>
    <w:rsid w:val="00320552"/>
    <w:rsid w:val="00327436"/>
    <w:rsid w:val="00335389"/>
    <w:rsid w:val="00344BD6"/>
    <w:rsid w:val="0035528D"/>
    <w:rsid w:val="00361821"/>
    <w:rsid w:val="00361E9E"/>
    <w:rsid w:val="003B7E3E"/>
    <w:rsid w:val="003C7FBE"/>
    <w:rsid w:val="003D227C"/>
    <w:rsid w:val="003D2B4D"/>
    <w:rsid w:val="003E2248"/>
    <w:rsid w:val="003F0ED7"/>
    <w:rsid w:val="00444A88"/>
    <w:rsid w:val="00451E76"/>
    <w:rsid w:val="00456B44"/>
    <w:rsid w:val="004607AF"/>
    <w:rsid w:val="00474271"/>
    <w:rsid w:val="00474DA4"/>
    <w:rsid w:val="00476B4D"/>
    <w:rsid w:val="004805FA"/>
    <w:rsid w:val="004935D2"/>
    <w:rsid w:val="0049744F"/>
    <w:rsid w:val="004A2B8C"/>
    <w:rsid w:val="004A2BBE"/>
    <w:rsid w:val="004B1215"/>
    <w:rsid w:val="004C55C5"/>
    <w:rsid w:val="004D047D"/>
    <w:rsid w:val="004F1E9E"/>
    <w:rsid w:val="004F305A"/>
    <w:rsid w:val="00512164"/>
    <w:rsid w:val="00520297"/>
    <w:rsid w:val="005338F9"/>
    <w:rsid w:val="0054281C"/>
    <w:rsid w:val="00544581"/>
    <w:rsid w:val="00551040"/>
    <w:rsid w:val="0055268D"/>
    <w:rsid w:val="00553E11"/>
    <w:rsid w:val="00571767"/>
    <w:rsid w:val="0057575B"/>
    <w:rsid w:val="00576BE4"/>
    <w:rsid w:val="00590C75"/>
    <w:rsid w:val="005A400A"/>
    <w:rsid w:val="005B4603"/>
    <w:rsid w:val="005B4E39"/>
    <w:rsid w:val="005B7B97"/>
    <w:rsid w:val="005C1A67"/>
    <w:rsid w:val="005F7B92"/>
    <w:rsid w:val="00600D01"/>
    <w:rsid w:val="00610A4C"/>
    <w:rsid w:val="00612379"/>
    <w:rsid w:val="006145DE"/>
    <w:rsid w:val="006153B6"/>
    <w:rsid w:val="0061555F"/>
    <w:rsid w:val="00621302"/>
    <w:rsid w:val="00634FB5"/>
    <w:rsid w:val="00636BE8"/>
    <w:rsid w:val="00636CA6"/>
    <w:rsid w:val="00641200"/>
    <w:rsid w:val="006455EC"/>
    <w:rsid w:val="006655D3"/>
    <w:rsid w:val="00667404"/>
    <w:rsid w:val="00687EB4"/>
    <w:rsid w:val="00695C56"/>
    <w:rsid w:val="006A5CDE"/>
    <w:rsid w:val="006A644A"/>
    <w:rsid w:val="006B17D2"/>
    <w:rsid w:val="006B79AD"/>
    <w:rsid w:val="006B7DF9"/>
    <w:rsid w:val="006C224E"/>
    <w:rsid w:val="006D780A"/>
    <w:rsid w:val="006E314E"/>
    <w:rsid w:val="0071271E"/>
    <w:rsid w:val="00732A6C"/>
    <w:rsid w:val="00732DEC"/>
    <w:rsid w:val="00735BD5"/>
    <w:rsid w:val="00751613"/>
    <w:rsid w:val="00752A5F"/>
    <w:rsid w:val="007556F6"/>
    <w:rsid w:val="00760EEF"/>
    <w:rsid w:val="00777EE5"/>
    <w:rsid w:val="00784836"/>
    <w:rsid w:val="0079023E"/>
    <w:rsid w:val="00796BAF"/>
    <w:rsid w:val="007A2854"/>
    <w:rsid w:val="007B48C6"/>
    <w:rsid w:val="007C1D92"/>
    <w:rsid w:val="007C4CB9"/>
    <w:rsid w:val="007D0B9D"/>
    <w:rsid w:val="007D19B0"/>
    <w:rsid w:val="007D6195"/>
    <w:rsid w:val="007E1524"/>
    <w:rsid w:val="007F498F"/>
    <w:rsid w:val="00805E12"/>
    <w:rsid w:val="0080679D"/>
    <w:rsid w:val="008108B0"/>
    <w:rsid w:val="00811B20"/>
    <w:rsid w:val="008211B5"/>
    <w:rsid w:val="0082296E"/>
    <w:rsid w:val="00824099"/>
    <w:rsid w:val="00846D7C"/>
    <w:rsid w:val="00860A1D"/>
    <w:rsid w:val="008635F6"/>
    <w:rsid w:val="00867AC1"/>
    <w:rsid w:val="00884D81"/>
    <w:rsid w:val="00890DF8"/>
    <w:rsid w:val="008A743F"/>
    <w:rsid w:val="008C0970"/>
    <w:rsid w:val="008D0BC5"/>
    <w:rsid w:val="008D2CF7"/>
    <w:rsid w:val="008E71B5"/>
    <w:rsid w:val="00900C26"/>
    <w:rsid w:val="0090197F"/>
    <w:rsid w:val="00906DDC"/>
    <w:rsid w:val="00934E09"/>
    <w:rsid w:val="00936253"/>
    <w:rsid w:val="00940D46"/>
    <w:rsid w:val="0094520D"/>
    <w:rsid w:val="00952DD4"/>
    <w:rsid w:val="00965AE7"/>
    <w:rsid w:val="00970FED"/>
    <w:rsid w:val="00973ECE"/>
    <w:rsid w:val="00990A76"/>
    <w:rsid w:val="00992D82"/>
    <w:rsid w:val="00997029"/>
    <w:rsid w:val="009A19EC"/>
    <w:rsid w:val="009A7339"/>
    <w:rsid w:val="009A7D39"/>
    <w:rsid w:val="009B440E"/>
    <w:rsid w:val="009C532F"/>
    <w:rsid w:val="009D690D"/>
    <w:rsid w:val="009E163A"/>
    <w:rsid w:val="009E65B6"/>
    <w:rsid w:val="00A24C10"/>
    <w:rsid w:val="00A24C8E"/>
    <w:rsid w:val="00A276FA"/>
    <w:rsid w:val="00A42AC3"/>
    <w:rsid w:val="00A430CF"/>
    <w:rsid w:val="00A531C0"/>
    <w:rsid w:val="00A54309"/>
    <w:rsid w:val="00A800D4"/>
    <w:rsid w:val="00AB2B93"/>
    <w:rsid w:val="00AB4EFC"/>
    <w:rsid w:val="00AB530F"/>
    <w:rsid w:val="00AB7E5B"/>
    <w:rsid w:val="00AC2883"/>
    <w:rsid w:val="00AE0EF1"/>
    <w:rsid w:val="00AE2937"/>
    <w:rsid w:val="00B07301"/>
    <w:rsid w:val="00B11F3E"/>
    <w:rsid w:val="00B13C75"/>
    <w:rsid w:val="00B224DE"/>
    <w:rsid w:val="00B324D4"/>
    <w:rsid w:val="00B46575"/>
    <w:rsid w:val="00B560B3"/>
    <w:rsid w:val="00B61777"/>
    <w:rsid w:val="00B84BBD"/>
    <w:rsid w:val="00B85C37"/>
    <w:rsid w:val="00BA1991"/>
    <w:rsid w:val="00BA43FB"/>
    <w:rsid w:val="00BC127D"/>
    <w:rsid w:val="00BC1FE6"/>
    <w:rsid w:val="00BC28E5"/>
    <w:rsid w:val="00BC7449"/>
    <w:rsid w:val="00BD313C"/>
    <w:rsid w:val="00C061B6"/>
    <w:rsid w:val="00C21E23"/>
    <w:rsid w:val="00C2446C"/>
    <w:rsid w:val="00C36AE5"/>
    <w:rsid w:val="00C41F17"/>
    <w:rsid w:val="00C527FA"/>
    <w:rsid w:val="00C5280D"/>
    <w:rsid w:val="00C53EB3"/>
    <w:rsid w:val="00C5791C"/>
    <w:rsid w:val="00C66290"/>
    <w:rsid w:val="00C72B7A"/>
    <w:rsid w:val="00C973F2"/>
    <w:rsid w:val="00CA304C"/>
    <w:rsid w:val="00CA774A"/>
    <w:rsid w:val="00CC11B0"/>
    <w:rsid w:val="00CC213B"/>
    <w:rsid w:val="00CC2841"/>
    <w:rsid w:val="00CF1330"/>
    <w:rsid w:val="00CF7E36"/>
    <w:rsid w:val="00D3708D"/>
    <w:rsid w:val="00D40426"/>
    <w:rsid w:val="00D57C96"/>
    <w:rsid w:val="00D57D18"/>
    <w:rsid w:val="00D91203"/>
    <w:rsid w:val="00D95174"/>
    <w:rsid w:val="00DA1712"/>
    <w:rsid w:val="00DA4499"/>
    <w:rsid w:val="00DA4973"/>
    <w:rsid w:val="00DA6F36"/>
    <w:rsid w:val="00DB596E"/>
    <w:rsid w:val="00DB7773"/>
    <w:rsid w:val="00DC00EA"/>
    <w:rsid w:val="00DC3802"/>
    <w:rsid w:val="00DC50A9"/>
    <w:rsid w:val="00DD474E"/>
    <w:rsid w:val="00E06076"/>
    <w:rsid w:val="00E07D87"/>
    <w:rsid w:val="00E32F7E"/>
    <w:rsid w:val="00E3667F"/>
    <w:rsid w:val="00E5071F"/>
    <w:rsid w:val="00E5267B"/>
    <w:rsid w:val="00E70039"/>
    <w:rsid w:val="00E72D49"/>
    <w:rsid w:val="00E7593C"/>
    <w:rsid w:val="00E7678A"/>
    <w:rsid w:val="00E935F1"/>
    <w:rsid w:val="00E94A81"/>
    <w:rsid w:val="00E95BB1"/>
    <w:rsid w:val="00EA1FFB"/>
    <w:rsid w:val="00EB048E"/>
    <w:rsid w:val="00EB4E9C"/>
    <w:rsid w:val="00EC481C"/>
    <w:rsid w:val="00EE1AFA"/>
    <w:rsid w:val="00EE34DF"/>
    <w:rsid w:val="00EE41AF"/>
    <w:rsid w:val="00EF2F89"/>
    <w:rsid w:val="00F03E98"/>
    <w:rsid w:val="00F1237A"/>
    <w:rsid w:val="00F22CBD"/>
    <w:rsid w:val="00F272F1"/>
    <w:rsid w:val="00F45372"/>
    <w:rsid w:val="00F560F7"/>
    <w:rsid w:val="00F6334D"/>
    <w:rsid w:val="00FA48A8"/>
    <w:rsid w:val="00FA49AB"/>
    <w:rsid w:val="00FA5764"/>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A2BBE"/>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600D01"/>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600D01"/>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621302"/>
    <w:pPr>
      <w:spacing w:line="280" w:lineRule="atLeast"/>
    </w:pPr>
    <w:rPr>
      <w:rFonts w:ascii="Arial" w:hAnsi="Arial"/>
      <w:b/>
      <w:bCs/>
      <w:spacing w:val="10"/>
      <w:sz w:val="18"/>
    </w:rPr>
  </w:style>
  <w:style w:type="paragraph" w:customStyle="1" w:styleId="indentpara">
    <w:name w:val="indentpara"/>
    <w:basedOn w:val="Normal"/>
    <w:rsid w:val="005B7B97"/>
    <w:pPr>
      <w:numPr>
        <w:numId w:val="1"/>
      </w:numPr>
    </w:pPr>
    <w:rPr>
      <w:rFonts w:ascii="Times New Roman" w:hAnsi="Times New Roman"/>
      <w:sz w:val="24"/>
    </w:rPr>
  </w:style>
  <w:style w:type="paragraph" w:styleId="ListParagraph">
    <w:name w:val="List Paragraph"/>
    <w:basedOn w:val="Normal"/>
    <w:uiPriority w:val="34"/>
    <w:qFormat/>
    <w:rsid w:val="005B7B97"/>
    <w:pPr>
      <w:ind w:left="567"/>
    </w:pPr>
  </w:style>
  <w:style w:type="paragraph" w:customStyle="1" w:styleId="Default">
    <w:name w:val="Default"/>
    <w:rsid w:val="0032055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4A2BBE"/>
    <w:rPr>
      <w:rFonts w:ascii="Arial" w:hAnsi="Arial"/>
      <w:caps/>
    </w:rPr>
  </w:style>
  <w:style w:type="table" w:styleId="TableGrid">
    <w:name w:val="Table Grid"/>
    <w:basedOn w:val="TableNormal"/>
    <w:uiPriority w:val="59"/>
    <w:rsid w:val="004A2BBE"/>
    <w:rPr>
      <w:rFonts w:asciiTheme="minorHAnsi" w:eastAsiaTheme="minorEastAsia"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4A2BBE"/>
    <w:pPr>
      <w:spacing w:after="200"/>
      <w:jc w:val="left"/>
    </w:pPr>
    <w:rPr>
      <w:rFonts w:asciiTheme="minorHAnsi" w:eastAsiaTheme="minorHAnsi" w:hAnsiTheme="minorHAnsi" w:cstheme="minorBidi"/>
      <w:b/>
      <w:bCs/>
      <w:color w:val="4F81BD" w:themeColor="accent1"/>
      <w:sz w:val="18"/>
      <w:szCs w:val="18"/>
      <w:lang w:val="it-IT"/>
    </w:rPr>
  </w:style>
  <w:style w:type="character" w:styleId="CommentReference">
    <w:name w:val="annotation reference"/>
    <w:basedOn w:val="DefaultParagraphFont"/>
    <w:rsid w:val="00451E76"/>
    <w:rPr>
      <w:sz w:val="16"/>
      <w:szCs w:val="16"/>
    </w:rPr>
  </w:style>
  <w:style w:type="paragraph" w:styleId="CommentText">
    <w:name w:val="annotation text"/>
    <w:basedOn w:val="Normal"/>
    <w:link w:val="CommentTextChar"/>
    <w:rsid w:val="00451E76"/>
  </w:style>
  <w:style w:type="character" w:customStyle="1" w:styleId="CommentTextChar">
    <w:name w:val="Comment Text Char"/>
    <w:basedOn w:val="DefaultParagraphFont"/>
    <w:link w:val="CommentText"/>
    <w:rsid w:val="00451E76"/>
    <w:rPr>
      <w:rFonts w:ascii="Arial" w:hAnsi="Arial"/>
    </w:rPr>
  </w:style>
  <w:style w:type="paragraph" w:styleId="CommentSubject">
    <w:name w:val="annotation subject"/>
    <w:basedOn w:val="CommentText"/>
    <w:next w:val="CommentText"/>
    <w:link w:val="CommentSubjectChar"/>
    <w:rsid w:val="00451E76"/>
    <w:rPr>
      <w:b/>
      <w:bCs/>
    </w:rPr>
  </w:style>
  <w:style w:type="character" w:customStyle="1" w:styleId="CommentSubjectChar">
    <w:name w:val="Comment Subject Char"/>
    <w:basedOn w:val="CommentTextChar"/>
    <w:link w:val="CommentSubject"/>
    <w:rsid w:val="00451E76"/>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A2BBE"/>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600D01"/>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600D01"/>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621302"/>
    <w:pPr>
      <w:spacing w:line="280" w:lineRule="atLeast"/>
    </w:pPr>
    <w:rPr>
      <w:rFonts w:ascii="Arial" w:hAnsi="Arial"/>
      <w:b/>
      <w:bCs/>
      <w:spacing w:val="10"/>
      <w:sz w:val="18"/>
    </w:rPr>
  </w:style>
  <w:style w:type="paragraph" w:customStyle="1" w:styleId="indentpara">
    <w:name w:val="indentpara"/>
    <w:basedOn w:val="Normal"/>
    <w:rsid w:val="005B7B97"/>
    <w:pPr>
      <w:numPr>
        <w:numId w:val="1"/>
      </w:numPr>
    </w:pPr>
    <w:rPr>
      <w:rFonts w:ascii="Times New Roman" w:hAnsi="Times New Roman"/>
      <w:sz w:val="24"/>
    </w:rPr>
  </w:style>
  <w:style w:type="paragraph" w:styleId="ListParagraph">
    <w:name w:val="List Paragraph"/>
    <w:basedOn w:val="Normal"/>
    <w:uiPriority w:val="34"/>
    <w:qFormat/>
    <w:rsid w:val="005B7B97"/>
    <w:pPr>
      <w:ind w:left="567"/>
    </w:pPr>
  </w:style>
  <w:style w:type="paragraph" w:customStyle="1" w:styleId="Default">
    <w:name w:val="Default"/>
    <w:rsid w:val="0032055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4A2BBE"/>
    <w:rPr>
      <w:rFonts w:ascii="Arial" w:hAnsi="Arial"/>
      <w:caps/>
    </w:rPr>
  </w:style>
  <w:style w:type="table" w:styleId="TableGrid">
    <w:name w:val="Table Grid"/>
    <w:basedOn w:val="TableNormal"/>
    <w:uiPriority w:val="59"/>
    <w:rsid w:val="004A2BBE"/>
    <w:rPr>
      <w:rFonts w:asciiTheme="minorHAnsi" w:eastAsiaTheme="minorEastAsia"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4A2BBE"/>
    <w:pPr>
      <w:spacing w:after="200"/>
      <w:jc w:val="left"/>
    </w:pPr>
    <w:rPr>
      <w:rFonts w:asciiTheme="minorHAnsi" w:eastAsiaTheme="minorHAnsi" w:hAnsiTheme="minorHAnsi" w:cstheme="minorBidi"/>
      <w:b/>
      <w:bCs/>
      <w:color w:val="4F81BD" w:themeColor="accent1"/>
      <w:sz w:val="18"/>
      <w:szCs w:val="18"/>
      <w:lang w:val="it-IT"/>
    </w:rPr>
  </w:style>
  <w:style w:type="character" w:styleId="CommentReference">
    <w:name w:val="annotation reference"/>
    <w:basedOn w:val="DefaultParagraphFont"/>
    <w:rsid w:val="00451E76"/>
    <w:rPr>
      <w:sz w:val="16"/>
      <w:szCs w:val="16"/>
    </w:rPr>
  </w:style>
  <w:style w:type="paragraph" w:styleId="CommentText">
    <w:name w:val="annotation text"/>
    <w:basedOn w:val="Normal"/>
    <w:link w:val="CommentTextChar"/>
    <w:rsid w:val="00451E76"/>
  </w:style>
  <w:style w:type="character" w:customStyle="1" w:styleId="CommentTextChar">
    <w:name w:val="Comment Text Char"/>
    <w:basedOn w:val="DefaultParagraphFont"/>
    <w:link w:val="CommentText"/>
    <w:rsid w:val="00451E76"/>
    <w:rPr>
      <w:rFonts w:ascii="Arial" w:hAnsi="Arial"/>
    </w:rPr>
  </w:style>
  <w:style w:type="paragraph" w:styleId="CommentSubject">
    <w:name w:val="annotation subject"/>
    <w:basedOn w:val="CommentText"/>
    <w:next w:val="CommentText"/>
    <w:link w:val="CommentSubjectChar"/>
    <w:rsid w:val="00451E76"/>
    <w:rPr>
      <w:b/>
      <w:bCs/>
    </w:rPr>
  </w:style>
  <w:style w:type="character" w:customStyle="1" w:styleId="CommentSubjectChar">
    <w:name w:val="Comment Subject Char"/>
    <w:basedOn w:val="CommentTextChar"/>
    <w:link w:val="CommentSubject"/>
    <w:rsid w:val="00451E76"/>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DAT1\OrgUPOV\Shared\Document\TWC\Twc35\template\twc_3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twc_35</Template>
  <TotalTime>3</TotalTime>
  <Pages>3</Pages>
  <Words>532</Words>
  <Characters>3009</Characters>
  <Application>Microsoft Office Word</Application>
  <DocSecurity>0</DocSecurity>
  <Lines>231</Lines>
  <Paragraphs>196</Paragraphs>
  <ScaleCrop>false</ScaleCrop>
  <HeadingPairs>
    <vt:vector size="2" baseType="variant">
      <vt:variant>
        <vt:lpstr>Title</vt:lpstr>
      </vt:variant>
      <vt:variant>
        <vt:i4>1</vt:i4>
      </vt:variant>
    </vt:vector>
  </HeadingPairs>
  <TitlesOfParts>
    <vt:vector size="1" baseType="lpstr">
      <vt:lpstr>TWC/35</vt:lpstr>
    </vt:vector>
  </TitlesOfParts>
  <Company>UPOV</Company>
  <LinksUpToDate>false</LinksUpToDate>
  <CharactersWithSpaces>3345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TWC/35</dc:title>
  <dc:creator>MOTOMURA Tomochika</dc:creator>
  <cp:lastModifiedBy>MAY Jessica</cp:lastModifiedBy>
  <cp:revision>6</cp:revision>
  <cp:lastPrinted>2017-10-19T15:14:00Z</cp:lastPrinted>
  <dcterms:created xsi:type="dcterms:W3CDTF">2017-10-26T06:17:00Z</dcterms:created>
  <dcterms:modified xsi:type="dcterms:W3CDTF">2017-10-31T10:42:00Z</dcterms:modified>
</cp:coreProperties>
</file>