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1B2A1B">
        <w:tc>
          <w:tcPr>
            <w:tcW w:w="6512" w:type="dxa"/>
          </w:tcPr>
          <w:p w:rsidR="00524CC2" w:rsidRPr="00245FFC" w:rsidRDefault="00524CC2" w:rsidP="001B2A1B">
            <w:pPr>
              <w:pStyle w:val="Sessiontwp"/>
            </w:pPr>
            <w:r w:rsidRPr="00245FFC">
              <w:t>Technical Working Party for Agricultural Crops</w:t>
            </w:r>
          </w:p>
          <w:p w:rsidR="00524CC2" w:rsidRPr="00245FFC" w:rsidRDefault="00524CC2" w:rsidP="001B2A1B">
            <w:pPr>
              <w:pStyle w:val="Sessiontwpplacedate"/>
            </w:pPr>
            <w:r w:rsidRPr="00245FFC">
              <w:t>Forty-Sixth Session</w:t>
            </w:r>
          </w:p>
          <w:p w:rsidR="00524CC2" w:rsidRPr="00245FFC" w:rsidRDefault="00524CC2" w:rsidP="001B2A1B">
            <w:pPr>
              <w:pStyle w:val="Sessiontwpplacedate"/>
            </w:pPr>
            <w:r w:rsidRPr="00245FFC">
              <w:t>Hanover, Germany, June 19 to 23, 2017</w:t>
            </w:r>
          </w:p>
          <w:p w:rsidR="00524CC2" w:rsidRPr="00245FFC" w:rsidRDefault="00524CC2" w:rsidP="001B2A1B"/>
          <w:p w:rsidR="00524CC2" w:rsidRPr="00245FFC" w:rsidRDefault="00524CC2" w:rsidP="001B2A1B">
            <w:pPr>
              <w:pStyle w:val="Sessiontwp"/>
            </w:pPr>
            <w:r w:rsidRPr="00245FFC">
              <w:t>Technical Working Party for Vegetables</w:t>
            </w:r>
          </w:p>
          <w:p w:rsidR="00524CC2" w:rsidRPr="00245FFC" w:rsidRDefault="00524CC2" w:rsidP="001B2A1B">
            <w:pPr>
              <w:pStyle w:val="Sessiontwpplacedate"/>
            </w:pPr>
            <w:r w:rsidRPr="00245FFC">
              <w:t>Fifty-First Session</w:t>
            </w:r>
          </w:p>
          <w:p w:rsidR="00524CC2" w:rsidRPr="00245FFC" w:rsidRDefault="00524CC2" w:rsidP="001B2A1B">
            <w:pPr>
              <w:pStyle w:val="Sessiontwpplacedate"/>
            </w:pPr>
            <w:proofErr w:type="spellStart"/>
            <w:r w:rsidRPr="00245FFC">
              <w:t>Roelofarendsveen</w:t>
            </w:r>
            <w:proofErr w:type="spellEnd"/>
            <w:r w:rsidRPr="00245FFC">
              <w:t xml:space="preserve">, Netherlands, July 3 to 7, 2017 </w:t>
            </w:r>
          </w:p>
          <w:p w:rsidR="00524CC2" w:rsidRPr="00245FFC" w:rsidRDefault="00524CC2" w:rsidP="001B2A1B"/>
          <w:p w:rsidR="00524CC2" w:rsidRPr="00245FFC" w:rsidRDefault="00524CC2" w:rsidP="001B2A1B">
            <w:pPr>
              <w:pStyle w:val="Sessiontwp"/>
            </w:pPr>
            <w:r w:rsidRPr="00245FFC">
              <w:t xml:space="preserve">Technical Working Party </w:t>
            </w:r>
            <w:r w:rsidR="00E63B77">
              <w:t>for</w:t>
            </w:r>
            <w:bookmarkStart w:id="1" w:name="_GoBack"/>
            <w:bookmarkEnd w:id="1"/>
            <w:r w:rsidRPr="00245FFC">
              <w:t xml:space="preserve"> Ornamental Plants and Forest Trees</w:t>
            </w:r>
          </w:p>
          <w:p w:rsidR="00524CC2" w:rsidRPr="00245FFC" w:rsidRDefault="00524CC2" w:rsidP="001B2A1B">
            <w:pPr>
              <w:pStyle w:val="Sessiontwpplacedate"/>
            </w:pPr>
            <w:r w:rsidRPr="00245FFC">
              <w:t>Fiftieth Session</w:t>
            </w:r>
          </w:p>
          <w:p w:rsidR="00524CC2" w:rsidRPr="00245FFC" w:rsidRDefault="00524CC2" w:rsidP="001B2A1B">
            <w:pPr>
              <w:pStyle w:val="Sessiontwpplacedate"/>
            </w:pPr>
            <w:r w:rsidRPr="00245FFC">
              <w:t>Victoria, Canada, September 11 to 15, 2017</w:t>
            </w:r>
          </w:p>
          <w:p w:rsidR="00524CC2" w:rsidRPr="00245FFC" w:rsidRDefault="00524CC2" w:rsidP="001B2A1B"/>
          <w:p w:rsidR="00524CC2" w:rsidRPr="00245FFC" w:rsidRDefault="00524CC2" w:rsidP="001B2A1B">
            <w:pPr>
              <w:pStyle w:val="Sessiontwp"/>
            </w:pPr>
            <w:r w:rsidRPr="00245FFC">
              <w:t>Technical Working Party for Fruit Crops</w:t>
            </w:r>
          </w:p>
          <w:p w:rsidR="00524CC2" w:rsidRPr="00245FFC" w:rsidRDefault="00524CC2" w:rsidP="001B2A1B">
            <w:pPr>
              <w:pStyle w:val="Sessiontwpplacedate"/>
            </w:pPr>
            <w:r w:rsidRPr="00245FFC">
              <w:t>Forty-Eighth Session</w:t>
            </w:r>
          </w:p>
          <w:p w:rsidR="00524CC2" w:rsidRPr="00245FFC" w:rsidRDefault="00524CC2" w:rsidP="001B2A1B">
            <w:pPr>
              <w:pStyle w:val="Sessiontwpplacedate"/>
            </w:pPr>
            <w:r w:rsidRPr="00245FFC">
              <w:t>Kelowna, Canada, September 18 to 22, 2017</w:t>
            </w:r>
          </w:p>
          <w:p w:rsidR="00524CC2" w:rsidRPr="00245FFC" w:rsidRDefault="00524CC2" w:rsidP="001B2A1B"/>
          <w:p w:rsidR="00524CC2" w:rsidRPr="00245FFC" w:rsidRDefault="00524CC2" w:rsidP="001B2A1B">
            <w:pPr>
              <w:pStyle w:val="Sessiontwp"/>
            </w:pPr>
            <w:r w:rsidRPr="00245FFC">
              <w:t>Technical Working Party on Automation and Computer Programs</w:t>
            </w:r>
          </w:p>
          <w:p w:rsidR="00524CC2" w:rsidRPr="00245FFC" w:rsidRDefault="00524CC2" w:rsidP="001B2A1B">
            <w:pPr>
              <w:pStyle w:val="Sessiontwpplacedate"/>
            </w:pPr>
            <w:r w:rsidRPr="00245FFC">
              <w:t>Thirty-Fifth Session</w:t>
            </w:r>
          </w:p>
          <w:p w:rsidR="00524CC2" w:rsidRPr="00245FFC" w:rsidRDefault="00524CC2" w:rsidP="001B2A1B">
            <w:pPr>
              <w:pStyle w:val="Sessiontwpplacedate"/>
            </w:pPr>
            <w:r w:rsidRPr="00245FFC">
              <w:t>Buenos Aires, Argentina, November 14 to 17, 2017</w:t>
            </w:r>
          </w:p>
        </w:tc>
        <w:tc>
          <w:tcPr>
            <w:tcW w:w="3127" w:type="dxa"/>
          </w:tcPr>
          <w:p w:rsidR="00524CC2" w:rsidRPr="00245FFC" w:rsidRDefault="00524CC2" w:rsidP="001B2A1B">
            <w:pPr>
              <w:pStyle w:val="Doccode"/>
            </w:pPr>
            <w:r w:rsidRPr="00245FFC">
              <w:t>TWP/1/</w:t>
            </w:r>
            <w:r w:rsidR="001B2A1B" w:rsidRPr="00245FFC">
              <w:t>2</w:t>
            </w:r>
            <w:r w:rsidR="00CE3F60" w:rsidRPr="00245FFC">
              <w:t>2</w:t>
            </w:r>
          </w:p>
          <w:p w:rsidR="00524CC2" w:rsidRPr="00245FFC" w:rsidRDefault="00524CC2" w:rsidP="001B2A1B">
            <w:pPr>
              <w:pStyle w:val="Docoriginal"/>
            </w:pPr>
            <w:r w:rsidRPr="00245FFC">
              <w:t>Original:</w:t>
            </w:r>
            <w:r w:rsidRPr="00245FFC">
              <w:rPr>
                <w:b w:val="0"/>
                <w:spacing w:val="0"/>
              </w:rPr>
              <w:t xml:space="preserve">  English</w:t>
            </w:r>
          </w:p>
          <w:p w:rsidR="00524CC2" w:rsidRPr="007C1D92" w:rsidRDefault="00524CC2" w:rsidP="00245FFC">
            <w:pPr>
              <w:pStyle w:val="Docoriginal"/>
            </w:pPr>
            <w:r w:rsidRPr="00245FFC">
              <w:t>Date:</w:t>
            </w:r>
            <w:r w:rsidRPr="00245FFC">
              <w:rPr>
                <w:b w:val="0"/>
                <w:spacing w:val="0"/>
              </w:rPr>
              <w:t xml:space="preserve">  </w:t>
            </w:r>
            <w:r w:rsidR="009B3DE3" w:rsidRPr="00245FFC">
              <w:rPr>
                <w:b w:val="0"/>
                <w:spacing w:val="0"/>
              </w:rPr>
              <w:t xml:space="preserve">June </w:t>
            </w:r>
            <w:r w:rsidR="00245FFC" w:rsidRPr="00245FFC">
              <w:rPr>
                <w:b w:val="0"/>
                <w:spacing w:val="0"/>
              </w:rPr>
              <w:t>9</w:t>
            </w:r>
            <w:r w:rsidR="001B2A1B" w:rsidRPr="00245FFC">
              <w:rPr>
                <w:b w:val="0"/>
                <w:spacing w:val="0"/>
              </w:rPr>
              <w:t>, 2017</w:t>
            </w:r>
          </w:p>
        </w:tc>
      </w:tr>
    </w:tbl>
    <w:p w:rsidR="00D1722F" w:rsidRPr="00212D71" w:rsidRDefault="00D1722F" w:rsidP="00D1722F">
      <w:pPr>
        <w:pStyle w:val="Titleofdoc0"/>
        <w:tabs>
          <w:tab w:val="left" w:pos="5760"/>
        </w:tabs>
      </w:pPr>
      <w:bookmarkStart w:id="2" w:name="Prepared"/>
      <w:bookmarkEnd w:id="2"/>
      <w:r w:rsidRPr="00AC6984">
        <w:t>Development of calculated thresholds for excluding varieties of common knowledge from the second growing cycle when COYD is used</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D1722F" w:rsidRPr="00D1722F" w:rsidRDefault="00D1722F" w:rsidP="00D1722F">
      <w:pPr>
        <w:keepLines/>
        <w:outlineLvl w:val="0"/>
        <w:rPr>
          <w:caps/>
          <w:lang w:eastAsia="ja-JP"/>
        </w:rPr>
      </w:pPr>
      <w:bookmarkStart w:id="3" w:name="_Toc475544290"/>
      <w:bookmarkStart w:id="4" w:name="_Toc484081313"/>
      <w:r w:rsidRPr="00D1722F">
        <w:rPr>
          <w:caps/>
          <w:lang w:eastAsia="ja-JP"/>
        </w:rPr>
        <w:t>EXECUTIVE SUMMARY</w:t>
      </w:r>
      <w:bookmarkEnd w:id="3"/>
      <w:bookmarkEnd w:id="4"/>
    </w:p>
    <w:p w:rsidR="00D1722F" w:rsidRPr="00D1722F" w:rsidRDefault="00D1722F" w:rsidP="00D1722F"/>
    <w:p w:rsidR="00D1722F" w:rsidRPr="00D1722F" w:rsidRDefault="00D1722F" w:rsidP="00D1722F">
      <w:r w:rsidRPr="00D1722F">
        <w:fldChar w:fldCharType="begin"/>
      </w:r>
      <w:r w:rsidRPr="00D1722F">
        <w:instrText xml:space="preserve"> AUTONUM  </w:instrText>
      </w:r>
      <w:r w:rsidRPr="00D1722F">
        <w:fldChar w:fldCharType="end"/>
      </w:r>
      <w:r w:rsidRPr="00D1722F">
        <w:tab/>
        <w:t>The purpose of this document is to report on developments concerning the development of calculated thresholds for excluding varieties of common knowledge from the second growing cycle when COYD is used.</w:t>
      </w:r>
    </w:p>
    <w:p w:rsidR="00475783" w:rsidRPr="00D1722F" w:rsidRDefault="00475783" w:rsidP="00475783"/>
    <w:p w:rsidR="00475783" w:rsidRPr="00D1722F" w:rsidRDefault="00475783" w:rsidP="00475783">
      <w:pPr>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Th</w:t>
      </w:r>
      <w:r w:rsidR="002519E8">
        <w:rPr>
          <w:lang w:eastAsia="ja-JP"/>
        </w:rPr>
        <w:t>e</w:t>
      </w:r>
      <w:r>
        <w:rPr>
          <w:lang w:eastAsia="ja-JP"/>
        </w:rPr>
        <w:t xml:space="preserve"> method is intended to be used with measured quantitative characteristics when COYD is used</w:t>
      </w:r>
      <w:r w:rsidR="002519E8">
        <w:rPr>
          <w:lang w:eastAsia="ja-JP"/>
        </w:rPr>
        <w:t>, as presented in the Annex to this document</w:t>
      </w:r>
      <w:r>
        <w:rPr>
          <w:lang w:eastAsia="ja-JP"/>
        </w:rPr>
        <w:t>.</w:t>
      </w:r>
    </w:p>
    <w:p w:rsidR="00D1722F" w:rsidRPr="00D1722F" w:rsidRDefault="00D1722F" w:rsidP="00D1722F"/>
    <w:p w:rsidR="00447C66" w:rsidRPr="00D1722F" w:rsidRDefault="00447C66" w:rsidP="00447C66">
      <w:pPr>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The T</w:t>
      </w:r>
      <w:r>
        <w:rPr>
          <w:lang w:eastAsia="ja-JP"/>
        </w:rPr>
        <w:t>WPs are</w:t>
      </w:r>
      <w:r w:rsidRPr="00D1722F">
        <w:rPr>
          <w:lang w:eastAsia="ja-JP"/>
        </w:rPr>
        <w:t xml:space="preserve"> invited to</w:t>
      </w:r>
      <w:r>
        <w:rPr>
          <w:lang w:eastAsia="ja-JP"/>
        </w:rPr>
        <w:t xml:space="preserve"> note that </w:t>
      </w:r>
      <w:r w:rsidRPr="00D1722F">
        <w:rPr>
          <w:lang w:eastAsia="ja-JP"/>
        </w:rPr>
        <w:t xml:space="preserve">further developments on </w:t>
      </w:r>
      <w:r w:rsidRPr="00D1722F">
        <w:t>calculated thresholds for excluding varieties of common knowledge from the second growing cycle when COYD is used</w:t>
      </w:r>
      <w:r w:rsidRPr="00D1722F">
        <w:rPr>
          <w:lang w:eastAsia="ja-JP"/>
        </w:rPr>
        <w:t xml:space="preserve"> </w:t>
      </w:r>
      <w:r>
        <w:rPr>
          <w:lang w:eastAsia="ja-JP"/>
        </w:rPr>
        <w:t xml:space="preserve">will </w:t>
      </w:r>
      <w:r w:rsidRPr="00D1722F">
        <w:rPr>
          <w:lang w:eastAsia="ja-JP"/>
        </w:rPr>
        <w:t>be reported to the TWC, at its thirty-fifth session</w:t>
      </w:r>
      <w:r>
        <w:rPr>
          <w:lang w:eastAsia="ja-JP"/>
        </w:rPr>
        <w:t>.</w:t>
      </w:r>
    </w:p>
    <w:p w:rsidR="00447C66" w:rsidRPr="00D1722F" w:rsidRDefault="00447C66" w:rsidP="00447C66"/>
    <w:p w:rsidR="00447C66" w:rsidRPr="00D1722F" w:rsidRDefault="00447C66" w:rsidP="00447C66">
      <w:pPr>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The T</w:t>
      </w:r>
      <w:r>
        <w:rPr>
          <w:lang w:eastAsia="ja-JP"/>
        </w:rPr>
        <w:t xml:space="preserve">WC </w:t>
      </w:r>
      <w:r w:rsidRPr="00D1722F">
        <w:rPr>
          <w:lang w:eastAsia="ja-JP"/>
        </w:rPr>
        <w:t>is invited to</w:t>
      </w:r>
      <w:r>
        <w:rPr>
          <w:lang w:eastAsia="ja-JP"/>
        </w:rPr>
        <w:t xml:space="preserve"> </w:t>
      </w:r>
      <w:r w:rsidRPr="0043668A">
        <w:rPr>
          <w:rFonts w:eastAsiaTheme="minorEastAsia"/>
          <w:iCs/>
          <w:spacing w:val="-4"/>
          <w:lang w:eastAsia="ja-JP"/>
        </w:rPr>
        <w:t xml:space="preserve">consider </w:t>
      </w:r>
      <w:r>
        <w:rPr>
          <w:rFonts w:eastAsiaTheme="minorEastAsia"/>
          <w:iCs/>
          <w:spacing w:val="-4"/>
          <w:lang w:eastAsia="ja-JP"/>
        </w:rPr>
        <w:t xml:space="preserve">the report </w:t>
      </w:r>
      <w:r w:rsidRPr="0043668A">
        <w:rPr>
          <w:color w:val="000000"/>
          <w:lang w:eastAsia="ja-JP"/>
        </w:rPr>
        <w:t xml:space="preserve">on </w:t>
      </w:r>
      <w:r w:rsidRPr="00D1722F">
        <w:rPr>
          <w:lang w:eastAsia="ja-JP"/>
        </w:rPr>
        <w:t xml:space="preserve">further developments on </w:t>
      </w:r>
      <w:r w:rsidRPr="00D1722F">
        <w:t>calculated thresholds for excluding varieties of common knowledge from the second growing cycle when COYD is used</w:t>
      </w:r>
      <w:r w:rsidRPr="0043668A">
        <w:rPr>
          <w:lang w:eastAsia="ja-JP"/>
        </w:rPr>
        <w:t xml:space="preserve">, to be provided by </w:t>
      </w:r>
      <w:r w:rsidRPr="0043668A">
        <w:rPr>
          <w:color w:val="000000"/>
          <w:lang w:eastAsia="ja-JP"/>
        </w:rPr>
        <w:t>expert</w:t>
      </w:r>
      <w:r>
        <w:rPr>
          <w:color w:val="000000"/>
          <w:lang w:eastAsia="ja-JP"/>
        </w:rPr>
        <w:t>s</w:t>
      </w:r>
      <w:r w:rsidRPr="0043668A">
        <w:rPr>
          <w:color w:val="000000"/>
          <w:lang w:eastAsia="ja-JP"/>
        </w:rPr>
        <w:t xml:space="preserve"> from </w:t>
      </w:r>
      <w:r w:rsidRPr="00D1722F">
        <w:rPr>
          <w:lang w:eastAsia="ja-JP"/>
        </w:rPr>
        <w:t>the United Kingdom</w:t>
      </w:r>
      <w:r>
        <w:rPr>
          <w:lang w:eastAsia="ja-JP"/>
        </w:rPr>
        <w:t>.</w:t>
      </w:r>
      <w:r w:rsidRPr="00D1722F">
        <w:rPr>
          <w:lang w:eastAsia="ja-JP"/>
        </w:rPr>
        <w:t xml:space="preserve"> </w:t>
      </w:r>
    </w:p>
    <w:p w:rsidR="00D1722F" w:rsidRPr="00D1722F" w:rsidRDefault="00D1722F" w:rsidP="00D1722F">
      <w:pPr>
        <w:rPr>
          <w:noProof/>
          <w:snapToGrid w:val="0"/>
        </w:rPr>
      </w:pPr>
    </w:p>
    <w:p w:rsidR="00861D75" w:rsidRPr="00F11BFD" w:rsidRDefault="00861D75" w:rsidP="00861D75">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rPr>
          <w:smallCaps/>
        </w:rPr>
        <w:id w:val="-1800911247"/>
        <w:docPartObj>
          <w:docPartGallery w:val="Table of Contents"/>
          <w:docPartUnique/>
        </w:docPartObj>
      </w:sdtPr>
      <w:sdtEndPr>
        <w:rPr>
          <w:b/>
          <w:bCs/>
          <w:smallCaps w:val="0"/>
          <w:noProof/>
        </w:rPr>
      </w:sdtEndPr>
      <w:sdtContent>
        <w:p w:rsidR="00861D75" w:rsidRPr="00F11BFD" w:rsidRDefault="00861D75" w:rsidP="00861D75">
          <w:pPr>
            <w:keepNext/>
            <w:rPr>
              <w:rFonts w:cs="Arial"/>
              <w:b/>
            </w:rPr>
          </w:pPr>
        </w:p>
        <w:p w:rsidR="009B3DE3" w:rsidRDefault="00861D75">
          <w:pPr>
            <w:pStyle w:val="TOC1"/>
            <w:rPr>
              <w:rFonts w:asciiTheme="minorHAnsi" w:eastAsiaTheme="minorEastAsia" w:hAnsiTheme="minorHAnsi" w:cstheme="minorBidi"/>
              <w:caps w:val="0"/>
              <w:noProof/>
              <w:sz w:val="22"/>
              <w:szCs w:val="22"/>
            </w:rPr>
          </w:pPr>
          <w:r w:rsidRPr="00FE318A">
            <w:fldChar w:fldCharType="begin"/>
          </w:r>
          <w:r w:rsidRPr="00FE318A">
            <w:instrText xml:space="preserve"> TOC \o "1-3" \h \z \u </w:instrText>
          </w:r>
          <w:r w:rsidRPr="00FE318A">
            <w:fldChar w:fldCharType="separate"/>
          </w:r>
          <w:hyperlink w:anchor="_Toc484081313" w:history="1">
            <w:r w:rsidR="009B3DE3" w:rsidRPr="009325D5">
              <w:rPr>
                <w:rStyle w:val="Hyperlink"/>
                <w:noProof/>
                <w:lang w:eastAsia="ja-JP"/>
              </w:rPr>
              <w:t>EXECUTIVE SUMMARY</w:t>
            </w:r>
            <w:r w:rsidR="009B3DE3">
              <w:rPr>
                <w:noProof/>
                <w:webHidden/>
              </w:rPr>
              <w:tab/>
            </w:r>
            <w:r w:rsidR="009B3DE3">
              <w:rPr>
                <w:noProof/>
                <w:webHidden/>
              </w:rPr>
              <w:fldChar w:fldCharType="begin"/>
            </w:r>
            <w:r w:rsidR="009B3DE3">
              <w:rPr>
                <w:noProof/>
                <w:webHidden/>
              </w:rPr>
              <w:instrText xml:space="preserve"> PAGEREF _Toc484081313 \h </w:instrText>
            </w:r>
            <w:r w:rsidR="009B3DE3">
              <w:rPr>
                <w:noProof/>
                <w:webHidden/>
              </w:rPr>
            </w:r>
            <w:r w:rsidR="009B3DE3">
              <w:rPr>
                <w:noProof/>
                <w:webHidden/>
              </w:rPr>
              <w:fldChar w:fldCharType="separate"/>
            </w:r>
            <w:r w:rsidR="00710526">
              <w:rPr>
                <w:noProof/>
                <w:webHidden/>
              </w:rPr>
              <w:t>1</w:t>
            </w:r>
            <w:r w:rsidR="009B3DE3">
              <w:rPr>
                <w:noProof/>
                <w:webHidden/>
              </w:rPr>
              <w:fldChar w:fldCharType="end"/>
            </w:r>
          </w:hyperlink>
        </w:p>
        <w:p w:rsidR="009B3DE3" w:rsidRDefault="00710526">
          <w:pPr>
            <w:pStyle w:val="TOC1"/>
            <w:rPr>
              <w:rFonts w:asciiTheme="minorHAnsi" w:eastAsiaTheme="minorEastAsia" w:hAnsiTheme="minorHAnsi" w:cstheme="minorBidi"/>
              <w:caps w:val="0"/>
              <w:noProof/>
              <w:sz w:val="22"/>
              <w:szCs w:val="22"/>
            </w:rPr>
          </w:pPr>
          <w:hyperlink w:anchor="_Toc484081314" w:history="1">
            <w:r w:rsidR="009B3DE3" w:rsidRPr="009325D5">
              <w:rPr>
                <w:rStyle w:val="Hyperlink"/>
                <w:noProof/>
                <w:lang w:eastAsia="ja-JP"/>
              </w:rPr>
              <w:t>Background</w:t>
            </w:r>
            <w:r w:rsidR="009B3DE3">
              <w:rPr>
                <w:noProof/>
                <w:webHidden/>
              </w:rPr>
              <w:tab/>
            </w:r>
            <w:r w:rsidR="009B3DE3">
              <w:rPr>
                <w:noProof/>
                <w:webHidden/>
              </w:rPr>
              <w:fldChar w:fldCharType="begin"/>
            </w:r>
            <w:r w:rsidR="009B3DE3">
              <w:rPr>
                <w:noProof/>
                <w:webHidden/>
              </w:rPr>
              <w:instrText xml:space="preserve"> PAGEREF _Toc484081314 \h </w:instrText>
            </w:r>
            <w:r w:rsidR="009B3DE3">
              <w:rPr>
                <w:noProof/>
                <w:webHidden/>
              </w:rPr>
            </w:r>
            <w:r w:rsidR="009B3DE3">
              <w:rPr>
                <w:noProof/>
                <w:webHidden/>
              </w:rPr>
              <w:fldChar w:fldCharType="separate"/>
            </w:r>
            <w:r>
              <w:rPr>
                <w:noProof/>
                <w:webHidden/>
              </w:rPr>
              <w:t>2</w:t>
            </w:r>
            <w:r w:rsidR="009B3DE3">
              <w:rPr>
                <w:noProof/>
                <w:webHidden/>
              </w:rPr>
              <w:fldChar w:fldCharType="end"/>
            </w:r>
          </w:hyperlink>
        </w:p>
        <w:p w:rsidR="009B3DE3" w:rsidRDefault="00710526">
          <w:pPr>
            <w:pStyle w:val="TOC1"/>
            <w:rPr>
              <w:rFonts w:asciiTheme="minorHAnsi" w:eastAsiaTheme="minorEastAsia" w:hAnsiTheme="minorHAnsi" w:cstheme="minorBidi"/>
              <w:caps w:val="0"/>
              <w:noProof/>
              <w:sz w:val="22"/>
              <w:szCs w:val="22"/>
            </w:rPr>
          </w:pPr>
          <w:hyperlink w:anchor="_Toc484081315" w:history="1">
            <w:r w:rsidR="009B3DE3" w:rsidRPr="009325D5">
              <w:rPr>
                <w:rStyle w:val="Hyperlink"/>
                <w:noProof/>
                <w:lang w:eastAsia="ja-JP"/>
              </w:rPr>
              <w:t>developments in 2016</w:t>
            </w:r>
            <w:r w:rsidR="009B3DE3">
              <w:rPr>
                <w:noProof/>
                <w:webHidden/>
              </w:rPr>
              <w:tab/>
            </w:r>
            <w:r w:rsidR="009B3DE3">
              <w:rPr>
                <w:noProof/>
                <w:webHidden/>
              </w:rPr>
              <w:fldChar w:fldCharType="begin"/>
            </w:r>
            <w:r w:rsidR="009B3DE3">
              <w:rPr>
                <w:noProof/>
                <w:webHidden/>
              </w:rPr>
              <w:instrText xml:space="preserve"> PAGEREF _Toc484081315 \h </w:instrText>
            </w:r>
            <w:r w:rsidR="009B3DE3">
              <w:rPr>
                <w:noProof/>
                <w:webHidden/>
              </w:rPr>
            </w:r>
            <w:r w:rsidR="009B3DE3">
              <w:rPr>
                <w:noProof/>
                <w:webHidden/>
              </w:rPr>
              <w:fldChar w:fldCharType="separate"/>
            </w:r>
            <w:r>
              <w:rPr>
                <w:noProof/>
                <w:webHidden/>
              </w:rPr>
              <w:t>2</w:t>
            </w:r>
            <w:r w:rsidR="009B3DE3">
              <w:rPr>
                <w:noProof/>
                <w:webHidden/>
              </w:rPr>
              <w:fldChar w:fldCharType="end"/>
            </w:r>
          </w:hyperlink>
        </w:p>
        <w:p w:rsidR="009B3DE3" w:rsidRDefault="00710526">
          <w:pPr>
            <w:pStyle w:val="TOC2"/>
            <w:rPr>
              <w:rFonts w:asciiTheme="minorHAnsi" w:eastAsiaTheme="minorEastAsia" w:hAnsiTheme="minorHAnsi" w:cstheme="minorBidi"/>
              <w:smallCaps w:val="0"/>
              <w:noProof/>
              <w:sz w:val="22"/>
              <w:szCs w:val="22"/>
            </w:rPr>
          </w:pPr>
          <w:hyperlink w:anchor="_Toc484081316" w:history="1">
            <w:r w:rsidR="009B3DE3" w:rsidRPr="009325D5">
              <w:rPr>
                <w:rStyle w:val="Hyperlink"/>
                <w:noProof/>
                <w:lang w:eastAsia="ja-JP"/>
              </w:rPr>
              <w:t>Technical Working Party on Automation and Computer Programs</w:t>
            </w:r>
            <w:r w:rsidR="009B3DE3">
              <w:rPr>
                <w:noProof/>
                <w:webHidden/>
              </w:rPr>
              <w:tab/>
            </w:r>
            <w:r w:rsidR="009B3DE3">
              <w:rPr>
                <w:noProof/>
                <w:webHidden/>
              </w:rPr>
              <w:fldChar w:fldCharType="begin"/>
            </w:r>
            <w:r w:rsidR="009B3DE3">
              <w:rPr>
                <w:noProof/>
                <w:webHidden/>
              </w:rPr>
              <w:instrText xml:space="preserve"> PAGEREF _Toc484081316 \h </w:instrText>
            </w:r>
            <w:r w:rsidR="009B3DE3">
              <w:rPr>
                <w:noProof/>
                <w:webHidden/>
              </w:rPr>
            </w:r>
            <w:r w:rsidR="009B3DE3">
              <w:rPr>
                <w:noProof/>
                <w:webHidden/>
              </w:rPr>
              <w:fldChar w:fldCharType="separate"/>
            </w:r>
            <w:r>
              <w:rPr>
                <w:noProof/>
                <w:webHidden/>
              </w:rPr>
              <w:t>2</w:t>
            </w:r>
            <w:r w:rsidR="009B3DE3">
              <w:rPr>
                <w:noProof/>
                <w:webHidden/>
              </w:rPr>
              <w:fldChar w:fldCharType="end"/>
            </w:r>
          </w:hyperlink>
        </w:p>
        <w:p w:rsidR="009B3DE3" w:rsidRDefault="00710526">
          <w:pPr>
            <w:pStyle w:val="TOC1"/>
            <w:rPr>
              <w:rFonts w:asciiTheme="minorHAnsi" w:eastAsiaTheme="minorEastAsia" w:hAnsiTheme="minorHAnsi" w:cstheme="minorBidi"/>
              <w:caps w:val="0"/>
              <w:noProof/>
              <w:sz w:val="22"/>
              <w:szCs w:val="22"/>
            </w:rPr>
          </w:pPr>
          <w:hyperlink w:anchor="_Toc484081317" w:history="1">
            <w:r w:rsidR="009B3DE3" w:rsidRPr="009325D5">
              <w:rPr>
                <w:rStyle w:val="Hyperlink"/>
                <w:noProof/>
                <w:lang w:eastAsia="ja-JP"/>
              </w:rPr>
              <w:t>developments in 2017</w:t>
            </w:r>
            <w:r w:rsidR="009B3DE3">
              <w:rPr>
                <w:noProof/>
                <w:webHidden/>
              </w:rPr>
              <w:tab/>
            </w:r>
            <w:r w:rsidR="009B3DE3">
              <w:rPr>
                <w:noProof/>
                <w:webHidden/>
              </w:rPr>
              <w:fldChar w:fldCharType="begin"/>
            </w:r>
            <w:r w:rsidR="009B3DE3">
              <w:rPr>
                <w:noProof/>
                <w:webHidden/>
              </w:rPr>
              <w:instrText xml:space="preserve"> PAGEREF _Toc484081317 \h </w:instrText>
            </w:r>
            <w:r w:rsidR="009B3DE3">
              <w:rPr>
                <w:noProof/>
                <w:webHidden/>
              </w:rPr>
            </w:r>
            <w:r w:rsidR="009B3DE3">
              <w:rPr>
                <w:noProof/>
                <w:webHidden/>
              </w:rPr>
              <w:fldChar w:fldCharType="separate"/>
            </w:r>
            <w:r>
              <w:rPr>
                <w:noProof/>
                <w:webHidden/>
              </w:rPr>
              <w:t>2</w:t>
            </w:r>
            <w:r w:rsidR="009B3DE3">
              <w:rPr>
                <w:noProof/>
                <w:webHidden/>
              </w:rPr>
              <w:fldChar w:fldCharType="end"/>
            </w:r>
          </w:hyperlink>
        </w:p>
        <w:p w:rsidR="009B3DE3" w:rsidRDefault="00710526">
          <w:pPr>
            <w:pStyle w:val="TOC2"/>
            <w:rPr>
              <w:rFonts w:asciiTheme="minorHAnsi" w:eastAsiaTheme="minorEastAsia" w:hAnsiTheme="minorHAnsi" w:cstheme="minorBidi"/>
              <w:smallCaps w:val="0"/>
              <w:noProof/>
              <w:sz w:val="22"/>
              <w:szCs w:val="22"/>
            </w:rPr>
          </w:pPr>
          <w:hyperlink w:anchor="_Toc484081318" w:history="1">
            <w:r w:rsidR="009B3DE3" w:rsidRPr="009325D5">
              <w:rPr>
                <w:rStyle w:val="Hyperlink"/>
                <w:noProof/>
                <w:lang w:eastAsia="ja-JP"/>
              </w:rPr>
              <w:t xml:space="preserve">Technical </w:t>
            </w:r>
            <w:r w:rsidR="009B3DE3" w:rsidRPr="009325D5">
              <w:rPr>
                <w:rStyle w:val="Hyperlink"/>
                <w:noProof/>
                <w:snapToGrid w:val="0"/>
                <w:lang w:eastAsia="ja-JP"/>
              </w:rPr>
              <w:t>Committee</w:t>
            </w:r>
            <w:r w:rsidR="009B3DE3" w:rsidRPr="009325D5">
              <w:rPr>
                <w:rStyle w:val="Hyperlink"/>
                <w:noProof/>
                <w:lang w:eastAsia="ja-JP"/>
              </w:rPr>
              <w:t xml:space="preserve"> at its fifty-third session</w:t>
            </w:r>
            <w:r w:rsidR="009B3DE3">
              <w:rPr>
                <w:noProof/>
                <w:webHidden/>
              </w:rPr>
              <w:tab/>
            </w:r>
            <w:r w:rsidR="009B3DE3">
              <w:rPr>
                <w:noProof/>
                <w:webHidden/>
              </w:rPr>
              <w:fldChar w:fldCharType="begin"/>
            </w:r>
            <w:r w:rsidR="009B3DE3">
              <w:rPr>
                <w:noProof/>
                <w:webHidden/>
              </w:rPr>
              <w:instrText xml:space="preserve"> PAGEREF _Toc484081318 \h </w:instrText>
            </w:r>
            <w:r w:rsidR="009B3DE3">
              <w:rPr>
                <w:noProof/>
                <w:webHidden/>
              </w:rPr>
            </w:r>
            <w:r w:rsidR="009B3DE3">
              <w:rPr>
                <w:noProof/>
                <w:webHidden/>
              </w:rPr>
              <w:fldChar w:fldCharType="separate"/>
            </w:r>
            <w:r>
              <w:rPr>
                <w:noProof/>
                <w:webHidden/>
              </w:rPr>
              <w:t>2</w:t>
            </w:r>
            <w:r w:rsidR="009B3DE3">
              <w:rPr>
                <w:noProof/>
                <w:webHidden/>
              </w:rPr>
              <w:fldChar w:fldCharType="end"/>
            </w:r>
          </w:hyperlink>
        </w:p>
        <w:p w:rsidR="00861D75" w:rsidRDefault="00861D75" w:rsidP="00861D75">
          <w:pPr>
            <w:rPr>
              <w:b/>
              <w:bCs/>
              <w:noProof/>
            </w:rPr>
          </w:pPr>
          <w:r w:rsidRPr="00FE318A">
            <w:rPr>
              <w:b/>
              <w:bCs/>
              <w:noProof/>
              <w:sz w:val="18"/>
            </w:rPr>
            <w:fldChar w:fldCharType="end"/>
          </w:r>
        </w:p>
      </w:sdtContent>
    </w:sdt>
    <w:p w:rsidR="00861D75" w:rsidRPr="00D1722F" w:rsidRDefault="009B3DE3" w:rsidP="00861D75">
      <w:pPr>
        <w:ind w:left="993" w:right="567" w:hanging="993"/>
        <w:rPr>
          <w:noProof/>
          <w:snapToGrid w:val="0"/>
        </w:rPr>
      </w:pPr>
      <w:r w:rsidRPr="00D1722F">
        <w:rPr>
          <w:noProof/>
          <w:snapToGrid w:val="0"/>
        </w:rPr>
        <w:t>ANNEX</w:t>
      </w:r>
      <w:r w:rsidRPr="00D1722F">
        <w:rPr>
          <w:noProof/>
          <w:snapToGrid w:val="0"/>
        </w:rPr>
        <w:tab/>
        <w:t>EXCLUDING VARIETIES OF COMMON KNOWLEDGE FROM THE SECOND GROWING CYCLE WHEN COYD IS USED</w:t>
      </w:r>
    </w:p>
    <w:p w:rsidR="00D1722F" w:rsidRPr="00D1722F" w:rsidRDefault="00D1722F" w:rsidP="00E44FB5">
      <w:pPr>
        <w:keepNext/>
        <w:rPr>
          <w:rFonts w:cs="Arial"/>
          <w:color w:val="000000"/>
        </w:rPr>
      </w:pPr>
      <w:r w:rsidRPr="00D1722F">
        <w:lastRenderedPageBreak/>
        <w:fldChar w:fldCharType="begin"/>
      </w:r>
      <w:r w:rsidRPr="00D1722F">
        <w:instrText xml:space="preserve"> AUTONUM  </w:instrText>
      </w:r>
      <w:r w:rsidRPr="00D1722F">
        <w:fldChar w:fldCharType="end"/>
      </w:r>
      <w:r w:rsidRPr="00D1722F">
        <w:tab/>
      </w:r>
      <w:r w:rsidRPr="00D1722F">
        <w:rPr>
          <w:rFonts w:cs="Arial"/>
          <w:color w:val="000000"/>
        </w:rPr>
        <w:t>The following abbreviations are used in this document:</w:t>
      </w:r>
    </w:p>
    <w:p w:rsidR="00D1722F" w:rsidRPr="00D1722F" w:rsidRDefault="00D1722F" w:rsidP="00E44FB5">
      <w:pPr>
        <w:keepNext/>
        <w:rPr>
          <w:rFonts w:cs="Arial"/>
          <w:color w:val="000000"/>
        </w:rPr>
      </w:pPr>
    </w:p>
    <w:p w:rsidR="00D1722F" w:rsidRPr="00D1722F" w:rsidRDefault="00D1722F" w:rsidP="00E44FB5">
      <w:pPr>
        <w:keepNext/>
        <w:rPr>
          <w:rFonts w:cs="Arial"/>
        </w:rPr>
      </w:pPr>
      <w:r w:rsidRPr="00D1722F">
        <w:rPr>
          <w:rFonts w:cs="Arial"/>
        </w:rPr>
        <w:tab/>
        <w:t>TC:</w:t>
      </w:r>
      <w:r w:rsidRPr="00D1722F">
        <w:rPr>
          <w:rFonts w:cs="Arial"/>
        </w:rPr>
        <w:tab/>
      </w:r>
      <w:r w:rsidRPr="00D1722F">
        <w:rPr>
          <w:rFonts w:cs="Arial"/>
        </w:rPr>
        <w:tab/>
        <w:t>Technical Committee</w:t>
      </w:r>
    </w:p>
    <w:p w:rsidR="00D1722F" w:rsidRPr="00D1722F" w:rsidRDefault="00D1722F" w:rsidP="00E44FB5">
      <w:pPr>
        <w:keepNext/>
        <w:rPr>
          <w:rFonts w:eastAsia="PMingLiU" w:cs="Arial"/>
          <w:szCs w:val="24"/>
        </w:rPr>
      </w:pPr>
      <w:r w:rsidRPr="00D1722F">
        <w:rPr>
          <w:rFonts w:eastAsia="PMingLiU" w:cs="Arial"/>
          <w:szCs w:val="24"/>
        </w:rPr>
        <w:tab/>
        <w:t>TWA:</w:t>
      </w:r>
      <w:r w:rsidRPr="00D1722F">
        <w:rPr>
          <w:rFonts w:eastAsia="PMingLiU" w:cs="Arial"/>
          <w:szCs w:val="24"/>
        </w:rPr>
        <w:tab/>
      </w:r>
      <w:r w:rsidRPr="00D1722F">
        <w:rPr>
          <w:rFonts w:eastAsia="PMingLiU" w:cs="Arial"/>
          <w:szCs w:val="24"/>
        </w:rPr>
        <w:tab/>
        <w:t>Technical Working Party for Agricultural Crops</w:t>
      </w:r>
    </w:p>
    <w:p w:rsidR="00D1722F" w:rsidRPr="00D1722F" w:rsidRDefault="00D1722F" w:rsidP="00D1722F">
      <w:pPr>
        <w:rPr>
          <w:rFonts w:eastAsia="PMingLiU" w:cs="Arial"/>
          <w:szCs w:val="24"/>
        </w:rPr>
      </w:pPr>
      <w:r w:rsidRPr="00D1722F">
        <w:rPr>
          <w:rFonts w:eastAsia="PMingLiU" w:cs="Arial"/>
          <w:szCs w:val="24"/>
        </w:rPr>
        <w:tab/>
        <w:t>TWC:</w:t>
      </w:r>
      <w:r w:rsidRPr="00D1722F">
        <w:rPr>
          <w:rFonts w:eastAsia="PMingLiU" w:cs="Arial"/>
          <w:szCs w:val="24"/>
        </w:rPr>
        <w:tab/>
      </w:r>
      <w:r w:rsidRPr="00D1722F">
        <w:rPr>
          <w:rFonts w:eastAsia="PMingLiU" w:cs="Arial"/>
          <w:szCs w:val="24"/>
        </w:rPr>
        <w:tab/>
        <w:t>Technical Working Party on Automation and Computer Programs</w:t>
      </w:r>
    </w:p>
    <w:p w:rsidR="00D1722F" w:rsidRPr="00D1722F" w:rsidRDefault="00D1722F" w:rsidP="00D1722F">
      <w:pPr>
        <w:rPr>
          <w:rFonts w:eastAsia="PMingLiU" w:cs="Arial"/>
          <w:szCs w:val="24"/>
        </w:rPr>
      </w:pPr>
      <w:r w:rsidRPr="00D1722F">
        <w:rPr>
          <w:rFonts w:eastAsia="PMingLiU" w:cs="Arial"/>
          <w:szCs w:val="24"/>
        </w:rPr>
        <w:tab/>
        <w:t xml:space="preserve">TWF: </w:t>
      </w:r>
      <w:r w:rsidRPr="00D1722F">
        <w:rPr>
          <w:rFonts w:eastAsia="PMingLiU" w:cs="Arial"/>
          <w:szCs w:val="24"/>
        </w:rPr>
        <w:tab/>
      </w:r>
      <w:r w:rsidRPr="00D1722F">
        <w:rPr>
          <w:rFonts w:eastAsia="PMingLiU" w:cs="Arial"/>
          <w:szCs w:val="24"/>
        </w:rPr>
        <w:tab/>
        <w:t>Technical Working Party for Fruit Crops</w:t>
      </w:r>
    </w:p>
    <w:p w:rsidR="00D1722F" w:rsidRPr="00D1722F" w:rsidRDefault="00D1722F" w:rsidP="00D1722F">
      <w:pPr>
        <w:rPr>
          <w:rFonts w:eastAsia="PMingLiU" w:cs="Arial"/>
          <w:szCs w:val="24"/>
        </w:rPr>
      </w:pPr>
      <w:r w:rsidRPr="00D1722F">
        <w:rPr>
          <w:rFonts w:eastAsia="PMingLiU" w:cs="Arial"/>
          <w:szCs w:val="24"/>
        </w:rPr>
        <w:tab/>
        <w:t>TWO:</w:t>
      </w:r>
      <w:r w:rsidRPr="00D1722F">
        <w:rPr>
          <w:rFonts w:eastAsia="PMingLiU" w:cs="Arial"/>
          <w:szCs w:val="24"/>
        </w:rPr>
        <w:tab/>
      </w:r>
      <w:r w:rsidRPr="00D1722F">
        <w:rPr>
          <w:rFonts w:eastAsia="PMingLiU" w:cs="Arial"/>
          <w:szCs w:val="24"/>
        </w:rPr>
        <w:tab/>
        <w:t xml:space="preserve">Technical Working Party for Ornamental Plants and </w:t>
      </w:r>
      <w:smartTag w:uri="urn:schemas-microsoft-com:office:smarttags" w:element="place">
        <w:r w:rsidRPr="00D1722F">
          <w:rPr>
            <w:rFonts w:eastAsia="PMingLiU" w:cs="Arial"/>
            <w:szCs w:val="24"/>
          </w:rPr>
          <w:t>Forest</w:t>
        </w:r>
      </w:smartTag>
      <w:r w:rsidRPr="00D1722F">
        <w:rPr>
          <w:rFonts w:eastAsia="PMingLiU" w:cs="Arial"/>
          <w:szCs w:val="24"/>
        </w:rPr>
        <w:t xml:space="preserve"> Trees</w:t>
      </w:r>
    </w:p>
    <w:p w:rsidR="00D1722F" w:rsidRPr="00D1722F" w:rsidRDefault="00D1722F" w:rsidP="00D1722F">
      <w:pPr>
        <w:rPr>
          <w:rFonts w:eastAsia="PMingLiU" w:cs="Arial"/>
          <w:szCs w:val="24"/>
        </w:rPr>
      </w:pPr>
      <w:r w:rsidRPr="00D1722F">
        <w:rPr>
          <w:rFonts w:eastAsia="PMingLiU" w:cs="Arial"/>
          <w:szCs w:val="24"/>
        </w:rPr>
        <w:tab/>
        <w:t>TWPs:</w:t>
      </w:r>
      <w:r w:rsidRPr="00D1722F">
        <w:rPr>
          <w:rFonts w:eastAsia="PMingLiU" w:cs="Arial"/>
          <w:szCs w:val="24"/>
        </w:rPr>
        <w:tab/>
        <w:t>Technical Working Parties</w:t>
      </w:r>
    </w:p>
    <w:p w:rsidR="00D1722F" w:rsidRPr="00D1722F" w:rsidRDefault="00D1722F" w:rsidP="00D1722F">
      <w:pPr>
        <w:rPr>
          <w:rFonts w:cs="Arial"/>
          <w:szCs w:val="24"/>
          <w:lang w:eastAsia="ja-JP"/>
        </w:rPr>
      </w:pPr>
      <w:r w:rsidRPr="00D1722F">
        <w:rPr>
          <w:rFonts w:eastAsia="PMingLiU" w:cs="Arial"/>
          <w:szCs w:val="24"/>
        </w:rPr>
        <w:tab/>
        <w:t>TWV:</w:t>
      </w:r>
      <w:r w:rsidRPr="00D1722F">
        <w:rPr>
          <w:rFonts w:eastAsia="PMingLiU" w:cs="Arial"/>
          <w:szCs w:val="24"/>
        </w:rPr>
        <w:tab/>
      </w:r>
      <w:r w:rsidRPr="00D1722F">
        <w:rPr>
          <w:rFonts w:eastAsia="PMingLiU" w:cs="Arial"/>
          <w:szCs w:val="24"/>
        </w:rPr>
        <w:tab/>
        <w:t>Technical Working Party for Vegetables</w:t>
      </w:r>
    </w:p>
    <w:p w:rsidR="00C64FCB" w:rsidRDefault="00C64FCB" w:rsidP="00D1722F"/>
    <w:p w:rsidR="00C64FCB" w:rsidRPr="00D1722F" w:rsidRDefault="00C64FCB" w:rsidP="00D1722F"/>
    <w:p w:rsidR="00D1722F" w:rsidRPr="00D1722F" w:rsidRDefault="00D1722F" w:rsidP="00D1722F">
      <w:pPr>
        <w:keepLines/>
        <w:outlineLvl w:val="0"/>
        <w:rPr>
          <w:caps/>
          <w:lang w:eastAsia="ja-JP"/>
        </w:rPr>
      </w:pPr>
      <w:bookmarkStart w:id="5" w:name="_Toc475544291"/>
      <w:bookmarkStart w:id="6" w:name="_Toc484081314"/>
      <w:r w:rsidRPr="00D1722F">
        <w:rPr>
          <w:caps/>
          <w:lang w:eastAsia="ja-JP"/>
        </w:rPr>
        <w:t>Background</w:t>
      </w:r>
      <w:bookmarkEnd w:id="5"/>
      <w:bookmarkEnd w:id="6"/>
    </w:p>
    <w:p w:rsidR="00D1722F" w:rsidRPr="00D1722F" w:rsidRDefault="00D1722F" w:rsidP="00D1722F">
      <w:pPr>
        <w:tabs>
          <w:tab w:val="left" w:pos="567"/>
        </w:tabs>
        <w:autoSpaceDE w:val="0"/>
        <w:autoSpaceDN w:val="0"/>
        <w:adjustRightInd w:val="0"/>
        <w:rPr>
          <w:lang w:eastAsia="ja-JP"/>
        </w:rPr>
      </w:pPr>
    </w:p>
    <w:p w:rsidR="00D1722F" w:rsidRPr="00D1722F" w:rsidRDefault="00D1722F" w:rsidP="00D1722F">
      <w:pPr>
        <w:tabs>
          <w:tab w:val="left" w:pos="567"/>
        </w:tabs>
        <w:autoSpaceDE w:val="0"/>
        <w:autoSpaceDN w:val="0"/>
        <w:adjustRightInd w:val="0"/>
        <w:rPr>
          <w:rFonts w:cs="Arial"/>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 xml:space="preserve">The </w:t>
      </w:r>
      <w:r w:rsidR="00640D25">
        <w:rPr>
          <w:lang w:eastAsia="ja-JP"/>
        </w:rPr>
        <w:t>TC</w:t>
      </w:r>
      <w:r w:rsidRPr="00D1722F">
        <w:rPr>
          <w:lang w:eastAsia="ja-JP"/>
        </w:rPr>
        <w:t xml:space="preserve">, at its fifty-second session, held in Geneva from March 14 to 16, 2016, </w:t>
      </w:r>
      <w:r w:rsidRPr="00D1722F">
        <w:t xml:space="preserve">considered document TC/52/3 “Matters arising from the Technical Working Parties” and </w:t>
      </w:r>
      <w:r w:rsidRPr="00D1722F">
        <w:rPr>
          <w:lang w:eastAsia="ja-JP"/>
        </w:rPr>
        <w:t xml:space="preserve">received an oral report from the Chairperson of the </w:t>
      </w:r>
      <w:r w:rsidRPr="00D1722F">
        <w:t>Technical Working Party on Automation and Computer Programs (TWC) that a</w:t>
      </w:r>
      <w:r w:rsidRPr="00D1722F">
        <w:rPr>
          <w:rFonts w:cs="Arial"/>
        </w:rPr>
        <w:t>n expert from the United Kingdom had given a presentation on “Calculated thresholds for excluding varieties of common knowledge from the second growing cycle when COYD is used” (document TWC/33/20) and that the proposed methodology may be appropriate for quantitative characteristics and was an improvement on a previously described method because it took into account variability in the COYD criterion from year-to-year.  The method was illustrated on a large pea data set.  The expert requested more example data sets to test the methods further (see document TC/52/29 Rev. “Revised Report”, paragraph 36).</w:t>
      </w:r>
    </w:p>
    <w:p w:rsidR="00D1722F" w:rsidRPr="00D1722F" w:rsidRDefault="00D1722F" w:rsidP="00D1722F">
      <w:pPr>
        <w:tabs>
          <w:tab w:val="left" w:pos="567"/>
        </w:tabs>
        <w:autoSpaceDE w:val="0"/>
        <w:autoSpaceDN w:val="0"/>
        <w:adjustRightInd w:val="0"/>
        <w:rPr>
          <w:rFonts w:cs="Arial"/>
        </w:rPr>
      </w:pPr>
    </w:p>
    <w:p w:rsidR="00D1722F" w:rsidRPr="00D1722F" w:rsidRDefault="00D1722F" w:rsidP="00D1722F">
      <w:pPr>
        <w:rPr>
          <w:b/>
        </w:rPr>
      </w:pPr>
      <w:r w:rsidRPr="00D1722F">
        <w:fldChar w:fldCharType="begin"/>
      </w:r>
      <w:r w:rsidRPr="00D1722F">
        <w:instrText xml:space="preserve"> AUTONUM  </w:instrText>
      </w:r>
      <w:r w:rsidRPr="00D1722F">
        <w:fldChar w:fldCharType="end"/>
      </w:r>
      <w:r w:rsidRPr="00D1722F">
        <w:tab/>
        <w:t>The TC agreed to request UPOV members’ experts to provide data to the United Kingdom for developing the methodology for excluding varieties of common knowledge from the second growing cycle when COYD is used, as set out in paragraph 6 of document TC/52/3.  The TC noted that the Office of the Union would issue a circular inviting contributions of data.</w:t>
      </w:r>
    </w:p>
    <w:p w:rsidR="00D1722F" w:rsidRPr="00D1722F" w:rsidRDefault="00D1722F" w:rsidP="00D1722F"/>
    <w:p w:rsidR="00D1722F" w:rsidRPr="00D1722F" w:rsidRDefault="00D1722F" w:rsidP="00D1722F">
      <w:r w:rsidRPr="00D1722F">
        <w:fldChar w:fldCharType="begin"/>
      </w:r>
      <w:r w:rsidRPr="00D1722F">
        <w:instrText xml:space="preserve"> AUTONUM  </w:instrText>
      </w:r>
      <w:r w:rsidRPr="00D1722F">
        <w:fldChar w:fldCharType="end"/>
      </w:r>
      <w:r w:rsidRPr="00D1722F">
        <w:tab/>
        <w:t>The TC agreed to include the development of calculated thresholds for excluding varieties of common knowledge from the second growing cycle when COYD is used as an agenda item for the fifty</w:t>
      </w:r>
      <w:r w:rsidRPr="00D1722F">
        <w:noBreakHyphen/>
        <w:t>third session of the TC on the basis of a document to be prepared by the United Kingdom.</w:t>
      </w:r>
    </w:p>
    <w:p w:rsidR="00D1722F" w:rsidRPr="00D1722F" w:rsidRDefault="00D1722F" w:rsidP="00D1722F">
      <w:pPr>
        <w:rPr>
          <w:lang w:eastAsia="ja-JP"/>
        </w:rPr>
      </w:pPr>
    </w:p>
    <w:p w:rsidR="00D1722F" w:rsidRPr="00D1722F" w:rsidRDefault="00D1722F" w:rsidP="00D1722F">
      <w:pPr>
        <w:rPr>
          <w:lang w:eastAsia="ja-JP"/>
        </w:rPr>
      </w:pPr>
    </w:p>
    <w:p w:rsidR="00E44FB5" w:rsidRDefault="00E44FB5" w:rsidP="00E44FB5">
      <w:pPr>
        <w:keepLines/>
        <w:outlineLvl w:val="0"/>
        <w:rPr>
          <w:caps/>
          <w:lang w:eastAsia="ja-JP"/>
        </w:rPr>
      </w:pPr>
      <w:bookmarkStart w:id="7" w:name="_Toc484081315"/>
      <w:bookmarkStart w:id="8" w:name="_Toc475544292"/>
      <w:r>
        <w:rPr>
          <w:caps/>
          <w:lang w:eastAsia="ja-JP"/>
        </w:rPr>
        <w:t>developments in 2016</w:t>
      </w:r>
      <w:bookmarkEnd w:id="7"/>
    </w:p>
    <w:p w:rsidR="00E44FB5" w:rsidRPr="00D1722F" w:rsidRDefault="00E44FB5" w:rsidP="00E44FB5">
      <w:pPr>
        <w:keepLines/>
        <w:outlineLvl w:val="0"/>
        <w:rPr>
          <w:caps/>
          <w:lang w:eastAsia="ja-JP"/>
        </w:rPr>
      </w:pPr>
    </w:p>
    <w:p w:rsidR="00D1722F" w:rsidRPr="00D1722F" w:rsidRDefault="00D1722F" w:rsidP="00E44FB5">
      <w:pPr>
        <w:pStyle w:val="Heading2"/>
        <w:rPr>
          <w:lang w:eastAsia="ja-JP"/>
        </w:rPr>
      </w:pPr>
      <w:bookmarkStart w:id="9" w:name="_Toc484081316"/>
      <w:r w:rsidRPr="00D1722F">
        <w:rPr>
          <w:lang w:eastAsia="ja-JP"/>
        </w:rPr>
        <w:t>Technical Working Party on Automation and Computer Programs</w:t>
      </w:r>
      <w:bookmarkEnd w:id="8"/>
      <w:bookmarkEnd w:id="9"/>
    </w:p>
    <w:p w:rsidR="00D1722F" w:rsidRPr="00D1722F" w:rsidRDefault="00D1722F" w:rsidP="00D1722F">
      <w:pPr>
        <w:rPr>
          <w:lang w:eastAsia="ja-JP"/>
        </w:rPr>
      </w:pPr>
    </w:p>
    <w:p w:rsidR="00D1722F" w:rsidRPr="00D1722F" w:rsidRDefault="00D1722F" w:rsidP="00D1722F">
      <w:pPr>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The TWC, at its thirty-fourth session, held in Shanghai, China, from June 6 to 10, 2016, noted the information presented in document TWC/34/8 “</w:t>
      </w:r>
      <w:r w:rsidRPr="00D1722F">
        <w:t>Excluding varieties of common knowledge from the second growing cycle when COYD is used” (see document TWC/34/32 “Report”, paragraphs 83 to 85)</w:t>
      </w:r>
      <w:r w:rsidRPr="00D1722F">
        <w:rPr>
          <w:lang w:eastAsia="ja-JP"/>
        </w:rPr>
        <w:t>.</w:t>
      </w:r>
    </w:p>
    <w:p w:rsidR="00D1722F" w:rsidRPr="00D1722F" w:rsidRDefault="00D1722F" w:rsidP="00D1722F">
      <w:pPr>
        <w:rPr>
          <w:lang w:eastAsia="ja-JP"/>
        </w:rPr>
      </w:pPr>
    </w:p>
    <w:p w:rsidR="00D1722F" w:rsidRPr="00D1722F" w:rsidRDefault="00D1722F" w:rsidP="00D1722F">
      <w:pPr>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The TWC received a presentation by an expert from the United Kingdom on “Calculated thresholds for excluding varieties of common knowledge from the second growing cycle when COYD is used”, a copy of which is reproduced in the Annex to document TWC/34/8 Add.</w:t>
      </w:r>
    </w:p>
    <w:p w:rsidR="00D1722F" w:rsidRPr="00D1722F" w:rsidRDefault="00D1722F" w:rsidP="00D1722F">
      <w:pPr>
        <w:rPr>
          <w:lang w:eastAsia="ja-JP"/>
        </w:rPr>
      </w:pPr>
    </w:p>
    <w:p w:rsidR="00D1722F" w:rsidRPr="00D1722F" w:rsidRDefault="00D1722F" w:rsidP="00D1722F">
      <w:pPr>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 xml:space="preserve">The TWC noted the request for submission of data sets from different crops for developing the method and </w:t>
      </w:r>
      <w:r w:rsidRPr="00D1722F">
        <w:rPr>
          <w:rFonts w:hint="eastAsia"/>
          <w:lang w:eastAsia="ja-JP"/>
        </w:rPr>
        <w:t xml:space="preserve">welcomed the </w:t>
      </w:r>
      <w:r w:rsidRPr="00D1722F">
        <w:rPr>
          <w:lang w:eastAsia="ja-JP"/>
        </w:rPr>
        <w:t>offer from</w:t>
      </w:r>
      <w:r w:rsidRPr="00D1722F">
        <w:rPr>
          <w:rFonts w:hint="eastAsia"/>
          <w:lang w:eastAsia="ja-JP"/>
        </w:rPr>
        <w:t xml:space="preserve"> </w:t>
      </w:r>
      <w:r w:rsidRPr="00D1722F">
        <w:rPr>
          <w:lang w:eastAsia="ja-JP"/>
        </w:rPr>
        <w:t xml:space="preserve">Denmark, Finland, </w:t>
      </w:r>
      <w:r w:rsidRPr="00D1722F">
        <w:rPr>
          <w:rFonts w:hint="eastAsia"/>
          <w:lang w:eastAsia="ja-JP"/>
        </w:rPr>
        <w:t>Germany</w:t>
      </w:r>
      <w:r w:rsidRPr="00D1722F">
        <w:rPr>
          <w:lang w:eastAsia="ja-JP"/>
        </w:rPr>
        <w:t xml:space="preserve"> and Slovakia</w:t>
      </w:r>
      <w:r w:rsidRPr="00D1722F">
        <w:rPr>
          <w:rFonts w:hint="eastAsia"/>
          <w:lang w:eastAsia="ja-JP"/>
        </w:rPr>
        <w:t xml:space="preserve"> to </w:t>
      </w:r>
      <w:r w:rsidRPr="00D1722F">
        <w:rPr>
          <w:lang w:eastAsia="ja-JP"/>
        </w:rPr>
        <w:t xml:space="preserve">provide </w:t>
      </w:r>
      <w:r w:rsidRPr="00D1722F">
        <w:rPr>
          <w:rFonts w:hint="eastAsia"/>
          <w:lang w:eastAsia="ja-JP"/>
        </w:rPr>
        <w:t xml:space="preserve">data </w:t>
      </w:r>
      <w:r w:rsidRPr="00D1722F">
        <w:rPr>
          <w:lang w:eastAsia="ja-JP"/>
        </w:rPr>
        <w:t>sets.</w:t>
      </w:r>
      <w:r w:rsidRPr="00D1722F">
        <w:rPr>
          <w:rFonts w:hint="eastAsia"/>
          <w:lang w:eastAsia="ja-JP"/>
        </w:rPr>
        <w:t xml:space="preserve"> </w:t>
      </w:r>
      <w:r w:rsidRPr="00D1722F">
        <w:rPr>
          <w:lang w:eastAsia="ja-JP"/>
        </w:rPr>
        <w:t xml:space="preserve"> </w:t>
      </w:r>
      <w:r w:rsidRPr="00D1722F">
        <w:rPr>
          <w:rFonts w:hint="eastAsia"/>
          <w:lang w:eastAsia="ja-JP"/>
        </w:rPr>
        <w:t xml:space="preserve">The TWC noted that software to </w:t>
      </w:r>
      <w:r w:rsidRPr="00D1722F">
        <w:rPr>
          <w:lang w:eastAsia="ja-JP"/>
        </w:rPr>
        <w:t>calculate</w:t>
      </w:r>
      <w:r w:rsidRPr="00D1722F">
        <w:rPr>
          <w:rFonts w:hint="eastAsia"/>
          <w:lang w:eastAsia="ja-JP"/>
        </w:rPr>
        <w:t xml:space="preserve"> threshold</w:t>
      </w:r>
      <w:r w:rsidRPr="00D1722F">
        <w:rPr>
          <w:lang w:eastAsia="ja-JP"/>
        </w:rPr>
        <w:t xml:space="preserve">s for excluding varieties would be developed to facilitate the application of the method, with a possibility to </w:t>
      </w:r>
      <w:r w:rsidRPr="00D1722F">
        <w:rPr>
          <w:rFonts w:hint="eastAsia"/>
          <w:lang w:eastAsia="ja-JP"/>
        </w:rPr>
        <w:t xml:space="preserve">be integrated into </w:t>
      </w:r>
      <w:r w:rsidRPr="00D1722F">
        <w:rPr>
          <w:lang w:eastAsia="ja-JP"/>
        </w:rPr>
        <w:t xml:space="preserve">the </w:t>
      </w:r>
      <w:r w:rsidRPr="00D1722F">
        <w:rPr>
          <w:rFonts w:hint="eastAsia"/>
          <w:lang w:eastAsia="ja-JP"/>
        </w:rPr>
        <w:t>GAIA software</w:t>
      </w:r>
      <w:r w:rsidRPr="00D1722F">
        <w:rPr>
          <w:lang w:eastAsia="ja-JP"/>
        </w:rPr>
        <w:t>.</w:t>
      </w:r>
    </w:p>
    <w:p w:rsidR="00D1722F" w:rsidRPr="00D1722F" w:rsidRDefault="00D1722F" w:rsidP="00D1722F">
      <w:pPr>
        <w:rPr>
          <w:lang w:eastAsia="ja-JP"/>
        </w:rPr>
      </w:pPr>
    </w:p>
    <w:p w:rsidR="00D1722F" w:rsidRPr="00D1722F" w:rsidRDefault="00D1722F" w:rsidP="00D1722F">
      <w:pPr>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 xml:space="preserve">On January 26, 2017, the Office of the Union was informed by the drafter from the United Kingdom that further developments would be reported to the TWC, at its thirty-fifth session, to be held in Buenos Aires, from November 14 to 17, 2017. </w:t>
      </w:r>
    </w:p>
    <w:p w:rsidR="00D1722F" w:rsidRDefault="00D1722F" w:rsidP="00D1722F">
      <w:pPr>
        <w:rPr>
          <w:lang w:eastAsia="ja-JP"/>
        </w:rPr>
      </w:pPr>
    </w:p>
    <w:p w:rsidR="00122DEC" w:rsidRDefault="00122DEC" w:rsidP="00D1722F">
      <w:pPr>
        <w:rPr>
          <w:lang w:eastAsia="ja-JP"/>
        </w:rPr>
      </w:pPr>
    </w:p>
    <w:p w:rsidR="00E44FB5" w:rsidRDefault="00E44FB5" w:rsidP="00E44FB5">
      <w:pPr>
        <w:keepLines/>
        <w:outlineLvl w:val="0"/>
        <w:rPr>
          <w:caps/>
          <w:lang w:eastAsia="ja-JP"/>
        </w:rPr>
      </w:pPr>
      <w:bookmarkStart w:id="10" w:name="_Toc484081317"/>
      <w:r>
        <w:rPr>
          <w:caps/>
          <w:lang w:eastAsia="ja-JP"/>
        </w:rPr>
        <w:t>developments in 2017</w:t>
      </w:r>
      <w:bookmarkEnd w:id="10"/>
    </w:p>
    <w:p w:rsidR="00E44FB5" w:rsidRPr="00D1722F" w:rsidRDefault="00E44FB5" w:rsidP="00E44FB5">
      <w:pPr>
        <w:keepLines/>
        <w:outlineLvl w:val="0"/>
        <w:rPr>
          <w:caps/>
          <w:lang w:eastAsia="ja-JP"/>
        </w:rPr>
      </w:pPr>
    </w:p>
    <w:p w:rsidR="00122DEC" w:rsidRPr="00D1722F" w:rsidRDefault="00122DEC" w:rsidP="00E44FB5">
      <w:pPr>
        <w:pStyle w:val="Heading2"/>
        <w:rPr>
          <w:lang w:eastAsia="ja-JP"/>
        </w:rPr>
      </w:pPr>
      <w:bookmarkStart w:id="11" w:name="_Toc484081318"/>
      <w:r w:rsidRPr="00D1722F">
        <w:rPr>
          <w:lang w:eastAsia="ja-JP"/>
        </w:rPr>
        <w:t xml:space="preserve">Technical </w:t>
      </w:r>
      <w:r>
        <w:rPr>
          <w:rFonts w:hint="eastAsia"/>
          <w:snapToGrid w:val="0"/>
          <w:lang w:eastAsia="ja-JP"/>
        </w:rPr>
        <w:t>Committee</w:t>
      </w:r>
      <w:r w:rsidRPr="00D1722F">
        <w:rPr>
          <w:lang w:eastAsia="ja-JP"/>
        </w:rPr>
        <w:t xml:space="preserve"> </w:t>
      </w:r>
      <w:r w:rsidR="009F2919">
        <w:rPr>
          <w:lang w:eastAsia="ja-JP"/>
        </w:rPr>
        <w:t>at its fif</w:t>
      </w:r>
      <w:r w:rsidR="009F2919" w:rsidRPr="00D1722F">
        <w:rPr>
          <w:lang w:eastAsia="ja-JP"/>
        </w:rPr>
        <w:t>ty-</w:t>
      </w:r>
      <w:r w:rsidR="009F2919">
        <w:rPr>
          <w:lang w:eastAsia="ja-JP"/>
        </w:rPr>
        <w:t>third</w:t>
      </w:r>
      <w:r w:rsidR="009F2919" w:rsidRPr="00D1722F">
        <w:rPr>
          <w:lang w:eastAsia="ja-JP"/>
        </w:rPr>
        <w:t xml:space="preserve"> session</w:t>
      </w:r>
      <w:bookmarkEnd w:id="11"/>
    </w:p>
    <w:p w:rsidR="009F2919" w:rsidRDefault="009F2919" w:rsidP="009F2919"/>
    <w:p w:rsidR="009F2919" w:rsidRPr="00D51062" w:rsidRDefault="009F2919" w:rsidP="009F2919">
      <w:r w:rsidRPr="00D51062">
        <w:fldChar w:fldCharType="begin"/>
      </w:r>
      <w:r w:rsidRPr="00D51062">
        <w:instrText xml:space="preserve"> AUTONUM  </w:instrText>
      </w:r>
      <w:r w:rsidRPr="00D51062">
        <w:fldChar w:fldCharType="end"/>
      </w:r>
      <w:r w:rsidRPr="00D51062">
        <w:tab/>
        <w:t>The TC</w:t>
      </w:r>
      <w:r w:rsidRPr="00D1722F">
        <w:rPr>
          <w:lang w:eastAsia="ja-JP"/>
        </w:rPr>
        <w:t xml:space="preserve">, at its </w:t>
      </w:r>
      <w:r>
        <w:rPr>
          <w:lang w:eastAsia="ja-JP"/>
        </w:rPr>
        <w:t>fif</w:t>
      </w:r>
      <w:r w:rsidRPr="00D1722F">
        <w:rPr>
          <w:lang w:eastAsia="ja-JP"/>
        </w:rPr>
        <w:t>ty-</w:t>
      </w:r>
      <w:r>
        <w:rPr>
          <w:lang w:eastAsia="ja-JP"/>
        </w:rPr>
        <w:t>third</w:t>
      </w:r>
      <w:r w:rsidRPr="00D1722F">
        <w:rPr>
          <w:lang w:eastAsia="ja-JP"/>
        </w:rPr>
        <w:t xml:space="preserve"> session,</w:t>
      </w:r>
      <w:r w:rsidRPr="00D51062">
        <w:t xml:space="preserve"> considered document TC/53/23</w:t>
      </w:r>
      <w:r w:rsidR="00447C66">
        <w:t xml:space="preserve"> “D</w:t>
      </w:r>
      <w:r w:rsidR="00447C66" w:rsidRPr="00D1722F">
        <w:t>evelopment of calculated thresholds for excluding varieties of common knowledge from the second growing cycle when COYD is used</w:t>
      </w:r>
      <w:r w:rsidR="00447C66">
        <w:t>”</w:t>
      </w:r>
      <w:r w:rsidRPr="00D51062">
        <w:t>.</w:t>
      </w:r>
    </w:p>
    <w:p w:rsidR="00122DEC" w:rsidRPr="00D1722F" w:rsidRDefault="00122DEC" w:rsidP="00122DEC">
      <w:pPr>
        <w:rPr>
          <w:lang w:eastAsia="ja-JP"/>
        </w:rPr>
      </w:pPr>
    </w:p>
    <w:p w:rsidR="00122DEC" w:rsidRPr="00D51062" w:rsidRDefault="00122DEC" w:rsidP="00122DEC">
      <w:pPr>
        <w:rPr>
          <w:lang w:eastAsia="ja-JP"/>
        </w:rPr>
      </w:pPr>
      <w:r w:rsidRPr="00D51062">
        <w:rPr>
          <w:lang w:eastAsia="ja-JP"/>
        </w:rPr>
        <w:lastRenderedPageBreak/>
        <w:fldChar w:fldCharType="begin"/>
      </w:r>
      <w:r w:rsidRPr="00D51062">
        <w:rPr>
          <w:lang w:eastAsia="ja-JP"/>
        </w:rPr>
        <w:instrText xml:space="preserve"> AUTONUM  </w:instrText>
      </w:r>
      <w:r w:rsidRPr="00D51062">
        <w:rPr>
          <w:lang w:eastAsia="ja-JP"/>
        </w:rPr>
        <w:fldChar w:fldCharType="end"/>
      </w:r>
      <w:r w:rsidRPr="00D51062">
        <w:rPr>
          <w:lang w:eastAsia="ja-JP"/>
        </w:rPr>
        <w:tab/>
        <w:t>The TC</w:t>
      </w:r>
      <w:r w:rsidRPr="00D1722F">
        <w:rPr>
          <w:lang w:eastAsia="ja-JP"/>
        </w:rPr>
        <w:t xml:space="preserve"> </w:t>
      </w:r>
      <w:r w:rsidRPr="00D51062">
        <w:rPr>
          <w:lang w:eastAsia="ja-JP"/>
        </w:rPr>
        <w:t>received a presentation by the experts from the United Kingdom on excluding varieties of common knowledge from the second growing cycle when COYD was used, a copy of which is reprod</w:t>
      </w:r>
      <w:r w:rsidR="00640D25">
        <w:rPr>
          <w:lang w:eastAsia="ja-JP"/>
        </w:rPr>
        <w:t>uced in document TC/53/23 Add.</w:t>
      </w:r>
    </w:p>
    <w:p w:rsidR="00122DEC" w:rsidRPr="00D51062" w:rsidRDefault="00122DEC" w:rsidP="00122DEC">
      <w:pPr>
        <w:rPr>
          <w:lang w:eastAsia="ja-JP"/>
        </w:rPr>
      </w:pPr>
    </w:p>
    <w:p w:rsidR="00122DEC" w:rsidRPr="00D51062" w:rsidRDefault="00122DEC" w:rsidP="00122DEC">
      <w:pPr>
        <w:rPr>
          <w:lang w:eastAsia="ja-JP"/>
        </w:rPr>
      </w:pPr>
      <w:r w:rsidRPr="00D51062">
        <w:rPr>
          <w:lang w:eastAsia="ja-JP"/>
        </w:rPr>
        <w:fldChar w:fldCharType="begin"/>
      </w:r>
      <w:r w:rsidRPr="00D51062">
        <w:rPr>
          <w:lang w:eastAsia="ja-JP"/>
        </w:rPr>
        <w:instrText xml:space="preserve"> AUTONUM  </w:instrText>
      </w:r>
      <w:r w:rsidRPr="00D51062">
        <w:rPr>
          <w:lang w:eastAsia="ja-JP"/>
        </w:rPr>
        <w:fldChar w:fldCharType="end"/>
      </w:r>
      <w:r w:rsidRPr="00D51062">
        <w:rPr>
          <w:lang w:eastAsia="ja-JP"/>
        </w:rPr>
        <w:tab/>
        <w:t xml:space="preserve">The TC noted that further developments on </w:t>
      </w:r>
      <w:r w:rsidRPr="00D51062">
        <w:t>calculated thresholds for excluding varieties of common knowledge from the second growing cycle when COYD was used</w:t>
      </w:r>
      <w:r w:rsidRPr="00D51062">
        <w:rPr>
          <w:lang w:eastAsia="ja-JP"/>
        </w:rPr>
        <w:t xml:space="preserve"> would be reported to the TWC, at its thirty</w:t>
      </w:r>
      <w:r w:rsidRPr="00D51062">
        <w:rPr>
          <w:lang w:eastAsia="ja-JP"/>
        </w:rPr>
        <w:noBreakHyphen/>
        <w:t>fifth session.</w:t>
      </w:r>
    </w:p>
    <w:p w:rsidR="007A4EB8" w:rsidRDefault="007A4EB8" w:rsidP="007A4EB8">
      <w:pPr>
        <w:rPr>
          <w:caps/>
          <w:lang w:eastAsia="ja-JP"/>
        </w:rPr>
      </w:pPr>
    </w:p>
    <w:p w:rsidR="007A4EB8" w:rsidRDefault="007A4EB8" w:rsidP="007A4EB8">
      <w:pPr>
        <w:rPr>
          <w:snapToGrid w:val="0"/>
          <w:color w:val="000000"/>
          <w:lang w:eastAsia="ja-JP"/>
        </w:rPr>
      </w:pPr>
      <w:r w:rsidRPr="005623A7">
        <w:fldChar w:fldCharType="begin"/>
      </w:r>
      <w:r w:rsidRPr="005623A7">
        <w:instrText xml:space="preserve"> AUTONUM  </w:instrText>
      </w:r>
      <w:r w:rsidRPr="005623A7">
        <w:fldChar w:fldCharType="end"/>
      </w:r>
      <w:r>
        <w:tab/>
        <w:t xml:space="preserve">A description of the method </w:t>
      </w:r>
      <w:r w:rsidR="00640D25">
        <w:t xml:space="preserve">for </w:t>
      </w:r>
      <w:r>
        <w:rPr>
          <w:szCs w:val="24"/>
          <w:lang w:eastAsia="ja-JP"/>
        </w:rPr>
        <w:t>“</w:t>
      </w:r>
      <w:r w:rsidRPr="00D1722F">
        <w:t>Excluding varieties of common knowledge from the second growing cycle when COYD is used”</w:t>
      </w:r>
      <w:r>
        <w:t xml:space="preserve"> is provided in the Annex to this document.</w:t>
      </w:r>
    </w:p>
    <w:p w:rsidR="007A4EB8" w:rsidRPr="00D1722F" w:rsidRDefault="007A4EB8" w:rsidP="00122DEC">
      <w:pPr>
        <w:rPr>
          <w:lang w:eastAsia="ja-JP"/>
        </w:rPr>
      </w:pPr>
    </w:p>
    <w:p w:rsidR="009F2919" w:rsidRPr="00D1722F" w:rsidRDefault="009F2919" w:rsidP="009F2919">
      <w:pPr>
        <w:pStyle w:val="DecisionParagraphs"/>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The T</w:t>
      </w:r>
      <w:r>
        <w:rPr>
          <w:lang w:eastAsia="ja-JP"/>
        </w:rPr>
        <w:t>WPs are</w:t>
      </w:r>
      <w:r w:rsidRPr="00D1722F">
        <w:rPr>
          <w:lang w:eastAsia="ja-JP"/>
        </w:rPr>
        <w:t xml:space="preserve"> invited to</w:t>
      </w:r>
      <w:r>
        <w:rPr>
          <w:lang w:eastAsia="ja-JP"/>
        </w:rPr>
        <w:t xml:space="preserve"> note</w:t>
      </w:r>
      <w:r w:rsidR="00447C66">
        <w:rPr>
          <w:lang w:eastAsia="ja-JP"/>
        </w:rPr>
        <w:t xml:space="preserve"> that </w:t>
      </w:r>
      <w:r w:rsidRPr="00D1722F">
        <w:rPr>
          <w:lang w:eastAsia="ja-JP"/>
        </w:rPr>
        <w:t xml:space="preserve">further developments on </w:t>
      </w:r>
      <w:r w:rsidRPr="00D1722F">
        <w:t>calculated thresholds for excluding varieties of common knowledge from the second growing cycle when COYD is used</w:t>
      </w:r>
      <w:r w:rsidRPr="00D1722F">
        <w:rPr>
          <w:lang w:eastAsia="ja-JP"/>
        </w:rPr>
        <w:t xml:space="preserve"> </w:t>
      </w:r>
      <w:r w:rsidR="00447C66">
        <w:rPr>
          <w:lang w:eastAsia="ja-JP"/>
        </w:rPr>
        <w:t xml:space="preserve">will </w:t>
      </w:r>
      <w:r w:rsidRPr="00D1722F">
        <w:rPr>
          <w:lang w:eastAsia="ja-JP"/>
        </w:rPr>
        <w:t>be reported to the TWC, at its thirty-fifth session</w:t>
      </w:r>
      <w:r w:rsidR="00447C66">
        <w:rPr>
          <w:lang w:eastAsia="ja-JP"/>
        </w:rPr>
        <w:t>.</w:t>
      </w:r>
    </w:p>
    <w:p w:rsidR="009F2919" w:rsidRPr="00D1722F" w:rsidRDefault="009F2919" w:rsidP="009F2919">
      <w:pPr>
        <w:pStyle w:val="DecisionParagraphs"/>
      </w:pPr>
    </w:p>
    <w:p w:rsidR="009F2919" w:rsidRPr="00D1722F" w:rsidRDefault="009F2919" w:rsidP="009F2919">
      <w:pPr>
        <w:pStyle w:val="DecisionParagraphs"/>
        <w:rPr>
          <w:lang w:eastAsia="ja-JP"/>
        </w:rPr>
      </w:pPr>
      <w:r w:rsidRPr="00D1722F">
        <w:rPr>
          <w:lang w:eastAsia="ja-JP"/>
        </w:rPr>
        <w:fldChar w:fldCharType="begin"/>
      </w:r>
      <w:r w:rsidRPr="00D1722F">
        <w:rPr>
          <w:lang w:eastAsia="ja-JP"/>
        </w:rPr>
        <w:instrText xml:space="preserve"> AUTONUM  </w:instrText>
      </w:r>
      <w:r w:rsidRPr="00D1722F">
        <w:rPr>
          <w:lang w:eastAsia="ja-JP"/>
        </w:rPr>
        <w:fldChar w:fldCharType="end"/>
      </w:r>
      <w:r w:rsidRPr="00D1722F">
        <w:rPr>
          <w:lang w:eastAsia="ja-JP"/>
        </w:rPr>
        <w:tab/>
        <w:t>The T</w:t>
      </w:r>
      <w:r>
        <w:rPr>
          <w:lang w:eastAsia="ja-JP"/>
        </w:rPr>
        <w:t xml:space="preserve">WC </w:t>
      </w:r>
      <w:r w:rsidRPr="00D1722F">
        <w:rPr>
          <w:lang w:eastAsia="ja-JP"/>
        </w:rPr>
        <w:t>is invited to</w:t>
      </w:r>
      <w:r>
        <w:rPr>
          <w:lang w:eastAsia="ja-JP"/>
        </w:rPr>
        <w:t xml:space="preserve"> </w:t>
      </w:r>
      <w:r w:rsidRPr="0043668A">
        <w:rPr>
          <w:rFonts w:eastAsiaTheme="minorEastAsia"/>
          <w:iCs/>
          <w:spacing w:val="-4"/>
          <w:lang w:eastAsia="ja-JP"/>
        </w:rPr>
        <w:t xml:space="preserve">consider </w:t>
      </w:r>
      <w:r>
        <w:rPr>
          <w:rFonts w:eastAsiaTheme="minorEastAsia"/>
          <w:iCs/>
          <w:spacing w:val="-4"/>
          <w:lang w:eastAsia="ja-JP"/>
        </w:rPr>
        <w:t xml:space="preserve">the report </w:t>
      </w:r>
      <w:r w:rsidRPr="0043668A">
        <w:rPr>
          <w:color w:val="000000"/>
          <w:lang w:eastAsia="ja-JP"/>
        </w:rPr>
        <w:t xml:space="preserve">on </w:t>
      </w:r>
      <w:r w:rsidRPr="00D1722F">
        <w:rPr>
          <w:lang w:eastAsia="ja-JP"/>
        </w:rPr>
        <w:t xml:space="preserve">further developments on </w:t>
      </w:r>
      <w:r w:rsidRPr="00D1722F">
        <w:t>calculated thresholds for excluding varieties of common knowledge from the second growing cycle when COYD is used</w:t>
      </w:r>
      <w:r w:rsidRPr="0043668A">
        <w:rPr>
          <w:lang w:eastAsia="ja-JP"/>
        </w:rPr>
        <w:t xml:space="preserve">, to be provided by </w:t>
      </w:r>
      <w:r w:rsidRPr="0043668A">
        <w:rPr>
          <w:color w:val="000000"/>
          <w:lang w:eastAsia="ja-JP"/>
        </w:rPr>
        <w:t>expert</w:t>
      </w:r>
      <w:r>
        <w:rPr>
          <w:color w:val="000000"/>
          <w:lang w:eastAsia="ja-JP"/>
        </w:rPr>
        <w:t>s</w:t>
      </w:r>
      <w:r w:rsidRPr="0043668A">
        <w:rPr>
          <w:color w:val="000000"/>
          <w:lang w:eastAsia="ja-JP"/>
        </w:rPr>
        <w:t xml:space="preserve"> from </w:t>
      </w:r>
      <w:r w:rsidRPr="00D1722F">
        <w:rPr>
          <w:lang w:eastAsia="ja-JP"/>
        </w:rPr>
        <w:t>the United Kingdom</w:t>
      </w:r>
      <w:r>
        <w:rPr>
          <w:lang w:eastAsia="ja-JP"/>
        </w:rPr>
        <w:t>.</w:t>
      </w:r>
      <w:r w:rsidRPr="00D1722F">
        <w:rPr>
          <w:lang w:eastAsia="ja-JP"/>
        </w:rPr>
        <w:t xml:space="preserve"> </w:t>
      </w:r>
    </w:p>
    <w:p w:rsidR="00D1722F" w:rsidRDefault="00D1722F" w:rsidP="00D1722F">
      <w:pPr>
        <w:rPr>
          <w:lang w:eastAsia="ja-JP"/>
        </w:rPr>
      </w:pPr>
    </w:p>
    <w:p w:rsidR="00D1722F" w:rsidRPr="00D1722F" w:rsidRDefault="00D1722F" w:rsidP="00D1722F">
      <w:pPr>
        <w:rPr>
          <w:lang w:eastAsia="ja-JP"/>
        </w:rPr>
      </w:pPr>
    </w:p>
    <w:p w:rsidR="00D1722F" w:rsidRPr="00D1722F" w:rsidRDefault="00D1722F" w:rsidP="00D1722F">
      <w:pPr>
        <w:rPr>
          <w:lang w:eastAsia="ja-JP"/>
        </w:rPr>
      </w:pPr>
    </w:p>
    <w:p w:rsidR="00D1722F" w:rsidRPr="00D1722F" w:rsidRDefault="00D1722F" w:rsidP="00D1722F">
      <w:pPr>
        <w:jc w:val="right"/>
        <w:rPr>
          <w:lang w:eastAsia="ja-JP"/>
        </w:rPr>
      </w:pPr>
      <w:r w:rsidRPr="00D1722F">
        <w:rPr>
          <w:lang w:eastAsia="ja-JP"/>
        </w:rPr>
        <w:t>[Annex follows]</w:t>
      </w:r>
    </w:p>
    <w:p w:rsidR="00D1722F" w:rsidRPr="00D1722F" w:rsidRDefault="00D1722F" w:rsidP="00D1722F">
      <w:pPr>
        <w:rPr>
          <w:lang w:eastAsia="ja-JP"/>
        </w:rPr>
        <w:sectPr w:rsidR="00D1722F" w:rsidRPr="00D1722F" w:rsidSect="00906DDC">
          <w:headerReference w:type="default" r:id="rId10"/>
          <w:pgSz w:w="11907" w:h="16840" w:code="9"/>
          <w:pgMar w:top="510" w:right="1134" w:bottom="1134" w:left="1134" w:header="510" w:footer="680" w:gutter="0"/>
          <w:cols w:space="720"/>
          <w:titlePg/>
        </w:sectPr>
      </w:pPr>
    </w:p>
    <w:p w:rsidR="00D1722F" w:rsidRPr="00D1722F" w:rsidRDefault="00D1722F" w:rsidP="00D1722F">
      <w:pPr>
        <w:jc w:val="center"/>
        <w:rPr>
          <w:caps/>
        </w:rPr>
      </w:pPr>
    </w:p>
    <w:p w:rsidR="00D1722F" w:rsidRPr="00D1722F" w:rsidRDefault="00D1722F" w:rsidP="00D1722F">
      <w:pPr>
        <w:jc w:val="center"/>
        <w:rPr>
          <w:caps/>
          <w:lang w:eastAsia="ja-JP"/>
        </w:rPr>
      </w:pPr>
      <w:r w:rsidRPr="00D1722F">
        <w:rPr>
          <w:caps/>
        </w:rPr>
        <w:t>Excluding varieties of common knowledge from the second growing cycle when COYD is used</w:t>
      </w:r>
    </w:p>
    <w:p w:rsidR="00D1722F" w:rsidRPr="00D1722F" w:rsidRDefault="00D1722F" w:rsidP="00D1722F">
      <w:pPr>
        <w:rPr>
          <w:lang w:eastAsia="ja-JP"/>
        </w:rPr>
      </w:pPr>
    </w:p>
    <w:p w:rsidR="00D1722F" w:rsidRPr="00D1722F" w:rsidRDefault="00D1722F" w:rsidP="00D1722F">
      <w:pPr>
        <w:rPr>
          <w:lang w:eastAsia="ja-JP"/>
        </w:rPr>
      </w:pPr>
    </w:p>
    <w:p w:rsidR="00D1722F" w:rsidRPr="00D1722F" w:rsidRDefault="00D1722F" w:rsidP="00D1722F">
      <w:pPr>
        <w:rPr>
          <w:caps/>
          <w:lang w:eastAsia="ja-JP"/>
        </w:rPr>
      </w:pPr>
      <w:r w:rsidRPr="00D1722F">
        <w:rPr>
          <w:caps/>
          <w:lang w:eastAsia="ja-JP"/>
        </w:rPr>
        <w:t>Introduction</w:t>
      </w:r>
    </w:p>
    <w:p w:rsidR="00D1722F" w:rsidRPr="00D1722F" w:rsidRDefault="00D1722F" w:rsidP="00D1722F">
      <w:pPr>
        <w:rPr>
          <w:lang w:eastAsia="ja-JP"/>
        </w:rPr>
      </w:pPr>
    </w:p>
    <w:p w:rsidR="00D1722F" w:rsidRPr="00D1722F" w:rsidRDefault="00D1722F" w:rsidP="00D1722F">
      <w:pPr>
        <w:rPr>
          <w:lang w:eastAsia="ja-JP"/>
        </w:rPr>
      </w:pPr>
      <w:r w:rsidRPr="00D1722F">
        <w:rPr>
          <w:lang w:eastAsia="ja-JP"/>
        </w:rPr>
        <w:t>1.</w:t>
      </w:r>
      <w:r w:rsidRPr="00D1722F">
        <w:rPr>
          <w:lang w:eastAsia="ja-JP"/>
        </w:rPr>
        <w:tab/>
        <w:t>When DUS tests are carried out over two or three independent growing cycles, results may be reviewed after the first cycle of testing in order to exclude varieties of common knowledge that are clearly distinct from the candidates (see document TGP/9 “Examining Distinctness”).  When COYD is used to assess distinctness for a characteristic, it may be difficult to do this effectively based on experience and no formal mechanism has yet been described to inform such early decisions on distinctness.</w:t>
      </w:r>
    </w:p>
    <w:p w:rsidR="00D1722F" w:rsidRPr="00D1722F" w:rsidRDefault="00D1722F" w:rsidP="00D1722F">
      <w:pPr>
        <w:rPr>
          <w:lang w:eastAsia="ja-JP"/>
        </w:rPr>
      </w:pPr>
    </w:p>
    <w:p w:rsidR="00D1722F" w:rsidRPr="00D1722F" w:rsidRDefault="00D1722F" w:rsidP="00D1722F">
      <w:pPr>
        <w:rPr>
          <w:lang w:eastAsia="ja-JP"/>
        </w:rPr>
      </w:pPr>
      <w:r w:rsidRPr="00D1722F">
        <w:t>2.</w:t>
      </w:r>
      <w:r w:rsidRPr="00D1722F">
        <w:rPr>
          <w:rFonts w:hint="eastAsia"/>
          <w:lang w:eastAsia="ja-JP"/>
        </w:rPr>
        <w:tab/>
      </w:r>
      <w:r w:rsidRPr="00D1722F">
        <w:rPr>
          <w:lang w:eastAsia="ja-JP"/>
        </w:rPr>
        <w:t xml:space="preserve">In document TWC/33/20 Rev., an approach was proposed.  This method was improved over previous versions by relaxation of the assumption that variety-by-cycle variation is constant from cycle to cycle. It allows for the often-seen material variation in the COYD criterion from cycle to cycle. </w:t>
      </w:r>
    </w:p>
    <w:p w:rsidR="00D1722F" w:rsidRPr="00D1722F" w:rsidRDefault="00D1722F" w:rsidP="00D1722F">
      <w:pPr>
        <w:rPr>
          <w:lang w:eastAsia="ja-JP"/>
        </w:rPr>
      </w:pPr>
    </w:p>
    <w:p w:rsidR="00D1722F" w:rsidRPr="00D1722F" w:rsidRDefault="00D1722F" w:rsidP="00D1722F">
      <w:pPr>
        <w:rPr>
          <w:lang w:eastAsia="ja-JP"/>
        </w:rPr>
      </w:pPr>
      <w:r w:rsidRPr="00D1722F">
        <w:t>3.</w:t>
      </w:r>
      <w:r w:rsidRPr="00D1722F">
        <w:rPr>
          <w:rFonts w:hint="eastAsia"/>
          <w:lang w:eastAsia="ja-JP"/>
        </w:rPr>
        <w:tab/>
      </w:r>
      <w:r w:rsidRPr="00D1722F">
        <w:rPr>
          <w:lang w:eastAsia="ja-JP"/>
        </w:rPr>
        <w:t>This document illustrates the application of the method to a field pea DUS data set, showing how beneficial it may be in practice.</w:t>
      </w:r>
    </w:p>
    <w:p w:rsidR="00D1722F" w:rsidRPr="00D1722F" w:rsidRDefault="00D1722F" w:rsidP="00D1722F">
      <w:pPr>
        <w:rPr>
          <w:lang w:eastAsia="ja-JP"/>
        </w:rPr>
      </w:pPr>
    </w:p>
    <w:p w:rsidR="00D1722F" w:rsidRPr="00D1722F" w:rsidRDefault="00D1722F" w:rsidP="00D1722F">
      <w:pPr>
        <w:rPr>
          <w:lang w:eastAsia="ja-JP"/>
        </w:rPr>
      </w:pPr>
    </w:p>
    <w:p w:rsidR="00D1722F" w:rsidRPr="00D1722F" w:rsidRDefault="00D1722F" w:rsidP="00D1722F">
      <w:pPr>
        <w:rPr>
          <w:caps/>
          <w:lang w:eastAsia="ja-JP"/>
        </w:rPr>
      </w:pPr>
      <w:r w:rsidRPr="00D1722F">
        <w:rPr>
          <w:caps/>
          <w:lang w:eastAsia="ja-JP"/>
        </w:rPr>
        <w:t>Overview</w:t>
      </w:r>
    </w:p>
    <w:p w:rsidR="00D1722F" w:rsidRPr="00D1722F" w:rsidRDefault="00D1722F" w:rsidP="00D1722F">
      <w:pPr>
        <w:rPr>
          <w:lang w:eastAsia="ja-JP"/>
        </w:rPr>
      </w:pPr>
    </w:p>
    <w:p w:rsidR="00D1722F" w:rsidRPr="00D1722F" w:rsidRDefault="00D1722F" w:rsidP="00D1722F">
      <w:pPr>
        <w:rPr>
          <w:lang w:eastAsia="ja-JP"/>
        </w:rPr>
      </w:pPr>
      <w:r w:rsidRPr="00D1722F">
        <w:t>4.</w:t>
      </w:r>
      <w:r w:rsidRPr="00D1722F">
        <w:rPr>
          <w:rFonts w:hint="eastAsia"/>
          <w:lang w:eastAsia="ja-JP"/>
        </w:rPr>
        <w:tab/>
      </w:r>
      <w:r w:rsidRPr="00D1722F">
        <w:rPr>
          <w:lang w:eastAsia="ja-JP"/>
        </w:rPr>
        <w:t xml:space="preserve">The aim of this approach is to identify after the first test cycle which varieties of common knowledge are so different from the candidate that they do not need to be compared in the second cycle. </w:t>
      </w:r>
    </w:p>
    <w:p w:rsidR="00D1722F" w:rsidRPr="00D1722F" w:rsidRDefault="00D1722F" w:rsidP="00D1722F">
      <w:pPr>
        <w:rPr>
          <w:lang w:eastAsia="ja-JP"/>
        </w:rPr>
      </w:pPr>
    </w:p>
    <w:p w:rsidR="00D1722F" w:rsidRPr="00D1722F" w:rsidRDefault="00D1722F" w:rsidP="00D1722F">
      <w:pPr>
        <w:rPr>
          <w:lang w:eastAsia="ja-JP"/>
        </w:rPr>
      </w:pPr>
      <w:r w:rsidRPr="00D1722F">
        <w:t>5.</w:t>
      </w:r>
      <w:r w:rsidRPr="00D1722F">
        <w:rPr>
          <w:rFonts w:hint="eastAsia"/>
          <w:lang w:eastAsia="ja-JP"/>
        </w:rPr>
        <w:tab/>
      </w:r>
      <w:r w:rsidRPr="00D1722F">
        <w:rPr>
          <w:lang w:eastAsia="ja-JP"/>
        </w:rPr>
        <w:t xml:space="preserve">To achieve this, we estimate the probability that a candidate would be distinct on the 2-cycle COYD criterion from a particular variety of common knowledge, given the results from the first growing cycle.  If the probability is suitably large, the candidate is declared distinct from that variety and does not need to be compared in the second cycle. </w:t>
      </w:r>
    </w:p>
    <w:p w:rsidR="00D1722F" w:rsidRPr="00D1722F" w:rsidRDefault="00D1722F" w:rsidP="00D1722F">
      <w:pPr>
        <w:rPr>
          <w:lang w:eastAsia="ja-JP"/>
        </w:rPr>
      </w:pPr>
    </w:p>
    <w:p w:rsidR="00D1722F" w:rsidRPr="00D1722F" w:rsidRDefault="00D1722F" w:rsidP="00D1722F">
      <w:pPr>
        <w:rPr>
          <w:lang w:eastAsia="ja-JP"/>
        </w:rPr>
      </w:pPr>
      <w:r w:rsidRPr="00D1722F">
        <w:t>6.</w:t>
      </w:r>
      <w:r w:rsidRPr="00D1722F">
        <w:rPr>
          <w:rFonts w:hint="eastAsia"/>
          <w:lang w:eastAsia="ja-JP"/>
        </w:rPr>
        <w:tab/>
      </w:r>
      <w:r w:rsidRPr="00D1722F">
        <w:rPr>
          <w:lang w:eastAsia="ja-JP"/>
        </w:rPr>
        <w:t>The method is applied characteristic by characteristic. In order to judge the variability associated with measurements in a particular characteristic we need to have historical data.  The approach might be used in combination with processes such as GAIA to arrive at a “Distinctness Plus” threshold</w:t>
      </w:r>
      <w:r w:rsidRPr="00D1722F">
        <w:rPr>
          <w:rFonts w:hint="eastAsia"/>
          <w:lang w:eastAsia="ja-JP"/>
        </w:rPr>
        <w:t xml:space="preserve"> (see </w:t>
      </w:r>
      <w:r w:rsidRPr="00D1722F">
        <w:rPr>
          <w:lang w:eastAsia="ja-JP"/>
        </w:rPr>
        <w:t>document </w:t>
      </w:r>
      <w:r w:rsidRPr="00D1722F">
        <w:rPr>
          <w:rFonts w:hint="eastAsia"/>
          <w:lang w:eastAsia="ja-JP"/>
        </w:rPr>
        <w:t xml:space="preserve">TGP/8 </w:t>
      </w:r>
      <w:r w:rsidRPr="00D1722F">
        <w:rPr>
          <w:lang w:eastAsia="ja-JP"/>
        </w:rPr>
        <w:t>“T</w:t>
      </w:r>
      <w:r w:rsidRPr="00D1722F">
        <w:rPr>
          <w:rFonts w:hint="eastAsia"/>
          <w:lang w:eastAsia="ja-JP"/>
        </w:rPr>
        <w:t>rial</w:t>
      </w:r>
      <w:r w:rsidRPr="00D1722F">
        <w:rPr>
          <w:lang w:eastAsia="ja-JP"/>
        </w:rPr>
        <w:t xml:space="preserve"> D</w:t>
      </w:r>
      <w:r w:rsidRPr="00D1722F">
        <w:rPr>
          <w:rFonts w:hint="eastAsia"/>
          <w:lang w:eastAsia="ja-JP"/>
        </w:rPr>
        <w:t>esign and</w:t>
      </w:r>
      <w:r w:rsidRPr="00D1722F">
        <w:rPr>
          <w:lang w:eastAsia="ja-JP"/>
        </w:rPr>
        <w:t xml:space="preserve"> T</w:t>
      </w:r>
      <w:r w:rsidRPr="00D1722F">
        <w:rPr>
          <w:rFonts w:hint="eastAsia"/>
          <w:lang w:eastAsia="ja-JP"/>
        </w:rPr>
        <w:t>echniques</w:t>
      </w:r>
      <w:r w:rsidRPr="00D1722F">
        <w:rPr>
          <w:lang w:eastAsia="ja-JP"/>
        </w:rPr>
        <w:t xml:space="preserve"> U</w:t>
      </w:r>
      <w:r w:rsidRPr="00D1722F">
        <w:rPr>
          <w:rFonts w:hint="eastAsia"/>
          <w:lang w:eastAsia="ja-JP"/>
        </w:rPr>
        <w:t xml:space="preserve">sed in the </w:t>
      </w:r>
      <w:r w:rsidRPr="00D1722F">
        <w:rPr>
          <w:lang w:eastAsia="ja-JP"/>
        </w:rPr>
        <w:t>E</w:t>
      </w:r>
      <w:r w:rsidRPr="00D1722F">
        <w:rPr>
          <w:rFonts w:hint="eastAsia"/>
          <w:lang w:eastAsia="ja-JP"/>
        </w:rPr>
        <w:t xml:space="preserve">xamination of </w:t>
      </w:r>
      <w:r w:rsidRPr="00D1722F">
        <w:rPr>
          <w:lang w:eastAsia="ja-JP"/>
        </w:rPr>
        <w:t>D</w:t>
      </w:r>
      <w:r w:rsidRPr="00D1722F">
        <w:rPr>
          <w:rFonts w:hint="eastAsia"/>
          <w:lang w:eastAsia="ja-JP"/>
        </w:rPr>
        <w:t>istinctness, Uniformity and Stability</w:t>
      </w:r>
      <w:r w:rsidRPr="00D1722F">
        <w:rPr>
          <w:lang w:eastAsia="ja-JP"/>
        </w:rPr>
        <w:t>”</w:t>
      </w:r>
      <w:r w:rsidRPr="00D1722F">
        <w:rPr>
          <w:rFonts w:hint="eastAsia"/>
          <w:lang w:eastAsia="ja-JP"/>
        </w:rPr>
        <w:t xml:space="preserve">, </w:t>
      </w:r>
      <w:r w:rsidRPr="00D1722F">
        <w:rPr>
          <w:lang w:eastAsia="ja-JP"/>
        </w:rPr>
        <w:t>P</w:t>
      </w:r>
      <w:r w:rsidRPr="00D1722F">
        <w:rPr>
          <w:rFonts w:hint="eastAsia"/>
          <w:lang w:eastAsia="ja-JP"/>
        </w:rPr>
        <w:t>art</w:t>
      </w:r>
      <w:r w:rsidRPr="00D1722F">
        <w:rPr>
          <w:lang w:eastAsia="ja-JP"/>
        </w:rPr>
        <w:t> II: S</w:t>
      </w:r>
      <w:r w:rsidRPr="00D1722F">
        <w:rPr>
          <w:rFonts w:hint="eastAsia"/>
          <w:lang w:eastAsia="ja-JP"/>
        </w:rPr>
        <w:t>elected</w:t>
      </w:r>
      <w:r w:rsidRPr="00D1722F">
        <w:rPr>
          <w:lang w:eastAsia="ja-JP"/>
        </w:rPr>
        <w:t xml:space="preserve"> T</w:t>
      </w:r>
      <w:r w:rsidRPr="00D1722F">
        <w:rPr>
          <w:rFonts w:hint="eastAsia"/>
          <w:lang w:eastAsia="ja-JP"/>
        </w:rPr>
        <w:t>echniques</w:t>
      </w:r>
      <w:r w:rsidRPr="00D1722F">
        <w:rPr>
          <w:lang w:eastAsia="ja-JP"/>
        </w:rPr>
        <w:t xml:space="preserve"> U</w:t>
      </w:r>
      <w:r w:rsidRPr="00D1722F">
        <w:rPr>
          <w:rFonts w:hint="eastAsia"/>
          <w:lang w:eastAsia="ja-JP"/>
        </w:rPr>
        <w:t>sed in</w:t>
      </w:r>
      <w:r w:rsidRPr="00D1722F">
        <w:rPr>
          <w:lang w:eastAsia="ja-JP"/>
        </w:rPr>
        <w:t xml:space="preserve"> DUS E</w:t>
      </w:r>
      <w:r w:rsidRPr="00D1722F">
        <w:rPr>
          <w:rFonts w:hint="eastAsia"/>
          <w:lang w:eastAsia="ja-JP"/>
        </w:rPr>
        <w:t xml:space="preserve">xamination, </w:t>
      </w:r>
      <w:r w:rsidRPr="00D1722F">
        <w:rPr>
          <w:lang w:eastAsia="ja-JP"/>
        </w:rPr>
        <w:t>1</w:t>
      </w:r>
      <w:r w:rsidRPr="00D1722F">
        <w:rPr>
          <w:rFonts w:hint="eastAsia"/>
          <w:lang w:eastAsia="ja-JP"/>
        </w:rPr>
        <w:t xml:space="preserve"> </w:t>
      </w:r>
      <w:r w:rsidRPr="00D1722F">
        <w:rPr>
          <w:lang w:eastAsia="ja-JP"/>
        </w:rPr>
        <w:t>“</w:t>
      </w:r>
      <w:r w:rsidRPr="00D1722F">
        <w:rPr>
          <w:rFonts w:hint="eastAsia"/>
          <w:lang w:eastAsia="ja-JP"/>
        </w:rPr>
        <w:t>The GAIA Methodology</w:t>
      </w:r>
      <w:r w:rsidRPr="00D1722F">
        <w:rPr>
          <w:lang w:eastAsia="ja-JP"/>
        </w:rPr>
        <w:t>”</w:t>
      </w:r>
      <w:r w:rsidRPr="00D1722F">
        <w:rPr>
          <w:rFonts w:hint="eastAsia"/>
          <w:lang w:eastAsia="ja-JP"/>
        </w:rPr>
        <w:t>)</w:t>
      </w:r>
      <w:r w:rsidRPr="00D1722F">
        <w:rPr>
          <w:lang w:eastAsia="ja-JP"/>
        </w:rPr>
        <w:t>.</w:t>
      </w:r>
    </w:p>
    <w:p w:rsidR="00D1722F" w:rsidRPr="00D1722F" w:rsidRDefault="00D1722F" w:rsidP="00D1722F">
      <w:pPr>
        <w:jc w:val="left"/>
        <w:rPr>
          <w:caps/>
          <w:lang w:eastAsia="ja-JP"/>
        </w:rPr>
      </w:pPr>
    </w:p>
    <w:p w:rsidR="00D1722F" w:rsidRPr="00D1722F" w:rsidRDefault="00D1722F" w:rsidP="00D1722F">
      <w:pPr>
        <w:jc w:val="left"/>
        <w:rPr>
          <w:caps/>
          <w:lang w:eastAsia="ja-JP"/>
        </w:rPr>
      </w:pPr>
    </w:p>
    <w:p w:rsidR="00D1722F" w:rsidRPr="00D1722F" w:rsidRDefault="00D1722F" w:rsidP="00D1722F">
      <w:pPr>
        <w:rPr>
          <w:caps/>
          <w:lang w:eastAsia="ja-JP"/>
        </w:rPr>
      </w:pPr>
      <w:r w:rsidRPr="00D1722F">
        <w:rPr>
          <w:caps/>
          <w:lang w:eastAsia="ja-JP"/>
        </w:rPr>
        <w:t>The method in brief</w:t>
      </w:r>
    </w:p>
    <w:p w:rsidR="00D1722F" w:rsidRPr="00D1722F" w:rsidRDefault="00D1722F" w:rsidP="00D1722F">
      <w:pPr>
        <w:rPr>
          <w:lang w:eastAsia="ja-JP"/>
        </w:rPr>
      </w:pPr>
    </w:p>
    <w:p w:rsidR="00D1722F" w:rsidRPr="00D1722F" w:rsidRDefault="00D1722F" w:rsidP="00D1722F">
      <w:pPr>
        <w:rPr>
          <w:lang w:eastAsia="ja-JP"/>
        </w:rPr>
      </w:pPr>
      <w:r w:rsidRPr="00D1722F">
        <w:t>7.</w:t>
      </w:r>
      <w:r w:rsidRPr="00D1722F">
        <w:rPr>
          <w:rFonts w:hint="eastAsia"/>
          <w:lang w:eastAsia="ja-JP"/>
        </w:rPr>
        <w:tab/>
      </w:r>
      <w:r w:rsidRPr="00D1722F">
        <w:rPr>
          <w:lang w:eastAsia="ja-JP"/>
        </w:rPr>
        <w:t xml:space="preserve">The method is based on calculating the probability, </w:t>
      </w:r>
      <w:proofErr w:type="spellStart"/>
      <w:r w:rsidRPr="00D1722F">
        <w:rPr>
          <w:lang w:eastAsia="ja-JP"/>
        </w:rPr>
        <w:t>pD</w:t>
      </w:r>
      <w:proofErr w:type="spellEnd"/>
      <w:r w:rsidRPr="00D1722F">
        <w:rPr>
          <w:lang w:eastAsia="ja-JP"/>
        </w:rPr>
        <w:t>, that a candidate would be distinct on the 2</w:t>
      </w:r>
      <w:r w:rsidRPr="00D1722F">
        <w:rPr>
          <w:lang w:eastAsia="ja-JP"/>
        </w:rPr>
        <w:noBreakHyphen/>
        <w:t xml:space="preserve">cycle COYD criterion based only on the first cycle’s data. If the probability is suitably large, the candidate is declared distinct from that variety and does not need to be compared in the second growing cycle.  This process can be inverted to identify thresholds for set probabilities. </w:t>
      </w:r>
    </w:p>
    <w:p w:rsidR="00D1722F" w:rsidRPr="00D1722F" w:rsidRDefault="00D1722F" w:rsidP="00D1722F">
      <w:pPr>
        <w:rPr>
          <w:lang w:eastAsia="ja-JP"/>
        </w:rPr>
      </w:pPr>
    </w:p>
    <w:p w:rsidR="00D1722F" w:rsidRPr="00D1722F" w:rsidRDefault="00D1722F" w:rsidP="00D1722F">
      <w:pPr>
        <w:rPr>
          <w:lang w:eastAsia="ja-JP"/>
        </w:rPr>
      </w:pPr>
      <w:r w:rsidRPr="00D1722F">
        <w:t>8.</w:t>
      </w:r>
      <w:r w:rsidRPr="00D1722F">
        <w:rPr>
          <w:rFonts w:hint="eastAsia"/>
          <w:lang w:eastAsia="ja-JP"/>
        </w:rPr>
        <w:tab/>
      </w:r>
      <w:r w:rsidRPr="00D1722F">
        <w:rPr>
          <w:lang w:eastAsia="ja-JP"/>
        </w:rPr>
        <w:t>As well as requiring the first cycle’s trial data, the method requires historical data from past DUS trials. At least 10 cycles of trials are needed – more is better. This is used to estimate the variety-by-cycle variance for each characteristic and, importantly, its variability (or level of heterogeneity). The variety-by-cycle variance is a fundamental component of the COYD criterion (see document TGP/8 “Trial Design and Techniques Used in the Examination of Distinctness, Uniformity and Stability”).</w:t>
      </w:r>
    </w:p>
    <w:p w:rsidR="00D1722F" w:rsidRPr="00D1722F" w:rsidRDefault="00D1722F" w:rsidP="00D1722F">
      <w:pPr>
        <w:rPr>
          <w:lang w:eastAsia="ja-JP"/>
        </w:rPr>
      </w:pPr>
    </w:p>
    <w:p w:rsidR="00D1722F" w:rsidRPr="00D1722F" w:rsidRDefault="00D1722F" w:rsidP="00D1722F">
      <w:pPr>
        <w:rPr>
          <w:lang w:eastAsia="ja-JP"/>
        </w:rPr>
      </w:pPr>
      <w:r w:rsidRPr="00D1722F">
        <w:t>9.</w:t>
      </w:r>
      <w:r w:rsidRPr="00D1722F">
        <w:rPr>
          <w:rFonts w:hint="eastAsia"/>
          <w:lang w:eastAsia="ja-JP"/>
        </w:rPr>
        <w:tab/>
      </w:r>
      <w:r w:rsidRPr="00D1722F">
        <w:rPr>
          <w:lang w:eastAsia="ja-JP"/>
        </w:rPr>
        <w:t>At the moment the method requires use of specialist statistical software to estimate the heterogeneity of the variety-by-cycle variance and the parameters of a gamma distribution.  Here GenStat was used. ASREML (perhaps in combination with R) is also capable and possibly so is SAS.</w:t>
      </w:r>
    </w:p>
    <w:p w:rsidR="00D1722F" w:rsidRPr="00D1722F" w:rsidRDefault="00D1722F" w:rsidP="00D1722F">
      <w:pPr>
        <w:rPr>
          <w:lang w:eastAsia="ja-JP"/>
        </w:rPr>
      </w:pPr>
    </w:p>
    <w:p w:rsidR="00D1722F" w:rsidRPr="00D1722F" w:rsidRDefault="00D1722F" w:rsidP="00D1722F">
      <w:pPr>
        <w:rPr>
          <w:lang w:eastAsia="ja-JP"/>
        </w:rPr>
      </w:pPr>
      <w:r w:rsidRPr="00D1722F">
        <w:t>10.</w:t>
      </w:r>
      <w:r w:rsidRPr="00D1722F">
        <w:rPr>
          <w:rFonts w:hint="eastAsia"/>
          <w:lang w:eastAsia="ja-JP"/>
        </w:rPr>
        <w:tab/>
      </w:r>
      <w:r w:rsidRPr="00D1722F">
        <w:rPr>
          <w:lang w:eastAsia="ja-JP"/>
        </w:rPr>
        <w:t>Apart from that, the method uses formula, which whilst being a little complex, should be straightforward to implement in a program. It should not be necessary to update the thresholds every year.</w:t>
      </w:r>
    </w:p>
    <w:p w:rsidR="00D1722F" w:rsidRPr="00D1722F" w:rsidRDefault="00D1722F" w:rsidP="00D1722F">
      <w:pPr>
        <w:rPr>
          <w:lang w:eastAsia="ja-JP"/>
        </w:rPr>
      </w:pPr>
    </w:p>
    <w:p w:rsidR="00D1722F" w:rsidRPr="00D1722F" w:rsidRDefault="00D1722F" w:rsidP="00D1722F">
      <w:pPr>
        <w:rPr>
          <w:lang w:eastAsia="ja-JP"/>
        </w:rPr>
      </w:pPr>
      <w:r w:rsidRPr="00D1722F">
        <w:t>11.</w:t>
      </w:r>
      <w:r w:rsidRPr="00D1722F">
        <w:rPr>
          <w:rFonts w:hint="eastAsia"/>
          <w:lang w:eastAsia="ja-JP"/>
        </w:rPr>
        <w:tab/>
      </w:r>
      <w:r w:rsidRPr="00D1722F">
        <w:rPr>
          <w:lang w:eastAsia="ja-JP"/>
        </w:rPr>
        <w:t xml:space="preserve">Further detail on the method is given in document TWC/33/20 Rev. and in a paper (Roberts A.M.I., </w:t>
      </w:r>
      <w:proofErr w:type="spellStart"/>
      <w:r w:rsidRPr="00D1722F">
        <w:rPr>
          <w:lang w:eastAsia="ja-JP"/>
        </w:rPr>
        <w:t>Nevison</w:t>
      </w:r>
      <w:proofErr w:type="spellEnd"/>
      <w:r w:rsidRPr="00D1722F">
        <w:rPr>
          <w:lang w:eastAsia="ja-JP"/>
        </w:rPr>
        <w:t xml:space="preserve"> I.M., Christie T. (in press) Prediction of variety distinctness decisions under yearly heterogeneity. Journal of Agricultural Science </w:t>
      </w:r>
      <w:proofErr w:type="spellStart"/>
      <w:r w:rsidRPr="00D1722F">
        <w:rPr>
          <w:lang w:eastAsia="ja-JP"/>
        </w:rPr>
        <w:t>doi</w:t>
      </w:r>
      <w:proofErr w:type="spellEnd"/>
      <w:r w:rsidRPr="00D1722F">
        <w:rPr>
          <w:lang w:eastAsia="ja-JP"/>
        </w:rPr>
        <w:t>: 10.1017/S0021859615001306).</w:t>
      </w:r>
    </w:p>
    <w:p w:rsidR="00D1722F" w:rsidRPr="00D1722F" w:rsidRDefault="00D1722F" w:rsidP="00D1722F">
      <w:pPr>
        <w:rPr>
          <w:lang w:eastAsia="ja-JP"/>
        </w:rPr>
      </w:pPr>
    </w:p>
    <w:p w:rsidR="00D1722F" w:rsidRPr="00D1722F" w:rsidRDefault="00D1722F" w:rsidP="00D1722F">
      <w:pPr>
        <w:rPr>
          <w:caps/>
          <w:lang w:eastAsia="ja-JP"/>
        </w:rPr>
      </w:pPr>
      <w:r w:rsidRPr="00D1722F">
        <w:rPr>
          <w:caps/>
          <w:lang w:eastAsia="ja-JP"/>
        </w:rPr>
        <w:t>An example</w:t>
      </w:r>
    </w:p>
    <w:p w:rsidR="00D1722F" w:rsidRPr="00D1722F" w:rsidRDefault="00D1722F" w:rsidP="00D1722F">
      <w:pPr>
        <w:rPr>
          <w:lang w:eastAsia="ja-JP"/>
        </w:rPr>
      </w:pPr>
    </w:p>
    <w:p w:rsidR="00D1722F" w:rsidRPr="00D1722F" w:rsidRDefault="00D1722F" w:rsidP="00D1722F">
      <w:pPr>
        <w:rPr>
          <w:lang w:eastAsia="ja-JP"/>
        </w:rPr>
      </w:pPr>
      <w:r w:rsidRPr="00D1722F">
        <w:t>12.</w:t>
      </w:r>
      <w:r w:rsidRPr="00D1722F">
        <w:rPr>
          <w:rFonts w:hint="eastAsia"/>
          <w:lang w:eastAsia="ja-JP"/>
        </w:rPr>
        <w:tab/>
      </w:r>
      <w:r w:rsidRPr="00D1722F">
        <w:rPr>
          <w:lang w:eastAsia="ja-JP"/>
        </w:rPr>
        <w:t>The proposed method is exemplified using a data set from the United Kingdom field pea distinctness trials from 1995 to 2013.  The semi-leafless group of varieties was considered.  The trials were carried out at Science and Advice for Scottish Agriculture (SASA), near Edinburgh.  Each trial had two replicates and between 139 and 290 varieties.  Thirteen quantitative characteristics were considered.  Only those varieties with six or more cycles of data have been retained for this study; this left 222 varieties.  A 2% probability level is used for COYD.</w:t>
      </w:r>
    </w:p>
    <w:p w:rsidR="00D1722F" w:rsidRPr="00D1722F" w:rsidRDefault="00D1722F" w:rsidP="00D1722F">
      <w:pPr>
        <w:rPr>
          <w:lang w:eastAsia="ja-JP"/>
        </w:rPr>
      </w:pPr>
    </w:p>
    <w:p w:rsidR="00D1722F" w:rsidRPr="00D1722F" w:rsidRDefault="00D1722F" w:rsidP="00D1722F">
      <w:pPr>
        <w:rPr>
          <w:lang w:eastAsia="ja-JP"/>
        </w:rPr>
      </w:pPr>
      <w:r w:rsidRPr="00D1722F">
        <w:t>13.</w:t>
      </w:r>
      <w:r w:rsidRPr="00D1722F">
        <w:rPr>
          <w:rFonts w:hint="eastAsia"/>
          <w:lang w:eastAsia="ja-JP"/>
        </w:rPr>
        <w:tab/>
      </w:r>
      <w:r w:rsidRPr="00D1722F">
        <w:rPr>
          <w:lang w:eastAsia="ja-JP"/>
        </w:rPr>
        <w:t>Table 1 shows the characteristics considered, along with some basic statistics to give an indication of the scales.  Note some of these are scored.  An index for heterogeneity is included.  This is based on changes in deviances between models with and without heterogeneity over cycles divided by the corresponding change in degrees of freedom: the higher the index the greater the importance of the heterogeneity.  The greatest heterogeneity was found for characteristics 5 and 28.  Note that the level of varietal heterogeneity in the variety-by-cycle variance (not shown) was much lower.</w:t>
      </w:r>
    </w:p>
    <w:p w:rsidR="00D1722F" w:rsidRPr="00D1722F" w:rsidRDefault="00D1722F" w:rsidP="00D1722F">
      <w:pPr>
        <w:rPr>
          <w:lang w:eastAsia="ja-JP"/>
        </w:rPr>
      </w:pPr>
    </w:p>
    <w:p w:rsidR="00D1722F" w:rsidRPr="00D1722F" w:rsidRDefault="00D1722F" w:rsidP="00D1722F">
      <w:pPr>
        <w:rPr>
          <w:lang w:val="en-GB" w:eastAsia="ja-JP"/>
        </w:rPr>
      </w:pPr>
      <w:r w:rsidRPr="00D1722F">
        <w:t>14.</w:t>
      </w:r>
      <w:r w:rsidRPr="00D1722F">
        <w:rPr>
          <w:rFonts w:hint="eastAsia"/>
          <w:lang w:eastAsia="ja-JP"/>
        </w:rPr>
        <w:tab/>
      </w:r>
      <w:r w:rsidRPr="00D1722F">
        <w:rPr>
          <w:lang w:eastAsia="ja-JP"/>
        </w:rPr>
        <w:t xml:space="preserve">Table 2 shows the first cycle thresholds calculated for each characteristic based on setting distinctness probabilities </w:t>
      </w:r>
      <w:proofErr w:type="spellStart"/>
      <w:r w:rsidRPr="00D1722F">
        <w:rPr>
          <w:lang w:eastAsia="ja-JP"/>
        </w:rPr>
        <w:t>pD</w:t>
      </w:r>
      <w:proofErr w:type="spellEnd"/>
      <w:r w:rsidRPr="00D1722F">
        <w:rPr>
          <w:lang w:eastAsia="ja-JP"/>
        </w:rPr>
        <w:t xml:space="preserve"> at 90%, 95% and 99%.  These are compared with an average COYD criterion for the two-cycle test (based on long-term data and equal to the long-term LSD).  They are also compared to the tolerances based on experience that are currently used in the </w:t>
      </w:r>
      <w:r w:rsidRPr="00D1722F">
        <w:rPr>
          <w:rFonts w:hint="eastAsia"/>
          <w:lang w:eastAsia="ja-JP"/>
        </w:rPr>
        <w:t>United Kingdom</w:t>
      </w:r>
      <w:r w:rsidRPr="00D1722F">
        <w:rPr>
          <w:lang w:eastAsia="ja-JP"/>
        </w:rPr>
        <w:t xml:space="preserve"> to exclude varieties of common knowledge after the first cycle. </w:t>
      </w:r>
    </w:p>
    <w:p w:rsidR="00D1722F" w:rsidRPr="00D1722F" w:rsidRDefault="00D1722F" w:rsidP="00D1722F">
      <w:pPr>
        <w:rPr>
          <w:lang w:eastAsia="ja-JP"/>
        </w:rPr>
      </w:pPr>
    </w:p>
    <w:p w:rsidR="00D1722F" w:rsidRPr="00D1722F" w:rsidRDefault="00D1722F" w:rsidP="00D1722F">
      <w:pPr>
        <w:rPr>
          <w:lang w:eastAsia="ja-JP"/>
        </w:rPr>
      </w:pPr>
    </w:p>
    <w:p w:rsidR="00D1722F" w:rsidRPr="00D1722F" w:rsidRDefault="00D1722F" w:rsidP="00D1722F">
      <w:pPr>
        <w:rPr>
          <w:lang w:val="en-GB"/>
        </w:rPr>
      </w:pPr>
      <w:r w:rsidRPr="00D1722F">
        <w:rPr>
          <w:lang w:val="en-GB"/>
        </w:rPr>
        <w:t xml:space="preserve">Table 1. Characteristics considered in example data set with statistics </w:t>
      </w:r>
    </w:p>
    <w:p w:rsidR="00D1722F" w:rsidRPr="00D1722F" w:rsidRDefault="00D1722F" w:rsidP="00D1722F">
      <w:pPr>
        <w:rPr>
          <w:i/>
          <w:lang w:val="en-GB"/>
        </w:rPr>
      </w:pPr>
    </w:p>
    <w:tbl>
      <w:tblPr>
        <w:tblStyle w:val="TableGrid"/>
        <w:tblW w:w="965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910"/>
        <w:gridCol w:w="1110"/>
        <w:gridCol w:w="1220"/>
        <w:gridCol w:w="1355"/>
        <w:gridCol w:w="1437"/>
      </w:tblGrid>
      <w:tr w:rsidR="00D1722F" w:rsidRPr="00D1722F" w:rsidTr="00D1722F">
        <w:tc>
          <w:tcPr>
            <w:tcW w:w="3618" w:type="dxa"/>
            <w:tcBorders>
              <w:top w:val="single" w:sz="4" w:space="0" w:color="auto"/>
              <w:bottom w:val="single" w:sz="4" w:space="0" w:color="auto"/>
            </w:tcBorders>
          </w:tcPr>
          <w:p w:rsidR="00D1722F" w:rsidRPr="00D1722F" w:rsidRDefault="00D1722F" w:rsidP="00D1722F">
            <w:pPr>
              <w:rPr>
                <w:lang w:val="en-GB"/>
              </w:rPr>
            </w:pPr>
            <w:r w:rsidRPr="00D1722F">
              <w:rPr>
                <w:lang w:val="en-GB"/>
              </w:rPr>
              <w:t>Characteristic (UPOV number)</w:t>
            </w:r>
          </w:p>
        </w:tc>
        <w:tc>
          <w:tcPr>
            <w:tcW w:w="910" w:type="dxa"/>
            <w:tcBorders>
              <w:top w:val="single" w:sz="4" w:space="0" w:color="auto"/>
              <w:bottom w:val="single" w:sz="4" w:space="0" w:color="auto"/>
            </w:tcBorders>
          </w:tcPr>
          <w:p w:rsidR="00D1722F" w:rsidRPr="00D1722F" w:rsidRDefault="00D1722F" w:rsidP="00D1722F">
            <w:pPr>
              <w:jc w:val="center"/>
              <w:rPr>
                <w:lang w:val="en-GB"/>
              </w:rPr>
            </w:pPr>
            <w:r w:rsidRPr="00D1722F">
              <w:rPr>
                <w:lang w:val="en-GB"/>
              </w:rPr>
              <w:t>Mean</w:t>
            </w:r>
          </w:p>
        </w:tc>
        <w:tc>
          <w:tcPr>
            <w:tcW w:w="1110" w:type="dxa"/>
            <w:tcBorders>
              <w:top w:val="single" w:sz="4" w:space="0" w:color="auto"/>
              <w:bottom w:val="single" w:sz="4" w:space="0" w:color="auto"/>
            </w:tcBorders>
          </w:tcPr>
          <w:p w:rsidR="00D1722F" w:rsidRPr="00D1722F" w:rsidRDefault="00D1722F" w:rsidP="00D1722F">
            <w:pPr>
              <w:jc w:val="center"/>
              <w:rPr>
                <w:lang w:val="en-GB"/>
              </w:rPr>
            </w:pPr>
            <w:r w:rsidRPr="00D1722F">
              <w:rPr>
                <w:lang w:val="en-GB"/>
              </w:rPr>
              <w:t>Standard deviation</w:t>
            </w:r>
          </w:p>
        </w:tc>
        <w:tc>
          <w:tcPr>
            <w:tcW w:w="1220" w:type="dxa"/>
            <w:tcBorders>
              <w:top w:val="single" w:sz="4" w:space="0" w:color="auto"/>
              <w:bottom w:val="single" w:sz="4" w:space="0" w:color="auto"/>
            </w:tcBorders>
          </w:tcPr>
          <w:p w:rsidR="00D1722F" w:rsidRPr="00D1722F" w:rsidRDefault="00D1722F" w:rsidP="00D1722F">
            <w:pPr>
              <w:jc w:val="center"/>
              <w:rPr>
                <w:lang w:val="en-GB"/>
              </w:rPr>
            </w:pPr>
            <w:r w:rsidRPr="00D1722F">
              <w:rPr>
                <w:lang w:val="en-GB"/>
              </w:rPr>
              <w:t>Minimum</w:t>
            </w:r>
          </w:p>
        </w:tc>
        <w:tc>
          <w:tcPr>
            <w:tcW w:w="1355" w:type="dxa"/>
            <w:tcBorders>
              <w:top w:val="single" w:sz="4" w:space="0" w:color="auto"/>
              <w:bottom w:val="single" w:sz="4" w:space="0" w:color="auto"/>
            </w:tcBorders>
          </w:tcPr>
          <w:p w:rsidR="00D1722F" w:rsidRPr="00D1722F" w:rsidRDefault="00D1722F" w:rsidP="00D1722F">
            <w:pPr>
              <w:jc w:val="center"/>
              <w:rPr>
                <w:lang w:val="en-GB"/>
              </w:rPr>
            </w:pPr>
            <w:r w:rsidRPr="00D1722F">
              <w:rPr>
                <w:lang w:val="en-GB"/>
              </w:rPr>
              <w:t>Maximum</w:t>
            </w:r>
          </w:p>
        </w:tc>
        <w:tc>
          <w:tcPr>
            <w:tcW w:w="1437" w:type="dxa"/>
            <w:tcBorders>
              <w:top w:val="single" w:sz="4" w:space="0" w:color="auto"/>
              <w:bottom w:val="single" w:sz="4" w:space="0" w:color="auto"/>
            </w:tcBorders>
          </w:tcPr>
          <w:p w:rsidR="00D1722F" w:rsidRPr="00D1722F" w:rsidRDefault="00D1722F" w:rsidP="00D1722F">
            <w:pPr>
              <w:jc w:val="center"/>
              <w:rPr>
                <w:lang w:val="en-GB"/>
              </w:rPr>
            </w:pPr>
            <w:r w:rsidRPr="00D1722F">
              <w:rPr>
                <w:lang w:val="en-GB"/>
              </w:rPr>
              <w:t>Over-cycle heterogeneity index</w:t>
            </w:r>
          </w:p>
        </w:tc>
      </w:tr>
      <w:tr w:rsidR="00D1722F" w:rsidRPr="00D1722F" w:rsidTr="00D1722F">
        <w:tc>
          <w:tcPr>
            <w:tcW w:w="3618" w:type="dxa"/>
            <w:tcBorders>
              <w:top w:val="single" w:sz="4" w:space="0" w:color="auto"/>
              <w:bottom w:val="nil"/>
            </w:tcBorders>
          </w:tcPr>
          <w:p w:rsidR="00D1722F" w:rsidRPr="00D1722F" w:rsidRDefault="00D1722F" w:rsidP="00D1722F">
            <w:pPr>
              <w:rPr>
                <w:lang w:val="en-GB"/>
              </w:rPr>
            </w:pPr>
            <w:r w:rsidRPr="00D1722F">
              <w:rPr>
                <w:lang w:val="en-GB"/>
              </w:rPr>
              <w:t>(5) Stem: number of nodes up to and including first fertile node</w:t>
            </w:r>
          </w:p>
        </w:tc>
        <w:tc>
          <w:tcPr>
            <w:tcW w:w="910" w:type="dxa"/>
            <w:tcBorders>
              <w:top w:val="single" w:sz="4" w:space="0" w:color="auto"/>
              <w:bottom w:val="nil"/>
            </w:tcBorders>
          </w:tcPr>
          <w:p w:rsidR="00D1722F" w:rsidRPr="00D1722F" w:rsidRDefault="00D1722F" w:rsidP="00D1722F">
            <w:pPr>
              <w:tabs>
                <w:tab w:val="decimal" w:pos="423"/>
              </w:tabs>
              <w:jc w:val="left"/>
              <w:rPr>
                <w:lang w:val="en-GB"/>
              </w:rPr>
            </w:pPr>
            <w:r w:rsidRPr="00D1722F">
              <w:rPr>
                <w:lang w:val="en-GB"/>
              </w:rPr>
              <w:t>16.0</w:t>
            </w:r>
          </w:p>
        </w:tc>
        <w:tc>
          <w:tcPr>
            <w:tcW w:w="1110" w:type="dxa"/>
            <w:tcBorders>
              <w:top w:val="single" w:sz="4" w:space="0" w:color="auto"/>
              <w:bottom w:val="nil"/>
            </w:tcBorders>
          </w:tcPr>
          <w:p w:rsidR="00D1722F" w:rsidRPr="00D1722F" w:rsidRDefault="00D1722F" w:rsidP="00D1722F">
            <w:pPr>
              <w:tabs>
                <w:tab w:val="decimal" w:pos="423"/>
              </w:tabs>
              <w:jc w:val="left"/>
              <w:rPr>
                <w:lang w:val="en-GB"/>
              </w:rPr>
            </w:pPr>
            <w:r w:rsidRPr="00D1722F">
              <w:rPr>
                <w:lang w:val="en-GB"/>
              </w:rPr>
              <w:t>1.59</w:t>
            </w:r>
          </w:p>
        </w:tc>
        <w:tc>
          <w:tcPr>
            <w:tcW w:w="1220" w:type="dxa"/>
            <w:tcBorders>
              <w:top w:val="single" w:sz="4" w:space="0" w:color="auto"/>
              <w:bottom w:val="nil"/>
            </w:tcBorders>
          </w:tcPr>
          <w:p w:rsidR="00D1722F" w:rsidRPr="00D1722F" w:rsidRDefault="00D1722F" w:rsidP="00D1722F">
            <w:pPr>
              <w:tabs>
                <w:tab w:val="decimal" w:pos="423"/>
              </w:tabs>
              <w:jc w:val="left"/>
              <w:rPr>
                <w:lang w:val="en-GB"/>
              </w:rPr>
            </w:pPr>
            <w:r w:rsidRPr="00D1722F">
              <w:rPr>
                <w:lang w:val="en-GB"/>
              </w:rPr>
              <w:t>9.6</w:t>
            </w:r>
          </w:p>
        </w:tc>
        <w:tc>
          <w:tcPr>
            <w:tcW w:w="1355" w:type="dxa"/>
            <w:tcBorders>
              <w:top w:val="single" w:sz="4" w:space="0" w:color="auto"/>
              <w:bottom w:val="nil"/>
            </w:tcBorders>
          </w:tcPr>
          <w:p w:rsidR="00D1722F" w:rsidRPr="00D1722F" w:rsidRDefault="00D1722F" w:rsidP="00D1722F">
            <w:pPr>
              <w:tabs>
                <w:tab w:val="decimal" w:pos="593"/>
              </w:tabs>
              <w:jc w:val="left"/>
              <w:rPr>
                <w:lang w:val="en-GB"/>
              </w:rPr>
            </w:pPr>
            <w:r w:rsidRPr="00D1722F">
              <w:rPr>
                <w:lang w:val="en-GB"/>
              </w:rPr>
              <w:t>20.9</w:t>
            </w:r>
          </w:p>
        </w:tc>
        <w:tc>
          <w:tcPr>
            <w:tcW w:w="1437" w:type="dxa"/>
            <w:tcBorders>
              <w:top w:val="single" w:sz="4" w:space="0" w:color="auto"/>
              <w:bottom w:val="nil"/>
            </w:tcBorders>
          </w:tcPr>
          <w:p w:rsidR="00D1722F" w:rsidRPr="00D1722F" w:rsidRDefault="00D1722F" w:rsidP="00D1722F">
            <w:pPr>
              <w:widowControl w:val="0"/>
              <w:tabs>
                <w:tab w:val="decimal" w:pos="593"/>
              </w:tabs>
              <w:jc w:val="left"/>
              <w:rPr>
                <w:szCs w:val="24"/>
              </w:rPr>
            </w:pPr>
            <w:r w:rsidRPr="00D1722F">
              <w:rPr>
                <w:szCs w:val="24"/>
              </w:rPr>
              <w:t>13.0</w:t>
            </w:r>
          </w:p>
        </w:tc>
      </w:tr>
      <w:tr w:rsidR="00D1722F" w:rsidRPr="00D1722F" w:rsidTr="00D1722F">
        <w:tc>
          <w:tcPr>
            <w:tcW w:w="3618" w:type="dxa"/>
            <w:tcBorders>
              <w:top w:val="nil"/>
            </w:tcBorders>
          </w:tcPr>
          <w:p w:rsidR="00D1722F" w:rsidRPr="00D1722F" w:rsidRDefault="00D1722F" w:rsidP="00D1722F">
            <w:pPr>
              <w:rPr>
                <w:lang w:val="en-GB"/>
              </w:rPr>
            </w:pPr>
            <w:r w:rsidRPr="00D1722F">
              <w:rPr>
                <w:lang w:val="en-GB"/>
              </w:rPr>
              <w:t>(15) Stipule: length (mm)</w:t>
            </w:r>
          </w:p>
        </w:tc>
        <w:tc>
          <w:tcPr>
            <w:tcW w:w="910" w:type="dxa"/>
            <w:tcBorders>
              <w:top w:val="nil"/>
            </w:tcBorders>
          </w:tcPr>
          <w:p w:rsidR="00D1722F" w:rsidRPr="00D1722F" w:rsidRDefault="00D1722F" w:rsidP="00D1722F">
            <w:pPr>
              <w:tabs>
                <w:tab w:val="decimal" w:pos="423"/>
              </w:tabs>
              <w:jc w:val="left"/>
              <w:rPr>
                <w:lang w:val="en-GB"/>
              </w:rPr>
            </w:pPr>
            <w:r w:rsidRPr="00D1722F">
              <w:rPr>
                <w:lang w:val="en-GB"/>
              </w:rPr>
              <w:t>82.3</w:t>
            </w:r>
          </w:p>
        </w:tc>
        <w:tc>
          <w:tcPr>
            <w:tcW w:w="1110" w:type="dxa"/>
            <w:tcBorders>
              <w:top w:val="nil"/>
            </w:tcBorders>
          </w:tcPr>
          <w:p w:rsidR="00D1722F" w:rsidRPr="00D1722F" w:rsidRDefault="00D1722F" w:rsidP="00D1722F">
            <w:pPr>
              <w:tabs>
                <w:tab w:val="decimal" w:pos="423"/>
              </w:tabs>
              <w:jc w:val="left"/>
              <w:rPr>
                <w:lang w:val="en-GB"/>
              </w:rPr>
            </w:pPr>
            <w:r w:rsidRPr="00D1722F">
              <w:rPr>
                <w:lang w:val="en-GB"/>
              </w:rPr>
              <w:t>13.48</w:t>
            </w:r>
          </w:p>
        </w:tc>
        <w:tc>
          <w:tcPr>
            <w:tcW w:w="1220" w:type="dxa"/>
            <w:tcBorders>
              <w:top w:val="nil"/>
            </w:tcBorders>
          </w:tcPr>
          <w:p w:rsidR="00D1722F" w:rsidRPr="00D1722F" w:rsidRDefault="00D1722F" w:rsidP="00D1722F">
            <w:pPr>
              <w:tabs>
                <w:tab w:val="decimal" w:pos="423"/>
              </w:tabs>
              <w:jc w:val="left"/>
              <w:rPr>
                <w:lang w:val="en-GB"/>
              </w:rPr>
            </w:pPr>
            <w:r w:rsidRPr="00D1722F">
              <w:rPr>
                <w:lang w:val="en-GB"/>
              </w:rPr>
              <w:t>47.2</w:t>
            </w:r>
          </w:p>
        </w:tc>
        <w:tc>
          <w:tcPr>
            <w:tcW w:w="1355" w:type="dxa"/>
            <w:tcBorders>
              <w:top w:val="nil"/>
            </w:tcBorders>
          </w:tcPr>
          <w:p w:rsidR="00D1722F" w:rsidRPr="00D1722F" w:rsidRDefault="00D1722F" w:rsidP="00D1722F">
            <w:pPr>
              <w:tabs>
                <w:tab w:val="decimal" w:pos="593"/>
              </w:tabs>
              <w:jc w:val="left"/>
              <w:rPr>
                <w:lang w:val="en-GB"/>
              </w:rPr>
            </w:pPr>
            <w:r w:rsidRPr="00D1722F">
              <w:rPr>
                <w:lang w:val="en-GB"/>
              </w:rPr>
              <w:t>121.5</w:t>
            </w:r>
          </w:p>
        </w:tc>
        <w:tc>
          <w:tcPr>
            <w:tcW w:w="1437" w:type="dxa"/>
            <w:tcBorders>
              <w:top w:val="nil"/>
            </w:tcBorders>
          </w:tcPr>
          <w:p w:rsidR="00D1722F" w:rsidRPr="00D1722F" w:rsidRDefault="00D1722F" w:rsidP="00D1722F">
            <w:pPr>
              <w:widowControl w:val="0"/>
              <w:tabs>
                <w:tab w:val="decimal" w:pos="593"/>
              </w:tabs>
              <w:jc w:val="left"/>
              <w:rPr>
                <w:szCs w:val="24"/>
              </w:rPr>
            </w:pPr>
            <w:r w:rsidRPr="00D1722F">
              <w:rPr>
                <w:szCs w:val="24"/>
              </w:rPr>
              <w:t>4.4</w:t>
            </w:r>
          </w:p>
        </w:tc>
      </w:tr>
      <w:tr w:rsidR="00D1722F" w:rsidRPr="00D1722F" w:rsidTr="00D1722F">
        <w:tc>
          <w:tcPr>
            <w:tcW w:w="3618" w:type="dxa"/>
            <w:tcBorders>
              <w:top w:val="nil"/>
            </w:tcBorders>
          </w:tcPr>
          <w:p w:rsidR="00D1722F" w:rsidRPr="00D1722F" w:rsidRDefault="00D1722F" w:rsidP="00D1722F">
            <w:pPr>
              <w:rPr>
                <w:lang w:val="en-GB"/>
              </w:rPr>
            </w:pPr>
            <w:r w:rsidRPr="00D1722F">
              <w:rPr>
                <w:lang w:val="en-GB"/>
              </w:rPr>
              <w:t>(16) Stipule: width (mm)</w:t>
            </w:r>
          </w:p>
        </w:tc>
        <w:tc>
          <w:tcPr>
            <w:tcW w:w="910" w:type="dxa"/>
            <w:tcBorders>
              <w:top w:val="nil"/>
            </w:tcBorders>
          </w:tcPr>
          <w:p w:rsidR="00D1722F" w:rsidRPr="00D1722F" w:rsidRDefault="00D1722F" w:rsidP="00D1722F">
            <w:pPr>
              <w:tabs>
                <w:tab w:val="decimal" w:pos="423"/>
              </w:tabs>
              <w:jc w:val="left"/>
              <w:rPr>
                <w:lang w:val="en-GB"/>
              </w:rPr>
            </w:pPr>
            <w:r w:rsidRPr="00D1722F">
              <w:rPr>
                <w:lang w:val="en-GB"/>
              </w:rPr>
              <w:t>46.3</w:t>
            </w:r>
          </w:p>
        </w:tc>
        <w:tc>
          <w:tcPr>
            <w:tcW w:w="1110" w:type="dxa"/>
            <w:tcBorders>
              <w:top w:val="nil"/>
            </w:tcBorders>
          </w:tcPr>
          <w:p w:rsidR="00D1722F" w:rsidRPr="00D1722F" w:rsidRDefault="00D1722F" w:rsidP="00D1722F">
            <w:pPr>
              <w:tabs>
                <w:tab w:val="decimal" w:pos="423"/>
              </w:tabs>
              <w:jc w:val="left"/>
              <w:rPr>
                <w:lang w:val="en-GB"/>
              </w:rPr>
            </w:pPr>
            <w:r w:rsidRPr="00D1722F">
              <w:rPr>
                <w:lang w:val="en-GB"/>
              </w:rPr>
              <w:t>8.80</w:t>
            </w:r>
          </w:p>
        </w:tc>
        <w:tc>
          <w:tcPr>
            <w:tcW w:w="1220" w:type="dxa"/>
            <w:tcBorders>
              <w:top w:val="nil"/>
            </w:tcBorders>
          </w:tcPr>
          <w:p w:rsidR="00D1722F" w:rsidRPr="00D1722F" w:rsidRDefault="00D1722F" w:rsidP="00D1722F">
            <w:pPr>
              <w:tabs>
                <w:tab w:val="decimal" w:pos="423"/>
              </w:tabs>
              <w:jc w:val="left"/>
              <w:rPr>
                <w:lang w:val="en-GB"/>
              </w:rPr>
            </w:pPr>
            <w:r w:rsidRPr="00D1722F">
              <w:rPr>
                <w:lang w:val="en-GB"/>
              </w:rPr>
              <w:t>23.7</w:t>
            </w:r>
          </w:p>
        </w:tc>
        <w:tc>
          <w:tcPr>
            <w:tcW w:w="1355" w:type="dxa"/>
            <w:tcBorders>
              <w:top w:val="nil"/>
            </w:tcBorders>
          </w:tcPr>
          <w:p w:rsidR="00D1722F" w:rsidRPr="00D1722F" w:rsidRDefault="00D1722F" w:rsidP="00D1722F">
            <w:pPr>
              <w:tabs>
                <w:tab w:val="decimal" w:pos="593"/>
              </w:tabs>
              <w:jc w:val="left"/>
              <w:rPr>
                <w:lang w:val="en-GB"/>
              </w:rPr>
            </w:pPr>
            <w:r w:rsidRPr="00D1722F">
              <w:rPr>
                <w:lang w:val="en-GB"/>
              </w:rPr>
              <w:t>79.0</w:t>
            </w:r>
          </w:p>
        </w:tc>
        <w:tc>
          <w:tcPr>
            <w:tcW w:w="1437" w:type="dxa"/>
            <w:tcBorders>
              <w:top w:val="nil"/>
            </w:tcBorders>
          </w:tcPr>
          <w:p w:rsidR="00D1722F" w:rsidRPr="00D1722F" w:rsidRDefault="00D1722F" w:rsidP="00D1722F">
            <w:pPr>
              <w:widowControl w:val="0"/>
              <w:tabs>
                <w:tab w:val="decimal" w:pos="593"/>
              </w:tabs>
              <w:jc w:val="left"/>
              <w:rPr>
                <w:szCs w:val="24"/>
              </w:rPr>
            </w:pPr>
            <w:r w:rsidRPr="00D1722F">
              <w:rPr>
                <w:szCs w:val="24"/>
              </w:rPr>
              <w:t>4.1</w:t>
            </w:r>
          </w:p>
        </w:tc>
      </w:tr>
      <w:tr w:rsidR="00D1722F" w:rsidRPr="00D1722F" w:rsidTr="00D1722F">
        <w:tc>
          <w:tcPr>
            <w:tcW w:w="3618" w:type="dxa"/>
            <w:tcBorders>
              <w:top w:val="nil"/>
            </w:tcBorders>
          </w:tcPr>
          <w:p w:rsidR="00D1722F" w:rsidRPr="00D1722F" w:rsidRDefault="00D1722F" w:rsidP="00D1722F">
            <w:pPr>
              <w:rPr>
                <w:lang w:val="en-GB"/>
              </w:rPr>
            </w:pPr>
            <w:r w:rsidRPr="00D1722F">
              <w:rPr>
                <w:lang w:val="en-GB"/>
              </w:rPr>
              <w:t>(21)</w:t>
            </w:r>
            <w:r w:rsidRPr="00D1722F">
              <w:rPr>
                <w:vertAlign w:val="superscript"/>
                <w:lang w:val="en-GB"/>
              </w:rPr>
              <w:t>*</w:t>
            </w:r>
            <w:r w:rsidRPr="00D1722F">
              <w:rPr>
                <w:lang w:val="en-GB"/>
              </w:rPr>
              <w:t xml:space="preserve"> Stipule: density of flecking (1-9)</w:t>
            </w:r>
          </w:p>
        </w:tc>
        <w:tc>
          <w:tcPr>
            <w:tcW w:w="910" w:type="dxa"/>
            <w:tcBorders>
              <w:top w:val="nil"/>
            </w:tcBorders>
          </w:tcPr>
          <w:p w:rsidR="00D1722F" w:rsidRPr="00D1722F" w:rsidRDefault="00D1722F" w:rsidP="00D1722F">
            <w:pPr>
              <w:tabs>
                <w:tab w:val="decimal" w:pos="423"/>
              </w:tabs>
              <w:jc w:val="left"/>
              <w:rPr>
                <w:lang w:val="en-GB"/>
              </w:rPr>
            </w:pPr>
            <w:r w:rsidRPr="00D1722F">
              <w:rPr>
                <w:lang w:val="en-GB"/>
              </w:rPr>
              <w:t>5.3</w:t>
            </w:r>
          </w:p>
        </w:tc>
        <w:tc>
          <w:tcPr>
            <w:tcW w:w="1110" w:type="dxa"/>
            <w:tcBorders>
              <w:top w:val="nil"/>
            </w:tcBorders>
          </w:tcPr>
          <w:p w:rsidR="00D1722F" w:rsidRPr="00D1722F" w:rsidRDefault="00D1722F" w:rsidP="00D1722F">
            <w:pPr>
              <w:tabs>
                <w:tab w:val="decimal" w:pos="423"/>
              </w:tabs>
              <w:jc w:val="left"/>
              <w:rPr>
                <w:lang w:val="en-GB"/>
              </w:rPr>
            </w:pPr>
            <w:r w:rsidRPr="00D1722F">
              <w:rPr>
                <w:lang w:val="en-GB"/>
              </w:rPr>
              <w:t>0.90</w:t>
            </w:r>
          </w:p>
        </w:tc>
        <w:tc>
          <w:tcPr>
            <w:tcW w:w="1220" w:type="dxa"/>
            <w:tcBorders>
              <w:top w:val="nil"/>
            </w:tcBorders>
          </w:tcPr>
          <w:p w:rsidR="00D1722F" w:rsidRPr="00D1722F" w:rsidRDefault="00D1722F" w:rsidP="00D1722F">
            <w:pPr>
              <w:tabs>
                <w:tab w:val="decimal" w:pos="423"/>
              </w:tabs>
              <w:jc w:val="left"/>
              <w:rPr>
                <w:caps/>
                <w:kern w:val="28"/>
                <w:sz w:val="30"/>
                <w:lang w:val="en-GB"/>
              </w:rPr>
            </w:pPr>
            <w:r w:rsidRPr="00D1722F">
              <w:rPr>
                <w:lang w:val="en-GB"/>
              </w:rPr>
              <w:t>2.5</w:t>
            </w:r>
          </w:p>
        </w:tc>
        <w:tc>
          <w:tcPr>
            <w:tcW w:w="1355" w:type="dxa"/>
            <w:tcBorders>
              <w:top w:val="nil"/>
            </w:tcBorders>
          </w:tcPr>
          <w:p w:rsidR="00D1722F" w:rsidRPr="00D1722F" w:rsidRDefault="00D1722F" w:rsidP="00D1722F">
            <w:pPr>
              <w:tabs>
                <w:tab w:val="decimal" w:pos="593"/>
              </w:tabs>
              <w:jc w:val="left"/>
              <w:rPr>
                <w:caps/>
                <w:kern w:val="28"/>
                <w:sz w:val="30"/>
                <w:lang w:val="en-GB"/>
              </w:rPr>
            </w:pPr>
            <w:r w:rsidRPr="00D1722F">
              <w:rPr>
                <w:lang w:val="en-GB"/>
              </w:rPr>
              <w:t>8.0</w:t>
            </w:r>
          </w:p>
        </w:tc>
        <w:tc>
          <w:tcPr>
            <w:tcW w:w="1437" w:type="dxa"/>
            <w:tcBorders>
              <w:top w:val="nil"/>
            </w:tcBorders>
          </w:tcPr>
          <w:p w:rsidR="00D1722F" w:rsidRPr="00D1722F" w:rsidRDefault="00D1722F" w:rsidP="00D1722F">
            <w:pPr>
              <w:widowControl w:val="0"/>
              <w:tabs>
                <w:tab w:val="decimal" w:pos="593"/>
              </w:tabs>
              <w:jc w:val="left"/>
              <w:rPr>
                <w:caps/>
                <w:kern w:val="28"/>
                <w:sz w:val="30"/>
                <w:szCs w:val="24"/>
              </w:rPr>
            </w:pPr>
            <w:r w:rsidRPr="00D1722F">
              <w:rPr>
                <w:szCs w:val="24"/>
              </w:rPr>
              <w:t>4.3</w:t>
            </w:r>
          </w:p>
        </w:tc>
      </w:tr>
      <w:tr w:rsidR="00D1722F" w:rsidRPr="00D1722F" w:rsidTr="00D1722F">
        <w:tc>
          <w:tcPr>
            <w:tcW w:w="3618" w:type="dxa"/>
            <w:tcBorders>
              <w:top w:val="nil"/>
            </w:tcBorders>
          </w:tcPr>
          <w:p w:rsidR="00D1722F" w:rsidRPr="00D1722F" w:rsidRDefault="00D1722F" w:rsidP="00D1722F">
            <w:pPr>
              <w:rPr>
                <w:lang w:val="en-GB"/>
              </w:rPr>
            </w:pPr>
            <w:r w:rsidRPr="00D1722F">
              <w:rPr>
                <w:lang w:val="en-GB"/>
              </w:rPr>
              <w:t>(22) Petiole: length from axil to first leaflet or tendril (mm)</w:t>
            </w:r>
          </w:p>
        </w:tc>
        <w:tc>
          <w:tcPr>
            <w:tcW w:w="910" w:type="dxa"/>
            <w:tcBorders>
              <w:top w:val="nil"/>
            </w:tcBorders>
          </w:tcPr>
          <w:p w:rsidR="00D1722F" w:rsidRPr="00D1722F" w:rsidRDefault="00D1722F" w:rsidP="00D1722F">
            <w:pPr>
              <w:tabs>
                <w:tab w:val="decimal" w:pos="423"/>
              </w:tabs>
              <w:jc w:val="left"/>
              <w:rPr>
                <w:caps/>
                <w:kern w:val="28"/>
                <w:sz w:val="30"/>
                <w:lang w:val="en-GB"/>
              </w:rPr>
            </w:pPr>
            <w:r w:rsidRPr="00D1722F">
              <w:rPr>
                <w:lang w:val="en-GB"/>
              </w:rPr>
              <w:t>83.2</w:t>
            </w:r>
          </w:p>
        </w:tc>
        <w:tc>
          <w:tcPr>
            <w:tcW w:w="1110" w:type="dxa"/>
            <w:tcBorders>
              <w:top w:val="nil"/>
            </w:tcBorders>
          </w:tcPr>
          <w:p w:rsidR="00D1722F" w:rsidRPr="00D1722F" w:rsidRDefault="00D1722F" w:rsidP="00D1722F">
            <w:pPr>
              <w:tabs>
                <w:tab w:val="decimal" w:pos="423"/>
              </w:tabs>
              <w:jc w:val="left"/>
              <w:rPr>
                <w:caps/>
                <w:kern w:val="28"/>
                <w:sz w:val="30"/>
                <w:lang w:val="en-GB"/>
              </w:rPr>
            </w:pPr>
            <w:r w:rsidRPr="00D1722F">
              <w:rPr>
                <w:lang w:val="en-GB"/>
              </w:rPr>
              <w:t>13.34</w:t>
            </w:r>
          </w:p>
        </w:tc>
        <w:tc>
          <w:tcPr>
            <w:tcW w:w="1220" w:type="dxa"/>
            <w:tcBorders>
              <w:top w:val="nil"/>
            </w:tcBorders>
          </w:tcPr>
          <w:p w:rsidR="00D1722F" w:rsidRPr="00D1722F" w:rsidRDefault="00D1722F" w:rsidP="00D1722F">
            <w:pPr>
              <w:tabs>
                <w:tab w:val="decimal" w:pos="423"/>
              </w:tabs>
              <w:jc w:val="left"/>
              <w:rPr>
                <w:caps/>
                <w:kern w:val="28"/>
                <w:sz w:val="30"/>
                <w:lang w:val="en-GB"/>
              </w:rPr>
            </w:pPr>
            <w:r w:rsidRPr="00D1722F">
              <w:rPr>
                <w:lang w:val="en-GB"/>
              </w:rPr>
              <w:t>34.8</w:t>
            </w:r>
          </w:p>
        </w:tc>
        <w:tc>
          <w:tcPr>
            <w:tcW w:w="1355" w:type="dxa"/>
            <w:tcBorders>
              <w:top w:val="nil"/>
            </w:tcBorders>
          </w:tcPr>
          <w:p w:rsidR="00D1722F" w:rsidRPr="00D1722F" w:rsidRDefault="00D1722F" w:rsidP="00D1722F">
            <w:pPr>
              <w:tabs>
                <w:tab w:val="decimal" w:pos="593"/>
              </w:tabs>
              <w:jc w:val="left"/>
              <w:rPr>
                <w:caps/>
                <w:kern w:val="28"/>
                <w:sz w:val="30"/>
                <w:lang w:val="en-GB"/>
              </w:rPr>
            </w:pPr>
            <w:r w:rsidRPr="00D1722F">
              <w:rPr>
                <w:lang w:val="en-GB"/>
              </w:rPr>
              <w:t>128.6</w:t>
            </w:r>
          </w:p>
        </w:tc>
        <w:tc>
          <w:tcPr>
            <w:tcW w:w="1437" w:type="dxa"/>
            <w:tcBorders>
              <w:top w:val="nil"/>
            </w:tcBorders>
          </w:tcPr>
          <w:p w:rsidR="00D1722F" w:rsidRPr="00D1722F" w:rsidRDefault="00D1722F" w:rsidP="00D1722F">
            <w:pPr>
              <w:widowControl w:val="0"/>
              <w:tabs>
                <w:tab w:val="decimal" w:pos="593"/>
              </w:tabs>
              <w:jc w:val="left"/>
              <w:rPr>
                <w:caps/>
                <w:kern w:val="28"/>
                <w:sz w:val="30"/>
                <w:szCs w:val="24"/>
              </w:rPr>
            </w:pPr>
            <w:r w:rsidRPr="00D1722F">
              <w:rPr>
                <w:szCs w:val="24"/>
              </w:rPr>
              <w:t>5.8</w:t>
            </w:r>
          </w:p>
        </w:tc>
      </w:tr>
      <w:tr w:rsidR="00D1722F" w:rsidRPr="00D1722F" w:rsidTr="00D1722F">
        <w:tc>
          <w:tcPr>
            <w:tcW w:w="3618" w:type="dxa"/>
          </w:tcPr>
          <w:p w:rsidR="00D1722F" w:rsidRPr="00D1722F" w:rsidRDefault="00D1722F" w:rsidP="00D1722F">
            <w:pPr>
              <w:rPr>
                <w:lang w:val="en-GB"/>
              </w:rPr>
            </w:pPr>
            <w:r w:rsidRPr="00D1722F">
              <w:rPr>
                <w:lang w:val="en-GB"/>
              </w:rPr>
              <w:t>(28) Flower: width of standard (mm)</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31.8</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2.64</w:t>
            </w:r>
          </w:p>
        </w:tc>
        <w:tc>
          <w:tcPr>
            <w:tcW w:w="1220" w:type="dxa"/>
          </w:tcPr>
          <w:p w:rsidR="00D1722F" w:rsidRPr="00D1722F" w:rsidRDefault="00D1722F" w:rsidP="00D1722F">
            <w:pPr>
              <w:tabs>
                <w:tab w:val="decimal" w:pos="423"/>
              </w:tabs>
              <w:jc w:val="left"/>
              <w:rPr>
                <w:caps/>
                <w:kern w:val="28"/>
                <w:sz w:val="30"/>
                <w:lang w:val="en-GB"/>
              </w:rPr>
            </w:pPr>
            <w:r w:rsidRPr="00D1722F">
              <w:rPr>
                <w:lang w:val="en-GB"/>
              </w:rPr>
              <w:t>23.3</w:t>
            </w:r>
          </w:p>
        </w:tc>
        <w:tc>
          <w:tcPr>
            <w:tcW w:w="1355" w:type="dxa"/>
          </w:tcPr>
          <w:p w:rsidR="00D1722F" w:rsidRPr="00D1722F" w:rsidRDefault="00D1722F" w:rsidP="00D1722F">
            <w:pPr>
              <w:tabs>
                <w:tab w:val="decimal" w:pos="593"/>
              </w:tabs>
              <w:jc w:val="left"/>
              <w:rPr>
                <w:caps/>
                <w:kern w:val="28"/>
                <w:sz w:val="30"/>
                <w:lang w:val="en-GB"/>
              </w:rPr>
            </w:pPr>
            <w:r w:rsidRPr="00D1722F">
              <w:rPr>
                <w:lang w:val="en-GB"/>
              </w:rPr>
              <w:t>41.1</w:t>
            </w:r>
          </w:p>
        </w:tc>
        <w:tc>
          <w:tcPr>
            <w:tcW w:w="1437" w:type="dxa"/>
          </w:tcPr>
          <w:p w:rsidR="00D1722F" w:rsidRPr="00D1722F" w:rsidRDefault="00D1722F" w:rsidP="00D1722F">
            <w:pPr>
              <w:widowControl w:val="0"/>
              <w:tabs>
                <w:tab w:val="decimal" w:pos="593"/>
              </w:tabs>
              <w:jc w:val="left"/>
              <w:rPr>
                <w:caps/>
                <w:kern w:val="28"/>
                <w:sz w:val="30"/>
                <w:szCs w:val="24"/>
              </w:rPr>
            </w:pPr>
            <w:r w:rsidRPr="00D1722F">
              <w:rPr>
                <w:szCs w:val="24"/>
              </w:rPr>
              <w:t>9.1</w:t>
            </w:r>
          </w:p>
        </w:tc>
      </w:tr>
      <w:tr w:rsidR="00D1722F" w:rsidRPr="00D1722F" w:rsidTr="00D1722F">
        <w:tc>
          <w:tcPr>
            <w:tcW w:w="3618" w:type="dxa"/>
          </w:tcPr>
          <w:p w:rsidR="00D1722F" w:rsidRPr="00D1722F" w:rsidRDefault="00D1722F" w:rsidP="00D1722F">
            <w:pPr>
              <w:rPr>
                <w:lang w:val="en-GB"/>
              </w:rPr>
            </w:pPr>
            <w:r w:rsidRPr="00D1722F">
              <w:rPr>
                <w:lang w:val="en-GB"/>
              </w:rPr>
              <w:t>(29)</w:t>
            </w:r>
            <w:r w:rsidRPr="00D1722F">
              <w:rPr>
                <w:vertAlign w:val="superscript"/>
                <w:lang w:val="en-GB"/>
              </w:rPr>
              <w:t>*</w:t>
            </w:r>
            <w:r w:rsidRPr="00D1722F">
              <w:rPr>
                <w:lang w:val="en-GB"/>
              </w:rPr>
              <w:t xml:space="preserve"> Flower: shape of base of standard (1-9)</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6.8</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1.02</w:t>
            </w:r>
          </w:p>
        </w:tc>
        <w:tc>
          <w:tcPr>
            <w:tcW w:w="1220" w:type="dxa"/>
          </w:tcPr>
          <w:p w:rsidR="00D1722F" w:rsidRPr="00D1722F" w:rsidRDefault="00D1722F" w:rsidP="00D1722F">
            <w:pPr>
              <w:tabs>
                <w:tab w:val="decimal" w:pos="423"/>
              </w:tabs>
              <w:jc w:val="left"/>
              <w:rPr>
                <w:caps/>
                <w:kern w:val="28"/>
                <w:sz w:val="30"/>
                <w:lang w:val="en-GB"/>
              </w:rPr>
            </w:pPr>
            <w:r w:rsidRPr="00D1722F">
              <w:rPr>
                <w:lang w:val="en-GB"/>
              </w:rPr>
              <w:t>4.0</w:t>
            </w:r>
          </w:p>
        </w:tc>
        <w:tc>
          <w:tcPr>
            <w:tcW w:w="1355" w:type="dxa"/>
          </w:tcPr>
          <w:p w:rsidR="00D1722F" w:rsidRPr="00D1722F" w:rsidRDefault="00D1722F" w:rsidP="00D1722F">
            <w:pPr>
              <w:tabs>
                <w:tab w:val="decimal" w:pos="593"/>
              </w:tabs>
              <w:jc w:val="left"/>
              <w:rPr>
                <w:caps/>
                <w:kern w:val="28"/>
                <w:sz w:val="30"/>
                <w:lang w:val="en-GB"/>
              </w:rPr>
            </w:pPr>
            <w:r w:rsidRPr="00D1722F">
              <w:rPr>
                <w:lang w:val="en-GB"/>
              </w:rPr>
              <w:t>9.0</w:t>
            </w:r>
          </w:p>
        </w:tc>
        <w:tc>
          <w:tcPr>
            <w:tcW w:w="1437" w:type="dxa"/>
          </w:tcPr>
          <w:p w:rsidR="00D1722F" w:rsidRPr="00D1722F" w:rsidRDefault="00D1722F" w:rsidP="00D1722F">
            <w:pPr>
              <w:widowControl w:val="0"/>
              <w:tabs>
                <w:tab w:val="decimal" w:pos="593"/>
              </w:tabs>
              <w:jc w:val="left"/>
              <w:rPr>
                <w:caps/>
                <w:kern w:val="28"/>
                <w:sz w:val="30"/>
                <w:szCs w:val="24"/>
              </w:rPr>
            </w:pPr>
            <w:r w:rsidRPr="00D1722F">
              <w:rPr>
                <w:szCs w:val="24"/>
              </w:rPr>
              <w:t>3.8</w:t>
            </w:r>
          </w:p>
        </w:tc>
      </w:tr>
      <w:tr w:rsidR="00D1722F" w:rsidRPr="00D1722F" w:rsidTr="00D1722F">
        <w:tc>
          <w:tcPr>
            <w:tcW w:w="3618" w:type="dxa"/>
          </w:tcPr>
          <w:p w:rsidR="00D1722F" w:rsidRPr="00D1722F" w:rsidRDefault="00D1722F" w:rsidP="00D1722F">
            <w:pPr>
              <w:rPr>
                <w:lang w:val="en-GB"/>
              </w:rPr>
            </w:pPr>
            <w:r w:rsidRPr="00D1722F">
              <w:rPr>
                <w:lang w:val="en-GB"/>
              </w:rPr>
              <w:t>(34) Peduncle: length from stem to first pod (mm)</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72.9</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24.41</w:t>
            </w:r>
          </w:p>
        </w:tc>
        <w:tc>
          <w:tcPr>
            <w:tcW w:w="1220" w:type="dxa"/>
          </w:tcPr>
          <w:p w:rsidR="00D1722F" w:rsidRPr="00D1722F" w:rsidRDefault="00D1722F" w:rsidP="00D1722F">
            <w:pPr>
              <w:tabs>
                <w:tab w:val="decimal" w:pos="423"/>
              </w:tabs>
              <w:jc w:val="left"/>
              <w:rPr>
                <w:caps/>
                <w:kern w:val="28"/>
                <w:sz w:val="30"/>
                <w:lang w:val="en-GB"/>
              </w:rPr>
            </w:pPr>
            <w:r w:rsidRPr="00D1722F">
              <w:rPr>
                <w:lang w:val="en-GB"/>
              </w:rPr>
              <w:t>12.0</w:t>
            </w:r>
          </w:p>
        </w:tc>
        <w:tc>
          <w:tcPr>
            <w:tcW w:w="1355" w:type="dxa"/>
          </w:tcPr>
          <w:p w:rsidR="00D1722F" w:rsidRPr="00D1722F" w:rsidRDefault="00D1722F" w:rsidP="00D1722F">
            <w:pPr>
              <w:tabs>
                <w:tab w:val="decimal" w:pos="593"/>
              </w:tabs>
              <w:jc w:val="left"/>
              <w:rPr>
                <w:caps/>
                <w:kern w:val="28"/>
                <w:sz w:val="30"/>
                <w:lang w:val="en-GB"/>
              </w:rPr>
            </w:pPr>
            <w:r w:rsidRPr="00D1722F">
              <w:rPr>
                <w:lang w:val="en-GB"/>
              </w:rPr>
              <w:t>145.7</w:t>
            </w:r>
          </w:p>
        </w:tc>
        <w:tc>
          <w:tcPr>
            <w:tcW w:w="1437" w:type="dxa"/>
          </w:tcPr>
          <w:p w:rsidR="00D1722F" w:rsidRPr="00D1722F" w:rsidRDefault="00D1722F" w:rsidP="00D1722F">
            <w:pPr>
              <w:widowControl w:val="0"/>
              <w:tabs>
                <w:tab w:val="decimal" w:pos="593"/>
              </w:tabs>
              <w:jc w:val="left"/>
              <w:rPr>
                <w:caps/>
                <w:kern w:val="28"/>
                <w:sz w:val="30"/>
                <w:szCs w:val="24"/>
              </w:rPr>
            </w:pPr>
            <w:r w:rsidRPr="00D1722F">
              <w:rPr>
                <w:szCs w:val="24"/>
              </w:rPr>
              <w:t>4.6</w:t>
            </w:r>
          </w:p>
        </w:tc>
      </w:tr>
      <w:tr w:rsidR="00D1722F" w:rsidRPr="00D1722F" w:rsidTr="00D1722F">
        <w:tc>
          <w:tcPr>
            <w:tcW w:w="3618" w:type="dxa"/>
          </w:tcPr>
          <w:p w:rsidR="00D1722F" w:rsidRPr="00D1722F" w:rsidRDefault="00D1722F" w:rsidP="00D1722F">
            <w:pPr>
              <w:rPr>
                <w:lang w:val="en-GB"/>
              </w:rPr>
            </w:pPr>
            <w:r w:rsidRPr="00D1722F">
              <w:rPr>
                <w:lang w:val="en-GB"/>
              </w:rPr>
              <w:t>(37) Pod: length (mm)</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79.1</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6.24</w:t>
            </w:r>
          </w:p>
        </w:tc>
        <w:tc>
          <w:tcPr>
            <w:tcW w:w="1220" w:type="dxa"/>
          </w:tcPr>
          <w:p w:rsidR="00D1722F" w:rsidRPr="00D1722F" w:rsidRDefault="00D1722F" w:rsidP="00D1722F">
            <w:pPr>
              <w:tabs>
                <w:tab w:val="decimal" w:pos="423"/>
              </w:tabs>
              <w:jc w:val="left"/>
              <w:rPr>
                <w:caps/>
                <w:kern w:val="28"/>
                <w:sz w:val="30"/>
                <w:lang w:val="en-GB"/>
              </w:rPr>
            </w:pPr>
            <w:r w:rsidRPr="00D1722F">
              <w:rPr>
                <w:lang w:val="en-GB"/>
              </w:rPr>
              <w:t>63.3</w:t>
            </w:r>
          </w:p>
        </w:tc>
        <w:tc>
          <w:tcPr>
            <w:tcW w:w="1355" w:type="dxa"/>
          </w:tcPr>
          <w:p w:rsidR="00D1722F" w:rsidRPr="00D1722F" w:rsidRDefault="00D1722F" w:rsidP="00D1722F">
            <w:pPr>
              <w:tabs>
                <w:tab w:val="decimal" w:pos="593"/>
              </w:tabs>
              <w:jc w:val="left"/>
              <w:rPr>
                <w:caps/>
                <w:kern w:val="28"/>
                <w:sz w:val="30"/>
                <w:lang w:val="en-GB"/>
              </w:rPr>
            </w:pPr>
            <w:r w:rsidRPr="00D1722F">
              <w:rPr>
                <w:lang w:val="en-GB"/>
              </w:rPr>
              <w:t>105.6</w:t>
            </w:r>
          </w:p>
        </w:tc>
        <w:tc>
          <w:tcPr>
            <w:tcW w:w="1437" w:type="dxa"/>
          </w:tcPr>
          <w:p w:rsidR="00D1722F" w:rsidRPr="00D1722F" w:rsidRDefault="00D1722F" w:rsidP="00D1722F">
            <w:pPr>
              <w:widowControl w:val="0"/>
              <w:tabs>
                <w:tab w:val="decimal" w:pos="593"/>
              </w:tabs>
              <w:jc w:val="left"/>
              <w:rPr>
                <w:caps/>
                <w:kern w:val="28"/>
                <w:sz w:val="30"/>
                <w:szCs w:val="24"/>
              </w:rPr>
            </w:pPr>
            <w:r w:rsidRPr="00D1722F">
              <w:rPr>
                <w:szCs w:val="24"/>
              </w:rPr>
              <w:t>4.3</w:t>
            </w:r>
          </w:p>
        </w:tc>
      </w:tr>
      <w:tr w:rsidR="00D1722F" w:rsidRPr="00D1722F" w:rsidTr="00D1722F">
        <w:tc>
          <w:tcPr>
            <w:tcW w:w="3618" w:type="dxa"/>
          </w:tcPr>
          <w:p w:rsidR="00D1722F" w:rsidRPr="00D1722F" w:rsidRDefault="00D1722F" w:rsidP="00D1722F">
            <w:pPr>
              <w:rPr>
                <w:lang w:val="en-GB"/>
              </w:rPr>
            </w:pPr>
            <w:r w:rsidRPr="00D1722F">
              <w:rPr>
                <w:lang w:val="en-GB"/>
              </w:rPr>
              <w:t>(38) Pod: width (mm)</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13.9</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1.22</w:t>
            </w:r>
          </w:p>
        </w:tc>
        <w:tc>
          <w:tcPr>
            <w:tcW w:w="1220" w:type="dxa"/>
          </w:tcPr>
          <w:p w:rsidR="00D1722F" w:rsidRPr="00D1722F" w:rsidRDefault="00D1722F" w:rsidP="00D1722F">
            <w:pPr>
              <w:tabs>
                <w:tab w:val="decimal" w:pos="423"/>
              </w:tabs>
              <w:jc w:val="left"/>
              <w:rPr>
                <w:caps/>
                <w:kern w:val="28"/>
                <w:sz w:val="30"/>
                <w:lang w:val="en-GB"/>
              </w:rPr>
            </w:pPr>
            <w:r w:rsidRPr="00D1722F">
              <w:rPr>
                <w:lang w:val="en-GB"/>
              </w:rPr>
              <w:t>10.5</w:t>
            </w:r>
          </w:p>
        </w:tc>
        <w:tc>
          <w:tcPr>
            <w:tcW w:w="1355" w:type="dxa"/>
          </w:tcPr>
          <w:p w:rsidR="00D1722F" w:rsidRPr="00D1722F" w:rsidRDefault="00D1722F" w:rsidP="00D1722F">
            <w:pPr>
              <w:tabs>
                <w:tab w:val="decimal" w:pos="593"/>
              </w:tabs>
              <w:jc w:val="left"/>
              <w:rPr>
                <w:caps/>
                <w:kern w:val="28"/>
                <w:sz w:val="30"/>
                <w:lang w:val="en-GB"/>
              </w:rPr>
            </w:pPr>
            <w:r w:rsidRPr="00D1722F">
              <w:rPr>
                <w:lang w:val="en-GB"/>
              </w:rPr>
              <w:t>18.6</w:t>
            </w:r>
          </w:p>
        </w:tc>
        <w:tc>
          <w:tcPr>
            <w:tcW w:w="1437" w:type="dxa"/>
          </w:tcPr>
          <w:p w:rsidR="00D1722F" w:rsidRPr="00D1722F" w:rsidRDefault="00D1722F" w:rsidP="00D1722F">
            <w:pPr>
              <w:widowControl w:val="0"/>
              <w:tabs>
                <w:tab w:val="decimal" w:pos="593"/>
              </w:tabs>
              <w:jc w:val="left"/>
              <w:rPr>
                <w:caps/>
                <w:kern w:val="28"/>
                <w:sz w:val="30"/>
                <w:szCs w:val="24"/>
              </w:rPr>
            </w:pPr>
            <w:r w:rsidRPr="00D1722F">
              <w:rPr>
                <w:szCs w:val="24"/>
              </w:rPr>
              <w:t>3.4</w:t>
            </w:r>
          </w:p>
        </w:tc>
      </w:tr>
      <w:tr w:rsidR="00D1722F" w:rsidRPr="00D1722F" w:rsidTr="00D1722F">
        <w:tc>
          <w:tcPr>
            <w:tcW w:w="3618" w:type="dxa"/>
          </w:tcPr>
          <w:p w:rsidR="00D1722F" w:rsidRPr="00D1722F" w:rsidRDefault="00D1722F" w:rsidP="00D1722F">
            <w:pPr>
              <w:rPr>
                <w:lang w:val="en-GB"/>
              </w:rPr>
            </w:pPr>
            <w:r w:rsidRPr="00D1722F">
              <w:rPr>
                <w:lang w:val="en-GB"/>
              </w:rPr>
              <w:t>(42)</w:t>
            </w:r>
            <w:r w:rsidRPr="00D1722F">
              <w:rPr>
                <w:vertAlign w:val="superscript"/>
                <w:lang w:val="en-GB"/>
              </w:rPr>
              <w:t>*</w:t>
            </w:r>
            <w:r w:rsidRPr="00D1722F">
              <w:rPr>
                <w:lang w:val="en-GB"/>
              </w:rPr>
              <w:t xml:space="preserve"> Pod: curvature (1-9)</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2.4</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0.58</w:t>
            </w:r>
          </w:p>
        </w:tc>
        <w:tc>
          <w:tcPr>
            <w:tcW w:w="1220" w:type="dxa"/>
          </w:tcPr>
          <w:p w:rsidR="00D1722F" w:rsidRPr="00D1722F" w:rsidRDefault="00D1722F" w:rsidP="00D1722F">
            <w:pPr>
              <w:tabs>
                <w:tab w:val="decimal" w:pos="423"/>
              </w:tabs>
              <w:jc w:val="left"/>
              <w:rPr>
                <w:caps/>
                <w:kern w:val="28"/>
                <w:sz w:val="30"/>
                <w:lang w:val="en-GB"/>
              </w:rPr>
            </w:pPr>
            <w:r w:rsidRPr="00D1722F">
              <w:rPr>
                <w:lang w:val="en-GB"/>
              </w:rPr>
              <w:t>1.0</w:t>
            </w:r>
          </w:p>
        </w:tc>
        <w:tc>
          <w:tcPr>
            <w:tcW w:w="1355" w:type="dxa"/>
          </w:tcPr>
          <w:p w:rsidR="00D1722F" w:rsidRPr="00D1722F" w:rsidRDefault="00D1722F" w:rsidP="00D1722F">
            <w:pPr>
              <w:tabs>
                <w:tab w:val="decimal" w:pos="593"/>
              </w:tabs>
              <w:jc w:val="left"/>
              <w:rPr>
                <w:caps/>
                <w:kern w:val="28"/>
                <w:sz w:val="30"/>
                <w:lang w:val="en-GB"/>
              </w:rPr>
            </w:pPr>
            <w:r w:rsidRPr="00D1722F">
              <w:rPr>
                <w:lang w:val="en-GB"/>
              </w:rPr>
              <w:t>5.5</w:t>
            </w:r>
          </w:p>
        </w:tc>
        <w:tc>
          <w:tcPr>
            <w:tcW w:w="1437" w:type="dxa"/>
          </w:tcPr>
          <w:p w:rsidR="00D1722F" w:rsidRPr="00D1722F" w:rsidRDefault="00D1722F" w:rsidP="00D1722F">
            <w:pPr>
              <w:widowControl w:val="0"/>
              <w:tabs>
                <w:tab w:val="decimal" w:pos="593"/>
              </w:tabs>
              <w:jc w:val="left"/>
              <w:rPr>
                <w:caps/>
                <w:kern w:val="28"/>
                <w:sz w:val="30"/>
                <w:szCs w:val="24"/>
              </w:rPr>
            </w:pPr>
            <w:r w:rsidRPr="00D1722F">
              <w:rPr>
                <w:szCs w:val="24"/>
              </w:rPr>
              <w:t>2.5</w:t>
            </w:r>
          </w:p>
        </w:tc>
      </w:tr>
      <w:tr w:rsidR="00D1722F" w:rsidRPr="00D1722F" w:rsidTr="00D1722F">
        <w:tc>
          <w:tcPr>
            <w:tcW w:w="3618" w:type="dxa"/>
          </w:tcPr>
          <w:p w:rsidR="00D1722F" w:rsidRPr="00D1722F" w:rsidRDefault="00D1722F" w:rsidP="00D1722F">
            <w:pPr>
              <w:rPr>
                <w:lang w:val="en-GB"/>
              </w:rPr>
            </w:pPr>
            <w:r w:rsidRPr="00D1722F">
              <w:rPr>
                <w:lang w:val="en-GB"/>
              </w:rPr>
              <w:t>(46) Pod: number of ovules</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8.2</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0.54</w:t>
            </w:r>
          </w:p>
        </w:tc>
        <w:tc>
          <w:tcPr>
            <w:tcW w:w="1220" w:type="dxa"/>
          </w:tcPr>
          <w:p w:rsidR="00D1722F" w:rsidRPr="00D1722F" w:rsidRDefault="00D1722F" w:rsidP="00D1722F">
            <w:pPr>
              <w:tabs>
                <w:tab w:val="decimal" w:pos="423"/>
              </w:tabs>
              <w:jc w:val="left"/>
              <w:rPr>
                <w:caps/>
                <w:kern w:val="28"/>
                <w:sz w:val="30"/>
                <w:lang w:val="en-GB"/>
              </w:rPr>
            </w:pPr>
            <w:r w:rsidRPr="00D1722F">
              <w:rPr>
                <w:lang w:val="en-GB"/>
              </w:rPr>
              <w:t>6.0</w:t>
            </w:r>
          </w:p>
        </w:tc>
        <w:tc>
          <w:tcPr>
            <w:tcW w:w="1355" w:type="dxa"/>
          </w:tcPr>
          <w:p w:rsidR="00D1722F" w:rsidRPr="00D1722F" w:rsidRDefault="00D1722F" w:rsidP="00D1722F">
            <w:pPr>
              <w:tabs>
                <w:tab w:val="decimal" w:pos="593"/>
              </w:tabs>
              <w:jc w:val="left"/>
              <w:rPr>
                <w:caps/>
                <w:kern w:val="28"/>
                <w:sz w:val="30"/>
                <w:lang w:val="en-GB"/>
              </w:rPr>
            </w:pPr>
            <w:r w:rsidRPr="00D1722F">
              <w:rPr>
                <w:lang w:val="en-GB"/>
              </w:rPr>
              <w:t>10.0</w:t>
            </w:r>
          </w:p>
        </w:tc>
        <w:tc>
          <w:tcPr>
            <w:tcW w:w="1437" w:type="dxa"/>
          </w:tcPr>
          <w:p w:rsidR="00D1722F" w:rsidRPr="00D1722F" w:rsidRDefault="00D1722F" w:rsidP="00D1722F">
            <w:pPr>
              <w:widowControl w:val="0"/>
              <w:tabs>
                <w:tab w:val="decimal" w:pos="593"/>
              </w:tabs>
              <w:jc w:val="left"/>
              <w:rPr>
                <w:caps/>
                <w:kern w:val="28"/>
                <w:sz w:val="30"/>
                <w:szCs w:val="24"/>
              </w:rPr>
            </w:pPr>
            <w:r w:rsidRPr="00D1722F">
              <w:rPr>
                <w:szCs w:val="24"/>
              </w:rPr>
              <w:t>7.5</w:t>
            </w:r>
          </w:p>
        </w:tc>
      </w:tr>
      <w:tr w:rsidR="00D1722F" w:rsidRPr="00D1722F" w:rsidTr="00D1722F">
        <w:tc>
          <w:tcPr>
            <w:tcW w:w="3618" w:type="dxa"/>
          </w:tcPr>
          <w:p w:rsidR="00D1722F" w:rsidRPr="00D1722F" w:rsidRDefault="00D1722F" w:rsidP="00D1722F">
            <w:pPr>
              <w:rPr>
                <w:lang w:val="en-GB"/>
              </w:rPr>
            </w:pPr>
            <w:r w:rsidRPr="00D1722F">
              <w:rPr>
                <w:lang w:val="en-GB"/>
              </w:rPr>
              <w:t>(57)</w:t>
            </w:r>
            <w:r w:rsidRPr="00D1722F">
              <w:rPr>
                <w:rFonts w:hint="eastAsia"/>
                <w:vertAlign w:val="superscript"/>
                <w:lang w:val="en-GB" w:eastAsia="ja-JP"/>
              </w:rPr>
              <w:t xml:space="preserve">* </w:t>
            </w:r>
            <w:r w:rsidRPr="00D1722F">
              <w:rPr>
                <w:lang w:val="en-GB"/>
              </w:rPr>
              <w:t>Seed: weight</w:t>
            </w:r>
          </w:p>
        </w:tc>
        <w:tc>
          <w:tcPr>
            <w:tcW w:w="910" w:type="dxa"/>
          </w:tcPr>
          <w:p w:rsidR="00D1722F" w:rsidRPr="00D1722F" w:rsidRDefault="00D1722F" w:rsidP="00D1722F">
            <w:pPr>
              <w:tabs>
                <w:tab w:val="decimal" w:pos="423"/>
              </w:tabs>
              <w:jc w:val="left"/>
              <w:rPr>
                <w:caps/>
                <w:kern w:val="28"/>
                <w:sz w:val="30"/>
                <w:lang w:val="en-GB"/>
              </w:rPr>
            </w:pPr>
            <w:r w:rsidRPr="00D1722F">
              <w:rPr>
                <w:lang w:val="en-GB"/>
              </w:rPr>
              <w:t>28.1</w:t>
            </w:r>
          </w:p>
        </w:tc>
        <w:tc>
          <w:tcPr>
            <w:tcW w:w="1110" w:type="dxa"/>
          </w:tcPr>
          <w:p w:rsidR="00D1722F" w:rsidRPr="00D1722F" w:rsidRDefault="00D1722F" w:rsidP="00D1722F">
            <w:pPr>
              <w:tabs>
                <w:tab w:val="decimal" w:pos="423"/>
              </w:tabs>
              <w:jc w:val="left"/>
              <w:rPr>
                <w:caps/>
                <w:kern w:val="28"/>
                <w:sz w:val="30"/>
                <w:lang w:val="en-GB"/>
              </w:rPr>
            </w:pPr>
            <w:r w:rsidRPr="00D1722F">
              <w:rPr>
                <w:lang w:val="en-GB"/>
              </w:rPr>
              <w:t>5.19</w:t>
            </w:r>
          </w:p>
        </w:tc>
        <w:tc>
          <w:tcPr>
            <w:tcW w:w="1220" w:type="dxa"/>
          </w:tcPr>
          <w:p w:rsidR="00D1722F" w:rsidRPr="00D1722F" w:rsidRDefault="00D1722F" w:rsidP="00D1722F">
            <w:pPr>
              <w:tabs>
                <w:tab w:val="decimal" w:pos="423"/>
              </w:tabs>
              <w:jc w:val="left"/>
              <w:rPr>
                <w:lang w:val="en-GB"/>
              </w:rPr>
            </w:pPr>
            <w:r w:rsidRPr="00D1722F">
              <w:rPr>
                <w:lang w:val="en-GB"/>
              </w:rPr>
              <w:t>12.2</w:t>
            </w:r>
          </w:p>
        </w:tc>
        <w:tc>
          <w:tcPr>
            <w:tcW w:w="1355" w:type="dxa"/>
          </w:tcPr>
          <w:p w:rsidR="00D1722F" w:rsidRPr="00D1722F" w:rsidRDefault="00D1722F" w:rsidP="00D1722F">
            <w:pPr>
              <w:tabs>
                <w:tab w:val="decimal" w:pos="593"/>
              </w:tabs>
              <w:jc w:val="left"/>
              <w:rPr>
                <w:lang w:val="en-GB"/>
              </w:rPr>
            </w:pPr>
            <w:r w:rsidRPr="00D1722F">
              <w:rPr>
                <w:lang w:val="en-GB"/>
              </w:rPr>
              <w:t>49.1</w:t>
            </w:r>
          </w:p>
        </w:tc>
        <w:tc>
          <w:tcPr>
            <w:tcW w:w="1437" w:type="dxa"/>
          </w:tcPr>
          <w:p w:rsidR="00D1722F" w:rsidRPr="00D1722F" w:rsidRDefault="00D1722F" w:rsidP="00D1722F">
            <w:pPr>
              <w:widowControl w:val="0"/>
              <w:tabs>
                <w:tab w:val="decimal" w:pos="593"/>
              </w:tabs>
              <w:jc w:val="left"/>
              <w:rPr>
                <w:szCs w:val="24"/>
              </w:rPr>
            </w:pPr>
            <w:r w:rsidRPr="00D1722F">
              <w:rPr>
                <w:szCs w:val="24"/>
              </w:rPr>
              <w:t>5.7</w:t>
            </w:r>
          </w:p>
        </w:tc>
      </w:tr>
    </w:tbl>
    <w:p w:rsidR="00D1722F" w:rsidRPr="00D1722F" w:rsidRDefault="00D1722F" w:rsidP="00D1722F">
      <w:pPr>
        <w:spacing w:before="60"/>
        <w:rPr>
          <w:lang w:val="en-GB"/>
        </w:rPr>
      </w:pPr>
      <w:r w:rsidRPr="00D1722F">
        <w:rPr>
          <w:sz w:val="22"/>
          <w:vertAlign w:val="superscript"/>
          <w:lang w:val="en-GB"/>
        </w:rPr>
        <w:t xml:space="preserve">* </w:t>
      </w:r>
      <w:r w:rsidRPr="00D1722F">
        <w:rPr>
          <w:sz w:val="18"/>
          <w:szCs w:val="18"/>
          <w:lang w:val="en-GB"/>
        </w:rPr>
        <w:t>These characteristics are scored VG/MG and so an integer tolerance is more appropriate</w:t>
      </w:r>
    </w:p>
    <w:p w:rsidR="00D1722F" w:rsidRPr="00D1722F" w:rsidRDefault="00D1722F" w:rsidP="00D1722F">
      <w:pPr>
        <w:rPr>
          <w:lang w:val="en-GB" w:eastAsia="ja-JP"/>
        </w:rPr>
      </w:pPr>
    </w:p>
    <w:p w:rsidR="00D1722F" w:rsidRPr="00D1722F" w:rsidRDefault="00D1722F" w:rsidP="00D1722F">
      <w:pPr>
        <w:rPr>
          <w:lang w:val="en-GB" w:eastAsia="ja-JP"/>
        </w:rPr>
      </w:pPr>
    </w:p>
    <w:p w:rsidR="00D1722F" w:rsidRPr="00D1722F" w:rsidRDefault="00D1722F" w:rsidP="00D1722F">
      <w:pPr>
        <w:keepNext/>
        <w:rPr>
          <w:lang w:val="en-GB" w:eastAsia="ja-JP"/>
        </w:rPr>
      </w:pPr>
      <w:r w:rsidRPr="00D1722F">
        <w:rPr>
          <w:lang w:val="en-GB"/>
        </w:rPr>
        <w:t xml:space="preserve">Table 2. First cycle thresholds allowing for heterogeneity over cycles.  For comparison, the long-term 2% COYD criterion, the current first cycle tolerances currently used by the </w:t>
      </w:r>
      <w:r w:rsidRPr="00D1722F">
        <w:rPr>
          <w:rFonts w:hint="eastAsia"/>
          <w:lang w:val="en-GB" w:eastAsia="ja-JP"/>
        </w:rPr>
        <w:t>United Kingdom</w:t>
      </w:r>
      <w:r w:rsidRPr="00D1722F">
        <w:rPr>
          <w:lang w:val="en-GB"/>
        </w:rPr>
        <w:t xml:space="preserve"> based on experience and proposed new tolerances are included. </w:t>
      </w:r>
    </w:p>
    <w:p w:rsidR="00D1722F" w:rsidRPr="00D1722F" w:rsidRDefault="00D1722F" w:rsidP="00D1722F">
      <w:pPr>
        <w:keepNext/>
        <w:rPr>
          <w:lang w:val="en-GB" w:eastAsia="ja-JP"/>
        </w:rPr>
      </w:pPr>
    </w:p>
    <w:tbl>
      <w:tblPr>
        <w:tblStyle w:val="TableGrid"/>
        <w:tblW w:w="918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6"/>
        <w:gridCol w:w="1357"/>
        <w:gridCol w:w="1276"/>
        <w:gridCol w:w="1276"/>
        <w:gridCol w:w="1276"/>
        <w:gridCol w:w="1275"/>
        <w:gridCol w:w="1134"/>
      </w:tblGrid>
      <w:tr w:rsidR="00D1722F" w:rsidRPr="00D1722F" w:rsidTr="00D1722F">
        <w:tc>
          <w:tcPr>
            <w:tcW w:w="1586" w:type="dxa"/>
            <w:tcBorders>
              <w:top w:val="single" w:sz="4" w:space="0" w:color="auto"/>
              <w:bottom w:val="single" w:sz="4" w:space="0" w:color="auto"/>
            </w:tcBorders>
          </w:tcPr>
          <w:p w:rsidR="00D1722F" w:rsidRPr="00D1722F" w:rsidRDefault="00D1722F" w:rsidP="00D1722F">
            <w:pPr>
              <w:keepNext/>
              <w:jc w:val="center"/>
              <w:rPr>
                <w:lang w:val="en-GB"/>
              </w:rPr>
            </w:pPr>
            <w:r w:rsidRPr="00D1722F">
              <w:rPr>
                <w:lang w:val="en-GB"/>
              </w:rPr>
              <w:t>Characteristic</w:t>
            </w:r>
          </w:p>
        </w:tc>
        <w:tc>
          <w:tcPr>
            <w:tcW w:w="1357" w:type="dxa"/>
            <w:tcBorders>
              <w:top w:val="single" w:sz="4" w:space="0" w:color="auto"/>
              <w:bottom w:val="single" w:sz="4" w:space="0" w:color="auto"/>
            </w:tcBorders>
          </w:tcPr>
          <w:p w:rsidR="00D1722F" w:rsidRPr="00D1722F" w:rsidRDefault="00D1722F" w:rsidP="00D1722F">
            <w:pPr>
              <w:keepNext/>
              <w:jc w:val="center"/>
              <w:rPr>
                <w:lang w:val="en-GB"/>
              </w:rPr>
            </w:pPr>
            <w:r w:rsidRPr="00D1722F">
              <w:rPr>
                <w:lang w:val="en-GB"/>
              </w:rPr>
              <w:t>Long-term COYD criterion</w:t>
            </w:r>
          </w:p>
        </w:tc>
        <w:tc>
          <w:tcPr>
            <w:tcW w:w="1276" w:type="dxa"/>
            <w:tcBorders>
              <w:top w:val="single" w:sz="4" w:space="0" w:color="auto"/>
              <w:bottom w:val="single" w:sz="4" w:space="0" w:color="auto"/>
            </w:tcBorders>
          </w:tcPr>
          <w:p w:rsidR="00D1722F" w:rsidRPr="00D1722F" w:rsidRDefault="00D1722F" w:rsidP="00D1722F">
            <w:pPr>
              <w:keepNext/>
              <w:jc w:val="center"/>
              <w:rPr>
                <w:lang w:val="en-GB"/>
              </w:rPr>
            </w:pPr>
            <w:r w:rsidRPr="00D1722F">
              <w:rPr>
                <w:lang w:val="en-GB"/>
              </w:rPr>
              <w:t xml:space="preserve">Threshold with </w:t>
            </w:r>
            <w:proofErr w:type="spellStart"/>
            <w:r w:rsidRPr="00D1722F">
              <w:rPr>
                <w:i/>
                <w:lang w:val="en-GB"/>
              </w:rPr>
              <w:t>p</w:t>
            </w:r>
            <w:r w:rsidRPr="00D1722F">
              <w:rPr>
                <w:i/>
                <w:vertAlign w:val="subscript"/>
                <w:lang w:val="en-GB"/>
              </w:rPr>
              <w:t>D</w:t>
            </w:r>
            <w:proofErr w:type="spellEnd"/>
            <w:r w:rsidRPr="00D1722F">
              <w:rPr>
                <w:lang w:val="en-GB"/>
              </w:rPr>
              <w:t>=0.99</w:t>
            </w:r>
          </w:p>
        </w:tc>
        <w:tc>
          <w:tcPr>
            <w:tcW w:w="1276" w:type="dxa"/>
            <w:tcBorders>
              <w:top w:val="single" w:sz="4" w:space="0" w:color="auto"/>
              <w:bottom w:val="single" w:sz="4" w:space="0" w:color="auto"/>
            </w:tcBorders>
          </w:tcPr>
          <w:p w:rsidR="00D1722F" w:rsidRPr="00D1722F" w:rsidRDefault="00D1722F" w:rsidP="00D1722F">
            <w:pPr>
              <w:keepNext/>
              <w:jc w:val="center"/>
              <w:rPr>
                <w:lang w:val="en-GB"/>
              </w:rPr>
            </w:pPr>
            <w:r w:rsidRPr="00D1722F">
              <w:rPr>
                <w:lang w:val="en-GB"/>
              </w:rPr>
              <w:t xml:space="preserve">Threshold with </w:t>
            </w:r>
            <w:proofErr w:type="spellStart"/>
            <w:r w:rsidRPr="00D1722F">
              <w:rPr>
                <w:i/>
                <w:lang w:val="en-GB"/>
              </w:rPr>
              <w:t>p</w:t>
            </w:r>
            <w:r w:rsidRPr="00D1722F">
              <w:rPr>
                <w:i/>
                <w:vertAlign w:val="subscript"/>
                <w:lang w:val="en-GB"/>
              </w:rPr>
              <w:t>D</w:t>
            </w:r>
            <w:proofErr w:type="spellEnd"/>
            <w:r w:rsidRPr="00D1722F">
              <w:rPr>
                <w:lang w:val="en-GB"/>
              </w:rPr>
              <w:t>=0.95</w:t>
            </w:r>
          </w:p>
        </w:tc>
        <w:tc>
          <w:tcPr>
            <w:tcW w:w="1276" w:type="dxa"/>
            <w:tcBorders>
              <w:top w:val="single" w:sz="4" w:space="0" w:color="auto"/>
              <w:bottom w:val="single" w:sz="4" w:space="0" w:color="auto"/>
            </w:tcBorders>
          </w:tcPr>
          <w:p w:rsidR="00D1722F" w:rsidRPr="00D1722F" w:rsidRDefault="00D1722F" w:rsidP="00D1722F">
            <w:pPr>
              <w:keepNext/>
              <w:jc w:val="center"/>
              <w:rPr>
                <w:lang w:val="en-GB"/>
              </w:rPr>
            </w:pPr>
            <w:r w:rsidRPr="00D1722F">
              <w:rPr>
                <w:lang w:val="en-GB"/>
              </w:rPr>
              <w:t xml:space="preserve">Threshold with </w:t>
            </w:r>
            <w:proofErr w:type="spellStart"/>
            <w:r w:rsidRPr="00D1722F">
              <w:rPr>
                <w:i/>
                <w:lang w:val="en-GB"/>
              </w:rPr>
              <w:t>p</w:t>
            </w:r>
            <w:r w:rsidRPr="00D1722F">
              <w:rPr>
                <w:i/>
                <w:vertAlign w:val="subscript"/>
                <w:lang w:val="en-GB"/>
              </w:rPr>
              <w:t>D</w:t>
            </w:r>
            <w:proofErr w:type="spellEnd"/>
            <w:r w:rsidRPr="00D1722F">
              <w:rPr>
                <w:lang w:val="en-GB"/>
              </w:rPr>
              <w:t>=0.9</w:t>
            </w:r>
          </w:p>
        </w:tc>
        <w:tc>
          <w:tcPr>
            <w:tcW w:w="1275" w:type="dxa"/>
            <w:tcBorders>
              <w:top w:val="single" w:sz="4" w:space="0" w:color="auto"/>
              <w:bottom w:val="single" w:sz="4" w:space="0" w:color="auto"/>
            </w:tcBorders>
          </w:tcPr>
          <w:p w:rsidR="00D1722F" w:rsidRPr="00D1722F" w:rsidRDefault="00D1722F" w:rsidP="00D1722F">
            <w:pPr>
              <w:keepNext/>
              <w:jc w:val="center"/>
              <w:rPr>
                <w:lang w:val="en-GB" w:eastAsia="ja-JP"/>
              </w:rPr>
            </w:pPr>
            <w:r w:rsidRPr="00D1722F">
              <w:rPr>
                <w:lang w:val="en-GB"/>
              </w:rPr>
              <w:t>Current  tolerance</w:t>
            </w:r>
            <w:r w:rsidRPr="00D1722F">
              <w:rPr>
                <w:rFonts w:hint="eastAsia"/>
                <w:lang w:val="en-GB" w:eastAsia="ja-JP"/>
              </w:rPr>
              <w:t xml:space="preserve"> of the United Kingdom</w:t>
            </w:r>
          </w:p>
        </w:tc>
        <w:tc>
          <w:tcPr>
            <w:tcW w:w="1134" w:type="dxa"/>
            <w:tcBorders>
              <w:top w:val="single" w:sz="4" w:space="0" w:color="auto"/>
              <w:bottom w:val="single" w:sz="4" w:space="0" w:color="auto"/>
            </w:tcBorders>
          </w:tcPr>
          <w:p w:rsidR="00D1722F" w:rsidRPr="00D1722F" w:rsidRDefault="00D1722F" w:rsidP="00D1722F">
            <w:pPr>
              <w:keepNext/>
              <w:jc w:val="center"/>
              <w:rPr>
                <w:lang w:val="en-GB"/>
              </w:rPr>
            </w:pPr>
            <w:r w:rsidRPr="00D1722F">
              <w:rPr>
                <w:lang w:val="en-GB"/>
              </w:rPr>
              <w:t>Proposed new tolerance</w:t>
            </w:r>
          </w:p>
        </w:tc>
      </w:tr>
      <w:tr w:rsidR="00D1722F" w:rsidRPr="00D1722F" w:rsidTr="00D1722F">
        <w:tc>
          <w:tcPr>
            <w:tcW w:w="1586" w:type="dxa"/>
            <w:tcBorders>
              <w:top w:val="single" w:sz="4" w:space="0" w:color="auto"/>
            </w:tcBorders>
          </w:tcPr>
          <w:p w:rsidR="00D1722F" w:rsidRPr="00D1722F" w:rsidRDefault="00D1722F" w:rsidP="00D1722F">
            <w:pPr>
              <w:keepNext/>
              <w:tabs>
                <w:tab w:val="decimal" w:pos="851"/>
              </w:tabs>
              <w:jc w:val="left"/>
              <w:rPr>
                <w:lang w:val="en-GB"/>
              </w:rPr>
            </w:pPr>
            <w:r w:rsidRPr="00D1722F">
              <w:rPr>
                <w:lang w:val="en-GB"/>
              </w:rPr>
              <w:t>5</w:t>
            </w:r>
          </w:p>
        </w:tc>
        <w:tc>
          <w:tcPr>
            <w:tcW w:w="1357" w:type="dxa"/>
            <w:tcBorders>
              <w:top w:val="single" w:sz="4" w:space="0" w:color="auto"/>
            </w:tcBorders>
          </w:tcPr>
          <w:p w:rsidR="00D1722F" w:rsidRPr="00D1722F" w:rsidRDefault="00D1722F" w:rsidP="00D1722F">
            <w:pPr>
              <w:keepNext/>
              <w:tabs>
                <w:tab w:val="decimal" w:pos="541"/>
              </w:tabs>
              <w:jc w:val="left"/>
              <w:rPr>
                <w:lang w:val="en-GB"/>
              </w:rPr>
            </w:pPr>
            <w:r w:rsidRPr="00D1722F">
              <w:rPr>
                <w:lang w:val="en-GB"/>
              </w:rPr>
              <w:t>0.93</w:t>
            </w:r>
          </w:p>
        </w:tc>
        <w:tc>
          <w:tcPr>
            <w:tcW w:w="1276" w:type="dxa"/>
            <w:tcBorders>
              <w:top w:val="single" w:sz="4" w:space="0" w:color="auto"/>
            </w:tcBorders>
          </w:tcPr>
          <w:p w:rsidR="00D1722F" w:rsidRPr="00D1722F" w:rsidRDefault="00D1722F" w:rsidP="00D1722F">
            <w:pPr>
              <w:keepNext/>
              <w:widowControl w:val="0"/>
              <w:jc w:val="right"/>
              <w:rPr>
                <w:szCs w:val="24"/>
              </w:rPr>
            </w:pPr>
            <w:r w:rsidRPr="00D1722F">
              <w:t>4.13</w:t>
            </w:r>
          </w:p>
        </w:tc>
        <w:tc>
          <w:tcPr>
            <w:tcW w:w="1276" w:type="dxa"/>
            <w:tcBorders>
              <w:top w:val="single" w:sz="4" w:space="0" w:color="auto"/>
            </w:tcBorders>
          </w:tcPr>
          <w:p w:rsidR="00D1722F" w:rsidRPr="00D1722F" w:rsidRDefault="00D1722F" w:rsidP="00D1722F">
            <w:pPr>
              <w:keepNext/>
              <w:widowControl w:val="0"/>
              <w:jc w:val="right"/>
              <w:rPr>
                <w:szCs w:val="24"/>
              </w:rPr>
            </w:pPr>
            <w:r w:rsidRPr="00D1722F">
              <w:t>1.81</w:t>
            </w:r>
          </w:p>
        </w:tc>
        <w:tc>
          <w:tcPr>
            <w:tcW w:w="1276" w:type="dxa"/>
            <w:tcBorders>
              <w:top w:val="single" w:sz="4" w:space="0" w:color="auto"/>
            </w:tcBorders>
          </w:tcPr>
          <w:p w:rsidR="00D1722F" w:rsidRPr="00D1722F" w:rsidRDefault="00D1722F" w:rsidP="00D1722F">
            <w:pPr>
              <w:keepNext/>
              <w:widowControl w:val="0"/>
              <w:jc w:val="right"/>
              <w:rPr>
                <w:szCs w:val="24"/>
              </w:rPr>
            </w:pPr>
            <w:r w:rsidRPr="00D1722F">
              <w:t>1.39</w:t>
            </w:r>
          </w:p>
        </w:tc>
        <w:tc>
          <w:tcPr>
            <w:tcW w:w="1275" w:type="dxa"/>
            <w:tcBorders>
              <w:top w:val="single" w:sz="4" w:space="0" w:color="auto"/>
            </w:tcBorders>
          </w:tcPr>
          <w:p w:rsidR="00D1722F" w:rsidRPr="00D1722F" w:rsidRDefault="00D1722F" w:rsidP="00D1722F">
            <w:pPr>
              <w:keepNext/>
              <w:tabs>
                <w:tab w:val="decimal" w:pos="666"/>
              </w:tabs>
              <w:jc w:val="right"/>
              <w:rPr>
                <w:lang w:val="en-GB"/>
              </w:rPr>
            </w:pPr>
            <w:r w:rsidRPr="00D1722F">
              <w:rPr>
                <w:lang w:val="en-GB"/>
              </w:rPr>
              <w:t>3</w:t>
            </w:r>
          </w:p>
        </w:tc>
        <w:tc>
          <w:tcPr>
            <w:tcW w:w="1134" w:type="dxa"/>
            <w:tcBorders>
              <w:top w:val="single" w:sz="4" w:space="0" w:color="auto"/>
            </w:tcBorders>
          </w:tcPr>
          <w:p w:rsidR="00D1722F" w:rsidRPr="00D1722F" w:rsidRDefault="00D1722F" w:rsidP="00D1722F">
            <w:pPr>
              <w:keepNext/>
              <w:tabs>
                <w:tab w:val="decimal" w:pos="459"/>
              </w:tabs>
              <w:jc w:val="right"/>
              <w:rPr>
                <w:lang w:val="en-GB"/>
              </w:rPr>
            </w:pPr>
            <w:r w:rsidRPr="00D1722F">
              <w:rPr>
                <w:lang w:val="en-GB"/>
              </w:rPr>
              <w:t>4.1</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15</w:t>
            </w:r>
          </w:p>
        </w:tc>
        <w:tc>
          <w:tcPr>
            <w:tcW w:w="1357" w:type="dxa"/>
          </w:tcPr>
          <w:p w:rsidR="00D1722F" w:rsidRPr="00D1722F" w:rsidRDefault="00D1722F" w:rsidP="00D1722F">
            <w:pPr>
              <w:keepNext/>
              <w:tabs>
                <w:tab w:val="decimal" w:pos="541"/>
              </w:tabs>
              <w:jc w:val="left"/>
              <w:rPr>
                <w:lang w:val="en-GB"/>
              </w:rPr>
            </w:pPr>
            <w:r w:rsidRPr="00D1722F">
              <w:rPr>
                <w:lang w:val="en-GB"/>
              </w:rPr>
              <w:t>10.80</w:t>
            </w:r>
          </w:p>
        </w:tc>
        <w:tc>
          <w:tcPr>
            <w:tcW w:w="1276" w:type="dxa"/>
          </w:tcPr>
          <w:p w:rsidR="00D1722F" w:rsidRPr="00D1722F" w:rsidRDefault="00D1722F" w:rsidP="00D1722F">
            <w:pPr>
              <w:keepNext/>
              <w:widowControl w:val="0"/>
              <w:jc w:val="right"/>
              <w:rPr>
                <w:szCs w:val="24"/>
              </w:rPr>
            </w:pPr>
            <w:r w:rsidRPr="00D1722F">
              <w:t>23.38</w:t>
            </w:r>
          </w:p>
        </w:tc>
        <w:tc>
          <w:tcPr>
            <w:tcW w:w="1276" w:type="dxa"/>
          </w:tcPr>
          <w:p w:rsidR="00D1722F" w:rsidRPr="00D1722F" w:rsidRDefault="00D1722F" w:rsidP="00D1722F">
            <w:pPr>
              <w:keepNext/>
              <w:widowControl w:val="0"/>
              <w:jc w:val="right"/>
              <w:rPr>
                <w:szCs w:val="24"/>
              </w:rPr>
            </w:pPr>
            <w:r w:rsidRPr="00D1722F">
              <w:t>17.90</w:t>
            </w:r>
          </w:p>
        </w:tc>
        <w:tc>
          <w:tcPr>
            <w:tcW w:w="1276" w:type="dxa"/>
          </w:tcPr>
          <w:p w:rsidR="00D1722F" w:rsidRPr="00D1722F" w:rsidRDefault="00D1722F" w:rsidP="00D1722F">
            <w:pPr>
              <w:keepNext/>
              <w:widowControl w:val="0"/>
              <w:jc w:val="right"/>
              <w:rPr>
                <w:szCs w:val="24"/>
              </w:rPr>
            </w:pPr>
            <w:r w:rsidRPr="00D1722F">
              <w:t>15.70</w:t>
            </w:r>
          </w:p>
        </w:tc>
        <w:tc>
          <w:tcPr>
            <w:tcW w:w="1275" w:type="dxa"/>
          </w:tcPr>
          <w:p w:rsidR="00D1722F" w:rsidRPr="00D1722F" w:rsidRDefault="00D1722F" w:rsidP="00D1722F">
            <w:pPr>
              <w:keepNext/>
              <w:tabs>
                <w:tab w:val="decimal" w:pos="666"/>
              </w:tabs>
              <w:jc w:val="right"/>
              <w:rPr>
                <w:lang w:val="en-GB"/>
              </w:rPr>
            </w:pPr>
            <w:r w:rsidRPr="00D1722F">
              <w:rPr>
                <w:lang w:val="en-GB"/>
              </w:rPr>
              <w:t>25</w:t>
            </w:r>
          </w:p>
        </w:tc>
        <w:tc>
          <w:tcPr>
            <w:tcW w:w="1134" w:type="dxa"/>
          </w:tcPr>
          <w:p w:rsidR="00D1722F" w:rsidRPr="00D1722F" w:rsidRDefault="00D1722F" w:rsidP="00D1722F">
            <w:pPr>
              <w:keepNext/>
              <w:tabs>
                <w:tab w:val="decimal" w:pos="459"/>
              </w:tabs>
              <w:jc w:val="right"/>
              <w:rPr>
                <w:lang w:val="en-GB"/>
              </w:rPr>
            </w:pPr>
            <w:r w:rsidRPr="00D1722F">
              <w:rPr>
                <w:lang w:val="en-GB"/>
              </w:rPr>
              <w:t>23.4</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16</w:t>
            </w:r>
          </w:p>
        </w:tc>
        <w:tc>
          <w:tcPr>
            <w:tcW w:w="1357" w:type="dxa"/>
          </w:tcPr>
          <w:p w:rsidR="00D1722F" w:rsidRPr="00D1722F" w:rsidRDefault="00D1722F" w:rsidP="00D1722F">
            <w:pPr>
              <w:keepNext/>
              <w:tabs>
                <w:tab w:val="decimal" w:pos="541"/>
              </w:tabs>
              <w:jc w:val="left"/>
              <w:rPr>
                <w:lang w:val="en-GB"/>
              </w:rPr>
            </w:pPr>
            <w:r w:rsidRPr="00D1722F">
              <w:rPr>
                <w:lang w:val="en-GB"/>
              </w:rPr>
              <w:t>6.95</w:t>
            </w:r>
          </w:p>
        </w:tc>
        <w:tc>
          <w:tcPr>
            <w:tcW w:w="1276" w:type="dxa"/>
          </w:tcPr>
          <w:p w:rsidR="00D1722F" w:rsidRPr="00D1722F" w:rsidRDefault="00D1722F" w:rsidP="00D1722F">
            <w:pPr>
              <w:keepNext/>
              <w:widowControl w:val="0"/>
              <w:jc w:val="right"/>
              <w:rPr>
                <w:szCs w:val="24"/>
              </w:rPr>
            </w:pPr>
            <w:r w:rsidRPr="00D1722F">
              <w:t>14.18</w:t>
            </w:r>
          </w:p>
        </w:tc>
        <w:tc>
          <w:tcPr>
            <w:tcW w:w="1276" w:type="dxa"/>
          </w:tcPr>
          <w:p w:rsidR="00D1722F" w:rsidRPr="00D1722F" w:rsidRDefault="00D1722F" w:rsidP="00D1722F">
            <w:pPr>
              <w:keepNext/>
              <w:widowControl w:val="0"/>
              <w:jc w:val="right"/>
              <w:rPr>
                <w:szCs w:val="24"/>
              </w:rPr>
            </w:pPr>
            <w:r w:rsidRPr="00D1722F">
              <w:t>11.15</w:t>
            </w:r>
          </w:p>
        </w:tc>
        <w:tc>
          <w:tcPr>
            <w:tcW w:w="1276" w:type="dxa"/>
          </w:tcPr>
          <w:p w:rsidR="00D1722F" w:rsidRPr="00D1722F" w:rsidRDefault="00D1722F" w:rsidP="00D1722F">
            <w:pPr>
              <w:keepNext/>
              <w:widowControl w:val="0"/>
              <w:jc w:val="right"/>
              <w:rPr>
                <w:szCs w:val="24"/>
              </w:rPr>
            </w:pPr>
            <w:r w:rsidRPr="00D1722F">
              <w:t>9.87</w:t>
            </w:r>
          </w:p>
        </w:tc>
        <w:tc>
          <w:tcPr>
            <w:tcW w:w="1275" w:type="dxa"/>
          </w:tcPr>
          <w:p w:rsidR="00D1722F" w:rsidRPr="00D1722F" w:rsidRDefault="00D1722F" w:rsidP="00D1722F">
            <w:pPr>
              <w:keepNext/>
              <w:tabs>
                <w:tab w:val="decimal" w:pos="666"/>
              </w:tabs>
              <w:jc w:val="right"/>
              <w:rPr>
                <w:lang w:val="en-GB"/>
              </w:rPr>
            </w:pPr>
            <w:r w:rsidRPr="00D1722F">
              <w:rPr>
                <w:lang w:val="en-GB"/>
              </w:rPr>
              <w:t>20</w:t>
            </w:r>
          </w:p>
        </w:tc>
        <w:tc>
          <w:tcPr>
            <w:tcW w:w="1134" w:type="dxa"/>
          </w:tcPr>
          <w:p w:rsidR="00D1722F" w:rsidRPr="00D1722F" w:rsidRDefault="00D1722F" w:rsidP="00D1722F">
            <w:pPr>
              <w:keepNext/>
              <w:tabs>
                <w:tab w:val="decimal" w:pos="459"/>
              </w:tabs>
              <w:jc w:val="right"/>
              <w:rPr>
                <w:lang w:val="en-GB"/>
              </w:rPr>
            </w:pPr>
            <w:r w:rsidRPr="00D1722F">
              <w:rPr>
                <w:lang w:val="en-GB"/>
              </w:rPr>
              <w:t>14.2</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21*</w:t>
            </w:r>
          </w:p>
        </w:tc>
        <w:tc>
          <w:tcPr>
            <w:tcW w:w="1357" w:type="dxa"/>
          </w:tcPr>
          <w:p w:rsidR="00D1722F" w:rsidRPr="00D1722F" w:rsidRDefault="00D1722F" w:rsidP="00D1722F">
            <w:pPr>
              <w:keepNext/>
              <w:tabs>
                <w:tab w:val="decimal" w:pos="541"/>
              </w:tabs>
              <w:jc w:val="left"/>
              <w:rPr>
                <w:lang w:val="en-GB"/>
              </w:rPr>
            </w:pPr>
            <w:r w:rsidRPr="00D1722F">
              <w:rPr>
                <w:lang w:val="en-GB"/>
              </w:rPr>
              <w:t>0.95</w:t>
            </w:r>
          </w:p>
        </w:tc>
        <w:tc>
          <w:tcPr>
            <w:tcW w:w="1276" w:type="dxa"/>
          </w:tcPr>
          <w:p w:rsidR="00D1722F" w:rsidRPr="00D1722F" w:rsidRDefault="00D1722F" w:rsidP="00D1722F">
            <w:pPr>
              <w:keepNext/>
              <w:widowControl w:val="0"/>
              <w:jc w:val="right"/>
              <w:rPr>
                <w:szCs w:val="24"/>
              </w:rPr>
            </w:pPr>
            <w:r w:rsidRPr="00D1722F">
              <w:t>2.01</w:t>
            </w:r>
          </w:p>
        </w:tc>
        <w:tc>
          <w:tcPr>
            <w:tcW w:w="1276" w:type="dxa"/>
          </w:tcPr>
          <w:p w:rsidR="00D1722F" w:rsidRPr="00D1722F" w:rsidRDefault="00D1722F" w:rsidP="00D1722F">
            <w:pPr>
              <w:keepNext/>
              <w:widowControl w:val="0"/>
              <w:jc w:val="right"/>
              <w:rPr>
                <w:szCs w:val="24"/>
              </w:rPr>
            </w:pPr>
            <w:r w:rsidRPr="00D1722F">
              <w:t>1.56</w:t>
            </w:r>
          </w:p>
        </w:tc>
        <w:tc>
          <w:tcPr>
            <w:tcW w:w="1276" w:type="dxa"/>
          </w:tcPr>
          <w:p w:rsidR="00D1722F" w:rsidRPr="00D1722F" w:rsidRDefault="00D1722F" w:rsidP="00D1722F">
            <w:pPr>
              <w:keepNext/>
              <w:widowControl w:val="0"/>
              <w:jc w:val="right"/>
              <w:rPr>
                <w:szCs w:val="24"/>
              </w:rPr>
            </w:pPr>
            <w:r w:rsidRPr="00D1722F">
              <w:t>1.38</w:t>
            </w:r>
          </w:p>
        </w:tc>
        <w:tc>
          <w:tcPr>
            <w:tcW w:w="1275" w:type="dxa"/>
          </w:tcPr>
          <w:p w:rsidR="00D1722F" w:rsidRPr="00D1722F" w:rsidRDefault="00D1722F" w:rsidP="00D1722F">
            <w:pPr>
              <w:keepNext/>
              <w:tabs>
                <w:tab w:val="decimal" w:pos="666"/>
              </w:tabs>
              <w:jc w:val="right"/>
              <w:rPr>
                <w:lang w:val="en-GB"/>
              </w:rPr>
            </w:pPr>
            <w:r w:rsidRPr="00D1722F">
              <w:rPr>
                <w:lang w:val="en-GB"/>
              </w:rPr>
              <w:t>3</w:t>
            </w:r>
          </w:p>
        </w:tc>
        <w:tc>
          <w:tcPr>
            <w:tcW w:w="1134" w:type="dxa"/>
          </w:tcPr>
          <w:p w:rsidR="00D1722F" w:rsidRPr="00D1722F" w:rsidRDefault="00D1722F" w:rsidP="00D1722F">
            <w:pPr>
              <w:keepNext/>
              <w:tabs>
                <w:tab w:val="decimal" w:pos="459"/>
              </w:tabs>
              <w:jc w:val="right"/>
              <w:rPr>
                <w:lang w:val="en-GB" w:eastAsia="ja-JP"/>
              </w:rPr>
            </w:pPr>
            <w:r w:rsidRPr="00D1722F">
              <w:rPr>
                <w:lang w:val="en-GB"/>
              </w:rPr>
              <w:t>3</w:t>
            </w:r>
            <w:r w:rsidRPr="00D1722F">
              <w:rPr>
                <w:rFonts w:hint="eastAsia"/>
                <w:lang w:val="en-GB" w:eastAsia="ja-JP"/>
              </w:rPr>
              <w:t xml:space="preserve"> </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22</w:t>
            </w:r>
          </w:p>
        </w:tc>
        <w:tc>
          <w:tcPr>
            <w:tcW w:w="1357" w:type="dxa"/>
          </w:tcPr>
          <w:p w:rsidR="00D1722F" w:rsidRPr="00D1722F" w:rsidRDefault="00D1722F" w:rsidP="00D1722F">
            <w:pPr>
              <w:keepNext/>
              <w:tabs>
                <w:tab w:val="decimal" w:pos="541"/>
              </w:tabs>
              <w:jc w:val="left"/>
              <w:rPr>
                <w:lang w:val="en-GB"/>
              </w:rPr>
            </w:pPr>
            <w:r w:rsidRPr="00D1722F">
              <w:rPr>
                <w:lang w:val="en-GB"/>
              </w:rPr>
              <w:t>12.61</w:t>
            </w:r>
          </w:p>
        </w:tc>
        <w:tc>
          <w:tcPr>
            <w:tcW w:w="1276" w:type="dxa"/>
          </w:tcPr>
          <w:p w:rsidR="00D1722F" w:rsidRPr="00D1722F" w:rsidRDefault="00D1722F" w:rsidP="00D1722F">
            <w:pPr>
              <w:keepNext/>
              <w:widowControl w:val="0"/>
              <w:jc w:val="right"/>
              <w:rPr>
                <w:szCs w:val="24"/>
              </w:rPr>
            </w:pPr>
            <w:r w:rsidRPr="00D1722F">
              <w:t>28.38</w:t>
            </w:r>
          </w:p>
        </w:tc>
        <w:tc>
          <w:tcPr>
            <w:tcW w:w="1276" w:type="dxa"/>
          </w:tcPr>
          <w:p w:rsidR="00D1722F" w:rsidRPr="00D1722F" w:rsidRDefault="00D1722F" w:rsidP="00D1722F">
            <w:pPr>
              <w:keepNext/>
              <w:widowControl w:val="0"/>
              <w:jc w:val="right"/>
              <w:rPr>
                <w:szCs w:val="24"/>
              </w:rPr>
            </w:pPr>
            <w:r w:rsidRPr="00D1722F">
              <w:t>21.31</w:t>
            </w:r>
          </w:p>
        </w:tc>
        <w:tc>
          <w:tcPr>
            <w:tcW w:w="1276" w:type="dxa"/>
          </w:tcPr>
          <w:p w:rsidR="00D1722F" w:rsidRPr="00D1722F" w:rsidRDefault="00D1722F" w:rsidP="00D1722F">
            <w:pPr>
              <w:keepNext/>
              <w:widowControl w:val="0"/>
              <w:jc w:val="right"/>
              <w:rPr>
                <w:szCs w:val="24"/>
              </w:rPr>
            </w:pPr>
            <w:r w:rsidRPr="00D1722F">
              <w:t>18.56</w:t>
            </w:r>
          </w:p>
        </w:tc>
        <w:tc>
          <w:tcPr>
            <w:tcW w:w="1275" w:type="dxa"/>
          </w:tcPr>
          <w:p w:rsidR="00D1722F" w:rsidRPr="00D1722F" w:rsidRDefault="00D1722F" w:rsidP="00D1722F">
            <w:pPr>
              <w:keepNext/>
              <w:tabs>
                <w:tab w:val="decimal" w:pos="666"/>
              </w:tabs>
              <w:jc w:val="right"/>
              <w:rPr>
                <w:lang w:val="en-GB"/>
              </w:rPr>
            </w:pPr>
            <w:r w:rsidRPr="00D1722F">
              <w:rPr>
                <w:lang w:val="en-GB"/>
              </w:rPr>
              <w:t>30</w:t>
            </w:r>
          </w:p>
        </w:tc>
        <w:tc>
          <w:tcPr>
            <w:tcW w:w="1134" w:type="dxa"/>
          </w:tcPr>
          <w:p w:rsidR="00D1722F" w:rsidRPr="00D1722F" w:rsidRDefault="00D1722F" w:rsidP="00D1722F">
            <w:pPr>
              <w:keepNext/>
              <w:tabs>
                <w:tab w:val="decimal" w:pos="459"/>
              </w:tabs>
              <w:jc w:val="right"/>
              <w:rPr>
                <w:lang w:val="en-GB"/>
              </w:rPr>
            </w:pPr>
            <w:r w:rsidRPr="00D1722F">
              <w:rPr>
                <w:lang w:val="en-GB"/>
              </w:rPr>
              <w:t>28.4</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28</w:t>
            </w:r>
          </w:p>
        </w:tc>
        <w:tc>
          <w:tcPr>
            <w:tcW w:w="1357" w:type="dxa"/>
          </w:tcPr>
          <w:p w:rsidR="00D1722F" w:rsidRPr="00D1722F" w:rsidRDefault="00D1722F" w:rsidP="00D1722F">
            <w:pPr>
              <w:keepNext/>
              <w:tabs>
                <w:tab w:val="decimal" w:pos="541"/>
              </w:tabs>
              <w:jc w:val="left"/>
              <w:rPr>
                <w:lang w:val="en-GB"/>
              </w:rPr>
            </w:pPr>
            <w:r w:rsidRPr="00D1722F">
              <w:rPr>
                <w:lang w:val="en-GB"/>
              </w:rPr>
              <w:t>2.39</w:t>
            </w:r>
          </w:p>
        </w:tc>
        <w:tc>
          <w:tcPr>
            <w:tcW w:w="1276" w:type="dxa"/>
          </w:tcPr>
          <w:p w:rsidR="00D1722F" w:rsidRPr="00D1722F" w:rsidRDefault="00D1722F" w:rsidP="00D1722F">
            <w:pPr>
              <w:keepNext/>
              <w:widowControl w:val="0"/>
              <w:jc w:val="right"/>
              <w:rPr>
                <w:szCs w:val="24"/>
              </w:rPr>
            </w:pPr>
            <w:r w:rsidRPr="00D1722F">
              <w:t>5.99</w:t>
            </w:r>
          </w:p>
        </w:tc>
        <w:tc>
          <w:tcPr>
            <w:tcW w:w="1276" w:type="dxa"/>
          </w:tcPr>
          <w:p w:rsidR="00D1722F" w:rsidRPr="00D1722F" w:rsidRDefault="00D1722F" w:rsidP="00D1722F">
            <w:pPr>
              <w:keepNext/>
              <w:widowControl w:val="0"/>
              <w:jc w:val="right"/>
              <w:rPr>
                <w:szCs w:val="24"/>
              </w:rPr>
            </w:pPr>
            <w:r w:rsidRPr="00D1722F">
              <w:t>4.18</w:t>
            </w:r>
          </w:p>
        </w:tc>
        <w:tc>
          <w:tcPr>
            <w:tcW w:w="1276" w:type="dxa"/>
          </w:tcPr>
          <w:p w:rsidR="00D1722F" w:rsidRPr="00D1722F" w:rsidRDefault="00D1722F" w:rsidP="00D1722F">
            <w:pPr>
              <w:keepNext/>
              <w:widowControl w:val="0"/>
              <w:jc w:val="right"/>
              <w:rPr>
                <w:szCs w:val="24"/>
              </w:rPr>
            </w:pPr>
            <w:r w:rsidRPr="00D1722F">
              <w:t>3.56</w:t>
            </w:r>
          </w:p>
        </w:tc>
        <w:tc>
          <w:tcPr>
            <w:tcW w:w="1275" w:type="dxa"/>
          </w:tcPr>
          <w:p w:rsidR="00D1722F" w:rsidRPr="00D1722F" w:rsidRDefault="00D1722F" w:rsidP="00D1722F">
            <w:pPr>
              <w:keepNext/>
              <w:tabs>
                <w:tab w:val="decimal" w:pos="666"/>
              </w:tabs>
              <w:jc w:val="right"/>
              <w:rPr>
                <w:lang w:val="en-GB"/>
              </w:rPr>
            </w:pPr>
            <w:r w:rsidRPr="00D1722F">
              <w:rPr>
                <w:lang w:val="en-GB"/>
              </w:rPr>
              <w:t>12</w:t>
            </w:r>
          </w:p>
        </w:tc>
        <w:tc>
          <w:tcPr>
            <w:tcW w:w="1134" w:type="dxa"/>
          </w:tcPr>
          <w:p w:rsidR="00D1722F" w:rsidRPr="00D1722F" w:rsidRDefault="00D1722F" w:rsidP="00D1722F">
            <w:pPr>
              <w:keepNext/>
              <w:tabs>
                <w:tab w:val="decimal" w:pos="459"/>
              </w:tabs>
              <w:jc w:val="right"/>
              <w:rPr>
                <w:lang w:val="en-GB"/>
              </w:rPr>
            </w:pPr>
            <w:r w:rsidRPr="00D1722F">
              <w:rPr>
                <w:lang w:val="en-GB"/>
              </w:rPr>
              <w:t>6.0</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29*</w:t>
            </w:r>
          </w:p>
        </w:tc>
        <w:tc>
          <w:tcPr>
            <w:tcW w:w="1357" w:type="dxa"/>
          </w:tcPr>
          <w:p w:rsidR="00D1722F" w:rsidRPr="00D1722F" w:rsidRDefault="00D1722F" w:rsidP="00D1722F">
            <w:pPr>
              <w:keepNext/>
              <w:tabs>
                <w:tab w:val="decimal" w:pos="541"/>
              </w:tabs>
              <w:jc w:val="left"/>
              <w:rPr>
                <w:lang w:val="en-GB"/>
              </w:rPr>
            </w:pPr>
            <w:r w:rsidRPr="00D1722F">
              <w:rPr>
                <w:lang w:val="en-GB"/>
              </w:rPr>
              <w:t>0.93</w:t>
            </w:r>
          </w:p>
        </w:tc>
        <w:tc>
          <w:tcPr>
            <w:tcW w:w="1276" w:type="dxa"/>
          </w:tcPr>
          <w:p w:rsidR="00D1722F" w:rsidRPr="00D1722F" w:rsidRDefault="00D1722F" w:rsidP="00D1722F">
            <w:pPr>
              <w:keepNext/>
              <w:widowControl w:val="0"/>
              <w:jc w:val="right"/>
              <w:rPr>
                <w:szCs w:val="24"/>
              </w:rPr>
            </w:pPr>
            <w:r w:rsidRPr="00D1722F">
              <w:t>1.96</w:t>
            </w:r>
          </w:p>
        </w:tc>
        <w:tc>
          <w:tcPr>
            <w:tcW w:w="1276" w:type="dxa"/>
          </w:tcPr>
          <w:p w:rsidR="00D1722F" w:rsidRPr="00D1722F" w:rsidRDefault="00D1722F" w:rsidP="00D1722F">
            <w:pPr>
              <w:keepNext/>
              <w:widowControl w:val="0"/>
              <w:jc w:val="right"/>
              <w:rPr>
                <w:szCs w:val="24"/>
              </w:rPr>
            </w:pPr>
            <w:r w:rsidRPr="00D1722F">
              <w:t>1.54</w:t>
            </w:r>
          </w:p>
        </w:tc>
        <w:tc>
          <w:tcPr>
            <w:tcW w:w="1276" w:type="dxa"/>
          </w:tcPr>
          <w:p w:rsidR="00D1722F" w:rsidRPr="00D1722F" w:rsidRDefault="00D1722F" w:rsidP="00D1722F">
            <w:pPr>
              <w:keepNext/>
              <w:widowControl w:val="0"/>
              <w:jc w:val="right"/>
              <w:rPr>
                <w:szCs w:val="24"/>
              </w:rPr>
            </w:pPr>
            <w:r w:rsidRPr="00D1722F">
              <w:t>1.37</w:t>
            </w:r>
          </w:p>
        </w:tc>
        <w:tc>
          <w:tcPr>
            <w:tcW w:w="1275" w:type="dxa"/>
          </w:tcPr>
          <w:p w:rsidR="00D1722F" w:rsidRPr="00D1722F" w:rsidRDefault="00D1722F" w:rsidP="00D1722F">
            <w:pPr>
              <w:keepNext/>
              <w:tabs>
                <w:tab w:val="decimal" w:pos="666"/>
              </w:tabs>
              <w:jc w:val="right"/>
              <w:rPr>
                <w:lang w:val="en-GB"/>
              </w:rPr>
            </w:pPr>
            <w:r w:rsidRPr="00D1722F">
              <w:rPr>
                <w:lang w:val="en-GB"/>
              </w:rPr>
              <w:t>2</w:t>
            </w:r>
          </w:p>
        </w:tc>
        <w:tc>
          <w:tcPr>
            <w:tcW w:w="1134" w:type="dxa"/>
          </w:tcPr>
          <w:p w:rsidR="00D1722F" w:rsidRPr="00D1722F" w:rsidRDefault="00D1722F" w:rsidP="00D1722F">
            <w:pPr>
              <w:keepNext/>
              <w:tabs>
                <w:tab w:val="decimal" w:pos="459"/>
              </w:tabs>
              <w:jc w:val="right"/>
              <w:rPr>
                <w:lang w:val="en-GB"/>
              </w:rPr>
            </w:pPr>
            <w:r w:rsidRPr="00D1722F">
              <w:rPr>
                <w:lang w:val="en-GB"/>
              </w:rPr>
              <w:t>2</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34</w:t>
            </w:r>
          </w:p>
        </w:tc>
        <w:tc>
          <w:tcPr>
            <w:tcW w:w="1357" w:type="dxa"/>
          </w:tcPr>
          <w:p w:rsidR="00D1722F" w:rsidRPr="00D1722F" w:rsidRDefault="00D1722F" w:rsidP="00D1722F">
            <w:pPr>
              <w:keepNext/>
              <w:tabs>
                <w:tab w:val="decimal" w:pos="541"/>
              </w:tabs>
              <w:jc w:val="left"/>
              <w:rPr>
                <w:lang w:val="en-GB"/>
              </w:rPr>
            </w:pPr>
            <w:r w:rsidRPr="00D1722F">
              <w:rPr>
                <w:lang w:val="en-GB"/>
              </w:rPr>
              <w:t>19.61</w:t>
            </w:r>
          </w:p>
        </w:tc>
        <w:tc>
          <w:tcPr>
            <w:tcW w:w="1276" w:type="dxa"/>
          </w:tcPr>
          <w:p w:rsidR="00D1722F" w:rsidRPr="00D1722F" w:rsidRDefault="00D1722F" w:rsidP="00D1722F">
            <w:pPr>
              <w:keepNext/>
              <w:widowControl w:val="0"/>
              <w:jc w:val="right"/>
              <w:rPr>
                <w:szCs w:val="24"/>
              </w:rPr>
            </w:pPr>
            <w:r w:rsidRPr="00D1722F">
              <w:t>45.63</w:t>
            </w:r>
          </w:p>
        </w:tc>
        <w:tc>
          <w:tcPr>
            <w:tcW w:w="1276" w:type="dxa"/>
          </w:tcPr>
          <w:p w:rsidR="00D1722F" w:rsidRPr="00D1722F" w:rsidRDefault="00D1722F" w:rsidP="00D1722F">
            <w:pPr>
              <w:keepNext/>
              <w:widowControl w:val="0"/>
              <w:jc w:val="right"/>
              <w:rPr>
                <w:szCs w:val="24"/>
              </w:rPr>
            </w:pPr>
            <w:r w:rsidRPr="00D1722F">
              <w:t>33.46</w:t>
            </w:r>
          </w:p>
        </w:tc>
        <w:tc>
          <w:tcPr>
            <w:tcW w:w="1276" w:type="dxa"/>
          </w:tcPr>
          <w:p w:rsidR="00D1722F" w:rsidRPr="00D1722F" w:rsidRDefault="00D1722F" w:rsidP="00D1722F">
            <w:pPr>
              <w:keepNext/>
              <w:widowControl w:val="0"/>
              <w:jc w:val="right"/>
              <w:rPr>
                <w:szCs w:val="24"/>
              </w:rPr>
            </w:pPr>
            <w:r w:rsidRPr="00D1722F">
              <w:t>28.92</w:t>
            </w:r>
          </w:p>
        </w:tc>
        <w:tc>
          <w:tcPr>
            <w:tcW w:w="1275" w:type="dxa"/>
          </w:tcPr>
          <w:p w:rsidR="00D1722F" w:rsidRPr="00D1722F" w:rsidRDefault="00D1722F" w:rsidP="00D1722F">
            <w:pPr>
              <w:keepNext/>
              <w:tabs>
                <w:tab w:val="decimal" w:pos="666"/>
              </w:tabs>
              <w:jc w:val="right"/>
              <w:rPr>
                <w:lang w:val="en-GB"/>
              </w:rPr>
            </w:pPr>
            <w:r w:rsidRPr="00D1722F">
              <w:rPr>
                <w:lang w:val="en-GB"/>
              </w:rPr>
              <w:t>40</w:t>
            </w:r>
          </w:p>
        </w:tc>
        <w:tc>
          <w:tcPr>
            <w:tcW w:w="1134" w:type="dxa"/>
          </w:tcPr>
          <w:p w:rsidR="00D1722F" w:rsidRPr="00D1722F" w:rsidRDefault="00D1722F" w:rsidP="00D1722F">
            <w:pPr>
              <w:keepNext/>
              <w:tabs>
                <w:tab w:val="decimal" w:pos="459"/>
              </w:tabs>
              <w:jc w:val="right"/>
              <w:rPr>
                <w:lang w:val="en-GB"/>
              </w:rPr>
            </w:pPr>
            <w:r w:rsidRPr="00D1722F">
              <w:rPr>
                <w:lang w:val="en-GB"/>
              </w:rPr>
              <w:t>45.6</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37</w:t>
            </w:r>
          </w:p>
        </w:tc>
        <w:tc>
          <w:tcPr>
            <w:tcW w:w="1357" w:type="dxa"/>
          </w:tcPr>
          <w:p w:rsidR="00D1722F" w:rsidRPr="00D1722F" w:rsidRDefault="00D1722F" w:rsidP="00D1722F">
            <w:pPr>
              <w:keepNext/>
              <w:tabs>
                <w:tab w:val="decimal" w:pos="541"/>
              </w:tabs>
              <w:jc w:val="left"/>
              <w:rPr>
                <w:lang w:val="en-GB"/>
              </w:rPr>
            </w:pPr>
            <w:r w:rsidRPr="00D1722F">
              <w:rPr>
                <w:lang w:val="en-GB"/>
              </w:rPr>
              <w:t>5.84</w:t>
            </w:r>
          </w:p>
        </w:tc>
        <w:tc>
          <w:tcPr>
            <w:tcW w:w="1276" w:type="dxa"/>
          </w:tcPr>
          <w:p w:rsidR="00D1722F" w:rsidRPr="00D1722F" w:rsidRDefault="00D1722F" w:rsidP="00D1722F">
            <w:pPr>
              <w:keepNext/>
              <w:widowControl w:val="0"/>
              <w:jc w:val="right"/>
              <w:rPr>
                <w:szCs w:val="24"/>
              </w:rPr>
            </w:pPr>
            <w:r w:rsidRPr="00D1722F">
              <w:t>12.56</w:t>
            </w:r>
          </w:p>
        </w:tc>
        <w:tc>
          <w:tcPr>
            <w:tcW w:w="1276" w:type="dxa"/>
          </w:tcPr>
          <w:p w:rsidR="00D1722F" w:rsidRPr="00D1722F" w:rsidRDefault="00D1722F" w:rsidP="00D1722F">
            <w:pPr>
              <w:keepNext/>
              <w:widowControl w:val="0"/>
              <w:jc w:val="right"/>
              <w:rPr>
                <w:szCs w:val="24"/>
              </w:rPr>
            </w:pPr>
            <w:r w:rsidRPr="00D1722F">
              <w:t>9.79</w:t>
            </w:r>
          </w:p>
        </w:tc>
        <w:tc>
          <w:tcPr>
            <w:tcW w:w="1276" w:type="dxa"/>
          </w:tcPr>
          <w:p w:rsidR="00D1722F" w:rsidRPr="00D1722F" w:rsidRDefault="00D1722F" w:rsidP="00D1722F">
            <w:pPr>
              <w:keepNext/>
              <w:widowControl w:val="0"/>
              <w:jc w:val="right"/>
              <w:rPr>
                <w:szCs w:val="24"/>
              </w:rPr>
            </w:pPr>
            <w:r w:rsidRPr="00D1722F">
              <w:t>8.64</w:t>
            </w:r>
          </w:p>
        </w:tc>
        <w:tc>
          <w:tcPr>
            <w:tcW w:w="1275" w:type="dxa"/>
          </w:tcPr>
          <w:p w:rsidR="00D1722F" w:rsidRPr="00D1722F" w:rsidRDefault="00D1722F" w:rsidP="00D1722F">
            <w:pPr>
              <w:keepNext/>
              <w:tabs>
                <w:tab w:val="decimal" w:pos="666"/>
              </w:tabs>
              <w:jc w:val="right"/>
              <w:rPr>
                <w:lang w:val="en-GB"/>
              </w:rPr>
            </w:pPr>
            <w:r w:rsidRPr="00D1722F">
              <w:rPr>
                <w:lang w:val="en-GB"/>
              </w:rPr>
              <w:t>20</w:t>
            </w:r>
          </w:p>
        </w:tc>
        <w:tc>
          <w:tcPr>
            <w:tcW w:w="1134" w:type="dxa"/>
          </w:tcPr>
          <w:p w:rsidR="00D1722F" w:rsidRPr="00D1722F" w:rsidRDefault="00D1722F" w:rsidP="00D1722F">
            <w:pPr>
              <w:keepNext/>
              <w:tabs>
                <w:tab w:val="decimal" w:pos="459"/>
              </w:tabs>
              <w:jc w:val="right"/>
              <w:rPr>
                <w:lang w:val="en-GB"/>
              </w:rPr>
            </w:pPr>
            <w:r w:rsidRPr="00D1722F">
              <w:rPr>
                <w:lang w:val="en-GB"/>
              </w:rPr>
              <w:t>12.6</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38</w:t>
            </w:r>
          </w:p>
        </w:tc>
        <w:tc>
          <w:tcPr>
            <w:tcW w:w="1357" w:type="dxa"/>
          </w:tcPr>
          <w:p w:rsidR="00D1722F" w:rsidRPr="00D1722F" w:rsidRDefault="00D1722F" w:rsidP="00D1722F">
            <w:pPr>
              <w:keepNext/>
              <w:tabs>
                <w:tab w:val="decimal" w:pos="541"/>
              </w:tabs>
              <w:jc w:val="left"/>
              <w:rPr>
                <w:lang w:val="en-GB"/>
              </w:rPr>
            </w:pPr>
            <w:r w:rsidRPr="00D1722F">
              <w:rPr>
                <w:lang w:val="en-GB"/>
              </w:rPr>
              <w:t>0.97</w:t>
            </w:r>
          </w:p>
        </w:tc>
        <w:tc>
          <w:tcPr>
            <w:tcW w:w="1276" w:type="dxa"/>
          </w:tcPr>
          <w:p w:rsidR="00D1722F" w:rsidRPr="00D1722F" w:rsidRDefault="00D1722F" w:rsidP="00D1722F">
            <w:pPr>
              <w:keepNext/>
              <w:widowControl w:val="0"/>
              <w:jc w:val="right"/>
              <w:rPr>
                <w:szCs w:val="24"/>
              </w:rPr>
            </w:pPr>
            <w:r w:rsidRPr="00D1722F">
              <w:t>2.00</w:t>
            </w:r>
          </w:p>
        </w:tc>
        <w:tc>
          <w:tcPr>
            <w:tcW w:w="1276" w:type="dxa"/>
          </w:tcPr>
          <w:p w:rsidR="00D1722F" w:rsidRPr="00D1722F" w:rsidRDefault="00D1722F" w:rsidP="00D1722F">
            <w:pPr>
              <w:keepNext/>
              <w:widowControl w:val="0"/>
              <w:jc w:val="right"/>
              <w:rPr>
                <w:szCs w:val="24"/>
              </w:rPr>
            </w:pPr>
            <w:r w:rsidRPr="00D1722F">
              <w:t>1.59</w:t>
            </w:r>
          </w:p>
        </w:tc>
        <w:tc>
          <w:tcPr>
            <w:tcW w:w="1276" w:type="dxa"/>
          </w:tcPr>
          <w:p w:rsidR="00D1722F" w:rsidRPr="00D1722F" w:rsidRDefault="00D1722F" w:rsidP="00D1722F">
            <w:pPr>
              <w:keepNext/>
              <w:widowControl w:val="0"/>
              <w:jc w:val="right"/>
              <w:rPr>
                <w:szCs w:val="24"/>
              </w:rPr>
            </w:pPr>
            <w:r w:rsidRPr="00D1722F">
              <w:t>1.42</w:t>
            </w:r>
          </w:p>
        </w:tc>
        <w:tc>
          <w:tcPr>
            <w:tcW w:w="1275" w:type="dxa"/>
          </w:tcPr>
          <w:p w:rsidR="00D1722F" w:rsidRPr="00D1722F" w:rsidRDefault="00D1722F" w:rsidP="00D1722F">
            <w:pPr>
              <w:keepNext/>
              <w:tabs>
                <w:tab w:val="decimal" w:pos="666"/>
              </w:tabs>
              <w:jc w:val="right"/>
              <w:rPr>
                <w:lang w:val="en-GB"/>
              </w:rPr>
            </w:pPr>
            <w:r w:rsidRPr="00D1722F">
              <w:rPr>
                <w:lang w:val="en-GB"/>
              </w:rPr>
              <w:t>2</w:t>
            </w:r>
          </w:p>
        </w:tc>
        <w:tc>
          <w:tcPr>
            <w:tcW w:w="1134" w:type="dxa"/>
          </w:tcPr>
          <w:p w:rsidR="00D1722F" w:rsidRPr="00D1722F" w:rsidRDefault="00D1722F" w:rsidP="00D1722F">
            <w:pPr>
              <w:keepNext/>
              <w:tabs>
                <w:tab w:val="decimal" w:pos="459"/>
              </w:tabs>
              <w:jc w:val="right"/>
              <w:rPr>
                <w:lang w:val="en-GB"/>
              </w:rPr>
            </w:pPr>
            <w:r w:rsidRPr="00D1722F">
              <w:rPr>
                <w:lang w:val="en-GB"/>
              </w:rPr>
              <w:t>2.0</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42*</w:t>
            </w:r>
          </w:p>
        </w:tc>
        <w:tc>
          <w:tcPr>
            <w:tcW w:w="1357" w:type="dxa"/>
          </w:tcPr>
          <w:p w:rsidR="00D1722F" w:rsidRPr="00D1722F" w:rsidRDefault="00D1722F" w:rsidP="00D1722F">
            <w:pPr>
              <w:keepNext/>
              <w:tabs>
                <w:tab w:val="decimal" w:pos="541"/>
              </w:tabs>
              <w:jc w:val="left"/>
              <w:rPr>
                <w:lang w:val="en-GB"/>
              </w:rPr>
            </w:pPr>
            <w:r w:rsidRPr="00D1722F">
              <w:rPr>
                <w:lang w:val="en-GB"/>
              </w:rPr>
              <w:t>0.83</w:t>
            </w:r>
          </w:p>
        </w:tc>
        <w:tc>
          <w:tcPr>
            <w:tcW w:w="1276" w:type="dxa"/>
          </w:tcPr>
          <w:p w:rsidR="00D1722F" w:rsidRPr="00D1722F" w:rsidRDefault="00D1722F" w:rsidP="00D1722F">
            <w:pPr>
              <w:keepNext/>
              <w:widowControl w:val="0"/>
              <w:jc w:val="right"/>
              <w:rPr>
                <w:szCs w:val="24"/>
              </w:rPr>
            </w:pPr>
            <w:r w:rsidRPr="00D1722F">
              <w:t>1.66</w:t>
            </w:r>
          </w:p>
        </w:tc>
        <w:tc>
          <w:tcPr>
            <w:tcW w:w="1276" w:type="dxa"/>
          </w:tcPr>
          <w:p w:rsidR="00D1722F" w:rsidRPr="00D1722F" w:rsidRDefault="00D1722F" w:rsidP="00D1722F">
            <w:pPr>
              <w:keepNext/>
              <w:widowControl w:val="0"/>
              <w:jc w:val="right"/>
              <w:rPr>
                <w:szCs w:val="24"/>
              </w:rPr>
            </w:pPr>
            <w:r w:rsidRPr="00D1722F">
              <w:t>1.31</w:t>
            </w:r>
          </w:p>
        </w:tc>
        <w:tc>
          <w:tcPr>
            <w:tcW w:w="1276" w:type="dxa"/>
          </w:tcPr>
          <w:p w:rsidR="00D1722F" w:rsidRPr="00D1722F" w:rsidRDefault="00D1722F" w:rsidP="00D1722F">
            <w:pPr>
              <w:keepNext/>
              <w:widowControl w:val="0"/>
              <w:jc w:val="right"/>
              <w:rPr>
                <w:szCs w:val="24"/>
              </w:rPr>
            </w:pPr>
            <w:r w:rsidRPr="00D1722F">
              <w:t>1.16</w:t>
            </w:r>
          </w:p>
        </w:tc>
        <w:tc>
          <w:tcPr>
            <w:tcW w:w="1275" w:type="dxa"/>
          </w:tcPr>
          <w:p w:rsidR="00D1722F" w:rsidRPr="00D1722F" w:rsidRDefault="00D1722F" w:rsidP="00D1722F">
            <w:pPr>
              <w:keepNext/>
              <w:tabs>
                <w:tab w:val="decimal" w:pos="666"/>
              </w:tabs>
              <w:jc w:val="right"/>
              <w:rPr>
                <w:lang w:val="en-GB"/>
              </w:rPr>
            </w:pPr>
            <w:r w:rsidRPr="00D1722F">
              <w:rPr>
                <w:lang w:val="en-GB"/>
              </w:rPr>
              <w:t>2</w:t>
            </w:r>
          </w:p>
        </w:tc>
        <w:tc>
          <w:tcPr>
            <w:tcW w:w="1134" w:type="dxa"/>
          </w:tcPr>
          <w:p w:rsidR="00D1722F" w:rsidRPr="00D1722F" w:rsidRDefault="00D1722F" w:rsidP="00D1722F">
            <w:pPr>
              <w:keepNext/>
              <w:tabs>
                <w:tab w:val="decimal" w:pos="459"/>
              </w:tabs>
              <w:jc w:val="right"/>
              <w:rPr>
                <w:lang w:val="en-GB"/>
              </w:rPr>
            </w:pPr>
            <w:r w:rsidRPr="00D1722F">
              <w:rPr>
                <w:lang w:val="en-GB"/>
              </w:rPr>
              <w:t>2</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46</w:t>
            </w:r>
          </w:p>
        </w:tc>
        <w:tc>
          <w:tcPr>
            <w:tcW w:w="1357" w:type="dxa"/>
          </w:tcPr>
          <w:p w:rsidR="00D1722F" w:rsidRPr="00D1722F" w:rsidRDefault="00D1722F" w:rsidP="00D1722F">
            <w:pPr>
              <w:keepNext/>
              <w:tabs>
                <w:tab w:val="decimal" w:pos="541"/>
              </w:tabs>
              <w:jc w:val="left"/>
              <w:rPr>
                <w:lang w:val="en-GB"/>
              </w:rPr>
            </w:pPr>
            <w:r w:rsidRPr="00D1722F">
              <w:rPr>
                <w:lang w:val="en-GB"/>
              </w:rPr>
              <w:t>0.47</w:t>
            </w:r>
          </w:p>
        </w:tc>
        <w:tc>
          <w:tcPr>
            <w:tcW w:w="1276" w:type="dxa"/>
          </w:tcPr>
          <w:p w:rsidR="00D1722F" w:rsidRPr="00D1722F" w:rsidRDefault="00D1722F" w:rsidP="00D1722F">
            <w:pPr>
              <w:keepNext/>
              <w:widowControl w:val="0"/>
              <w:jc w:val="right"/>
              <w:rPr>
                <w:szCs w:val="24"/>
              </w:rPr>
            </w:pPr>
            <w:r w:rsidRPr="00D1722F">
              <w:t>1.03</w:t>
            </w:r>
          </w:p>
        </w:tc>
        <w:tc>
          <w:tcPr>
            <w:tcW w:w="1276" w:type="dxa"/>
          </w:tcPr>
          <w:p w:rsidR="00D1722F" w:rsidRPr="00D1722F" w:rsidRDefault="00D1722F" w:rsidP="00D1722F">
            <w:pPr>
              <w:keepNext/>
              <w:widowControl w:val="0"/>
              <w:jc w:val="right"/>
              <w:rPr>
                <w:szCs w:val="24"/>
              </w:rPr>
            </w:pPr>
            <w:r w:rsidRPr="00D1722F">
              <w:t>0.77</w:t>
            </w:r>
          </w:p>
        </w:tc>
        <w:tc>
          <w:tcPr>
            <w:tcW w:w="1276" w:type="dxa"/>
          </w:tcPr>
          <w:p w:rsidR="00D1722F" w:rsidRPr="00D1722F" w:rsidRDefault="00D1722F" w:rsidP="00D1722F">
            <w:pPr>
              <w:keepNext/>
              <w:widowControl w:val="0"/>
              <w:jc w:val="right"/>
              <w:rPr>
                <w:szCs w:val="24"/>
              </w:rPr>
            </w:pPr>
            <w:r w:rsidRPr="00D1722F">
              <w:t>0.67</w:t>
            </w:r>
          </w:p>
        </w:tc>
        <w:tc>
          <w:tcPr>
            <w:tcW w:w="1275" w:type="dxa"/>
          </w:tcPr>
          <w:p w:rsidR="00D1722F" w:rsidRPr="00D1722F" w:rsidRDefault="00D1722F" w:rsidP="00D1722F">
            <w:pPr>
              <w:keepNext/>
              <w:tabs>
                <w:tab w:val="decimal" w:pos="666"/>
              </w:tabs>
              <w:jc w:val="right"/>
              <w:rPr>
                <w:lang w:val="en-GB"/>
              </w:rPr>
            </w:pPr>
            <w:r w:rsidRPr="00D1722F">
              <w:rPr>
                <w:lang w:val="en-GB"/>
              </w:rPr>
              <w:t>2</w:t>
            </w:r>
          </w:p>
        </w:tc>
        <w:tc>
          <w:tcPr>
            <w:tcW w:w="1134" w:type="dxa"/>
          </w:tcPr>
          <w:p w:rsidR="00D1722F" w:rsidRPr="00D1722F" w:rsidRDefault="00D1722F" w:rsidP="00D1722F">
            <w:pPr>
              <w:keepNext/>
              <w:tabs>
                <w:tab w:val="decimal" w:pos="459"/>
              </w:tabs>
              <w:jc w:val="right"/>
              <w:rPr>
                <w:lang w:val="en-GB"/>
              </w:rPr>
            </w:pPr>
            <w:r w:rsidRPr="00D1722F">
              <w:rPr>
                <w:lang w:val="en-GB"/>
              </w:rPr>
              <w:t>1.0</w:t>
            </w:r>
          </w:p>
        </w:tc>
      </w:tr>
      <w:tr w:rsidR="00D1722F" w:rsidRPr="00D1722F" w:rsidTr="00D1722F">
        <w:tc>
          <w:tcPr>
            <w:tcW w:w="1586" w:type="dxa"/>
          </w:tcPr>
          <w:p w:rsidR="00D1722F" w:rsidRPr="00D1722F" w:rsidRDefault="00D1722F" w:rsidP="00D1722F">
            <w:pPr>
              <w:keepNext/>
              <w:tabs>
                <w:tab w:val="decimal" w:pos="851"/>
              </w:tabs>
              <w:jc w:val="left"/>
              <w:rPr>
                <w:lang w:val="en-GB"/>
              </w:rPr>
            </w:pPr>
            <w:r w:rsidRPr="00D1722F">
              <w:rPr>
                <w:lang w:val="en-GB"/>
              </w:rPr>
              <w:t>57</w:t>
            </w:r>
          </w:p>
        </w:tc>
        <w:tc>
          <w:tcPr>
            <w:tcW w:w="1357" w:type="dxa"/>
          </w:tcPr>
          <w:p w:rsidR="00D1722F" w:rsidRPr="00D1722F" w:rsidRDefault="00D1722F" w:rsidP="00D1722F">
            <w:pPr>
              <w:keepNext/>
              <w:tabs>
                <w:tab w:val="decimal" w:pos="541"/>
              </w:tabs>
              <w:jc w:val="left"/>
              <w:rPr>
                <w:lang w:val="en-GB"/>
              </w:rPr>
            </w:pPr>
            <w:r w:rsidRPr="00D1722F">
              <w:rPr>
                <w:lang w:val="en-GB"/>
              </w:rPr>
              <w:t>4.03</w:t>
            </w:r>
          </w:p>
        </w:tc>
        <w:tc>
          <w:tcPr>
            <w:tcW w:w="1276" w:type="dxa"/>
          </w:tcPr>
          <w:p w:rsidR="00D1722F" w:rsidRPr="00D1722F" w:rsidRDefault="00D1722F" w:rsidP="00D1722F">
            <w:pPr>
              <w:keepNext/>
              <w:widowControl w:val="0"/>
              <w:jc w:val="right"/>
              <w:rPr>
                <w:szCs w:val="24"/>
              </w:rPr>
            </w:pPr>
            <w:r w:rsidRPr="00D1722F">
              <w:t>9.70</w:t>
            </w:r>
          </w:p>
        </w:tc>
        <w:tc>
          <w:tcPr>
            <w:tcW w:w="1276" w:type="dxa"/>
          </w:tcPr>
          <w:p w:rsidR="00D1722F" w:rsidRPr="00D1722F" w:rsidRDefault="00D1722F" w:rsidP="00D1722F">
            <w:pPr>
              <w:keepNext/>
              <w:widowControl w:val="0"/>
              <w:jc w:val="right"/>
              <w:rPr>
                <w:szCs w:val="24"/>
              </w:rPr>
            </w:pPr>
            <w:r w:rsidRPr="00D1722F">
              <w:t>7.01</w:t>
            </w:r>
          </w:p>
        </w:tc>
        <w:tc>
          <w:tcPr>
            <w:tcW w:w="1276" w:type="dxa"/>
          </w:tcPr>
          <w:p w:rsidR="00D1722F" w:rsidRPr="00D1722F" w:rsidRDefault="00D1722F" w:rsidP="00D1722F">
            <w:pPr>
              <w:keepNext/>
              <w:widowControl w:val="0"/>
              <w:jc w:val="right"/>
              <w:rPr>
                <w:szCs w:val="24"/>
              </w:rPr>
            </w:pPr>
            <w:r w:rsidRPr="00D1722F">
              <w:t>6.02</w:t>
            </w:r>
          </w:p>
        </w:tc>
        <w:tc>
          <w:tcPr>
            <w:tcW w:w="1275" w:type="dxa"/>
          </w:tcPr>
          <w:p w:rsidR="00D1722F" w:rsidRPr="00D1722F" w:rsidRDefault="00D1722F" w:rsidP="00D1722F">
            <w:pPr>
              <w:keepNext/>
              <w:tabs>
                <w:tab w:val="decimal" w:pos="666"/>
              </w:tabs>
              <w:jc w:val="right"/>
              <w:rPr>
                <w:lang w:val="en-GB"/>
              </w:rPr>
            </w:pPr>
            <w:r w:rsidRPr="00D1722F">
              <w:rPr>
                <w:lang w:val="en-GB"/>
              </w:rPr>
              <w:t>8</w:t>
            </w:r>
          </w:p>
        </w:tc>
        <w:tc>
          <w:tcPr>
            <w:tcW w:w="1134" w:type="dxa"/>
          </w:tcPr>
          <w:p w:rsidR="00D1722F" w:rsidRPr="00D1722F" w:rsidRDefault="00D1722F" w:rsidP="00D1722F">
            <w:pPr>
              <w:keepNext/>
              <w:tabs>
                <w:tab w:val="decimal" w:pos="459"/>
              </w:tabs>
              <w:jc w:val="right"/>
              <w:rPr>
                <w:lang w:val="en-GB"/>
              </w:rPr>
            </w:pPr>
            <w:r w:rsidRPr="00D1722F">
              <w:rPr>
                <w:lang w:val="en-GB"/>
              </w:rPr>
              <w:t>9.7</w:t>
            </w:r>
          </w:p>
        </w:tc>
      </w:tr>
    </w:tbl>
    <w:p w:rsidR="00D1722F" w:rsidRPr="00D1722F" w:rsidRDefault="00D1722F" w:rsidP="00D1722F">
      <w:pPr>
        <w:keepNext/>
        <w:spacing w:before="60"/>
        <w:rPr>
          <w:lang w:val="en-GB"/>
        </w:rPr>
      </w:pPr>
      <w:r w:rsidRPr="00D1722F">
        <w:rPr>
          <w:sz w:val="22"/>
          <w:vertAlign w:val="superscript"/>
          <w:lang w:val="en-GB"/>
        </w:rPr>
        <w:t xml:space="preserve">* </w:t>
      </w:r>
      <w:r w:rsidRPr="00D1722F">
        <w:rPr>
          <w:sz w:val="18"/>
          <w:szCs w:val="18"/>
          <w:lang w:val="en-GB"/>
        </w:rPr>
        <w:t>These characteristics are scored VG/MG and so an integer tolerance is more appropriate</w:t>
      </w:r>
    </w:p>
    <w:p w:rsidR="00D1722F" w:rsidRPr="00D1722F" w:rsidRDefault="00D1722F" w:rsidP="00D1722F">
      <w:pPr>
        <w:rPr>
          <w:lang w:val="en-GB" w:eastAsia="ja-JP"/>
        </w:rPr>
      </w:pPr>
    </w:p>
    <w:p w:rsidR="00D1722F" w:rsidRPr="00D1722F" w:rsidRDefault="00D1722F" w:rsidP="00D1722F">
      <w:pPr>
        <w:rPr>
          <w:lang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 xml:space="preserve">The first cycle thresholds are always larger than the COYD criterion.  The degree to which they are larger depends on the degree of heterogeneity present, especially for larger values of </w:t>
      </w:r>
      <w:proofErr w:type="spellStart"/>
      <w:r w:rsidRPr="00D1722F">
        <w:rPr>
          <w:lang w:val="en-GB" w:eastAsia="ja-JP"/>
        </w:rPr>
        <w:t>pD.</w:t>
      </w:r>
      <w:proofErr w:type="spellEnd"/>
    </w:p>
    <w:p w:rsidR="00D1722F" w:rsidRPr="00D1722F" w:rsidRDefault="00D1722F" w:rsidP="00D1722F">
      <w:pPr>
        <w:rPr>
          <w:lang w:val="en-GB"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The results above are an update of those presented in TWC/33/20 Rev..  To establish the effect of using tolerances, the pea data set has been used to study the effect of first year decisions based on the existing and calculated tolerances.</w:t>
      </w:r>
    </w:p>
    <w:p w:rsidR="00D1722F" w:rsidRPr="00D1722F" w:rsidRDefault="00D1722F" w:rsidP="00D1722F"/>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First-year decisions were compared with COYD decisions in consecutive pairs of years (1995-96, 1996-97, 1997-98 etc.) for each characteristic.  To evaluate the different thresholds, error rates were calculated:</w:t>
      </w:r>
    </w:p>
    <w:p w:rsidR="00D1722F" w:rsidRPr="00D1722F" w:rsidRDefault="00D1722F" w:rsidP="00D1722F">
      <w:pPr>
        <w:rPr>
          <w:lang w:val="en-GB" w:eastAsia="ja-JP"/>
        </w:rPr>
      </w:pPr>
    </w:p>
    <w:p w:rsidR="00D1722F" w:rsidRPr="00D1722F" w:rsidRDefault="00D1722F" w:rsidP="00D1722F">
      <w:pPr>
        <w:ind w:left="1134" w:hanging="567"/>
        <w:rPr>
          <w:lang w:val="en-GB" w:eastAsia="ja-JP"/>
        </w:rPr>
      </w:pPr>
      <w:r w:rsidRPr="00D1722F">
        <w:rPr>
          <w:lang w:val="en-GB" w:eastAsia="ja-JP"/>
        </w:rPr>
        <w:t>•</w:t>
      </w:r>
      <w:r w:rsidRPr="00D1722F">
        <w:rPr>
          <w:lang w:val="en-GB" w:eastAsia="ja-JP"/>
        </w:rPr>
        <w:tab/>
        <w:t xml:space="preserve">False positive rate: this is the proportion of times for each characteristic that the first-year threshold indicated a variety would be distinct from another variety when the subsequent </w:t>
      </w:r>
      <w:r w:rsidRPr="00D1722F">
        <w:rPr>
          <w:rFonts w:hint="eastAsia"/>
          <w:lang w:val="en-GB" w:eastAsia="ja-JP"/>
        </w:rPr>
        <w:t>second-year</w:t>
      </w:r>
      <w:r w:rsidRPr="00D1722F">
        <w:rPr>
          <w:lang w:val="en-GB" w:eastAsia="ja-JP"/>
        </w:rPr>
        <w:t xml:space="preserve"> decision was non-distinct.  This indicates the downside of taking early decisions: sometimes a pair of varieties might be declared distinct in the first year when they might later be found non-distinct.  The rate of false positives is lower for higher thresholds.</w:t>
      </w:r>
    </w:p>
    <w:p w:rsidR="00D1722F" w:rsidRPr="00D1722F" w:rsidRDefault="00D1722F" w:rsidP="00D1722F">
      <w:pPr>
        <w:ind w:left="1134" w:hanging="567"/>
        <w:rPr>
          <w:lang w:val="en-GB" w:eastAsia="ja-JP"/>
        </w:rPr>
      </w:pPr>
    </w:p>
    <w:p w:rsidR="00D1722F" w:rsidRPr="00D1722F" w:rsidRDefault="00D1722F" w:rsidP="00D1722F">
      <w:pPr>
        <w:ind w:left="1134" w:hanging="567"/>
        <w:rPr>
          <w:lang w:val="en-GB" w:eastAsia="ja-JP"/>
        </w:rPr>
      </w:pPr>
      <w:r w:rsidRPr="00D1722F">
        <w:rPr>
          <w:lang w:val="en-GB" w:eastAsia="ja-JP"/>
        </w:rPr>
        <w:t>•</w:t>
      </w:r>
      <w:r w:rsidRPr="00D1722F">
        <w:rPr>
          <w:lang w:val="en-GB" w:eastAsia="ja-JP"/>
        </w:rPr>
        <w:tab/>
        <w:t xml:space="preserve">False negative rate is the proportion of times that the first-year decision was non-distinct when the </w:t>
      </w:r>
      <w:r w:rsidRPr="00D1722F">
        <w:rPr>
          <w:rFonts w:hint="eastAsia"/>
          <w:lang w:val="en-GB" w:eastAsia="ja-JP"/>
        </w:rPr>
        <w:t>second-year</w:t>
      </w:r>
      <w:r w:rsidRPr="00D1722F">
        <w:rPr>
          <w:lang w:val="en-GB" w:eastAsia="ja-JP"/>
        </w:rPr>
        <w:t xml:space="preserve"> decision was distinct.  This gives an indication of how useful the threshold might be in practice, with lower rates indicating that more pairs of varieties would be found distinct after the first year.  </w:t>
      </w:r>
    </w:p>
    <w:p w:rsidR="00D1722F" w:rsidRPr="00D1722F" w:rsidRDefault="00D1722F" w:rsidP="00D1722F">
      <w:pPr>
        <w:rPr>
          <w:lang w:val="en-GB"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The results of this study are shown in Tables 3 and 4.  These results should be interpreted with care since typically reference varieties that were clearly distinct from the candidate in at least one characteristic after the first year would have been removed from further comparisons.  However the effect of this selection would be to give a pessimistic view of the performance of the calculated thresholds (false negative rates).</w:t>
      </w:r>
    </w:p>
    <w:p w:rsidR="00D1722F" w:rsidRPr="00D1722F" w:rsidRDefault="00D1722F" w:rsidP="00D1722F">
      <w:pPr>
        <w:rPr>
          <w:lang w:val="en-GB"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The rate of false positives was very low, especially with the existing tolerance</w:t>
      </w:r>
      <w:r w:rsidRPr="00D1722F">
        <w:rPr>
          <w:rFonts w:hint="eastAsia"/>
          <w:lang w:val="en-GB" w:eastAsia="ja-JP"/>
        </w:rPr>
        <w:t xml:space="preserve"> of the United Kingdom</w:t>
      </w:r>
      <w:r w:rsidRPr="00D1722F">
        <w:rPr>
          <w:lang w:val="en-GB" w:eastAsia="ja-JP"/>
        </w:rPr>
        <w:t xml:space="preserve"> and with the calculated threshold with </w:t>
      </w:r>
      <w:proofErr w:type="spellStart"/>
      <w:r w:rsidRPr="00D1722F">
        <w:rPr>
          <w:lang w:val="en-GB" w:eastAsia="ja-JP"/>
        </w:rPr>
        <w:t>pD</w:t>
      </w:r>
      <w:proofErr w:type="spellEnd"/>
      <w:r w:rsidRPr="00D1722F">
        <w:rPr>
          <w:lang w:val="en-GB" w:eastAsia="ja-JP"/>
        </w:rPr>
        <w:t xml:space="preserve"> being 0.99.  Note that it is difficult to attain a 0% false positive rate simply because the two-year COYD criterion is in itself subject to variability.</w:t>
      </w:r>
    </w:p>
    <w:p w:rsidR="00D1722F" w:rsidRPr="00D1722F" w:rsidRDefault="00D1722F" w:rsidP="00D1722F">
      <w:pPr>
        <w:rPr>
          <w:lang w:val="en-GB"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 xml:space="preserve">The usefulness of the tolerances is represented by the false negative rates.  The calculated tolerances with lower values of </w:t>
      </w:r>
      <w:proofErr w:type="spellStart"/>
      <w:r w:rsidRPr="00D1722F">
        <w:rPr>
          <w:lang w:val="en-GB" w:eastAsia="ja-JP"/>
        </w:rPr>
        <w:t>pD</w:t>
      </w:r>
      <w:proofErr w:type="spellEnd"/>
      <w:r w:rsidRPr="00D1722F">
        <w:rPr>
          <w:lang w:val="en-GB" w:eastAsia="ja-JP"/>
        </w:rPr>
        <w:t xml:space="preserve"> find more pairs of varieties distinct in the first year.  Performance varies widely between characteristics e.g. 29, 46 and 57 have low false negative rates even with </w:t>
      </w:r>
      <w:proofErr w:type="spellStart"/>
      <w:r w:rsidRPr="00D1722F">
        <w:rPr>
          <w:lang w:val="en-GB" w:eastAsia="ja-JP"/>
        </w:rPr>
        <w:t>pD</w:t>
      </w:r>
      <w:proofErr w:type="spellEnd"/>
      <w:r w:rsidRPr="00D1722F">
        <w:rPr>
          <w:lang w:val="en-GB" w:eastAsia="ja-JP"/>
        </w:rPr>
        <w:t xml:space="preserve"> being 0.99.  Remember that these rates are likely to be pessimistic due to selection in the example data set.</w:t>
      </w:r>
    </w:p>
    <w:p w:rsidR="00D1722F" w:rsidRPr="00D1722F" w:rsidRDefault="00D1722F" w:rsidP="00D1722F">
      <w:pPr>
        <w:rPr>
          <w:lang w:val="en-GB" w:eastAsia="ja-JP"/>
        </w:rPr>
      </w:pPr>
    </w:p>
    <w:p w:rsidR="00D1722F" w:rsidRPr="00D1722F" w:rsidRDefault="00D1722F" w:rsidP="00D30383">
      <w:pPr>
        <w:keepLines/>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 xml:space="preserve">Choice of a suitable </w:t>
      </w:r>
      <w:proofErr w:type="spellStart"/>
      <w:r w:rsidRPr="00D1722F">
        <w:rPr>
          <w:lang w:val="en-GB" w:eastAsia="ja-JP"/>
        </w:rPr>
        <w:t>pD</w:t>
      </w:r>
      <w:proofErr w:type="spellEnd"/>
      <w:r w:rsidRPr="00D1722F">
        <w:rPr>
          <w:lang w:val="en-GB" w:eastAsia="ja-JP"/>
        </w:rPr>
        <w:t xml:space="preserve"> value for setting tolerances involves balancing the risks associated with false positives and negatives.  In the case of the </w:t>
      </w:r>
      <w:r w:rsidRPr="00D1722F">
        <w:rPr>
          <w:rFonts w:hint="eastAsia"/>
          <w:lang w:val="en-GB" w:eastAsia="ja-JP"/>
        </w:rPr>
        <w:t>United Kingdom</w:t>
      </w:r>
      <w:r w:rsidRPr="00D1722F">
        <w:rPr>
          <w:lang w:val="en-GB" w:eastAsia="ja-JP"/>
        </w:rPr>
        <w:t xml:space="preserve">, a conservative approach has been taken.  The calculated thresholds with the distinctness probability set at 0.99 had reasonable levels of false positives and false negatives.  So based on the calculated thresholds with </w:t>
      </w:r>
      <w:proofErr w:type="spellStart"/>
      <w:r w:rsidRPr="00D1722F">
        <w:rPr>
          <w:lang w:val="en-GB" w:eastAsia="ja-JP"/>
        </w:rPr>
        <w:t>pD</w:t>
      </w:r>
      <w:proofErr w:type="spellEnd"/>
      <w:r w:rsidRPr="00D1722F">
        <w:rPr>
          <w:lang w:val="en-GB" w:eastAsia="ja-JP"/>
        </w:rPr>
        <w:t xml:space="preserve"> at 99%, the crop expert has proposed new first year tolerances to be used in </w:t>
      </w:r>
      <w:r w:rsidRPr="00D1722F">
        <w:rPr>
          <w:rFonts w:hint="eastAsia"/>
          <w:lang w:val="en-GB" w:eastAsia="ja-JP"/>
        </w:rPr>
        <w:t>the United Kingdom</w:t>
      </w:r>
      <w:r w:rsidRPr="00D1722F">
        <w:rPr>
          <w:lang w:val="en-GB" w:eastAsia="ja-JP"/>
        </w:rPr>
        <w:t xml:space="preserve"> field pea DUS tests with semi-leafless varieties (Table 2).  Note that the tolerances for scored MG/VG characteristics (21, 29 and 42) are not based on the calculated threshold. However these calculations do give confidence in the tolerances currently used.</w:t>
      </w:r>
    </w:p>
    <w:p w:rsidR="00D1722F" w:rsidRPr="00D1722F" w:rsidRDefault="00D1722F" w:rsidP="00D1722F">
      <w:pPr>
        <w:rPr>
          <w:lang w:eastAsia="ja-JP"/>
        </w:rPr>
      </w:pPr>
    </w:p>
    <w:p w:rsidR="00D1722F" w:rsidRPr="00D1722F" w:rsidRDefault="00D1722F" w:rsidP="00D1722F">
      <w:pPr>
        <w:rPr>
          <w:lang w:eastAsia="ja-JP"/>
        </w:rPr>
      </w:pPr>
    </w:p>
    <w:p w:rsidR="00D1722F" w:rsidRPr="00D1722F" w:rsidRDefault="00D1722F" w:rsidP="00D1722F">
      <w:pPr>
        <w:widowControl w:val="0"/>
        <w:rPr>
          <w:szCs w:val="24"/>
        </w:rPr>
      </w:pPr>
      <w:r w:rsidRPr="00D1722F">
        <w:rPr>
          <w:szCs w:val="24"/>
        </w:rPr>
        <w:t xml:space="preserve">Table 3. Proportion of times in the </w:t>
      </w:r>
      <w:r w:rsidRPr="00D1722F">
        <w:rPr>
          <w:rFonts w:hint="eastAsia"/>
          <w:lang w:val="en-GB" w:eastAsia="ja-JP"/>
        </w:rPr>
        <w:t>United Kingdom</w:t>
      </w:r>
      <w:r w:rsidRPr="00D1722F">
        <w:rPr>
          <w:szCs w:val="24"/>
        </w:rPr>
        <w:t xml:space="preserve"> pea data set that the first-year thresholds indicated a variety would be distinct from another variety when the subsequent COYD decision was non-distinct in the field pea data set (false positive) </w:t>
      </w:r>
    </w:p>
    <w:p w:rsidR="00D1722F" w:rsidRPr="00D1722F" w:rsidRDefault="00D1722F" w:rsidP="00D1722F">
      <w:pPr>
        <w:widowControl w:val="0"/>
        <w:rPr>
          <w:i/>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21"/>
        <w:gridCol w:w="1689"/>
        <w:gridCol w:w="1701"/>
        <w:gridCol w:w="1417"/>
      </w:tblGrid>
      <w:tr w:rsidR="00D1722F" w:rsidRPr="00D1722F" w:rsidTr="00D1722F">
        <w:tc>
          <w:tcPr>
            <w:tcW w:w="1618"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Characteristic</w:t>
            </w:r>
          </w:p>
        </w:tc>
        <w:tc>
          <w:tcPr>
            <w:tcW w:w="1621"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 xml:space="preserve">Calculated threshold with </w:t>
            </w:r>
            <w:proofErr w:type="spellStart"/>
            <w:r w:rsidRPr="00D1722F">
              <w:rPr>
                <w:i/>
                <w:szCs w:val="24"/>
              </w:rPr>
              <w:t>p</w:t>
            </w:r>
            <w:r w:rsidRPr="00D1722F">
              <w:rPr>
                <w:i/>
                <w:szCs w:val="24"/>
                <w:vertAlign w:val="subscript"/>
              </w:rPr>
              <w:t>D</w:t>
            </w:r>
            <w:proofErr w:type="spellEnd"/>
            <w:r w:rsidRPr="00D1722F">
              <w:rPr>
                <w:szCs w:val="24"/>
              </w:rPr>
              <w:t>=0.99</w:t>
            </w:r>
          </w:p>
        </w:tc>
        <w:tc>
          <w:tcPr>
            <w:tcW w:w="1689"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 xml:space="preserve">Calculated threshold with </w:t>
            </w:r>
            <w:proofErr w:type="spellStart"/>
            <w:r w:rsidRPr="00D1722F">
              <w:rPr>
                <w:i/>
                <w:szCs w:val="24"/>
              </w:rPr>
              <w:t>p</w:t>
            </w:r>
            <w:r w:rsidRPr="00D1722F">
              <w:rPr>
                <w:i/>
                <w:szCs w:val="24"/>
                <w:vertAlign w:val="subscript"/>
              </w:rPr>
              <w:t>D</w:t>
            </w:r>
            <w:proofErr w:type="spellEnd"/>
            <w:r w:rsidRPr="00D1722F" w:rsidDel="003C64DD">
              <w:rPr>
                <w:szCs w:val="24"/>
              </w:rPr>
              <w:t xml:space="preserve"> </w:t>
            </w:r>
            <w:r w:rsidRPr="00D1722F">
              <w:rPr>
                <w:szCs w:val="24"/>
              </w:rPr>
              <w:t>=0.95</w:t>
            </w:r>
          </w:p>
        </w:tc>
        <w:tc>
          <w:tcPr>
            <w:tcW w:w="1701"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 xml:space="preserve">Calculated threshold with </w:t>
            </w:r>
            <w:proofErr w:type="spellStart"/>
            <w:r w:rsidRPr="00D1722F">
              <w:rPr>
                <w:i/>
                <w:szCs w:val="24"/>
              </w:rPr>
              <w:t>p</w:t>
            </w:r>
            <w:r w:rsidRPr="00D1722F">
              <w:rPr>
                <w:i/>
                <w:szCs w:val="24"/>
                <w:vertAlign w:val="subscript"/>
              </w:rPr>
              <w:t>D</w:t>
            </w:r>
            <w:proofErr w:type="spellEnd"/>
            <w:r w:rsidRPr="00D1722F" w:rsidDel="003C64DD">
              <w:rPr>
                <w:szCs w:val="24"/>
              </w:rPr>
              <w:t xml:space="preserve"> </w:t>
            </w:r>
            <w:r w:rsidRPr="00D1722F">
              <w:rPr>
                <w:szCs w:val="24"/>
              </w:rPr>
              <w:t>=0.9</w:t>
            </w:r>
          </w:p>
        </w:tc>
        <w:tc>
          <w:tcPr>
            <w:tcW w:w="1417" w:type="dxa"/>
            <w:tcBorders>
              <w:top w:val="single" w:sz="4" w:space="0" w:color="auto"/>
              <w:bottom w:val="single" w:sz="4" w:space="0" w:color="auto"/>
            </w:tcBorders>
          </w:tcPr>
          <w:p w:rsidR="00D1722F" w:rsidRPr="00D1722F" w:rsidRDefault="00D1722F" w:rsidP="00D1722F">
            <w:pPr>
              <w:widowControl w:val="0"/>
              <w:jc w:val="center"/>
              <w:rPr>
                <w:szCs w:val="24"/>
                <w:lang w:eastAsia="ja-JP"/>
              </w:rPr>
            </w:pPr>
            <w:r w:rsidRPr="00D1722F">
              <w:rPr>
                <w:szCs w:val="24"/>
              </w:rPr>
              <w:t>Current tolerance</w:t>
            </w:r>
            <w:r w:rsidRPr="00D1722F">
              <w:rPr>
                <w:rFonts w:hint="eastAsia"/>
                <w:szCs w:val="24"/>
                <w:lang w:eastAsia="ja-JP"/>
              </w:rPr>
              <w:t xml:space="preserve"> of </w:t>
            </w:r>
            <w:r w:rsidRPr="00D1722F">
              <w:rPr>
                <w:rFonts w:hint="eastAsia"/>
                <w:lang w:val="en-GB" w:eastAsia="ja-JP"/>
              </w:rPr>
              <w:t>the United Kingdom</w:t>
            </w:r>
          </w:p>
        </w:tc>
      </w:tr>
      <w:tr w:rsidR="00D1722F" w:rsidRPr="00D1722F" w:rsidTr="00D1722F">
        <w:tc>
          <w:tcPr>
            <w:tcW w:w="1618" w:type="dxa"/>
            <w:tcBorders>
              <w:top w:val="single" w:sz="4" w:space="0" w:color="auto"/>
            </w:tcBorders>
          </w:tcPr>
          <w:p w:rsidR="00D1722F" w:rsidRPr="00D1722F" w:rsidRDefault="00D1722F" w:rsidP="00D1722F">
            <w:pPr>
              <w:widowControl w:val="0"/>
              <w:jc w:val="center"/>
              <w:rPr>
                <w:szCs w:val="24"/>
              </w:rPr>
            </w:pPr>
            <w:r w:rsidRPr="00D1722F">
              <w:rPr>
                <w:szCs w:val="24"/>
              </w:rPr>
              <w:t>5</w:t>
            </w:r>
          </w:p>
        </w:tc>
        <w:tc>
          <w:tcPr>
            <w:tcW w:w="1621" w:type="dxa"/>
            <w:tcBorders>
              <w:top w:val="single" w:sz="4" w:space="0" w:color="auto"/>
            </w:tcBorders>
          </w:tcPr>
          <w:p w:rsidR="00D1722F" w:rsidRPr="00D1722F" w:rsidRDefault="00D1722F" w:rsidP="00D1722F">
            <w:pPr>
              <w:widowControl w:val="0"/>
              <w:jc w:val="center"/>
              <w:rPr>
                <w:szCs w:val="24"/>
              </w:rPr>
            </w:pPr>
            <w:r w:rsidRPr="00D1722F">
              <w:t>0.00%</w:t>
            </w:r>
          </w:p>
        </w:tc>
        <w:tc>
          <w:tcPr>
            <w:tcW w:w="1689" w:type="dxa"/>
            <w:tcBorders>
              <w:top w:val="single" w:sz="4" w:space="0" w:color="auto"/>
            </w:tcBorders>
          </w:tcPr>
          <w:p w:rsidR="00D1722F" w:rsidRPr="00D1722F" w:rsidRDefault="00D1722F" w:rsidP="00D1722F">
            <w:pPr>
              <w:widowControl w:val="0"/>
              <w:jc w:val="center"/>
              <w:rPr>
                <w:szCs w:val="24"/>
              </w:rPr>
            </w:pPr>
            <w:r w:rsidRPr="00D1722F">
              <w:t>0.05%</w:t>
            </w:r>
          </w:p>
        </w:tc>
        <w:tc>
          <w:tcPr>
            <w:tcW w:w="1701" w:type="dxa"/>
            <w:tcBorders>
              <w:top w:val="single" w:sz="4" w:space="0" w:color="auto"/>
            </w:tcBorders>
          </w:tcPr>
          <w:p w:rsidR="00D1722F" w:rsidRPr="00D1722F" w:rsidRDefault="00D1722F" w:rsidP="00D1722F">
            <w:pPr>
              <w:widowControl w:val="0"/>
              <w:jc w:val="center"/>
              <w:rPr>
                <w:szCs w:val="24"/>
              </w:rPr>
            </w:pPr>
            <w:r w:rsidRPr="00D1722F">
              <w:t>0.40%</w:t>
            </w:r>
          </w:p>
        </w:tc>
        <w:tc>
          <w:tcPr>
            <w:tcW w:w="1417" w:type="dxa"/>
            <w:tcBorders>
              <w:top w:val="single" w:sz="4" w:space="0" w:color="auto"/>
            </w:tcBorders>
          </w:tcPr>
          <w:p w:rsidR="00D1722F" w:rsidRPr="00D1722F" w:rsidRDefault="00D1722F" w:rsidP="00D1722F">
            <w:pPr>
              <w:widowControl w:val="0"/>
              <w:jc w:val="center"/>
              <w:rPr>
                <w:szCs w:val="24"/>
              </w:rPr>
            </w:pPr>
            <w:r w:rsidRPr="00D1722F">
              <w:t>0.00%</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15</w:t>
            </w:r>
          </w:p>
        </w:tc>
        <w:tc>
          <w:tcPr>
            <w:tcW w:w="1621" w:type="dxa"/>
          </w:tcPr>
          <w:p w:rsidR="00D1722F" w:rsidRPr="00D1722F" w:rsidRDefault="00D1722F" w:rsidP="00D1722F">
            <w:pPr>
              <w:widowControl w:val="0"/>
              <w:jc w:val="center"/>
              <w:rPr>
                <w:szCs w:val="24"/>
              </w:rPr>
            </w:pPr>
            <w:r w:rsidRPr="00D1722F">
              <w:t>0.07%</w:t>
            </w:r>
          </w:p>
        </w:tc>
        <w:tc>
          <w:tcPr>
            <w:tcW w:w="1689" w:type="dxa"/>
          </w:tcPr>
          <w:p w:rsidR="00D1722F" w:rsidRPr="00D1722F" w:rsidRDefault="00D1722F" w:rsidP="00D1722F">
            <w:pPr>
              <w:widowControl w:val="0"/>
              <w:jc w:val="center"/>
              <w:rPr>
                <w:szCs w:val="24"/>
              </w:rPr>
            </w:pPr>
            <w:r w:rsidRPr="00D1722F">
              <w:t>0.62%</w:t>
            </w:r>
          </w:p>
        </w:tc>
        <w:tc>
          <w:tcPr>
            <w:tcW w:w="1701" w:type="dxa"/>
          </w:tcPr>
          <w:p w:rsidR="00D1722F" w:rsidRPr="00D1722F" w:rsidRDefault="00D1722F" w:rsidP="00D1722F">
            <w:pPr>
              <w:widowControl w:val="0"/>
              <w:jc w:val="center"/>
              <w:rPr>
                <w:szCs w:val="24"/>
              </w:rPr>
            </w:pPr>
            <w:r w:rsidRPr="00D1722F">
              <w:t>1.34%</w:t>
            </w:r>
          </w:p>
        </w:tc>
        <w:tc>
          <w:tcPr>
            <w:tcW w:w="1417" w:type="dxa"/>
          </w:tcPr>
          <w:p w:rsidR="00D1722F" w:rsidRPr="00D1722F" w:rsidRDefault="00D1722F" w:rsidP="00D1722F">
            <w:pPr>
              <w:widowControl w:val="0"/>
              <w:jc w:val="center"/>
              <w:rPr>
                <w:szCs w:val="24"/>
              </w:rPr>
            </w:pPr>
            <w:r w:rsidRPr="00D1722F">
              <w:t>0.04%</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16</w:t>
            </w:r>
          </w:p>
        </w:tc>
        <w:tc>
          <w:tcPr>
            <w:tcW w:w="1621" w:type="dxa"/>
          </w:tcPr>
          <w:p w:rsidR="00D1722F" w:rsidRPr="00D1722F" w:rsidRDefault="00D1722F" w:rsidP="00D1722F">
            <w:pPr>
              <w:widowControl w:val="0"/>
              <w:jc w:val="center"/>
              <w:rPr>
                <w:szCs w:val="24"/>
              </w:rPr>
            </w:pPr>
            <w:r w:rsidRPr="00D1722F">
              <w:t>0.17%</w:t>
            </w:r>
          </w:p>
        </w:tc>
        <w:tc>
          <w:tcPr>
            <w:tcW w:w="1689" w:type="dxa"/>
          </w:tcPr>
          <w:p w:rsidR="00D1722F" w:rsidRPr="00D1722F" w:rsidRDefault="00D1722F" w:rsidP="00D1722F">
            <w:pPr>
              <w:widowControl w:val="0"/>
              <w:jc w:val="center"/>
              <w:rPr>
                <w:szCs w:val="24"/>
              </w:rPr>
            </w:pPr>
            <w:r w:rsidRPr="00D1722F">
              <w:t>0.79%</w:t>
            </w:r>
          </w:p>
        </w:tc>
        <w:tc>
          <w:tcPr>
            <w:tcW w:w="1701" w:type="dxa"/>
          </w:tcPr>
          <w:p w:rsidR="00D1722F" w:rsidRPr="00D1722F" w:rsidRDefault="00D1722F" w:rsidP="00D1722F">
            <w:pPr>
              <w:widowControl w:val="0"/>
              <w:jc w:val="center"/>
              <w:rPr>
                <w:szCs w:val="24"/>
              </w:rPr>
            </w:pPr>
            <w:r w:rsidRPr="00D1722F">
              <w:t>1.59%</w:t>
            </w:r>
          </w:p>
        </w:tc>
        <w:tc>
          <w:tcPr>
            <w:tcW w:w="1417" w:type="dxa"/>
          </w:tcPr>
          <w:p w:rsidR="00D1722F" w:rsidRPr="00D1722F" w:rsidRDefault="00D1722F" w:rsidP="00D1722F">
            <w:pPr>
              <w:widowControl w:val="0"/>
              <w:jc w:val="center"/>
              <w:rPr>
                <w:szCs w:val="24"/>
              </w:rPr>
            </w:pPr>
            <w:r w:rsidRPr="00D1722F">
              <w:t>0.00%</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21</w:t>
            </w:r>
          </w:p>
        </w:tc>
        <w:tc>
          <w:tcPr>
            <w:tcW w:w="1621" w:type="dxa"/>
          </w:tcPr>
          <w:p w:rsidR="00D1722F" w:rsidRPr="00D1722F" w:rsidRDefault="00D1722F" w:rsidP="00D1722F">
            <w:pPr>
              <w:widowControl w:val="0"/>
              <w:jc w:val="center"/>
              <w:rPr>
                <w:szCs w:val="24"/>
              </w:rPr>
            </w:pPr>
            <w:r w:rsidRPr="00D1722F">
              <w:t>0.01%</w:t>
            </w:r>
          </w:p>
        </w:tc>
        <w:tc>
          <w:tcPr>
            <w:tcW w:w="1689" w:type="dxa"/>
          </w:tcPr>
          <w:p w:rsidR="00D1722F" w:rsidRPr="00D1722F" w:rsidRDefault="00D1722F" w:rsidP="00D1722F">
            <w:pPr>
              <w:widowControl w:val="0"/>
              <w:jc w:val="center"/>
              <w:rPr>
                <w:szCs w:val="24"/>
              </w:rPr>
            </w:pPr>
            <w:r w:rsidRPr="00D1722F">
              <w:t>0.18%</w:t>
            </w:r>
          </w:p>
        </w:tc>
        <w:tc>
          <w:tcPr>
            <w:tcW w:w="1701" w:type="dxa"/>
          </w:tcPr>
          <w:p w:rsidR="00D1722F" w:rsidRPr="00D1722F" w:rsidRDefault="00D1722F" w:rsidP="00D1722F">
            <w:pPr>
              <w:widowControl w:val="0"/>
              <w:jc w:val="center"/>
              <w:rPr>
                <w:szCs w:val="24"/>
              </w:rPr>
            </w:pPr>
            <w:r w:rsidRPr="00D1722F">
              <w:t>1.34%</w:t>
            </w:r>
          </w:p>
        </w:tc>
        <w:tc>
          <w:tcPr>
            <w:tcW w:w="1417" w:type="dxa"/>
          </w:tcPr>
          <w:p w:rsidR="00D1722F" w:rsidRPr="00D1722F" w:rsidRDefault="00D1722F" w:rsidP="00D1722F">
            <w:pPr>
              <w:widowControl w:val="0"/>
              <w:jc w:val="center"/>
              <w:rPr>
                <w:szCs w:val="24"/>
              </w:rPr>
            </w:pPr>
            <w:r w:rsidRPr="00D1722F">
              <w:t>0.00%</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22</w:t>
            </w:r>
          </w:p>
        </w:tc>
        <w:tc>
          <w:tcPr>
            <w:tcW w:w="1621" w:type="dxa"/>
          </w:tcPr>
          <w:p w:rsidR="00D1722F" w:rsidRPr="00D1722F" w:rsidRDefault="00D1722F" w:rsidP="00D1722F">
            <w:pPr>
              <w:widowControl w:val="0"/>
              <w:jc w:val="center"/>
              <w:rPr>
                <w:szCs w:val="24"/>
              </w:rPr>
            </w:pPr>
            <w:r w:rsidRPr="00D1722F">
              <w:t>0.05%</w:t>
            </w:r>
          </w:p>
        </w:tc>
        <w:tc>
          <w:tcPr>
            <w:tcW w:w="1689" w:type="dxa"/>
          </w:tcPr>
          <w:p w:rsidR="00D1722F" w:rsidRPr="00D1722F" w:rsidRDefault="00D1722F" w:rsidP="00D1722F">
            <w:pPr>
              <w:widowControl w:val="0"/>
              <w:jc w:val="center"/>
              <w:rPr>
                <w:szCs w:val="24"/>
              </w:rPr>
            </w:pPr>
            <w:r w:rsidRPr="00D1722F">
              <w:t>0.41%</w:t>
            </w:r>
          </w:p>
        </w:tc>
        <w:tc>
          <w:tcPr>
            <w:tcW w:w="1701" w:type="dxa"/>
          </w:tcPr>
          <w:p w:rsidR="00D1722F" w:rsidRPr="00D1722F" w:rsidRDefault="00D1722F" w:rsidP="00D1722F">
            <w:pPr>
              <w:widowControl w:val="0"/>
              <w:jc w:val="center"/>
              <w:rPr>
                <w:szCs w:val="24"/>
              </w:rPr>
            </w:pPr>
            <w:r w:rsidRPr="00D1722F">
              <w:t>0.96%</w:t>
            </w:r>
          </w:p>
        </w:tc>
        <w:tc>
          <w:tcPr>
            <w:tcW w:w="1417" w:type="dxa"/>
          </w:tcPr>
          <w:p w:rsidR="00D1722F" w:rsidRPr="00D1722F" w:rsidRDefault="00D1722F" w:rsidP="00D1722F">
            <w:pPr>
              <w:widowControl w:val="0"/>
              <w:jc w:val="center"/>
              <w:rPr>
                <w:szCs w:val="24"/>
              </w:rPr>
            </w:pPr>
            <w:r w:rsidRPr="00D1722F">
              <w:t>0.03%</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28</w:t>
            </w:r>
          </w:p>
        </w:tc>
        <w:tc>
          <w:tcPr>
            <w:tcW w:w="1621" w:type="dxa"/>
          </w:tcPr>
          <w:p w:rsidR="00D1722F" w:rsidRPr="00D1722F" w:rsidRDefault="00D1722F" w:rsidP="00D1722F">
            <w:pPr>
              <w:widowControl w:val="0"/>
              <w:jc w:val="center"/>
              <w:rPr>
                <w:szCs w:val="24"/>
              </w:rPr>
            </w:pPr>
            <w:r w:rsidRPr="00D1722F">
              <w:t>0.04%</w:t>
            </w:r>
          </w:p>
        </w:tc>
        <w:tc>
          <w:tcPr>
            <w:tcW w:w="1689" w:type="dxa"/>
          </w:tcPr>
          <w:p w:rsidR="00D1722F" w:rsidRPr="00D1722F" w:rsidRDefault="00D1722F" w:rsidP="00D1722F">
            <w:pPr>
              <w:widowControl w:val="0"/>
              <w:jc w:val="center"/>
              <w:rPr>
                <w:szCs w:val="24"/>
              </w:rPr>
            </w:pPr>
            <w:r w:rsidRPr="00D1722F">
              <w:t>0.54%</w:t>
            </w:r>
          </w:p>
        </w:tc>
        <w:tc>
          <w:tcPr>
            <w:tcW w:w="1701" w:type="dxa"/>
          </w:tcPr>
          <w:p w:rsidR="00D1722F" w:rsidRPr="00D1722F" w:rsidRDefault="00D1722F" w:rsidP="00D1722F">
            <w:pPr>
              <w:widowControl w:val="0"/>
              <w:jc w:val="center"/>
              <w:rPr>
                <w:szCs w:val="24"/>
              </w:rPr>
            </w:pPr>
            <w:r w:rsidRPr="00D1722F">
              <w:t>1.17%</w:t>
            </w:r>
          </w:p>
        </w:tc>
        <w:tc>
          <w:tcPr>
            <w:tcW w:w="1417" w:type="dxa"/>
          </w:tcPr>
          <w:p w:rsidR="00D1722F" w:rsidRPr="00D1722F" w:rsidRDefault="00D1722F" w:rsidP="00D1722F">
            <w:pPr>
              <w:widowControl w:val="0"/>
              <w:jc w:val="center"/>
              <w:rPr>
                <w:szCs w:val="24"/>
              </w:rPr>
            </w:pPr>
            <w:r w:rsidRPr="00D1722F">
              <w:t>0.00%</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29</w:t>
            </w:r>
          </w:p>
        </w:tc>
        <w:tc>
          <w:tcPr>
            <w:tcW w:w="1621" w:type="dxa"/>
          </w:tcPr>
          <w:p w:rsidR="00D1722F" w:rsidRPr="00D1722F" w:rsidRDefault="00D1722F" w:rsidP="00D1722F">
            <w:pPr>
              <w:widowControl w:val="0"/>
              <w:jc w:val="center"/>
              <w:rPr>
                <w:szCs w:val="24"/>
              </w:rPr>
            </w:pPr>
            <w:r w:rsidRPr="00D1722F">
              <w:t>0.15%</w:t>
            </w:r>
          </w:p>
        </w:tc>
        <w:tc>
          <w:tcPr>
            <w:tcW w:w="1689" w:type="dxa"/>
          </w:tcPr>
          <w:p w:rsidR="00D1722F" w:rsidRPr="00D1722F" w:rsidRDefault="00D1722F" w:rsidP="00D1722F">
            <w:pPr>
              <w:widowControl w:val="0"/>
              <w:jc w:val="center"/>
              <w:rPr>
                <w:szCs w:val="24"/>
              </w:rPr>
            </w:pPr>
            <w:r w:rsidRPr="00D1722F">
              <w:t>0.15%</w:t>
            </w:r>
          </w:p>
        </w:tc>
        <w:tc>
          <w:tcPr>
            <w:tcW w:w="1701" w:type="dxa"/>
          </w:tcPr>
          <w:p w:rsidR="00D1722F" w:rsidRPr="00D1722F" w:rsidRDefault="00D1722F" w:rsidP="00D1722F">
            <w:pPr>
              <w:widowControl w:val="0"/>
              <w:jc w:val="center"/>
              <w:rPr>
                <w:szCs w:val="24"/>
              </w:rPr>
            </w:pPr>
            <w:r w:rsidRPr="00D1722F">
              <w:t>0.99%</w:t>
            </w:r>
          </w:p>
        </w:tc>
        <w:tc>
          <w:tcPr>
            <w:tcW w:w="1417" w:type="dxa"/>
          </w:tcPr>
          <w:p w:rsidR="00D1722F" w:rsidRPr="00D1722F" w:rsidRDefault="00D1722F" w:rsidP="00D1722F">
            <w:pPr>
              <w:widowControl w:val="0"/>
              <w:jc w:val="center"/>
              <w:rPr>
                <w:szCs w:val="24"/>
              </w:rPr>
            </w:pPr>
            <w:r w:rsidRPr="00D1722F">
              <w:t>0.15%</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34</w:t>
            </w:r>
          </w:p>
        </w:tc>
        <w:tc>
          <w:tcPr>
            <w:tcW w:w="1621" w:type="dxa"/>
          </w:tcPr>
          <w:p w:rsidR="00D1722F" w:rsidRPr="00D1722F" w:rsidRDefault="00D1722F" w:rsidP="00D1722F">
            <w:pPr>
              <w:widowControl w:val="0"/>
              <w:jc w:val="center"/>
              <w:rPr>
                <w:szCs w:val="24"/>
              </w:rPr>
            </w:pPr>
            <w:r w:rsidRPr="00D1722F">
              <w:t>0.03%</w:t>
            </w:r>
          </w:p>
        </w:tc>
        <w:tc>
          <w:tcPr>
            <w:tcW w:w="1689" w:type="dxa"/>
          </w:tcPr>
          <w:p w:rsidR="00D1722F" w:rsidRPr="00D1722F" w:rsidRDefault="00D1722F" w:rsidP="00D1722F">
            <w:pPr>
              <w:widowControl w:val="0"/>
              <w:jc w:val="center"/>
              <w:rPr>
                <w:szCs w:val="24"/>
              </w:rPr>
            </w:pPr>
            <w:r w:rsidRPr="00D1722F">
              <w:t>0.40%</w:t>
            </w:r>
          </w:p>
        </w:tc>
        <w:tc>
          <w:tcPr>
            <w:tcW w:w="1701" w:type="dxa"/>
          </w:tcPr>
          <w:p w:rsidR="00D1722F" w:rsidRPr="00D1722F" w:rsidRDefault="00D1722F" w:rsidP="00D1722F">
            <w:pPr>
              <w:widowControl w:val="0"/>
              <w:jc w:val="center"/>
              <w:rPr>
                <w:szCs w:val="24"/>
              </w:rPr>
            </w:pPr>
            <w:r w:rsidRPr="00D1722F">
              <w:t>1.05%</w:t>
            </w:r>
          </w:p>
        </w:tc>
        <w:tc>
          <w:tcPr>
            <w:tcW w:w="1417" w:type="dxa"/>
          </w:tcPr>
          <w:p w:rsidR="00D1722F" w:rsidRPr="00D1722F" w:rsidRDefault="00D1722F" w:rsidP="00D1722F">
            <w:pPr>
              <w:widowControl w:val="0"/>
              <w:jc w:val="center"/>
              <w:rPr>
                <w:szCs w:val="24"/>
              </w:rPr>
            </w:pPr>
            <w:r w:rsidRPr="00D1722F">
              <w:t>0.07%</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37</w:t>
            </w:r>
          </w:p>
        </w:tc>
        <w:tc>
          <w:tcPr>
            <w:tcW w:w="1621" w:type="dxa"/>
          </w:tcPr>
          <w:p w:rsidR="00D1722F" w:rsidRPr="00D1722F" w:rsidRDefault="00D1722F" w:rsidP="00D1722F">
            <w:pPr>
              <w:widowControl w:val="0"/>
              <w:jc w:val="center"/>
              <w:rPr>
                <w:szCs w:val="24"/>
              </w:rPr>
            </w:pPr>
            <w:r w:rsidRPr="00D1722F">
              <w:t>0.02%</w:t>
            </w:r>
          </w:p>
        </w:tc>
        <w:tc>
          <w:tcPr>
            <w:tcW w:w="1689" w:type="dxa"/>
          </w:tcPr>
          <w:p w:rsidR="00D1722F" w:rsidRPr="00D1722F" w:rsidRDefault="00D1722F" w:rsidP="00D1722F">
            <w:pPr>
              <w:widowControl w:val="0"/>
              <w:jc w:val="center"/>
              <w:rPr>
                <w:szCs w:val="24"/>
              </w:rPr>
            </w:pPr>
            <w:r w:rsidRPr="00D1722F">
              <w:t>0.23%</w:t>
            </w:r>
          </w:p>
        </w:tc>
        <w:tc>
          <w:tcPr>
            <w:tcW w:w="1701" w:type="dxa"/>
          </w:tcPr>
          <w:p w:rsidR="00D1722F" w:rsidRPr="00D1722F" w:rsidRDefault="00D1722F" w:rsidP="00D1722F">
            <w:pPr>
              <w:widowControl w:val="0"/>
              <w:jc w:val="center"/>
              <w:rPr>
                <w:szCs w:val="24"/>
              </w:rPr>
            </w:pPr>
            <w:r w:rsidRPr="00D1722F">
              <w:t>0.57%</w:t>
            </w:r>
          </w:p>
        </w:tc>
        <w:tc>
          <w:tcPr>
            <w:tcW w:w="1417" w:type="dxa"/>
          </w:tcPr>
          <w:p w:rsidR="00D1722F" w:rsidRPr="00D1722F" w:rsidRDefault="00D1722F" w:rsidP="00D1722F">
            <w:pPr>
              <w:widowControl w:val="0"/>
              <w:jc w:val="center"/>
              <w:rPr>
                <w:szCs w:val="24"/>
              </w:rPr>
            </w:pPr>
            <w:r w:rsidRPr="00D1722F">
              <w:t>0.00%</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38</w:t>
            </w:r>
          </w:p>
        </w:tc>
        <w:tc>
          <w:tcPr>
            <w:tcW w:w="1621" w:type="dxa"/>
          </w:tcPr>
          <w:p w:rsidR="00D1722F" w:rsidRPr="00D1722F" w:rsidRDefault="00D1722F" w:rsidP="00D1722F">
            <w:pPr>
              <w:widowControl w:val="0"/>
              <w:jc w:val="center"/>
              <w:rPr>
                <w:szCs w:val="24"/>
              </w:rPr>
            </w:pPr>
            <w:r w:rsidRPr="00D1722F">
              <w:t>0.04%</w:t>
            </w:r>
          </w:p>
        </w:tc>
        <w:tc>
          <w:tcPr>
            <w:tcW w:w="1689" w:type="dxa"/>
          </w:tcPr>
          <w:p w:rsidR="00D1722F" w:rsidRPr="00D1722F" w:rsidRDefault="00D1722F" w:rsidP="00D1722F">
            <w:pPr>
              <w:widowControl w:val="0"/>
              <w:jc w:val="center"/>
              <w:rPr>
                <w:szCs w:val="24"/>
              </w:rPr>
            </w:pPr>
            <w:r w:rsidRPr="00D1722F">
              <w:t>0.58%</w:t>
            </w:r>
          </w:p>
        </w:tc>
        <w:tc>
          <w:tcPr>
            <w:tcW w:w="1701" w:type="dxa"/>
          </w:tcPr>
          <w:p w:rsidR="00D1722F" w:rsidRPr="00D1722F" w:rsidRDefault="00D1722F" w:rsidP="00D1722F">
            <w:pPr>
              <w:widowControl w:val="0"/>
              <w:jc w:val="center"/>
              <w:rPr>
                <w:szCs w:val="24"/>
              </w:rPr>
            </w:pPr>
            <w:r w:rsidRPr="00D1722F">
              <w:t>1.17%</w:t>
            </w:r>
          </w:p>
        </w:tc>
        <w:tc>
          <w:tcPr>
            <w:tcW w:w="1417" w:type="dxa"/>
          </w:tcPr>
          <w:p w:rsidR="00D1722F" w:rsidRPr="00D1722F" w:rsidRDefault="00D1722F" w:rsidP="00D1722F">
            <w:pPr>
              <w:widowControl w:val="0"/>
              <w:jc w:val="center"/>
              <w:rPr>
                <w:szCs w:val="24"/>
              </w:rPr>
            </w:pPr>
            <w:r w:rsidRPr="00D1722F">
              <w:t>0.05%</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42</w:t>
            </w:r>
          </w:p>
        </w:tc>
        <w:tc>
          <w:tcPr>
            <w:tcW w:w="1621" w:type="dxa"/>
          </w:tcPr>
          <w:p w:rsidR="00D1722F" w:rsidRPr="00D1722F" w:rsidRDefault="00D1722F" w:rsidP="00D1722F">
            <w:pPr>
              <w:widowControl w:val="0"/>
              <w:jc w:val="center"/>
              <w:rPr>
                <w:szCs w:val="24"/>
              </w:rPr>
            </w:pPr>
            <w:r w:rsidRPr="00D1722F">
              <w:t>0.04%</w:t>
            </w:r>
          </w:p>
        </w:tc>
        <w:tc>
          <w:tcPr>
            <w:tcW w:w="1689" w:type="dxa"/>
          </w:tcPr>
          <w:p w:rsidR="00D1722F" w:rsidRPr="00D1722F" w:rsidRDefault="00D1722F" w:rsidP="00D1722F">
            <w:pPr>
              <w:widowControl w:val="0"/>
              <w:jc w:val="center"/>
              <w:rPr>
                <w:szCs w:val="24"/>
              </w:rPr>
            </w:pPr>
            <w:r w:rsidRPr="00D1722F">
              <w:t>0.56%</w:t>
            </w:r>
          </w:p>
        </w:tc>
        <w:tc>
          <w:tcPr>
            <w:tcW w:w="1701" w:type="dxa"/>
          </w:tcPr>
          <w:p w:rsidR="00D1722F" w:rsidRPr="00D1722F" w:rsidRDefault="00D1722F" w:rsidP="00D1722F">
            <w:pPr>
              <w:widowControl w:val="0"/>
              <w:jc w:val="center"/>
              <w:rPr>
                <w:szCs w:val="24"/>
              </w:rPr>
            </w:pPr>
            <w:r w:rsidRPr="00D1722F">
              <w:t>0.56%</w:t>
            </w:r>
          </w:p>
        </w:tc>
        <w:tc>
          <w:tcPr>
            <w:tcW w:w="1417" w:type="dxa"/>
          </w:tcPr>
          <w:p w:rsidR="00D1722F" w:rsidRPr="00D1722F" w:rsidRDefault="00D1722F" w:rsidP="00D1722F">
            <w:pPr>
              <w:widowControl w:val="0"/>
              <w:jc w:val="center"/>
              <w:rPr>
                <w:szCs w:val="24"/>
              </w:rPr>
            </w:pPr>
            <w:r w:rsidRPr="00D1722F">
              <w:t>0.04%</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46</w:t>
            </w:r>
          </w:p>
        </w:tc>
        <w:tc>
          <w:tcPr>
            <w:tcW w:w="1621" w:type="dxa"/>
          </w:tcPr>
          <w:p w:rsidR="00D1722F" w:rsidRPr="00D1722F" w:rsidRDefault="00D1722F" w:rsidP="00D1722F">
            <w:pPr>
              <w:widowControl w:val="0"/>
              <w:jc w:val="center"/>
              <w:rPr>
                <w:szCs w:val="24"/>
              </w:rPr>
            </w:pPr>
            <w:r w:rsidRPr="00D1722F">
              <w:t>0.03%</w:t>
            </w:r>
          </w:p>
        </w:tc>
        <w:tc>
          <w:tcPr>
            <w:tcW w:w="1689" w:type="dxa"/>
          </w:tcPr>
          <w:p w:rsidR="00D1722F" w:rsidRPr="00D1722F" w:rsidRDefault="00D1722F" w:rsidP="00D1722F">
            <w:pPr>
              <w:widowControl w:val="0"/>
              <w:jc w:val="center"/>
              <w:rPr>
                <w:szCs w:val="24"/>
              </w:rPr>
            </w:pPr>
            <w:r w:rsidRPr="00D1722F">
              <w:t>0.33%</w:t>
            </w:r>
          </w:p>
        </w:tc>
        <w:tc>
          <w:tcPr>
            <w:tcW w:w="1701" w:type="dxa"/>
          </w:tcPr>
          <w:p w:rsidR="00D1722F" w:rsidRPr="00D1722F" w:rsidRDefault="00D1722F" w:rsidP="00D1722F">
            <w:pPr>
              <w:widowControl w:val="0"/>
              <w:jc w:val="center"/>
              <w:rPr>
                <w:szCs w:val="24"/>
              </w:rPr>
            </w:pPr>
            <w:r w:rsidRPr="00D1722F">
              <w:t>0.82%</w:t>
            </w:r>
          </w:p>
        </w:tc>
        <w:tc>
          <w:tcPr>
            <w:tcW w:w="1417" w:type="dxa"/>
          </w:tcPr>
          <w:p w:rsidR="00D1722F" w:rsidRPr="00D1722F" w:rsidRDefault="00D1722F" w:rsidP="00D1722F">
            <w:pPr>
              <w:widowControl w:val="0"/>
              <w:jc w:val="center"/>
              <w:rPr>
                <w:szCs w:val="24"/>
              </w:rPr>
            </w:pPr>
            <w:r w:rsidRPr="00D1722F">
              <w:t>0.00%</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57</w:t>
            </w:r>
          </w:p>
        </w:tc>
        <w:tc>
          <w:tcPr>
            <w:tcW w:w="1621" w:type="dxa"/>
          </w:tcPr>
          <w:p w:rsidR="00D1722F" w:rsidRPr="00D1722F" w:rsidRDefault="00D1722F" w:rsidP="00D1722F">
            <w:pPr>
              <w:widowControl w:val="0"/>
              <w:jc w:val="center"/>
              <w:rPr>
                <w:szCs w:val="24"/>
              </w:rPr>
            </w:pPr>
            <w:r w:rsidRPr="00D1722F">
              <w:t>0.00%</w:t>
            </w:r>
          </w:p>
        </w:tc>
        <w:tc>
          <w:tcPr>
            <w:tcW w:w="1689" w:type="dxa"/>
          </w:tcPr>
          <w:p w:rsidR="00D1722F" w:rsidRPr="00D1722F" w:rsidRDefault="00D1722F" w:rsidP="00D1722F">
            <w:pPr>
              <w:widowControl w:val="0"/>
              <w:jc w:val="center"/>
              <w:rPr>
                <w:szCs w:val="24"/>
              </w:rPr>
            </w:pPr>
            <w:r w:rsidRPr="00D1722F">
              <w:t>0.23%</w:t>
            </w:r>
          </w:p>
        </w:tc>
        <w:tc>
          <w:tcPr>
            <w:tcW w:w="1701" w:type="dxa"/>
          </w:tcPr>
          <w:p w:rsidR="00D1722F" w:rsidRPr="00D1722F" w:rsidRDefault="00D1722F" w:rsidP="00D1722F">
            <w:pPr>
              <w:widowControl w:val="0"/>
              <w:jc w:val="center"/>
              <w:rPr>
                <w:szCs w:val="24"/>
              </w:rPr>
            </w:pPr>
            <w:r w:rsidRPr="00D1722F">
              <w:t>0.72%</w:t>
            </w:r>
          </w:p>
        </w:tc>
        <w:tc>
          <w:tcPr>
            <w:tcW w:w="1417" w:type="dxa"/>
          </w:tcPr>
          <w:p w:rsidR="00D1722F" w:rsidRPr="00D1722F" w:rsidRDefault="00D1722F" w:rsidP="00D1722F">
            <w:pPr>
              <w:widowControl w:val="0"/>
              <w:jc w:val="center"/>
              <w:rPr>
                <w:szCs w:val="24"/>
              </w:rPr>
            </w:pPr>
            <w:r w:rsidRPr="00D1722F">
              <w:t>0.08%</w:t>
            </w:r>
          </w:p>
        </w:tc>
      </w:tr>
    </w:tbl>
    <w:p w:rsidR="00D1722F" w:rsidRPr="00D1722F" w:rsidRDefault="00D1722F" w:rsidP="00D1722F">
      <w:pPr>
        <w:widowControl w:val="0"/>
        <w:rPr>
          <w:i/>
          <w:szCs w:val="24"/>
        </w:rPr>
      </w:pPr>
    </w:p>
    <w:p w:rsidR="00D1722F" w:rsidRPr="00D1722F" w:rsidRDefault="00D1722F" w:rsidP="00D1722F">
      <w:pPr>
        <w:jc w:val="left"/>
        <w:rPr>
          <w:szCs w:val="24"/>
        </w:rPr>
      </w:pPr>
    </w:p>
    <w:p w:rsidR="00D1722F" w:rsidRPr="00D1722F" w:rsidRDefault="00D1722F" w:rsidP="00D1722F">
      <w:pPr>
        <w:widowControl w:val="0"/>
        <w:rPr>
          <w:szCs w:val="24"/>
        </w:rPr>
      </w:pPr>
      <w:r w:rsidRPr="00D1722F">
        <w:rPr>
          <w:szCs w:val="24"/>
        </w:rPr>
        <w:t xml:space="preserve">Table 4. Proportion of times in the </w:t>
      </w:r>
      <w:r w:rsidRPr="00D1722F">
        <w:rPr>
          <w:rFonts w:hint="eastAsia"/>
          <w:lang w:val="en-GB" w:eastAsia="ja-JP"/>
        </w:rPr>
        <w:t>United Kingdom</w:t>
      </w:r>
      <w:r w:rsidRPr="00D1722F">
        <w:rPr>
          <w:szCs w:val="24"/>
        </w:rPr>
        <w:t xml:space="preserve"> pea data set that the first-year thresholds indicated a candidate variety would be non-distinct from another variety when the </w:t>
      </w:r>
      <w:r w:rsidRPr="00D1722F">
        <w:rPr>
          <w:rFonts w:hint="eastAsia"/>
          <w:szCs w:val="24"/>
          <w:lang w:eastAsia="ja-JP"/>
        </w:rPr>
        <w:t>second-year</w:t>
      </w:r>
      <w:r w:rsidRPr="00D1722F">
        <w:rPr>
          <w:szCs w:val="24"/>
        </w:rPr>
        <w:t xml:space="preserve"> decision was distinct in the field pea data set (false negative) </w:t>
      </w:r>
    </w:p>
    <w:p w:rsidR="00D1722F" w:rsidRPr="00D1722F" w:rsidRDefault="00D1722F" w:rsidP="00D1722F">
      <w:pPr>
        <w:widowControl w:val="0"/>
        <w:rPr>
          <w:i/>
          <w:szCs w:val="24"/>
        </w:rPr>
      </w:pPr>
    </w:p>
    <w:tbl>
      <w:tblPr>
        <w:tblStyle w:val="TableGrid"/>
        <w:tblW w:w="84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21"/>
        <w:gridCol w:w="1792"/>
        <w:gridCol w:w="1456"/>
        <w:gridCol w:w="1985"/>
      </w:tblGrid>
      <w:tr w:rsidR="00D1722F" w:rsidRPr="00D1722F" w:rsidTr="00D1722F">
        <w:tc>
          <w:tcPr>
            <w:tcW w:w="1618"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Characteristic</w:t>
            </w:r>
          </w:p>
        </w:tc>
        <w:tc>
          <w:tcPr>
            <w:tcW w:w="1621"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 xml:space="preserve">Calculated threshold with </w:t>
            </w:r>
            <w:proofErr w:type="spellStart"/>
            <w:r w:rsidRPr="00D1722F">
              <w:rPr>
                <w:i/>
                <w:szCs w:val="24"/>
              </w:rPr>
              <w:t>p</w:t>
            </w:r>
            <w:r w:rsidRPr="00D1722F">
              <w:rPr>
                <w:i/>
                <w:szCs w:val="24"/>
                <w:vertAlign w:val="subscript"/>
              </w:rPr>
              <w:t>D</w:t>
            </w:r>
            <w:proofErr w:type="spellEnd"/>
            <w:r w:rsidRPr="00D1722F">
              <w:rPr>
                <w:szCs w:val="24"/>
              </w:rPr>
              <w:t>=0.99</w:t>
            </w:r>
          </w:p>
        </w:tc>
        <w:tc>
          <w:tcPr>
            <w:tcW w:w="1792"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 xml:space="preserve">Calculated threshold with </w:t>
            </w:r>
            <w:proofErr w:type="spellStart"/>
            <w:r w:rsidRPr="00D1722F">
              <w:rPr>
                <w:i/>
                <w:szCs w:val="24"/>
              </w:rPr>
              <w:t>p</w:t>
            </w:r>
            <w:r w:rsidRPr="00D1722F">
              <w:rPr>
                <w:i/>
                <w:szCs w:val="24"/>
                <w:vertAlign w:val="subscript"/>
              </w:rPr>
              <w:t>D</w:t>
            </w:r>
            <w:proofErr w:type="spellEnd"/>
            <w:r w:rsidRPr="00D1722F" w:rsidDel="003C64DD">
              <w:rPr>
                <w:szCs w:val="24"/>
              </w:rPr>
              <w:t xml:space="preserve"> </w:t>
            </w:r>
            <w:r w:rsidRPr="00D1722F">
              <w:rPr>
                <w:szCs w:val="24"/>
              </w:rPr>
              <w:t>=0.95</w:t>
            </w:r>
          </w:p>
        </w:tc>
        <w:tc>
          <w:tcPr>
            <w:tcW w:w="1456" w:type="dxa"/>
            <w:tcBorders>
              <w:top w:val="single" w:sz="4" w:space="0" w:color="auto"/>
              <w:bottom w:val="single" w:sz="4" w:space="0" w:color="auto"/>
            </w:tcBorders>
          </w:tcPr>
          <w:p w:rsidR="00D1722F" w:rsidRPr="00D1722F" w:rsidRDefault="00D1722F" w:rsidP="00D1722F">
            <w:pPr>
              <w:widowControl w:val="0"/>
              <w:jc w:val="center"/>
              <w:rPr>
                <w:szCs w:val="24"/>
              </w:rPr>
            </w:pPr>
            <w:r w:rsidRPr="00D1722F">
              <w:rPr>
                <w:szCs w:val="24"/>
              </w:rPr>
              <w:t xml:space="preserve">Calculated threshold with </w:t>
            </w:r>
            <w:proofErr w:type="spellStart"/>
            <w:r w:rsidRPr="00D1722F">
              <w:rPr>
                <w:i/>
                <w:szCs w:val="24"/>
              </w:rPr>
              <w:t>p</w:t>
            </w:r>
            <w:r w:rsidRPr="00D1722F">
              <w:rPr>
                <w:i/>
                <w:szCs w:val="24"/>
                <w:vertAlign w:val="subscript"/>
              </w:rPr>
              <w:t>D</w:t>
            </w:r>
            <w:proofErr w:type="spellEnd"/>
            <w:r w:rsidRPr="00D1722F" w:rsidDel="003C64DD">
              <w:rPr>
                <w:szCs w:val="24"/>
              </w:rPr>
              <w:t xml:space="preserve"> </w:t>
            </w:r>
            <w:r w:rsidRPr="00D1722F">
              <w:rPr>
                <w:szCs w:val="24"/>
              </w:rPr>
              <w:t>=0.9</w:t>
            </w:r>
          </w:p>
        </w:tc>
        <w:tc>
          <w:tcPr>
            <w:tcW w:w="1985" w:type="dxa"/>
            <w:tcBorders>
              <w:top w:val="single" w:sz="4" w:space="0" w:color="auto"/>
              <w:bottom w:val="single" w:sz="4" w:space="0" w:color="auto"/>
            </w:tcBorders>
          </w:tcPr>
          <w:p w:rsidR="00D1722F" w:rsidRPr="00D1722F" w:rsidRDefault="00D1722F" w:rsidP="00D1722F">
            <w:pPr>
              <w:widowControl w:val="0"/>
              <w:jc w:val="center"/>
              <w:rPr>
                <w:szCs w:val="24"/>
                <w:lang w:eastAsia="ja-JP"/>
              </w:rPr>
            </w:pPr>
            <w:r w:rsidRPr="00D1722F">
              <w:rPr>
                <w:szCs w:val="24"/>
              </w:rPr>
              <w:t>Current tolerance</w:t>
            </w:r>
            <w:r w:rsidRPr="00D1722F">
              <w:rPr>
                <w:rFonts w:hint="eastAsia"/>
                <w:szCs w:val="24"/>
                <w:lang w:eastAsia="ja-JP"/>
              </w:rPr>
              <w:t xml:space="preserve"> of </w:t>
            </w:r>
            <w:r w:rsidRPr="00D1722F">
              <w:rPr>
                <w:rFonts w:hint="eastAsia"/>
                <w:lang w:val="en-GB" w:eastAsia="ja-JP"/>
              </w:rPr>
              <w:t>the United Kingdom</w:t>
            </w:r>
          </w:p>
        </w:tc>
      </w:tr>
      <w:tr w:rsidR="00D1722F" w:rsidRPr="00D1722F" w:rsidTr="00D1722F">
        <w:tc>
          <w:tcPr>
            <w:tcW w:w="1618" w:type="dxa"/>
            <w:tcBorders>
              <w:top w:val="single" w:sz="4" w:space="0" w:color="auto"/>
            </w:tcBorders>
          </w:tcPr>
          <w:p w:rsidR="00D1722F" w:rsidRPr="00D1722F" w:rsidRDefault="00D1722F" w:rsidP="00D1722F">
            <w:pPr>
              <w:widowControl w:val="0"/>
              <w:jc w:val="center"/>
              <w:rPr>
                <w:szCs w:val="24"/>
              </w:rPr>
            </w:pPr>
            <w:r w:rsidRPr="00D1722F">
              <w:rPr>
                <w:szCs w:val="24"/>
              </w:rPr>
              <w:t>5</w:t>
            </w:r>
          </w:p>
        </w:tc>
        <w:tc>
          <w:tcPr>
            <w:tcW w:w="1621" w:type="dxa"/>
            <w:tcBorders>
              <w:top w:val="single" w:sz="4" w:space="0" w:color="auto"/>
            </w:tcBorders>
          </w:tcPr>
          <w:p w:rsidR="00D1722F" w:rsidRPr="00D1722F" w:rsidRDefault="00D1722F" w:rsidP="00D1722F">
            <w:pPr>
              <w:widowControl w:val="0"/>
              <w:jc w:val="center"/>
              <w:rPr>
                <w:szCs w:val="24"/>
              </w:rPr>
            </w:pPr>
            <w:r w:rsidRPr="00D1722F">
              <w:t>82.8%</w:t>
            </w:r>
          </w:p>
        </w:tc>
        <w:tc>
          <w:tcPr>
            <w:tcW w:w="1792" w:type="dxa"/>
            <w:tcBorders>
              <w:top w:val="single" w:sz="4" w:space="0" w:color="auto"/>
            </w:tcBorders>
          </w:tcPr>
          <w:p w:rsidR="00D1722F" w:rsidRPr="00D1722F" w:rsidRDefault="00D1722F" w:rsidP="00D1722F">
            <w:pPr>
              <w:widowControl w:val="0"/>
              <w:jc w:val="center"/>
              <w:rPr>
                <w:szCs w:val="24"/>
              </w:rPr>
            </w:pPr>
            <w:r w:rsidRPr="00D1722F">
              <w:t>39.4%</w:t>
            </w:r>
          </w:p>
        </w:tc>
        <w:tc>
          <w:tcPr>
            <w:tcW w:w="1456" w:type="dxa"/>
            <w:tcBorders>
              <w:top w:val="single" w:sz="4" w:space="0" w:color="auto"/>
            </w:tcBorders>
          </w:tcPr>
          <w:p w:rsidR="00D1722F" w:rsidRPr="00D1722F" w:rsidRDefault="00D1722F" w:rsidP="00D1722F">
            <w:pPr>
              <w:widowControl w:val="0"/>
              <w:jc w:val="center"/>
              <w:rPr>
                <w:szCs w:val="24"/>
              </w:rPr>
            </w:pPr>
            <w:r w:rsidRPr="00D1722F">
              <w:t>24.5%</w:t>
            </w:r>
          </w:p>
        </w:tc>
        <w:tc>
          <w:tcPr>
            <w:tcW w:w="1985" w:type="dxa"/>
            <w:tcBorders>
              <w:top w:val="single" w:sz="4" w:space="0" w:color="auto"/>
            </w:tcBorders>
          </w:tcPr>
          <w:p w:rsidR="00D1722F" w:rsidRPr="00D1722F" w:rsidRDefault="00D1722F" w:rsidP="00D1722F">
            <w:pPr>
              <w:widowControl w:val="0"/>
              <w:jc w:val="center"/>
              <w:rPr>
                <w:szCs w:val="24"/>
              </w:rPr>
            </w:pPr>
            <w:r w:rsidRPr="00D1722F">
              <w:t>67.6%</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15</w:t>
            </w:r>
          </w:p>
        </w:tc>
        <w:tc>
          <w:tcPr>
            <w:tcW w:w="1621" w:type="dxa"/>
          </w:tcPr>
          <w:p w:rsidR="00D1722F" w:rsidRPr="00D1722F" w:rsidRDefault="00D1722F" w:rsidP="00D1722F">
            <w:pPr>
              <w:widowControl w:val="0"/>
              <w:jc w:val="center"/>
              <w:rPr>
                <w:szCs w:val="24"/>
              </w:rPr>
            </w:pPr>
            <w:r w:rsidRPr="00D1722F">
              <w:t>86.8%</w:t>
            </w:r>
          </w:p>
        </w:tc>
        <w:tc>
          <w:tcPr>
            <w:tcW w:w="1792" w:type="dxa"/>
          </w:tcPr>
          <w:p w:rsidR="00D1722F" w:rsidRPr="00D1722F" w:rsidRDefault="00D1722F" w:rsidP="00D1722F">
            <w:pPr>
              <w:widowControl w:val="0"/>
              <w:jc w:val="center"/>
              <w:rPr>
                <w:szCs w:val="24"/>
              </w:rPr>
            </w:pPr>
            <w:r w:rsidRPr="00D1722F">
              <w:t>66.6%</w:t>
            </w:r>
          </w:p>
        </w:tc>
        <w:tc>
          <w:tcPr>
            <w:tcW w:w="1456" w:type="dxa"/>
          </w:tcPr>
          <w:p w:rsidR="00D1722F" w:rsidRPr="00D1722F" w:rsidRDefault="00D1722F" w:rsidP="00D1722F">
            <w:pPr>
              <w:widowControl w:val="0"/>
              <w:jc w:val="center"/>
              <w:rPr>
                <w:szCs w:val="24"/>
              </w:rPr>
            </w:pPr>
            <w:r w:rsidRPr="00D1722F">
              <w:t>54.3%</w:t>
            </w:r>
          </w:p>
        </w:tc>
        <w:tc>
          <w:tcPr>
            <w:tcW w:w="1985" w:type="dxa"/>
          </w:tcPr>
          <w:p w:rsidR="00D1722F" w:rsidRPr="00D1722F" w:rsidRDefault="00D1722F" w:rsidP="00D1722F">
            <w:pPr>
              <w:widowControl w:val="0"/>
              <w:jc w:val="center"/>
              <w:rPr>
                <w:szCs w:val="24"/>
              </w:rPr>
            </w:pPr>
            <w:r w:rsidRPr="00D1722F">
              <w:t>90.1%</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16</w:t>
            </w:r>
          </w:p>
        </w:tc>
        <w:tc>
          <w:tcPr>
            <w:tcW w:w="1621" w:type="dxa"/>
          </w:tcPr>
          <w:p w:rsidR="00D1722F" w:rsidRPr="00D1722F" w:rsidRDefault="00D1722F" w:rsidP="00D1722F">
            <w:pPr>
              <w:widowControl w:val="0"/>
              <w:jc w:val="center"/>
              <w:rPr>
                <w:szCs w:val="24"/>
              </w:rPr>
            </w:pPr>
            <w:r w:rsidRPr="00D1722F">
              <w:t>76.8%</w:t>
            </w:r>
          </w:p>
        </w:tc>
        <w:tc>
          <w:tcPr>
            <w:tcW w:w="1792" w:type="dxa"/>
          </w:tcPr>
          <w:p w:rsidR="00D1722F" w:rsidRPr="00D1722F" w:rsidRDefault="00D1722F" w:rsidP="00D1722F">
            <w:pPr>
              <w:widowControl w:val="0"/>
              <w:jc w:val="center"/>
              <w:rPr>
                <w:szCs w:val="24"/>
              </w:rPr>
            </w:pPr>
            <w:r w:rsidRPr="00D1722F">
              <w:t>56.6%</w:t>
            </w:r>
          </w:p>
        </w:tc>
        <w:tc>
          <w:tcPr>
            <w:tcW w:w="1456" w:type="dxa"/>
          </w:tcPr>
          <w:p w:rsidR="00D1722F" w:rsidRPr="00D1722F" w:rsidRDefault="00D1722F" w:rsidP="00D1722F">
            <w:pPr>
              <w:widowControl w:val="0"/>
              <w:jc w:val="center"/>
              <w:rPr>
                <w:szCs w:val="24"/>
              </w:rPr>
            </w:pPr>
            <w:r w:rsidRPr="00D1722F">
              <w:t>46.2%</w:t>
            </w:r>
          </w:p>
        </w:tc>
        <w:tc>
          <w:tcPr>
            <w:tcW w:w="1985" w:type="dxa"/>
          </w:tcPr>
          <w:p w:rsidR="00D1722F" w:rsidRPr="00D1722F" w:rsidRDefault="00D1722F" w:rsidP="00D1722F">
            <w:pPr>
              <w:widowControl w:val="0"/>
              <w:jc w:val="center"/>
              <w:rPr>
                <w:szCs w:val="24"/>
              </w:rPr>
            </w:pPr>
            <w:r w:rsidRPr="00D1722F">
              <w:t>94.6%</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21</w:t>
            </w:r>
          </w:p>
        </w:tc>
        <w:tc>
          <w:tcPr>
            <w:tcW w:w="1621" w:type="dxa"/>
          </w:tcPr>
          <w:p w:rsidR="00D1722F" w:rsidRPr="00D1722F" w:rsidRDefault="00D1722F" w:rsidP="00D1722F">
            <w:pPr>
              <w:widowControl w:val="0"/>
              <w:jc w:val="center"/>
              <w:rPr>
                <w:szCs w:val="24"/>
              </w:rPr>
            </w:pPr>
            <w:r w:rsidRPr="00D1722F">
              <w:t>81.0%</w:t>
            </w:r>
          </w:p>
        </w:tc>
        <w:tc>
          <w:tcPr>
            <w:tcW w:w="1792" w:type="dxa"/>
          </w:tcPr>
          <w:p w:rsidR="00D1722F" w:rsidRPr="00D1722F" w:rsidRDefault="00D1722F" w:rsidP="00D1722F">
            <w:pPr>
              <w:widowControl w:val="0"/>
              <w:jc w:val="center"/>
              <w:rPr>
                <w:szCs w:val="24"/>
              </w:rPr>
            </w:pPr>
            <w:r w:rsidRPr="00D1722F">
              <w:t>60.8%</w:t>
            </w:r>
          </w:p>
        </w:tc>
        <w:tc>
          <w:tcPr>
            <w:tcW w:w="1456" w:type="dxa"/>
          </w:tcPr>
          <w:p w:rsidR="00D1722F" w:rsidRPr="00D1722F" w:rsidRDefault="00D1722F" w:rsidP="00D1722F">
            <w:pPr>
              <w:widowControl w:val="0"/>
              <w:jc w:val="center"/>
              <w:rPr>
                <w:szCs w:val="24"/>
              </w:rPr>
            </w:pPr>
            <w:r w:rsidRPr="00D1722F">
              <w:t>34.6%</w:t>
            </w:r>
          </w:p>
        </w:tc>
        <w:tc>
          <w:tcPr>
            <w:tcW w:w="1985" w:type="dxa"/>
          </w:tcPr>
          <w:p w:rsidR="00D1722F" w:rsidRPr="00D1722F" w:rsidRDefault="00D1722F" w:rsidP="00D1722F">
            <w:pPr>
              <w:widowControl w:val="0"/>
              <w:jc w:val="center"/>
              <w:rPr>
                <w:szCs w:val="24"/>
              </w:rPr>
            </w:pPr>
            <w:r w:rsidRPr="00D1722F">
              <w:t>88.8%</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22</w:t>
            </w:r>
          </w:p>
        </w:tc>
        <w:tc>
          <w:tcPr>
            <w:tcW w:w="1621" w:type="dxa"/>
          </w:tcPr>
          <w:p w:rsidR="00D1722F" w:rsidRPr="00D1722F" w:rsidRDefault="00D1722F" w:rsidP="00D1722F">
            <w:pPr>
              <w:widowControl w:val="0"/>
              <w:jc w:val="center"/>
              <w:rPr>
                <w:szCs w:val="24"/>
              </w:rPr>
            </w:pPr>
            <w:r w:rsidRPr="00D1722F">
              <w:t>88.5%</w:t>
            </w:r>
          </w:p>
        </w:tc>
        <w:tc>
          <w:tcPr>
            <w:tcW w:w="1792" w:type="dxa"/>
          </w:tcPr>
          <w:p w:rsidR="00D1722F" w:rsidRPr="00D1722F" w:rsidRDefault="00D1722F" w:rsidP="00D1722F">
            <w:pPr>
              <w:widowControl w:val="0"/>
              <w:jc w:val="center"/>
              <w:rPr>
                <w:szCs w:val="24"/>
              </w:rPr>
            </w:pPr>
            <w:r w:rsidRPr="00D1722F">
              <w:t>67.5%</w:t>
            </w:r>
          </w:p>
        </w:tc>
        <w:tc>
          <w:tcPr>
            <w:tcW w:w="1456" w:type="dxa"/>
          </w:tcPr>
          <w:p w:rsidR="00D1722F" w:rsidRPr="00D1722F" w:rsidRDefault="00D1722F" w:rsidP="00D1722F">
            <w:pPr>
              <w:widowControl w:val="0"/>
              <w:jc w:val="center"/>
              <w:rPr>
                <w:szCs w:val="24"/>
              </w:rPr>
            </w:pPr>
            <w:r w:rsidRPr="00D1722F">
              <w:t>54.2%</w:t>
            </w:r>
          </w:p>
        </w:tc>
        <w:tc>
          <w:tcPr>
            <w:tcW w:w="1985" w:type="dxa"/>
          </w:tcPr>
          <w:p w:rsidR="00D1722F" w:rsidRPr="00D1722F" w:rsidRDefault="00D1722F" w:rsidP="00D1722F">
            <w:pPr>
              <w:widowControl w:val="0"/>
              <w:jc w:val="center"/>
              <w:rPr>
                <w:szCs w:val="24"/>
              </w:rPr>
            </w:pPr>
            <w:r w:rsidRPr="00D1722F">
              <w:t>91.3%</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28</w:t>
            </w:r>
          </w:p>
        </w:tc>
        <w:tc>
          <w:tcPr>
            <w:tcW w:w="1621" w:type="dxa"/>
          </w:tcPr>
          <w:p w:rsidR="00D1722F" w:rsidRPr="00D1722F" w:rsidRDefault="00D1722F" w:rsidP="00D1722F">
            <w:pPr>
              <w:widowControl w:val="0"/>
              <w:jc w:val="center"/>
              <w:rPr>
                <w:szCs w:val="24"/>
              </w:rPr>
            </w:pPr>
            <w:r w:rsidRPr="00D1722F">
              <w:t>89.3%</w:t>
            </w:r>
          </w:p>
        </w:tc>
        <w:tc>
          <w:tcPr>
            <w:tcW w:w="1792" w:type="dxa"/>
          </w:tcPr>
          <w:p w:rsidR="00D1722F" w:rsidRPr="00D1722F" w:rsidRDefault="00D1722F" w:rsidP="00D1722F">
            <w:pPr>
              <w:widowControl w:val="0"/>
              <w:jc w:val="center"/>
              <w:rPr>
                <w:szCs w:val="24"/>
              </w:rPr>
            </w:pPr>
            <w:r w:rsidRPr="00D1722F">
              <w:t>65.4%</w:t>
            </w:r>
          </w:p>
        </w:tc>
        <w:tc>
          <w:tcPr>
            <w:tcW w:w="1456" w:type="dxa"/>
          </w:tcPr>
          <w:p w:rsidR="00D1722F" w:rsidRPr="00D1722F" w:rsidRDefault="00D1722F" w:rsidP="00D1722F">
            <w:pPr>
              <w:widowControl w:val="0"/>
              <w:jc w:val="center"/>
              <w:rPr>
                <w:szCs w:val="24"/>
              </w:rPr>
            </w:pPr>
            <w:r w:rsidRPr="00D1722F">
              <w:t>51.7%</w:t>
            </w:r>
          </w:p>
        </w:tc>
        <w:tc>
          <w:tcPr>
            <w:tcW w:w="1985" w:type="dxa"/>
          </w:tcPr>
          <w:p w:rsidR="00D1722F" w:rsidRPr="00D1722F" w:rsidRDefault="00D1722F" w:rsidP="00D1722F">
            <w:pPr>
              <w:widowControl w:val="0"/>
              <w:jc w:val="center"/>
              <w:rPr>
                <w:szCs w:val="24"/>
              </w:rPr>
            </w:pPr>
            <w:r w:rsidRPr="00D1722F">
              <w:t>99.9%</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29</w:t>
            </w:r>
          </w:p>
        </w:tc>
        <w:tc>
          <w:tcPr>
            <w:tcW w:w="1621" w:type="dxa"/>
          </w:tcPr>
          <w:p w:rsidR="00D1722F" w:rsidRPr="00D1722F" w:rsidRDefault="00D1722F" w:rsidP="00D1722F">
            <w:pPr>
              <w:widowControl w:val="0"/>
              <w:jc w:val="center"/>
              <w:rPr>
                <w:szCs w:val="24"/>
              </w:rPr>
            </w:pPr>
            <w:r w:rsidRPr="00D1722F">
              <w:t>57.3%</w:t>
            </w:r>
          </w:p>
        </w:tc>
        <w:tc>
          <w:tcPr>
            <w:tcW w:w="1792" w:type="dxa"/>
          </w:tcPr>
          <w:p w:rsidR="00D1722F" w:rsidRPr="00D1722F" w:rsidRDefault="00D1722F" w:rsidP="00D1722F">
            <w:pPr>
              <w:widowControl w:val="0"/>
              <w:jc w:val="center"/>
              <w:rPr>
                <w:szCs w:val="24"/>
              </w:rPr>
            </w:pPr>
            <w:r w:rsidRPr="00D1722F">
              <w:t>57.3%</w:t>
            </w:r>
          </w:p>
        </w:tc>
        <w:tc>
          <w:tcPr>
            <w:tcW w:w="1456" w:type="dxa"/>
          </w:tcPr>
          <w:p w:rsidR="00D1722F" w:rsidRPr="00D1722F" w:rsidRDefault="00D1722F" w:rsidP="00D1722F">
            <w:pPr>
              <w:widowControl w:val="0"/>
              <w:jc w:val="center"/>
              <w:rPr>
                <w:szCs w:val="24"/>
              </w:rPr>
            </w:pPr>
            <w:r w:rsidRPr="00D1722F">
              <w:t>34.4%</w:t>
            </w:r>
          </w:p>
        </w:tc>
        <w:tc>
          <w:tcPr>
            <w:tcW w:w="1985" w:type="dxa"/>
          </w:tcPr>
          <w:p w:rsidR="00D1722F" w:rsidRPr="00D1722F" w:rsidRDefault="00D1722F" w:rsidP="00D1722F">
            <w:pPr>
              <w:widowControl w:val="0"/>
              <w:jc w:val="center"/>
              <w:rPr>
                <w:szCs w:val="24"/>
              </w:rPr>
            </w:pPr>
            <w:r w:rsidRPr="00D1722F">
              <w:t>57.4%</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34</w:t>
            </w:r>
          </w:p>
        </w:tc>
        <w:tc>
          <w:tcPr>
            <w:tcW w:w="1621" w:type="dxa"/>
          </w:tcPr>
          <w:p w:rsidR="00D1722F" w:rsidRPr="00D1722F" w:rsidRDefault="00D1722F" w:rsidP="00D1722F">
            <w:pPr>
              <w:widowControl w:val="0"/>
              <w:jc w:val="center"/>
              <w:rPr>
                <w:szCs w:val="24"/>
              </w:rPr>
            </w:pPr>
            <w:r w:rsidRPr="00D1722F">
              <w:t>84.7%</w:t>
            </w:r>
          </w:p>
        </w:tc>
        <w:tc>
          <w:tcPr>
            <w:tcW w:w="1792" w:type="dxa"/>
          </w:tcPr>
          <w:p w:rsidR="00D1722F" w:rsidRPr="00D1722F" w:rsidRDefault="00D1722F" w:rsidP="00D1722F">
            <w:pPr>
              <w:widowControl w:val="0"/>
              <w:jc w:val="center"/>
              <w:rPr>
                <w:szCs w:val="24"/>
              </w:rPr>
            </w:pPr>
            <w:r w:rsidRPr="00D1722F">
              <w:t>59.4%</w:t>
            </w:r>
          </w:p>
        </w:tc>
        <w:tc>
          <w:tcPr>
            <w:tcW w:w="1456" w:type="dxa"/>
          </w:tcPr>
          <w:p w:rsidR="00D1722F" w:rsidRPr="00D1722F" w:rsidRDefault="00D1722F" w:rsidP="00D1722F">
            <w:pPr>
              <w:widowControl w:val="0"/>
              <w:jc w:val="center"/>
              <w:rPr>
                <w:szCs w:val="24"/>
              </w:rPr>
            </w:pPr>
            <w:r w:rsidRPr="00D1722F">
              <w:t>46.2%</w:t>
            </w:r>
          </w:p>
        </w:tc>
        <w:tc>
          <w:tcPr>
            <w:tcW w:w="1985" w:type="dxa"/>
          </w:tcPr>
          <w:p w:rsidR="00D1722F" w:rsidRPr="00D1722F" w:rsidRDefault="00D1722F" w:rsidP="00D1722F">
            <w:pPr>
              <w:widowControl w:val="0"/>
              <w:jc w:val="center"/>
              <w:rPr>
                <w:szCs w:val="24"/>
              </w:rPr>
            </w:pPr>
            <w:r w:rsidRPr="00D1722F">
              <w:t>75.6%</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37</w:t>
            </w:r>
          </w:p>
        </w:tc>
        <w:tc>
          <w:tcPr>
            <w:tcW w:w="1621" w:type="dxa"/>
          </w:tcPr>
          <w:p w:rsidR="00D1722F" w:rsidRPr="00D1722F" w:rsidRDefault="00D1722F" w:rsidP="00D1722F">
            <w:pPr>
              <w:widowControl w:val="0"/>
              <w:jc w:val="center"/>
              <w:rPr>
                <w:szCs w:val="24"/>
              </w:rPr>
            </w:pPr>
            <w:r w:rsidRPr="00D1722F">
              <w:t>81.2%</w:t>
            </w:r>
          </w:p>
        </w:tc>
        <w:tc>
          <w:tcPr>
            <w:tcW w:w="1792" w:type="dxa"/>
          </w:tcPr>
          <w:p w:rsidR="00D1722F" w:rsidRPr="00D1722F" w:rsidRDefault="00D1722F" w:rsidP="00D1722F">
            <w:pPr>
              <w:widowControl w:val="0"/>
              <w:jc w:val="center"/>
              <w:rPr>
                <w:szCs w:val="24"/>
              </w:rPr>
            </w:pPr>
            <w:r w:rsidRPr="00D1722F">
              <w:t>65.1%</w:t>
            </w:r>
          </w:p>
        </w:tc>
        <w:tc>
          <w:tcPr>
            <w:tcW w:w="1456" w:type="dxa"/>
          </w:tcPr>
          <w:p w:rsidR="00D1722F" w:rsidRPr="00D1722F" w:rsidRDefault="00D1722F" w:rsidP="00D1722F">
            <w:pPr>
              <w:widowControl w:val="0"/>
              <w:jc w:val="center"/>
              <w:rPr>
                <w:szCs w:val="24"/>
              </w:rPr>
            </w:pPr>
            <w:r w:rsidRPr="00D1722F">
              <w:t>54.4%</w:t>
            </w:r>
          </w:p>
        </w:tc>
        <w:tc>
          <w:tcPr>
            <w:tcW w:w="1985" w:type="dxa"/>
          </w:tcPr>
          <w:p w:rsidR="00D1722F" w:rsidRPr="00D1722F" w:rsidRDefault="00D1722F" w:rsidP="00D1722F">
            <w:pPr>
              <w:widowControl w:val="0"/>
              <w:jc w:val="center"/>
              <w:rPr>
                <w:szCs w:val="24"/>
              </w:rPr>
            </w:pPr>
            <w:r w:rsidRPr="00D1722F">
              <w:t>96.5%</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38</w:t>
            </w:r>
          </w:p>
        </w:tc>
        <w:tc>
          <w:tcPr>
            <w:tcW w:w="1621" w:type="dxa"/>
          </w:tcPr>
          <w:p w:rsidR="00D1722F" w:rsidRPr="00D1722F" w:rsidRDefault="00D1722F" w:rsidP="00D1722F">
            <w:pPr>
              <w:widowControl w:val="0"/>
              <w:jc w:val="center"/>
              <w:rPr>
                <w:szCs w:val="24"/>
              </w:rPr>
            </w:pPr>
            <w:r w:rsidRPr="00D1722F">
              <w:t>77.1%</w:t>
            </w:r>
          </w:p>
        </w:tc>
        <w:tc>
          <w:tcPr>
            <w:tcW w:w="1792" w:type="dxa"/>
          </w:tcPr>
          <w:p w:rsidR="00D1722F" w:rsidRPr="00D1722F" w:rsidRDefault="00D1722F" w:rsidP="00D1722F">
            <w:pPr>
              <w:widowControl w:val="0"/>
              <w:jc w:val="center"/>
              <w:rPr>
                <w:szCs w:val="24"/>
              </w:rPr>
            </w:pPr>
            <w:r w:rsidRPr="00D1722F">
              <w:t>57.1%</w:t>
            </w:r>
          </w:p>
        </w:tc>
        <w:tc>
          <w:tcPr>
            <w:tcW w:w="1456" w:type="dxa"/>
          </w:tcPr>
          <w:p w:rsidR="00D1722F" w:rsidRPr="00D1722F" w:rsidRDefault="00D1722F" w:rsidP="00D1722F">
            <w:pPr>
              <w:widowControl w:val="0"/>
              <w:jc w:val="center"/>
              <w:rPr>
                <w:szCs w:val="24"/>
              </w:rPr>
            </w:pPr>
            <w:r w:rsidRPr="00D1722F">
              <w:t>47.4%</w:t>
            </w:r>
          </w:p>
        </w:tc>
        <w:tc>
          <w:tcPr>
            <w:tcW w:w="1985" w:type="dxa"/>
          </w:tcPr>
          <w:p w:rsidR="00D1722F" w:rsidRPr="00D1722F" w:rsidRDefault="00D1722F" w:rsidP="00D1722F">
            <w:pPr>
              <w:widowControl w:val="0"/>
              <w:jc w:val="center"/>
              <w:rPr>
                <w:szCs w:val="24"/>
              </w:rPr>
            </w:pPr>
            <w:r w:rsidRPr="00D1722F">
              <w:t>76.2%</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42</w:t>
            </w:r>
          </w:p>
        </w:tc>
        <w:tc>
          <w:tcPr>
            <w:tcW w:w="1621" w:type="dxa"/>
          </w:tcPr>
          <w:p w:rsidR="00D1722F" w:rsidRPr="00D1722F" w:rsidRDefault="00D1722F" w:rsidP="00D1722F">
            <w:pPr>
              <w:widowControl w:val="0"/>
              <w:jc w:val="center"/>
              <w:rPr>
                <w:szCs w:val="24"/>
              </w:rPr>
            </w:pPr>
            <w:r w:rsidRPr="00D1722F">
              <w:t>80.9%</w:t>
            </w:r>
          </w:p>
        </w:tc>
        <w:tc>
          <w:tcPr>
            <w:tcW w:w="1792" w:type="dxa"/>
          </w:tcPr>
          <w:p w:rsidR="00D1722F" w:rsidRPr="00D1722F" w:rsidRDefault="00D1722F" w:rsidP="00D1722F">
            <w:pPr>
              <w:widowControl w:val="0"/>
              <w:jc w:val="center"/>
              <w:rPr>
                <w:szCs w:val="24"/>
              </w:rPr>
            </w:pPr>
            <w:r w:rsidRPr="00D1722F">
              <w:t>58.2%</w:t>
            </w:r>
          </w:p>
        </w:tc>
        <w:tc>
          <w:tcPr>
            <w:tcW w:w="1456" w:type="dxa"/>
          </w:tcPr>
          <w:p w:rsidR="00D1722F" w:rsidRPr="00D1722F" w:rsidRDefault="00D1722F" w:rsidP="00D1722F">
            <w:pPr>
              <w:widowControl w:val="0"/>
              <w:jc w:val="center"/>
              <w:rPr>
                <w:szCs w:val="24"/>
              </w:rPr>
            </w:pPr>
            <w:r w:rsidRPr="00D1722F">
              <w:t>58.2%</w:t>
            </w:r>
          </w:p>
        </w:tc>
        <w:tc>
          <w:tcPr>
            <w:tcW w:w="1985" w:type="dxa"/>
          </w:tcPr>
          <w:p w:rsidR="00D1722F" w:rsidRPr="00D1722F" w:rsidRDefault="00D1722F" w:rsidP="00D1722F">
            <w:pPr>
              <w:widowControl w:val="0"/>
              <w:jc w:val="center"/>
              <w:rPr>
                <w:szCs w:val="24"/>
              </w:rPr>
            </w:pPr>
            <w:r w:rsidRPr="00D1722F">
              <w:t>81.1%</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46</w:t>
            </w:r>
          </w:p>
        </w:tc>
        <w:tc>
          <w:tcPr>
            <w:tcW w:w="1621" w:type="dxa"/>
          </w:tcPr>
          <w:p w:rsidR="00D1722F" w:rsidRPr="00D1722F" w:rsidRDefault="00D1722F" w:rsidP="00D1722F">
            <w:pPr>
              <w:widowControl w:val="0"/>
              <w:jc w:val="center"/>
              <w:rPr>
                <w:szCs w:val="24"/>
              </w:rPr>
            </w:pPr>
            <w:r w:rsidRPr="00D1722F">
              <w:t>66.7%</w:t>
            </w:r>
          </w:p>
        </w:tc>
        <w:tc>
          <w:tcPr>
            <w:tcW w:w="1792" w:type="dxa"/>
          </w:tcPr>
          <w:p w:rsidR="00D1722F" w:rsidRPr="00D1722F" w:rsidRDefault="00D1722F" w:rsidP="00D1722F">
            <w:pPr>
              <w:widowControl w:val="0"/>
              <w:jc w:val="center"/>
              <w:rPr>
                <w:szCs w:val="24"/>
              </w:rPr>
            </w:pPr>
            <w:r w:rsidRPr="00D1722F">
              <w:t>44.1%</w:t>
            </w:r>
          </w:p>
        </w:tc>
        <w:tc>
          <w:tcPr>
            <w:tcW w:w="1456" w:type="dxa"/>
          </w:tcPr>
          <w:p w:rsidR="00D1722F" w:rsidRPr="00D1722F" w:rsidRDefault="00D1722F" w:rsidP="00D1722F">
            <w:pPr>
              <w:widowControl w:val="0"/>
              <w:jc w:val="center"/>
              <w:rPr>
                <w:szCs w:val="24"/>
              </w:rPr>
            </w:pPr>
            <w:r w:rsidRPr="00D1722F">
              <w:t>34.2%</w:t>
            </w:r>
          </w:p>
        </w:tc>
        <w:tc>
          <w:tcPr>
            <w:tcW w:w="1985" w:type="dxa"/>
          </w:tcPr>
          <w:p w:rsidR="00D1722F" w:rsidRPr="00D1722F" w:rsidRDefault="00D1722F" w:rsidP="00D1722F">
            <w:pPr>
              <w:widowControl w:val="0"/>
              <w:jc w:val="center"/>
              <w:rPr>
                <w:szCs w:val="24"/>
              </w:rPr>
            </w:pPr>
            <w:r w:rsidRPr="00D1722F">
              <w:t>97.5%</w:t>
            </w:r>
          </w:p>
        </w:tc>
      </w:tr>
      <w:tr w:rsidR="00D1722F" w:rsidRPr="00D1722F" w:rsidTr="00D1722F">
        <w:tc>
          <w:tcPr>
            <w:tcW w:w="1618" w:type="dxa"/>
          </w:tcPr>
          <w:p w:rsidR="00D1722F" w:rsidRPr="00D1722F" w:rsidRDefault="00D1722F" w:rsidP="00D1722F">
            <w:pPr>
              <w:widowControl w:val="0"/>
              <w:jc w:val="center"/>
              <w:rPr>
                <w:szCs w:val="24"/>
              </w:rPr>
            </w:pPr>
            <w:r w:rsidRPr="00D1722F">
              <w:rPr>
                <w:szCs w:val="24"/>
              </w:rPr>
              <w:t>57</w:t>
            </w:r>
          </w:p>
        </w:tc>
        <w:tc>
          <w:tcPr>
            <w:tcW w:w="1621" w:type="dxa"/>
          </w:tcPr>
          <w:p w:rsidR="00D1722F" w:rsidRPr="00D1722F" w:rsidRDefault="00D1722F" w:rsidP="00D1722F">
            <w:pPr>
              <w:widowControl w:val="0"/>
              <w:jc w:val="center"/>
              <w:rPr>
                <w:szCs w:val="24"/>
              </w:rPr>
            </w:pPr>
            <w:r w:rsidRPr="00D1722F">
              <w:t>58.5%</w:t>
            </w:r>
          </w:p>
        </w:tc>
        <w:tc>
          <w:tcPr>
            <w:tcW w:w="1792" w:type="dxa"/>
          </w:tcPr>
          <w:p w:rsidR="00D1722F" w:rsidRPr="00D1722F" w:rsidRDefault="00D1722F" w:rsidP="00D1722F">
            <w:pPr>
              <w:widowControl w:val="0"/>
              <w:jc w:val="center"/>
              <w:rPr>
                <w:szCs w:val="24"/>
              </w:rPr>
            </w:pPr>
            <w:r w:rsidRPr="00D1722F">
              <w:t>34.6%</w:t>
            </w:r>
          </w:p>
        </w:tc>
        <w:tc>
          <w:tcPr>
            <w:tcW w:w="1456" w:type="dxa"/>
          </w:tcPr>
          <w:p w:rsidR="00D1722F" w:rsidRPr="00D1722F" w:rsidRDefault="00D1722F" w:rsidP="00D1722F">
            <w:pPr>
              <w:widowControl w:val="0"/>
              <w:jc w:val="center"/>
              <w:rPr>
                <w:szCs w:val="24"/>
              </w:rPr>
            </w:pPr>
            <w:r w:rsidRPr="00D1722F">
              <w:t>25.2%</w:t>
            </w:r>
          </w:p>
        </w:tc>
        <w:tc>
          <w:tcPr>
            <w:tcW w:w="1985" w:type="dxa"/>
          </w:tcPr>
          <w:p w:rsidR="00D1722F" w:rsidRPr="00D1722F" w:rsidRDefault="00D1722F" w:rsidP="00D1722F">
            <w:pPr>
              <w:widowControl w:val="0"/>
              <w:jc w:val="center"/>
              <w:rPr>
                <w:szCs w:val="24"/>
              </w:rPr>
            </w:pPr>
            <w:r w:rsidRPr="00D1722F">
              <w:t>43.7%</w:t>
            </w:r>
          </w:p>
        </w:tc>
      </w:tr>
    </w:tbl>
    <w:p w:rsidR="00D1722F" w:rsidRPr="00D1722F" w:rsidRDefault="00D1722F" w:rsidP="00D1722F">
      <w:pPr>
        <w:rPr>
          <w:lang w:eastAsia="ja-JP"/>
        </w:rPr>
      </w:pPr>
    </w:p>
    <w:p w:rsidR="00D1722F" w:rsidRPr="00D1722F" w:rsidRDefault="00D1722F" w:rsidP="00D1722F">
      <w:pPr>
        <w:jc w:val="left"/>
        <w:rPr>
          <w:caps/>
          <w:lang w:eastAsia="ja-JP"/>
        </w:rPr>
      </w:pPr>
      <w:r w:rsidRPr="00D1722F">
        <w:rPr>
          <w:caps/>
          <w:lang w:eastAsia="ja-JP"/>
        </w:rPr>
        <w:br w:type="page"/>
      </w:r>
    </w:p>
    <w:p w:rsidR="00D1722F" w:rsidRPr="00D1722F" w:rsidRDefault="00D1722F" w:rsidP="00D1722F">
      <w:pPr>
        <w:rPr>
          <w:caps/>
          <w:lang w:eastAsia="ja-JP"/>
        </w:rPr>
      </w:pPr>
      <w:r w:rsidRPr="00D1722F">
        <w:rPr>
          <w:caps/>
          <w:lang w:eastAsia="ja-JP"/>
        </w:rPr>
        <w:t>Conclusions and future work</w:t>
      </w:r>
    </w:p>
    <w:p w:rsidR="00D1722F" w:rsidRPr="00D1722F" w:rsidRDefault="00D1722F" w:rsidP="00D1722F">
      <w:pPr>
        <w:rPr>
          <w:lang w:val="en-GB"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 xml:space="preserve">The method proposed in TWC/33/20 Rev. has been applied to </w:t>
      </w:r>
      <w:r w:rsidRPr="00D1722F">
        <w:rPr>
          <w:rFonts w:hint="eastAsia"/>
          <w:lang w:val="en-GB" w:eastAsia="ja-JP"/>
        </w:rPr>
        <w:t>the United Kingdom</w:t>
      </w:r>
      <w:r w:rsidRPr="00D1722F">
        <w:rPr>
          <w:lang w:val="en-GB" w:eastAsia="ja-JP"/>
        </w:rPr>
        <w:t xml:space="preserve"> field pea data set and its performance evaluated.  The results show how different risks may be balanced to select an appropriate value of </w:t>
      </w:r>
      <w:proofErr w:type="spellStart"/>
      <w:r w:rsidRPr="00D1722F">
        <w:rPr>
          <w:lang w:val="en-GB" w:eastAsia="ja-JP"/>
        </w:rPr>
        <w:t>pD</w:t>
      </w:r>
      <w:proofErr w:type="spellEnd"/>
      <w:r w:rsidRPr="00D1722F">
        <w:rPr>
          <w:lang w:val="en-GB" w:eastAsia="ja-JP"/>
        </w:rPr>
        <w:t xml:space="preserve"> for calculating thresholds.  Based on these results, the </w:t>
      </w:r>
      <w:r w:rsidRPr="00D1722F">
        <w:rPr>
          <w:rFonts w:hint="eastAsia"/>
          <w:lang w:val="en-GB" w:eastAsia="ja-JP"/>
        </w:rPr>
        <w:t>United Kingdom</w:t>
      </w:r>
      <w:r w:rsidRPr="00D1722F">
        <w:rPr>
          <w:lang w:val="en-GB" w:eastAsia="ja-JP"/>
        </w:rPr>
        <w:t xml:space="preserve"> has now updated the first-year tolerances for pea so the tolerances now have a more transparent basis than previously.  In this report we</w:t>
      </w:r>
      <w:r w:rsidRPr="00D1722F">
        <w:rPr>
          <w:rFonts w:hint="eastAsia"/>
          <w:lang w:val="en-GB" w:eastAsia="ja-JP"/>
        </w:rPr>
        <w:t xml:space="preserve"> ha</w:t>
      </w:r>
      <w:r w:rsidRPr="00D1722F">
        <w:rPr>
          <w:lang w:val="en-GB" w:eastAsia="ja-JP"/>
        </w:rPr>
        <w:t>ve looked at the effectiveness of the method on a characteristic-by-characteristic basis. In future we intend to examine the effect on individual variety decisions.</w:t>
      </w:r>
    </w:p>
    <w:p w:rsidR="00D1722F" w:rsidRPr="00D1722F" w:rsidRDefault="00D1722F" w:rsidP="00D1722F">
      <w:pPr>
        <w:rPr>
          <w:lang w:val="en-GB"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 xml:space="preserve">The method could also be modified to give an early indication as to whether a candidate may have distinctness problems as well as guidance on the closest reference varieties.  Both of these should be of benefit to COYD users. </w:t>
      </w:r>
    </w:p>
    <w:p w:rsidR="00D1722F" w:rsidRPr="00D1722F" w:rsidRDefault="00D1722F" w:rsidP="00D1722F">
      <w:pPr>
        <w:rPr>
          <w:lang w:val="en-GB" w:eastAsia="ja-JP"/>
        </w:rPr>
      </w:pPr>
    </w:p>
    <w:p w:rsidR="00D1722F" w:rsidRPr="00D1722F" w:rsidRDefault="00D1722F" w:rsidP="00D1722F">
      <w:pPr>
        <w:rPr>
          <w:lang w:val="en-GB" w:eastAsia="ja-JP"/>
        </w:rPr>
      </w:pPr>
      <w:r w:rsidRPr="00D1722F">
        <w:fldChar w:fldCharType="begin"/>
      </w:r>
      <w:r w:rsidRPr="00D1722F">
        <w:instrText xml:space="preserve"> AUTONUM  </w:instrText>
      </w:r>
      <w:r w:rsidRPr="00D1722F">
        <w:fldChar w:fldCharType="end"/>
      </w:r>
      <w:r w:rsidRPr="00D1722F">
        <w:rPr>
          <w:rFonts w:hint="eastAsia"/>
          <w:lang w:eastAsia="ja-JP"/>
        </w:rPr>
        <w:tab/>
      </w:r>
      <w:r w:rsidRPr="00D1722F">
        <w:rPr>
          <w:lang w:val="en-GB" w:eastAsia="ja-JP"/>
        </w:rPr>
        <w:t>We would welcome other example data sets so that the new method can be tested on other crops.  We also plan to examine software options to make implementation easier.</w:t>
      </w:r>
    </w:p>
    <w:p w:rsidR="00D1722F" w:rsidRPr="00D1722F" w:rsidRDefault="00D1722F" w:rsidP="00D1722F"/>
    <w:p w:rsidR="001B2A1B" w:rsidRPr="00C5280D" w:rsidRDefault="00D1722F" w:rsidP="00D1722F">
      <w:pPr>
        <w:spacing w:before="480"/>
        <w:ind w:left="567" w:hanging="567"/>
        <w:jc w:val="right"/>
        <w:rPr>
          <w:snapToGrid w:val="0"/>
        </w:rPr>
      </w:pPr>
      <w:r>
        <w:rPr>
          <w:rFonts w:hint="eastAsia"/>
          <w:lang w:eastAsia="ja-JP"/>
        </w:rPr>
        <w:t xml:space="preserve"> </w:t>
      </w:r>
      <w:r w:rsidR="001B2A1B">
        <w:rPr>
          <w:rFonts w:hint="eastAsia"/>
          <w:lang w:eastAsia="ja-JP"/>
        </w:rPr>
        <w:t xml:space="preserve">[End of Annex and of </w:t>
      </w:r>
      <w:r w:rsidR="00320B86">
        <w:rPr>
          <w:lang w:eastAsia="ja-JP"/>
        </w:rPr>
        <w:t>d</w:t>
      </w:r>
      <w:r w:rsidR="001B2A1B">
        <w:rPr>
          <w:rFonts w:hint="eastAsia"/>
          <w:lang w:eastAsia="ja-JP"/>
        </w:rPr>
        <w:t>ocument]</w:t>
      </w:r>
    </w:p>
    <w:sectPr w:rsidR="001B2A1B" w:rsidRPr="00C5280D" w:rsidSect="00D1722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DE3" w:rsidRDefault="009B3DE3" w:rsidP="006655D3">
      <w:r>
        <w:separator/>
      </w:r>
    </w:p>
    <w:p w:rsidR="009B3DE3" w:rsidRDefault="009B3DE3" w:rsidP="006655D3"/>
    <w:p w:rsidR="009B3DE3" w:rsidRDefault="009B3DE3" w:rsidP="006655D3"/>
  </w:endnote>
  <w:endnote w:type="continuationSeparator" w:id="0">
    <w:p w:rsidR="009B3DE3" w:rsidRDefault="009B3DE3" w:rsidP="006655D3">
      <w:r>
        <w:separator/>
      </w:r>
    </w:p>
    <w:p w:rsidR="009B3DE3" w:rsidRPr="00294751" w:rsidRDefault="009B3DE3">
      <w:pPr>
        <w:pStyle w:val="Footer"/>
        <w:spacing w:after="60"/>
        <w:rPr>
          <w:sz w:val="18"/>
          <w:lang w:val="fr-FR"/>
        </w:rPr>
      </w:pPr>
      <w:r w:rsidRPr="00294751">
        <w:rPr>
          <w:sz w:val="18"/>
          <w:lang w:val="fr-FR"/>
        </w:rPr>
        <w:t>[Suite de la note de la page précédente]</w:t>
      </w:r>
    </w:p>
    <w:p w:rsidR="009B3DE3" w:rsidRPr="00294751" w:rsidRDefault="009B3DE3" w:rsidP="006655D3">
      <w:pPr>
        <w:rPr>
          <w:lang w:val="fr-FR"/>
        </w:rPr>
      </w:pPr>
    </w:p>
    <w:p w:rsidR="009B3DE3" w:rsidRPr="00294751" w:rsidRDefault="009B3DE3" w:rsidP="006655D3">
      <w:pPr>
        <w:rPr>
          <w:lang w:val="fr-FR"/>
        </w:rPr>
      </w:pPr>
    </w:p>
  </w:endnote>
  <w:endnote w:type="continuationNotice" w:id="1">
    <w:p w:rsidR="009B3DE3" w:rsidRPr="00294751" w:rsidRDefault="009B3DE3" w:rsidP="006655D3">
      <w:pPr>
        <w:rPr>
          <w:lang w:val="fr-FR"/>
        </w:rPr>
      </w:pPr>
      <w:r w:rsidRPr="00294751">
        <w:rPr>
          <w:lang w:val="fr-FR"/>
        </w:rPr>
        <w:t>[Suite de la note page suivante]</w:t>
      </w:r>
    </w:p>
    <w:p w:rsidR="009B3DE3" w:rsidRPr="00294751" w:rsidRDefault="009B3DE3" w:rsidP="006655D3">
      <w:pPr>
        <w:rPr>
          <w:lang w:val="fr-FR"/>
        </w:rPr>
      </w:pPr>
    </w:p>
    <w:p w:rsidR="009B3DE3" w:rsidRPr="00294751" w:rsidRDefault="009B3DE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DE3" w:rsidRDefault="009B3DE3" w:rsidP="006655D3">
      <w:r>
        <w:separator/>
      </w:r>
    </w:p>
  </w:footnote>
  <w:footnote w:type="continuationSeparator" w:id="0">
    <w:p w:rsidR="009B3DE3" w:rsidRDefault="009B3DE3" w:rsidP="006655D3">
      <w:r>
        <w:separator/>
      </w:r>
    </w:p>
  </w:footnote>
  <w:footnote w:type="continuationNotice" w:id="1">
    <w:p w:rsidR="009B3DE3" w:rsidRPr="00AB530F" w:rsidRDefault="009B3DE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E3" w:rsidRPr="00C5280D" w:rsidRDefault="009B3DE3" w:rsidP="00EB048E">
    <w:pPr>
      <w:pStyle w:val="Header"/>
      <w:rPr>
        <w:rStyle w:val="PageNumber"/>
        <w:lang w:val="en-US"/>
      </w:rPr>
    </w:pPr>
    <w:r>
      <w:rPr>
        <w:rStyle w:val="PageNumber"/>
        <w:lang w:val="en-US"/>
      </w:rPr>
      <w:t>TWP/1/22</w:t>
    </w:r>
  </w:p>
  <w:p w:rsidR="009B3DE3" w:rsidRPr="00C5280D" w:rsidRDefault="009B3DE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0526">
      <w:rPr>
        <w:rStyle w:val="PageNumber"/>
        <w:noProof/>
        <w:lang w:val="en-US"/>
      </w:rPr>
      <w:t>3</w:t>
    </w:r>
    <w:r w:rsidRPr="00C5280D">
      <w:rPr>
        <w:rStyle w:val="PageNumber"/>
        <w:lang w:val="en-US"/>
      </w:rPr>
      <w:fldChar w:fldCharType="end"/>
    </w:r>
  </w:p>
  <w:p w:rsidR="009B3DE3" w:rsidRPr="00C5280D" w:rsidRDefault="009B3DE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E3" w:rsidRPr="00C5280D" w:rsidRDefault="009B3DE3" w:rsidP="00EB048E">
    <w:pPr>
      <w:pStyle w:val="Header"/>
      <w:rPr>
        <w:rStyle w:val="PageNumber"/>
        <w:lang w:val="en-US"/>
      </w:rPr>
    </w:pPr>
    <w:r>
      <w:rPr>
        <w:rStyle w:val="PageNumber"/>
        <w:lang w:val="en-US"/>
      </w:rPr>
      <w:t>TWP/1/22</w:t>
    </w:r>
  </w:p>
  <w:p w:rsidR="009B3DE3" w:rsidRPr="00C5280D" w:rsidRDefault="009B3DE3"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0526">
      <w:rPr>
        <w:rStyle w:val="PageNumber"/>
        <w:noProof/>
        <w:lang w:val="en-US"/>
      </w:rPr>
      <w:t>5</w:t>
    </w:r>
    <w:r w:rsidRPr="00C5280D">
      <w:rPr>
        <w:rStyle w:val="PageNumber"/>
        <w:lang w:val="en-US"/>
      </w:rPr>
      <w:fldChar w:fldCharType="end"/>
    </w:r>
  </w:p>
  <w:p w:rsidR="009B3DE3" w:rsidRPr="00C5280D" w:rsidRDefault="009B3DE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DE3" w:rsidRDefault="009B3DE3">
    <w:pPr>
      <w:pStyle w:val="Header"/>
      <w:rPr>
        <w:lang w:eastAsia="ja-JP"/>
      </w:rPr>
    </w:pPr>
    <w:r>
      <w:t>TWP/1/</w:t>
    </w:r>
    <w:r>
      <w:rPr>
        <w:rFonts w:hint="eastAsia"/>
        <w:lang w:eastAsia="ja-JP"/>
      </w:rPr>
      <w:t>2</w:t>
    </w:r>
    <w:r>
      <w:rPr>
        <w:lang w:eastAsia="ja-JP"/>
      </w:rPr>
      <w:t>2</w:t>
    </w:r>
  </w:p>
  <w:p w:rsidR="009B3DE3" w:rsidRDefault="009B3DE3">
    <w:pPr>
      <w:pStyle w:val="Header"/>
      <w:rPr>
        <w:lang w:eastAsia="ja-JP"/>
      </w:rPr>
    </w:pPr>
  </w:p>
  <w:p w:rsidR="009B3DE3" w:rsidRPr="00C5280D" w:rsidRDefault="009B3DE3" w:rsidP="00703BA4">
    <w:pPr>
      <w:pStyle w:val="Header"/>
    </w:pPr>
    <w:r>
      <w:t>ANNEX</w:t>
    </w:r>
  </w:p>
  <w:p w:rsidR="009B3DE3" w:rsidRDefault="009B3DE3" w:rsidP="00703BA4">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1D"/>
    <w:rsid w:val="00010CF3"/>
    <w:rsid w:val="00011E27"/>
    <w:rsid w:val="000148BC"/>
    <w:rsid w:val="00024AB8"/>
    <w:rsid w:val="00030854"/>
    <w:rsid w:val="00036028"/>
    <w:rsid w:val="00044642"/>
    <w:rsid w:val="000446B9"/>
    <w:rsid w:val="00047E21"/>
    <w:rsid w:val="00050E16"/>
    <w:rsid w:val="000713C3"/>
    <w:rsid w:val="00085505"/>
    <w:rsid w:val="000934C3"/>
    <w:rsid w:val="000C4E25"/>
    <w:rsid w:val="000C7021"/>
    <w:rsid w:val="000D6BBC"/>
    <w:rsid w:val="000D7780"/>
    <w:rsid w:val="000E636A"/>
    <w:rsid w:val="000F2F11"/>
    <w:rsid w:val="00105929"/>
    <w:rsid w:val="00110C36"/>
    <w:rsid w:val="001131D5"/>
    <w:rsid w:val="001132F2"/>
    <w:rsid w:val="00113518"/>
    <w:rsid w:val="00120911"/>
    <w:rsid w:val="00122DEC"/>
    <w:rsid w:val="00141DB8"/>
    <w:rsid w:val="00146D15"/>
    <w:rsid w:val="00172084"/>
    <w:rsid w:val="0017474A"/>
    <w:rsid w:val="001758C6"/>
    <w:rsid w:val="00182B99"/>
    <w:rsid w:val="001B2A1B"/>
    <w:rsid w:val="001D6303"/>
    <w:rsid w:val="001F2FCA"/>
    <w:rsid w:val="0021332C"/>
    <w:rsid w:val="00213982"/>
    <w:rsid w:val="0024416D"/>
    <w:rsid w:val="00245FFC"/>
    <w:rsid w:val="002519E8"/>
    <w:rsid w:val="00271911"/>
    <w:rsid w:val="002800A0"/>
    <w:rsid w:val="002801B3"/>
    <w:rsid w:val="00281060"/>
    <w:rsid w:val="00284CDF"/>
    <w:rsid w:val="002940E8"/>
    <w:rsid w:val="00294751"/>
    <w:rsid w:val="002A043C"/>
    <w:rsid w:val="002A6E50"/>
    <w:rsid w:val="002B4298"/>
    <w:rsid w:val="002C256A"/>
    <w:rsid w:val="002E18C2"/>
    <w:rsid w:val="002F1087"/>
    <w:rsid w:val="00305A7F"/>
    <w:rsid w:val="003152FE"/>
    <w:rsid w:val="00320B86"/>
    <w:rsid w:val="00327436"/>
    <w:rsid w:val="00335389"/>
    <w:rsid w:val="00341C47"/>
    <w:rsid w:val="0034254A"/>
    <w:rsid w:val="00344201"/>
    <w:rsid w:val="00344BD6"/>
    <w:rsid w:val="0035528D"/>
    <w:rsid w:val="00361821"/>
    <w:rsid w:val="00361E9E"/>
    <w:rsid w:val="00370BF0"/>
    <w:rsid w:val="00384B59"/>
    <w:rsid w:val="003C347A"/>
    <w:rsid w:val="003C393E"/>
    <w:rsid w:val="003C7FBE"/>
    <w:rsid w:val="003D227C"/>
    <w:rsid w:val="003D2B4D"/>
    <w:rsid w:val="00424C81"/>
    <w:rsid w:val="0043668A"/>
    <w:rsid w:val="00444A88"/>
    <w:rsid w:val="00446777"/>
    <w:rsid w:val="00447C66"/>
    <w:rsid w:val="00474DA4"/>
    <w:rsid w:val="00475783"/>
    <w:rsid w:val="00476B4D"/>
    <w:rsid w:val="004805FA"/>
    <w:rsid w:val="004935D2"/>
    <w:rsid w:val="0049744F"/>
    <w:rsid w:val="004B1215"/>
    <w:rsid w:val="004C2059"/>
    <w:rsid w:val="004C39C2"/>
    <w:rsid w:val="004D047D"/>
    <w:rsid w:val="004D08BD"/>
    <w:rsid w:val="004F1E9E"/>
    <w:rsid w:val="004F305A"/>
    <w:rsid w:val="00512164"/>
    <w:rsid w:val="00520297"/>
    <w:rsid w:val="00524CC2"/>
    <w:rsid w:val="005338F9"/>
    <w:rsid w:val="0054281C"/>
    <w:rsid w:val="00544581"/>
    <w:rsid w:val="00550C75"/>
    <w:rsid w:val="0055268D"/>
    <w:rsid w:val="0055569C"/>
    <w:rsid w:val="0057402A"/>
    <w:rsid w:val="00576BE4"/>
    <w:rsid w:val="005A400A"/>
    <w:rsid w:val="005F7B92"/>
    <w:rsid w:val="00612379"/>
    <w:rsid w:val="006153B6"/>
    <w:rsid w:val="0061555F"/>
    <w:rsid w:val="00621302"/>
    <w:rsid w:val="006249DC"/>
    <w:rsid w:val="00636CA6"/>
    <w:rsid w:val="00640D25"/>
    <w:rsid w:val="00641200"/>
    <w:rsid w:val="006655D3"/>
    <w:rsid w:val="00667404"/>
    <w:rsid w:val="00687EB4"/>
    <w:rsid w:val="00695C56"/>
    <w:rsid w:val="006A5CDE"/>
    <w:rsid w:val="006A644A"/>
    <w:rsid w:val="006B17D2"/>
    <w:rsid w:val="006C224E"/>
    <w:rsid w:val="006D780A"/>
    <w:rsid w:val="00703BA4"/>
    <w:rsid w:val="00710526"/>
    <w:rsid w:val="0071271E"/>
    <w:rsid w:val="00732DEC"/>
    <w:rsid w:val="00735BD5"/>
    <w:rsid w:val="00751613"/>
    <w:rsid w:val="007556F6"/>
    <w:rsid w:val="00760EEF"/>
    <w:rsid w:val="00777EE5"/>
    <w:rsid w:val="00784836"/>
    <w:rsid w:val="0079023E"/>
    <w:rsid w:val="007950F1"/>
    <w:rsid w:val="007A2854"/>
    <w:rsid w:val="007A4EB8"/>
    <w:rsid w:val="007C1D92"/>
    <w:rsid w:val="007C2FD0"/>
    <w:rsid w:val="007C4CB9"/>
    <w:rsid w:val="007D0B9D"/>
    <w:rsid w:val="007D19B0"/>
    <w:rsid w:val="007F498F"/>
    <w:rsid w:val="0080679D"/>
    <w:rsid w:val="008108B0"/>
    <w:rsid w:val="00811B20"/>
    <w:rsid w:val="008131D9"/>
    <w:rsid w:val="008211B5"/>
    <w:rsid w:val="0082296E"/>
    <w:rsid w:val="00824099"/>
    <w:rsid w:val="00835B95"/>
    <w:rsid w:val="00846D7C"/>
    <w:rsid w:val="00860A1D"/>
    <w:rsid w:val="00861D75"/>
    <w:rsid w:val="00867AC1"/>
    <w:rsid w:val="0087152E"/>
    <w:rsid w:val="00890DF8"/>
    <w:rsid w:val="008A0ACB"/>
    <w:rsid w:val="008A743F"/>
    <w:rsid w:val="008C0970"/>
    <w:rsid w:val="008D0BC5"/>
    <w:rsid w:val="008D2CF7"/>
    <w:rsid w:val="008D3104"/>
    <w:rsid w:val="008F3F5E"/>
    <w:rsid w:val="00900C26"/>
    <w:rsid w:val="0090197F"/>
    <w:rsid w:val="00906DDC"/>
    <w:rsid w:val="009114F0"/>
    <w:rsid w:val="00912675"/>
    <w:rsid w:val="00934E09"/>
    <w:rsid w:val="00936253"/>
    <w:rsid w:val="00940D46"/>
    <w:rsid w:val="00952DD4"/>
    <w:rsid w:val="00962E32"/>
    <w:rsid w:val="009642A2"/>
    <w:rsid w:val="00965AE7"/>
    <w:rsid w:val="00970FED"/>
    <w:rsid w:val="00992D82"/>
    <w:rsid w:val="00997029"/>
    <w:rsid w:val="009A7339"/>
    <w:rsid w:val="009B3DE3"/>
    <w:rsid w:val="009B440E"/>
    <w:rsid w:val="009D690D"/>
    <w:rsid w:val="009E65B6"/>
    <w:rsid w:val="009F2919"/>
    <w:rsid w:val="00A24C10"/>
    <w:rsid w:val="00A36898"/>
    <w:rsid w:val="00A42AC3"/>
    <w:rsid w:val="00A430CF"/>
    <w:rsid w:val="00A54309"/>
    <w:rsid w:val="00A92C63"/>
    <w:rsid w:val="00AB2B93"/>
    <w:rsid w:val="00AB530F"/>
    <w:rsid w:val="00AB7E5B"/>
    <w:rsid w:val="00AC2883"/>
    <w:rsid w:val="00AC5676"/>
    <w:rsid w:val="00AE0EF1"/>
    <w:rsid w:val="00AE2937"/>
    <w:rsid w:val="00AE4B90"/>
    <w:rsid w:val="00B07301"/>
    <w:rsid w:val="00B11F3E"/>
    <w:rsid w:val="00B16963"/>
    <w:rsid w:val="00B224DE"/>
    <w:rsid w:val="00B324D4"/>
    <w:rsid w:val="00B46575"/>
    <w:rsid w:val="00B61777"/>
    <w:rsid w:val="00B84BBD"/>
    <w:rsid w:val="00BA43FB"/>
    <w:rsid w:val="00BC127D"/>
    <w:rsid w:val="00BC1FE6"/>
    <w:rsid w:val="00C061B6"/>
    <w:rsid w:val="00C2446C"/>
    <w:rsid w:val="00C36AE5"/>
    <w:rsid w:val="00C41F17"/>
    <w:rsid w:val="00C46CE1"/>
    <w:rsid w:val="00C527FA"/>
    <w:rsid w:val="00C5280D"/>
    <w:rsid w:val="00C53EB3"/>
    <w:rsid w:val="00C5791C"/>
    <w:rsid w:val="00C64FCB"/>
    <w:rsid w:val="00C66290"/>
    <w:rsid w:val="00C72B7A"/>
    <w:rsid w:val="00C863D6"/>
    <w:rsid w:val="00C8731D"/>
    <w:rsid w:val="00C938DB"/>
    <w:rsid w:val="00C973F2"/>
    <w:rsid w:val="00CA304C"/>
    <w:rsid w:val="00CA774A"/>
    <w:rsid w:val="00CC05A9"/>
    <w:rsid w:val="00CC11B0"/>
    <w:rsid w:val="00CC2841"/>
    <w:rsid w:val="00CE3F60"/>
    <w:rsid w:val="00CF1330"/>
    <w:rsid w:val="00CF7E36"/>
    <w:rsid w:val="00D01D7C"/>
    <w:rsid w:val="00D1722F"/>
    <w:rsid w:val="00D30383"/>
    <w:rsid w:val="00D3708D"/>
    <w:rsid w:val="00D40426"/>
    <w:rsid w:val="00D51651"/>
    <w:rsid w:val="00D57C96"/>
    <w:rsid w:val="00D57D18"/>
    <w:rsid w:val="00D64BC7"/>
    <w:rsid w:val="00D71B22"/>
    <w:rsid w:val="00D91203"/>
    <w:rsid w:val="00D95174"/>
    <w:rsid w:val="00DA1712"/>
    <w:rsid w:val="00DA19BD"/>
    <w:rsid w:val="00DA4499"/>
    <w:rsid w:val="00DA4973"/>
    <w:rsid w:val="00DA6F36"/>
    <w:rsid w:val="00DB596E"/>
    <w:rsid w:val="00DB7773"/>
    <w:rsid w:val="00DC00EA"/>
    <w:rsid w:val="00DC3802"/>
    <w:rsid w:val="00DD5E85"/>
    <w:rsid w:val="00E07D87"/>
    <w:rsid w:val="00E32F7E"/>
    <w:rsid w:val="00E3497F"/>
    <w:rsid w:val="00E44FB5"/>
    <w:rsid w:val="00E5267B"/>
    <w:rsid w:val="00E63B77"/>
    <w:rsid w:val="00E70039"/>
    <w:rsid w:val="00E72D49"/>
    <w:rsid w:val="00E7593C"/>
    <w:rsid w:val="00E7678A"/>
    <w:rsid w:val="00E935F1"/>
    <w:rsid w:val="00E94A81"/>
    <w:rsid w:val="00EA1FFB"/>
    <w:rsid w:val="00EB048E"/>
    <w:rsid w:val="00EB4E9C"/>
    <w:rsid w:val="00EC481C"/>
    <w:rsid w:val="00EC54C4"/>
    <w:rsid w:val="00ED059E"/>
    <w:rsid w:val="00EE1AFA"/>
    <w:rsid w:val="00EE34DF"/>
    <w:rsid w:val="00EF2F89"/>
    <w:rsid w:val="00F02C6D"/>
    <w:rsid w:val="00F03E98"/>
    <w:rsid w:val="00F1237A"/>
    <w:rsid w:val="00F14580"/>
    <w:rsid w:val="00F22CBD"/>
    <w:rsid w:val="00F272F1"/>
    <w:rsid w:val="00F3446D"/>
    <w:rsid w:val="00F45372"/>
    <w:rsid w:val="00F560F7"/>
    <w:rsid w:val="00F6334D"/>
    <w:rsid w:val="00F75F7C"/>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 w:type="table" w:styleId="TableGrid">
    <w:name w:val="Table Grid"/>
    <w:basedOn w:val="TableNormal"/>
    <w:rsid w:val="00D17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1B2A1B"/>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A1B"/>
    <w:rPr>
      <w:rFonts w:ascii="Arial" w:hAnsi="Arial"/>
      <w:caps/>
    </w:rPr>
  </w:style>
  <w:style w:type="character" w:customStyle="1" w:styleId="Heading2Char">
    <w:name w:val="Heading 2 Char"/>
    <w:basedOn w:val="DefaultParagraphFont"/>
    <w:link w:val="Heading2"/>
    <w:rsid w:val="001B2A1B"/>
    <w:rPr>
      <w:rFonts w:ascii="Arial" w:hAnsi="Arial"/>
      <w:u w:val="single"/>
    </w:rPr>
  </w:style>
  <w:style w:type="character" w:customStyle="1" w:styleId="Heading3Char">
    <w:name w:val="Heading 3 Char"/>
    <w:basedOn w:val="DefaultParagraphFont"/>
    <w:link w:val="Heading3"/>
    <w:rsid w:val="001B2A1B"/>
    <w:rPr>
      <w:rFonts w:ascii="Arial" w:hAnsi="Arial"/>
      <w:i/>
    </w:rPr>
  </w:style>
  <w:style w:type="character" w:customStyle="1" w:styleId="Heading4Char">
    <w:name w:val="Heading 4 Char"/>
    <w:basedOn w:val="DefaultParagraphFont"/>
    <w:link w:val="Heading4"/>
    <w:rsid w:val="001B2A1B"/>
    <w:rPr>
      <w:rFonts w:ascii="Arial" w:hAnsi="Arial"/>
      <w:u w:val="single"/>
      <w:lang w:val="fr-FR"/>
    </w:rPr>
  </w:style>
  <w:style w:type="character" w:customStyle="1" w:styleId="Heading5Char">
    <w:name w:val="Heading 5 Char"/>
    <w:basedOn w:val="DefaultParagraphFont"/>
    <w:link w:val="Heading5"/>
    <w:rsid w:val="001B2A1B"/>
    <w:rPr>
      <w:rFonts w:ascii="Arial" w:hAnsi="Arial"/>
      <w:i/>
    </w:rPr>
  </w:style>
  <w:style w:type="character" w:customStyle="1" w:styleId="Heading6Char">
    <w:name w:val="Heading 6 Char"/>
    <w:basedOn w:val="DefaultParagraphFont"/>
    <w:link w:val="Heading6"/>
    <w:rsid w:val="001B2A1B"/>
    <w:rPr>
      <w:sz w:val="24"/>
    </w:rPr>
  </w:style>
  <w:style w:type="character" w:customStyle="1" w:styleId="Heading9Char">
    <w:name w:val="Heading 9 Char"/>
    <w:basedOn w:val="DefaultParagraphFont"/>
    <w:link w:val="Heading9"/>
    <w:rsid w:val="001B2A1B"/>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B2A1B"/>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1B2A1B"/>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1B2A1B"/>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0713C3"/>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1B2A1B"/>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1B2A1B"/>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1B2A1B"/>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1B2A1B"/>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1B2A1B"/>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1B2A1B"/>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1B2A1B"/>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StyleDocoriginalNotBold1">
    <w:name w:val="Style Doc_original + Not Bold1"/>
    <w:basedOn w:val="DefaultParagraphFont"/>
    <w:rsid w:val="001B2A1B"/>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1B2A1B"/>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1B2A1B"/>
    <w:rPr>
      <w:rFonts w:ascii="Arial" w:eastAsia="MS Mincho" w:hAnsi="Arial"/>
      <w:b/>
      <w:bCs/>
      <w:spacing w:val="10"/>
      <w:sz w:val="18"/>
      <w:lang w:val="fr-FR" w:eastAsia="en-US" w:bidi="ar-SA"/>
    </w:rPr>
  </w:style>
  <w:style w:type="paragraph" w:customStyle="1" w:styleId="StyleDocnumber">
    <w:name w:val="Style Doc_number"/>
    <w:basedOn w:val="Docoriginal"/>
    <w:rsid w:val="001B2A1B"/>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1B2A1B"/>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1B2A1B"/>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B2A1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B2A1B"/>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1B2A1B"/>
    <w:rPr>
      <w:rFonts w:ascii="Arial" w:hAnsi="Arial"/>
      <w:b/>
      <w:bCs/>
      <w:sz w:val="20"/>
      <w:lang w:val="en-US"/>
    </w:rPr>
  </w:style>
  <w:style w:type="paragraph" w:styleId="ListParagraph">
    <w:name w:val="List Paragraph"/>
    <w:basedOn w:val="Normal"/>
    <w:uiPriority w:val="34"/>
    <w:qFormat/>
    <w:rsid w:val="001B2A1B"/>
    <w:pPr>
      <w:ind w:left="720"/>
      <w:contextualSpacing/>
    </w:pPr>
    <w:rPr>
      <w:rFonts w:eastAsiaTheme="minorEastAsia"/>
    </w:rPr>
  </w:style>
  <w:style w:type="paragraph" w:customStyle="1" w:styleId="Default">
    <w:name w:val="Default"/>
    <w:rsid w:val="001B2A1B"/>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1B2A1B"/>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1B2A1B"/>
    <w:rPr>
      <w:rFonts w:ascii="Arial" w:eastAsiaTheme="minorEastAsia" w:hAnsi="Arial"/>
    </w:rPr>
  </w:style>
  <w:style w:type="character" w:styleId="CommentReference">
    <w:name w:val="annotation reference"/>
    <w:basedOn w:val="DefaultParagraphFont"/>
    <w:rsid w:val="001B2A1B"/>
    <w:rPr>
      <w:sz w:val="16"/>
      <w:szCs w:val="16"/>
    </w:rPr>
  </w:style>
  <w:style w:type="paragraph" w:styleId="CommentText">
    <w:name w:val="annotation text"/>
    <w:basedOn w:val="Normal"/>
    <w:link w:val="CommentTextChar"/>
    <w:rsid w:val="001B2A1B"/>
    <w:rPr>
      <w:rFonts w:eastAsiaTheme="minorEastAsia"/>
    </w:rPr>
  </w:style>
  <w:style w:type="character" w:customStyle="1" w:styleId="CommentTextChar">
    <w:name w:val="Comment Text Char"/>
    <w:basedOn w:val="DefaultParagraphFont"/>
    <w:link w:val="CommentText"/>
    <w:rsid w:val="001B2A1B"/>
    <w:rPr>
      <w:rFonts w:ascii="Arial" w:eastAsiaTheme="minorEastAsia" w:hAnsi="Arial"/>
    </w:rPr>
  </w:style>
  <w:style w:type="paragraph" w:styleId="CommentSubject">
    <w:name w:val="annotation subject"/>
    <w:basedOn w:val="CommentText"/>
    <w:next w:val="CommentText"/>
    <w:link w:val="CommentSubjectChar"/>
    <w:rsid w:val="001B2A1B"/>
    <w:rPr>
      <w:b/>
      <w:bCs/>
    </w:rPr>
  </w:style>
  <w:style w:type="character" w:customStyle="1" w:styleId="CommentSubjectChar">
    <w:name w:val="Comment Subject Char"/>
    <w:basedOn w:val="CommentTextChar"/>
    <w:link w:val="CommentSubject"/>
    <w:rsid w:val="001B2A1B"/>
    <w:rPr>
      <w:rFonts w:ascii="Arial" w:eastAsiaTheme="minorEastAsia" w:hAnsi="Arial"/>
      <w:b/>
      <w:bCs/>
    </w:rPr>
  </w:style>
  <w:style w:type="paragraph" w:customStyle="1" w:styleId="dec">
    <w:name w:val="dec"/>
    <w:basedOn w:val="Normal"/>
    <w:link w:val="decChar"/>
    <w:qFormat/>
    <w:rsid w:val="001B2A1B"/>
    <w:pPr>
      <w:ind w:left="4536"/>
    </w:pPr>
    <w:rPr>
      <w:rFonts w:eastAsiaTheme="minorEastAsia"/>
      <w:i/>
      <w:spacing w:val="-2"/>
    </w:rPr>
  </w:style>
  <w:style w:type="character" w:customStyle="1" w:styleId="decChar">
    <w:name w:val="dec Char"/>
    <w:basedOn w:val="DefaultParagraphFont"/>
    <w:link w:val="dec"/>
    <w:rsid w:val="001B2A1B"/>
    <w:rPr>
      <w:rFonts w:ascii="Arial" w:eastAsiaTheme="minorEastAsia" w:hAnsi="Arial"/>
      <w:i/>
      <w:spacing w:val="-2"/>
    </w:rPr>
  </w:style>
  <w:style w:type="paragraph" w:styleId="Caption">
    <w:name w:val="caption"/>
    <w:basedOn w:val="Normal"/>
    <w:next w:val="Normal"/>
    <w:qFormat/>
    <w:rsid w:val="001B2A1B"/>
    <w:pPr>
      <w:jc w:val="left"/>
    </w:pPr>
    <w:rPr>
      <w:rFonts w:ascii="Times New Roman" w:hAnsi="Times New Roman"/>
      <w:b/>
      <w:bCs/>
    </w:rPr>
  </w:style>
  <w:style w:type="character" w:customStyle="1" w:styleId="CharChar19">
    <w:name w:val="Char Char19"/>
    <w:locked/>
    <w:rsid w:val="001B2A1B"/>
    <w:rPr>
      <w:rFonts w:ascii="Arial" w:hAnsi="Arial"/>
      <w:caps/>
      <w:lang w:val="en-US" w:eastAsia="en-US" w:bidi="ar-SA"/>
    </w:rPr>
  </w:style>
  <w:style w:type="paragraph" w:customStyle="1" w:styleId="ZchnZchn1">
    <w:name w:val="Zchn Zchn1"/>
    <w:basedOn w:val="Normal"/>
    <w:rsid w:val="001B2A1B"/>
    <w:pPr>
      <w:spacing w:after="160" w:line="240" w:lineRule="exact"/>
      <w:jc w:val="left"/>
    </w:pPr>
    <w:rPr>
      <w:rFonts w:ascii="Verdana" w:eastAsia="PMingLiU" w:hAnsi="Verdana"/>
    </w:rPr>
  </w:style>
  <w:style w:type="paragraph" w:styleId="BlockText">
    <w:name w:val="Block Text"/>
    <w:basedOn w:val="Normal"/>
    <w:rsid w:val="001B2A1B"/>
    <w:pPr>
      <w:ind w:left="1134" w:right="-1" w:hanging="567"/>
    </w:pPr>
    <w:rPr>
      <w:rFonts w:ascii="Times New Roman" w:hAnsi="Times New Roman"/>
      <w:sz w:val="24"/>
    </w:rPr>
  </w:style>
  <w:style w:type="paragraph" w:customStyle="1" w:styleId="indentpara">
    <w:name w:val="indentpara"/>
    <w:basedOn w:val="Normal"/>
    <w:rsid w:val="001B2A1B"/>
    <w:pPr>
      <w:numPr>
        <w:numId w:val="13"/>
      </w:numPr>
    </w:pPr>
    <w:rPr>
      <w:rFonts w:ascii="Times New Roman" w:hAnsi="Times New Roman"/>
      <w:sz w:val="24"/>
    </w:rPr>
  </w:style>
  <w:style w:type="paragraph" w:styleId="NormalWeb">
    <w:name w:val="Normal (Web)"/>
    <w:basedOn w:val="Normal"/>
    <w:rsid w:val="001B2A1B"/>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1B2A1B"/>
    <w:pPr>
      <w:spacing w:after="160" w:line="240" w:lineRule="exact"/>
      <w:jc w:val="left"/>
    </w:pPr>
    <w:rPr>
      <w:rFonts w:ascii="Verdana" w:eastAsia="PMingLiU" w:hAnsi="Verdana"/>
    </w:rPr>
  </w:style>
  <w:style w:type="paragraph" w:styleId="BodyTextIndent">
    <w:name w:val="Body Text Indent"/>
    <w:basedOn w:val="Normal"/>
    <w:link w:val="BodyTextIndentChar"/>
    <w:rsid w:val="001B2A1B"/>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1B2A1B"/>
    <w:rPr>
      <w:sz w:val="24"/>
    </w:rPr>
  </w:style>
  <w:style w:type="paragraph" w:customStyle="1" w:styleId="Committee">
    <w:name w:val="Committee"/>
    <w:basedOn w:val="Normal"/>
    <w:rsid w:val="001B2A1B"/>
    <w:pPr>
      <w:spacing w:after="300"/>
      <w:jc w:val="center"/>
    </w:pPr>
    <w:rPr>
      <w:b/>
      <w:caps/>
      <w:kern w:val="28"/>
      <w:sz w:val="30"/>
    </w:rPr>
  </w:style>
  <w:style w:type="paragraph" w:customStyle="1" w:styleId="DecisionInvitingPara">
    <w:name w:val="Decision Inviting Para."/>
    <w:basedOn w:val="Normal"/>
    <w:rsid w:val="001B2A1B"/>
    <w:pPr>
      <w:ind w:left="4536"/>
      <w:jc w:val="left"/>
    </w:pPr>
    <w:rPr>
      <w:rFonts w:ascii="Times New Roman" w:hAnsi="Times New Roman"/>
      <w:i/>
      <w:sz w:val="24"/>
    </w:rPr>
  </w:style>
  <w:style w:type="paragraph" w:customStyle="1" w:styleId="Endofdocument">
    <w:name w:val="End of document"/>
    <w:basedOn w:val="Normal"/>
    <w:rsid w:val="001B2A1B"/>
    <w:pPr>
      <w:ind w:left="4536"/>
      <w:jc w:val="center"/>
    </w:pPr>
    <w:rPr>
      <w:rFonts w:ascii="Times New Roman" w:hAnsi="Times New Roman"/>
      <w:sz w:val="24"/>
    </w:rPr>
  </w:style>
  <w:style w:type="paragraph" w:customStyle="1" w:styleId="MTDisplayEquation">
    <w:name w:val="MTDisplayEquation"/>
    <w:basedOn w:val="Normal"/>
    <w:next w:val="Normal"/>
    <w:rsid w:val="001B2A1B"/>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1B2A1B"/>
    <w:rPr>
      <w:rFonts w:cs="Times New Roman"/>
      <w:color w:val="800080"/>
      <w:u w:val="single"/>
    </w:rPr>
  </w:style>
  <w:style w:type="character" w:styleId="Emphasis">
    <w:name w:val="Emphasis"/>
    <w:qFormat/>
    <w:rsid w:val="001B2A1B"/>
    <w:rPr>
      <w:rFonts w:ascii="Arial" w:hAnsi="Arial" w:cs="Times New Roman"/>
      <w:b/>
      <w:i/>
    </w:rPr>
  </w:style>
  <w:style w:type="character" w:customStyle="1" w:styleId="StyleTimesNewRomanPSMT">
    <w:name w:val="Style TimesNewRomanPSMT"/>
    <w:rsid w:val="001B2A1B"/>
    <w:rPr>
      <w:rFonts w:ascii="Arial" w:hAnsi="Arial"/>
      <w:sz w:val="20"/>
    </w:rPr>
  </w:style>
  <w:style w:type="character" w:customStyle="1" w:styleId="DecisionParagraphsChar">
    <w:name w:val="DecisionParagraphs Char"/>
    <w:basedOn w:val="DefaultParagraphFont"/>
    <w:link w:val="DecisionParagraphs"/>
    <w:rsid w:val="000713C3"/>
    <w:rPr>
      <w:rFonts w:ascii="Arial" w:hAnsi="Arial"/>
      <w:i/>
    </w:rPr>
  </w:style>
  <w:style w:type="table" w:styleId="TableGrid">
    <w:name w:val="Table Grid"/>
    <w:basedOn w:val="TableNormal"/>
    <w:rsid w:val="00D17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BBC8D-DB8B-444C-8934-241470F5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3206</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20767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MOTOMURA Tomochika</dc:creator>
  <cp:lastModifiedBy>SANCHEZ-VIZCAINO GOMEZ Rosa Maria</cp:lastModifiedBy>
  <cp:revision>11</cp:revision>
  <cp:lastPrinted>2017-06-13T09:50:00Z</cp:lastPrinted>
  <dcterms:created xsi:type="dcterms:W3CDTF">2017-05-31T07:35:00Z</dcterms:created>
  <dcterms:modified xsi:type="dcterms:W3CDTF">2017-06-13T09:50:00Z</dcterms:modified>
</cp:coreProperties>
</file>