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0E6267" w:rsidP="00AC2883">
            <w:pPr>
              <w:pStyle w:val="Sessiontc"/>
              <w:spacing w:line="240" w:lineRule="auto"/>
            </w:pPr>
            <w:r>
              <w:t>Enlarged Editorial</w:t>
            </w:r>
            <w:r w:rsidRPr="00C5280D">
              <w:t xml:space="preserve"> Committee</w:t>
            </w:r>
          </w:p>
          <w:p w:rsidR="000E6267" w:rsidRDefault="000E6267" w:rsidP="007D4635">
            <w:pPr>
              <w:pStyle w:val="Sessiontcplacedate"/>
            </w:pPr>
          </w:p>
          <w:p w:rsidR="00EB4E9C" w:rsidRPr="00DC3802" w:rsidRDefault="00EB4E9C" w:rsidP="000E6267">
            <w:pPr>
              <w:pStyle w:val="Sessiontcplacedate"/>
              <w:rPr>
                <w:sz w:val="22"/>
              </w:rPr>
            </w:pPr>
            <w:r w:rsidRPr="00DA4973">
              <w:t xml:space="preserve">Geneva, </w:t>
            </w:r>
            <w:r w:rsidR="000E6267">
              <w:t>March</w:t>
            </w:r>
            <w:r w:rsidR="00A3365A">
              <w:t xml:space="preserve"> 26</w:t>
            </w:r>
            <w:r w:rsidR="000E6267">
              <w:t xml:space="preserve"> and 27</w:t>
            </w:r>
            <w:r w:rsidRPr="00DA4973">
              <w:t>, 201</w:t>
            </w:r>
            <w:r w:rsidR="000E6267">
              <w:t>8</w:t>
            </w:r>
          </w:p>
        </w:tc>
        <w:tc>
          <w:tcPr>
            <w:tcW w:w="3127" w:type="dxa"/>
          </w:tcPr>
          <w:p w:rsidR="00EB4E9C" w:rsidRPr="003C7FBE" w:rsidRDefault="000E6267" w:rsidP="003C7FBE">
            <w:pPr>
              <w:pStyle w:val="Doccode"/>
            </w:pPr>
            <w:r>
              <w:t>TC-EDC</w:t>
            </w:r>
            <w:r w:rsidR="00A3365A">
              <w:t>/</w:t>
            </w:r>
            <w:r w:rsidR="006567E7">
              <w:t>Mar</w:t>
            </w:r>
            <w:r>
              <w:t>18</w:t>
            </w:r>
            <w:r w:rsidR="00EB4E9C" w:rsidRPr="00AC2883">
              <w:t>/</w:t>
            </w:r>
            <w:r w:rsidR="005450F0">
              <w:t>14</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EA3551">
            <w:pPr>
              <w:pStyle w:val="Docoriginal"/>
            </w:pPr>
            <w:r w:rsidRPr="00AC2883">
              <w:t>Date:</w:t>
            </w:r>
            <w:r w:rsidRPr="000E636A">
              <w:rPr>
                <w:b w:val="0"/>
                <w:spacing w:val="0"/>
              </w:rPr>
              <w:t xml:space="preserve">  </w:t>
            </w:r>
            <w:r w:rsidR="00EA3551" w:rsidRPr="00D07917">
              <w:rPr>
                <w:b w:val="0"/>
                <w:spacing w:val="0"/>
              </w:rPr>
              <w:t xml:space="preserve">February </w:t>
            </w:r>
            <w:r w:rsidR="00A8541C" w:rsidRPr="00D07917">
              <w:rPr>
                <w:b w:val="0"/>
                <w:spacing w:val="0"/>
              </w:rPr>
              <w:t>2</w:t>
            </w:r>
            <w:r w:rsidRPr="00D07917">
              <w:rPr>
                <w:b w:val="0"/>
                <w:spacing w:val="0"/>
              </w:rPr>
              <w:t>, 201</w:t>
            </w:r>
            <w:r w:rsidR="005450F0" w:rsidRPr="00D07917">
              <w:rPr>
                <w:b w:val="0"/>
                <w:spacing w:val="0"/>
              </w:rPr>
              <w:t>8</w:t>
            </w:r>
          </w:p>
        </w:tc>
      </w:tr>
    </w:tbl>
    <w:p w:rsidR="00CD668A" w:rsidRPr="00F27642" w:rsidRDefault="00CD668A" w:rsidP="00CD668A">
      <w:pPr>
        <w:tabs>
          <w:tab w:val="left" w:pos="5760"/>
        </w:tabs>
        <w:spacing w:before="600" w:after="240"/>
        <w:jc w:val="left"/>
        <w:rPr>
          <w:rFonts w:eastAsiaTheme="minorEastAsia"/>
          <w:b/>
          <w:caps/>
        </w:rPr>
      </w:pPr>
      <w:bookmarkStart w:id="0" w:name="TitleOfDoc"/>
      <w:bookmarkStart w:id="1" w:name="Prepared"/>
      <w:bookmarkEnd w:id="0"/>
      <w:bookmarkEnd w:id="1"/>
      <w:r w:rsidRPr="00F27642">
        <w:rPr>
          <w:rFonts w:eastAsiaTheme="minorEastAsia" w:cs="Arial"/>
          <w:b/>
          <w:caps/>
        </w:rPr>
        <w:t>the Combined-Over-Years Uniformity Criterion (COYU)</w:t>
      </w:r>
    </w:p>
    <w:p w:rsidR="00CD668A" w:rsidRDefault="00CD668A" w:rsidP="00CD668A">
      <w:pPr>
        <w:pStyle w:val="preparedby1"/>
        <w:jc w:val="left"/>
      </w:pPr>
      <w:r w:rsidRPr="000C4E25">
        <w:t>Document prepared by the Office of the Union</w:t>
      </w:r>
    </w:p>
    <w:p w:rsidR="00CD668A" w:rsidRPr="006A644A" w:rsidRDefault="00CD668A" w:rsidP="00CD668A">
      <w:pPr>
        <w:pStyle w:val="Disclaimer"/>
      </w:pPr>
      <w:r w:rsidRPr="006A644A">
        <w:t>Disclaimer:  this document does not represent UPOV policies or guidance</w:t>
      </w:r>
    </w:p>
    <w:p w:rsidR="00CD668A" w:rsidRPr="00F27642" w:rsidRDefault="00CD668A" w:rsidP="00CD668A">
      <w:pPr>
        <w:pStyle w:val="Heading1"/>
        <w:rPr>
          <w:rFonts w:eastAsiaTheme="minorEastAsia"/>
          <w:lang w:eastAsia="ja-JP"/>
        </w:rPr>
      </w:pPr>
      <w:bookmarkStart w:id="2" w:name="_Ref438649598"/>
      <w:bookmarkStart w:id="3" w:name="_Toc474404967"/>
      <w:bookmarkStart w:id="4" w:name="_Toc483235547"/>
      <w:bookmarkStart w:id="5" w:name="_Toc504404784"/>
      <w:r w:rsidRPr="00F27642">
        <w:rPr>
          <w:rFonts w:eastAsiaTheme="minorEastAsia" w:hint="eastAsia"/>
          <w:lang w:eastAsia="ja-JP"/>
        </w:rPr>
        <w:t>EXECUTIVE SUMMARY</w:t>
      </w:r>
      <w:bookmarkEnd w:id="2"/>
      <w:bookmarkEnd w:id="3"/>
      <w:bookmarkEnd w:id="4"/>
      <w:bookmarkEnd w:id="5"/>
    </w:p>
    <w:p w:rsidR="00CD668A" w:rsidRPr="00F27642" w:rsidRDefault="00CD668A" w:rsidP="00CD668A">
      <w:pPr>
        <w:rPr>
          <w:rFonts w:eastAsiaTheme="minorEastAsia"/>
          <w:lang w:eastAsia="ja-JP"/>
        </w:rPr>
      </w:pPr>
    </w:p>
    <w:p w:rsidR="00CD668A" w:rsidRPr="00F27642" w:rsidRDefault="00CD668A" w:rsidP="00CD668A">
      <w:pPr>
        <w:rPr>
          <w:rFonts w:eastAsiaTheme="minorEastAsia"/>
        </w:rPr>
      </w:pPr>
      <w:r w:rsidRPr="00F27642">
        <w:rPr>
          <w:rFonts w:eastAsiaTheme="minorEastAsia"/>
        </w:rPr>
        <w:fldChar w:fldCharType="begin"/>
      </w:r>
      <w:r w:rsidRPr="00F27642">
        <w:rPr>
          <w:rFonts w:eastAsiaTheme="minorEastAsia"/>
        </w:rPr>
        <w:instrText xml:space="preserve"> AUTONUM  </w:instrText>
      </w:r>
      <w:r w:rsidRPr="00F27642">
        <w:rPr>
          <w:rFonts w:eastAsiaTheme="minorEastAsia"/>
        </w:rPr>
        <w:fldChar w:fldCharType="end"/>
      </w:r>
      <w:r w:rsidRPr="00F27642">
        <w:rPr>
          <w:rFonts w:eastAsiaTheme="minorEastAsia"/>
        </w:rPr>
        <w:tab/>
        <w:t xml:space="preserve">The purpose of this document is to report on </w:t>
      </w:r>
      <w:r w:rsidRPr="00B241F4">
        <w:rPr>
          <w:lang w:eastAsia="ja-JP"/>
        </w:rPr>
        <w:t xml:space="preserve">developments concerning the </w:t>
      </w:r>
      <w:r>
        <w:rPr>
          <w:lang w:eastAsia="ja-JP"/>
        </w:rPr>
        <w:t>improved</w:t>
      </w:r>
      <w:r w:rsidRPr="00B241F4">
        <w:rPr>
          <w:lang w:eastAsia="ja-JP"/>
        </w:rPr>
        <w:t xml:space="preserve"> method of calculation of </w:t>
      </w:r>
      <w:r w:rsidRPr="00F27642">
        <w:rPr>
          <w:rFonts w:eastAsiaTheme="minorEastAsia" w:hint="eastAsia"/>
          <w:lang w:eastAsia="ja-JP"/>
        </w:rPr>
        <w:t xml:space="preserve">the </w:t>
      </w:r>
      <w:r w:rsidRPr="00F27642">
        <w:rPr>
          <w:rFonts w:eastAsiaTheme="minorEastAsia" w:hint="eastAsia"/>
          <w:szCs w:val="24"/>
          <w:lang w:eastAsia="ja-JP"/>
        </w:rPr>
        <w:t>Combined-Over-Years Uniformity Criterion (</w:t>
      </w:r>
      <w:r w:rsidRPr="00F27642">
        <w:rPr>
          <w:rFonts w:eastAsiaTheme="minorEastAsia"/>
        </w:rPr>
        <w:t>COYU</w:t>
      </w:r>
      <w:r w:rsidRPr="00F27642">
        <w:rPr>
          <w:rFonts w:eastAsiaTheme="minorEastAsia" w:hint="eastAsia"/>
          <w:lang w:eastAsia="ja-JP"/>
        </w:rPr>
        <w:t>)</w:t>
      </w:r>
      <w:r w:rsidRPr="00F27642">
        <w:rPr>
          <w:rFonts w:eastAsiaTheme="minorEastAsia"/>
        </w:rPr>
        <w:t>.</w:t>
      </w:r>
      <w:r>
        <w:rPr>
          <w:rFonts w:eastAsiaTheme="minorEastAsia"/>
        </w:rPr>
        <w:t xml:space="preserve"> The current method </w:t>
      </w:r>
      <w:r w:rsidRPr="00B241F4">
        <w:rPr>
          <w:lang w:eastAsia="ja-JP"/>
        </w:rPr>
        <w:t xml:space="preserve">of calculation of </w:t>
      </w:r>
      <w:r>
        <w:rPr>
          <w:lang w:eastAsia="ja-JP"/>
        </w:rPr>
        <w:t xml:space="preserve">the </w:t>
      </w:r>
      <w:r>
        <w:rPr>
          <w:rFonts w:eastAsiaTheme="minorEastAsia"/>
          <w:szCs w:val="24"/>
          <w:lang w:eastAsia="ja-JP"/>
        </w:rPr>
        <w:t xml:space="preserve">COYU criterion </w:t>
      </w:r>
      <w:r>
        <w:rPr>
          <w:rFonts w:eastAsiaTheme="minorEastAsia"/>
        </w:rPr>
        <w:t>is described in document TGP/8 “</w:t>
      </w:r>
      <w:r w:rsidRPr="00484B78">
        <w:rPr>
          <w:rFonts w:eastAsiaTheme="minorEastAsia"/>
        </w:rPr>
        <w:t>Trial Design and Techniques Used in the Examination of Distinctness, Uniformity and Stability</w:t>
      </w:r>
      <w:r>
        <w:rPr>
          <w:rFonts w:eastAsiaTheme="minorEastAsia"/>
        </w:rPr>
        <w:t>”</w:t>
      </w:r>
      <w:r w:rsidR="001E583E">
        <w:rPr>
          <w:rFonts w:eastAsiaTheme="minorEastAsia"/>
        </w:rPr>
        <w:t>.</w:t>
      </w:r>
    </w:p>
    <w:p w:rsidR="00CD668A" w:rsidRPr="00F27642" w:rsidRDefault="00CD668A" w:rsidP="00CD668A">
      <w:pPr>
        <w:rPr>
          <w:rFonts w:eastAsiaTheme="minorEastAsia"/>
          <w:lang w:eastAsia="ja-JP"/>
        </w:rPr>
      </w:pPr>
    </w:p>
    <w:p w:rsidR="00CD668A" w:rsidRPr="00F27642" w:rsidRDefault="00CD668A" w:rsidP="00CD668A">
      <w:pPr>
        <w:rPr>
          <w:rFonts w:eastAsiaTheme="minorEastAsia"/>
        </w:rPr>
      </w:pPr>
      <w:r w:rsidRPr="00F27642">
        <w:rPr>
          <w:rFonts w:eastAsiaTheme="minorEastAsia"/>
        </w:rPr>
        <w:fldChar w:fldCharType="begin"/>
      </w:r>
      <w:r w:rsidRPr="00F27642">
        <w:rPr>
          <w:rFonts w:eastAsiaTheme="minorEastAsia"/>
        </w:rPr>
        <w:instrText xml:space="preserve"> AUTONUM  </w:instrText>
      </w:r>
      <w:r w:rsidRPr="00F27642">
        <w:rPr>
          <w:rFonts w:eastAsiaTheme="minorEastAsia"/>
        </w:rPr>
        <w:fldChar w:fldCharType="end"/>
      </w:r>
      <w:r w:rsidRPr="00F27642">
        <w:rPr>
          <w:rFonts w:eastAsiaTheme="minorEastAsia"/>
        </w:rPr>
        <w:tab/>
      </w:r>
      <w:r>
        <w:rPr>
          <w:rFonts w:eastAsiaTheme="minorEastAsia"/>
        </w:rPr>
        <w:t xml:space="preserve">The </w:t>
      </w:r>
      <w:r w:rsidRPr="00F27642">
        <w:rPr>
          <w:rFonts w:eastAsiaTheme="minorEastAsia"/>
        </w:rPr>
        <w:t>COYU</w:t>
      </w:r>
      <w:r>
        <w:rPr>
          <w:rFonts w:eastAsiaTheme="minorEastAsia"/>
        </w:rPr>
        <w:t xml:space="preserve"> </w:t>
      </w:r>
      <w:r w:rsidRPr="00F27642">
        <w:rPr>
          <w:rFonts w:eastAsiaTheme="minorEastAsia" w:hint="eastAsia"/>
          <w:szCs w:val="24"/>
          <w:lang w:eastAsia="ja-JP"/>
        </w:rPr>
        <w:t xml:space="preserve">Criterion </w:t>
      </w:r>
      <w:r>
        <w:rPr>
          <w:rFonts w:eastAsiaTheme="minorEastAsia"/>
        </w:rPr>
        <w:t>is used for the assessment of uniformity with quantitative characteristics, when observations are made on a plant basis over two or more cycles and when there is quantitative variation between plants of a variety.</w:t>
      </w:r>
    </w:p>
    <w:p w:rsidR="00CD668A" w:rsidRPr="006D7447" w:rsidRDefault="00CD668A" w:rsidP="00CD668A">
      <w:pPr>
        <w:rPr>
          <w:rFonts w:eastAsiaTheme="minorEastAsia"/>
          <w:lang w:eastAsia="ja-JP"/>
        </w:rPr>
      </w:pPr>
    </w:p>
    <w:p w:rsidR="00831B7D" w:rsidRPr="00831B7D" w:rsidRDefault="00831B7D" w:rsidP="00831B7D">
      <w:pPr>
        <w:tabs>
          <w:tab w:val="left" w:pos="567"/>
          <w:tab w:val="left" w:pos="1134"/>
        </w:tabs>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r>
      <w:r w:rsidRPr="00831B7D">
        <w:rPr>
          <w:rFonts w:eastAsiaTheme="minorEastAsia"/>
        </w:rPr>
        <w:t>The TC-EDC is invited to:</w:t>
      </w:r>
    </w:p>
    <w:p w:rsidR="00831B7D" w:rsidRPr="00831B7D" w:rsidRDefault="00831B7D" w:rsidP="00831B7D">
      <w:pPr>
        <w:tabs>
          <w:tab w:val="left" w:pos="567"/>
          <w:tab w:val="left" w:pos="1134"/>
        </w:tabs>
        <w:rPr>
          <w:rFonts w:eastAsiaTheme="minorEastAsia"/>
        </w:rPr>
      </w:pPr>
    </w:p>
    <w:p w:rsidR="00831B7D" w:rsidRPr="00831B7D" w:rsidRDefault="00831B7D" w:rsidP="00831B7D">
      <w:pPr>
        <w:tabs>
          <w:tab w:val="left" w:pos="567"/>
          <w:tab w:val="left" w:pos="1134"/>
        </w:tabs>
        <w:rPr>
          <w:rFonts w:eastAsiaTheme="minorEastAsia"/>
        </w:rPr>
      </w:pPr>
      <w:r w:rsidRPr="00831B7D">
        <w:rPr>
          <w:rFonts w:eastAsiaTheme="minorEastAsia"/>
        </w:rPr>
        <w:tab/>
        <w:t>(a)</w:t>
      </w:r>
      <w:r w:rsidRPr="00831B7D">
        <w:rPr>
          <w:rFonts w:eastAsiaTheme="minorEastAsia"/>
        </w:rPr>
        <w:tab/>
        <w:t>note that the TWF suggested to conduct a survey among members of the Union to assess the number of authorities using the COYU method for each crop sector, in order to assess how best to present information in relation to COYU to the TWPs;</w:t>
      </w:r>
    </w:p>
    <w:p w:rsidR="00831B7D" w:rsidRPr="00831B7D" w:rsidRDefault="00831B7D" w:rsidP="00831B7D">
      <w:pPr>
        <w:tabs>
          <w:tab w:val="left" w:pos="567"/>
          <w:tab w:val="left" w:pos="1134"/>
        </w:tabs>
        <w:rPr>
          <w:rFonts w:eastAsiaTheme="minorEastAsia"/>
        </w:rPr>
      </w:pPr>
    </w:p>
    <w:p w:rsidR="00831B7D" w:rsidRPr="00831B7D" w:rsidRDefault="00831B7D" w:rsidP="00831B7D">
      <w:pPr>
        <w:tabs>
          <w:tab w:val="left" w:pos="567"/>
          <w:tab w:val="left" w:pos="1134"/>
        </w:tabs>
        <w:rPr>
          <w:rFonts w:eastAsiaTheme="minorEastAsia"/>
        </w:rPr>
      </w:pPr>
      <w:r w:rsidRPr="00831B7D">
        <w:rPr>
          <w:rFonts w:eastAsiaTheme="minorEastAsia"/>
        </w:rPr>
        <w:tab/>
        <w:t>(b)</w:t>
      </w:r>
      <w:r w:rsidRPr="00831B7D">
        <w:rPr>
          <w:rFonts w:eastAsiaTheme="minorEastAsia"/>
        </w:rPr>
        <w:tab/>
        <w:t>note that the TWC agreed to invite the expert from the United Kingdom to report on further improving the software using the new method of calculation of COYU, at its thirty-sixth session; and</w:t>
      </w:r>
    </w:p>
    <w:p w:rsidR="00831B7D" w:rsidRPr="00831B7D" w:rsidRDefault="00831B7D" w:rsidP="00831B7D">
      <w:pPr>
        <w:tabs>
          <w:tab w:val="left" w:pos="567"/>
          <w:tab w:val="left" w:pos="1134"/>
        </w:tabs>
        <w:rPr>
          <w:rFonts w:eastAsiaTheme="minorEastAsia"/>
        </w:rPr>
      </w:pPr>
    </w:p>
    <w:p w:rsidR="00643DE0" w:rsidRDefault="00831B7D" w:rsidP="00831B7D">
      <w:pPr>
        <w:tabs>
          <w:tab w:val="left" w:pos="567"/>
          <w:tab w:val="left" w:pos="1134"/>
        </w:tabs>
        <w:rPr>
          <w:rFonts w:eastAsiaTheme="minorEastAsia"/>
        </w:rPr>
      </w:pPr>
      <w:r w:rsidRPr="00831B7D">
        <w:rPr>
          <w:rFonts w:eastAsiaTheme="minorEastAsia"/>
        </w:rPr>
        <w:tab/>
        <w:t>(c)</w:t>
      </w:r>
      <w:r w:rsidRPr="00831B7D">
        <w:rPr>
          <w:rFonts w:eastAsiaTheme="minorEastAsia"/>
        </w:rPr>
        <w:tab/>
      </w:r>
      <w:proofErr w:type="gramStart"/>
      <w:r w:rsidRPr="00831B7D">
        <w:rPr>
          <w:rFonts w:eastAsiaTheme="minorEastAsia"/>
        </w:rPr>
        <w:t>propose</w:t>
      </w:r>
      <w:proofErr w:type="gramEnd"/>
      <w:r w:rsidRPr="00831B7D">
        <w:rPr>
          <w:rFonts w:eastAsiaTheme="minorEastAsia"/>
        </w:rPr>
        <w:t xml:space="preserve"> to the TWC to formulate a proposal for consideration by the TC, at its fifty-fourth session, on the new method of calculation of COYU.</w:t>
      </w:r>
    </w:p>
    <w:p w:rsidR="00831B7D" w:rsidRPr="00F27642" w:rsidRDefault="00831B7D" w:rsidP="00831B7D">
      <w:pPr>
        <w:tabs>
          <w:tab w:val="left" w:pos="567"/>
          <w:tab w:val="left" w:pos="1134"/>
        </w:tabs>
        <w:rPr>
          <w:rFonts w:eastAsiaTheme="minorEastAsia"/>
          <w:lang w:eastAsia="ja-JP"/>
        </w:rPr>
      </w:pPr>
    </w:p>
    <w:p w:rsidR="00CD668A" w:rsidRPr="00F11BFD" w:rsidRDefault="00CD668A" w:rsidP="00CD668A">
      <w:pPr>
        <w:keepNext/>
        <w:spacing w:line="360" w:lineRule="auto"/>
      </w:pPr>
      <w:r w:rsidRPr="007C25BD">
        <w:fldChar w:fldCharType="begin"/>
      </w:r>
      <w:r w:rsidRPr="007C25BD">
        <w:instrText xml:space="preserve"> AUTONUM  </w:instrText>
      </w:r>
      <w:r w:rsidRPr="007C25BD">
        <w:fldChar w:fldCharType="end"/>
      </w:r>
      <w:r w:rsidRPr="00F11BFD">
        <w:tab/>
        <w:t>The structure of this document is as follows:</w:t>
      </w:r>
    </w:p>
    <w:sdt>
      <w:sdtPr>
        <w:rPr>
          <w:rFonts w:eastAsiaTheme="minorEastAsia"/>
          <w:bCs/>
          <w:caps w:val="0"/>
          <w:highlight w:val="cyan"/>
        </w:rPr>
        <w:id w:val="-1800911247"/>
        <w:docPartObj>
          <w:docPartGallery w:val="Table of Contents"/>
          <w:docPartUnique/>
        </w:docPartObj>
      </w:sdtPr>
      <w:sdtEndPr>
        <w:rPr>
          <w:rFonts w:eastAsia="Times New Roman"/>
          <w:b/>
          <w:bCs w:val="0"/>
          <w:szCs w:val="18"/>
          <w:highlight w:val="none"/>
        </w:rPr>
      </w:sdtEndPr>
      <w:sdtContent>
        <w:p w:rsidR="00114F65" w:rsidRDefault="00CD668A">
          <w:pPr>
            <w:pStyle w:val="TOC1"/>
            <w:rPr>
              <w:rFonts w:asciiTheme="minorHAnsi" w:eastAsiaTheme="minorEastAsia" w:hAnsiTheme="minorHAnsi" w:cstheme="minorBidi"/>
              <w:caps w:val="0"/>
              <w:noProof/>
              <w:sz w:val="22"/>
              <w:szCs w:val="22"/>
            </w:rPr>
          </w:pPr>
          <w:r w:rsidRPr="00BD490C">
            <w:rPr>
              <w:rFonts w:cs="Arial"/>
              <w:highlight w:val="cyan"/>
            </w:rPr>
            <w:fldChar w:fldCharType="begin"/>
          </w:r>
          <w:r w:rsidRPr="00BD490C">
            <w:rPr>
              <w:highlight w:val="cyan"/>
            </w:rPr>
            <w:instrText xml:space="preserve"> TOC \o "1-3" \h \z \u </w:instrText>
          </w:r>
          <w:r w:rsidRPr="00BD490C">
            <w:rPr>
              <w:rFonts w:cs="Arial"/>
              <w:highlight w:val="cyan"/>
            </w:rPr>
            <w:fldChar w:fldCharType="separate"/>
          </w:r>
          <w:hyperlink w:anchor="_Toc504404784" w:history="1">
            <w:r w:rsidR="00114F65" w:rsidRPr="002B3198">
              <w:rPr>
                <w:rStyle w:val="Hyperlink"/>
                <w:noProof/>
                <w:lang w:eastAsia="ja-JP"/>
              </w:rPr>
              <w:t>EXECUTIVE SUMMARY</w:t>
            </w:r>
            <w:r w:rsidR="00114F65">
              <w:rPr>
                <w:noProof/>
                <w:webHidden/>
              </w:rPr>
              <w:tab/>
            </w:r>
            <w:r w:rsidR="00114F65">
              <w:rPr>
                <w:noProof/>
                <w:webHidden/>
              </w:rPr>
              <w:fldChar w:fldCharType="begin"/>
            </w:r>
            <w:r w:rsidR="00114F65">
              <w:rPr>
                <w:noProof/>
                <w:webHidden/>
              </w:rPr>
              <w:instrText xml:space="preserve"> PAGEREF _Toc504404784 \h </w:instrText>
            </w:r>
            <w:r w:rsidR="00114F65">
              <w:rPr>
                <w:noProof/>
                <w:webHidden/>
              </w:rPr>
            </w:r>
            <w:r w:rsidR="00114F65">
              <w:rPr>
                <w:noProof/>
                <w:webHidden/>
              </w:rPr>
              <w:fldChar w:fldCharType="separate"/>
            </w:r>
            <w:r w:rsidR="00DD3871">
              <w:rPr>
                <w:noProof/>
                <w:webHidden/>
              </w:rPr>
              <w:t>1</w:t>
            </w:r>
            <w:r w:rsidR="00114F65">
              <w:rPr>
                <w:noProof/>
                <w:webHidden/>
              </w:rPr>
              <w:fldChar w:fldCharType="end"/>
            </w:r>
          </w:hyperlink>
        </w:p>
        <w:p w:rsidR="00114F65" w:rsidRDefault="00DD3871">
          <w:pPr>
            <w:pStyle w:val="TOC1"/>
            <w:rPr>
              <w:rFonts w:asciiTheme="minorHAnsi" w:eastAsiaTheme="minorEastAsia" w:hAnsiTheme="minorHAnsi" w:cstheme="minorBidi"/>
              <w:caps w:val="0"/>
              <w:noProof/>
              <w:sz w:val="22"/>
              <w:szCs w:val="22"/>
            </w:rPr>
          </w:pPr>
          <w:hyperlink w:anchor="_Toc504404785" w:history="1">
            <w:r w:rsidR="00114F65" w:rsidRPr="002B3198">
              <w:rPr>
                <w:rStyle w:val="Hyperlink"/>
                <w:noProof/>
                <w:lang w:eastAsia="ja-JP"/>
              </w:rPr>
              <w:t>Background</w:t>
            </w:r>
            <w:r w:rsidR="00114F65">
              <w:rPr>
                <w:noProof/>
                <w:webHidden/>
              </w:rPr>
              <w:tab/>
            </w:r>
            <w:r w:rsidR="00114F65">
              <w:rPr>
                <w:noProof/>
                <w:webHidden/>
              </w:rPr>
              <w:fldChar w:fldCharType="begin"/>
            </w:r>
            <w:r w:rsidR="00114F65">
              <w:rPr>
                <w:noProof/>
                <w:webHidden/>
              </w:rPr>
              <w:instrText xml:space="preserve"> PAGEREF _Toc504404785 \h </w:instrText>
            </w:r>
            <w:r w:rsidR="00114F65">
              <w:rPr>
                <w:noProof/>
                <w:webHidden/>
              </w:rPr>
            </w:r>
            <w:r w:rsidR="00114F65">
              <w:rPr>
                <w:noProof/>
                <w:webHidden/>
              </w:rPr>
              <w:fldChar w:fldCharType="separate"/>
            </w:r>
            <w:r>
              <w:rPr>
                <w:noProof/>
                <w:webHidden/>
              </w:rPr>
              <w:t>2</w:t>
            </w:r>
            <w:r w:rsidR="00114F65">
              <w:rPr>
                <w:noProof/>
                <w:webHidden/>
              </w:rPr>
              <w:fldChar w:fldCharType="end"/>
            </w:r>
          </w:hyperlink>
        </w:p>
        <w:p w:rsidR="00114F65" w:rsidRDefault="00DD3871">
          <w:pPr>
            <w:pStyle w:val="TOC1"/>
            <w:rPr>
              <w:rFonts w:asciiTheme="minorHAnsi" w:eastAsiaTheme="minorEastAsia" w:hAnsiTheme="minorHAnsi" w:cstheme="minorBidi"/>
              <w:caps w:val="0"/>
              <w:noProof/>
              <w:sz w:val="22"/>
              <w:szCs w:val="22"/>
            </w:rPr>
          </w:pPr>
          <w:hyperlink w:anchor="_Toc504404786" w:history="1">
            <w:r w:rsidR="00114F65" w:rsidRPr="002B3198">
              <w:rPr>
                <w:rStyle w:val="Hyperlink"/>
                <w:noProof/>
              </w:rPr>
              <w:t>DEVELOPMENTS IN 201</w:t>
            </w:r>
            <w:r w:rsidR="00114F65" w:rsidRPr="002B3198">
              <w:rPr>
                <w:rStyle w:val="Hyperlink"/>
                <w:noProof/>
                <w:lang w:eastAsia="ja-JP"/>
              </w:rPr>
              <w:t>7</w:t>
            </w:r>
            <w:r w:rsidR="00114F65">
              <w:rPr>
                <w:noProof/>
                <w:webHidden/>
              </w:rPr>
              <w:tab/>
            </w:r>
            <w:r w:rsidR="00114F65">
              <w:rPr>
                <w:noProof/>
                <w:webHidden/>
              </w:rPr>
              <w:fldChar w:fldCharType="begin"/>
            </w:r>
            <w:r w:rsidR="00114F65">
              <w:rPr>
                <w:noProof/>
                <w:webHidden/>
              </w:rPr>
              <w:instrText xml:space="preserve"> PAGEREF _Toc504404786 \h </w:instrText>
            </w:r>
            <w:r w:rsidR="00114F65">
              <w:rPr>
                <w:noProof/>
                <w:webHidden/>
              </w:rPr>
            </w:r>
            <w:r w:rsidR="00114F65">
              <w:rPr>
                <w:noProof/>
                <w:webHidden/>
              </w:rPr>
              <w:fldChar w:fldCharType="separate"/>
            </w:r>
            <w:r>
              <w:rPr>
                <w:noProof/>
                <w:webHidden/>
              </w:rPr>
              <w:t>2</w:t>
            </w:r>
            <w:r w:rsidR="00114F65">
              <w:rPr>
                <w:noProof/>
                <w:webHidden/>
              </w:rPr>
              <w:fldChar w:fldCharType="end"/>
            </w:r>
          </w:hyperlink>
        </w:p>
        <w:p w:rsidR="00114F65" w:rsidRDefault="00DD3871">
          <w:pPr>
            <w:pStyle w:val="TOC2"/>
            <w:rPr>
              <w:rFonts w:asciiTheme="minorHAnsi" w:eastAsiaTheme="minorEastAsia" w:hAnsiTheme="minorHAnsi" w:cstheme="minorBidi"/>
              <w:smallCaps w:val="0"/>
              <w:noProof/>
              <w:sz w:val="22"/>
              <w:szCs w:val="22"/>
            </w:rPr>
          </w:pPr>
          <w:hyperlink w:anchor="_Toc504404787" w:history="1">
            <w:r w:rsidR="00114F65" w:rsidRPr="002B3198">
              <w:rPr>
                <w:rStyle w:val="Hyperlink"/>
                <w:noProof/>
                <w:lang w:eastAsia="ja-JP"/>
              </w:rPr>
              <w:t>Technical Committee</w:t>
            </w:r>
            <w:r w:rsidR="00114F65">
              <w:rPr>
                <w:noProof/>
                <w:webHidden/>
              </w:rPr>
              <w:tab/>
            </w:r>
            <w:r w:rsidR="00114F65">
              <w:rPr>
                <w:noProof/>
                <w:webHidden/>
              </w:rPr>
              <w:fldChar w:fldCharType="begin"/>
            </w:r>
            <w:r w:rsidR="00114F65">
              <w:rPr>
                <w:noProof/>
                <w:webHidden/>
              </w:rPr>
              <w:instrText xml:space="preserve"> PAGEREF _Toc504404787 \h </w:instrText>
            </w:r>
            <w:r w:rsidR="00114F65">
              <w:rPr>
                <w:noProof/>
                <w:webHidden/>
              </w:rPr>
            </w:r>
            <w:r w:rsidR="00114F65">
              <w:rPr>
                <w:noProof/>
                <w:webHidden/>
              </w:rPr>
              <w:fldChar w:fldCharType="separate"/>
            </w:r>
            <w:r>
              <w:rPr>
                <w:noProof/>
                <w:webHidden/>
              </w:rPr>
              <w:t>2</w:t>
            </w:r>
            <w:r w:rsidR="00114F65">
              <w:rPr>
                <w:noProof/>
                <w:webHidden/>
              </w:rPr>
              <w:fldChar w:fldCharType="end"/>
            </w:r>
          </w:hyperlink>
        </w:p>
        <w:p w:rsidR="00114F65" w:rsidRDefault="00DD3871">
          <w:pPr>
            <w:pStyle w:val="TOC2"/>
            <w:rPr>
              <w:rFonts w:asciiTheme="minorHAnsi" w:eastAsiaTheme="minorEastAsia" w:hAnsiTheme="minorHAnsi" w:cstheme="minorBidi"/>
              <w:smallCaps w:val="0"/>
              <w:noProof/>
              <w:sz w:val="22"/>
              <w:szCs w:val="22"/>
            </w:rPr>
          </w:pPr>
          <w:hyperlink w:anchor="_Toc504404788" w:history="1">
            <w:r w:rsidR="00114F65" w:rsidRPr="002B3198">
              <w:rPr>
                <w:rStyle w:val="Hyperlink"/>
                <w:noProof/>
                <w:lang w:eastAsia="ja-JP"/>
              </w:rPr>
              <w:t>Comments by the Technical Working Parties</w:t>
            </w:r>
            <w:r w:rsidR="00114F65">
              <w:rPr>
                <w:noProof/>
                <w:webHidden/>
              </w:rPr>
              <w:tab/>
            </w:r>
            <w:r w:rsidR="00114F65">
              <w:rPr>
                <w:noProof/>
                <w:webHidden/>
              </w:rPr>
              <w:fldChar w:fldCharType="begin"/>
            </w:r>
            <w:r w:rsidR="00114F65">
              <w:rPr>
                <w:noProof/>
                <w:webHidden/>
              </w:rPr>
              <w:instrText xml:space="preserve"> PAGEREF _Toc504404788 \h </w:instrText>
            </w:r>
            <w:r w:rsidR="00114F65">
              <w:rPr>
                <w:noProof/>
                <w:webHidden/>
              </w:rPr>
            </w:r>
            <w:r w:rsidR="00114F65">
              <w:rPr>
                <w:noProof/>
                <w:webHidden/>
              </w:rPr>
              <w:fldChar w:fldCharType="separate"/>
            </w:r>
            <w:r>
              <w:rPr>
                <w:noProof/>
                <w:webHidden/>
              </w:rPr>
              <w:t>2</w:t>
            </w:r>
            <w:r w:rsidR="00114F65">
              <w:rPr>
                <w:noProof/>
                <w:webHidden/>
              </w:rPr>
              <w:fldChar w:fldCharType="end"/>
            </w:r>
          </w:hyperlink>
        </w:p>
        <w:p w:rsidR="00CD668A" w:rsidRDefault="00CD668A" w:rsidP="00CD668A">
          <w:pPr>
            <w:keepNext/>
            <w:rPr>
              <w:b/>
              <w:szCs w:val="18"/>
            </w:rPr>
          </w:pPr>
          <w:r w:rsidRPr="00BD490C">
            <w:rPr>
              <w:b/>
              <w:bCs/>
              <w:noProof/>
              <w:sz w:val="18"/>
              <w:szCs w:val="18"/>
              <w:highlight w:val="cyan"/>
            </w:rPr>
            <w:fldChar w:fldCharType="end"/>
          </w:r>
        </w:p>
      </w:sdtContent>
    </w:sdt>
    <w:p w:rsidR="00074BAC" w:rsidRPr="00F27642" w:rsidRDefault="00074BAC" w:rsidP="00074BAC">
      <w:pPr>
        <w:rPr>
          <w:rFonts w:eastAsiaTheme="minorEastAsia" w:cs="Arial"/>
          <w:color w:val="000000"/>
        </w:rPr>
      </w:pPr>
      <w:r w:rsidRPr="00074BAC">
        <w:rPr>
          <w:rFonts w:eastAsiaTheme="minorEastAsia"/>
        </w:rPr>
        <w:fldChar w:fldCharType="begin"/>
      </w:r>
      <w:r w:rsidRPr="00074BAC">
        <w:rPr>
          <w:rFonts w:eastAsiaTheme="minorEastAsia"/>
        </w:rPr>
        <w:instrText xml:space="preserve"> AUTONUM  </w:instrText>
      </w:r>
      <w:r w:rsidRPr="00074BAC">
        <w:rPr>
          <w:rFonts w:eastAsiaTheme="minorEastAsia"/>
        </w:rPr>
        <w:fldChar w:fldCharType="end"/>
      </w:r>
      <w:r w:rsidRPr="00074BAC">
        <w:rPr>
          <w:rFonts w:eastAsiaTheme="minorEastAsia"/>
        </w:rPr>
        <w:tab/>
      </w:r>
      <w:r w:rsidRPr="00074BAC">
        <w:rPr>
          <w:rFonts w:eastAsiaTheme="minorEastAsia" w:cs="Arial"/>
          <w:color w:val="000000"/>
        </w:rPr>
        <w:t>The following abbreviations are used in this document:</w:t>
      </w:r>
    </w:p>
    <w:p w:rsidR="00074BAC" w:rsidRPr="00F27642" w:rsidRDefault="00074BAC" w:rsidP="00074BAC">
      <w:pPr>
        <w:rPr>
          <w:rFonts w:eastAsiaTheme="minorEastAsia" w:cs="Arial"/>
          <w:color w:val="000000"/>
        </w:rPr>
      </w:pPr>
    </w:p>
    <w:p w:rsidR="00074BAC" w:rsidRPr="00F27642" w:rsidRDefault="00074BAC" w:rsidP="00074BAC">
      <w:pPr>
        <w:rPr>
          <w:rFonts w:eastAsiaTheme="minorEastAsia" w:cs="Arial"/>
        </w:rPr>
      </w:pPr>
      <w:r w:rsidRPr="00F27642">
        <w:rPr>
          <w:rFonts w:eastAsiaTheme="minorEastAsia" w:cs="Arial"/>
        </w:rPr>
        <w:tab/>
        <w:t>TC:</w:t>
      </w:r>
      <w:r w:rsidRPr="00F27642">
        <w:rPr>
          <w:rFonts w:eastAsiaTheme="minorEastAsia" w:cs="Arial"/>
        </w:rPr>
        <w:tab/>
      </w:r>
      <w:r w:rsidRPr="00F27642">
        <w:rPr>
          <w:rFonts w:eastAsiaTheme="minorEastAsia" w:cs="Arial"/>
        </w:rPr>
        <w:tab/>
        <w:t>Technical Committee</w:t>
      </w:r>
    </w:p>
    <w:p w:rsidR="00074BAC" w:rsidRPr="00F27642" w:rsidRDefault="00074BAC" w:rsidP="00074BAC">
      <w:pPr>
        <w:rPr>
          <w:rFonts w:eastAsia="PMingLiU" w:cs="Arial"/>
          <w:szCs w:val="24"/>
        </w:rPr>
      </w:pPr>
      <w:r w:rsidRPr="00F27642">
        <w:rPr>
          <w:rFonts w:eastAsia="PMingLiU" w:cs="Arial"/>
          <w:szCs w:val="24"/>
        </w:rPr>
        <w:tab/>
        <w:t>TWA:</w:t>
      </w:r>
      <w:r w:rsidRPr="00F27642">
        <w:rPr>
          <w:rFonts w:eastAsia="PMingLiU" w:cs="Arial"/>
          <w:szCs w:val="24"/>
        </w:rPr>
        <w:tab/>
      </w:r>
      <w:r w:rsidRPr="00F27642">
        <w:rPr>
          <w:rFonts w:eastAsia="PMingLiU" w:cs="Arial"/>
          <w:szCs w:val="24"/>
        </w:rPr>
        <w:tab/>
        <w:t>Technical Working Party for Agricultural Crops</w:t>
      </w:r>
    </w:p>
    <w:p w:rsidR="00074BAC" w:rsidRPr="00F27642" w:rsidRDefault="00074BAC" w:rsidP="00074BAC">
      <w:pPr>
        <w:rPr>
          <w:rFonts w:eastAsia="PMingLiU" w:cs="Arial"/>
          <w:szCs w:val="24"/>
        </w:rPr>
      </w:pPr>
      <w:r w:rsidRPr="00F27642">
        <w:rPr>
          <w:rFonts w:eastAsia="PMingLiU" w:cs="Arial"/>
          <w:szCs w:val="24"/>
        </w:rPr>
        <w:tab/>
        <w:t>TWC:</w:t>
      </w:r>
      <w:r w:rsidRPr="00F27642">
        <w:rPr>
          <w:rFonts w:eastAsia="PMingLiU" w:cs="Arial"/>
          <w:szCs w:val="24"/>
        </w:rPr>
        <w:tab/>
      </w:r>
      <w:r w:rsidRPr="00F27642">
        <w:rPr>
          <w:rFonts w:eastAsia="PMingLiU" w:cs="Arial"/>
          <w:szCs w:val="24"/>
        </w:rPr>
        <w:tab/>
        <w:t>Technical Working Party on Automation and Computer Programs</w:t>
      </w:r>
    </w:p>
    <w:p w:rsidR="00074BAC" w:rsidRPr="00F27642" w:rsidRDefault="00074BAC" w:rsidP="00074BAC">
      <w:pPr>
        <w:rPr>
          <w:rFonts w:eastAsia="PMingLiU" w:cs="Arial"/>
          <w:szCs w:val="24"/>
        </w:rPr>
      </w:pPr>
      <w:r w:rsidRPr="00F27642">
        <w:rPr>
          <w:rFonts w:eastAsia="PMingLiU" w:cs="Arial"/>
          <w:szCs w:val="24"/>
        </w:rPr>
        <w:tab/>
        <w:t xml:space="preserve">TWF: </w:t>
      </w:r>
      <w:r w:rsidRPr="00F27642">
        <w:rPr>
          <w:rFonts w:eastAsia="PMingLiU" w:cs="Arial"/>
          <w:szCs w:val="24"/>
        </w:rPr>
        <w:tab/>
      </w:r>
      <w:r w:rsidRPr="00F27642">
        <w:rPr>
          <w:rFonts w:eastAsia="PMingLiU" w:cs="Arial"/>
          <w:szCs w:val="24"/>
        </w:rPr>
        <w:tab/>
        <w:t>Technical Working Party for Fruit Crops</w:t>
      </w:r>
    </w:p>
    <w:p w:rsidR="00074BAC" w:rsidRPr="00F27642" w:rsidRDefault="00074BAC" w:rsidP="00074BAC">
      <w:pPr>
        <w:rPr>
          <w:rFonts w:eastAsia="PMingLiU" w:cs="Arial"/>
          <w:szCs w:val="24"/>
        </w:rPr>
      </w:pPr>
      <w:r w:rsidRPr="00F27642">
        <w:rPr>
          <w:rFonts w:eastAsia="PMingLiU" w:cs="Arial"/>
          <w:szCs w:val="24"/>
        </w:rPr>
        <w:tab/>
        <w:t>TWO:</w:t>
      </w:r>
      <w:r w:rsidRPr="00F27642">
        <w:rPr>
          <w:rFonts w:eastAsia="PMingLiU" w:cs="Arial"/>
          <w:szCs w:val="24"/>
        </w:rPr>
        <w:tab/>
      </w:r>
      <w:r w:rsidRPr="00F27642">
        <w:rPr>
          <w:rFonts w:eastAsia="PMingLiU" w:cs="Arial"/>
          <w:szCs w:val="24"/>
        </w:rPr>
        <w:tab/>
        <w:t xml:space="preserve">Technical Working Party for Ornamental Plants and </w:t>
      </w:r>
      <w:smartTag w:uri="urn:schemas-microsoft-com:office:smarttags" w:element="place">
        <w:r w:rsidRPr="00F27642">
          <w:rPr>
            <w:rFonts w:eastAsia="PMingLiU" w:cs="Arial"/>
            <w:szCs w:val="24"/>
          </w:rPr>
          <w:t>Forest</w:t>
        </w:r>
      </w:smartTag>
      <w:r w:rsidRPr="00F27642">
        <w:rPr>
          <w:rFonts w:eastAsia="PMingLiU" w:cs="Arial"/>
          <w:szCs w:val="24"/>
        </w:rPr>
        <w:t xml:space="preserve"> Trees</w:t>
      </w:r>
    </w:p>
    <w:p w:rsidR="00074BAC" w:rsidRPr="00F27642" w:rsidRDefault="00074BAC" w:rsidP="00074BAC">
      <w:pPr>
        <w:rPr>
          <w:rFonts w:eastAsia="PMingLiU" w:cs="Arial"/>
          <w:szCs w:val="24"/>
        </w:rPr>
      </w:pPr>
      <w:r w:rsidRPr="00F27642">
        <w:rPr>
          <w:rFonts w:eastAsia="PMingLiU" w:cs="Arial"/>
          <w:szCs w:val="24"/>
        </w:rPr>
        <w:tab/>
        <w:t>TWPs:</w:t>
      </w:r>
      <w:r w:rsidRPr="00F27642">
        <w:rPr>
          <w:rFonts w:eastAsia="PMingLiU" w:cs="Arial"/>
          <w:szCs w:val="24"/>
        </w:rPr>
        <w:tab/>
        <w:t>Technical Working Parties</w:t>
      </w:r>
    </w:p>
    <w:p w:rsidR="00074BAC" w:rsidRDefault="00074BAC" w:rsidP="00074BAC">
      <w:pPr>
        <w:rPr>
          <w:rFonts w:eastAsia="PMingLiU" w:cs="Arial"/>
          <w:szCs w:val="24"/>
        </w:rPr>
      </w:pPr>
      <w:r w:rsidRPr="00F27642">
        <w:rPr>
          <w:rFonts w:eastAsia="PMingLiU" w:cs="Arial"/>
          <w:szCs w:val="24"/>
        </w:rPr>
        <w:tab/>
        <w:t>TWV:</w:t>
      </w:r>
      <w:r w:rsidRPr="00F27642">
        <w:rPr>
          <w:rFonts w:eastAsia="PMingLiU" w:cs="Arial"/>
          <w:szCs w:val="24"/>
        </w:rPr>
        <w:tab/>
      </w:r>
      <w:r w:rsidRPr="00F27642">
        <w:rPr>
          <w:rFonts w:eastAsia="PMingLiU" w:cs="Arial"/>
          <w:szCs w:val="24"/>
        </w:rPr>
        <w:tab/>
        <w:t>Technical Working Party for Vegetables</w:t>
      </w:r>
    </w:p>
    <w:p w:rsidR="00831B7D" w:rsidRDefault="00831B7D">
      <w:pPr>
        <w:jc w:val="left"/>
        <w:rPr>
          <w:caps/>
          <w:lang w:eastAsia="ja-JP"/>
        </w:rPr>
      </w:pPr>
      <w:r>
        <w:rPr>
          <w:lang w:eastAsia="ja-JP"/>
        </w:rPr>
        <w:br w:type="page"/>
      </w:r>
    </w:p>
    <w:p w:rsidR="00CD668A" w:rsidRDefault="0067318D" w:rsidP="0067318D">
      <w:pPr>
        <w:pStyle w:val="Heading1"/>
        <w:rPr>
          <w:lang w:eastAsia="ja-JP"/>
        </w:rPr>
      </w:pPr>
      <w:bookmarkStart w:id="6" w:name="_Toc504404785"/>
      <w:r>
        <w:rPr>
          <w:lang w:eastAsia="ja-JP"/>
        </w:rPr>
        <w:lastRenderedPageBreak/>
        <w:t>Background</w:t>
      </w:r>
      <w:bookmarkEnd w:id="6"/>
    </w:p>
    <w:p w:rsidR="0067318D" w:rsidRDefault="0067318D" w:rsidP="00CD668A">
      <w:pPr>
        <w:rPr>
          <w:u w:val="single"/>
          <w:lang w:eastAsia="ja-JP"/>
        </w:rPr>
      </w:pPr>
    </w:p>
    <w:p w:rsidR="0067318D" w:rsidRDefault="0067318D" w:rsidP="00CD668A">
      <w:pPr>
        <w:rPr>
          <w:u w:val="single"/>
          <w:lang w:eastAsia="ja-JP"/>
        </w:rPr>
      </w:pPr>
      <w:r>
        <w:fldChar w:fldCharType="begin"/>
      </w:r>
      <w:r>
        <w:instrText xml:space="preserve"> AUTONUM  </w:instrText>
      </w:r>
      <w:r>
        <w:fldChar w:fldCharType="end"/>
      </w:r>
      <w:r>
        <w:tab/>
        <w:t>The background to this matter is provided in document TC/53/16 “Revision of document TGP/8: Part II: Selected Techniques Used in DUS Examination, Section 9: The Combined-Over-Years Uniformity Criterion (COYU)”.</w:t>
      </w:r>
    </w:p>
    <w:p w:rsidR="0067318D" w:rsidRDefault="0067318D" w:rsidP="00CD668A">
      <w:pPr>
        <w:rPr>
          <w:u w:val="single"/>
          <w:lang w:eastAsia="ja-JP"/>
        </w:rPr>
      </w:pPr>
    </w:p>
    <w:p w:rsidR="00D07917" w:rsidRDefault="00D07917" w:rsidP="00CD668A">
      <w:pPr>
        <w:rPr>
          <w:u w:val="single"/>
          <w:lang w:eastAsia="ja-JP"/>
        </w:rPr>
      </w:pPr>
    </w:p>
    <w:p w:rsidR="00CD668A" w:rsidRPr="00F27642" w:rsidRDefault="00CD668A" w:rsidP="00CD668A">
      <w:pPr>
        <w:pStyle w:val="Heading1"/>
        <w:rPr>
          <w:rFonts w:eastAsiaTheme="minorEastAsia"/>
          <w:lang w:eastAsia="ja-JP"/>
        </w:rPr>
      </w:pPr>
      <w:bookmarkStart w:id="7" w:name="_Toc483235549"/>
      <w:bookmarkStart w:id="8" w:name="_Toc504404786"/>
      <w:r w:rsidRPr="00F27642">
        <w:rPr>
          <w:rFonts w:eastAsiaTheme="minorEastAsia"/>
        </w:rPr>
        <w:t>DEVELOPMENTS IN 201</w:t>
      </w:r>
      <w:r>
        <w:rPr>
          <w:rFonts w:eastAsiaTheme="minorEastAsia"/>
          <w:lang w:eastAsia="ja-JP"/>
        </w:rPr>
        <w:t>7</w:t>
      </w:r>
      <w:bookmarkEnd w:id="7"/>
      <w:bookmarkEnd w:id="8"/>
    </w:p>
    <w:p w:rsidR="00CD668A" w:rsidRDefault="00CD668A" w:rsidP="00CD668A">
      <w:pPr>
        <w:keepNext/>
        <w:keepLines/>
        <w:rPr>
          <w:rFonts w:eastAsiaTheme="minorEastAsia"/>
          <w:lang w:eastAsia="ja-JP"/>
        </w:rPr>
      </w:pPr>
    </w:p>
    <w:p w:rsidR="001E583E" w:rsidRDefault="001E583E" w:rsidP="001E583E">
      <w:pPr>
        <w:pStyle w:val="Heading2"/>
        <w:rPr>
          <w:rFonts w:eastAsiaTheme="minorEastAsia"/>
          <w:lang w:eastAsia="ja-JP"/>
        </w:rPr>
      </w:pPr>
      <w:bookmarkStart w:id="9" w:name="_Toc504404787"/>
      <w:r>
        <w:rPr>
          <w:rFonts w:eastAsiaTheme="minorEastAsia"/>
          <w:lang w:eastAsia="ja-JP"/>
        </w:rPr>
        <w:t>Technical Committee</w:t>
      </w:r>
      <w:bookmarkEnd w:id="9"/>
    </w:p>
    <w:p w:rsidR="001E583E" w:rsidRPr="00F27642" w:rsidRDefault="001E583E" w:rsidP="00CD668A">
      <w:pPr>
        <w:keepNext/>
        <w:keepLines/>
        <w:rPr>
          <w:rFonts w:eastAsiaTheme="minorEastAsia"/>
          <w:lang w:eastAsia="ja-JP"/>
        </w:rPr>
      </w:pPr>
    </w:p>
    <w:p w:rsidR="00CD668A" w:rsidRDefault="00CD668A" w:rsidP="00CD668A">
      <w:pPr>
        <w:rPr>
          <w:rFonts w:eastAsiaTheme="minorEastAsia"/>
        </w:rPr>
      </w:pPr>
      <w:r w:rsidRPr="00F27642">
        <w:rPr>
          <w:rFonts w:eastAsiaTheme="minorEastAsia"/>
        </w:rPr>
        <w:fldChar w:fldCharType="begin"/>
      </w:r>
      <w:r w:rsidRPr="00F27642">
        <w:rPr>
          <w:rFonts w:eastAsiaTheme="minorEastAsia"/>
        </w:rPr>
        <w:instrText xml:space="preserve"> AUTONUM  </w:instrText>
      </w:r>
      <w:r w:rsidRPr="00F27642">
        <w:rPr>
          <w:rFonts w:eastAsiaTheme="minorEastAsia"/>
        </w:rPr>
        <w:fldChar w:fldCharType="end"/>
      </w:r>
      <w:r w:rsidRPr="00F27642">
        <w:rPr>
          <w:rFonts w:eastAsiaTheme="minorEastAsia"/>
        </w:rPr>
        <w:tab/>
      </w:r>
      <w:r>
        <w:rPr>
          <w:rFonts w:eastAsiaTheme="minorEastAsia"/>
        </w:rPr>
        <w:t>At its fifty-third session, t</w:t>
      </w:r>
      <w:r w:rsidRPr="00F27642">
        <w:rPr>
          <w:rFonts w:eastAsiaTheme="minorEastAsia"/>
        </w:rPr>
        <w:t>he TC</w:t>
      </w:r>
      <w:r>
        <w:rPr>
          <w:rFonts w:eastAsiaTheme="minorEastAsia"/>
        </w:rPr>
        <w:t xml:space="preserve"> considered document TC/53/16 “</w:t>
      </w:r>
      <w:r>
        <w:t>Revision of document TGP/8: Part II: Selected Techniques Used in DUS Examination, Section 9: the Combined-Over-Years Uniformity Criterion (COYU)</w:t>
      </w:r>
      <w:r>
        <w:rPr>
          <w:rFonts w:eastAsiaTheme="minorEastAsia"/>
        </w:rPr>
        <w:t>”</w:t>
      </w:r>
      <w:r>
        <w:rPr>
          <w:iCs/>
        </w:rPr>
        <w:t xml:space="preserve"> </w:t>
      </w:r>
      <w:r w:rsidRPr="00F27642">
        <w:rPr>
          <w:rFonts w:eastAsiaTheme="minorEastAsia" w:hint="eastAsia"/>
          <w:snapToGrid w:val="0"/>
          <w:lang w:eastAsia="ja-JP"/>
        </w:rPr>
        <w:t>(see document T</w:t>
      </w:r>
      <w:r>
        <w:rPr>
          <w:rFonts w:eastAsiaTheme="minorEastAsia"/>
          <w:snapToGrid w:val="0"/>
          <w:lang w:eastAsia="ja-JP"/>
        </w:rPr>
        <w:t>C</w:t>
      </w:r>
      <w:r w:rsidRPr="00F27642">
        <w:rPr>
          <w:rFonts w:eastAsiaTheme="minorEastAsia" w:hint="eastAsia"/>
          <w:snapToGrid w:val="0"/>
          <w:lang w:eastAsia="ja-JP"/>
        </w:rPr>
        <w:t>/5</w:t>
      </w:r>
      <w:r>
        <w:rPr>
          <w:rFonts w:eastAsiaTheme="minorEastAsia"/>
          <w:snapToGrid w:val="0"/>
          <w:lang w:eastAsia="ja-JP"/>
        </w:rPr>
        <w:t>3</w:t>
      </w:r>
      <w:r w:rsidRPr="00F27642">
        <w:rPr>
          <w:rFonts w:eastAsiaTheme="minorEastAsia" w:hint="eastAsia"/>
          <w:snapToGrid w:val="0"/>
          <w:lang w:eastAsia="ja-JP"/>
        </w:rPr>
        <w:t>/</w:t>
      </w:r>
      <w:r>
        <w:rPr>
          <w:rFonts w:eastAsiaTheme="minorEastAsia"/>
          <w:snapToGrid w:val="0"/>
          <w:lang w:eastAsia="ja-JP"/>
        </w:rPr>
        <w:t>31</w:t>
      </w:r>
      <w:r w:rsidRPr="00F27642">
        <w:rPr>
          <w:rFonts w:eastAsiaTheme="minorEastAsia" w:hint="eastAsia"/>
          <w:snapToGrid w:val="0"/>
          <w:lang w:eastAsia="ja-JP"/>
        </w:rPr>
        <w:t xml:space="preserve">, paragraph </w:t>
      </w:r>
      <w:r>
        <w:rPr>
          <w:rFonts w:eastAsiaTheme="minorEastAsia"/>
          <w:snapToGrid w:val="0"/>
          <w:lang w:eastAsia="ja-JP"/>
        </w:rPr>
        <w:t>111</w:t>
      </w:r>
      <w:r w:rsidRPr="00F27642">
        <w:rPr>
          <w:rFonts w:eastAsiaTheme="minorEastAsia" w:hint="eastAsia"/>
          <w:snapToGrid w:val="0"/>
          <w:lang w:eastAsia="ja-JP"/>
        </w:rPr>
        <w:t>)</w:t>
      </w:r>
      <w:r w:rsidRPr="000965A6">
        <w:rPr>
          <w:rFonts w:cs="Arial"/>
          <w:sz w:val="19"/>
          <w:szCs w:val="19"/>
        </w:rPr>
        <w:t>.</w:t>
      </w:r>
    </w:p>
    <w:p w:rsidR="00CD668A" w:rsidRDefault="00CD668A" w:rsidP="00CD668A">
      <w:pPr>
        <w:rPr>
          <w:rFonts w:eastAsiaTheme="minorEastAsia"/>
        </w:rPr>
      </w:pPr>
    </w:p>
    <w:p w:rsidR="00CD668A" w:rsidRPr="00D51062" w:rsidRDefault="00CD668A" w:rsidP="00CD668A">
      <w:pPr>
        <w:keepNext/>
        <w:rPr>
          <w:iCs/>
        </w:rPr>
      </w:pPr>
      <w:r w:rsidRPr="00F27642">
        <w:rPr>
          <w:rFonts w:eastAsiaTheme="minorEastAsia"/>
        </w:rPr>
        <w:fldChar w:fldCharType="begin"/>
      </w:r>
      <w:r w:rsidRPr="00F27642">
        <w:rPr>
          <w:rFonts w:eastAsiaTheme="minorEastAsia"/>
        </w:rPr>
        <w:instrText xml:space="preserve"> AUTONUM  </w:instrText>
      </w:r>
      <w:r w:rsidRPr="00F27642">
        <w:rPr>
          <w:rFonts w:eastAsiaTheme="minorEastAsia"/>
        </w:rPr>
        <w:fldChar w:fldCharType="end"/>
      </w:r>
      <w:r w:rsidRPr="00F27642">
        <w:rPr>
          <w:rFonts w:eastAsiaTheme="minorEastAsia"/>
        </w:rPr>
        <w:tab/>
      </w:r>
      <w:r w:rsidRPr="00D51062">
        <w:rPr>
          <w:iCs/>
        </w:rPr>
        <w:t xml:space="preserve">The TC </w:t>
      </w:r>
      <w:r w:rsidRPr="00D51062">
        <w:rPr>
          <w:rFonts w:hint="eastAsia"/>
          <w:iCs/>
        </w:rPr>
        <w:t>note</w:t>
      </w:r>
      <w:r w:rsidRPr="00D51062">
        <w:rPr>
          <w:iCs/>
        </w:rPr>
        <w:t>d</w:t>
      </w:r>
      <w:r w:rsidRPr="00D51062">
        <w:rPr>
          <w:rFonts w:hint="eastAsia"/>
          <w:iCs/>
        </w:rPr>
        <w:t xml:space="preserve"> that</w:t>
      </w:r>
      <w:r>
        <w:rPr>
          <w:iCs/>
        </w:rPr>
        <w:t xml:space="preserve"> </w:t>
      </w:r>
      <w:r w:rsidRPr="00F27642">
        <w:rPr>
          <w:rFonts w:eastAsiaTheme="minorEastAsia" w:hint="eastAsia"/>
          <w:snapToGrid w:val="0"/>
          <w:lang w:eastAsia="ja-JP"/>
        </w:rPr>
        <w:t>(see document T</w:t>
      </w:r>
      <w:r>
        <w:rPr>
          <w:rFonts w:eastAsiaTheme="minorEastAsia"/>
          <w:snapToGrid w:val="0"/>
          <w:lang w:eastAsia="ja-JP"/>
        </w:rPr>
        <w:t>C</w:t>
      </w:r>
      <w:r w:rsidRPr="00F27642">
        <w:rPr>
          <w:rFonts w:eastAsiaTheme="minorEastAsia" w:hint="eastAsia"/>
          <w:snapToGrid w:val="0"/>
          <w:lang w:eastAsia="ja-JP"/>
        </w:rPr>
        <w:t>/5</w:t>
      </w:r>
      <w:r>
        <w:rPr>
          <w:rFonts w:eastAsiaTheme="minorEastAsia"/>
          <w:snapToGrid w:val="0"/>
          <w:lang w:eastAsia="ja-JP"/>
        </w:rPr>
        <w:t>3</w:t>
      </w:r>
      <w:r w:rsidRPr="00F27642">
        <w:rPr>
          <w:rFonts w:eastAsiaTheme="minorEastAsia" w:hint="eastAsia"/>
          <w:snapToGrid w:val="0"/>
          <w:lang w:eastAsia="ja-JP"/>
        </w:rPr>
        <w:t>/</w:t>
      </w:r>
      <w:r>
        <w:rPr>
          <w:rFonts w:eastAsiaTheme="minorEastAsia"/>
          <w:snapToGrid w:val="0"/>
          <w:lang w:eastAsia="ja-JP"/>
        </w:rPr>
        <w:t>31</w:t>
      </w:r>
      <w:r w:rsidRPr="00F27642">
        <w:rPr>
          <w:rFonts w:eastAsiaTheme="minorEastAsia" w:hint="eastAsia"/>
          <w:snapToGrid w:val="0"/>
          <w:lang w:eastAsia="ja-JP"/>
        </w:rPr>
        <w:t xml:space="preserve">, paragraph </w:t>
      </w:r>
      <w:r>
        <w:rPr>
          <w:rFonts w:eastAsiaTheme="minorEastAsia"/>
          <w:snapToGrid w:val="0"/>
          <w:lang w:eastAsia="ja-JP"/>
        </w:rPr>
        <w:t>112</w:t>
      </w:r>
      <w:r w:rsidRPr="00F27642">
        <w:rPr>
          <w:rFonts w:eastAsiaTheme="minorEastAsia" w:hint="eastAsia"/>
          <w:snapToGrid w:val="0"/>
          <w:lang w:eastAsia="ja-JP"/>
        </w:rPr>
        <w:t>)</w:t>
      </w:r>
      <w:r w:rsidRPr="00D51062">
        <w:rPr>
          <w:iCs/>
        </w:rPr>
        <w:t>:</w:t>
      </w:r>
    </w:p>
    <w:p w:rsidR="00CD668A" w:rsidRPr="00D51062" w:rsidRDefault="00CD668A" w:rsidP="00CD668A">
      <w:pPr>
        <w:keepNext/>
        <w:rPr>
          <w:iCs/>
        </w:rPr>
      </w:pPr>
    </w:p>
    <w:p w:rsidR="00CD668A" w:rsidRPr="00A0322E" w:rsidRDefault="00CD668A" w:rsidP="00CD668A">
      <w:pPr>
        <w:pStyle w:val="ListParagraph"/>
        <w:numPr>
          <w:ilvl w:val="0"/>
          <w:numId w:val="1"/>
        </w:numPr>
        <w:ind w:left="0" w:firstLine="567"/>
        <w:rPr>
          <w:iCs/>
        </w:rPr>
      </w:pPr>
      <w:bookmarkStart w:id="10" w:name="_GoBack"/>
      <w:bookmarkEnd w:id="10"/>
      <w:r>
        <w:rPr>
          <w:iCs/>
        </w:rPr>
        <w:t xml:space="preserve">the </w:t>
      </w:r>
      <w:r w:rsidRPr="00A0322E">
        <w:rPr>
          <w:iCs/>
        </w:rPr>
        <w:t>Office of the Union had issued UPOV Circular E-16/098 to invite UPOV members’ experts to provide to the United Kingdom, by May 27, 2016, data sets including at least 100 candidate varieties, with a possibility that data for those 100 varieties coul</w:t>
      </w:r>
      <w:r>
        <w:rPr>
          <w:iCs/>
        </w:rPr>
        <w:t>d be derived from several years;</w:t>
      </w:r>
    </w:p>
    <w:p w:rsidR="00CD668A" w:rsidRPr="00D51062" w:rsidRDefault="00CD668A" w:rsidP="00CD668A">
      <w:pPr>
        <w:ind w:firstLine="567"/>
      </w:pPr>
    </w:p>
    <w:p w:rsidR="00CD668A" w:rsidRPr="00D51062" w:rsidRDefault="00CD668A" w:rsidP="00CD668A">
      <w:pPr>
        <w:pStyle w:val="ListParagraph"/>
        <w:numPr>
          <w:ilvl w:val="0"/>
          <w:numId w:val="1"/>
        </w:numPr>
        <w:ind w:left="0" w:firstLine="567"/>
      </w:pPr>
      <w:r>
        <w:t xml:space="preserve">the </w:t>
      </w:r>
      <w:r w:rsidRPr="00D51062">
        <w:t xml:space="preserve">TWC had received a report by an expert of the United Kingdom that a data set on red fescue had been submitted by Slovakia and that Denmark had agreed to submit a data set on spring </w:t>
      </w:r>
      <w:r>
        <w:t>and winter canola later in 2016;</w:t>
      </w:r>
    </w:p>
    <w:p w:rsidR="00CD668A" w:rsidRPr="00D51062" w:rsidRDefault="00CD668A" w:rsidP="00CD668A">
      <w:pPr>
        <w:ind w:firstLine="567"/>
      </w:pPr>
    </w:p>
    <w:p w:rsidR="00CD668A" w:rsidRPr="00A0322E" w:rsidRDefault="00CD668A" w:rsidP="00CD668A">
      <w:pPr>
        <w:pStyle w:val="ListParagraph"/>
        <w:numPr>
          <w:ilvl w:val="0"/>
          <w:numId w:val="1"/>
        </w:numPr>
        <w:ind w:left="0" w:firstLine="567"/>
        <w:rPr>
          <w:iCs/>
        </w:rPr>
      </w:pPr>
      <w:r>
        <w:rPr>
          <w:iCs/>
        </w:rPr>
        <w:t xml:space="preserve">the </w:t>
      </w:r>
      <w:r w:rsidRPr="00A0322E">
        <w:rPr>
          <w:iCs/>
        </w:rPr>
        <w:t>TWC had received offers from China and France to submit data sets on</w:t>
      </w:r>
      <w:r>
        <w:rPr>
          <w:iCs/>
        </w:rPr>
        <w:t xml:space="preserve"> maize and fescue, respectively;</w:t>
      </w:r>
    </w:p>
    <w:p w:rsidR="00CD668A" w:rsidRPr="00D51062" w:rsidRDefault="00CD668A" w:rsidP="00CD668A">
      <w:pPr>
        <w:ind w:firstLine="567"/>
      </w:pPr>
    </w:p>
    <w:p w:rsidR="00CD668A" w:rsidRPr="00D51062" w:rsidRDefault="00CD668A" w:rsidP="00CD668A">
      <w:pPr>
        <w:pStyle w:val="ListParagraph"/>
        <w:numPr>
          <w:ilvl w:val="0"/>
          <w:numId w:val="1"/>
        </w:numPr>
        <w:ind w:left="0" w:firstLine="567"/>
      </w:pPr>
      <w:r>
        <w:t xml:space="preserve">the </w:t>
      </w:r>
      <w:r w:rsidRPr="00D51062">
        <w:t xml:space="preserve">TWC had agreed to invite the expert from the United Kingdom to report on progress during the </w:t>
      </w:r>
      <w:r>
        <w:t>thirty-fifth session of the TWC;</w:t>
      </w:r>
    </w:p>
    <w:p w:rsidR="00CD668A" w:rsidRPr="00D51062" w:rsidRDefault="00CD668A" w:rsidP="00CD668A">
      <w:pPr>
        <w:ind w:firstLine="567"/>
      </w:pPr>
    </w:p>
    <w:p w:rsidR="00CD668A" w:rsidRPr="00D51062" w:rsidRDefault="00CD668A" w:rsidP="00CD668A">
      <w:pPr>
        <w:pStyle w:val="ListParagraph"/>
        <w:numPr>
          <w:ilvl w:val="0"/>
          <w:numId w:val="1"/>
        </w:numPr>
        <w:ind w:left="0" w:firstLine="567"/>
      </w:pPr>
      <w:r>
        <w:t xml:space="preserve">the </w:t>
      </w:r>
      <w:r w:rsidRPr="00D51062">
        <w:t xml:space="preserve">TWO had noted that COYU was not commonly used for DUS examination of </w:t>
      </w:r>
      <w:r>
        <w:t>ornamental plants;</w:t>
      </w:r>
    </w:p>
    <w:p w:rsidR="00CD668A" w:rsidRPr="00D51062" w:rsidRDefault="00CD668A" w:rsidP="00CD668A">
      <w:pPr>
        <w:ind w:firstLine="567"/>
      </w:pPr>
    </w:p>
    <w:p w:rsidR="00CD668A" w:rsidRPr="00A0322E" w:rsidRDefault="00CD668A" w:rsidP="00CD668A">
      <w:pPr>
        <w:pStyle w:val="ListParagraph"/>
        <w:numPr>
          <w:ilvl w:val="0"/>
          <w:numId w:val="1"/>
        </w:numPr>
        <w:ind w:left="0" w:firstLine="567"/>
        <w:rPr>
          <w:iCs/>
        </w:rPr>
      </w:pPr>
      <w:r>
        <w:rPr>
          <w:iCs/>
        </w:rPr>
        <w:t xml:space="preserve">the </w:t>
      </w:r>
      <w:r w:rsidRPr="00A0322E">
        <w:rPr>
          <w:iCs/>
        </w:rPr>
        <w:t xml:space="preserve">TWV had received offers by the experts from France and the United Kingdom to provide data on </w:t>
      </w:r>
      <w:r>
        <w:rPr>
          <w:iCs/>
        </w:rPr>
        <w:t>pea and field pea, respectively;</w:t>
      </w:r>
    </w:p>
    <w:p w:rsidR="00CD668A" w:rsidRPr="00D51062" w:rsidRDefault="00CD668A" w:rsidP="00CD668A">
      <w:pPr>
        <w:ind w:firstLine="567"/>
      </w:pPr>
    </w:p>
    <w:p w:rsidR="00CD668A" w:rsidRPr="00D51062" w:rsidRDefault="00CD668A" w:rsidP="00CD668A">
      <w:pPr>
        <w:pStyle w:val="ListParagraph"/>
        <w:numPr>
          <w:ilvl w:val="0"/>
          <w:numId w:val="1"/>
        </w:numPr>
        <w:ind w:left="0" w:firstLine="567"/>
      </w:pPr>
      <w:r>
        <w:t xml:space="preserve">the </w:t>
      </w:r>
      <w:r w:rsidRPr="00D51062">
        <w:t>TWA had received a report by the expert from Denmark that the software provided by the United Kingdom had been tested and that a data set on oilseed rape varieties would be provided to support the development of probability levels for the new method of calculation of COYU; and</w:t>
      </w:r>
    </w:p>
    <w:p w:rsidR="00CD668A" w:rsidRPr="00D51062" w:rsidRDefault="00CD668A" w:rsidP="00CD668A">
      <w:pPr>
        <w:ind w:firstLine="567"/>
      </w:pPr>
    </w:p>
    <w:p w:rsidR="00CD668A" w:rsidRPr="00A0322E" w:rsidRDefault="00CD668A" w:rsidP="00CD668A">
      <w:pPr>
        <w:pStyle w:val="ListParagraph"/>
        <w:numPr>
          <w:ilvl w:val="0"/>
          <w:numId w:val="1"/>
        </w:numPr>
        <w:ind w:left="0" w:firstLine="567"/>
        <w:rPr>
          <w:iCs/>
        </w:rPr>
      </w:pPr>
      <w:proofErr w:type="gramStart"/>
      <w:r>
        <w:rPr>
          <w:iCs/>
        </w:rPr>
        <w:t>the</w:t>
      </w:r>
      <w:proofErr w:type="gramEnd"/>
      <w:r>
        <w:rPr>
          <w:iCs/>
        </w:rPr>
        <w:t xml:space="preserve"> </w:t>
      </w:r>
      <w:r w:rsidRPr="00A0322E">
        <w:rPr>
          <w:iCs/>
        </w:rPr>
        <w:t>expert from the United Kingdom had no new developments to report to the TC and would report on the progress of development of the new method of calculation of COYU to the TWC at its thirty-fifth session.</w:t>
      </w:r>
    </w:p>
    <w:p w:rsidR="00F5217F" w:rsidRDefault="00F5217F" w:rsidP="00F5217F">
      <w:pPr>
        <w:rPr>
          <w:rFonts w:eastAsiaTheme="minorEastAsia"/>
          <w:lang w:eastAsia="ja-JP"/>
        </w:rPr>
      </w:pPr>
    </w:p>
    <w:p w:rsidR="00D07917" w:rsidRDefault="00D07917" w:rsidP="00F5217F">
      <w:pPr>
        <w:rPr>
          <w:rFonts w:eastAsiaTheme="minorEastAsia"/>
          <w:lang w:eastAsia="ja-JP"/>
        </w:rPr>
      </w:pPr>
    </w:p>
    <w:p w:rsidR="00F5217F" w:rsidRDefault="00F5217F" w:rsidP="00F5217F">
      <w:pPr>
        <w:pStyle w:val="Heading2"/>
        <w:rPr>
          <w:rFonts w:eastAsiaTheme="minorEastAsia"/>
          <w:lang w:eastAsia="ja-JP"/>
        </w:rPr>
      </w:pPr>
      <w:bookmarkStart w:id="11" w:name="_Toc504404788"/>
      <w:r>
        <w:rPr>
          <w:rFonts w:eastAsiaTheme="minorEastAsia"/>
          <w:lang w:eastAsia="ja-JP"/>
        </w:rPr>
        <w:t>Comments by the Technical Working Parties</w:t>
      </w:r>
      <w:bookmarkEnd w:id="11"/>
    </w:p>
    <w:p w:rsidR="00F5217F" w:rsidRPr="00F5217F" w:rsidRDefault="00F5217F" w:rsidP="00F5217F"/>
    <w:p w:rsidR="00F5217F" w:rsidRPr="00F5217F" w:rsidRDefault="00F5217F" w:rsidP="00F5217F">
      <w:r w:rsidRPr="00F5217F">
        <w:fldChar w:fldCharType="begin"/>
      </w:r>
      <w:r w:rsidRPr="00F5217F">
        <w:instrText xml:space="preserve"> AUTONUM  </w:instrText>
      </w:r>
      <w:r w:rsidRPr="00F5217F">
        <w:fldChar w:fldCharType="end"/>
      </w:r>
      <w:r w:rsidRPr="00F5217F">
        <w:tab/>
        <w:t>The TWA, the TWV, the TWO, the TWF and the TWC considered document TWP/1/1</w:t>
      </w:r>
      <w:r>
        <w:t>3</w:t>
      </w:r>
      <w:r w:rsidRPr="00F5217F">
        <w:t xml:space="preserve"> “</w:t>
      </w:r>
      <w:r>
        <w:t>The combined-over-years uniformity criterion (COYU)</w:t>
      </w:r>
      <w:r w:rsidRPr="00F5217F">
        <w:t>”</w:t>
      </w:r>
      <w:r w:rsidR="00661F8F">
        <w:t>.  The TWC also considered document TWC/35/6 “Method of calculation of COYU: practical exercise, probability levels, extrapolation and software” and received a presentation by the United Kingdom, a copy of which is provided in document TWC/35/6 Add.</w:t>
      </w:r>
      <w:r w:rsidRPr="00F5217F">
        <w:t xml:space="preserve"> (see documents TWA/46/10 “Report”, paragraph</w:t>
      </w:r>
      <w:r w:rsidR="00661F8F">
        <w:t xml:space="preserve"> 24</w:t>
      </w:r>
      <w:r w:rsidRPr="00F5217F">
        <w:t>; TWV/51/16, paragraph 3</w:t>
      </w:r>
      <w:r w:rsidR="00661F8F">
        <w:t>4</w:t>
      </w:r>
      <w:r w:rsidRPr="00F5217F">
        <w:t>; TWO/50/14 “Report”, paragraph</w:t>
      </w:r>
      <w:r w:rsidR="001E583E">
        <w:t> </w:t>
      </w:r>
      <w:r w:rsidR="00661F8F">
        <w:t>32</w:t>
      </w:r>
      <w:r w:rsidRPr="00F5217F">
        <w:t xml:space="preserve">; TWF/48/13 “Report”, paragraphs </w:t>
      </w:r>
      <w:r w:rsidR="00661F8F">
        <w:t>37</w:t>
      </w:r>
      <w:r w:rsidRPr="00F5217F">
        <w:t xml:space="preserve"> </w:t>
      </w:r>
      <w:r w:rsidR="00661F8F">
        <w:t>and 38</w:t>
      </w:r>
      <w:r w:rsidRPr="00F5217F">
        <w:t xml:space="preserve">; and TWC/35/21 “Report”, paragraphs </w:t>
      </w:r>
      <w:r w:rsidR="00661F8F">
        <w:t>81</w:t>
      </w:r>
      <w:r w:rsidRPr="00F5217F">
        <w:t xml:space="preserve"> to </w:t>
      </w:r>
      <w:r w:rsidR="00661F8F">
        <w:t>84</w:t>
      </w:r>
      <w:r w:rsidRPr="00F5217F">
        <w:t>).</w:t>
      </w:r>
    </w:p>
    <w:p w:rsidR="00F5217F" w:rsidRPr="00F5217F" w:rsidRDefault="00F5217F" w:rsidP="00F5217F"/>
    <w:p w:rsidR="00F5217F" w:rsidRDefault="00F5217F" w:rsidP="00F5217F">
      <w:r>
        <w:fldChar w:fldCharType="begin"/>
      </w:r>
      <w:r>
        <w:instrText xml:space="preserve"> AUTONUM  </w:instrText>
      </w:r>
      <w:r>
        <w:fldChar w:fldCharType="end"/>
      </w:r>
      <w:r>
        <w:tab/>
        <w:t>The TWA,</w:t>
      </w:r>
      <w:r w:rsidRPr="00F5217F">
        <w:t xml:space="preserve"> the TWV, the TWO</w:t>
      </w:r>
      <w:r>
        <w:t xml:space="preserve"> and t</w:t>
      </w:r>
      <w:r w:rsidRPr="00F5217F">
        <w:t xml:space="preserve">he TWF </w:t>
      </w:r>
      <w:r>
        <w:t>noted the report on developments concerning the improved method of calculation of the Combined-Over-Years Uniformity Criterion (COYU), as set out in document TWP/1/13. The TWA noted that the expert from the United Kingdom would report on the progress of development of probability levels for the improved method of calculation of COYU to the TWC, at its thirty</w:t>
      </w:r>
      <w:r w:rsidR="001E583E">
        <w:noBreakHyphen/>
      </w:r>
      <w:r>
        <w:t>fifth session.</w:t>
      </w:r>
    </w:p>
    <w:p w:rsidR="00F5217F" w:rsidRPr="001061FC" w:rsidRDefault="00F5217F" w:rsidP="00F5217F"/>
    <w:p w:rsidR="00F5217F" w:rsidRPr="001061FC" w:rsidRDefault="00F5217F" w:rsidP="00F5217F">
      <w:r w:rsidRPr="001061FC">
        <w:lastRenderedPageBreak/>
        <w:fldChar w:fldCharType="begin"/>
      </w:r>
      <w:r w:rsidRPr="001061FC">
        <w:instrText xml:space="preserve"> AUTONUM  </w:instrText>
      </w:r>
      <w:r w:rsidRPr="001061FC">
        <w:fldChar w:fldCharType="end"/>
      </w:r>
      <w:r w:rsidRPr="001061FC">
        <w:tab/>
        <w:t xml:space="preserve">The TWF agreed to suggest to the TC to conduct a survey among members of the Union to assess the number of authorities using the COYU method for each crop sector, in order to assess how best to present information in relation to COYU to the TWPs, especially when not relevant for the crop sector. </w:t>
      </w:r>
    </w:p>
    <w:p w:rsidR="00F5217F" w:rsidRDefault="00F5217F" w:rsidP="00A455E6">
      <w:pPr>
        <w:rPr>
          <w:rFonts w:eastAsiaTheme="minorEastAsia"/>
          <w:lang w:eastAsia="ja-JP"/>
        </w:rPr>
      </w:pPr>
    </w:p>
    <w:p w:rsidR="00A455E6" w:rsidRPr="004E2894" w:rsidRDefault="00A455E6" w:rsidP="00A455E6">
      <w:r w:rsidRPr="005948AF">
        <w:fldChar w:fldCharType="begin"/>
      </w:r>
      <w:r w:rsidRPr="004E2894">
        <w:instrText xml:space="preserve"> AUTONUM  </w:instrText>
      </w:r>
      <w:r w:rsidRPr="005948AF">
        <w:fldChar w:fldCharType="end"/>
      </w:r>
      <w:r w:rsidRPr="004E2894">
        <w:tab/>
        <w:t xml:space="preserve">The TWC considered the report on developments concerning the new method of calculation of COYU, provided by an expert from the United Kingdom and noted that the statistical development of the method had been completed.  </w:t>
      </w:r>
    </w:p>
    <w:p w:rsidR="00A455E6" w:rsidRDefault="00A455E6" w:rsidP="00A455E6"/>
    <w:p w:rsidR="00A455E6" w:rsidRPr="004E2894" w:rsidRDefault="00A455E6" w:rsidP="00A455E6">
      <w:r w:rsidRPr="005948AF">
        <w:fldChar w:fldCharType="begin"/>
      </w:r>
      <w:r w:rsidRPr="004E2894">
        <w:instrText xml:space="preserve"> AUTONUM  </w:instrText>
      </w:r>
      <w:r w:rsidRPr="005948AF">
        <w:fldChar w:fldCharType="end"/>
      </w:r>
      <w:r w:rsidRPr="004E2894">
        <w:tab/>
        <w:t xml:space="preserve">The TWC noted the results of the practical exercise and higher probability levels required by the new method </w:t>
      </w:r>
      <w:r w:rsidRPr="004E2894">
        <w:rPr>
          <w:bCs/>
        </w:rPr>
        <w:t xml:space="preserve">to most closely match decisions using the current method for calculation of COYU </w:t>
      </w:r>
    </w:p>
    <w:p w:rsidR="00A455E6" w:rsidRPr="004E2894" w:rsidRDefault="00A455E6" w:rsidP="00A455E6"/>
    <w:p w:rsidR="00A455E6" w:rsidRPr="004E2894" w:rsidRDefault="00A455E6" w:rsidP="00A455E6">
      <w:pPr>
        <w:numPr>
          <w:ilvl w:val="2"/>
          <w:numId w:val="2"/>
        </w:numPr>
        <w:tabs>
          <w:tab w:val="clear" w:pos="2160"/>
          <w:tab w:val="left" w:pos="1134"/>
          <w:tab w:val="num" w:pos="1843"/>
        </w:tabs>
        <w:ind w:hanging="1593"/>
      </w:pPr>
      <w:r w:rsidRPr="004E2894">
        <w:rPr>
          <w:bCs/>
        </w:rPr>
        <w:t>probability levels 0.003 to match 0.001 for current COYU</w:t>
      </w:r>
    </w:p>
    <w:p w:rsidR="00A455E6" w:rsidRPr="004E2894" w:rsidRDefault="00A455E6" w:rsidP="00A455E6">
      <w:pPr>
        <w:numPr>
          <w:ilvl w:val="2"/>
          <w:numId w:val="2"/>
        </w:numPr>
        <w:tabs>
          <w:tab w:val="clear" w:pos="2160"/>
          <w:tab w:val="left" w:pos="1134"/>
          <w:tab w:val="num" w:pos="1843"/>
        </w:tabs>
        <w:ind w:hanging="1593"/>
      </w:pPr>
      <w:r w:rsidRPr="004E2894">
        <w:rPr>
          <w:bCs/>
        </w:rPr>
        <w:t>probability levels 0.02 to match 0.01 for current COYU</w:t>
      </w:r>
    </w:p>
    <w:p w:rsidR="00A455E6" w:rsidRPr="004E2894" w:rsidRDefault="00A455E6" w:rsidP="00A455E6"/>
    <w:p w:rsidR="00A455E6" w:rsidRPr="004E2894" w:rsidRDefault="00A455E6" w:rsidP="00A455E6">
      <w:r w:rsidRPr="005948AF">
        <w:fldChar w:fldCharType="begin"/>
      </w:r>
      <w:r w:rsidRPr="004E2894">
        <w:instrText xml:space="preserve"> AUTONUM  </w:instrText>
      </w:r>
      <w:r w:rsidRPr="005948AF">
        <w:fldChar w:fldCharType="end"/>
      </w:r>
      <w:r w:rsidRPr="004E2894">
        <w:tab/>
        <w:t>The TWC noted the following areas identified for further improving the software using the new method of calculation of COYU and agreed to invite the expert from the United Kingdom to report on developments at its thirty-sixth session:</w:t>
      </w:r>
    </w:p>
    <w:p w:rsidR="00A455E6" w:rsidRPr="004E2894" w:rsidRDefault="00A455E6" w:rsidP="00A455E6"/>
    <w:p w:rsidR="00A455E6" w:rsidRPr="004E2894" w:rsidRDefault="00A455E6" w:rsidP="00A455E6">
      <w:pPr>
        <w:numPr>
          <w:ilvl w:val="0"/>
          <w:numId w:val="3"/>
        </w:numPr>
        <w:tabs>
          <w:tab w:val="clear" w:pos="720"/>
          <w:tab w:val="num" w:pos="1134"/>
        </w:tabs>
        <w:ind w:left="1134" w:hanging="567"/>
      </w:pPr>
      <w:r w:rsidRPr="004E2894">
        <w:rPr>
          <w:bCs/>
        </w:rPr>
        <w:t>Improve installation with DUST</w:t>
      </w:r>
    </w:p>
    <w:p w:rsidR="00A455E6" w:rsidRPr="004E2894" w:rsidRDefault="00A455E6" w:rsidP="00A455E6">
      <w:pPr>
        <w:numPr>
          <w:ilvl w:val="0"/>
          <w:numId w:val="3"/>
        </w:numPr>
        <w:tabs>
          <w:tab w:val="clear" w:pos="720"/>
          <w:tab w:val="num" w:pos="1134"/>
        </w:tabs>
        <w:ind w:left="1134" w:hanging="567"/>
      </w:pPr>
      <w:r w:rsidRPr="004E2894">
        <w:rPr>
          <w:bCs/>
        </w:rPr>
        <w:t>Improve error messages</w:t>
      </w:r>
    </w:p>
    <w:p w:rsidR="00A455E6" w:rsidRPr="004E2894" w:rsidRDefault="00A455E6" w:rsidP="00A455E6">
      <w:pPr>
        <w:numPr>
          <w:ilvl w:val="0"/>
          <w:numId w:val="3"/>
        </w:numPr>
        <w:tabs>
          <w:tab w:val="clear" w:pos="720"/>
          <w:tab w:val="num" w:pos="1134"/>
        </w:tabs>
        <w:ind w:left="1134" w:hanging="567"/>
      </w:pPr>
      <w:r w:rsidRPr="004E2894">
        <w:rPr>
          <w:bCs/>
        </w:rPr>
        <w:t>Ensure that problematic data sets can be dealt with appropriately</w:t>
      </w:r>
    </w:p>
    <w:p w:rsidR="00A455E6" w:rsidRPr="004E2894" w:rsidRDefault="00A455E6" w:rsidP="00A455E6">
      <w:pPr>
        <w:numPr>
          <w:ilvl w:val="0"/>
          <w:numId w:val="3"/>
        </w:numPr>
        <w:tabs>
          <w:tab w:val="clear" w:pos="720"/>
          <w:tab w:val="num" w:pos="1134"/>
        </w:tabs>
        <w:ind w:left="1134" w:hanging="567"/>
      </w:pPr>
      <w:r w:rsidRPr="004E2894">
        <w:rPr>
          <w:bCs/>
        </w:rPr>
        <w:t>Produce extrapolation flags according to approach agreed by TWC</w:t>
      </w:r>
    </w:p>
    <w:p w:rsidR="00A455E6" w:rsidRPr="004E2894" w:rsidRDefault="00A455E6" w:rsidP="00A455E6">
      <w:pPr>
        <w:numPr>
          <w:ilvl w:val="0"/>
          <w:numId w:val="3"/>
        </w:numPr>
        <w:tabs>
          <w:tab w:val="clear" w:pos="720"/>
          <w:tab w:val="num" w:pos="1134"/>
        </w:tabs>
        <w:ind w:left="1134" w:hanging="567"/>
      </w:pPr>
      <w:r w:rsidRPr="004E2894">
        <w:rPr>
          <w:bCs/>
        </w:rPr>
        <w:t>Ensure that the algorithm works well for unbalanced data (for cyclic planting).</w:t>
      </w:r>
    </w:p>
    <w:p w:rsidR="00A455E6" w:rsidRDefault="00A455E6" w:rsidP="00CD668A">
      <w:pPr>
        <w:pStyle w:val="DecisionParagraphs"/>
        <w:rPr>
          <w:rFonts w:eastAsiaTheme="minorEastAsia"/>
        </w:rPr>
      </w:pPr>
    </w:p>
    <w:p w:rsidR="00074BAC" w:rsidRDefault="00074BAC" w:rsidP="00CD668A">
      <w:pPr>
        <w:pStyle w:val="DecisionParagraphs"/>
        <w:rPr>
          <w:rFonts w:eastAsiaTheme="minorEastAsia"/>
        </w:rPr>
      </w:pPr>
    </w:p>
    <w:p w:rsidR="00A8541C" w:rsidRDefault="00CD668A" w:rsidP="00A8541C">
      <w:pPr>
        <w:pStyle w:val="DecisionParagraphs"/>
        <w:rPr>
          <w:rFonts w:eastAsiaTheme="minorEastAsia"/>
        </w:rPr>
      </w:pPr>
      <w:r w:rsidRPr="001B50E3">
        <w:rPr>
          <w:rFonts w:eastAsiaTheme="minorEastAsia"/>
        </w:rPr>
        <w:fldChar w:fldCharType="begin"/>
      </w:r>
      <w:r w:rsidRPr="001B50E3">
        <w:rPr>
          <w:rFonts w:eastAsiaTheme="minorEastAsia"/>
        </w:rPr>
        <w:instrText xml:space="preserve"> AUTONUM  </w:instrText>
      </w:r>
      <w:r w:rsidRPr="001B50E3">
        <w:rPr>
          <w:rFonts w:eastAsiaTheme="minorEastAsia"/>
        </w:rPr>
        <w:fldChar w:fldCharType="end"/>
      </w:r>
      <w:r w:rsidRPr="001B50E3">
        <w:rPr>
          <w:rFonts w:eastAsiaTheme="minorEastAsia"/>
        </w:rPr>
        <w:tab/>
        <w:t xml:space="preserve">The </w:t>
      </w:r>
      <w:r w:rsidR="001E583E">
        <w:rPr>
          <w:rFonts w:eastAsiaTheme="minorEastAsia"/>
        </w:rPr>
        <w:t>TC-EDC is invited to</w:t>
      </w:r>
      <w:r w:rsidR="00A8541C">
        <w:rPr>
          <w:rFonts w:eastAsiaTheme="minorEastAsia"/>
        </w:rPr>
        <w:t>:</w:t>
      </w:r>
    </w:p>
    <w:p w:rsidR="00A8541C" w:rsidRDefault="00A8541C" w:rsidP="00A8541C">
      <w:pPr>
        <w:pStyle w:val="DecisionParagraphs"/>
        <w:rPr>
          <w:rFonts w:eastAsiaTheme="minorEastAsia"/>
        </w:rPr>
      </w:pPr>
    </w:p>
    <w:p w:rsidR="00EA3551" w:rsidRDefault="00A8541C" w:rsidP="00A8541C">
      <w:pPr>
        <w:pStyle w:val="DecisionParagraphs"/>
        <w:rPr>
          <w:rFonts w:eastAsiaTheme="minorEastAsia"/>
        </w:rPr>
      </w:pPr>
      <w:r>
        <w:rPr>
          <w:rFonts w:eastAsiaTheme="minorEastAsia"/>
        </w:rPr>
        <w:tab/>
        <w:t>(a)</w:t>
      </w:r>
      <w:r>
        <w:rPr>
          <w:rFonts w:eastAsiaTheme="minorEastAsia"/>
        </w:rPr>
        <w:tab/>
      </w:r>
      <w:r w:rsidR="00EA3551">
        <w:rPr>
          <w:rFonts w:eastAsiaTheme="minorEastAsia"/>
        </w:rPr>
        <w:t xml:space="preserve">note that the TWF suggested to conduct a survey </w:t>
      </w:r>
      <w:r w:rsidR="00EA3551" w:rsidRPr="00EA3551">
        <w:rPr>
          <w:rFonts w:eastAsiaTheme="minorEastAsia"/>
        </w:rPr>
        <w:t>among members of the Union to assess the number of authorities using the COYU method for each crop sector, in order to assess how best to present information in relation to COYU to the TWPs</w:t>
      </w:r>
      <w:r w:rsidR="00EA3551">
        <w:rPr>
          <w:rFonts w:eastAsiaTheme="minorEastAsia"/>
        </w:rPr>
        <w:t>;</w:t>
      </w:r>
    </w:p>
    <w:p w:rsidR="00A8541C" w:rsidRDefault="00A8541C" w:rsidP="00A8541C">
      <w:pPr>
        <w:pStyle w:val="DecisionParagraphs"/>
        <w:rPr>
          <w:rFonts w:eastAsiaTheme="minorEastAsia"/>
        </w:rPr>
      </w:pPr>
    </w:p>
    <w:p w:rsidR="00EA3551" w:rsidRDefault="00A8541C" w:rsidP="00EA3551">
      <w:pPr>
        <w:pStyle w:val="DecisionParagraphs"/>
      </w:pPr>
      <w:r>
        <w:rPr>
          <w:rFonts w:eastAsiaTheme="minorEastAsia"/>
        </w:rPr>
        <w:tab/>
        <w:t>(b)</w:t>
      </w:r>
      <w:r>
        <w:rPr>
          <w:rFonts w:eastAsiaTheme="minorEastAsia"/>
        </w:rPr>
        <w:tab/>
      </w:r>
      <w:r w:rsidR="00EA3551">
        <w:rPr>
          <w:rFonts w:eastAsiaTheme="minorEastAsia"/>
        </w:rPr>
        <w:t xml:space="preserve">note that </w:t>
      </w:r>
      <w:r w:rsidR="00EA3551">
        <w:t xml:space="preserve">the TWC agreed to invite </w:t>
      </w:r>
      <w:r w:rsidR="00EA3551" w:rsidRPr="004E2894">
        <w:t xml:space="preserve">the expert from the United Kingdom to report on </w:t>
      </w:r>
      <w:r w:rsidR="00EA3551">
        <w:t>further improving the software using the new method of calculation of COYU,</w:t>
      </w:r>
      <w:r w:rsidR="00EA3551" w:rsidRPr="00A8541C">
        <w:t xml:space="preserve"> </w:t>
      </w:r>
      <w:r w:rsidR="00EA3551" w:rsidRPr="004E2894">
        <w:t>at its thirty-sixth session</w:t>
      </w:r>
      <w:r w:rsidR="00EA3551">
        <w:t>; and</w:t>
      </w:r>
    </w:p>
    <w:p w:rsidR="00EA3551" w:rsidRDefault="00EA3551" w:rsidP="00A8541C">
      <w:pPr>
        <w:pStyle w:val="DecisionParagraphs"/>
      </w:pPr>
    </w:p>
    <w:p w:rsidR="00EA3551" w:rsidRDefault="00EA3551" w:rsidP="00A8541C">
      <w:pPr>
        <w:pStyle w:val="DecisionParagraphs"/>
      </w:pPr>
      <w:r>
        <w:tab/>
        <w:t>(c)</w:t>
      </w:r>
      <w:r>
        <w:tab/>
      </w:r>
      <w:proofErr w:type="gramStart"/>
      <w:r>
        <w:t>propose</w:t>
      </w:r>
      <w:proofErr w:type="gramEnd"/>
      <w:r>
        <w:t xml:space="preserve"> to the TWC to formulate a proposal for consideration by the TC, at its fifty-fourth session, on the new method of calculation of COYU</w:t>
      </w:r>
      <w:r w:rsidR="001C0EFD">
        <w:t>.</w:t>
      </w:r>
    </w:p>
    <w:p w:rsidR="00CD668A" w:rsidRDefault="00CD668A" w:rsidP="00CD668A"/>
    <w:p w:rsidR="00CD668A" w:rsidRDefault="00CD668A" w:rsidP="00CD668A"/>
    <w:p w:rsidR="00CD668A" w:rsidRPr="00C651CE" w:rsidRDefault="00CD668A" w:rsidP="00CD668A"/>
    <w:p w:rsidR="00CD668A" w:rsidRPr="00C5280D" w:rsidRDefault="00CD668A" w:rsidP="00CD668A">
      <w:pPr>
        <w:jc w:val="right"/>
        <w:rPr>
          <w:snapToGrid w:val="0"/>
        </w:rPr>
      </w:pPr>
      <w:r w:rsidRPr="00612D26">
        <w:rPr>
          <w:rFonts w:hint="eastAsia"/>
          <w:iCs/>
          <w:spacing w:val="-4"/>
          <w:lang w:eastAsia="ja-JP"/>
        </w:rPr>
        <w:t>[</w:t>
      </w:r>
      <w:r>
        <w:rPr>
          <w:iCs/>
          <w:spacing w:val="-4"/>
          <w:lang w:eastAsia="ja-JP"/>
        </w:rPr>
        <w:t>End of document</w:t>
      </w:r>
      <w:r w:rsidRPr="00612D26">
        <w:rPr>
          <w:rFonts w:hint="eastAsia"/>
          <w:iCs/>
          <w:spacing w:val="-4"/>
          <w:lang w:eastAsia="ja-JP"/>
        </w:rPr>
        <w:t>]</w:t>
      </w:r>
    </w:p>
    <w:sectPr w:rsidR="00CD668A"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0F0" w:rsidRDefault="005450F0" w:rsidP="006655D3">
      <w:r>
        <w:separator/>
      </w:r>
    </w:p>
    <w:p w:rsidR="005450F0" w:rsidRDefault="005450F0" w:rsidP="006655D3"/>
    <w:p w:rsidR="005450F0" w:rsidRDefault="005450F0" w:rsidP="006655D3"/>
  </w:endnote>
  <w:endnote w:type="continuationSeparator" w:id="0">
    <w:p w:rsidR="005450F0" w:rsidRDefault="005450F0" w:rsidP="006655D3">
      <w:r>
        <w:separator/>
      </w:r>
    </w:p>
    <w:p w:rsidR="005450F0" w:rsidRPr="00294751" w:rsidRDefault="005450F0">
      <w:pPr>
        <w:pStyle w:val="Footer"/>
        <w:spacing w:after="60"/>
        <w:rPr>
          <w:sz w:val="18"/>
          <w:lang w:val="fr-FR"/>
        </w:rPr>
      </w:pPr>
      <w:r w:rsidRPr="00294751">
        <w:rPr>
          <w:sz w:val="18"/>
          <w:lang w:val="fr-FR"/>
        </w:rPr>
        <w:t>[Suite de la note de la page précédente]</w:t>
      </w:r>
    </w:p>
    <w:p w:rsidR="005450F0" w:rsidRPr="00294751" w:rsidRDefault="005450F0" w:rsidP="006655D3">
      <w:pPr>
        <w:rPr>
          <w:lang w:val="fr-FR"/>
        </w:rPr>
      </w:pPr>
    </w:p>
    <w:p w:rsidR="005450F0" w:rsidRPr="00294751" w:rsidRDefault="005450F0" w:rsidP="006655D3">
      <w:pPr>
        <w:rPr>
          <w:lang w:val="fr-FR"/>
        </w:rPr>
      </w:pPr>
    </w:p>
  </w:endnote>
  <w:endnote w:type="continuationNotice" w:id="1">
    <w:p w:rsidR="005450F0" w:rsidRPr="00294751" w:rsidRDefault="005450F0" w:rsidP="006655D3">
      <w:pPr>
        <w:rPr>
          <w:lang w:val="fr-FR"/>
        </w:rPr>
      </w:pPr>
      <w:r w:rsidRPr="00294751">
        <w:rPr>
          <w:lang w:val="fr-FR"/>
        </w:rPr>
        <w:t>[Suite de la note page suivante]</w:t>
      </w:r>
    </w:p>
    <w:p w:rsidR="005450F0" w:rsidRPr="00294751" w:rsidRDefault="005450F0" w:rsidP="006655D3">
      <w:pPr>
        <w:rPr>
          <w:lang w:val="fr-FR"/>
        </w:rPr>
      </w:pPr>
    </w:p>
    <w:p w:rsidR="005450F0" w:rsidRPr="00294751" w:rsidRDefault="005450F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0F0" w:rsidRDefault="005450F0" w:rsidP="006655D3">
      <w:r>
        <w:separator/>
      </w:r>
    </w:p>
  </w:footnote>
  <w:footnote w:type="continuationSeparator" w:id="0">
    <w:p w:rsidR="005450F0" w:rsidRDefault="005450F0" w:rsidP="006655D3">
      <w:r>
        <w:separator/>
      </w:r>
    </w:p>
  </w:footnote>
  <w:footnote w:type="continuationNotice" w:id="1">
    <w:p w:rsidR="005450F0" w:rsidRPr="00AB530F" w:rsidRDefault="005450F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567E7" w:rsidP="00EB048E">
    <w:pPr>
      <w:pStyle w:val="Header"/>
      <w:rPr>
        <w:rStyle w:val="PageNumber"/>
        <w:lang w:val="en-US"/>
      </w:rPr>
    </w:pPr>
    <w:r>
      <w:rPr>
        <w:rStyle w:val="PageNumber"/>
        <w:lang w:val="en-US"/>
      </w:rPr>
      <w:t>TC-EDC/Mar18/</w:t>
    </w:r>
    <w:r w:rsidR="00661F8F">
      <w:rPr>
        <w:rStyle w:val="PageNumber"/>
        <w:lang w:val="en-US"/>
      </w:rPr>
      <w:t>14</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D3871">
      <w:rPr>
        <w:rStyle w:val="PageNumber"/>
        <w:noProof/>
        <w:lang w:val="en-US"/>
      </w:rPr>
      <w:t>2</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D633B"/>
    <w:multiLevelType w:val="hybridMultilevel"/>
    <w:tmpl w:val="12FEDFBE"/>
    <w:lvl w:ilvl="0" w:tplc="2416B41E">
      <w:start w:val="1"/>
      <w:numFmt w:val="bullet"/>
      <w:lvlText w:val="•"/>
      <w:lvlJc w:val="left"/>
      <w:pPr>
        <w:tabs>
          <w:tab w:val="num" w:pos="720"/>
        </w:tabs>
        <w:ind w:left="720" w:hanging="360"/>
      </w:pPr>
      <w:rPr>
        <w:rFonts w:ascii="Arial" w:hAnsi="Arial" w:hint="default"/>
      </w:rPr>
    </w:lvl>
    <w:lvl w:ilvl="1" w:tplc="801AFEC6">
      <w:start w:val="1"/>
      <w:numFmt w:val="bullet"/>
      <w:lvlText w:val="•"/>
      <w:lvlJc w:val="left"/>
      <w:pPr>
        <w:tabs>
          <w:tab w:val="num" w:pos="1440"/>
        </w:tabs>
        <w:ind w:left="1440" w:hanging="360"/>
      </w:pPr>
      <w:rPr>
        <w:rFonts w:ascii="Arial" w:hAnsi="Arial" w:hint="default"/>
      </w:rPr>
    </w:lvl>
    <w:lvl w:ilvl="2" w:tplc="783C00FE">
      <w:start w:val="110"/>
      <w:numFmt w:val="bullet"/>
      <w:lvlText w:val="•"/>
      <w:lvlJc w:val="left"/>
      <w:pPr>
        <w:tabs>
          <w:tab w:val="num" w:pos="2160"/>
        </w:tabs>
        <w:ind w:left="2160" w:hanging="360"/>
      </w:pPr>
      <w:rPr>
        <w:rFonts w:ascii="Arial" w:hAnsi="Arial" w:hint="default"/>
      </w:rPr>
    </w:lvl>
    <w:lvl w:ilvl="3" w:tplc="7E087B76" w:tentative="1">
      <w:start w:val="1"/>
      <w:numFmt w:val="bullet"/>
      <w:lvlText w:val="•"/>
      <w:lvlJc w:val="left"/>
      <w:pPr>
        <w:tabs>
          <w:tab w:val="num" w:pos="2880"/>
        </w:tabs>
        <w:ind w:left="2880" w:hanging="360"/>
      </w:pPr>
      <w:rPr>
        <w:rFonts w:ascii="Arial" w:hAnsi="Arial" w:hint="default"/>
      </w:rPr>
    </w:lvl>
    <w:lvl w:ilvl="4" w:tplc="E2C67288" w:tentative="1">
      <w:start w:val="1"/>
      <w:numFmt w:val="bullet"/>
      <w:lvlText w:val="•"/>
      <w:lvlJc w:val="left"/>
      <w:pPr>
        <w:tabs>
          <w:tab w:val="num" w:pos="3600"/>
        </w:tabs>
        <w:ind w:left="3600" w:hanging="360"/>
      </w:pPr>
      <w:rPr>
        <w:rFonts w:ascii="Arial" w:hAnsi="Arial" w:hint="default"/>
      </w:rPr>
    </w:lvl>
    <w:lvl w:ilvl="5" w:tplc="2E2E241E" w:tentative="1">
      <w:start w:val="1"/>
      <w:numFmt w:val="bullet"/>
      <w:lvlText w:val="•"/>
      <w:lvlJc w:val="left"/>
      <w:pPr>
        <w:tabs>
          <w:tab w:val="num" w:pos="4320"/>
        </w:tabs>
        <w:ind w:left="4320" w:hanging="360"/>
      </w:pPr>
      <w:rPr>
        <w:rFonts w:ascii="Arial" w:hAnsi="Arial" w:hint="default"/>
      </w:rPr>
    </w:lvl>
    <w:lvl w:ilvl="6" w:tplc="1588705E" w:tentative="1">
      <w:start w:val="1"/>
      <w:numFmt w:val="bullet"/>
      <w:lvlText w:val="•"/>
      <w:lvlJc w:val="left"/>
      <w:pPr>
        <w:tabs>
          <w:tab w:val="num" w:pos="5040"/>
        </w:tabs>
        <w:ind w:left="5040" w:hanging="360"/>
      </w:pPr>
      <w:rPr>
        <w:rFonts w:ascii="Arial" w:hAnsi="Arial" w:hint="default"/>
      </w:rPr>
    </w:lvl>
    <w:lvl w:ilvl="7" w:tplc="3642D058" w:tentative="1">
      <w:start w:val="1"/>
      <w:numFmt w:val="bullet"/>
      <w:lvlText w:val="•"/>
      <w:lvlJc w:val="left"/>
      <w:pPr>
        <w:tabs>
          <w:tab w:val="num" w:pos="5760"/>
        </w:tabs>
        <w:ind w:left="5760" w:hanging="360"/>
      </w:pPr>
      <w:rPr>
        <w:rFonts w:ascii="Arial" w:hAnsi="Arial" w:hint="default"/>
      </w:rPr>
    </w:lvl>
    <w:lvl w:ilvl="8" w:tplc="6D1C30BA" w:tentative="1">
      <w:start w:val="1"/>
      <w:numFmt w:val="bullet"/>
      <w:lvlText w:val="•"/>
      <w:lvlJc w:val="left"/>
      <w:pPr>
        <w:tabs>
          <w:tab w:val="num" w:pos="6480"/>
        </w:tabs>
        <w:ind w:left="6480" w:hanging="360"/>
      </w:pPr>
      <w:rPr>
        <w:rFonts w:ascii="Arial" w:hAnsi="Arial" w:hint="default"/>
      </w:rPr>
    </w:lvl>
  </w:abstractNum>
  <w:abstractNum w:abstractNumId="1">
    <w:nsid w:val="5524077C"/>
    <w:multiLevelType w:val="hybridMultilevel"/>
    <w:tmpl w:val="CEBA5DAA"/>
    <w:lvl w:ilvl="0" w:tplc="AD062BF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6BBB294B"/>
    <w:multiLevelType w:val="hybridMultilevel"/>
    <w:tmpl w:val="9FAAACA8"/>
    <w:lvl w:ilvl="0" w:tplc="292625DA">
      <w:start w:val="1"/>
      <w:numFmt w:val="bullet"/>
      <w:lvlText w:val="•"/>
      <w:lvlJc w:val="left"/>
      <w:pPr>
        <w:tabs>
          <w:tab w:val="num" w:pos="720"/>
        </w:tabs>
        <w:ind w:left="720" w:hanging="360"/>
      </w:pPr>
      <w:rPr>
        <w:rFonts w:ascii="Arial" w:hAnsi="Arial" w:hint="default"/>
      </w:rPr>
    </w:lvl>
    <w:lvl w:ilvl="1" w:tplc="8E50FD68" w:tentative="1">
      <w:start w:val="1"/>
      <w:numFmt w:val="bullet"/>
      <w:lvlText w:val="•"/>
      <w:lvlJc w:val="left"/>
      <w:pPr>
        <w:tabs>
          <w:tab w:val="num" w:pos="1440"/>
        </w:tabs>
        <w:ind w:left="1440" w:hanging="360"/>
      </w:pPr>
      <w:rPr>
        <w:rFonts w:ascii="Arial" w:hAnsi="Arial" w:hint="default"/>
      </w:rPr>
    </w:lvl>
    <w:lvl w:ilvl="2" w:tplc="1BCEF2A6" w:tentative="1">
      <w:start w:val="1"/>
      <w:numFmt w:val="bullet"/>
      <w:lvlText w:val="•"/>
      <w:lvlJc w:val="left"/>
      <w:pPr>
        <w:tabs>
          <w:tab w:val="num" w:pos="2160"/>
        </w:tabs>
        <w:ind w:left="2160" w:hanging="360"/>
      </w:pPr>
      <w:rPr>
        <w:rFonts w:ascii="Arial" w:hAnsi="Arial" w:hint="default"/>
      </w:rPr>
    </w:lvl>
    <w:lvl w:ilvl="3" w:tplc="882EBD10" w:tentative="1">
      <w:start w:val="1"/>
      <w:numFmt w:val="bullet"/>
      <w:lvlText w:val="•"/>
      <w:lvlJc w:val="left"/>
      <w:pPr>
        <w:tabs>
          <w:tab w:val="num" w:pos="2880"/>
        </w:tabs>
        <w:ind w:left="2880" w:hanging="360"/>
      </w:pPr>
      <w:rPr>
        <w:rFonts w:ascii="Arial" w:hAnsi="Arial" w:hint="default"/>
      </w:rPr>
    </w:lvl>
    <w:lvl w:ilvl="4" w:tplc="99ACC622" w:tentative="1">
      <w:start w:val="1"/>
      <w:numFmt w:val="bullet"/>
      <w:lvlText w:val="•"/>
      <w:lvlJc w:val="left"/>
      <w:pPr>
        <w:tabs>
          <w:tab w:val="num" w:pos="3600"/>
        </w:tabs>
        <w:ind w:left="3600" w:hanging="360"/>
      </w:pPr>
      <w:rPr>
        <w:rFonts w:ascii="Arial" w:hAnsi="Arial" w:hint="default"/>
      </w:rPr>
    </w:lvl>
    <w:lvl w:ilvl="5" w:tplc="C15C8270" w:tentative="1">
      <w:start w:val="1"/>
      <w:numFmt w:val="bullet"/>
      <w:lvlText w:val="•"/>
      <w:lvlJc w:val="left"/>
      <w:pPr>
        <w:tabs>
          <w:tab w:val="num" w:pos="4320"/>
        </w:tabs>
        <w:ind w:left="4320" w:hanging="360"/>
      </w:pPr>
      <w:rPr>
        <w:rFonts w:ascii="Arial" w:hAnsi="Arial" w:hint="default"/>
      </w:rPr>
    </w:lvl>
    <w:lvl w:ilvl="6" w:tplc="8A5421FE" w:tentative="1">
      <w:start w:val="1"/>
      <w:numFmt w:val="bullet"/>
      <w:lvlText w:val="•"/>
      <w:lvlJc w:val="left"/>
      <w:pPr>
        <w:tabs>
          <w:tab w:val="num" w:pos="5040"/>
        </w:tabs>
        <w:ind w:left="5040" w:hanging="360"/>
      </w:pPr>
      <w:rPr>
        <w:rFonts w:ascii="Arial" w:hAnsi="Arial" w:hint="default"/>
      </w:rPr>
    </w:lvl>
    <w:lvl w:ilvl="7" w:tplc="5FAE1F3C" w:tentative="1">
      <w:start w:val="1"/>
      <w:numFmt w:val="bullet"/>
      <w:lvlText w:val="•"/>
      <w:lvlJc w:val="left"/>
      <w:pPr>
        <w:tabs>
          <w:tab w:val="num" w:pos="5760"/>
        </w:tabs>
        <w:ind w:left="5760" w:hanging="360"/>
      </w:pPr>
      <w:rPr>
        <w:rFonts w:ascii="Arial" w:hAnsi="Arial" w:hint="default"/>
      </w:rPr>
    </w:lvl>
    <w:lvl w:ilvl="8" w:tplc="9116938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0F0"/>
    <w:rsid w:val="00010CF3"/>
    <w:rsid w:val="00011E27"/>
    <w:rsid w:val="000148BC"/>
    <w:rsid w:val="000170BC"/>
    <w:rsid w:val="00024AB8"/>
    <w:rsid w:val="00030854"/>
    <w:rsid w:val="00036028"/>
    <w:rsid w:val="00044642"/>
    <w:rsid w:val="000446B9"/>
    <w:rsid w:val="00047E21"/>
    <w:rsid w:val="00050E16"/>
    <w:rsid w:val="00074BAC"/>
    <w:rsid w:val="00085505"/>
    <w:rsid w:val="000C4E25"/>
    <w:rsid w:val="000C7021"/>
    <w:rsid w:val="000D6BBC"/>
    <w:rsid w:val="000D7780"/>
    <w:rsid w:val="000E6267"/>
    <w:rsid w:val="000E636A"/>
    <w:rsid w:val="000F2F11"/>
    <w:rsid w:val="00105929"/>
    <w:rsid w:val="00110C36"/>
    <w:rsid w:val="001131D5"/>
    <w:rsid w:val="00114F65"/>
    <w:rsid w:val="00141DB8"/>
    <w:rsid w:val="00172084"/>
    <w:rsid w:val="0017474A"/>
    <w:rsid w:val="001758C6"/>
    <w:rsid w:val="00182B99"/>
    <w:rsid w:val="001C0EFD"/>
    <w:rsid w:val="001C1525"/>
    <w:rsid w:val="001E583E"/>
    <w:rsid w:val="00204D1F"/>
    <w:rsid w:val="0021332C"/>
    <w:rsid w:val="00213982"/>
    <w:rsid w:val="00214C72"/>
    <w:rsid w:val="0024416D"/>
    <w:rsid w:val="00271911"/>
    <w:rsid w:val="002772B8"/>
    <w:rsid w:val="002800A0"/>
    <w:rsid w:val="002801B3"/>
    <w:rsid w:val="00281060"/>
    <w:rsid w:val="002940E8"/>
    <w:rsid w:val="00294751"/>
    <w:rsid w:val="002A6E50"/>
    <w:rsid w:val="002B4298"/>
    <w:rsid w:val="002C256A"/>
    <w:rsid w:val="00305A7F"/>
    <w:rsid w:val="003152FE"/>
    <w:rsid w:val="00327436"/>
    <w:rsid w:val="00344BD6"/>
    <w:rsid w:val="0035528D"/>
    <w:rsid w:val="00361821"/>
    <w:rsid w:val="00361E9E"/>
    <w:rsid w:val="00377799"/>
    <w:rsid w:val="0039633A"/>
    <w:rsid w:val="003C7FBE"/>
    <w:rsid w:val="003D227C"/>
    <w:rsid w:val="003D2B4D"/>
    <w:rsid w:val="003F5F2B"/>
    <w:rsid w:val="00444A88"/>
    <w:rsid w:val="00474DA4"/>
    <w:rsid w:val="00476B4D"/>
    <w:rsid w:val="004805FA"/>
    <w:rsid w:val="004935D2"/>
    <w:rsid w:val="004B1215"/>
    <w:rsid w:val="004D047D"/>
    <w:rsid w:val="004F1E9E"/>
    <w:rsid w:val="004F305A"/>
    <w:rsid w:val="00512164"/>
    <w:rsid w:val="00515C10"/>
    <w:rsid w:val="00520297"/>
    <w:rsid w:val="005338F9"/>
    <w:rsid w:val="0054281C"/>
    <w:rsid w:val="00544581"/>
    <w:rsid w:val="005450F0"/>
    <w:rsid w:val="0055268D"/>
    <w:rsid w:val="00576BE4"/>
    <w:rsid w:val="005A400A"/>
    <w:rsid w:val="005F7B92"/>
    <w:rsid w:val="00612379"/>
    <w:rsid w:val="006153B6"/>
    <w:rsid w:val="0061555F"/>
    <w:rsid w:val="00636CA6"/>
    <w:rsid w:val="00641200"/>
    <w:rsid w:val="00643DE0"/>
    <w:rsid w:val="00645CA8"/>
    <w:rsid w:val="00654597"/>
    <w:rsid w:val="006567E7"/>
    <w:rsid w:val="00661F8F"/>
    <w:rsid w:val="006655D3"/>
    <w:rsid w:val="00667404"/>
    <w:rsid w:val="0067318D"/>
    <w:rsid w:val="00687EB4"/>
    <w:rsid w:val="00695C56"/>
    <w:rsid w:val="006A5CDE"/>
    <w:rsid w:val="006A644A"/>
    <w:rsid w:val="006B17D2"/>
    <w:rsid w:val="006C224E"/>
    <w:rsid w:val="006D7447"/>
    <w:rsid w:val="006D780A"/>
    <w:rsid w:val="0071271E"/>
    <w:rsid w:val="00732DEC"/>
    <w:rsid w:val="00735BD5"/>
    <w:rsid w:val="007451EC"/>
    <w:rsid w:val="00751613"/>
    <w:rsid w:val="007556F6"/>
    <w:rsid w:val="00760EEF"/>
    <w:rsid w:val="00777EE5"/>
    <w:rsid w:val="00784836"/>
    <w:rsid w:val="0079023E"/>
    <w:rsid w:val="007A2854"/>
    <w:rsid w:val="007C1D92"/>
    <w:rsid w:val="007C4CB9"/>
    <w:rsid w:val="007D0B9D"/>
    <w:rsid w:val="007D19B0"/>
    <w:rsid w:val="007D4635"/>
    <w:rsid w:val="007F498F"/>
    <w:rsid w:val="0080679D"/>
    <w:rsid w:val="008108B0"/>
    <w:rsid w:val="00811B20"/>
    <w:rsid w:val="008211B5"/>
    <w:rsid w:val="0082296E"/>
    <w:rsid w:val="00824099"/>
    <w:rsid w:val="00831B7D"/>
    <w:rsid w:val="00846D7C"/>
    <w:rsid w:val="00867AC1"/>
    <w:rsid w:val="008729C8"/>
    <w:rsid w:val="00890DF8"/>
    <w:rsid w:val="008A743F"/>
    <w:rsid w:val="008C0970"/>
    <w:rsid w:val="008D0BC5"/>
    <w:rsid w:val="008D2CF7"/>
    <w:rsid w:val="00900C26"/>
    <w:rsid w:val="0090197F"/>
    <w:rsid w:val="00903264"/>
    <w:rsid w:val="00906DDC"/>
    <w:rsid w:val="00934E09"/>
    <w:rsid w:val="00936253"/>
    <w:rsid w:val="00940D46"/>
    <w:rsid w:val="00952DD4"/>
    <w:rsid w:val="00965AE7"/>
    <w:rsid w:val="00970FED"/>
    <w:rsid w:val="00992D82"/>
    <w:rsid w:val="00997029"/>
    <w:rsid w:val="009A7339"/>
    <w:rsid w:val="009B440E"/>
    <w:rsid w:val="009D690D"/>
    <w:rsid w:val="009E65B6"/>
    <w:rsid w:val="009F77CF"/>
    <w:rsid w:val="00A24C10"/>
    <w:rsid w:val="00A3365A"/>
    <w:rsid w:val="00A42AC3"/>
    <w:rsid w:val="00A430CF"/>
    <w:rsid w:val="00A455E6"/>
    <w:rsid w:val="00A54309"/>
    <w:rsid w:val="00A8541C"/>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BD490C"/>
    <w:rsid w:val="00C061B6"/>
    <w:rsid w:val="00C07C8D"/>
    <w:rsid w:val="00C2446C"/>
    <w:rsid w:val="00C308A4"/>
    <w:rsid w:val="00C36AE5"/>
    <w:rsid w:val="00C41F17"/>
    <w:rsid w:val="00C527FA"/>
    <w:rsid w:val="00C5280D"/>
    <w:rsid w:val="00C53EB3"/>
    <w:rsid w:val="00C5791C"/>
    <w:rsid w:val="00C66290"/>
    <w:rsid w:val="00C72B7A"/>
    <w:rsid w:val="00C973F2"/>
    <w:rsid w:val="00CA304C"/>
    <w:rsid w:val="00CA774A"/>
    <w:rsid w:val="00CC11B0"/>
    <w:rsid w:val="00CC2841"/>
    <w:rsid w:val="00CD668A"/>
    <w:rsid w:val="00CF1330"/>
    <w:rsid w:val="00CF7E36"/>
    <w:rsid w:val="00D07917"/>
    <w:rsid w:val="00D3708D"/>
    <w:rsid w:val="00D40426"/>
    <w:rsid w:val="00D57C96"/>
    <w:rsid w:val="00D57D18"/>
    <w:rsid w:val="00D91203"/>
    <w:rsid w:val="00D95174"/>
    <w:rsid w:val="00DA4476"/>
    <w:rsid w:val="00DA4973"/>
    <w:rsid w:val="00DA6F36"/>
    <w:rsid w:val="00DB596E"/>
    <w:rsid w:val="00DB7773"/>
    <w:rsid w:val="00DC00EA"/>
    <w:rsid w:val="00DC3802"/>
    <w:rsid w:val="00DD3871"/>
    <w:rsid w:val="00E07D87"/>
    <w:rsid w:val="00E32F7E"/>
    <w:rsid w:val="00E5267B"/>
    <w:rsid w:val="00E63C0E"/>
    <w:rsid w:val="00E72D49"/>
    <w:rsid w:val="00E7593C"/>
    <w:rsid w:val="00E7678A"/>
    <w:rsid w:val="00E935F1"/>
    <w:rsid w:val="00E94A81"/>
    <w:rsid w:val="00EA1FFB"/>
    <w:rsid w:val="00EA3551"/>
    <w:rsid w:val="00EB048E"/>
    <w:rsid w:val="00EB4E9C"/>
    <w:rsid w:val="00EE34DF"/>
    <w:rsid w:val="00EF2F89"/>
    <w:rsid w:val="00F03E98"/>
    <w:rsid w:val="00F1237A"/>
    <w:rsid w:val="00F22CBD"/>
    <w:rsid w:val="00F272F1"/>
    <w:rsid w:val="00F45372"/>
    <w:rsid w:val="00F5217F"/>
    <w:rsid w:val="00F560F7"/>
    <w:rsid w:val="00F6334D"/>
    <w:rsid w:val="00F63599"/>
    <w:rsid w:val="00F8611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CD668A"/>
    <w:pPr>
      <w:ind w:left="720"/>
      <w:contextualSpacing/>
    </w:pPr>
  </w:style>
  <w:style w:type="character" w:customStyle="1" w:styleId="DecisionParagraphsChar">
    <w:name w:val="DecisionParagraphs Char"/>
    <w:basedOn w:val="DefaultParagraphFont"/>
    <w:link w:val="DecisionParagraphs"/>
    <w:rsid w:val="00CD668A"/>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CD668A"/>
    <w:pPr>
      <w:ind w:left="720"/>
      <w:contextualSpacing/>
    </w:pPr>
  </w:style>
  <w:style w:type="character" w:customStyle="1" w:styleId="DecisionParagraphsChar">
    <w:name w:val="DecisionParagraphs Char"/>
    <w:basedOn w:val="DefaultParagraphFont"/>
    <w:link w:val="DecisionParagraphs"/>
    <w:rsid w:val="00CD668A"/>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8_Mar_Mtg\templates\tc_edc_mar_1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tc_edc_mar_18_EN.dotx</Template>
  <TotalTime>347</TotalTime>
  <Pages>3</Pages>
  <Words>1170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TC-EDC/Mar18</vt:lpstr>
    </vt:vector>
  </TitlesOfParts>
  <Company>UPOV</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TC-EDC/Mar18</dc:title>
  <dc:creator>TAVEIRA Leontino</dc:creator>
  <cp:lastModifiedBy>OERTEL Romy</cp:lastModifiedBy>
  <cp:revision>20</cp:revision>
  <cp:lastPrinted>2018-02-07T16:27:00Z</cp:lastPrinted>
  <dcterms:created xsi:type="dcterms:W3CDTF">2018-01-15T09:50:00Z</dcterms:created>
  <dcterms:modified xsi:type="dcterms:W3CDTF">2018-02-07T16:27:00Z</dcterms:modified>
</cp:coreProperties>
</file>