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A32BB1" w:rsidP="006655D3">
            <w:pPr>
              <w:pStyle w:val="LogoUPOV"/>
            </w:pPr>
            <w:r>
              <w:rPr>
                <w:noProof/>
              </w:rPr>
              <w:drawing>
                <wp:inline distT="0" distB="0" distL="0" distR="0" wp14:anchorId="03F8AA83" wp14:editId="75B2123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4857AD" w:rsidRPr="00C5280D" w:rsidRDefault="004857AD" w:rsidP="004857AD">
            <w:pPr>
              <w:pStyle w:val="Docoriginal"/>
            </w:pPr>
            <w:r>
              <w:t>TC/51/</w:t>
            </w:r>
            <w:bookmarkStart w:id="0" w:name="Code"/>
            <w:bookmarkEnd w:id="0"/>
            <w:r>
              <w:t>16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6A27B5">
            <w:pPr>
              <w:pStyle w:val="Docoriginal"/>
            </w:pPr>
            <w:r w:rsidRPr="00844CF0">
              <w:rPr>
                <w:spacing w:val="0"/>
              </w:rPr>
              <w:t>DATE:</w:t>
            </w:r>
            <w:r w:rsidR="00A05486" w:rsidRPr="00844CF0">
              <w:rPr>
                <w:b w:val="0"/>
                <w:spacing w:val="0"/>
              </w:rPr>
              <w:t xml:space="preserve"> </w:t>
            </w:r>
            <w:r w:rsidR="004857AD" w:rsidRPr="00EE2FD5">
              <w:rPr>
                <w:b w:val="0"/>
                <w:spacing w:val="0"/>
              </w:rPr>
              <w:t xml:space="preserve">February </w:t>
            </w:r>
            <w:r w:rsidR="006A27B5" w:rsidRPr="00EE2FD5">
              <w:rPr>
                <w:b w:val="0"/>
                <w:spacing w:val="0"/>
              </w:rPr>
              <w:t>11</w:t>
            </w:r>
            <w:r w:rsidR="004857AD" w:rsidRPr="00EE2FD5">
              <w:rPr>
                <w:b w:val="0"/>
                <w:spacing w:val="0"/>
              </w:rPr>
              <w:t>, 2015</w:t>
            </w:r>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4857AD" w:rsidRPr="00C5280D" w:rsidRDefault="004857AD" w:rsidP="004857AD">
      <w:pPr>
        <w:pStyle w:val="Sessiontc"/>
      </w:pPr>
      <w:bookmarkStart w:id="2" w:name="TitleOfDoc"/>
      <w:bookmarkEnd w:id="2"/>
      <w:r w:rsidRPr="00C5280D">
        <w:t>Technical Committee</w:t>
      </w:r>
    </w:p>
    <w:p w:rsidR="004857AD" w:rsidRPr="00C5280D" w:rsidRDefault="004857AD" w:rsidP="004857AD">
      <w:pPr>
        <w:pStyle w:val="Sessiontcplacedate"/>
      </w:pPr>
      <w:r w:rsidRPr="00C5280D">
        <w:t>F</w:t>
      </w:r>
      <w:r>
        <w:t>ifty-First</w:t>
      </w:r>
      <w:r w:rsidRPr="00C5280D">
        <w:t xml:space="preserve"> Session</w:t>
      </w:r>
      <w:r w:rsidRPr="00C5280D">
        <w:br/>
        <w:t xml:space="preserve">Geneva, </w:t>
      </w:r>
      <w:r>
        <w:t>March 23 to 25</w:t>
      </w:r>
      <w:r w:rsidRPr="00C5280D">
        <w:t>, 201</w:t>
      </w:r>
      <w:r>
        <w:t>5</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3" w:name="Prepared"/>
      <w:bookmarkEnd w:id="3"/>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6A27B5"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411433308" w:history="1">
        <w:r w:rsidR="006A27B5" w:rsidRPr="00163733">
          <w:rPr>
            <w:rStyle w:val="Hyperlink"/>
            <w:noProof/>
          </w:rPr>
          <w:t>background</w:t>
        </w:r>
        <w:r w:rsidR="006A27B5">
          <w:rPr>
            <w:noProof/>
            <w:webHidden/>
          </w:rPr>
          <w:tab/>
        </w:r>
        <w:r w:rsidR="006A27B5">
          <w:rPr>
            <w:noProof/>
            <w:webHidden/>
          </w:rPr>
          <w:fldChar w:fldCharType="begin"/>
        </w:r>
        <w:r w:rsidR="006A27B5">
          <w:rPr>
            <w:noProof/>
            <w:webHidden/>
          </w:rPr>
          <w:instrText xml:space="preserve"> PAGEREF _Toc411433308 \h </w:instrText>
        </w:r>
        <w:r w:rsidR="006A27B5">
          <w:rPr>
            <w:noProof/>
            <w:webHidden/>
          </w:rPr>
        </w:r>
        <w:r w:rsidR="006A27B5">
          <w:rPr>
            <w:noProof/>
            <w:webHidden/>
          </w:rPr>
          <w:fldChar w:fldCharType="separate"/>
        </w:r>
        <w:r w:rsidR="00184930">
          <w:rPr>
            <w:noProof/>
            <w:webHidden/>
          </w:rPr>
          <w:t>1</w:t>
        </w:r>
        <w:r w:rsidR="006A27B5">
          <w:rPr>
            <w:noProof/>
            <w:webHidden/>
          </w:rPr>
          <w:fldChar w:fldCharType="end"/>
        </w:r>
      </w:hyperlink>
    </w:p>
    <w:p w:rsidR="006A27B5" w:rsidRDefault="00184930">
      <w:pPr>
        <w:pStyle w:val="TOC1"/>
        <w:rPr>
          <w:rFonts w:asciiTheme="minorHAnsi" w:eastAsiaTheme="minorEastAsia" w:hAnsiTheme="minorHAnsi" w:cstheme="minorBidi"/>
          <w:caps w:val="0"/>
          <w:noProof/>
          <w:sz w:val="22"/>
          <w:szCs w:val="22"/>
        </w:rPr>
      </w:pPr>
      <w:hyperlink w:anchor="_Toc411433309" w:history="1">
        <w:r w:rsidR="006A27B5" w:rsidRPr="00163733">
          <w:rPr>
            <w:rStyle w:val="Hyperlink"/>
            <w:noProof/>
          </w:rPr>
          <w:t>Developments in 2014</w:t>
        </w:r>
        <w:r w:rsidR="006A27B5">
          <w:rPr>
            <w:noProof/>
            <w:webHidden/>
          </w:rPr>
          <w:tab/>
        </w:r>
        <w:r w:rsidR="006A27B5">
          <w:rPr>
            <w:noProof/>
            <w:webHidden/>
          </w:rPr>
          <w:fldChar w:fldCharType="begin"/>
        </w:r>
        <w:r w:rsidR="006A27B5">
          <w:rPr>
            <w:noProof/>
            <w:webHidden/>
          </w:rPr>
          <w:instrText xml:space="preserve"> PAGEREF _Toc411433309 \h </w:instrText>
        </w:r>
        <w:r w:rsidR="006A27B5">
          <w:rPr>
            <w:noProof/>
            <w:webHidden/>
          </w:rPr>
        </w:r>
        <w:r w:rsidR="006A27B5">
          <w:rPr>
            <w:noProof/>
            <w:webHidden/>
          </w:rPr>
          <w:fldChar w:fldCharType="separate"/>
        </w:r>
        <w:r>
          <w:rPr>
            <w:noProof/>
            <w:webHidden/>
          </w:rPr>
          <w:t>2</w:t>
        </w:r>
        <w:r w:rsidR="006A27B5">
          <w:rPr>
            <w:noProof/>
            <w:webHidden/>
          </w:rPr>
          <w:fldChar w:fldCharType="end"/>
        </w:r>
      </w:hyperlink>
    </w:p>
    <w:p w:rsidR="006A27B5" w:rsidRDefault="00184930">
      <w:pPr>
        <w:pStyle w:val="TOC2"/>
        <w:rPr>
          <w:rFonts w:asciiTheme="minorHAnsi" w:eastAsiaTheme="minorEastAsia" w:hAnsiTheme="minorHAnsi" w:cstheme="minorBidi"/>
          <w:smallCaps w:val="0"/>
          <w:noProof/>
          <w:sz w:val="22"/>
          <w:szCs w:val="22"/>
        </w:rPr>
      </w:pPr>
      <w:hyperlink w:anchor="_Toc411433310" w:history="1">
        <w:r w:rsidR="006A27B5" w:rsidRPr="00163733">
          <w:rPr>
            <w:rStyle w:val="Hyperlink"/>
            <w:noProof/>
          </w:rPr>
          <w:t>Technical Committee</w:t>
        </w:r>
        <w:r w:rsidR="006A27B5">
          <w:rPr>
            <w:noProof/>
            <w:webHidden/>
          </w:rPr>
          <w:tab/>
        </w:r>
        <w:r w:rsidR="006A27B5">
          <w:rPr>
            <w:noProof/>
            <w:webHidden/>
          </w:rPr>
          <w:fldChar w:fldCharType="begin"/>
        </w:r>
        <w:r w:rsidR="006A27B5">
          <w:rPr>
            <w:noProof/>
            <w:webHidden/>
          </w:rPr>
          <w:instrText xml:space="preserve"> PAGEREF _Toc411433310 \h </w:instrText>
        </w:r>
        <w:r w:rsidR="006A27B5">
          <w:rPr>
            <w:noProof/>
            <w:webHidden/>
          </w:rPr>
        </w:r>
        <w:r w:rsidR="006A27B5">
          <w:rPr>
            <w:noProof/>
            <w:webHidden/>
          </w:rPr>
          <w:fldChar w:fldCharType="separate"/>
        </w:r>
        <w:r>
          <w:rPr>
            <w:noProof/>
            <w:webHidden/>
          </w:rPr>
          <w:t>2</w:t>
        </w:r>
        <w:r w:rsidR="006A27B5">
          <w:rPr>
            <w:noProof/>
            <w:webHidden/>
          </w:rPr>
          <w:fldChar w:fldCharType="end"/>
        </w:r>
      </w:hyperlink>
    </w:p>
    <w:p w:rsidR="006A27B5" w:rsidRDefault="00184930">
      <w:pPr>
        <w:pStyle w:val="TOC2"/>
        <w:rPr>
          <w:rFonts w:asciiTheme="minorHAnsi" w:eastAsiaTheme="minorEastAsia" w:hAnsiTheme="minorHAnsi" w:cstheme="minorBidi"/>
          <w:smallCaps w:val="0"/>
          <w:noProof/>
          <w:sz w:val="22"/>
          <w:szCs w:val="22"/>
        </w:rPr>
      </w:pPr>
      <w:hyperlink w:anchor="_Toc411433311" w:history="1">
        <w:r w:rsidR="006A27B5" w:rsidRPr="00163733">
          <w:rPr>
            <w:rStyle w:val="Hyperlink"/>
            <w:noProof/>
          </w:rPr>
          <w:t>Technical Working Parties</w:t>
        </w:r>
        <w:r w:rsidR="006A27B5">
          <w:rPr>
            <w:noProof/>
            <w:webHidden/>
          </w:rPr>
          <w:tab/>
        </w:r>
        <w:r w:rsidR="006A27B5">
          <w:rPr>
            <w:noProof/>
            <w:webHidden/>
          </w:rPr>
          <w:fldChar w:fldCharType="begin"/>
        </w:r>
        <w:r w:rsidR="006A27B5">
          <w:rPr>
            <w:noProof/>
            <w:webHidden/>
          </w:rPr>
          <w:instrText xml:space="preserve"> PAGEREF _Toc411433311 \h </w:instrText>
        </w:r>
        <w:r w:rsidR="006A27B5">
          <w:rPr>
            <w:noProof/>
            <w:webHidden/>
          </w:rPr>
        </w:r>
        <w:r w:rsidR="006A27B5">
          <w:rPr>
            <w:noProof/>
            <w:webHidden/>
          </w:rPr>
          <w:fldChar w:fldCharType="separate"/>
        </w:r>
        <w:r>
          <w:rPr>
            <w:noProof/>
            <w:webHidden/>
          </w:rPr>
          <w:t>2</w:t>
        </w:r>
        <w:r w:rsidR="006A27B5">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p>
    <w:p w:rsidR="00ED270B" w:rsidRDefault="00ED270B">
      <w:pPr>
        <w:jc w:val="left"/>
        <w:rPr>
          <w:caps/>
        </w:rPr>
      </w:pPr>
    </w:p>
    <w:p w:rsidR="006A27B5" w:rsidRDefault="006A27B5">
      <w:pPr>
        <w:jc w:val="left"/>
        <w:rPr>
          <w:caps/>
        </w:rPr>
      </w:pPr>
    </w:p>
    <w:p w:rsidR="00704EB7" w:rsidRDefault="00704EB7" w:rsidP="00704EB7">
      <w:pPr>
        <w:pStyle w:val="Heading1"/>
        <w:keepNext w:val="0"/>
      </w:pPr>
      <w:bookmarkStart w:id="4" w:name="_Toc411433308"/>
      <w:r>
        <w:t>background</w:t>
      </w:r>
      <w:bookmarkEnd w:id="4"/>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Pr="008C63A0" w:rsidRDefault="008C63A0" w:rsidP="00704EB7">
      <w:pPr>
        <w:ind w:left="720" w:right="998"/>
        <w:rPr>
          <w:iCs/>
        </w:rPr>
      </w:pPr>
      <w:r>
        <w:rPr>
          <w:iCs/>
          <w:lang w:val="en-GB"/>
        </w:rPr>
        <w:lastRenderedPageBreak/>
        <w:t>“</w:t>
      </w:r>
      <w:r w:rsidR="00704EB7" w:rsidRPr="008C63A0">
        <w:rPr>
          <w:iCs/>
          <w:lang w:val="en-GB"/>
        </w:rPr>
        <w:t xml:space="preserve">[If this section is required, TWPs are invited to contribute guidance on the control of variation due to different observers </w:t>
      </w:r>
      <w:r w:rsidR="00704EB7" w:rsidRPr="008C63A0">
        <w:rPr>
          <w:iCs/>
        </w:rPr>
        <w:t>when statistical analysis is not used to determine distinctness and to consider it in relation to paragraph 2.7.2.9.]</w:t>
      </w:r>
      <w:r>
        <w:rPr>
          <w:iCs/>
        </w:rPr>
        <w:t>”</w:t>
      </w:r>
    </w:p>
    <w:p w:rsidR="00704EB7" w:rsidRPr="00DD75D2" w:rsidRDefault="00704EB7" w:rsidP="00704EB7">
      <w:pPr>
        <w:ind w:left="720" w:right="998"/>
        <w:rPr>
          <w:i/>
          <w:iCs/>
          <w:lang w:val="en-GB"/>
        </w:rPr>
      </w:pPr>
    </w:p>
    <w:p w:rsidR="009656B4" w:rsidRDefault="009656B4" w:rsidP="00704EB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2014 are presented in document</w:t>
      </w:r>
      <w:r w:rsidRPr="009656B4">
        <w:rPr>
          <w:rFonts w:cs="Arial"/>
        </w:rPr>
        <w:t xml:space="preserve"> </w:t>
      </w:r>
      <w:r w:rsidRPr="004717F7">
        <w:rPr>
          <w:rFonts w:cs="Arial"/>
        </w:rPr>
        <w:t>TC/50/21</w:t>
      </w:r>
      <w:r>
        <w:rPr>
          <w:rFonts w:cs="Arial"/>
        </w:rPr>
        <w:t xml:space="preserve"> “</w:t>
      </w:r>
      <w:r w:rsidRPr="004717F7">
        <w:t>R</w:t>
      </w:r>
      <w:r>
        <w:t>evision of document TGP/8: Part </w:t>
      </w:r>
      <w:r w:rsidRPr="004717F7">
        <w:t>I: DUS Trial Design and Data Analysis, New Section: Minimizing the Variation due to Different Observers”</w:t>
      </w:r>
      <w:r w:rsidRPr="004717F7">
        <w:rPr>
          <w:rFonts w:cs="Arial"/>
        </w:rPr>
        <w:t>.</w:t>
      </w:r>
      <w:r>
        <w:rPr>
          <w:rFonts w:cs="Arial"/>
          <w:color w:val="000000"/>
        </w:rPr>
        <w:t xml:space="preserve">   </w:t>
      </w:r>
    </w:p>
    <w:p w:rsidR="00704EB7" w:rsidRDefault="00704EB7" w:rsidP="00704EB7">
      <w:pPr>
        <w:pStyle w:val="Heading1"/>
      </w:pPr>
    </w:p>
    <w:p w:rsidR="00704EB7" w:rsidRPr="00F00C80" w:rsidRDefault="00704EB7" w:rsidP="00704EB7"/>
    <w:p w:rsidR="009435B0" w:rsidRDefault="009435B0" w:rsidP="009435B0">
      <w:pPr>
        <w:pStyle w:val="Heading1"/>
      </w:pPr>
      <w:bookmarkStart w:id="5" w:name="_Toc411433309"/>
      <w:r>
        <w:t>Developments in 2014</w:t>
      </w:r>
      <w:bookmarkEnd w:id="5"/>
    </w:p>
    <w:p w:rsidR="009435B0" w:rsidRDefault="009435B0" w:rsidP="009435B0"/>
    <w:p w:rsidR="00C347B7" w:rsidRDefault="00C347B7" w:rsidP="00C347B7">
      <w:pPr>
        <w:pStyle w:val="Heading2"/>
      </w:pPr>
      <w:bookmarkStart w:id="6" w:name="_Toc411433310"/>
      <w:r>
        <w:t>Technical Committee</w:t>
      </w:r>
      <w:bookmarkEnd w:id="6"/>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w:t>
      </w:r>
      <w:r w:rsidR="000F51AB">
        <w:t xml:space="preserve"> an agreed set of varieties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w:t>
      </w:r>
      <w:r w:rsidR="00EE2FD5">
        <w:t> </w:t>
      </w:r>
      <w:r w:rsidRPr="004717F7">
        <w:t>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w:t>
      </w:r>
      <w:r w:rsidR="00547928">
        <w:t> </w:t>
      </w:r>
      <w:r w:rsidR="00A573A4" w:rsidRPr="008A572D">
        <w:t>documen</w:t>
      </w:r>
      <w:r w:rsidR="00A573A4">
        <w:t>t</w:t>
      </w:r>
      <w:r w:rsidR="006A27B5">
        <w:t> </w:t>
      </w:r>
      <w:r w:rsidR="00A573A4">
        <w:t>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w:t>
      </w:r>
      <w:r w:rsidR="00266A50" w:rsidRPr="004717F7">
        <w:t>for consideration by the TWPs at their sessions in</w:t>
      </w:r>
      <w:r w:rsidR="00EE2FD5">
        <w:t> </w:t>
      </w:r>
      <w:r w:rsidR="00266A50" w:rsidRPr="004717F7">
        <w:t>2014</w:t>
      </w:r>
      <w:r w:rsidRPr="00A260DE">
        <w: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B2182">
        <w:t xml:space="preserve">considered by the TWPs for future inclusion or clarification </w:t>
      </w:r>
      <w:r w:rsidR="00ED270B">
        <w:t>into the</w:t>
      </w:r>
      <w:r w:rsidR="00EB2182">
        <w:t xml:space="preserve"> next draft of the guidance for</w:t>
      </w:r>
      <w:r w:rsidR="00EB2182" w:rsidRPr="00A260DE">
        <w:t xml:space="preserve"> future revision of document TGP/8 on minimizing the variation due to different observers</w:t>
      </w:r>
      <w:r w:rsidR="00ED270B">
        <w:t>:</w:t>
      </w:r>
    </w:p>
    <w:p w:rsidR="00B8369D" w:rsidRDefault="00B8369D" w:rsidP="00B8369D"/>
    <w:p w:rsidR="00B8369D" w:rsidRDefault="00B8369D" w:rsidP="006A27B5">
      <w:pPr>
        <w:numPr>
          <w:ilvl w:val="0"/>
          <w:numId w:val="5"/>
        </w:numPr>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p>
    <w:p w:rsidR="006A27B5" w:rsidRDefault="006A27B5" w:rsidP="006A27B5">
      <w:pPr>
        <w:ind w:left="720"/>
      </w:pPr>
    </w:p>
    <w:p w:rsidR="00B8369D" w:rsidRDefault="00B8369D" w:rsidP="006A27B5">
      <w:pPr>
        <w:numPr>
          <w:ilvl w:val="0"/>
          <w:numId w:val="5"/>
        </w:numPr>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6A27B5">
      <w:pPr>
        <w:numPr>
          <w:ilvl w:val="0"/>
          <w:numId w:val="5"/>
        </w:numPr>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Default="00701CCC" w:rsidP="00704EB7"/>
    <w:p w:rsidR="000F51AB" w:rsidRDefault="008C63A0" w:rsidP="000F51AB">
      <w:pPr>
        <w:pStyle w:val="Heading2"/>
      </w:pPr>
      <w:bookmarkStart w:id="7" w:name="_Toc411433311"/>
      <w:r>
        <w:t>Technical Working Parties</w:t>
      </w:r>
      <w:bookmarkEnd w:id="7"/>
    </w:p>
    <w:p w:rsidR="000F51AB" w:rsidRDefault="000F51AB" w:rsidP="00704EB7"/>
    <w:p w:rsidR="000F51AB" w:rsidRDefault="000F51AB" w:rsidP="000F51A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 xml:space="preserve">The TWO, TWF, </w:t>
      </w:r>
      <w:r w:rsidRPr="00E461F1">
        <w:t>TWC</w:t>
      </w:r>
      <w:r>
        <w:t>,</w:t>
      </w:r>
      <w:r w:rsidRPr="00E461F1">
        <w:t xml:space="preserve"> </w:t>
      </w:r>
      <w:r w:rsidRPr="00F00C80">
        <w:t>TWV</w:t>
      </w:r>
      <w:r w:rsidRPr="00E461F1">
        <w:t xml:space="preserve"> </w:t>
      </w:r>
      <w:r>
        <w:t xml:space="preserve">and TWA </w:t>
      </w:r>
      <w:r w:rsidRPr="00F00C80">
        <w:t>considered</w:t>
      </w:r>
      <w:r w:rsidRPr="00AF2207">
        <w:rPr>
          <w:snapToGrid w:val="0"/>
        </w:rPr>
        <w:t xml:space="preserve"> 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sidR="00256D98">
        <w:rPr>
          <w:snapToGrid w:val="0"/>
        </w:rPr>
        <w:t>5</w:t>
      </w:r>
      <w:r>
        <w:rPr>
          <w:snapToGrid w:val="0"/>
        </w:rPr>
        <w:t xml:space="preserve">, </w:t>
      </w:r>
      <w:r w:rsidRPr="00142558">
        <w:t>TWV/48/1</w:t>
      </w:r>
      <w:r w:rsidR="00860745">
        <w:t>5</w:t>
      </w:r>
      <w:r w:rsidR="009656B4">
        <w:t xml:space="preserve"> and</w:t>
      </w:r>
      <w:r>
        <w:t xml:space="preserve"> </w:t>
      </w:r>
      <w:r w:rsidRPr="007D0BAC">
        <w:t>TWA/43/1</w:t>
      </w:r>
      <w:r w:rsidR="00860745">
        <w:t>5</w:t>
      </w:r>
      <w:r>
        <w:t xml:space="preserve"> “</w:t>
      </w:r>
      <w:r w:rsidRPr="000F51AB">
        <w:t>Revision of Document TGP/8: Part I: DUS Trial Design and Data Analysis, New Section: Minimizing the Variation due to Different Observers</w:t>
      </w:r>
      <w:r>
        <w:t>”</w:t>
      </w:r>
      <w:r w:rsidR="009656B4">
        <w:t>, respectively</w:t>
      </w:r>
      <w:r>
        <w:t xml:space="preserve"> </w:t>
      </w:r>
      <w:r w:rsidRPr="00F00C80">
        <w:t>(see document TWO/4</w:t>
      </w:r>
      <w:r>
        <w:t>7</w:t>
      </w:r>
      <w:r w:rsidRPr="00F00C80">
        <w:t>/2</w:t>
      </w:r>
      <w:r>
        <w:t>8</w:t>
      </w:r>
      <w:r w:rsidRPr="00F00C80">
        <w:t xml:space="preserve"> “Report”, paragraphs </w:t>
      </w:r>
      <w:r>
        <w:t>39</w:t>
      </w:r>
      <w:r w:rsidRPr="00F00C80">
        <w:t xml:space="preserve"> </w:t>
      </w:r>
      <w:r>
        <w:t>to 41</w:t>
      </w:r>
      <w:r w:rsidRPr="00F00C80">
        <w:t xml:space="preserve"> </w:t>
      </w:r>
      <w:r w:rsidRPr="00E461F1">
        <w:t>, document TWF/4</w:t>
      </w:r>
      <w:r>
        <w:t>5</w:t>
      </w:r>
      <w:r w:rsidRPr="00E461F1">
        <w:t>/3</w:t>
      </w:r>
      <w:r>
        <w:t>2</w:t>
      </w:r>
      <w:r w:rsidRPr="00E461F1">
        <w:t xml:space="preserve"> “Report”, paragraphs 2</w:t>
      </w:r>
      <w:r>
        <w:t>6</w:t>
      </w:r>
      <w:r w:rsidRPr="00E461F1">
        <w:t xml:space="preserve"> to </w:t>
      </w:r>
      <w:r>
        <w:t>32</w:t>
      </w:r>
      <w:r w:rsidRPr="00E461F1">
        <w:t>, document TWC/3</w:t>
      </w:r>
      <w:r>
        <w:t>2</w:t>
      </w:r>
      <w:r w:rsidRPr="00E461F1">
        <w:t>/</w:t>
      </w:r>
      <w:r>
        <w:t>28</w:t>
      </w:r>
      <w:r w:rsidRPr="00E461F1">
        <w:t xml:space="preserve"> “Report”, paragraphs </w:t>
      </w:r>
      <w:r w:rsidR="00256D98">
        <w:t>50</w:t>
      </w:r>
      <w:r w:rsidRPr="00E461F1">
        <w:t xml:space="preserve"> </w:t>
      </w:r>
      <w:r w:rsidR="00256D98">
        <w:t>to 53</w:t>
      </w:r>
      <w:r>
        <w:t xml:space="preserve">, </w:t>
      </w:r>
      <w:r w:rsidRPr="00E461F1">
        <w:t>document TWV/4</w:t>
      </w:r>
      <w:r>
        <w:t>8</w:t>
      </w:r>
      <w:r w:rsidRPr="00E461F1">
        <w:t>/</w:t>
      </w:r>
      <w:r>
        <w:t>43</w:t>
      </w:r>
      <w:r w:rsidRPr="00E461F1">
        <w:t xml:space="preserve"> “Report”, paragraphs </w:t>
      </w:r>
      <w:r w:rsidR="00860745">
        <w:t>34</w:t>
      </w:r>
      <w:r w:rsidRPr="00E461F1">
        <w:t xml:space="preserve"> to </w:t>
      </w:r>
      <w:r w:rsidR="00860745">
        <w:t>37</w:t>
      </w:r>
      <w:r w:rsidRPr="00E461F1">
        <w:t xml:space="preserve"> and document</w:t>
      </w:r>
      <w:r w:rsidR="006A27B5">
        <w:t> </w:t>
      </w:r>
      <w:r w:rsidRPr="00E461F1">
        <w:t>TWA/4</w:t>
      </w:r>
      <w:r>
        <w:t>3</w:t>
      </w:r>
      <w:r w:rsidRPr="00E461F1">
        <w:t>/</w:t>
      </w:r>
      <w:r>
        <w:t>27</w:t>
      </w:r>
      <w:r w:rsidRPr="00E461F1">
        <w:t xml:space="preserve"> “Report”, paragraphs </w:t>
      </w:r>
      <w:r w:rsidR="00860745">
        <w:t>28</w:t>
      </w:r>
      <w:r w:rsidRPr="00E461F1">
        <w:t xml:space="preserve"> to </w:t>
      </w:r>
      <w:r w:rsidR="00860745">
        <w:t>3</w:t>
      </w:r>
      <w:r>
        <w:t>3</w:t>
      </w:r>
      <w:r w:rsidRPr="00E461F1">
        <w:t xml:space="preserve"> </w:t>
      </w:r>
      <w:r w:rsidRPr="00F00C80">
        <w:t>)</w:t>
      </w:r>
      <w:r w:rsidRPr="00AF2207">
        <w:rPr>
          <w:snapToGrid w:val="0"/>
        </w:rPr>
        <w:t>.</w:t>
      </w:r>
    </w:p>
    <w:p w:rsidR="000F51AB" w:rsidRDefault="000F51AB" w:rsidP="00704EB7"/>
    <w:p w:rsidR="000F51AB" w:rsidRDefault="000F51AB" w:rsidP="000F51AB">
      <w:r>
        <w:fldChar w:fldCharType="begin"/>
      </w:r>
      <w:r>
        <w:instrText xml:space="preserve"> AUTONUM  </w:instrText>
      </w:r>
      <w:r>
        <w:fldChar w:fldCharType="end"/>
      </w:r>
      <w:r>
        <w:tab/>
        <w:t xml:space="preserve">The TWO noted that the TWF had requested an expert from New Zealand to report at its session in 2014, on the previous work done on harmonized variety description for apple for an agreed set of varieties, as set out in document TWO/47/15, paragraph </w:t>
      </w:r>
      <w:bookmarkStart w:id="8" w:name="_GoBack"/>
      <w:bookmarkEnd w:id="8"/>
      <w:r>
        <w:t>18</w:t>
      </w:r>
      <w:r w:rsidR="006622E4">
        <w:t xml:space="preserve"> </w:t>
      </w:r>
      <w:r w:rsidR="006622E4" w:rsidRPr="00F00C80">
        <w:t>(see document TWO/4</w:t>
      </w:r>
      <w:r w:rsidR="006622E4">
        <w:t>7</w:t>
      </w:r>
      <w:r w:rsidR="006622E4" w:rsidRPr="00F00C80">
        <w:t>/2</w:t>
      </w:r>
      <w:r w:rsidR="006622E4">
        <w:t>8 “Report”, paragraph 40)</w:t>
      </w:r>
      <w:r>
        <w:t>.</w:t>
      </w:r>
    </w:p>
    <w:p w:rsidR="00D46830" w:rsidRDefault="000F51AB" w:rsidP="000F51AB">
      <w:r>
        <w:lastRenderedPageBreak/>
        <w:fldChar w:fldCharType="begin"/>
      </w:r>
      <w:r>
        <w:instrText xml:space="preserve"> AUTONUM  </w:instrText>
      </w:r>
      <w:r>
        <w:fldChar w:fldCharType="end"/>
      </w:r>
      <w:r w:rsidR="00256D98">
        <w:tab/>
        <w:t>The TWO, TWF</w:t>
      </w:r>
      <w:r w:rsidR="00860745">
        <w:t xml:space="preserve">, </w:t>
      </w:r>
      <w:r w:rsidR="00256D98">
        <w:t>TWC</w:t>
      </w:r>
      <w:r w:rsidR="00D46830">
        <w:t xml:space="preserve">, </w:t>
      </w:r>
      <w:r w:rsidR="00860745">
        <w:t>TWV</w:t>
      </w:r>
      <w:r w:rsidR="00D46830">
        <w:t xml:space="preserve"> and TWA</w:t>
      </w:r>
      <w:r w:rsidR="00256D98">
        <w:t xml:space="preserve"> </w:t>
      </w:r>
      <w:r>
        <w:t xml:space="preserve">agreed that the draft guidance </w:t>
      </w:r>
      <w:r w:rsidR="00256D98">
        <w:t>presented at the</w:t>
      </w:r>
      <w:r w:rsidR="009656B4">
        <w:t>ir sessions i</w:t>
      </w:r>
      <w:r>
        <w:t xml:space="preserve">n the Annex to </w:t>
      </w:r>
      <w:r w:rsidR="009656B4" w:rsidRPr="00AF2207">
        <w:rPr>
          <w:snapToGrid w:val="0"/>
        </w:rPr>
        <w:t>document</w:t>
      </w:r>
      <w:r w:rsidR="009656B4">
        <w:rPr>
          <w:snapToGrid w:val="0"/>
        </w:rPr>
        <w:t>s</w:t>
      </w:r>
      <w:r w:rsidR="009656B4" w:rsidRPr="00AF2207">
        <w:rPr>
          <w:snapToGrid w:val="0"/>
        </w:rPr>
        <w:t xml:space="preserve"> TWO/47/1</w:t>
      </w:r>
      <w:r w:rsidR="009656B4">
        <w:rPr>
          <w:snapToGrid w:val="0"/>
        </w:rPr>
        <w:t>5,</w:t>
      </w:r>
      <w:r w:rsidR="009656B4" w:rsidRPr="00A628A7">
        <w:t xml:space="preserve"> </w:t>
      </w:r>
      <w:r w:rsidR="009656B4" w:rsidRPr="00653DEB">
        <w:t>TWF/45/1</w:t>
      </w:r>
      <w:r w:rsidR="009656B4">
        <w:t>5,</w:t>
      </w:r>
      <w:r w:rsidR="009656B4" w:rsidRPr="00A628A7">
        <w:rPr>
          <w:snapToGrid w:val="0"/>
        </w:rPr>
        <w:t xml:space="preserve"> </w:t>
      </w:r>
      <w:r w:rsidR="009656B4" w:rsidRPr="00BD5B6E">
        <w:rPr>
          <w:snapToGrid w:val="0"/>
        </w:rPr>
        <w:t>TWC/32/1</w:t>
      </w:r>
      <w:r w:rsidR="009656B4">
        <w:rPr>
          <w:snapToGrid w:val="0"/>
        </w:rPr>
        <w:t xml:space="preserve">5, </w:t>
      </w:r>
      <w:r w:rsidR="009656B4" w:rsidRPr="00142558">
        <w:t>TWV/48/1</w:t>
      </w:r>
      <w:r w:rsidR="009656B4">
        <w:t xml:space="preserve">5 and </w:t>
      </w:r>
      <w:r w:rsidR="009656B4" w:rsidRPr="007D0BAC">
        <w:t>TWA/43/1</w:t>
      </w:r>
      <w:r w:rsidR="009656B4">
        <w:t xml:space="preserve">5, respectively, </w:t>
      </w:r>
      <w:r>
        <w:t>should continue to be developed for inclusion in a future revision of document TGP/8 on minimizing the variation due to different observers, including guidance on PQ and QN/MG characteristics, in conjunction with the points raised by the expert from Australia in document</w:t>
      </w:r>
      <w:r w:rsidR="0065191D">
        <w:t>s</w:t>
      </w:r>
      <w:r w:rsidRPr="008D4F25">
        <w:t xml:space="preserve"> </w:t>
      </w:r>
      <w:r>
        <w:t xml:space="preserve">TWO/47/15, </w:t>
      </w:r>
      <w:r w:rsidR="0065191D" w:rsidRPr="00653DEB">
        <w:t>TWF/45/1</w:t>
      </w:r>
      <w:r w:rsidR="0065191D">
        <w:t>5,</w:t>
      </w:r>
      <w:r w:rsidR="0065191D" w:rsidRPr="00A628A7">
        <w:rPr>
          <w:snapToGrid w:val="0"/>
        </w:rPr>
        <w:t xml:space="preserve"> </w:t>
      </w:r>
      <w:r w:rsidR="0065191D" w:rsidRPr="00BD5B6E">
        <w:rPr>
          <w:snapToGrid w:val="0"/>
        </w:rPr>
        <w:t>TWC/32/1</w:t>
      </w:r>
      <w:r w:rsidR="0065191D">
        <w:rPr>
          <w:snapToGrid w:val="0"/>
        </w:rPr>
        <w:t xml:space="preserve">5, </w:t>
      </w:r>
      <w:r w:rsidR="0065191D" w:rsidRPr="00142558">
        <w:t>TWV/48/1</w:t>
      </w:r>
      <w:r w:rsidR="0065191D">
        <w:t xml:space="preserve">5 </w:t>
      </w:r>
      <w:r>
        <w:t>and reproduced in paragraph 21 of this document</w:t>
      </w:r>
      <w:r w:rsidR="00D46830">
        <w:t xml:space="preserve"> </w:t>
      </w:r>
      <w:r w:rsidR="00D46830" w:rsidRPr="00F00C80">
        <w:t>(see document</w:t>
      </w:r>
      <w:r w:rsidR="00D46830">
        <w:t>s</w:t>
      </w:r>
      <w:r w:rsidR="00D46830" w:rsidRPr="00F00C80">
        <w:t xml:space="preserve"> TWO/4</w:t>
      </w:r>
      <w:r w:rsidR="00D46830">
        <w:t>7</w:t>
      </w:r>
      <w:r w:rsidR="00D46830" w:rsidRPr="00F00C80">
        <w:t>/2</w:t>
      </w:r>
      <w:r w:rsidR="00D46830">
        <w:t>8</w:t>
      </w:r>
      <w:r w:rsidR="00D46830" w:rsidRPr="00F00C80">
        <w:t xml:space="preserve"> “Report”, paragraph</w:t>
      </w:r>
      <w:r w:rsidR="00D46830">
        <w:t xml:space="preserve"> 41, </w:t>
      </w:r>
      <w:r w:rsidR="00D46830" w:rsidRPr="00E461F1">
        <w:t>TWF/4</w:t>
      </w:r>
      <w:r w:rsidR="00D46830">
        <w:t>5</w:t>
      </w:r>
      <w:r w:rsidR="00D46830" w:rsidRPr="00E461F1">
        <w:t>/3</w:t>
      </w:r>
      <w:r w:rsidR="00D46830">
        <w:t>2</w:t>
      </w:r>
      <w:r w:rsidR="00D46830" w:rsidRPr="00E461F1">
        <w:t xml:space="preserve"> “Report”, paragraph</w:t>
      </w:r>
      <w:r w:rsidR="00D46830">
        <w:t xml:space="preserve"> 27,  </w:t>
      </w:r>
      <w:r w:rsidR="00D46830" w:rsidRPr="00E461F1">
        <w:t>TWC/3</w:t>
      </w:r>
      <w:r w:rsidR="00D46830">
        <w:t>2</w:t>
      </w:r>
      <w:r w:rsidR="00D46830" w:rsidRPr="00E461F1">
        <w:t>/</w:t>
      </w:r>
      <w:r w:rsidR="00D46830">
        <w:t>28</w:t>
      </w:r>
      <w:r w:rsidR="00D46830" w:rsidRPr="00E461F1">
        <w:t xml:space="preserve"> “Report”, paragraph</w:t>
      </w:r>
      <w:r w:rsidR="00D46830">
        <w:t xml:space="preserve"> 52, </w:t>
      </w:r>
      <w:r w:rsidR="00D46830" w:rsidRPr="00E461F1">
        <w:t>TWV/4</w:t>
      </w:r>
      <w:r w:rsidR="00D46830">
        <w:t>8</w:t>
      </w:r>
      <w:r w:rsidR="00D46830" w:rsidRPr="00E461F1">
        <w:t>/</w:t>
      </w:r>
      <w:r w:rsidR="00D46830">
        <w:t>43</w:t>
      </w:r>
      <w:r w:rsidR="00D46830" w:rsidRPr="00E461F1">
        <w:t xml:space="preserve"> “Report”, paragraph</w:t>
      </w:r>
      <w:r w:rsidR="00D46830">
        <w:t xml:space="preserve"> 34 and </w:t>
      </w:r>
      <w:r w:rsidR="00D46830" w:rsidRPr="00E461F1">
        <w:t>TWA/4</w:t>
      </w:r>
      <w:r w:rsidR="00D46830">
        <w:t>3</w:t>
      </w:r>
      <w:r w:rsidR="00D46830" w:rsidRPr="00E461F1">
        <w:t>/</w:t>
      </w:r>
      <w:r w:rsidR="00D46830">
        <w:t>27</w:t>
      </w:r>
      <w:r w:rsidR="00D46830" w:rsidRPr="00E461F1">
        <w:t xml:space="preserve"> “Report”, paragraph</w:t>
      </w:r>
      <w:r w:rsidR="00D46830">
        <w:t>s 30)</w:t>
      </w:r>
      <w:r>
        <w:t xml:space="preserve">.  </w:t>
      </w:r>
    </w:p>
    <w:p w:rsidR="00D46830" w:rsidRDefault="00D46830" w:rsidP="000F51AB"/>
    <w:p w:rsidR="000F51AB" w:rsidRDefault="00D46830" w:rsidP="000F51AB">
      <w:r w:rsidRPr="00653DEB">
        <w:fldChar w:fldCharType="begin"/>
      </w:r>
      <w:r w:rsidRPr="00653DEB">
        <w:instrText xml:space="preserve"> AUTONUM  </w:instrText>
      </w:r>
      <w:r w:rsidRPr="00653DEB">
        <w:fldChar w:fldCharType="end"/>
      </w:r>
      <w:r w:rsidRPr="00653DEB">
        <w:tab/>
      </w:r>
      <w:r w:rsidR="000F51AB">
        <w:t xml:space="preserve">The TWO </w:t>
      </w:r>
      <w:r>
        <w:t xml:space="preserve">and the TWA </w:t>
      </w:r>
      <w:r w:rsidR="000F51AB">
        <w:t xml:space="preserve">agreed that the document should </w:t>
      </w:r>
      <w:r w:rsidR="000F51AB" w:rsidRPr="00201794">
        <w:t>focus on variation between observers at the authority level and not on minimizing observer variation between authorities</w:t>
      </w:r>
      <w:r>
        <w:t xml:space="preserve"> </w:t>
      </w:r>
      <w:r w:rsidRPr="00F00C80">
        <w:t>(see document</w:t>
      </w:r>
      <w:r>
        <w:t>s</w:t>
      </w:r>
      <w:r w:rsidRPr="00F00C80">
        <w:t xml:space="preserve"> TWO/4</w:t>
      </w:r>
      <w:r>
        <w:t>7</w:t>
      </w:r>
      <w:r w:rsidRPr="00F00C80">
        <w:t>/2</w:t>
      </w:r>
      <w:r>
        <w:t>8</w:t>
      </w:r>
      <w:r w:rsidRPr="00F00C80">
        <w:t xml:space="preserve"> “Report”, paragraph</w:t>
      </w:r>
      <w:r>
        <w:t xml:space="preserve"> 41 and </w:t>
      </w:r>
      <w:r w:rsidRPr="00E461F1">
        <w:t>TWA/4</w:t>
      </w:r>
      <w:r>
        <w:t>3</w:t>
      </w:r>
      <w:r w:rsidRPr="00E461F1">
        <w:t>/</w:t>
      </w:r>
      <w:r>
        <w:t>27</w:t>
      </w:r>
      <w:r w:rsidRPr="00E461F1">
        <w:t xml:space="preserve"> “Report”, paragraph</w:t>
      </w:r>
      <w:r>
        <w:t xml:space="preserve"> 31)</w:t>
      </w:r>
      <w:r w:rsidR="000F51AB" w:rsidRPr="00201794">
        <w:t>.</w:t>
      </w:r>
      <w:r w:rsidR="000F51AB">
        <w:t xml:space="preserve"> </w:t>
      </w:r>
    </w:p>
    <w:p w:rsidR="000F51AB" w:rsidRDefault="000F51AB" w:rsidP="00704EB7"/>
    <w:p w:rsidR="000F51AB" w:rsidRPr="00653DEB" w:rsidRDefault="000F51AB" w:rsidP="000F51AB">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w:t>
      </w:r>
      <w:r>
        <w:t>s</w:t>
      </w:r>
      <w:r w:rsidRPr="00653DEB">
        <w:t xml:space="preserve"> for apple for an agreed set of varieties, as reproduced in document TWF/45/28</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28)</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t>ed</w:t>
      </w:r>
      <w:r w:rsidRPr="00653DEB">
        <w:t xml:space="preserve">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30)</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 xml:space="preserve">The TWF </w:t>
      </w:r>
      <w:r w:rsidR="00860745">
        <w:t xml:space="preserve">and the TWV </w:t>
      </w:r>
      <w:r w:rsidRPr="00653DEB">
        <w:t>noted the importance of the quality of the Test Guidelines in providing clear guidance for DUS examiners and in ensuring the consistency of observations</w:t>
      </w:r>
      <w:r w:rsidR="00860745">
        <w:t xml:space="preserve"> </w:t>
      </w:r>
      <w:r w:rsidR="00860745" w:rsidRPr="00142558">
        <w:t>between observers within each authority</w:t>
      </w:r>
      <w:r w:rsidRPr="00653DEB">
        <w:t>, and the importance of the continuous training of examiners</w:t>
      </w:r>
      <w:r w:rsidR="006622E4">
        <w:t xml:space="preserve"> (see </w:t>
      </w:r>
      <w:r w:rsidR="006622E4" w:rsidRPr="00E461F1">
        <w:t>document</w:t>
      </w:r>
      <w:r w:rsidR="006622E4">
        <w:t>s</w:t>
      </w:r>
      <w:r w:rsidR="006622E4" w:rsidRPr="00E461F1">
        <w:t xml:space="preserve"> TWF/4</w:t>
      </w:r>
      <w:r w:rsidR="006622E4">
        <w:t>5</w:t>
      </w:r>
      <w:r w:rsidR="006622E4" w:rsidRPr="00E461F1">
        <w:t>/3</w:t>
      </w:r>
      <w:r w:rsidR="006622E4">
        <w:t>2</w:t>
      </w:r>
      <w:r w:rsidR="006622E4" w:rsidRPr="00E461F1">
        <w:t xml:space="preserve"> “Report”, paragraph</w:t>
      </w:r>
      <w:r w:rsidR="006622E4">
        <w:t xml:space="preserve"> 31 and </w:t>
      </w:r>
      <w:r w:rsidR="002D5B74" w:rsidRPr="00E461F1">
        <w:t>TWV/4</w:t>
      </w:r>
      <w:r w:rsidR="002D5B74">
        <w:t>8</w:t>
      </w:r>
      <w:r w:rsidR="002D5B74" w:rsidRPr="00E461F1">
        <w:t>/</w:t>
      </w:r>
      <w:r w:rsidR="002D5B74">
        <w:t>43</w:t>
      </w:r>
      <w:r w:rsidR="006622E4" w:rsidRPr="00F00C80">
        <w:t xml:space="preserve"> “Report”, paragraph</w:t>
      </w:r>
      <w:r w:rsidR="006622E4">
        <w:t xml:space="preserve"> </w:t>
      </w:r>
      <w:r w:rsidR="002D5B74">
        <w:t>35</w:t>
      </w:r>
      <w:r w:rsidR="006622E4">
        <w:t>)</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invited the expert from Australia to report</w:t>
      </w:r>
      <w:r w:rsidR="000E5320">
        <w:t>,</w:t>
      </w:r>
      <w:r w:rsidRPr="00653DEB">
        <w:t xml:space="preserve"> at its forty-sixth session, on the effect of location, observer and year on the conformity of a characteristic for a specific crop</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32)</w:t>
      </w:r>
      <w:r w:rsidRPr="00653DEB">
        <w:t>.</w:t>
      </w:r>
    </w:p>
    <w:p w:rsidR="000F51AB" w:rsidRDefault="000F51AB" w:rsidP="00704EB7"/>
    <w:p w:rsidR="00256D98" w:rsidRPr="00BD5B6E" w:rsidRDefault="00256D98" w:rsidP="00256D98">
      <w:r w:rsidRPr="00BD5B6E">
        <w:fldChar w:fldCharType="begin"/>
      </w:r>
      <w:r w:rsidRPr="00BD5B6E">
        <w:instrText xml:space="preserve"> AUTONUM  </w:instrText>
      </w:r>
      <w:r w:rsidRPr="00BD5B6E">
        <w:fldChar w:fldCharType="end"/>
      </w:r>
      <w:r w:rsidRPr="00BD5B6E">
        <w:tab/>
        <w:t xml:space="preserve">The TWC noted that the expert from New Zealand </w:t>
      </w:r>
      <w:r>
        <w:t xml:space="preserve">had </w:t>
      </w:r>
      <w:r w:rsidRPr="00BD5B6E">
        <w:t>reported at the forty</w:t>
      </w:r>
      <w:r>
        <w:t>-</w:t>
      </w:r>
      <w:r w:rsidRPr="00BD5B6E">
        <w:t xml:space="preserve">fifth session of the TWF on the previous work done on harmonized variety description for apple for an agreed set of </w:t>
      </w:r>
      <w:r w:rsidR="002D5B74" w:rsidRPr="00BD5B6E">
        <w:t>varieties</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51).</w:t>
      </w:r>
    </w:p>
    <w:p w:rsidR="00256D98" w:rsidRPr="00BD5B6E" w:rsidRDefault="00256D98" w:rsidP="00256D98"/>
    <w:p w:rsidR="00256D98" w:rsidRPr="00BD5B6E" w:rsidRDefault="00256D98" w:rsidP="00256D98">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53)</w:t>
      </w:r>
      <w:r w:rsidRPr="00BD5B6E">
        <w:t>.</w:t>
      </w:r>
    </w:p>
    <w:p w:rsidR="00256D98" w:rsidRDefault="00256D98" w:rsidP="00704EB7"/>
    <w:p w:rsidR="00860745" w:rsidRPr="00142558" w:rsidRDefault="00860745" w:rsidP="00661531">
      <w:r w:rsidRPr="00142558">
        <w:fldChar w:fldCharType="begin"/>
      </w:r>
      <w:r w:rsidRPr="00142558">
        <w:instrText xml:space="preserve"> AUTONUM  </w:instrText>
      </w:r>
      <w:r w:rsidRPr="00142558">
        <w:fldChar w:fldCharType="end"/>
      </w:r>
      <w:r w:rsidRPr="00142558">
        <w:tab/>
        <w:t>The TWV suggested the inclusion of a t</w:t>
      </w:r>
      <w:r w:rsidR="000E5320">
        <w:t>raining exercise in a DUS trial</w:t>
      </w:r>
      <w:r w:rsidRPr="00142558">
        <w:t xml:space="preserve"> as a basis to share experiences in the field and to enhance the use of the TWV for training</w:t>
      </w:r>
      <w:r w:rsidR="002D5B74">
        <w:t xml:space="preserve"> (see document </w:t>
      </w:r>
      <w:r w:rsidR="002D5B74" w:rsidRPr="00E461F1">
        <w:t>TWV/4</w:t>
      </w:r>
      <w:r w:rsidR="002D5B74">
        <w:t>8</w:t>
      </w:r>
      <w:r w:rsidR="002D5B74" w:rsidRPr="00E461F1">
        <w:t>/</w:t>
      </w:r>
      <w:r w:rsidR="002D5B74">
        <w:t>43</w:t>
      </w:r>
      <w:r w:rsidR="002D5B74" w:rsidRPr="00F00C80">
        <w:t xml:space="preserve"> “Report”, paragraph</w:t>
      </w:r>
      <w:r w:rsidR="0065191D">
        <w:t> </w:t>
      </w:r>
      <w:r w:rsidR="002D5B74">
        <w:t>36)</w:t>
      </w:r>
      <w:r w:rsidRPr="00142558">
        <w:t>.</w:t>
      </w:r>
    </w:p>
    <w:p w:rsidR="00860745" w:rsidRPr="00142558" w:rsidRDefault="00860745" w:rsidP="00661531"/>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that an expert from New Zealand had made a presentation at the forty-fifth session of the TWF on the previous work done on harmonized variety descriptions for apple for an agreed set of varieties, as presented in TWF/45/28 “H</w:t>
      </w:r>
      <w:r w:rsidRPr="007D0BAC">
        <w:rPr>
          <w:color w:val="000000"/>
        </w:rPr>
        <w:t>armonized example varieties for Apple: historical data and possible new developments”</w:t>
      </w:r>
      <w:r w:rsidR="0027182F">
        <w:rPr>
          <w:color w:val="000000"/>
        </w:rPr>
        <w:t xml:space="preserve"> (see </w:t>
      </w:r>
      <w:r w:rsidR="0027182F" w:rsidRPr="00E461F1">
        <w:t>document TWA/4</w:t>
      </w:r>
      <w:r w:rsidR="0027182F">
        <w:t>3</w:t>
      </w:r>
      <w:r w:rsidR="0027182F" w:rsidRPr="00E461F1">
        <w:t>/</w:t>
      </w:r>
      <w:r w:rsidR="0027182F">
        <w:t>27</w:t>
      </w:r>
      <w:r w:rsidR="0027182F" w:rsidRPr="00E461F1">
        <w:t xml:space="preserve"> “Report”, paragraph</w:t>
      </w:r>
      <w:r w:rsidR="0027182F">
        <w:t xml:space="preserve"> 29)</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the importance of the quality of the Test Guidelines for providing clear guidance for DUS examiners and for ensuring consistency of observations, and the importance of the continuous training of examiners. The TWA agreed</w:t>
      </w:r>
      <w:r>
        <w:t xml:space="preserve"> to </w:t>
      </w:r>
      <w:r w:rsidR="008C63A0">
        <w:t>propose a</w:t>
      </w:r>
      <w:r>
        <w:t xml:space="preserve"> general recommendation that</w:t>
      </w:r>
      <w:r w:rsidR="008C63A0">
        <w:t>,</w:t>
      </w:r>
      <w:r>
        <w:t xml:space="preserve"> if possible</w:t>
      </w:r>
      <w:r w:rsidR="008C63A0">
        <w:t>,</w:t>
      </w:r>
      <w:r w:rsidRPr="007D0BAC">
        <w:t xml:space="preserve"> one observer should be used per trial to avoid variation in observations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32)</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The TWA agreed that QN/MG characteristics could be dealt with in a similar way to QN/MS and noted that the possible effect of random within-plot variation should also be considered.  The TWA agreed that differences between observers on PQ characteristics could be tested using non-parametric methods, such as frequency of deviations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33)</w:t>
      </w:r>
      <w:r w:rsidRPr="007D0BAC">
        <w:t>.</w:t>
      </w:r>
    </w:p>
    <w:p w:rsidR="000F51AB" w:rsidRDefault="000F51AB" w:rsidP="00704EB7"/>
    <w:p w:rsidR="000F51AB" w:rsidRDefault="00903BA9" w:rsidP="00903BA9">
      <w:r w:rsidRPr="007D0BAC">
        <w:fldChar w:fldCharType="begin"/>
      </w:r>
      <w:r w:rsidRPr="007D0BAC">
        <w:instrText xml:space="preserve"> AUTONUM  </w:instrText>
      </w:r>
      <w:r w:rsidRPr="007D0BAC">
        <w:fldChar w:fldCharType="end"/>
      </w:r>
      <w:r w:rsidRPr="007D0BAC">
        <w:tab/>
      </w:r>
      <w:r w:rsidR="00266A50" w:rsidRPr="00A260DE">
        <w:t>In response to</w:t>
      </w:r>
      <w:r w:rsidR="00266A50">
        <w:t xml:space="preserve"> </w:t>
      </w:r>
      <w:r>
        <w:t xml:space="preserve">the comments </w:t>
      </w:r>
      <w:r w:rsidR="00266A50">
        <w:t xml:space="preserve">made by </w:t>
      </w:r>
      <w:r>
        <w:t xml:space="preserve">the TWPs at their sessions in 2015, </w:t>
      </w:r>
      <w:r w:rsidRPr="00903BA9">
        <w:t xml:space="preserve">Mr. Nik Hulse (Australia), </w:t>
      </w:r>
      <w:r w:rsidR="000E5320">
        <w:t>prepared</w:t>
      </w:r>
      <w:r>
        <w:t xml:space="preserve"> a new</w:t>
      </w:r>
      <w:r w:rsidRPr="00903BA9">
        <w:t xml:space="preserve"> draft</w:t>
      </w:r>
      <w:r w:rsidR="000E5320">
        <w:t xml:space="preserve"> of</w:t>
      </w:r>
      <w:r w:rsidRPr="00903BA9">
        <w:t xml:space="preserve"> guidance to be included in TGP/8 Part I</w:t>
      </w:r>
      <w:proofErr w:type="gramStart"/>
      <w:r w:rsidRPr="00903BA9">
        <w:t>:DUS</w:t>
      </w:r>
      <w:proofErr w:type="gramEnd"/>
      <w:r w:rsidRPr="00903BA9">
        <w:t xml:space="preserve"> Trial and Design and Data Analysis, </w:t>
      </w:r>
      <w:r w:rsidRPr="00903BA9">
        <w:lastRenderedPageBreak/>
        <w:t>New Section: Minimizing the Varia</w:t>
      </w:r>
      <w:r w:rsidR="000E5320">
        <w:t>tion due to Different Observers</w:t>
      </w:r>
      <w:r w:rsidRPr="00903BA9">
        <w:t>,</w:t>
      </w:r>
      <w:r>
        <w:t xml:space="preserve"> as reproduced in </w:t>
      </w:r>
      <w:r w:rsidR="000E5320">
        <w:t xml:space="preserve">the </w:t>
      </w:r>
      <w:r>
        <w:t>Annex to this document,</w:t>
      </w:r>
      <w:r w:rsidRPr="00903BA9">
        <w:t xml:space="preserve"> for</w:t>
      </w:r>
      <w:r>
        <w:t xml:space="preserve"> </w:t>
      </w:r>
      <w:r w:rsidRPr="00903BA9">
        <w:t>consideration by the TWPs at their sessions in 201</w:t>
      </w:r>
      <w:r>
        <w:t>5</w:t>
      </w:r>
      <w:r w:rsidRPr="00903BA9">
        <w:t>.</w:t>
      </w:r>
    </w:p>
    <w:p w:rsidR="00903BA9" w:rsidRPr="004717F7" w:rsidRDefault="00903BA9" w:rsidP="00903BA9"/>
    <w:p w:rsidR="000E5320" w:rsidRDefault="0013508D" w:rsidP="000E532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327134">
        <w:rPr>
          <w:i/>
        </w:rPr>
        <w:tab/>
        <w:t>The TC</w:t>
      </w:r>
      <w:r w:rsidRPr="00330930">
        <w:rPr>
          <w:i/>
        </w:rPr>
        <w:t xml:space="preserve"> invited to</w:t>
      </w:r>
      <w:r w:rsidR="000E5320">
        <w:rPr>
          <w:i/>
        </w:rPr>
        <w:t>:</w:t>
      </w:r>
    </w:p>
    <w:p w:rsidR="000E5320" w:rsidRDefault="000E5320" w:rsidP="000E5320">
      <w:pPr>
        <w:tabs>
          <w:tab w:val="left" w:pos="5529"/>
        </w:tabs>
        <w:ind w:left="4820"/>
        <w:rPr>
          <w:i/>
        </w:rPr>
      </w:pPr>
    </w:p>
    <w:p w:rsidR="000E5320" w:rsidRDefault="000E5320" w:rsidP="000E5320">
      <w:pPr>
        <w:tabs>
          <w:tab w:val="left" w:pos="5529"/>
        </w:tabs>
        <w:ind w:left="4820"/>
        <w:rPr>
          <w:i/>
        </w:rPr>
      </w:pPr>
      <w:r>
        <w:rPr>
          <w:i/>
        </w:rPr>
        <w:tab/>
        <w:t>(a)</w:t>
      </w:r>
      <w:r>
        <w:rPr>
          <w:i/>
        </w:rPr>
        <w:tab/>
      </w:r>
      <w:r w:rsidR="00327134" w:rsidRPr="00327134">
        <w:rPr>
          <w:i/>
        </w:rPr>
        <w:t xml:space="preserve">consider the draft guidance for </w:t>
      </w:r>
      <w:r>
        <w:rPr>
          <w:i/>
        </w:rPr>
        <w:t xml:space="preserve">inclusion in </w:t>
      </w:r>
      <w:r w:rsidR="00327134" w:rsidRPr="00327134">
        <w:rPr>
          <w:i/>
        </w:rPr>
        <w:t>document TGP/8 on minimizing the variation due to different observers, as reproduced in Annex to this document</w:t>
      </w:r>
      <w:r>
        <w:rPr>
          <w:i/>
        </w:rPr>
        <w:t>,</w:t>
      </w:r>
      <w:r w:rsidR="00327134" w:rsidRPr="00327134">
        <w:rPr>
          <w:i/>
        </w:rPr>
        <w:t xml:space="preserve"> </w:t>
      </w:r>
      <w:r>
        <w:rPr>
          <w:i/>
        </w:rPr>
        <w:t>in conjunction with the comments of the TWPs at their sessions in 2014; and</w:t>
      </w:r>
    </w:p>
    <w:p w:rsidR="000E5320" w:rsidRDefault="000E5320" w:rsidP="000E5320">
      <w:pPr>
        <w:tabs>
          <w:tab w:val="left" w:pos="5529"/>
        </w:tabs>
        <w:ind w:left="4820"/>
        <w:rPr>
          <w:i/>
        </w:rPr>
      </w:pPr>
    </w:p>
    <w:p w:rsidR="0013508D" w:rsidRPr="00327134" w:rsidRDefault="000E5320" w:rsidP="000E5320">
      <w:pPr>
        <w:tabs>
          <w:tab w:val="left" w:pos="5529"/>
        </w:tabs>
        <w:ind w:left="4820"/>
        <w:rPr>
          <w:i/>
        </w:rPr>
      </w:pPr>
      <w:r>
        <w:rPr>
          <w:i/>
        </w:rPr>
        <w:tab/>
        <w:t>(b)</w:t>
      </w:r>
      <w:r>
        <w:rPr>
          <w:i/>
        </w:rPr>
        <w:tab/>
        <w:t xml:space="preserve">request </w:t>
      </w:r>
      <w:r w:rsidR="00327134" w:rsidRPr="00327134">
        <w:rPr>
          <w:i/>
          <w:iCs/>
        </w:rPr>
        <w:t>the TWPs</w:t>
      </w:r>
      <w:r>
        <w:rPr>
          <w:i/>
          <w:iCs/>
        </w:rPr>
        <w:t xml:space="preserve"> to consider a new draft, incorporating any amendments agreed by the TC at its fifty-first session,</w:t>
      </w:r>
      <w:r w:rsidR="00327134" w:rsidRPr="00327134">
        <w:rPr>
          <w:i/>
          <w:iCs/>
        </w:rPr>
        <w:t xml:space="preserve"> at their sessions in 2015</w:t>
      </w:r>
      <w:r w:rsidR="0013508D" w:rsidRPr="00327134">
        <w:rPr>
          <w:i/>
        </w:rPr>
        <w:t>.</w:t>
      </w:r>
    </w:p>
    <w:p w:rsidR="00704EB7" w:rsidRDefault="00704EB7" w:rsidP="00704EB7"/>
    <w:p w:rsidR="000E5320" w:rsidRPr="004717F7" w:rsidRDefault="000E5320"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718E2">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35619" w:rsidRDefault="00435619" w:rsidP="004D10CC">
      <w:pPr>
        <w:jc w:val="center"/>
        <w:rPr>
          <w:rFonts w:cs="Arial"/>
          <w:lang w:val="en-GB"/>
        </w:rPr>
      </w:pPr>
    </w:p>
    <w:p w:rsidR="004D10CC" w:rsidRDefault="004D10CC" w:rsidP="004D10CC">
      <w:pPr>
        <w:jc w:val="center"/>
        <w:rPr>
          <w:rFonts w:cs="Arial"/>
          <w:lang w:val="en-GB"/>
        </w:rPr>
      </w:pPr>
    </w:p>
    <w:p w:rsidR="004857AD" w:rsidRPr="00AB62C5" w:rsidRDefault="004857AD" w:rsidP="004857AD">
      <w:pPr>
        <w:rPr>
          <w:rFonts w:cs="Arial"/>
          <w:u w:val="single"/>
        </w:rPr>
      </w:pPr>
      <w:r w:rsidRPr="00AB62C5">
        <w:rPr>
          <w:rFonts w:cs="Arial"/>
          <w:u w:val="single"/>
        </w:rPr>
        <w:t>1. Introduction</w:t>
      </w:r>
    </w:p>
    <w:p w:rsidR="004857AD" w:rsidRPr="00AB62C5" w:rsidRDefault="004857AD" w:rsidP="004857AD">
      <w:pPr>
        <w:rPr>
          <w:rFonts w:cs="Arial"/>
          <w:u w:val="single"/>
        </w:rPr>
      </w:pPr>
    </w:p>
    <w:p w:rsidR="004857AD" w:rsidRPr="00AB62C5" w:rsidRDefault="004857AD" w:rsidP="004857AD">
      <w:pPr>
        <w:rPr>
          <w:rFonts w:cs="Arial"/>
        </w:rPr>
      </w:pPr>
      <w:r w:rsidRPr="00AB62C5">
        <w:rPr>
          <w:rFonts w:cs="Arial"/>
        </w:rPr>
        <w:t>This document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Colour chart, the lighting conditions and so on. These aspects are not covered in this document.</w:t>
      </w:r>
    </w:p>
    <w:p w:rsidR="004857AD" w:rsidRPr="00AB62C5" w:rsidRDefault="004857AD" w:rsidP="004857AD">
      <w:pPr>
        <w:spacing w:before="120" w:after="120"/>
        <w:rPr>
          <w:rFonts w:cs="Arial"/>
        </w:rPr>
      </w:pPr>
      <w:r w:rsidRPr="00AB62C5">
        <w:rPr>
          <w:rFonts w:cs="Arial"/>
        </w:rPr>
        <w:t>1.1</w:t>
      </w:r>
      <w:r w:rsidRPr="00AB62C5">
        <w:rPr>
          <w:rFonts w:cs="Arial"/>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857AD" w:rsidRPr="00AB62C5" w:rsidRDefault="004857AD" w:rsidP="004857AD">
      <w:pPr>
        <w:spacing w:before="120" w:after="120"/>
        <w:rPr>
          <w:rFonts w:cs="Arial"/>
        </w:rPr>
      </w:pPr>
      <w:r w:rsidRPr="00AB62C5">
        <w:rPr>
          <w:rFonts w:cs="Arial"/>
        </w:rPr>
        <w:t>1.2</w:t>
      </w:r>
      <w:r w:rsidRPr="00AB62C5">
        <w:rPr>
          <w:rFonts w:cs="Arial"/>
        </w:rPr>
        <w:tab/>
        <w:t>It is recommended that, wherever possible, one observer should be used per trial to minimize variation in observations due to different observers.</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sidRPr="00AB62C5">
        <w:rPr>
          <w:rFonts w:cs="Arial"/>
          <w:u w:val="single"/>
        </w:rPr>
        <w:t>2. Training and importance of clear explanations of characteristics and method of observation</w:t>
      </w:r>
    </w:p>
    <w:p w:rsidR="004857AD" w:rsidRPr="00AB62C5" w:rsidRDefault="004857AD" w:rsidP="004857AD">
      <w:pPr>
        <w:spacing w:before="120" w:after="120"/>
        <w:rPr>
          <w:rFonts w:cs="Arial"/>
        </w:rPr>
      </w:pPr>
      <w:r w:rsidRPr="00AB62C5">
        <w:rPr>
          <w:rFonts w:cs="Arial"/>
        </w:rPr>
        <w:t>2.1</w:t>
      </w:r>
      <w:r w:rsidRPr="00AB62C5">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857AD" w:rsidRPr="00AB62C5" w:rsidRDefault="004857AD" w:rsidP="004857AD">
      <w:pPr>
        <w:spacing w:before="120" w:after="120"/>
        <w:rPr>
          <w:rFonts w:cs="Arial"/>
          <w:strike/>
        </w:rPr>
      </w:pPr>
      <w:r w:rsidRPr="00AB62C5">
        <w:rPr>
          <w:rFonts w:cs="Arial"/>
        </w:rPr>
        <w:t>2.2</w:t>
      </w:r>
      <w:r w:rsidRPr="00AB62C5">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AB62C5">
        <w:rPr>
          <w:rFonts w:cs="Arial"/>
        </w:rPr>
        <w:t>observed.</w:t>
      </w:r>
      <w:proofErr w:type="gramEnd"/>
      <w:r w:rsidRPr="00AB62C5">
        <w:rPr>
          <w:rFonts w:cs="Arial"/>
        </w:rPr>
        <w:t xml:space="preserve"> Furthermore they may contain pictures and drawings for each characteristic, often for every state of expression of a characteristic. </w:t>
      </w:r>
    </w:p>
    <w:p w:rsidR="004857AD" w:rsidRPr="00AB62C5" w:rsidRDefault="004857AD" w:rsidP="004857AD">
      <w:pPr>
        <w:spacing w:before="120" w:after="120"/>
        <w:jc w:val="left"/>
        <w:rPr>
          <w:rFonts w:cs="Arial"/>
        </w:rPr>
      </w:pPr>
      <w:r w:rsidRPr="00AB62C5">
        <w:rPr>
          <w:rFonts w:cs="Arial"/>
        </w:rPr>
        <w:t xml:space="preserve">2.4 The Glossary of Terms Used in UPOV Documents (TGP/14/2) provides useful guidance for clarifying many characteristics, in particular PQ characteristics.  </w:t>
      </w:r>
      <w:r w:rsidRPr="00AB62C5">
        <w:rPr>
          <w:rFonts w:cs="Arial"/>
        </w:rPr>
        <w:br/>
      </w:r>
    </w:p>
    <w:p w:rsidR="004857AD" w:rsidRPr="00AB62C5" w:rsidRDefault="004857AD" w:rsidP="004857AD">
      <w:pPr>
        <w:spacing w:before="120" w:after="120"/>
        <w:rPr>
          <w:rFonts w:cs="Arial"/>
        </w:rPr>
      </w:pPr>
      <w:r w:rsidRPr="00AB62C5">
        <w:rPr>
          <w:rFonts w:cs="Arial"/>
        </w:rPr>
        <w:t>2.3</w:t>
      </w:r>
      <w:r w:rsidRPr="00AB62C5">
        <w:rPr>
          <w:rFonts w:cs="Arial"/>
        </w:rPr>
        <w:tab/>
        <w:t>Once an observer is trained it is important to ensure frequent refresher training and recalibration.</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sidRPr="00AB62C5">
        <w:rPr>
          <w:rFonts w:cs="Arial"/>
          <w:u w:val="single"/>
        </w:rPr>
        <w:t>3. Testing the calibration</w:t>
      </w:r>
    </w:p>
    <w:p w:rsidR="004857AD" w:rsidRPr="00AB62C5" w:rsidRDefault="004857AD" w:rsidP="004857AD">
      <w:pPr>
        <w:spacing w:before="120" w:after="120"/>
        <w:rPr>
          <w:rFonts w:cs="Arial"/>
        </w:rPr>
      </w:pPr>
      <w:r w:rsidRPr="00AB62C5">
        <w:rPr>
          <w:rFonts w:cs="Arial"/>
        </w:rPr>
        <w:t>3.1</w:t>
      </w:r>
      <w:r w:rsidRPr="00AB62C5">
        <w:rPr>
          <w:rFonts w:cs="Arial"/>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4857AD" w:rsidRPr="00AB62C5" w:rsidRDefault="004857AD" w:rsidP="004857AD">
      <w:pPr>
        <w:spacing w:before="120" w:after="120"/>
        <w:rPr>
          <w:rFonts w:cs="Arial"/>
        </w:rPr>
      </w:pPr>
      <w:r w:rsidRPr="00AB62C5">
        <w:rPr>
          <w:rFonts w:cs="Arial"/>
        </w:rPr>
        <w:t>3.2</w:t>
      </w:r>
      <w:r w:rsidRPr="00AB62C5">
        <w:rPr>
          <w:rFonts w:cs="Arial"/>
        </w:rPr>
        <w:tab/>
        <w:t xml:space="preserve">A calibration experiment can be set up and analyzed in different ways. Generally it involves multiple observers, measuring the same set of material and assessing differences between the observers. </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sidRPr="00AB62C5">
        <w:rPr>
          <w:rFonts w:cs="Arial"/>
          <w:u w:val="single"/>
        </w:rPr>
        <w:t>4. Testing the calibration for QN/MG or QN/MS characteristics</w:t>
      </w:r>
    </w:p>
    <w:p w:rsidR="004857AD" w:rsidRPr="00AB62C5" w:rsidRDefault="004857AD" w:rsidP="004857AD">
      <w:pPr>
        <w:spacing w:before="120" w:after="120"/>
        <w:rPr>
          <w:rFonts w:cs="Arial"/>
        </w:rPr>
      </w:pPr>
      <w:r w:rsidRPr="00AB62C5">
        <w:rPr>
          <w:rFonts w:cs="Arial"/>
        </w:rPr>
        <w:t>4.1</w:t>
      </w:r>
      <w:r w:rsidRPr="00AB62C5">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w:t>
      </w:r>
      <w:r w:rsidRPr="00AB62C5">
        <w:rPr>
          <w:rFonts w:cs="Arial"/>
        </w:rPr>
        <w:lastRenderedPageBreak/>
        <w:t>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AB62C5">
        <w:rPr>
          <w:rFonts w:cs="Arial"/>
        </w:rPr>
        <w:t>mean(</w:t>
      </w:r>
      <w:proofErr w:type="gramEnd"/>
      <w:r w:rsidRPr="00AB62C5">
        <w:rPr>
          <w:rFonts w:cs="Arial"/>
        </w:rPr>
        <w:t xml:space="preserve">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857AD" w:rsidRPr="00AB62C5" w:rsidRDefault="004857AD" w:rsidP="004857AD">
      <w:pPr>
        <w:spacing w:before="120" w:after="120"/>
        <w:rPr>
          <w:rFonts w:cs="Arial"/>
        </w:rPr>
      </w:pPr>
      <w:r w:rsidRPr="00AB62C5">
        <w:rPr>
          <w:rFonts w:cs="Arial"/>
        </w:rPr>
        <w:t>4.2</w:t>
      </w:r>
      <w:r w:rsidRPr="00AB62C5">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857AD" w:rsidRPr="00AB62C5" w:rsidRDefault="004857AD" w:rsidP="004857AD">
      <w:pPr>
        <w:spacing w:before="120" w:after="120"/>
        <w:rPr>
          <w:rFonts w:cs="Arial"/>
        </w:rPr>
      </w:pPr>
      <w:r w:rsidRPr="00AB62C5">
        <w:rPr>
          <w:rFonts w:cs="Arial"/>
        </w:rPr>
        <w:t>4.3</w:t>
      </w:r>
      <w:r w:rsidRPr="00AB62C5">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857AD" w:rsidRPr="00AB62C5" w:rsidRDefault="004857AD" w:rsidP="004857AD">
      <w:pPr>
        <w:spacing w:before="120" w:after="120"/>
        <w:rPr>
          <w:rFonts w:cs="Arial"/>
        </w:rPr>
      </w:pPr>
      <w:r w:rsidRPr="00AB62C5">
        <w:rPr>
          <w:rFonts w:cs="Arial"/>
        </w:rPr>
        <w:t>4.4</w:t>
      </w:r>
      <w:r w:rsidRPr="00AB62C5">
        <w:rPr>
          <w:rFonts w:cs="Arial"/>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4857AD" w:rsidRPr="00AB62C5" w:rsidRDefault="004857AD" w:rsidP="004857AD">
      <w:pPr>
        <w:spacing w:before="120" w:after="120"/>
        <w:rPr>
          <w:rFonts w:cs="Arial"/>
        </w:rPr>
      </w:pPr>
      <w:r w:rsidRPr="00AB62C5">
        <w:rPr>
          <w:rFonts w:cs="Arial"/>
        </w:rPr>
        <w:t>4.5</w:t>
      </w:r>
      <w:r w:rsidRPr="00AB62C5">
        <w:rPr>
          <w:rFonts w:cs="Arial"/>
        </w:rPr>
        <w:tab/>
        <w:t>In the case of QN/MG observations consideration and allowance may need to be given to possible within plot variation.</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rPr>
      </w:pPr>
      <w:r w:rsidRPr="00AB62C5">
        <w:rPr>
          <w:rFonts w:cs="Arial"/>
          <w:u w:val="single"/>
        </w:rPr>
        <w:t>5. Testing the calibration for QN/VS or QN/VG characteristics</w:t>
      </w:r>
    </w:p>
    <w:p w:rsidR="004857AD" w:rsidRPr="00AB62C5" w:rsidRDefault="004857AD" w:rsidP="004857AD">
      <w:pPr>
        <w:spacing w:before="120" w:after="120"/>
        <w:rPr>
          <w:rFonts w:cs="Arial"/>
        </w:rPr>
      </w:pPr>
      <w:r w:rsidRPr="00AB62C5">
        <w:rPr>
          <w:rFonts w:cs="Arial"/>
        </w:rPr>
        <w:t>5.1</w:t>
      </w:r>
      <w:r w:rsidRPr="00AB62C5">
        <w:rPr>
          <w:rFonts w:cs="Arial"/>
        </w:rPr>
        <w:tab/>
        <w:t xml:space="preserve">For the analysis of ordinal data (QN/VS or QN/VG characteristics), the construction of contingency tables between each pair of observers for the different scores </w:t>
      </w:r>
      <w:proofErr w:type="gramStart"/>
      <w:r w:rsidRPr="00AB62C5">
        <w:rPr>
          <w:rFonts w:cs="Arial"/>
        </w:rPr>
        <w:t>is</w:t>
      </w:r>
      <w:proofErr w:type="gramEnd"/>
      <w:r w:rsidRPr="00AB62C5">
        <w:rPr>
          <w:rFonts w:cs="Arial"/>
        </w:rPr>
        <w:t xml:space="preserve"> instructive. A test for a structural difference (bias) between two observers can be obtained by using the Wilcoxon Matched-Pairs test (often called Wilcoxon Signed-Ranks test). </w:t>
      </w:r>
    </w:p>
    <w:p w:rsidR="004857AD" w:rsidRPr="00AB62C5" w:rsidRDefault="004857AD" w:rsidP="004857AD">
      <w:pPr>
        <w:spacing w:before="120" w:after="120"/>
        <w:rPr>
          <w:rFonts w:cs="Arial"/>
        </w:rPr>
      </w:pPr>
      <w:r w:rsidRPr="00AB62C5">
        <w:rPr>
          <w:rFonts w:cs="Arial"/>
        </w:rPr>
        <w:t>5.2</w:t>
      </w:r>
      <w:r w:rsidRPr="00AB62C5">
        <w:rPr>
          <w:rFonts w:cs="Arial"/>
        </w:rPr>
        <w:tab/>
        <w:t>To measure the degree of agreement the Cohen’s Kappa (κ) statistic (Cohen, 1960) is often used. The statistic tries to accounts for random agreement</w:t>
      </w:r>
      <w:proofErr w:type="gramStart"/>
      <w:r w:rsidRPr="00AB62C5">
        <w:rPr>
          <w:rFonts w:cs="Arial"/>
        </w:rPr>
        <w:t>:κ</w:t>
      </w:r>
      <w:proofErr w:type="gramEnd"/>
      <w:r w:rsidRPr="00AB62C5">
        <w:rPr>
          <w:rFonts w:cs="Arial"/>
        </w:rPr>
        <w:t xml:space="preserve">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w:t>
      </w:r>
      <w:proofErr w:type="gramStart"/>
      <w:r w:rsidRPr="00AB62C5">
        <w:rPr>
          <w:rFonts w:cs="Arial"/>
        </w:rPr>
        <w:t>P(</w:t>
      </w:r>
      <w:proofErr w:type="gramEnd"/>
      <w:r w:rsidRPr="00AB62C5">
        <w:rPr>
          <w:rFonts w:cs="Arial"/>
        </w:rPr>
        <w:t>e)), then κ = 0.</w:t>
      </w:r>
    </w:p>
    <w:p w:rsidR="004857AD" w:rsidRPr="00AB62C5" w:rsidRDefault="004857AD" w:rsidP="004857AD">
      <w:pPr>
        <w:spacing w:before="120" w:after="120"/>
        <w:rPr>
          <w:rFonts w:cs="Arial"/>
        </w:rPr>
      </w:pPr>
      <w:r w:rsidRPr="00AB62C5">
        <w:rPr>
          <w:rFonts w:cs="Arial"/>
        </w:rPr>
        <w:t>5.3</w:t>
      </w:r>
      <w:r w:rsidRPr="00AB62C5">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w:t>
      </w:r>
      <w:smartTag w:uri="urn:schemas-microsoft-com:office:smarttags" w:element="City">
        <w:smartTag w:uri="urn:schemas-microsoft-com:office:smarttags" w:element="place">
          <w:r w:rsidRPr="00AB62C5">
            <w:rPr>
              <w:rFonts w:cs="Arial"/>
            </w:rPr>
            <w:t>Concord</w:t>
          </w:r>
        </w:smartTag>
      </w:smartTag>
      <w:r w:rsidRPr="00AB62C5">
        <w:rPr>
          <w:rFonts w:cs="Arial"/>
        </w:rPr>
        <w:t>), provide tools to calculate the Kappa statistic.</w:t>
      </w:r>
    </w:p>
    <w:p w:rsidR="004857AD" w:rsidRPr="00AB62C5" w:rsidRDefault="004857AD" w:rsidP="004857AD">
      <w:pPr>
        <w:spacing w:before="120" w:after="120"/>
        <w:rPr>
          <w:rFonts w:cs="Arial"/>
        </w:rPr>
      </w:pPr>
      <w:r w:rsidRPr="00AB62C5">
        <w:rPr>
          <w:rFonts w:cs="Arial"/>
        </w:rPr>
        <w:t>5.4</w:t>
      </w:r>
      <w:r w:rsidRPr="00AB62C5">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sidRPr="00AB62C5">
        <w:rPr>
          <w:rFonts w:cs="Arial"/>
          <w:u w:val="single"/>
        </w:rPr>
        <w:t>6. Trial design</w:t>
      </w:r>
    </w:p>
    <w:p w:rsidR="004857AD" w:rsidRDefault="004857AD" w:rsidP="004857AD">
      <w:pPr>
        <w:spacing w:before="120" w:after="120"/>
        <w:rPr>
          <w:rFonts w:cs="Arial"/>
        </w:rPr>
      </w:pPr>
      <w:r w:rsidRPr="00AB62C5">
        <w:rPr>
          <w:rFonts w:cs="Arial"/>
        </w:rPr>
        <w:t>6.1</w:t>
      </w:r>
      <w:r w:rsidRPr="00AB62C5">
        <w:rPr>
          <w:rFonts w:cs="Arial"/>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w:t>
      </w:r>
      <w:r w:rsidRPr="0013100F">
        <w:rPr>
          <w:rFonts w:cs="Arial"/>
        </w:rPr>
        <w:t>s</w:t>
      </w:r>
      <w:r w:rsidRPr="00AB62C5">
        <w:rPr>
          <w:rFonts w:cs="Arial"/>
        </w:rPr>
        <w:t xml:space="preserve"> between observers.</w:t>
      </w:r>
    </w:p>
    <w:p w:rsidR="00AB62C5" w:rsidRDefault="00AB62C5" w:rsidP="004857AD">
      <w:pPr>
        <w:spacing w:before="120" w:after="120"/>
        <w:rPr>
          <w:rFonts w:cs="Arial"/>
        </w:rPr>
      </w:pPr>
    </w:p>
    <w:p w:rsidR="00AB62C5" w:rsidRPr="00AB62C5" w:rsidRDefault="00AB62C5" w:rsidP="004857AD">
      <w:pPr>
        <w:spacing w:before="120" w:after="120"/>
        <w:rPr>
          <w:rFonts w:cs="Arial"/>
        </w:rPr>
      </w:pPr>
    </w:p>
    <w:p w:rsidR="004857AD" w:rsidRPr="00AB62C5" w:rsidRDefault="004857AD" w:rsidP="00D840A9">
      <w:pPr>
        <w:keepNext/>
        <w:keepLines/>
        <w:spacing w:before="120" w:after="120"/>
        <w:rPr>
          <w:rFonts w:cs="Arial"/>
          <w:u w:val="single"/>
        </w:rPr>
      </w:pPr>
      <w:r w:rsidRPr="00AB62C5">
        <w:rPr>
          <w:rFonts w:cs="Arial"/>
          <w:u w:val="single"/>
        </w:rPr>
        <w:lastRenderedPageBreak/>
        <w:t>7. Example of Cohen’s Kappa</w:t>
      </w:r>
    </w:p>
    <w:p w:rsidR="004857AD" w:rsidRPr="00AB62C5" w:rsidRDefault="004857AD" w:rsidP="004857AD">
      <w:pPr>
        <w:spacing w:before="120" w:after="120"/>
        <w:rPr>
          <w:rFonts w:cs="Arial"/>
        </w:rPr>
      </w:pPr>
      <w:r w:rsidRPr="00AB62C5">
        <w:rPr>
          <w:rFonts w:cs="Arial"/>
        </w:rPr>
        <w:t>7.1</w:t>
      </w:r>
      <w:r w:rsidRPr="00AB62C5">
        <w:rPr>
          <w:rFonts w:cs="Arial"/>
        </w:rPr>
        <w:tab/>
        <w:t>In this example, there are three observers and 30 objects (plots or varieties).The characteristic is observed on a scale of 1 to 6.The raw data and their tabulated scores are given in the following tables.</w:t>
      </w:r>
    </w:p>
    <w:p w:rsidR="00AB62C5" w:rsidRPr="00AB62C5" w:rsidRDefault="00AB62C5" w:rsidP="004857AD">
      <w:pPr>
        <w:spacing w:before="120" w:after="120"/>
        <w:rPr>
          <w:rFonts w:cs="Arial"/>
        </w:rPr>
      </w:pPr>
    </w:p>
    <w:p w:rsidR="00AB62C5" w:rsidRPr="00AB62C5" w:rsidRDefault="00AB62C5" w:rsidP="004857AD">
      <w:pPr>
        <w:spacing w:before="120" w:after="120"/>
        <w:rPr>
          <w:rFonts w:cs="Arial"/>
        </w:rPr>
        <w:sectPr w:rsidR="00AB62C5" w:rsidRPr="00AB62C5" w:rsidSect="00A05486">
          <w:headerReference w:type="default" r:id="rId16"/>
          <w:headerReference w:type="first" r:id="rId17"/>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857AD" w:rsidRPr="00AB62C5" w:rsidTr="00327134">
        <w:trPr>
          <w:tblHeader/>
        </w:trPr>
        <w:tc>
          <w:tcPr>
            <w:tcW w:w="960" w:type="dxa"/>
            <w:tcBorders>
              <w:top w:val="single" w:sz="4" w:space="0" w:color="auto"/>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 xml:space="preserve">Observer </w:t>
            </w:r>
          </w:p>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Observer</w:t>
            </w:r>
          </w:p>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Observer</w:t>
            </w:r>
          </w:p>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r>
      <w:tr w:rsidR="004857AD" w:rsidRPr="00AB62C5" w:rsidTr="00327134">
        <w:tc>
          <w:tcPr>
            <w:tcW w:w="960" w:type="dxa"/>
            <w:tcBorders>
              <w:top w:val="single" w:sz="4" w:space="0" w:color="auto"/>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4</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5</w:t>
            </w:r>
          </w:p>
        </w:tc>
      </w:tr>
      <w:tr w:rsidR="004857AD" w:rsidRPr="00AB62C5" w:rsidTr="00327134">
        <w:tc>
          <w:tcPr>
            <w:tcW w:w="960" w:type="dxa"/>
            <w:tcBorders>
              <w:top w:val="nil"/>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4</w:t>
            </w:r>
          </w:p>
        </w:tc>
      </w:tr>
      <w:tr w:rsidR="004857AD" w:rsidRPr="00AB62C5" w:rsidTr="00327134">
        <w:tc>
          <w:tcPr>
            <w:tcW w:w="960" w:type="dxa"/>
            <w:tcBorders>
              <w:top w:val="nil"/>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p>
        </w:tc>
      </w:tr>
    </w:tbl>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p w:rsidR="00AB62C5" w:rsidRPr="00AB62C5" w:rsidRDefault="00AB62C5" w:rsidP="004857AD"/>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857AD" w:rsidRPr="00AB62C5" w:rsidTr="00327134">
        <w:trPr>
          <w:tblHeader/>
        </w:trPr>
        <w:tc>
          <w:tcPr>
            <w:tcW w:w="1134" w:type="dxa"/>
            <w:tcBorders>
              <w:top w:val="single" w:sz="4" w:space="0" w:color="auto"/>
              <w:left w:val="single" w:sz="4" w:space="0" w:color="auto"/>
              <w:bottom w:val="single" w:sz="4" w:space="0" w:color="auto"/>
              <w:right w:val="nil"/>
            </w:tcBorders>
            <w:noWrap/>
            <w:vAlign w:val="bottom"/>
          </w:tcPr>
          <w:p w:rsidR="004857AD" w:rsidRPr="00AB62C5" w:rsidRDefault="004857AD" w:rsidP="00327134">
            <w:pPr>
              <w:rPr>
                <w:rFonts w:ascii="Calibri" w:hAnsi="Calibri" w:cs="Calibri"/>
                <w:color w:val="000000"/>
                <w:sz w:val="18"/>
                <w:szCs w:val="18"/>
                <w:lang w:val="nl-NL"/>
              </w:rPr>
            </w:pPr>
            <w:r w:rsidRPr="00AB62C5">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6</w:t>
            </w:r>
          </w:p>
        </w:tc>
      </w:tr>
      <w:tr w:rsidR="004857AD" w:rsidRPr="00AB62C5" w:rsidTr="00327134">
        <w:tc>
          <w:tcPr>
            <w:tcW w:w="1134" w:type="dxa"/>
            <w:tcBorders>
              <w:top w:val="single" w:sz="4" w:space="0" w:color="auto"/>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2</w:t>
            </w:r>
          </w:p>
        </w:tc>
      </w:tr>
      <w:tr w:rsidR="004857AD" w:rsidRPr="00AB62C5" w:rsidTr="00327134">
        <w:tc>
          <w:tcPr>
            <w:tcW w:w="1134" w:type="dxa"/>
            <w:tcBorders>
              <w:top w:val="nil"/>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sidRPr="00AB62C5">
              <w:rPr>
                <w:rFonts w:ascii="Calibri" w:hAnsi="Calibri" w:cs="Calibri"/>
                <w:color w:val="000000"/>
                <w:sz w:val="18"/>
                <w:szCs w:val="18"/>
              </w:rPr>
              <w:t>0</w:t>
            </w:r>
          </w:p>
        </w:tc>
      </w:tr>
    </w:tbl>
    <w:p w:rsidR="004857AD" w:rsidRPr="00AB62C5" w:rsidRDefault="004857AD" w:rsidP="004857AD">
      <w:pPr>
        <w:keepNext/>
        <w:spacing w:before="120" w:after="120"/>
        <w:rPr>
          <w:rFonts w:cs="Arial"/>
        </w:rPr>
        <w:sectPr w:rsidR="004857AD" w:rsidRPr="00AB62C5" w:rsidSect="00FD136C">
          <w:headerReference w:type="default" r:id="rId18"/>
          <w:type w:val="continuous"/>
          <w:pgSz w:w="11907" w:h="16840" w:code="9"/>
          <w:pgMar w:top="510" w:right="1134" w:bottom="1134" w:left="1134" w:header="510" w:footer="680" w:gutter="0"/>
          <w:cols w:num="2" w:space="720"/>
          <w:titlePg/>
        </w:sectPr>
      </w:pPr>
    </w:p>
    <w:p w:rsidR="004857AD" w:rsidRPr="00AB62C5" w:rsidRDefault="004857AD" w:rsidP="004857AD">
      <w:pPr>
        <w:keepNext/>
        <w:spacing w:before="120" w:after="120"/>
        <w:rPr>
          <w:rFonts w:cs="Arial"/>
        </w:rPr>
      </w:pPr>
      <w:r w:rsidRPr="00AB62C5">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857AD" w:rsidRPr="00AB62C5" w:rsidTr="00327134">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Total</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17</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r>
      <w:tr w:rsidR="004857AD" w:rsidRPr="00AB62C5" w:rsidTr="00327134">
        <w:trPr>
          <w:trHeight w:val="300"/>
        </w:trPr>
        <w:tc>
          <w:tcPr>
            <w:tcW w:w="740" w:type="dxa"/>
            <w:tcBorders>
              <w:top w:val="nil"/>
              <w:left w:val="single" w:sz="4" w:space="0" w:color="auto"/>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lang w:val="nl-NL"/>
              </w:rPr>
            </w:pPr>
            <w:r w:rsidRPr="00AB62C5">
              <w:rPr>
                <w:rFonts w:ascii="Calibri" w:hAnsi="Calibri" w:cs="Calibri"/>
                <w:color w:val="000000"/>
                <w:sz w:val="18"/>
                <w:szCs w:val="18"/>
                <w:lang w:val="nl-NL"/>
              </w:rPr>
              <w:t>30</w:t>
            </w:r>
          </w:p>
        </w:tc>
      </w:tr>
    </w:tbl>
    <w:p w:rsidR="004857AD" w:rsidRPr="00AB62C5" w:rsidRDefault="004857AD" w:rsidP="004857AD">
      <w:pPr>
        <w:spacing w:before="120" w:after="120"/>
        <w:rPr>
          <w:rFonts w:cs="Arial"/>
        </w:rPr>
      </w:pPr>
      <w:r w:rsidRPr="00AB62C5">
        <w:rPr>
          <w:rFonts w:cs="Arial"/>
        </w:rPr>
        <w:t xml:space="preserve">The Kappa coefficient between observer 1 and 2, </w:t>
      </w:r>
      <w:proofErr w:type="gramStart"/>
      <w:r w:rsidRPr="00AB62C5">
        <w:rPr>
          <w:rFonts w:cs="Arial"/>
        </w:rPr>
        <w:t>κ(</w:t>
      </w:r>
      <w:proofErr w:type="gramEnd"/>
      <w:r w:rsidRPr="00AB62C5">
        <w:rPr>
          <w:rFonts w:cs="Arial"/>
        </w:rPr>
        <w:t>O1,O2) is calculated as follows:</w:t>
      </w:r>
    </w:p>
    <w:p w:rsidR="004857AD" w:rsidRPr="00AB62C5" w:rsidRDefault="004857AD" w:rsidP="004857AD">
      <w:pPr>
        <w:numPr>
          <w:ilvl w:val="0"/>
          <w:numId w:val="4"/>
        </w:numPr>
        <w:spacing w:before="120" w:after="120"/>
        <w:contextualSpacing/>
        <w:rPr>
          <w:rFonts w:cs="Arial"/>
        </w:rPr>
      </w:pPr>
      <w:r w:rsidRPr="00AB62C5">
        <w:rPr>
          <w:rFonts w:cs="Arial"/>
        </w:rPr>
        <w:t>κ(O1,O2) = (P(agreement between O1 and  O2) – P(e)) / (1 – P(e)) where:</w:t>
      </w:r>
    </w:p>
    <w:p w:rsidR="004857AD" w:rsidRPr="00AB62C5" w:rsidRDefault="004857AD" w:rsidP="004857AD">
      <w:pPr>
        <w:numPr>
          <w:ilvl w:val="0"/>
          <w:numId w:val="4"/>
        </w:numPr>
        <w:spacing w:before="120" w:after="120"/>
        <w:contextualSpacing/>
        <w:rPr>
          <w:rFonts w:cs="Arial"/>
        </w:rPr>
      </w:pPr>
      <w:r w:rsidRPr="00AB62C5">
        <w:rPr>
          <w:rFonts w:cs="Arial"/>
        </w:rPr>
        <w:t>P(agreement) =  (3+5+0+1+0+2)/30 = 11/30 ≈ 0.3667 (diagonal elements)</w:t>
      </w:r>
    </w:p>
    <w:p w:rsidR="004857AD" w:rsidRPr="00AB62C5" w:rsidRDefault="004857AD" w:rsidP="004857AD">
      <w:pPr>
        <w:numPr>
          <w:ilvl w:val="0"/>
          <w:numId w:val="4"/>
        </w:numPr>
        <w:spacing w:before="120" w:after="120"/>
        <w:contextualSpacing/>
        <w:rPr>
          <w:rFonts w:cs="Arial"/>
          <w:lang w:val="pt-BR"/>
        </w:rPr>
      </w:pPr>
      <w:r w:rsidRPr="00AB62C5">
        <w:rPr>
          <w:rFonts w:cs="Arial"/>
          <w:lang w:val="pt-BR"/>
        </w:rPr>
        <w:t>P(e) = (3/30).(15/30) + (17/30).(6/30) + (3/30).(1/30) + (1/30).(3/30) + (3/30).(0/30) + (3/30).(5/30) ≈ 0.1867. (pair-wise margins)</w:t>
      </w:r>
    </w:p>
    <w:p w:rsidR="004857AD" w:rsidRPr="00AB62C5" w:rsidRDefault="004857AD" w:rsidP="004857AD">
      <w:pPr>
        <w:numPr>
          <w:ilvl w:val="0"/>
          <w:numId w:val="4"/>
        </w:numPr>
        <w:spacing w:before="120" w:after="120"/>
        <w:contextualSpacing/>
        <w:rPr>
          <w:rFonts w:cs="Arial"/>
        </w:rPr>
      </w:pPr>
      <w:r w:rsidRPr="00AB62C5">
        <w:rPr>
          <w:rFonts w:cs="Arial"/>
        </w:rPr>
        <w:t>So κ(O1,O2) ≈ (0.3667-0.1867) / (1-0.1867) ≈ 0.22</w:t>
      </w:r>
    </w:p>
    <w:p w:rsidR="004857AD" w:rsidRPr="00AB62C5" w:rsidRDefault="004857AD" w:rsidP="004857AD">
      <w:pPr>
        <w:spacing w:before="120" w:after="120"/>
        <w:rPr>
          <w:rFonts w:cs="Arial"/>
        </w:rPr>
      </w:pPr>
      <w:r w:rsidRPr="00AB62C5">
        <w:rPr>
          <w:rFonts w:cs="Arial"/>
        </w:rPr>
        <w:t xml:space="preserve">This is a low value, indicating very poor agreement between these two observers. There is reason for concern and action should be taken to improve the agreement. Similarly the values for the other pairs can be calculated: </w:t>
      </w:r>
      <w:proofErr w:type="gramStart"/>
      <w:r w:rsidRPr="00AB62C5">
        <w:rPr>
          <w:rFonts w:cs="Arial"/>
        </w:rPr>
        <w:t>κ(</w:t>
      </w:r>
      <w:proofErr w:type="gramEnd"/>
      <w:r w:rsidRPr="00AB62C5">
        <w:rPr>
          <w:rFonts w:cs="Arial"/>
        </w:rPr>
        <w:t>O1,O3) ≈ 0.72, κ(O2,O3) ≈ 0.22.Observer 1 and 3 are in good agreement. Observer 2 is clearly different from 1 and 3 and the reasons for the deviation requires further investigation (e.g. consider need for additional training).</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sidRPr="00AB62C5">
        <w:rPr>
          <w:rFonts w:cs="Arial"/>
          <w:u w:val="single"/>
        </w:rPr>
        <w:t>8. References</w:t>
      </w:r>
    </w:p>
    <w:p w:rsidR="004857AD" w:rsidRPr="00AB62C5" w:rsidRDefault="004857AD" w:rsidP="004857AD">
      <w:pPr>
        <w:spacing w:before="120" w:after="120"/>
        <w:rPr>
          <w:rFonts w:cs="Arial"/>
        </w:rPr>
      </w:pPr>
      <w:r w:rsidRPr="00AB62C5">
        <w:rPr>
          <w:rFonts w:cs="Arial"/>
          <w:b/>
        </w:rPr>
        <w:t>Cohen, J</w:t>
      </w:r>
      <w:r w:rsidRPr="00AB62C5">
        <w:rPr>
          <w:rFonts w:cs="Arial"/>
        </w:rPr>
        <w:t>. (1960) A coefficient of agreement for nominal scales. Educational and Psychological Measurement 20: 37-46.</w:t>
      </w:r>
    </w:p>
    <w:p w:rsidR="004857AD" w:rsidRPr="00AB62C5" w:rsidRDefault="004857AD" w:rsidP="004857AD">
      <w:pPr>
        <w:spacing w:before="120" w:after="120"/>
        <w:rPr>
          <w:rFonts w:cs="Arial"/>
        </w:rPr>
      </w:pPr>
      <w:r w:rsidRPr="00AB62C5">
        <w:rPr>
          <w:rFonts w:cs="Arial"/>
          <w:b/>
        </w:rPr>
        <w:t>Cohen, J</w:t>
      </w:r>
      <w:r w:rsidRPr="00AB62C5">
        <w:rPr>
          <w:rFonts w:cs="Arial"/>
        </w:rPr>
        <w:t>. (1968) Weighted kappa: Nominal scale agreement provision for scaled disagreement or partial credit. Psychological Bulletin, 70(4): 213-220. </w:t>
      </w:r>
    </w:p>
    <w:p w:rsidR="004857AD" w:rsidRPr="00AB62C5" w:rsidRDefault="004857AD" w:rsidP="004857AD">
      <w:pPr>
        <w:spacing w:before="120" w:after="120"/>
        <w:rPr>
          <w:rFonts w:cs="Arial"/>
        </w:rPr>
      </w:pPr>
      <w:r w:rsidRPr="00AB62C5">
        <w:rPr>
          <w:rFonts w:cs="Arial"/>
          <w:b/>
        </w:rPr>
        <w:t>Bland, J. M. Altman D. G.</w:t>
      </w:r>
      <w:r w:rsidRPr="00AB62C5">
        <w:rPr>
          <w:rFonts w:cs="Arial"/>
        </w:rPr>
        <w:t xml:space="preserve"> (1986) Statistical methods for assessing agreement between two methods of clinical measurement, Lancet: 307–310.</w:t>
      </w:r>
    </w:p>
    <w:p w:rsidR="004857AD" w:rsidRPr="00561A1A" w:rsidRDefault="00184930" w:rsidP="004857AD">
      <w:pPr>
        <w:spacing w:before="120" w:after="120"/>
      </w:pPr>
      <w:hyperlink r:id="rId19" w:history="1">
        <w:r w:rsidR="004857AD" w:rsidRPr="00AB62C5">
          <w:rPr>
            <w:color w:val="0000FF"/>
            <w:u w:val="single"/>
          </w:rPr>
          <w:t>http://www.seedtest.org/en/stats-tool-box-_content---1--1143.html</w:t>
        </w:r>
      </w:hyperlink>
      <w:r w:rsidR="004857AD" w:rsidRPr="00AB62C5">
        <w:t xml:space="preserve"> (ISO 5725-2 based software)</w:t>
      </w:r>
    </w:p>
    <w:p w:rsidR="004857AD" w:rsidRPr="00561A1A" w:rsidRDefault="004857AD" w:rsidP="004857AD">
      <w:pPr>
        <w:spacing w:before="120" w:after="120"/>
      </w:pPr>
    </w:p>
    <w:p w:rsidR="004857AD" w:rsidRDefault="004857AD" w:rsidP="004857AD">
      <w:pPr>
        <w:spacing w:before="480"/>
        <w:ind w:left="567" w:hanging="567"/>
        <w:jc w:val="right"/>
      </w:pPr>
      <w:r w:rsidRPr="00561A1A">
        <w:t>[End of document]</w:t>
      </w:r>
    </w:p>
    <w:p w:rsidR="00701CCC" w:rsidRDefault="00701CCC" w:rsidP="004857AD"/>
    <w:sectPr w:rsidR="00701CCC" w:rsidSect="00D840A9">
      <w:headerReference w:type="default" r:id="rId20"/>
      <w:headerReference w:type="first" r:id="rId21"/>
      <w:pgSz w:w="11907" w:h="16840" w:code="9"/>
      <w:pgMar w:top="510" w:right="1134" w:bottom="1134" w:left="1134" w:header="510" w:footer="680"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34" w:rsidRDefault="00327134" w:rsidP="006655D3">
      <w:r>
        <w:separator/>
      </w:r>
    </w:p>
    <w:p w:rsidR="00327134" w:rsidRDefault="00327134" w:rsidP="006655D3"/>
    <w:p w:rsidR="00327134" w:rsidRDefault="00327134" w:rsidP="006655D3"/>
  </w:endnote>
  <w:endnote w:type="continuationSeparator" w:id="0">
    <w:p w:rsidR="00327134" w:rsidRDefault="00327134" w:rsidP="006655D3">
      <w:r>
        <w:separator/>
      </w:r>
    </w:p>
    <w:p w:rsidR="00327134" w:rsidRPr="00704EB7" w:rsidRDefault="00327134">
      <w:pPr>
        <w:pStyle w:val="Footer"/>
        <w:spacing w:after="60"/>
        <w:rPr>
          <w:sz w:val="18"/>
          <w:lang w:val="fr-FR"/>
        </w:rPr>
      </w:pPr>
      <w:r w:rsidRPr="00704EB7">
        <w:rPr>
          <w:sz w:val="18"/>
          <w:lang w:val="fr-FR"/>
        </w:rPr>
        <w:t>[Suite de la note de la page précédente]</w:t>
      </w:r>
    </w:p>
    <w:p w:rsidR="00327134" w:rsidRPr="00704EB7" w:rsidRDefault="00327134" w:rsidP="006655D3">
      <w:pPr>
        <w:rPr>
          <w:lang w:val="fr-FR"/>
        </w:rPr>
      </w:pPr>
    </w:p>
    <w:p w:rsidR="00327134" w:rsidRPr="00704EB7" w:rsidRDefault="00327134" w:rsidP="006655D3">
      <w:pPr>
        <w:rPr>
          <w:lang w:val="fr-FR"/>
        </w:rPr>
      </w:pPr>
    </w:p>
  </w:endnote>
  <w:endnote w:type="continuationNotice" w:id="1">
    <w:p w:rsidR="00327134" w:rsidRPr="00704EB7" w:rsidRDefault="00327134" w:rsidP="006655D3">
      <w:pPr>
        <w:rPr>
          <w:lang w:val="fr-FR"/>
        </w:rPr>
      </w:pPr>
      <w:r w:rsidRPr="00704EB7">
        <w:rPr>
          <w:lang w:val="fr-FR"/>
        </w:rPr>
        <w:t>[Suite de la note page suivante]</w:t>
      </w:r>
    </w:p>
    <w:p w:rsidR="00327134" w:rsidRPr="00704EB7" w:rsidRDefault="00327134" w:rsidP="006655D3">
      <w:pPr>
        <w:rPr>
          <w:lang w:val="fr-FR"/>
        </w:rPr>
      </w:pPr>
    </w:p>
    <w:p w:rsidR="00327134" w:rsidRPr="00704EB7" w:rsidRDefault="003271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2" w:rsidRDefault="00971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2" w:rsidRDefault="00971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2" w:rsidRDefault="00971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34" w:rsidRDefault="00327134" w:rsidP="006655D3">
      <w:r>
        <w:separator/>
      </w:r>
    </w:p>
  </w:footnote>
  <w:footnote w:type="continuationSeparator" w:id="0">
    <w:p w:rsidR="00327134" w:rsidRDefault="00327134" w:rsidP="006655D3">
      <w:r>
        <w:separator/>
      </w:r>
    </w:p>
  </w:footnote>
  <w:footnote w:type="continuationNotice" w:id="1">
    <w:p w:rsidR="00327134" w:rsidRPr="00AB530F" w:rsidRDefault="0032713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2" w:rsidRDefault="00971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2" w:rsidRDefault="009718E2">
    <w:pPr>
      <w:pStyle w:val="Header"/>
    </w:pPr>
    <w:r>
      <w:t>TC/51/16</w:t>
    </w:r>
  </w:p>
  <w:p w:rsidR="009718E2" w:rsidRDefault="009718E2">
    <w:pPr>
      <w:pStyle w:val="Header"/>
    </w:pPr>
    <w:r>
      <w:t xml:space="preserve">page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930">
          <w:rPr>
            <w:noProof/>
          </w:rPr>
          <w:t>2</w:t>
        </w:r>
        <w:r>
          <w:rPr>
            <w:noProof/>
          </w:rPr>
          <w:fldChar w:fldCharType="end"/>
        </w:r>
      </w:sdtContent>
    </w:sdt>
  </w:p>
  <w:p w:rsidR="009718E2" w:rsidRDefault="00971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2" w:rsidRDefault="009718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A9" w:rsidRDefault="00D840A9">
    <w:pPr>
      <w:pStyle w:val="Header"/>
    </w:pPr>
    <w:r>
      <w:t>TC/51/16</w:t>
    </w:r>
  </w:p>
  <w:p w:rsidR="00D840A9" w:rsidRDefault="00D840A9">
    <w:pPr>
      <w:pStyle w:val="Header"/>
    </w:pPr>
    <w:proofErr w:type="spellStart"/>
    <w:r>
      <w:t>Annex</w:t>
    </w:r>
    <w:proofErr w:type="spellEnd"/>
    <w:r>
      <w:t xml:space="preserve">, page </w:t>
    </w:r>
    <w:sdt>
      <w:sdtPr>
        <w:id w:val="4366398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930">
          <w:rPr>
            <w:noProof/>
          </w:rPr>
          <w:t>3</w:t>
        </w:r>
        <w:r>
          <w:rPr>
            <w:noProof/>
          </w:rPr>
          <w:fldChar w:fldCharType="end"/>
        </w:r>
      </w:sdtContent>
    </w:sdt>
  </w:p>
  <w:p w:rsidR="00D840A9" w:rsidRPr="00D840A9" w:rsidRDefault="00D840A9" w:rsidP="00D840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A9" w:rsidRDefault="00D840A9">
    <w:pPr>
      <w:pStyle w:val="Header"/>
    </w:pPr>
    <w:r>
      <w:t>TC/51/</w:t>
    </w:r>
    <w:r w:rsidR="009718E2">
      <w:t>1</w:t>
    </w:r>
    <w:r>
      <w:t>6</w:t>
    </w:r>
  </w:p>
  <w:p w:rsidR="00D840A9" w:rsidRDefault="00D840A9">
    <w:pPr>
      <w:pStyle w:val="Header"/>
    </w:pPr>
  </w:p>
  <w:p w:rsidR="00D840A9" w:rsidRDefault="00D840A9">
    <w:pPr>
      <w:pStyle w:val="Header"/>
    </w:pPr>
    <w:r>
      <w:t>ANNEX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4" w:rsidRPr="005837C7" w:rsidRDefault="00327134" w:rsidP="003271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4" w:rsidRPr="00C5280D" w:rsidRDefault="00327134" w:rsidP="00EB048E">
    <w:pPr>
      <w:pStyle w:val="Header"/>
      <w:rPr>
        <w:rStyle w:val="PageNumber"/>
        <w:lang w:val="en-US"/>
      </w:rPr>
    </w:pPr>
    <w:r>
      <w:rPr>
        <w:rStyle w:val="PageNumber"/>
        <w:lang w:val="en-US"/>
      </w:rPr>
      <w:t>TWO/47/15</w:t>
    </w:r>
  </w:p>
  <w:p w:rsidR="00327134" w:rsidRDefault="00327134" w:rsidP="00EB048E">
    <w:pPr>
      <w:pStyle w:val="Header"/>
      <w:rPr>
        <w:lang w:val="en-US"/>
      </w:rPr>
    </w:pPr>
  </w:p>
  <w:p w:rsidR="00327134" w:rsidRDefault="00327134" w:rsidP="00FD136C">
    <w:pPr>
      <w:pStyle w:val="Header"/>
      <w:rPr>
        <w:snapToGrid w:val="0"/>
        <w:lang w:val="en-US"/>
      </w:rPr>
    </w:pPr>
    <w:r>
      <w:rPr>
        <w:lang w:val="en-US"/>
      </w:rPr>
      <w:t>Annex Page 4</w:t>
    </w:r>
  </w:p>
  <w:p w:rsidR="00327134" w:rsidRPr="00C5280D" w:rsidRDefault="00327134" w:rsidP="00FD13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A9" w:rsidRDefault="00D840A9">
    <w:pPr>
      <w:pStyle w:val="Header"/>
    </w:pPr>
    <w:r>
      <w:t>TC/51/16</w:t>
    </w:r>
  </w:p>
  <w:p w:rsidR="00D840A9" w:rsidRDefault="00D840A9">
    <w:pPr>
      <w:pStyle w:val="Header"/>
    </w:pPr>
    <w:proofErr w:type="spellStart"/>
    <w:r>
      <w:t>Annex</w:t>
    </w:r>
    <w:proofErr w:type="spellEnd"/>
    <w:r>
      <w:t xml:space="preserve">, page </w:t>
    </w:r>
    <w:sdt>
      <w:sdtPr>
        <w:id w:val="392171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930">
          <w:rPr>
            <w:noProof/>
          </w:rPr>
          <w:t>4</w:t>
        </w:r>
        <w:r>
          <w:rPr>
            <w:noProof/>
          </w:rPr>
          <w:fldChar w:fldCharType="end"/>
        </w:r>
      </w:sdtContent>
    </w:sdt>
  </w:p>
  <w:p w:rsidR="00D840A9" w:rsidRPr="00D840A9" w:rsidRDefault="00D840A9" w:rsidP="00D8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E5320"/>
    <w:rsid w:val="000F2F11"/>
    <w:rsid w:val="000F51AB"/>
    <w:rsid w:val="00105929"/>
    <w:rsid w:val="001104F9"/>
    <w:rsid w:val="001131D5"/>
    <w:rsid w:val="00130631"/>
    <w:rsid w:val="0013100F"/>
    <w:rsid w:val="0013508D"/>
    <w:rsid w:val="00141DB8"/>
    <w:rsid w:val="0017474A"/>
    <w:rsid w:val="001758C6"/>
    <w:rsid w:val="00180609"/>
    <w:rsid w:val="00182B99"/>
    <w:rsid w:val="00184930"/>
    <w:rsid w:val="00193D5D"/>
    <w:rsid w:val="001D3FC0"/>
    <w:rsid w:val="0021332C"/>
    <w:rsid w:val="00213982"/>
    <w:rsid w:val="0024416D"/>
    <w:rsid w:val="0025430E"/>
    <w:rsid w:val="00256D98"/>
    <w:rsid w:val="00266A50"/>
    <w:rsid w:val="0027182F"/>
    <w:rsid w:val="00271911"/>
    <w:rsid w:val="00277E2D"/>
    <w:rsid w:val="002800A0"/>
    <w:rsid w:val="002801B3"/>
    <w:rsid w:val="00281060"/>
    <w:rsid w:val="002940E8"/>
    <w:rsid w:val="002A6E50"/>
    <w:rsid w:val="002B2127"/>
    <w:rsid w:val="002B2F14"/>
    <w:rsid w:val="002C256A"/>
    <w:rsid w:val="002D0CBC"/>
    <w:rsid w:val="002D5B74"/>
    <w:rsid w:val="002D630D"/>
    <w:rsid w:val="00305A7F"/>
    <w:rsid w:val="003152FE"/>
    <w:rsid w:val="00327134"/>
    <w:rsid w:val="00327436"/>
    <w:rsid w:val="00344BD6"/>
    <w:rsid w:val="0035528D"/>
    <w:rsid w:val="00361821"/>
    <w:rsid w:val="003D227C"/>
    <w:rsid w:val="003D2B4D"/>
    <w:rsid w:val="00422B88"/>
    <w:rsid w:val="00435619"/>
    <w:rsid w:val="00444A88"/>
    <w:rsid w:val="004664C6"/>
    <w:rsid w:val="004717F7"/>
    <w:rsid w:val="00474DA4"/>
    <w:rsid w:val="00476B4D"/>
    <w:rsid w:val="004805FA"/>
    <w:rsid w:val="004857AD"/>
    <w:rsid w:val="004B5768"/>
    <w:rsid w:val="004D047D"/>
    <w:rsid w:val="004D10CC"/>
    <w:rsid w:val="004F305A"/>
    <w:rsid w:val="00512164"/>
    <w:rsid w:val="00520297"/>
    <w:rsid w:val="005338F9"/>
    <w:rsid w:val="0053429E"/>
    <w:rsid w:val="0054281C"/>
    <w:rsid w:val="00547928"/>
    <w:rsid w:val="0055268D"/>
    <w:rsid w:val="00576BE4"/>
    <w:rsid w:val="005A07BC"/>
    <w:rsid w:val="005A400A"/>
    <w:rsid w:val="00612379"/>
    <w:rsid w:val="0061555F"/>
    <w:rsid w:val="00641200"/>
    <w:rsid w:val="0065191D"/>
    <w:rsid w:val="00661531"/>
    <w:rsid w:val="006622E4"/>
    <w:rsid w:val="006655D3"/>
    <w:rsid w:val="00667404"/>
    <w:rsid w:val="00687EB4"/>
    <w:rsid w:val="006A27B5"/>
    <w:rsid w:val="006B17D2"/>
    <w:rsid w:val="006C224E"/>
    <w:rsid w:val="006D780A"/>
    <w:rsid w:val="00701CCC"/>
    <w:rsid w:val="00704EB7"/>
    <w:rsid w:val="00732DEC"/>
    <w:rsid w:val="00735BD5"/>
    <w:rsid w:val="00737C00"/>
    <w:rsid w:val="00747690"/>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0745"/>
    <w:rsid w:val="00867AC1"/>
    <w:rsid w:val="008A743F"/>
    <w:rsid w:val="008C0970"/>
    <w:rsid w:val="008C63A0"/>
    <w:rsid w:val="008C77C1"/>
    <w:rsid w:val="008D2CF7"/>
    <w:rsid w:val="00900C26"/>
    <w:rsid w:val="0090197F"/>
    <w:rsid w:val="00903BA9"/>
    <w:rsid w:val="00906DDC"/>
    <w:rsid w:val="009260EE"/>
    <w:rsid w:val="00934E09"/>
    <w:rsid w:val="00936253"/>
    <w:rsid w:val="009435B0"/>
    <w:rsid w:val="00952DD4"/>
    <w:rsid w:val="009656B4"/>
    <w:rsid w:val="00970FED"/>
    <w:rsid w:val="009718E2"/>
    <w:rsid w:val="00985BF8"/>
    <w:rsid w:val="00992D82"/>
    <w:rsid w:val="00997029"/>
    <w:rsid w:val="009D690D"/>
    <w:rsid w:val="009E65B6"/>
    <w:rsid w:val="00A05486"/>
    <w:rsid w:val="00A14599"/>
    <w:rsid w:val="00A24C10"/>
    <w:rsid w:val="00A260DE"/>
    <w:rsid w:val="00A30001"/>
    <w:rsid w:val="00A32BB1"/>
    <w:rsid w:val="00A4133B"/>
    <w:rsid w:val="00A42AC3"/>
    <w:rsid w:val="00A430CF"/>
    <w:rsid w:val="00A54309"/>
    <w:rsid w:val="00A573A4"/>
    <w:rsid w:val="00AA342C"/>
    <w:rsid w:val="00AB2B93"/>
    <w:rsid w:val="00AB530F"/>
    <w:rsid w:val="00AB62C5"/>
    <w:rsid w:val="00AB7E5B"/>
    <w:rsid w:val="00AC0278"/>
    <w:rsid w:val="00AD64D9"/>
    <w:rsid w:val="00AE0EF1"/>
    <w:rsid w:val="00AE1EA0"/>
    <w:rsid w:val="00AE2937"/>
    <w:rsid w:val="00B07301"/>
    <w:rsid w:val="00B224DE"/>
    <w:rsid w:val="00B27346"/>
    <w:rsid w:val="00B46575"/>
    <w:rsid w:val="00B54B63"/>
    <w:rsid w:val="00B723E6"/>
    <w:rsid w:val="00B8369D"/>
    <w:rsid w:val="00B84BBD"/>
    <w:rsid w:val="00B9171F"/>
    <w:rsid w:val="00BA43FB"/>
    <w:rsid w:val="00BA790A"/>
    <w:rsid w:val="00BB1296"/>
    <w:rsid w:val="00BC127D"/>
    <w:rsid w:val="00BC1FE6"/>
    <w:rsid w:val="00BD2C9F"/>
    <w:rsid w:val="00C061B6"/>
    <w:rsid w:val="00C2446C"/>
    <w:rsid w:val="00C31582"/>
    <w:rsid w:val="00C347B7"/>
    <w:rsid w:val="00C36AE5"/>
    <w:rsid w:val="00C41F17"/>
    <w:rsid w:val="00C5280D"/>
    <w:rsid w:val="00C5791C"/>
    <w:rsid w:val="00C66290"/>
    <w:rsid w:val="00C72B7A"/>
    <w:rsid w:val="00C973F2"/>
    <w:rsid w:val="00CA1453"/>
    <w:rsid w:val="00CA304C"/>
    <w:rsid w:val="00CA774A"/>
    <w:rsid w:val="00CC0462"/>
    <w:rsid w:val="00CC11B0"/>
    <w:rsid w:val="00CF7E36"/>
    <w:rsid w:val="00D12F1D"/>
    <w:rsid w:val="00D22DB2"/>
    <w:rsid w:val="00D3708D"/>
    <w:rsid w:val="00D40426"/>
    <w:rsid w:val="00D46830"/>
    <w:rsid w:val="00D57C96"/>
    <w:rsid w:val="00D840A9"/>
    <w:rsid w:val="00D865DD"/>
    <w:rsid w:val="00D91203"/>
    <w:rsid w:val="00D95174"/>
    <w:rsid w:val="00DA6F36"/>
    <w:rsid w:val="00DB596E"/>
    <w:rsid w:val="00DB7773"/>
    <w:rsid w:val="00DC00EA"/>
    <w:rsid w:val="00DC36DB"/>
    <w:rsid w:val="00E00DD4"/>
    <w:rsid w:val="00E32F7E"/>
    <w:rsid w:val="00E40EF4"/>
    <w:rsid w:val="00E72D49"/>
    <w:rsid w:val="00E7593C"/>
    <w:rsid w:val="00E7678A"/>
    <w:rsid w:val="00E8092E"/>
    <w:rsid w:val="00E935F1"/>
    <w:rsid w:val="00E94A81"/>
    <w:rsid w:val="00EA1FFB"/>
    <w:rsid w:val="00EB048E"/>
    <w:rsid w:val="00EB2182"/>
    <w:rsid w:val="00ED270B"/>
    <w:rsid w:val="00EE2FD5"/>
    <w:rsid w:val="00EE34DF"/>
    <w:rsid w:val="00EF2F89"/>
    <w:rsid w:val="00F1237A"/>
    <w:rsid w:val="00F22CBD"/>
    <w:rsid w:val="00F45372"/>
    <w:rsid w:val="00F560F7"/>
    <w:rsid w:val="00F6334D"/>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eedtest.org/en/stats-tool-box-_content---1--114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52F5-ED41-4F42-B147-A735FABA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69</TotalTime>
  <Pages>8</Pages>
  <Words>3712</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18</cp:revision>
  <cp:lastPrinted>2015-02-12T09:21:00Z</cp:lastPrinted>
  <dcterms:created xsi:type="dcterms:W3CDTF">2015-02-06T11:58:00Z</dcterms:created>
  <dcterms:modified xsi:type="dcterms:W3CDTF">2015-02-12T09:21:00Z</dcterms:modified>
</cp:coreProperties>
</file>