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30D44" w:rsidRPr="00815738" w:rsidTr="00EB4E9C">
        <w:tc>
          <w:tcPr>
            <w:tcW w:w="6522" w:type="dxa"/>
          </w:tcPr>
          <w:p w:rsidR="00C30D44" w:rsidRPr="00AC2883" w:rsidRDefault="00C30D44"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C30D44" w:rsidRPr="007C1D92" w:rsidRDefault="00C30D44" w:rsidP="00AC2883">
            <w:pPr>
              <w:pStyle w:val="Lettrine"/>
            </w:pPr>
            <w:r w:rsidRPr="00172084">
              <w:t>E</w:t>
            </w:r>
          </w:p>
        </w:tc>
      </w:tr>
      <w:tr w:rsidR="00C30D44" w:rsidRPr="00DA4973" w:rsidTr="00645CA8">
        <w:trPr>
          <w:trHeight w:val="219"/>
        </w:trPr>
        <w:tc>
          <w:tcPr>
            <w:tcW w:w="6522" w:type="dxa"/>
          </w:tcPr>
          <w:p w:rsidR="00C30D44" w:rsidRPr="00FE30D6" w:rsidRDefault="00C30D44" w:rsidP="00AC2883">
            <w:pPr>
              <w:pStyle w:val="upove"/>
              <w:rPr>
                <w:lang w:val="en-US"/>
              </w:rPr>
            </w:pPr>
            <w:r w:rsidRPr="00FE30D6">
              <w:rPr>
                <w:lang w:val="en-US"/>
              </w:rPr>
              <w:t>International Union for the Protection of New Varieties of Plants</w:t>
            </w:r>
          </w:p>
        </w:tc>
        <w:tc>
          <w:tcPr>
            <w:tcW w:w="3117" w:type="dxa"/>
          </w:tcPr>
          <w:p w:rsidR="00C30D44" w:rsidRPr="00DA4973" w:rsidRDefault="00C30D44" w:rsidP="00DA4973"/>
        </w:tc>
      </w:tr>
    </w:tbl>
    <w:p w:rsidR="00C30D44" w:rsidRDefault="00C30D44" w:rsidP="00DC3802"/>
    <w:p w:rsidR="00C30D44" w:rsidRPr="00365DC1" w:rsidRDefault="00C30D44"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30D44" w:rsidRPr="00C5280D" w:rsidTr="00EB4E9C">
        <w:tc>
          <w:tcPr>
            <w:tcW w:w="6512" w:type="dxa"/>
          </w:tcPr>
          <w:p w:rsidR="00C30D44" w:rsidRPr="00FE30D6" w:rsidRDefault="00C30D44" w:rsidP="00AC2883">
            <w:pPr>
              <w:pStyle w:val="Sessiontc"/>
              <w:spacing w:line="240" w:lineRule="auto"/>
              <w:rPr>
                <w:lang w:val="en-US"/>
              </w:rPr>
            </w:pPr>
            <w:r w:rsidRPr="00FE30D6">
              <w:rPr>
                <w:lang w:val="en-US"/>
              </w:rPr>
              <w:t>Administrative and Legal Committee</w:t>
            </w:r>
          </w:p>
          <w:p w:rsidR="00C30D44" w:rsidRPr="00FE30D6" w:rsidRDefault="00C30D44" w:rsidP="00B622E6">
            <w:pPr>
              <w:pStyle w:val="Sessiontcplacedate"/>
              <w:rPr>
                <w:sz w:val="22"/>
                <w:lang w:val="en-US"/>
              </w:rPr>
            </w:pPr>
            <w:r w:rsidRPr="00FE30D6">
              <w:rPr>
                <w:lang w:val="en-US"/>
              </w:rPr>
              <w:t>Seventy-Fourth Session</w:t>
            </w:r>
            <w:r w:rsidRPr="00FE30D6">
              <w:rPr>
                <w:lang w:val="en-US"/>
              </w:rPr>
              <w:br/>
              <w:t>Geneva, October 23 and 24, 2017</w:t>
            </w:r>
          </w:p>
        </w:tc>
        <w:tc>
          <w:tcPr>
            <w:tcW w:w="3127" w:type="dxa"/>
          </w:tcPr>
          <w:p w:rsidR="00C30D44" w:rsidRPr="003C7FBE" w:rsidRDefault="00C30D44" w:rsidP="003C7FBE">
            <w:pPr>
              <w:pStyle w:val="Doccode"/>
            </w:pPr>
            <w:r>
              <w:t>CAJ</w:t>
            </w:r>
            <w:r w:rsidRPr="00AC2883">
              <w:t>/</w:t>
            </w:r>
            <w:r>
              <w:t>74</w:t>
            </w:r>
            <w:r w:rsidRPr="00AC2883">
              <w:t>/</w:t>
            </w:r>
            <w:r>
              <w:t>8</w:t>
            </w:r>
          </w:p>
          <w:p w:rsidR="00C30D44" w:rsidRPr="00FE30D6" w:rsidRDefault="00C30D44" w:rsidP="003C7FBE">
            <w:pPr>
              <w:pStyle w:val="Docoriginal"/>
              <w:rPr>
                <w:lang w:val="en-US"/>
              </w:rPr>
            </w:pPr>
            <w:r w:rsidRPr="00FE30D6">
              <w:rPr>
                <w:lang w:val="en-US"/>
              </w:rPr>
              <w:t>Original:</w:t>
            </w:r>
            <w:r w:rsidRPr="00FE30D6">
              <w:rPr>
                <w:b w:val="0"/>
                <w:spacing w:val="0"/>
                <w:lang w:val="en-US"/>
              </w:rPr>
              <w:t xml:space="preserve">  English</w:t>
            </w:r>
          </w:p>
          <w:p w:rsidR="00C30D44" w:rsidRPr="00FE30D6" w:rsidRDefault="00C30D44" w:rsidP="004D7CD8">
            <w:pPr>
              <w:pStyle w:val="Docoriginal"/>
              <w:rPr>
                <w:lang w:val="en-US"/>
              </w:rPr>
            </w:pPr>
            <w:r w:rsidRPr="00FE30D6">
              <w:rPr>
                <w:lang w:val="en-US"/>
              </w:rPr>
              <w:t>Date:</w:t>
            </w:r>
            <w:r w:rsidRPr="00FE30D6">
              <w:rPr>
                <w:b w:val="0"/>
                <w:spacing w:val="0"/>
                <w:lang w:val="en-US"/>
              </w:rPr>
              <w:t xml:space="preserve">  October </w:t>
            </w:r>
            <w:r w:rsidR="004D7CD8" w:rsidRPr="00FE30D6">
              <w:rPr>
                <w:b w:val="0"/>
                <w:spacing w:val="0"/>
                <w:lang w:val="en-US"/>
              </w:rPr>
              <w:t>6</w:t>
            </w:r>
            <w:r w:rsidRPr="00FE30D6">
              <w:rPr>
                <w:b w:val="0"/>
                <w:spacing w:val="0"/>
                <w:lang w:val="en-US"/>
              </w:rPr>
              <w:t>, 2017</w:t>
            </w:r>
          </w:p>
        </w:tc>
      </w:tr>
    </w:tbl>
    <w:p w:rsidR="00C30D44" w:rsidRPr="00FE30D6" w:rsidRDefault="00C30D44" w:rsidP="006A644A">
      <w:pPr>
        <w:pStyle w:val="Titleofdoc0"/>
        <w:rPr>
          <w:lang w:val="en-US"/>
        </w:rPr>
      </w:pPr>
      <w:bookmarkStart w:id="0" w:name="TitleOfDoc"/>
      <w:bookmarkEnd w:id="0"/>
      <w:r w:rsidRPr="00FE30D6">
        <w:rPr>
          <w:lang w:val="en-US"/>
        </w:rPr>
        <w:t>Molecular techniques</w:t>
      </w:r>
    </w:p>
    <w:p w:rsidR="00C30D44" w:rsidRPr="006A644A" w:rsidRDefault="00C30D44" w:rsidP="006A644A">
      <w:pPr>
        <w:pStyle w:val="preparedby0"/>
        <w:jc w:val="left"/>
      </w:pPr>
      <w:bookmarkStart w:id="1" w:name="Prepared"/>
      <w:bookmarkEnd w:id="1"/>
      <w:r w:rsidRPr="000C4E25">
        <w:t>Document prepared by the Office of the Union</w:t>
      </w:r>
    </w:p>
    <w:p w:rsidR="00C30D44" w:rsidRPr="006A644A" w:rsidRDefault="00C30D44" w:rsidP="006A644A">
      <w:pPr>
        <w:pStyle w:val="Disclaimer"/>
      </w:pPr>
      <w:r w:rsidRPr="006A644A">
        <w:t>Disclaimer:  this document does not represent UPOV policies or guidance</w:t>
      </w:r>
    </w:p>
    <w:p w:rsidR="00C30D44" w:rsidRDefault="00C30D44" w:rsidP="003D060A">
      <w:pPr>
        <w:pStyle w:val="Heading1"/>
        <w:rPr>
          <w:lang w:eastAsia="ja-JP"/>
        </w:rPr>
      </w:pPr>
      <w:bookmarkStart w:id="2" w:name="_Toc495070986"/>
      <w:r>
        <w:rPr>
          <w:lang w:eastAsia="ja-JP"/>
        </w:rPr>
        <w:t>E</w:t>
      </w:r>
      <w:r>
        <w:rPr>
          <w:rFonts w:hint="eastAsia"/>
          <w:lang w:eastAsia="ja-JP"/>
        </w:rPr>
        <w:t>xecutive summary</w:t>
      </w:r>
      <w:bookmarkEnd w:id="2"/>
    </w:p>
    <w:p w:rsidR="00C30D44" w:rsidRDefault="00C30D44" w:rsidP="003D060A">
      <w:pPr>
        <w:rPr>
          <w:lang w:eastAsia="ja-JP"/>
        </w:rPr>
      </w:pPr>
    </w:p>
    <w:p w:rsidR="00C30D44" w:rsidRDefault="00C30D44" w:rsidP="003D060A">
      <w:r w:rsidRPr="007C25BD">
        <w:fldChar w:fldCharType="begin"/>
      </w:r>
      <w:r w:rsidRPr="007C25BD">
        <w:instrText xml:space="preserve"> AUTONUM  </w:instrText>
      </w:r>
      <w:r w:rsidRPr="007C25BD">
        <w:fldChar w:fldCharType="end"/>
      </w:r>
      <w:r w:rsidRPr="007C25BD">
        <w:tab/>
        <w:t xml:space="preserve">The purpose of this document is to </w:t>
      </w:r>
      <w:r>
        <w:t>report developments concerning molecular techniques in relation to the</w:t>
      </w:r>
      <w:r>
        <w:rPr>
          <w:rFonts w:hint="eastAsia"/>
          <w:lang w:eastAsia="ja-JP"/>
        </w:rPr>
        <w:t xml:space="preserve"> </w:t>
      </w:r>
      <w:r>
        <w:t xml:space="preserve">Technical </w:t>
      </w:r>
      <w:r w:rsidR="00F420B2">
        <w:t>Committee</w:t>
      </w:r>
      <w:r>
        <w:rPr>
          <w:rFonts w:hint="eastAsia"/>
          <w:lang w:eastAsia="ja-JP"/>
        </w:rPr>
        <w:t xml:space="preserve">, and on a </w:t>
      </w:r>
      <w:r>
        <w:rPr>
          <w:lang w:eastAsia="ja-JP"/>
        </w:rPr>
        <w:t>question and answer concerning the information on the situation in UPOV with regard to the use of molecular techniques for a wider audience, including the public in general</w:t>
      </w:r>
      <w:r>
        <w:t>.</w:t>
      </w:r>
    </w:p>
    <w:p w:rsidR="00C30D44" w:rsidRDefault="00C30D44" w:rsidP="003D060A">
      <w:pPr>
        <w:rPr>
          <w:lang w:eastAsia="ja-JP"/>
        </w:rPr>
      </w:pPr>
    </w:p>
    <w:p w:rsidR="00C30D44" w:rsidRDefault="00C30D44" w:rsidP="003D060A">
      <w:pPr>
        <w:rPr>
          <w:lang w:eastAsia="ja-JP"/>
        </w:rPr>
      </w:pPr>
      <w:r w:rsidRPr="007C25BD">
        <w:fldChar w:fldCharType="begin"/>
      </w:r>
      <w:r w:rsidRPr="007C25BD">
        <w:instrText xml:space="preserve"> AUTONUM  </w:instrText>
      </w:r>
      <w:r w:rsidRPr="007C25BD">
        <w:fldChar w:fldCharType="end"/>
      </w:r>
      <w:r w:rsidRPr="007C25BD">
        <w:tab/>
      </w:r>
      <w:r w:rsidRPr="00CE38A5">
        <w:rPr>
          <w:rFonts w:hint="eastAsia"/>
          <w:lang w:eastAsia="ja-JP"/>
        </w:rPr>
        <w:t xml:space="preserve">The </w:t>
      </w:r>
      <w:r>
        <w:rPr>
          <w:lang w:eastAsia="ja-JP"/>
        </w:rPr>
        <w:t xml:space="preserve">CAJ is </w:t>
      </w:r>
      <w:r w:rsidRPr="00CE38A5">
        <w:rPr>
          <w:rFonts w:hint="eastAsia"/>
          <w:lang w:eastAsia="ja-JP"/>
        </w:rPr>
        <w:t>invited to</w:t>
      </w:r>
      <w:r>
        <w:rPr>
          <w:lang w:eastAsia="ja-JP"/>
        </w:rPr>
        <w:t xml:space="preserve"> note</w:t>
      </w:r>
      <w:r w:rsidR="00200380">
        <w:rPr>
          <w:lang w:eastAsia="ja-JP"/>
        </w:rPr>
        <w:t xml:space="preserve"> that</w:t>
      </w:r>
      <w:r w:rsidRPr="00CE38A5">
        <w:rPr>
          <w:rFonts w:hint="eastAsia"/>
          <w:lang w:eastAsia="ja-JP"/>
        </w:rPr>
        <w:t>:</w:t>
      </w:r>
    </w:p>
    <w:p w:rsidR="00C30D44" w:rsidRDefault="00C30D44" w:rsidP="003D060A">
      <w:pPr>
        <w:ind w:left="540" w:hanging="540"/>
        <w:rPr>
          <w:lang w:eastAsia="ja-JP"/>
        </w:rPr>
      </w:pPr>
    </w:p>
    <w:p w:rsidR="00C30D44" w:rsidRPr="007E745C" w:rsidRDefault="00C30D44" w:rsidP="003D060A">
      <w:r>
        <w:tab/>
      </w:r>
      <w:r w:rsidRPr="007E745C">
        <w:t>(</w:t>
      </w:r>
      <w:r w:rsidR="00F420B2">
        <w:t>a</w:t>
      </w:r>
      <w:r w:rsidRPr="007E745C">
        <w:t>)</w:t>
      </w:r>
      <w:r w:rsidRPr="007E745C">
        <w:tab/>
        <w:t xml:space="preserve">a question and answer concerning the information on the situation in UPOV with regard to the use of molecular techniques for a wider audience, including the public in general, </w:t>
      </w:r>
      <w:r>
        <w:t xml:space="preserve">as set out in </w:t>
      </w:r>
      <w:r w:rsidR="00566A62">
        <w:t xml:space="preserve"> </w:t>
      </w:r>
      <w:r>
        <w:t xml:space="preserve">paragraph </w:t>
      </w:r>
      <w:r w:rsidR="00F420B2">
        <w:t>7</w:t>
      </w:r>
      <w:r>
        <w:t xml:space="preserve">, </w:t>
      </w:r>
      <w:r w:rsidRPr="007E745C">
        <w:t xml:space="preserve">was adopted by the Council, at its fiftieth </w:t>
      </w:r>
      <w:r w:rsidR="00566A62">
        <w:t xml:space="preserve">ordinary </w:t>
      </w:r>
      <w:r w:rsidRPr="007E745C">
        <w:t>session;</w:t>
      </w:r>
    </w:p>
    <w:p w:rsidR="00C30D44" w:rsidRPr="007E745C" w:rsidRDefault="00C30D44" w:rsidP="003D060A">
      <w:pPr>
        <w:rPr>
          <w:lang w:eastAsia="ja-JP"/>
        </w:rPr>
      </w:pPr>
    </w:p>
    <w:p w:rsidR="00C30D44" w:rsidRPr="007E745C" w:rsidRDefault="00C30D44" w:rsidP="003D060A">
      <w:r>
        <w:tab/>
      </w:r>
      <w:r w:rsidRPr="007E745C">
        <w:t>(</w:t>
      </w:r>
      <w:r w:rsidR="00F420B2">
        <w:rPr>
          <w:lang w:eastAsia="ja-JP"/>
        </w:rPr>
        <w:t>b</w:t>
      </w:r>
      <w:r w:rsidRPr="007E745C">
        <w:t>)</w:t>
      </w:r>
      <w:r w:rsidRPr="007E745C">
        <w:tab/>
        <w:t xml:space="preserve">the TC, at its fifty-third session, </w:t>
      </w:r>
      <w:r w:rsidRPr="007E745C">
        <w:rPr>
          <w:lang w:eastAsia="ja-JP"/>
        </w:rPr>
        <w:t>agreed that possible future collaboration between UPOV, OECD and ISTA might include the harmonization of terms and methodologies used for different crops and the possible development of standards, after agreement by th</w:t>
      </w:r>
      <w:r w:rsidRPr="007E745C">
        <w:rPr>
          <w:rFonts w:hint="eastAsia"/>
          <w:lang w:eastAsia="ja-JP"/>
        </w:rPr>
        <w:t>ose</w:t>
      </w:r>
      <w:r w:rsidRPr="007E745C">
        <w:rPr>
          <w:lang w:eastAsia="ja-JP"/>
        </w:rPr>
        <w:t xml:space="preserve"> organizations</w:t>
      </w:r>
      <w:r w:rsidRPr="007E745C">
        <w:t>;</w:t>
      </w:r>
    </w:p>
    <w:p w:rsidR="00C30D44" w:rsidRPr="00480F7A" w:rsidRDefault="00C30D44" w:rsidP="003D060A">
      <w:pPr>
        <w:ind w:firstLine="567"/>
      </w:pPr>
    </w:p>
    <w:p w:rsidR="00C30D44" w:rsidRDefault="00C30D44" w:rsidP="003D060A">
      <w:pPr>
        <w:ind w:firstLine="567"/>
      </w:pPr>
      <w:r>
        <w:t>(</w:t>
      </w:r>
      <w:r w:rsidR="000D3C80">
        <w:t>c</w:t>
      </w:r>
      <w:r>
        <w:t>)</w:t>
      </w:r>
      <w:r>
        <w:tab/>
        <w:t>the TC</w:t>
      </w:r>
      <w:r w:rsidRPr="00D51062">
        <w:t xml:space="preserve"> </w:t>
      </w:r>
      <w:r>
        <w:rPr>
          <w:lang w:eastAsia="ja-JP"/>
        </w:rPr>
        <w:t xml:space="preserve">agreed that UPOV and OECD should consider making progress in </w:t>
      </w:r>
      <w:r w:rsidR="00CA00D8">
        <w:rPr>
          <w:lang w:eastAsia="ja-JP"/>
        </w:rPr>
        <w:t xml:space="preserve">collaboration </w:t>
      </w:r>
      <w:r>
        <w:rPr>
          <w:lang w:eastAsia="ja-JP"/>
        </w:rPr>
        <w:t>if ISTA was unable to participate in the near future</w:t>
      </w:r>
      <w:r>
        <w:t>;</w:t>
      </w:r>
    </w:p>
    <w:p w:rsidR="00C30D44" w:rsidRDefault="00C30D44" w:rsidP="003D060A"/>
    <w:p w:rsidR="00C30D44" w:rsidRDefault="00C30D44" w:rsidP="003D060A">
      <w:pPr>
        <w:ind w:firstLine="567"/>
        <w:rPr>
          <w:lang w:eastAsia="ja-JP"/>
        </w:rPr>
      </w:pPr>
      <w:r>
        <w:t>(</w:t>
      </w:r>
      <w:r w:rsidR="000D3C80">
        <w:t>d</w:t>
      </w:r>
      <w:r>
        <w:t>)</w:t>
      </w:r>
      <w:r>
        <w:tab/>
        <w:t xml:space="preserve">the TC </w:t>
      </w:r>
      <w:r w:rsidRPr="00D51062">
        <w:t>agreed to propose that the meetings of the BMT be held on an annual basis and that consideration be given to organizing the sessions of the TWC and BMT back-to-back in the same location to facilitate exchange of information</w:t>
      </w:r>
      <w:r w:rsidR="000D3C80">
        <w:t>; and</w:t>
      </w:r>
    </w:p>
    <w:p w:rsidR="000D3C80" w:rsidRPr="007E745C" w:rsidRDefault="000D3C80" w:rsidP="000D3C80"/>
    <w:p w:rsidR="000D3C80" w:rsidRPr="007E745C" w:rsidRDefault="000D3C80" w:rsidP="000D3C80">
      <w:r>
        <w:tab/>
      </w:r>
      <w:r w:rsidRPr="007E745C">
        <w:t>(</w:t>
      </w:r>
      <w:r>
        <w:t>e</w:t>
      </w:r>
      <w:r w:rsidRPr="007E745C">
        <w:t>)</w:t>
      </w:r>
      <w:r w:rsidRPr="007E745C">
        <w:tab/>
      </w:r>
      <w:r>
        <w:t>practical workshop</w:t>
      </w:r>
      <w:r w:rsidR="00CA00D8">
        <w:t xml:space="preserve">s on </w:t>
      </w:r>
      <w:r>
        <w:t>“DNA Techniques and Variety Identification” w</w:t>
      </w:r>
      <w:r w:rsidR="00CA00D8">
        <w:t>ere</w:t>
      </w:r>
      <w:r>
        <w:t xml:space="preserve"> held</w:t>
      </w:r>
      <w:r w:rsidRPr="00D51062">
        <w:rPr>
          <w:lang w:eastAsia="ja-JP"/>
        </w:rPr>
        <w:t xml:space="preserve"> in Roelofarendsveen, Netherlands, from May 8 to 10, 2017</w:t>
      </w:r>
      <w:r>
        <w:rPr>
          <w:lang w:eastAsia="ja-JP"/>
        </w:rPr>
        <w:t xml:space="preserve"> and </w:t>
      </w:r>
      <w:r>
        <w:rPr>
          <w:rFonts w:cs="Arial"/>
          <w:iCs/>
        </w:rPr>
        <w:t xml:space="preserve">from </w:t>
      </w:r>
      <w:r>
        <w:rPr>
          <w:rFonts w:cs="Arial"/>
        </w:rPr>
        <w:t>September 20 to 22</w:t>
      </w:r>
      <w:r w:rsidRPr="009C474E">
        <w:rPr>
          <w:rFonts w:cs="Arial"/>
          <w:iCs/>
        </w:rPr>
        <w:t xml:space="preserve">, </w:t>
      </w:r>
      <w:r>
        <w:rPr>
          <w:rFonts w:cs="Arial"/>
          <w:iCs/>
        </w:rPr>
        <w:t>2017</w:t>
      </w:r>
      <w:r>
        <w:t>.</w:t>
      </w:r>
    </w:p>
    <w:p w:rsidR="00C30D44" w:rsidRDefault="00C30D44" w:rsidP="003D060A">
      <w:pPr>
        <w:rPr>
          <w:lang w:eastAsia="ja-JP"/>
        </w:rPr>
      </w:pPr>
    </w:p>
    <w:p w:rsidR="00C30D44" w:rsidRPr="00D10599" w:rsidRDefault="00C30D44" w:rsidP="00377F7C">
      <w:pPr>
        <w:keepNext/>
      </w:pPr>
      <w:r w:rsidRPr="007C25BD">
        <w:fldChar w:fldCharType="begin"/>
      </w:r>
      <w:r w:rsidRPr="007C25BD">
        <w:instrText xml:space="preserve"> AUTONUM  </w:instrText>
      </w:r>
      <w:r w:rsidRPr="007C25BD">
        <w:fldChar w:fldCharType="end"/>
      </w:r>
      <w:r w:rsidRPr="00F11BFD">
        <w:tab/>
      </w:r>
      <w:r w:rsidRPr="00D10599">
        <w:t>The following abbreviations are used in this document:</w:t>
      </w:r>
    </w:p>
    <w:p w:rsidR="00C30D44" w:rsidRPr="007C25BD" w:rsidRDefault="00C30D44" w:rsidP="00377F7C">
      <w:pPr>
        <w:keepNext/>
        <w:ind w:left="1692" w:hanging="1125"/>
        <w:jc w:val="left"/>
        <w:rPr>
          <w:color w:val="000000"/>
        </w:rPr>
      </w:pPr>
    </w:p>
    <w:p w:rsidR="00C30D44" w:rsidRPr="007C25BD" w:rsidRDefault="00C30D44" w:rsidP="00377F7C">
      <w:pPr>
        <w:keepNext/>
        <w:tabs>
          <w:tab w:val="left" w:pos="567"/>
        </w:tabs>
        <w:ind w:left="1560" w:hanging="993"/>
      </w:pPr>
      <w:r w:rsidRPr="007C25BD">
        <w:t>BMT:</w:t>
      </w:r>
      <w:r w:rsidRPr="007C25BD">
        <w:tab/>
        <w:t>Working Group on Biochemical and Molecular Techniques, and DNA-Profiling</w:t>
      </w:r>
      <w:r>
        <w:t xml:space="preserve"> </w:t>
      </w:r>
      <w:r w:rsidRPr="007C25BD">
        <w:t xml:space="preserve">in Particular </w:t>
      </w:r>
    </w:p>
    <w:p w:rsidR="00C30D44" w:rsidRPr="007C25BD" w:rsidRDefault="00C30D44" w:rsidP="00377F7C">
      <w:pPr>
        <w:keepNext/>
        <w:tabs>
          <w:tab w:val="left" w:pos="567"/>
        </w:tabs>
        <w:ind w:left="1560" w:hanging="993"/>
      </w:pPr>
      <w:r w:rsidRPr="007C25BD">
        <w:t>CAJ:</w:t>
      </w:r>
      <w:r w:rsidRPr="007C25BD">
        <w:tab/>
        <w:t>Administrative and Legal Committee</w:t>
      </w:r>
    </w:p>
    <w:p w:rsidR="00C30D44" w:rsidRPr="007C25BD" w:rsidRDefault="00C30D44" w:rsidP="00377F7C">
      <w:pPr>
        <w:keepNext/>
        <w:tabs>
          <w:tab w:val="left" w:pos="567"/>
        </w:tabs>
        <w:ind w:left="1560" w:hanging="993"/>
      </w:pPr>
      <w:r w:rsidRPr="007C25BD">
        <w:t>TC:</w:t>
      </w:r>
      <w:r w:rsidRPr="007C25BD">
        <w:tab/>
        <w:t>Technical Committee</w:t>
      </w:r>
    </w:p>
    <w:p w:rsidR="00C30D44" w:rsidRPr="009B48EB" w:rsidRDefault="00C30D44" w:rsidP="00377F7C">
      <w:pPr>
        <w:keepNext/>
        <w:ind w:left="1560" w:hanging="993"/>
        <w:rPr>
          <w:rFonts w:eastAsia="PMingLiU" w:cs="Arial"/>
          <w:szCs w:val="24"/>
        </w:rPr>
      </w:pPr>
      <w:r w:rsidRPr="009B48EB">
        <w:rPr>
          <w:rFonts w:eastAsia="PMingLiU" w:cs="Arial"/>
          <w:szCs w:val="24"/>
        </w:rPr>
        <w:t>TWC:</w:t>
      </w:r>
      <w:r w:rsidRPr="009B48EB">
        <w:rPr>
          <w:rFonts w:eastAsia="PMingLiU" w:cs="Arial"/>
          <w:szCs w:val="24"/>
        </w:rPr>
        <w:tab/>
        <w:t>Technical Working Party on Automation and Computer Programs</w:t>
      </w:r>
    </w:p>
    <w:p w:rsidR="00C30D44" w:rsidRDefault="00C30D44" w:rsidP="00377F7C">
      <w:pPr>
        <w:keepNext/>
        <w:ind w:left="1560" w:hanging="993"/>
        <w:rPr>
          <w:rFonts w:eastAsia="PMingLiU" w:cs="Arial"/>
          <w:snapToGrid w:val="0"/>
          <w:szCs w:val="24"/>
        </w:rPr>
      </w:pPr>
      <w:r>
        <w:rPr>
          <w:rFonts w:eastAsia="PMingLiU" w:cs="Arial"/>
          <w:szCs w:val="24"/>
        </w:rPr>
        <w:t>OECD:</w:t>
      </w:r>
      <w:r>
        <w:rPr>
          <w:rFonts w:eastAsia="PMingLiU" w:cs="Arial"/>
          <w:szCs w:val="24"/>
        </w:rPr>
        <w:tab/>
      </w:r>
      <w:r w:rsidRPr="006D5C91">
        <w:rPr>
          <w:rFonts w:eastAsia="PMingLiU" w:cs="Arial"/>
          <w:snapToGrid w:val="0"/>
          <w:szCs w:val="24"/>
        </w:rPr>
        <w:t>Organization for Economic Co-operation and Development</w:t>
      </w:r>
    </w:p>
    <w:p w:rsidR="00C30D44" w:rsidRPr="007B39D6" w:rsidRDefault="00C30D44" w:rsidP="00377F7C">
      <w:pPr>
        <w:keepNext/>
        <w:ind w:left="1560" w:hanging="993"/>
        <w:rPr>
          <w:rFonts w:cs="Arial"/>
          <w:szCs w:val="24"/>
          <w:lang w:eastAsia="ja-JP"/>
        </w:rPr>
      </w:pPr>
      <w:r>
        <w:rPr>
          <w:rFonts w:cs="Arial" w:hint="eastAsia"/>
          <w:snapToGrid w:val="0"/>
          <w:szCs w:val="24"/>
          <w:lang w:eastAsia="ja-JP"/>
        </w:rPr>
        <w:t>AOSA:</w:t>
      </w:r>
      <w:r>
        <w:rPr>
          <w:rFonts w:cs="Arial" w:hint="eastAsia"/>
          <w:snapToGrid w:val="0"/>
          <w:szCs w:val="24"/>
          <w:lang w:eastAsia="ja-JP"/>
        </w:rPr>
        <w:tab/>
      </w:r>
      <w:r w:rsidRPr="009765A5">
        <w:rPr>
          <w:lang w:eastAsia="ja-JP"/>
        </w:rPr>
        <w:t>Associ</w:t>
      </w:r>
      <w:r>
        <w:rPr>
          <w:lang w:eastAsia="ja-JP"/>
        </w:rPr>
        <w:t>ation of Official Seed Analysts</w:t>
      </w:r>
    </w:p>
    <w:p w:rsidR="00C30D44" w:rsidRDefault="00C30D44" w:rsidP="00377F7C">
      <w:pPr>
        <w:keepNext/>
        <w:ind w:left="1560" w:hanging="993"/>
        <w:rPr>
          <w:rFonts w:cs="Arial"/>
          <w:snapToGrid w:val="0"/>
          <w:szCs w:val="24"/>
          <w:lang w:eastAsia="ja-JP"/>
        </w:rPr>
      </w:pPr>
      <w:r>
        <w:rPr>
          <w:rFonts w:eastAsia="PMingLiU" w:cs="Arial"/>
          <w:snapToGrid w:val="0"/>
          <w:szCs w:val="24"/>
          <w:lang w:eastAsia="fr-FR"/>
        </w:rPr>
        <w:t xml:space="preserve">ISTA: </w:t>
      </w:r>
      <w:r>
        <w:rPr>
          <w:rFonts w:eastAsia="PMingLiU" w:cs="Arial"/>
          <w:snapToGrid w:val="0"/>
          <w:szCs w:val="24"/>
          <w:lang w:eastAsia="fr-FR"/>
        </w:rPr>
        <w:tab/>
      </w:r>
      <w:r w:rsidRPr="006D5C91">
        <w:rPr>
          <w:rFonts w:eastAsia="PMingLiU" w:cs="Arial"/>
          <w:snapToGrid w:val="0"/>
          <w:szCs w:val="24"/>
          <w:lang w:eastAsia="fr-FR"/>
        </w:rPr>
        <w:t>International Seed Testing Association</w:t>
      </w:r>
    </w:p>
    <w:p w:rsidR="00C30D44" w:rsidRDefault="00C30D44" w:rsidP="003D060A"/>
    <w:p w:rsidR="00C30D44" w:rsidRDefault="00C30D44" w:rsidP="001A61F9">
      <w:pPr>
        <w:keepNext/>
      </w:pPr>
      <w:r w:rsidRPr="007C25BD">
        <w:fldChar w:fldCharType="begin"/>
      </w:r>
      <w:r w:rsidRPr="007C25BD">
        <w:instrText xml:space="preserve"> AUTONUM  </w:instrText>
      </w:r>
      <w:r w:rsidRPr="007C25BD">
        <w:fldChar w:fldCharType="end"/>
      </w:r>
      <w:r w:rsidRPr="00F11BFD">
        <w:tab/>
        <w:t>The structure of this document is as follows:</w:t>
      </w:r>
    </w:p>
    <w:p w:rsidR="00C30D44" w:rsidRPr="00C30D44" w:rsidRDefault="00C30D44" w:rsidP="001A61F9">
      <w:pPr>
        <w:keepNext/>
        <w:rPr>
          <w:sz w:val="16"/>
        </w:rPr>
      </w:pPr>
    </w:p>
    <w:sdt>
      <w:sdtPr>
        <w:rPr>
          <w:smallCaps/>
        </w:rPr>
        <w:id w:val="-1800911247"/>
        <w:docPartObj>
          <w:docPartGallery w:val="Table of Contents"/>
          <w:docPartUnique/>
        </w:docPartObj>
      </w:sdtPr>
      <w:sdtEndPr>
        <w:rPr>
          <w:smallCaps w:val="0"/>
          <w:noProof/>
          <w:sz w:val="12"/>
        </w:rPr>
      </w:sdtEndPr>
      <w:sdtContent>
        <w:p w:rsidR="00C30D44" w:rsidRPr="00C30D44" w:rsidRDefault="00C30D44" w:rsidP="001A61F9">
          <w:pPr>
            <w:keepNext/>
            <w:rPr>
              <w:rFonts w:cs="Arial"/>
              <w:b/>
              <w:sz w:val="2"/>
            </w:rPr>
          </w:pPr>
        </w:p>
        <w:p w:rsidR="001A61F9" w:rsidRDefault="00C30D44" w:rsidP="001A61F9">
          <w:pPr>
            <w:pStyle w:val="TOC1"/>
            <w:keepNext/>
            <w:rPr>
              <w:rFonts w:asciiTheme="minorHAnsi" w:eastAsiaTheme="minorEastAsia" w:hAnsiTheme="minorHAnsi" w:cstheme="minorBidi"/>
              <w:bCs w:val="0"/>
              <w:caps w:val="0"/>
              <w:sz w:val="22"/>
              <w:szCs w:val="22"/>
              <w:lang w:eastAsia="ja-JP"/>
            </w:rPr>
          </w:pPr>
          <w:r w:rsidRPr="00FE318A">
            <w:rPr>
              <w:bCs w:val="0"/>
              <w:noProof w:val="0"/>
              <w:sz w:val="20"/>
            </w:rPr>
            <w:fldChar w:fldCharType="begin"/>
          </w:r>
          <w:r w:rsidRPr="00FE318A">
            <w:instrText xml:space="preserve"> TOC \o "1-3" \h \z \u </w:instrText>
          </w:r>
          <w:r w:rsidRPr="00FE318A">
            <w:rPr>
              <w:bCs w:val="0"/>
              <w:noProof w:val="0"/>
              <w:sz w:val="20"/>
            </w:rPr>
            <w:fldChar w:fldCharType="separate"/>
          </w:r>
          <w:hyperlink w:anchor="_Toc495070986" w:history="1">
            <w:r w:rsidR="001A61F9" w:rsidRPr="00887A7B">
              <w:rPr>
                <w:rStyle w:val="Hyperlink"/>
                <w:lang w:eastAsia="ja-JP"/>
              </w:rPr>
              <w:t>Executive summary</w:t>
            </w:r>
            <w:r w:rsidR="001A61F9">
              <w:rPr>
                <w:webHidden/>
              </w:rPr>
              <w:tab/>
            </w:r>
            <w:r w:rsidR="001A61F9">
              <w:rPr>
                <w:webHidden/>
              </w:rPr>
              <w:fldChar w:fldCharType="begin"/>
            </w:r>
            <w:r w:rsidR="001A61F9">
              <w:rPr>
                <w:webHidden/>
              </w:rPr>
              <w:instrText xml:space="preserve"> PAGEREF _Toc495070986 \h </w:instrText>
            </w:r>
            <w:r w:rsidR="001A61F9">
              <w:rPr>
                <w:webHidden/>
              </w:rPr>
            </w:r>
            <w:r w:rsidR="001A61F9">
              <w:rPr>
                <w:webHidden/>
              </w:rPr>
              <w:fldChar w:fldCharType="separate"/>
            </w:r>
            <w:r w:rsidR="009648C1">
              <w:rPr>
                <w:webHidden/>
              </w:rPr>
              <w:t>1</w:t>
            </w:r>
            <w:r w:rsidR="001A61F9">
              <w:rPr>
                <w:webHidden/>
              </w:rPr>
              <w:fldChar w:fldCharType="end"/>
            </w:r>
          </w:hyperlink>
        </w:p>
        <w:p w:rsidR="001A61F9" w:rsidRDefault="009648C1" w:rsidP="001A61F9">
          <w:pPr>
            <w:pStyle w:val="TOC1"/>
            <w:keepNext/>
            <w:rPr>
              <w:rFonts w:asciiTheme="minorHAnsi" w:eastAsiaTheme="minorEastAsia" w:hAnsiTheme="minorHAnsi" w:cstheme="minorBidi"/>
              <w:bCs w:val="0"/>
              <w:caps w:val="0"/>
              <w:sz w:val="22"/>
              <w:szCs w:val="22"/>
              <w:lang w:eastAsia="ja-JP"/>
            </w:rPr>
          </w:pPr>
          <w:hyperlink w:anchor="_Toc495070987" w:history="1">
            <w:r w:rsidR="001A61F9" w:rsidRPr="00887A7B">
              <w:rPr>
                <w:rStyle w:val="Hyperlink"/>
                <w:lang w:eastAsia="ja-JP"/>
              </w:rPr>
              <w:t>Presentation of information on the situation in UPOV with regard to the use of molecular techniques</w:t>
            </w:r>
            <w:r w:rsidR="001A61F9">
              <w:rPr>
                <w:webHidden/>
              </w:rPr>
              <w:tab/>
            </w:r>
            <w:r w:rsidR="001A61F9">
              <w:rPr>
                <w:webHidden/>
              </w:rPr>
              <w:fldChar w:fldCharType="begin"/>
            </w:r>
            <w:r w:rsidR="001A61F9">
              <w:rPr>
                <w:webHidden/>
              </w:rPr>
              <w:instrText xml:space="preserve"> PAGEREF _Toc495070987 \h </w:instrText>
            </w:r>
            <w:r w:rsidR="001A61F9">
              <w:rPr>
                <w:webHidden/>
              </w:rPr>
            </w:r>
            <w:r w:rsidR="001A61F9">
              <w:rPr>
                <w:webHidden/>
              </w:rPr>
              <w:fldChar w:fldCharType="separate"/>
            </w:r>
            <w:r>
              <w:rPr>
                <w:webHidden/>
              </w:rPr>
              <w:t>2</w:t>
            </w:r>
            <w:r w:rsidR="001A61F9">
              <w:rPr>
                <w:webHidden/>
              </w:rPr>
              <w:fldChar w:fldCharType="end"/>
            </w:r>
          </w:hyperlink>
        </w:p>
        <w:p w:rsidR="001A61F9" w:rsidRDefault="009648C1" w:rsidP="001A61F9">
          <w:pPr>
            <w:pStyle w:val="TOC1"/>
            <w:keepNext/>
            <w:rPr>
              <w:rFonts w:asciiTheme="minorHAnsi" w:eastAsiaTheme="minorEastAsia" w:hAnsiTheme="minorHAnsi" w:cstheme="minorBidi"/>
              <w:bCs w:val="0"/>
              <w:caps w:val="0"/>
              <w:sz w:val="22"/>
              <w:szCs w:val="22"/>
              <w:lang w:eastAsia="ja-JP"/>
            </w:rPr>
          </w:pPr>
          <w:hyperlink w:anchor="_Toc495070988" w:history="1">
            <w:r w:rsidR="001A61F9" w:rsidRPr="00887A7B">
              <w:rPr>
                <w:rStyle w:val="Hyperlink"/>
                <w:lang w:eastAsia="ja-JP"/>
              </w:rPr>
              <w:t>Developments at the fifty-third session of the Tc</w:t>
            </w:r>
            <w:r w:rsidR="001A61F9">
              <w:rPr>
                <w:webHidden/>
              </w:rPr>
              <w:tab/>
            </w:r>
            <w:r w:rsidR="001A61F9">
              <w:rPr>
                <w:webHidden/>
              </w:rPr>
              <w:fldChar w:fldCharType="begin"/>
            </w:r>
            <w:r w:rsidR="001A61F9">
              <w:rPr>
                <w:webHidden/>
              </w:rPr>
              <w:instrText xml:space="preserve"> PAGEREF _Toc495070988 \h </w:instrText>
            </w:r>
            <w:r w:rsidR="001A61F9">
              <w:rPr>
                <w:webHidden/>
              </w:rPr>
            </w:r>
            <w:r w:rsidR="001A61F9">
              <w:rPr>
                <w:webHidden/>
              </w:rPr>
              <w:fldChar w:fldCharType="separate"/>
            </w:r>
            <w:r>
              <w:rPr>
                <w:webHidden/>
              </w:rPr>
              <w:t>2</w:t>
            </w:r>
            <w:r w:rsidR="001A61F9">
              <w:rPr>
                <w:webHidden/>
              </w:rPr>
              <w:fldChar w:fldCharType="end"/>
            </w:r>
          </w:hyperlink>
        </w:p>
        <w:p w:rsidR="00C30D44" w:rsidRDefault="00C30D44" w:rsidP="001A61F9">
          <w:pPr>
            <w:keepNext/>
            <w:rPr>
              <w:lang w:eastAsia="ja-JP"/>
            </w:rPr>
          </w:pPr>
          <w:r w:rsidRPr="00FE318A">
            <w:rPr>
              <w:noProof/>
            </w:rPr>
            <w:fldChar w:fldCharType="end"/>
          </w:r>
        </w:p>
      </w:sdtContent>
    </w:sdt>
    <w:bookmarkStart w:id="3" w:name="_Toc410822402" w:displacedByCustomXml="prev"/>
    <w:bookmarkStart w:id="4" w:name="_Toc410822806" w:displacedByCustomXml="prev"/>
    <w:bookmarkStart w:id="5" w:name="_Toc410823313" w:displacedByCustomXml="prev"/>
    <w:bookmarkStart w:id="6" w:name="_Toc410899581" w:displacedByCustomXml="prev"/>
    <w:bookmarkEnd w:id="6"/>
    <w:bookmarkEnd w:id="5"/>
    <w:bookmarkEnd w:id="4"/>
    <w:bookmarkEnd w:id="3"/>
    <w:p w:rsidR="00C30D44" w:rsidRDefault="00C30D44" w:rsidP="003D060A">
      <w:pPr>
        <w:rPr>
          <w:lang w:eastAsia="ja-JP"/>
        </w:rPr>
      </w:pPr>
    </w:p>
    <w:p w:rsidR="00C30D44" w:rsidRPr="009765A5" w:rsidRDefault="00C30D44" w:rsidP="00CD5174">
      <w:pPr>
        <w:pStyle w:val="Heading1"/>
        <w:keepLines/>
        <w:rPr>
          <w:lang w:eastAsia="ja-JP"/>
        </w:rPr>
      </w:pPr>
      <w:bookmarkStart w:id="7" w:name="_Toc495070987"/>
      <w:r>
        <w:rPr>
          <w:lang w:eastAsia="ja-JP"/>
        </w:rPr>
        <w:lastRenderedPageBreak/>
        <w:t>Presentation of i</w:t>
      </w:r>
      <w:r w:rsidRPr="009765A5">
        <w:rPr>
          <w:lang w:eastAsia="ja-JP"/>
        </w:rPr>
        <w:t>nformation on the situation in UPOV with regard to the use of molecular techniques</w:t>
      </w:r>
      <w:bookmarkEnd w:id="7"/>
    </w:p>
    <w:p w:rsidR="00C30D44" w:rsidRDefault="00C30D44" w:rsidP="00CD5174">
      <w:pPr>
        <w:keepNext/>
        <w:keepLines/>
        <w:rPr>
          <w:lang w:eastAsia="ja-JP"/>
        </w:rPr>
      </w:pPr>
    </w:p>
    <w:p w:rsidR="00C30D44" w:rsidRDefault="00C30D44" w:rsidP="00CD5174">
      <w:pPr>
        <w:keepNext/>
        <w:keepLines/>
      </w:pPr>
      <w:r w:rsidRPr="0074496A">
        <w:fldChar w:fldCharType="begin"/>
      </w:r>
      <w:r w:rsidRPr="0074496A">
        <w:instrText xml:space="preserve"> AUTONUM  </w:instrText>
      </w:r>
      <w:r w:rsidRPr="0074496A">
        <w:fldChar w:fldCharType="end"/>
      </w:r>
      <w:r w:rsidRPr="0074496A">
        <w:tab/>
        <w:t xml:space="preserve">The </w:t>
      </w:r>
      <w:r w:rsidR="00595437">
        <w:t>background of this matter is provided in document CAJ/73/9 “Molecular Techniques”</w:t>
      </w:r>
      <w:r w:rsidRPr="00C30D44">
        <w:rPr>
          <w:rStyle w:val="FootnoteReference"/>
          <w:vertAlign w:val="baseline"/>
        </w:rPr>
        <w:t>.</w:t>
      </w:r>
    </w:p>
    <w:p w:rsidR="00C30D44" w:rsidRDefault="00C30D44" w:rsidP="003D060A">
      <w:pPr>
        <w:rPr>
          <w:snapToGrid w:val="0"/>
          <w:lang w:eastAsia="ja-JP"/>
        </w:rPr>
      </w:pPr>
    </w:p>
    <w:p w:rsidR="00C30D44" w:rsidRPr="005E6817" w:rsidRDefault="00C30D44" w:rsidP="00FB1D90">
      <w:pPr>
        <w:rPr>
          <w:lang w:eastAsia="ja-JP"/>
        </w:rPr>
      </w:pPr>
      <w:r w:rsidRPr="00C71373">
        <w:rPr>
          <w:snapToGrid w:val="0"/>
        </w:rPr>
        <w:fldChar w:fldCharType="begin"/>
      </w:r>
      <w:r w:rsidRPr="00C71373">
        <w:rPr>
          <w:snapToGrid w:val="0"/>
        </w:rPr>
        <w:instrText xml:space="preserve"> AUTONUM  </w:instrText>
      </w:r>
      <w:r w:rsidRPr="00C71373">
        <w:rPr>
          <w:snapToGrid w:val="0"/>
        </w:rPr>
        <w:fldChar w:fldCharType="end"/>
      </w:r>
      <w:r w:rsidRPr="00C71373">
        <w:tab/>
        <w:t>The C</w:t>
      </w:r>
      <w:r w:rsidRPr="00C71373">
        <w:rPr>
          <w:rFonts w:hint="eastAsia"/>
          <w:lang w:eastAsia="ja-JP"/>
        </w:rPr>
        <w:t>AJ</w:t>
      </w:r>
      <w:r>
        <w:rPr>
          <w:rFonts w:hint="eastAsia"/>
          <w:lang w:eastAsia="ja-JP"/>
        </w:rPr>
        <w:t>, at its seventy-third session</w:t>
      </w:r>
      <w:r>
        <w:rPr>
          <w:lang w:eastAsia="ja-JP"/>
        </w:rPr>
        <w:t>,</w:t>
      </w:r>
      <w:r w:rsidRPr="00664020">
        <w:rPr>
          <w:rStyle w:val="FootnoteReference"/>
          <w:rFonts w:cs="Arial"/>
        </w:rPr>
        <w:footnoteReference w:id="1"/>
      </w:r>
      <w:r w:rsidRPr="00C71373">
        <w:t xml:space="preserve"> agreed the draft question and answer concerning the information on the situation in UPOV with regard to the use of molecular techniques for a wider audience, including the public in general, as </w:t>
      </w:r>
      <w:r>
        <w:rPr>
          <w:rFonts w:hint="eastAsia"/>
          <w:lang w:eastAsia="ja-JP"/>
        </w:rPr>
        <w:t>agreed by the TC, at its fifty-second session</w:t>
      </w:r>
      <w:r w:rsidRPr="00C30D44">
        <w:rPr>
          <w:rStyle w:val="FootnoteReference"/>
          <w:vertAlign w:val="baseline"/>
        </w:rPr>
        <w:t>.</w:t>
      </w:r>
      <w:r w:rsidRPr="00CC3FCF">
        <w:rPr>
          <w:rStyle w:val="FootnoteReference"/>
        </w:rPr>
        <w:footnoteReference w:id="2"/>
      </w:r>
    </w:p>
    <w:p w:rsidR="00C30D44" w:rsidRPr="009765A5" w:rsidRDefault="00C30D44" w:rsidP="003D060A">
      <w:pPr>
        <w:rPr>
          <w:snapToGrid w:val="0"/>
          <w:lang w:eastAsia="ja-JP"/>
        </w:rPr>
      </w:pPr>
    </w:p>
    <w:p w:rsidR="00C30D44" w:rsidRDefault="00C30D44" w:rsidP="00595437">
      <w:pPr>
        <w:keepNext/>
        <w:keepLines/>
        <w:rPr>
          <w:color w:val="000000"/>
          <w:lang w:eastAsia="ja-JP"/>
        </w:rPr>
      </w:pPr>
      <w:r w:rsidRPr="00C71373">
        <w:rPr>
          <w:snapToGrid w:val="0"/>
        </w:rPr>
        <w:fldChar w:fldCharType="begin"/>
      </w:r>
      <w:r w:rsidRPr="00C71373">
        <w:rPr>
          <w:snapToGrid w:val="0"/>
        </w:rPr>
        <w:instrText xml:space="preserve"> AUTONUM  </w:instrText>
      </w:r>
      <w:r w:rsidRPr="00C71373">
        <w:rPr>
          <w:snapToGrid w:val="0"/>
        </w:rPr>
        <w:fldChar w:fldCharType="end"/>
      </w:r>
      <w:r w:rsidRPr="00C71373">
        <w:tab/>
      </w:r>
      <w:r>
        <w:rPr>
          <w:rFonts w:hint="eastAsia"/>
          <w:lang w:eastAsia="ja-JP"/>
        </w:rPr>
        <w:t xml:space="preserve">The Council, at its fiftieth </w:t>
      </w:r>
      <w:r w:rsidR="000D3C80">
        <w:rPr>
          <w:lang w:eastAsia="ja-JP"/>
        </w:rPr>
        <w:t xml:space="preserve">ordinary </w:t>
      </w:r>
      <w:r>
        <w:rPr>
          <w:rFonts w:hint="eastAsia"/>
          <w:lang w:eastAsia="ja-JP"/>
        </w:rPr>
        <w:t xml:space="preserve">session, </w:t>
      </w:r>
      <w:r w:rsidRPr="00B63FF2">
        <w:rPr>
          <w:color w:val="000000"/>
          <w:lang w:eastAsia="ja-JP"/>
        </w:rPr>
        <w:t>adopted the following FAQ concerning information on the situation in UPOV with regard to the use of molecular techniques for a wider audience (“FAQ on molecular techniques”), including the public in general</w:t>
      </w:r>
      <w:r>
        <w:rPr>
          <w:rFonts w:hint="eastAsia"/>
          <w:color w:val="000000"/>
          <w:lang w:eastAsia="ja-JP"/>
        </w:rPr>
        <w:t>:</w:t>
      </w:r>
      <w:r w:rsidR="00FB1D90" w:rsidRPr="00CC3FCF">
        <w:rPr>
          <w:rStyle w:val="FootnoteReference"/>
        </w:rPr>
        <w:footnoteReference w:id="3"/>
      </w:r>
    </w:p>
    <w:p w:rsidR="00C30D44" w:rsidRDefault="00C30D44" w:rsidP="003D060A"/>
    <w:p w:rsidR="00C30D44" w:rsidRPr="00CA6CB7" w:rsidRDefault="00C30D44" w:rsidP="003D060A">
      <w:pPr>
        <w:ind w:left="567"/>
        <w:rPr>
          <w:rFonts w:cs="Arial"/>
          <w:sz w:val="18"/>
          <w:szCs w:val="24"/>
        </w:rPr>
      </w:pPr>
      <w:r w:rsidRPr="00CA6CB7">
        <w:rPr>
          <w:rFonts w:cs="Arial"/>
          <w:sz w:val="18"/>
          <w:szCs w:val="24"/>
        </w:rPr>
        <w:t>“Is it possible to obtain protection of a variety on the basis of its DNA-profile?</w:t>
      </w:r>
    </w:p>
    <w:p w:rsidR="00C30D44" w:rsidRPr="00FB1D90" w:rsidRDefault="00C30D44" w:rsidP="003D060A">
      <w:pPr>
        <w:ind w:left="567" w:right="567"/>
        <w:rPr>
          <w:rFonts w:cs="Arial"/>
          <w:sz w:val="14"/>
          <w:szCs w:val="24"/>
        </w:rPr>
      </w:pPr>
    </w:p>
    <w:p w:rsidR="00C30D44" w:rsidRPr="00CA4686" w:rsidRDefault="00C30D44" w:rsidP="003D060A">
      <w:pPr>
        <w:ind w:left="567" w:right="567"/>
        <w:rPr>
          <w:rFonts w:cs="Arial"/>
          <w:sz w:val="18"/>
        </w:rPr>
      </w:pPr>
      <w:r w:rsidRPr="00DE22A7">
        <w:rPr>
          <w:rFonts w:cs="Arial"/>
          <w:sz w:val="18"/>
        </w:rPr>
        <w:t>“For a variety to be protected, it needs to be clearly distinguishable from all existing varieties on the basis of characteristics that are physically expressed, e.g. plant height, time of flowering, fruit color, disease resistance etc.</w:t>
      </w:r>
      <w:r>
        <w:rPr>
          <w:rFonts w:cs="Arial"/>
          <w:sz w:val="18"/>
        </w:rPr>
        <w:t xml:space="preserve"> </w:t>
      </w:r>
      <w:r w:rsidRPr="00DE22A7">
        <w:rPr>
          <w:rFonts w:cs="Arial"/>
          <w:sz w:val="18"/>
        </w:rPr>
        <w:t xml:space="preserve"> </w:t>
      </w:r>
      <w:r w:rsidRPr="00335806">
        <w:rPr>
          <w:rFonts w:cs="Arial"/>
          <w:sz w:val="18"/>
        </w:rPr>
        <w:t>The DNA</w:t>
      </w:r>
      <w:r>
        <w:rPr>
          <w:rFonts w:cs="Arial"/>
          <w:sz w:val="18"/>
        </w:rPr>
        <w:t>-</w:t>
      </w:r>
      <w:r w:rsidRPr="00335806">
        <w:rPr>
          <w:rFonts w:cs="Arial"/>
          <w:sz w:val="18"/>
        </w:rPr>
        <w:t>profile is not the basis for obtaining the protection of a variety</w:t>
      </w:r>
      <w:r>
        <w:rPr>
          <w:rFonts w:cs="Arial"/>
          <w:sz w:val="18"/>
        </w:rPr>
        <w:t>,</w:t>
      </w:r>
      <w:r w:rsidRPr="00335806">
        <w:rPr>
          <w:rFonts w:cs="Arial"/>
          <w:sz w:val="18"/>
        </w:rPr>
        <w:t xml:space="preserve"> although this information may be used as supporting information.</w:t>
      </w:r>
    </w:p>
    <w:p w:rsidR="00C30D44" w:rsidRPr="00FB1D90" w:rsidRDefault="00C30D44" w:rsidP="003D060A">
      <w:pPr>
        <w:ind w:left="567" w:right="567"/>
        <w:rPr>
          <w:rFonts w:cs="Arial"/>
          <w:sz w:val="14"/>
          <w:szCs w:val="24"/>
        </w:rPr>
      </w:pPr>
    </w:p>
    <w:p w:rsidR="00C30D44" w:rsidRPr="00CA6CB7" w:rsidRDefault="00C30D44" w:rsidP="003D060A">
      <w:pPr>
        <w:ind w:left="567" w:right="567"/>
        <w:rPr>
          <w:rFonts w:cs="Arial"/>
          <w:sz w:val="18"/>
          <w:szCs w:val="24"/>
        </w:rPr>
      </w:pPr>
      <w:r w:rsidRPr="00CA6CB7">
        <w:rPr>
          <w:rFonts w:cs="Arial"/>
          <w:sz w:val="18"/>
          <w:szCs w:val="24"/>
        </w:rPr>
        <w:t>“A more detailed explanation is provided in the FAQ ‘Does UPOV allow molecular techniques (DNA profiles) in the examination of Distinctness, Uniformity and Stability (“DUS”)?’</w:t>
      </w:r>
    </w:p>
    <w:p w:rsidR="00C30D44" w:rsidRPr="00FB1D90" w:rsidRDefault="00C30D44" w:rsidP="003D060A">
      <w:pPr>
        <w:ind w:left="567" w:right="567"/>
        <w:rPr>
          <w:rFonts w:cs="Arial"/>
          <w:sz w:val="14"/>
          <w:szCs w:val="24"/>
        </w:rPr>
      </w:pPr>
    </w:p>
    <w:p w:rsidR="00C30D44" w:rsidRPr="00CA6CB7" w:rsidRDefault="00C30D44" w:rsidP="003D060A">
      <w:pPr>
        <w:ind w:left="567" w:right="567"/>
        <w:rPr>
          <w:rFonts w:cs="Arial"/>
          <w:sz w:val="18"/>
          <w:szCs w:val="24"/>
        </w:rPr>
      </w:pPr>
      <w:r w:rsidRPr="00CA6CB7">
        <w:rPr>
          <w:rFonts w:cs="Arial"/>
          <w:sz w:val="18"/>
          <w:szCs w:val="24"/>
        </w:rPr>
        <w:t>“See also:</w:t>
      </w:r>
    </w:p>
    <w:p w:rsidR="00C30D44" w:rsidRDefault="00C30D44" w:rsidP="003D060A">
      <w:pPr>
        <w:ind w:left="567" w:right="567"/>
        <w:rPr>
          <w:rFonts w:cs="Arial"/>
          <w:sz w:val="18"/>
          <w:szCs w:val="24"/>
          <w:lang w:eastAsia="ja-JP"/>
        </w:rPr>
      </w:pPr>
      <w:r w:rsidRPr="00CA6CB7">
        <w:rPr>
          <w:rFonts w:cs="Arial"/>
          <w:sz w:val="18"/>
          <w:szCs w:val="24"/>
        </w:rPr>
        <w:t>“What are the requirements for protecting a new plant variety?”</w:t>
      </w:r>
    </w:p>
    <w:p w:rsidR="00FB1D90" w:rsidRDefault="00FB1D90" w:rsidP="00FB1D90">
      <w:pPr>
        <w:rPr>
          <w:lang w:eastAsia="ja-JP"/>
        </w:rPr>
      </w:pPr>
    </w:p>
    <w:p w:rsidR="00C30D44" w:rsidRDefault="00C30D44" w:rsidP="003D060A">
      <w:pPr>
        <w:rPr>
          <w:rFonts w:cs="Arial"/>
        </w:rPr>
      </w:pPr>
    </w:p>
    <w:p w:rsidR="00C30D44" w:rsidRPr="009765A5" w:rsidRDefault="00C30D44" w:rsidP="003D060A">
      <w:pPr>
        <w:pStyle w:val="Heading1"/>
        <w:rPr>
          <w:lang w:eastAsia="ja-JP"/>
        </w:rPr>
      </w:pPr>
      <w:bookmarkStart w:id="9" w:name="_Toc495070988"/>
      <w:r>
        <w:rPr>
          <w:lang w:eastAsia="ja-JP"/>
        </w:rPr>
        <w:t>Developments at the fifty-third session of the Tc</w:t>
      </w:r>
      <w:bookmarkEnd w:id="9"/>
    </w:p>
    <w:p w:rsidR="00C30D44" w:rsidRDefault="00C30D44" w:rsidP="003D060A">
      <w:pPr>
        <w:rPr>
          <w:rFonts w:cs="Arial"/>
        </w:rPr>
      </w:pPr>
    </w:p>
    <w:p w:rsidR="00C30D44" w:rsidRPr="00D51062" w:rsidRDefault="00C30D44" w:rsidP="003D060A">
      <w:pPr>
        <w:rPr>
          <w:lang w:eastAsia="ja-JP"/>
        </w:rPr>
      </w:pPr>
      <w:r w:rsidRPr="00D51062">
        <w:fldChar w:fldCharType="begin"/>
      </w:r>
      <w:r w:rsidRPr="00D51062">
        <w:instrText xml:space="preserve"> AUTONUM  </w:instrText>
      </w:r>
      <w:r w:rsidRPr="00D51062">
        <w:fldChar w:fldCharType="end"/>
      </w:r>
      <w:r w:rsidRPr="00D51062">
        <w:tab/>
        <w:t>The TC</w:t>
      </w:r>
      <w:r>
        <w:t>, at its fifty-third session,</w:t>
      </w:r>
      <w:r w:rsidRPr="00D51062">
        <w:t xml:space="preserve"> </w:t>
      </w:r>
      <w:r w:rsidRPr="00D51062">
        <w:rPr>
          <w:rFonts w:hint="eastAsia"/>
          <w:snapToGrid w:val="0"/>
          <w:lang w:val="en-GB" w:eastAsia="ja-JP"/>
        </w:rPr>
        <w:t>note</w:t>
      </w:r>
      <w:r w:rsidRPr="00D51062">
        <w:rPr>
          <w:snapToGrid w:val="0"/>
          <w:lang w:val="en-GB" w:eastAsia="ja-JP"/>
        </w:rPr>
        <w:t>d</w:t>
      </w:r>
      <w:r w:rsidRPr="00D51062">
        <w:rPr>
          <w:rFonts w:hint="eastAsia"/>
          <w:snapToGrid w:val="0"/>
          <w:lang w:val="en-GB" w:eastAsia="ja-JP"/>
        </w:rPr>
        <w:t xml:space="preserve"> </w:t>
      </w:r>
      <w:r w:rsidRPr="00D51062">
        <w:t xml:space="preserve">the report on developments in the TWPs and BMT, as set out in </w:t>
      </w:r>
      <w:r w:rsidRPr="00D51062">
        <w:rPr>
          <w:snapToGrid w:val="0"/>
        </w:rPr>
        <w:t>document TC/53/11,</w:t>
      </w:r>
      <w:r w:rsidRPr="00D51062">
        <w:t xml:space="preserve"> paragraphs </w:t>
      </w:r>
      <w:r w:rsidRPr="00D51062">
        <w:rPr>
          <w:rFonts w:hint="eastAsia"/>
          <w:lang w:eastAsia="ja-JP"/>
        </w:rPr>
        <w:t>5</w:t>
      </w:r>
      <w:r w:rsidRPr="00D51062">
        <w:t xml:space="preserve"> to </w:t>
      </w:r>
      <w:r w:rsidRPr="00D51062">
        <w:rPr>
          <w:rFonts w:hint="eastAsia"/>
          <w:lang w:eastAsia="ja-JP"/>
        </w:rPr>
        <w:t>2</w:t>
      </w:r>
      <w:r w:rsidRPr="00D51062">
        <w:rPr>
          <w:lang w:eastAsia="ja-JP"/>
        </w:rPr>
        <w:t>4</w:t>
      </w:r>
      <w:r w:rsidRPr="00C30D44">
        <w:rPr>
          <w:rStyle w:val="FootnoteReference"/>
          <w:vertAlign w:val="baseline"/>
        </w:rPr>
        <w:t>.</w:t>
      </w:r>
      <w:r w:rsidRPr="00CC3FCF">
        <w:rPr>
          <w:rStyle w:val="FootnoteReference"/>
        </w:rPr>
        <w:footnoteReference w:id="4"/>
      </w:r>
    </w:p>
    <w:p w:rsidR="00C30D44" w:rsidRPr="00D51062" w:rsidRDefault="00C30D44" w:rsidP="003D060A">
      <w:pPr>
        <w:rPr>
          <w:lang w:eastAsia="ja-JP"/>
        </w:rPr>
      </w:pPr>
    </w:p>
    <w:p w:rsidR="00C30D44" w:rsidRPr="00D51062" w:rsidRDefault="00C30D44" w:rsidP="003D060A">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w:t>
      </w:r>
      <w:r w:rsidRPr="00D51062">
        <w:rPr>
          <w:rFonts w:hint="eastAsia"/>
          <w:lang w:eastAsia="ja-JP"/>
        </w:rPr>
        <w:t xml:space="preserve"> </w:t>
      </w:r>
      <w:r w:rsidRPr="00D51062">
        <w:rPr>
          <w:lang w:eastAsia="ja-JP"/>
        </w:rPr>
        <w:t>that the development of a joint document explaining the principal features of the systems of the OECD, UPOV and ISTA could only start after agreement by OECD and ISTA.</w:t>
      </w:r>
      <w:r w:rsidRPr="005762C6">
        <w:rPr>
          <w:rStyle w:val="FootnoteReference"/>
        </w:rPr>
        <w:t xml:space="preserve"> </w:t>
      </w:r>
    </w:p>
    <w:p w:rsidR="00C30D44" w:rsidRPr="00D51062" w:rsidRDefault="00C30D44" w:rsidP="003D060A">
      <w:pPr>
        <w:rPr>
          <w:lang w:eastAsia="ja-JP"/>
        </w:rPr>
      </w:pPr>
    </w:p>
    <w:p w:rsidR="00C30D44" w:rsidRPr="00D51062" w:rsidRDefault="00C30D44" w:rsidP="003D060A">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lang w:eastAsia="ja-JP"/>
        </w:rPr>
        <w:t>noted that the development of a joint OECD/UPOV/ISTA document containing an inventory of molecular marker techniques used by crop could only start after agreement by OECD and ISTA.</w:t>
      </w:r>
    </w:p>
    <w:p w:rsidR="00C30D44" w:rsidRPr="00D51062" w:rsidRDefault="00C30D44" w:rsidP="003D060A">
      <w:pPr>
        <w:rPr>
          <w:lang w:eastAsia="ja-JP"/>
        </w:rPr>
      </w:pPr>
    </w:p>
    <w:p w:rsidR="00C30D44" w:rsidRPr="00D51062" w:rsidRDefault="00C30D44" w:rsidP="003D060A">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lang w:eastAsia="ja-JP"/>
        </w:rPr>
        <w:t>agreed that possible future collaboration between UPOV, OECD and ISTA might include the harmonization of terms and methodologies used for different crops and the possible development of standards, after agreement by th</w:t>
      </w:r>
      <w:r w:rsidRPr="00D51062">
        <w:rPr>
          <w:rFonts w:hint="eastAsia"/>
          <w:lang w:eastAsia="ja-JP"/>
        </w:rPr>
        <w:t>ose</w:t>
      </w:r>
      <w:r w:rsidRPr="00D51062">
        <w:rPr>
          <w:lang w:eastAsia="ja-JP"/>
        </w:rPr>
        <w:t xml:space="preserve"> organizations.</w:t>
      </w:r>
    </w:p>
    <w:p w:rsidR="00C30D44" w:rsidRPr="00D51062" w:rsidRDefault="00C30D44" w:rsidP="003D060A">
      <w:pPr>
        <w:rPr>
          <w:lang w:eastAsia="ja-JP"/>
        </w:rPr>
      </w:pPr>
    </w:p>
    <w:p w:rsidR="00C30D44" w:rsidRDefault="00C30D44" w:rsidP="003B5A65">
      <w:pPr>
        <w:keepLines/>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consider</w:t>
      </w:r>
      <w:r w:rsidRPr="00D51062">
        <w:rPr>
          <w:lang w:eastAsia="ja-JP"/>
        </w:rPr>
        <w:t>ed</w:t>
      </w:r>
      <w:r w:rsidRPr="00D51062">
        <w:rPr>
          <w:rFonts w:hint="eastAsia"/>
          <w:lang w:eastAsia="ja-JP"/>
        </w:rPr>
        <w:t xml:space="preserve"> whether</w:t>
      </w:r>
      <w:r w:rsidRPr="00D51062">
        <w:rPr>
          <w:lang w:eastAsia="ja-JP"/>
        </w:rPr>
        <w:t xml:space="preserve"> to explore circumstances in which the same techniques and information could be used</w:t>
      </w:r>
      <w:r w:rsidRPr="00D51062">
        <w:rPr>
          <w:rFonts w:hint="eastAsia"/>
          <w:lang w:eastAsia="ja-JP"/>
        </w:rPr>
        <w:t xml:space="preserve"> by </w:t>
      </w:r>
      <w:r w:rsidRPr="00D51062">
        <w:rPr>
          <w:lang w:eastAsia="ja-JP"/>
        </w:rPr>
        <w:t>OECD, ISTA and UPOV</w:t>
      </w:r>
      <w:r w:rsidRPr="00D51062">
        <w:rPr>
          <w:rFonts w:hint="eastAsia"/>
          <w:lang w:eastAsia="ja-JP"/>
        </w:rPr>
        <w:t xml:space="preserve">, taking into </w:t>
      </w:r>
      <w:r w:rsidRPr="00D51062">
        <w:rPr>
          <w:lang w:eastAsia="ja-JP"/>
        </w:rPr>
        <w:t>account</w:t>
      </w:r>
      <w:r w:rsidRPr="00D51062">
        <w:rPr>
          <w:rFonts w:hint="eastAsia"/>
          <w:lang w:eastAsia="ja-JP"/>
        </w:rPr>
        <w:t xml:space="preserve"> the </w:t>
      </w:r>
      <w:r w:rsidRPr="00D51062">
        <w:rPr>
          <w:lang w:eastAsia="ja-JP"/>
        </w:rPr>
        <w:t>different objectives</w:t>
      </w:r>
      <w:r w:rsidRPr="00D51062">
        <w:rPr>
          <w:rFonts w:hint="eastAsia"/>
          <w:lang w:eastAsia="ja-JP"/>
        </w:rPr>
        <w:t xml:space="preserve"> of the organizations, </w:t>
      </w:r>
      <w:r w:rsidRPr="00D51062">
        <w:rPr>
          <w:lang w:eastAsia="ja-JP"/>
        </w:rPr>
        <w:t xml:space="preserve">and agreed that the organization by Naktuinbouw of a practical workshop in 2017, in Roelofarendsveen, Netherlands, from May 8 to 10, 2017, could </w:t>
      </w:r>
      <w:r w:rsidRPr="00D51062">
        <w:rPr>
          <w:rFonts w:cs="Arial"/>
          <w:lang w:eastAsia="ja-JP"/>
        </w:rPr>
        <w:t>explore such possibilities on the basis of real situations</w:t>
      </w:r>
      <w:r w:rsidRPr="00D51062">
        <w:rPr>
          <w:lang w:eastAsia="ja-JP"/>
        </w:rPr>
        <w:t>.</w:t>
      </w:r>
      <w:r w:rsidR="00263FE5" w:rsidRPr="00263FE5">
        <w:rPr>
          <w:rStyle w:val="FootnoteReference"/>
        </w:rPr>
        <w:t xml:space="preserve"> </w:t>
      </w:r>
      <w:r w:rsidR="00263FE5" w:rsidRPr="00CC3FCF">
        <w:rPr>
          <w:rStyle w:val="FootnoteReference"/>
        </w:rPr>
        <w:footnoteReference w:id="5"/>
      </w:r>
    </w:p>
    <w:p w:rsidR="00C30D44" w:rsidRPr="00D51062" w:rsidRDefault="00C30D44" w:rsidP="003D060A">
      <w:pPr>
        <w:rPr>
          <w:lang w:eastAsia="ja-JP"/>
        </w:rPr>
      </w:pPr>
    </w:p>
    <w:p w:rsidR="00C30D44" w:rsidRDefault="00C30D44" w:rsidP="003D060A">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The TC</w:t>
      </w:r>
      <w:r>
        <w:t>, at its fifty-third session,</w:t>
      </w:r>
      <w:r w:rsidRPr="00D51062">
        <w:t xml:space="preserve"> </w:t>
      </w:r>
      <w:r>
        <w:rPr>
          <w:lang w:eastAsia="ja-JP"/>
        </w:rPr>
        <w:t>agreed that UPOV and OECD should consider making progress in the matters above if ISTA was unable to participate in the near future.</w:t>
      </w:r>
    </w:p>
    <w:p w:rsidR="00C30D44" w:rsidRPr="00D51062" w:rsidRDefault="00C30D44" w:rsidP="003D060A">
      <w:pPr>
        <w:rPr>
          <w:lang w:eastAsia="ja-JP"/>
        </w:rPr>
      </w:pPr>
    </w:p>
    <w:p w:rsidR="00C30D44" w:rsidRPr="00D51062" w:rsidRDefault="00C30D44" w:rsidP="003D060A">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 the offer by the Netherlands to report on projects on the use of molecular techniques in DUS examination to the TWC.</w:t>
      </w:r>
    </w:p>
    <w:p w:rsidR="00C30D44" w:rsidRPr="00D51062" w:rsidRDefault="00C30D44" w:rsidP="003D060A">
      <w:pPr>
        <w:rPr>
          <w:lang w:eastAsia="ja-JP"/>
        </w:rPr>
      </w:pPr>
    </w:p>
    <w:p w:rsidR="00C30D44" w:rsidRPr="00D51062" w:rsidRDefault="00C30D44" w:rsidP="003D060A">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 the offer by China to report its experience on the use of DNA databases of maize, rice and wheat when selecting similar varieties for the examination of distinctness</w:t>
      </w:r>
      <w:r w:rsidRPr="00D51062">
        <w:rPr>
          <w:rFonts w:hint="eastAsia"/>
          <w:lang w:eastAsia="ja-JP"/>
        </w:rPr>
        <w:t xml:space="preserve"> to the TWC</w:t>
      </w:r>
      <w:r w:rsidRPr="00D51062">
        <w:rPr>
          <w:lang w:eastAsia="ja-JP"/>
        </w:rPr>
        <w:t>.</w:t>
      </w:r>
      <w:r w:rsidRPr="005762C6">
        <w:rPr>
          <w:rStyle w:val="FootnoteReference"/>
        </w:rPr>
        <w:t xml:space="preserve"> </w:t>
      </w:r>
    </w:p>
    <w:p w:rsidR="00C30D44" w:rsidRPr="00D51062" w:rsidRDefault="00C30D44" w:rsidP="003D060A">
      <w:pPr>
        <w:rPr>
          <w:lang w:eastAsia="ja-JP"/>
        </w:rPr>
      </w:pPr>
    </w:p>
    <w:p w:rsidR="00C30D44" w:rsidRPr="00D51062" w:rsidRDefault="00C30D44" w:rsidP="00FB1D90">
      <w:pPr>
        <w:keepNext/>
        <w:rPr>
          <w:lang w:eastAsia="ja-JP"/>
        </w:rPr>
      </w:pPr>
      <w:r w:rsidRPr="00D51062">
        <w:lastRenderedPageBreak/>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w:t>
      </w:r>
      <w:r w:rsidRPr="00D51062">
        <w:rPr>
          <w:rFonts w:hint="eastAsia"/>
          <w:lang w:eastAsia="ja-JP"/>
        </w:rPr>
        <w:t xml:space="preserve"> that the </w:t>
      </w:r>
      <w:r w:rsidRPr="00D51062">
        <w:rPr>
          <w:lang w:eastAsia="ja-JP"/>
        </w:rPr>
        <w:t>TWC</w:t>
      </w:r>
      <w:r w:rsidRPr="00D51062">
        <w:rPr>
          <w:rFonts w:hint="eastAsia"/>
          <w:lang w:eastAsia="ja-JP"/>
        </w:rPr>
        <w:t xml:space="preserve"> </w:t>
      </w:r>
      <w:r w:rsidRPr="00D51062">
        <w:rPr>
          <w:lang w:eastAsia="ja-JP"/>
        </w:rPr>
        <w:t>had agreed to invite presentations from members on the statistical aspects of using molecular markers in DUS examination, including the selection of similar varieties and organization of growing trials.</w:t>
      </w:r>
    </w:p>
    <w:p w:rsidR="00C30D44" w:rsidRPr="00D51062" w:rsidRDefault="00C30D44" w:rsidP="003D060A">
      <w:pPr>
        <w:rPr>
          <w:lang w:eastAsia="ja-JP"/>
        </w:rPr>
      </w:pPr>
    </w:p>
    <w:p w:rsidR="00C30D44" w:rsidRPr="00D51062" w:rsidRDefault="00C30D44" w:rsidP="003D060A">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w:t>
      </w:r>
      <w:r w:rsidRPr="00D51062">
        <w:rPr>
          <w:rFonts w:hint="eastAsia"/>
          <w:lang w:eastAsia="ja-JP"/>
        </w:rPr>
        <w:t xml:space="preserve"> </w:t>
      </w:r>
      <w:r w:rsidRPr="00D51062">
        <w:rPr>
          <w:lang w:eastAsia="ja-JP"/>
        </w:rPr>
        <w:t>the offer by France to make a presentation on current work with databases that included molecular information with computation of molecular distances using the GAIA software</w:t>
      </w:r>
      <w:r w:rsidRPr="00D51062">
        <w:rPr>
          <w:rFonts w:hint="eastAsia"/>
          <w:lang w:eastAsia="ja-JP"/>
        </w:rPr>
        <w:t>, to the TWC at its thirty-fifth session</w:t>
      </w:r>
      <w:r w:rsidRPr="00D51062">
        <w:rPr>
          <w:lang w:eastAsia="ja-JP"/>
        </w:rPr>
        <w:t>.</w:t>
      </w:r>
    </w:p>
    <w:p w:rsidR="00C30D44" w:rsidRPr="00D51062" w:rsidRDefault="00C30D44" w:rsidP="003D060A">
      <w:pPr>
        <w:rPr>
          <w:lang w:eastAsia="ja-JP"/>
        </w:rPr>
      </w:pPr>
    </w:p>
    <w:p w:rsidR="00C30D44" w:rsidRPr="00D51062" w:rsidRDefault="00C30D44" w:rsidP="003D060A">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w:t>
      </w:r>
      <w:r w:rsidRPr="00D51062">
        <w:rPr>
          <w:rFonts w:hint="eastAsia"/>
          <w:lang w:eastAsia="ja-JP"/>
        </w:rPr>
        <w:t xml:space="preserve"> that t</w:t>
      </w:r>
      <w:r w:rsidRPr="00D51062">
        <w:rPr>
          <w:lang w:eastAsia="ja-JP"/>
        </w:rPr>
        <w:t>he TWC</w:t>
      </w:r>
      <w:r w:rsidRPr="00D51062">
        <w:rPr>
          <w:rFonts w:hint="eastAsia"/>
          <w:lang w:eastAsia="ja-JP"/>
        </w:rPr>
        <w:t xml:space="preserve"> </w:t>
      </w:r>
      <w:r w:rsidRPr="00D51062">
        <w:rPr>
          <w:lang w:eastAsia="ja-JP"/>
        </w:rPr>
        <w:t>had agreed that software and databases as well as associated statistical methods were important elements of DUS examination and of increasing relevance to plant variety protection</w:t>
      </w:r>
      <w:r w:rsidRPr="00D51062">
        <w:rPr>
          <w:rFonts w:hint="eastAsia"/>
          <w:lang w:eastAsia="ja-JP"/>
        </w:rPr>
        <w:t>, and the</w:t>
      </w:r>
      <w:r w:rsidRPr="00D51062">
        <w:rPr>
          <w:lang w:eastAsia="ja-JP"/>
        </w:rPr>
        <w:t xml:space="preserve"> Chairperson of the TWC should report on these particu</w:t>
      </w:r>
      <w:r>
        <w:rPr>
          <w:lang w:eastAsia="ja-JP"/>
        </w:rPr>
        <w:t>lar elements of the work of the </w:t>
      </w:r>
      <w:r w:rsidRPr="00D51062">
        <w:rPr>
          <w:lang w:eastAsia="ja-JP"/>
        </w:rPr>
        <w:t>TWC to the TC.</w:t>
      </w:r>
    </w:p>
    <w:p w:rsidR="00C30D44" w:rsidRPr="00D51062" w:rsidRDefault="00C30D44" w:rsidP="003D060A">
      <w:pPr>
        <w:rPr>
          <w:lang w:eastAsia="ja-JP"/>
        </w:rPr>
      </w:pPr>
    </w:p>
    <w:p w:rsidR="00C30D44" w:rsidRPr="00D51062" w:rsidRDefault="00C30D44" w:rsidP="003D060A">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w:t>
      </w:r>
      <w:r w:rsidRPr="00D51062">
        <w:rPr>
          <w:rFonts w:hint="eastAsia"/>
          <w:lang w:eastAsia="ja-JP"/>
        </w:rPr>
        <w:t xml:space="preserve"> that</w:t>
      </w:r>
      <w:r w:rsidRPr="00D51062">
        <w:t xml:space="preserve"> </w:t>
      </w:r>
      <w:r w:rsidRPr="00D51062">
        <w:rPr>
          <w:lang w:eastAsia="ja-JP"/>
        </w:rPr>
        <w:t xml:space="preserve">a Joint OECD/UPOV/ISTA/AOSA Workshop on Biochemical and Molecular Methods had been held in Paris on June 8, 2016, and </w:t>
      </w:r>
      <w:r w:rsidRPr="00D51062">
        <w:rPr>
          <w:rFonts w:hint="eastAsia"/>
          <w:lang w:eastAsia="ja-JP"/>
        </w:rPr>
        <w:t xml:space="preserve">that the </w:t>
      </w:r>
      <w:r w:rsidRPr="00D51062">
        <w:rPr>
          <w:lang w:eastAsia="ja-JP"/>
        </w:rPr>
        <w:t xml:space="preserve">recommendations of the Joint OECD/UPOV/ISTA/AOSA Workshop </w:t>
      </w:r>
      <w:r w:rsidRPr="00D51062">
        <w:rPr>
          <w:rFonts w:hint="eastAsia"/>
          <w:lang w:eastAsia="ja-JP"/>
        </w:rPr>
        <w:t xml:space="preserve">as reproduced in </w:t>
      </w:r>
      <w:r w:rsidRPr="00D51062">
        <w:rPr>
          <w:snapToGrid w:val="0"/>
        </w:rPr>
        <w:t xml:space="preserve">document TC/53/11, </w:t>
      </w:r>
      <w:r w:rsidRPr="00D51062">
        <w:rPr>
          <w:rFonts w:hint="eastAsia"/>
          <w:lang w:eastAsia="ja-JP"/>
        </w:rPr>
        <w:t xml:space="preserve">paragraph </w:t>
      </w:r>
      <w:r w:rsidRPr="00D51062">
        <w:rPr>
          <w:lang w:eastAsia="ja-JP"/>
        </w:rPr>
        <w:t>25</w:t>
      </w:r>
      <w:r w:rsidRPr="00D51062">
        <w:rPr>
          <w:rFonts w:hint="eastAsia"/>
          <w:lang w:eastAsia="ja-JP"/>
        </w:rPr>
        <w:t xml:space="preserve">, </w:t>
      </w:r>
      <w:r w:rsidRPr="00D51062">
        <w:rPr>
          <w:lang w:eastAsia="ja-JP"/>
        </w:rPr>
        <w:t>had been approved by the Annual Meeting of the OECD Seed Schemes, held in Paris on June 9 and 10, 2016.</w:t>
      </w:r>
    </w:p>
    <w:p w:rsidR="00C30D44" w:rsidRPr="00D51062" w:rsidRDefault="00C30D44" w:rsidP="003D060A">
      <w:pPr>
        <w:rPr>
          <w:lang w:eastAsia="ja-JP"/>
        </w:rPr>
      </w:pPr>
    </w:p>
    <w:p w:rsidR="00C30D44" w:rsidRPr="00D51062" w:rsidRDefault="00C30D44" w:rsidP="003D060A">
      <w:pPr>
        <w:rPr>
          <w:lang w:eastAsia="ja-JP"/>
        </w:rPr>
      </w:pPr>
      <w:r w:rsidRPr="00D51062">
        <w:fldChar w:fldCharType="begin"/>
      </w:r>
      <w:r w:rsidRPr="00D51062">
        <w:instrText xml:space="preserve"> AUTONUM  </w:instrText>
      </w:r>
      <w:r w:rsidRPr="00D51062">
        <w:fldChar w:fldCharType="end"/>
      </w:r>
      <w:r w:rsidRPr="00D51062">
        <w:tab/>
        <w:t xml:space="preserve">The TC </w:t>
      </w:r>
      <w:r w:rsidRPr="00D51062">
        <w:rPr>
          <w:rFonts w:hint="eastAsia"/>
          <w:lang w:eastAsia="ja-JP"/>
        </w:rPr>
        <w:t>note</w:t>
      </w:r>
      <w:r w:rsidRPr="00D51062">
        <w:rPr>
          <w:lang w:eastAsia="ja-JP"/>
        </w:rPr>
        <w:t>d</w:t>
      </w:r>
      <w:r w:rsidRPr="00D51062">
        <w:rPr>
          <w:rFonts w:hint="eastAsia"/>
          <w:lang w:eastAsia="ja-JP"/>
        </w:rPr>
        <w:t xml:space="preserve"> that a</w:t>
      </w:r>
      <w:r w:rsidRPr="00D51062">
        <w:rPr>
          <w:lang w:eastAsia="ja-JP"/>
        </w:rPr>
        <w:t xml:space="preserve"> </w:t>
      </w:r>
      <w:r w:rsidRPr="00D51062">
        <w:t>question and answer concerning the information on the situation in UPOV with regard to the use of</w:t>
      </w:r>
      <w:r w:rsidRPr="00D51062">
        <w:rPr>
          <w:lang w:eastAsia="ja-JP"/>
        </w:rPr>
        <w:t xml:space="preserve"> </w:t>
      </w:r>
      <w:r w:rsidRPr="00D51062">
        <w:t>molecular techniques for a wider audience, including the public in general,</w:t>
      </w:r>
      <w:r w:rsidRPr="00D51062">
        <w:rPr>
          <w:rFonts w:hint="eastAsia"/>
          <w:lang w:eastAsia="ja-JP"/>
        </w:rPr>
        <w:t xml:space="preserve"> </w:t>
      </w:r>
      <w:r w:rsidRPr="00D51062">
        <w:rPr>
          <w:lang w:eastAsia="ja-JP"/>
        </w:rPr>
        <w:t>had been</w:t>
      </w:r>
      <w:r w:rsidRPr="00D51062">
        <w:rPr>
          <w:rFonts w:hint="eastAsia"/>
          <w:lang w:eastAsia="ja-JP"/>
        </w:rPr>
        <w:t xml:space="preserve"> adopted by the C</w:t>
      </w:r>
      <w:r w:rsidRPr="00D51062">
        <w:rPr>
          <w:lang w:eastAsia="ja-JP"/>
        </w:rPr>
        <w:t>o</w:t>
      </w:r>
      <w:r w:rsidRPr="00D51062">
        <w:rPr>
          <w:rFonts w:hint="eastAsia"/>
          <w:lang w:eastAsia="ja-JP"/>
        </w:rPr>
        <w:t xml:space="preserve">uncil, at its fiftieth </w:t>
      </w:r>
      <w:r>
        <w:rPr>
          <w:lang w:eastAsia="ja-JP"/>
        </w:rPr>
        <w:t xml:space="preserve">ordinary </w:t>
      </w:r>
      <w:r w:rsidRPr="00D51062">
        <w:rPr>
          <w:rFonts w:hint="eastAsia"/>
          <w:lang w:eastAsia="ja-JP"/>
        </w:rPr>
        <w:t>session.</w:t>
      </w:r>
    </w:p>
    <w:p w:rsidR="00C30D44" w:rsidRPr="00D51062" w:rsidRDefault="00C30D44" w:rsidP="003D060A">
      <w:pPr>
        <w:ind w:left="567" w:hanging="567"/>
      </w:pPr>
    </w:p>
    <w:p w:rsidR="00C30D44" w:rsidRPr="00D51062" w:rsidRDefault="00C30D44" w:rsidP="003D060A">
      <w:pPr>
        <w:rPr>
          <w:lang w:eastAsia="ja-JP"/>
        </w:rPr>
      </w:pPr>
      <w:r w:rsidRPr="00D51062">
        <w:fldChar w:fldCharType="begin"/>
      </w:r>
      <w:r w:rsidRPr="00D51062">
        <w:instrText xml:space="preserve"> AUTONUM  </w:instrText>
      </w:r>
      <w:r w:rsidRPr="00D51062">
        <w:fldChar w:fldCharType="end"/>
      </w:r>
      <w:r w:rsidRPr="00D51062">
        <w:tab/>
        <w:t>The TC agreed to propose that the meetings of the BMT be held on an annual basis and that consideration be given to organizing the sessions of the TWC and BMT back-to-back in the same location to facilitate exchange of information</w:t>
      </w:r>
      <w:r w:rsidRPr="00D51062">
        <w:rPr>
          <w:lang w:eastAsia="ja-JP"/>
        </w:rPr>
        <w:t>.</w:t>
      </w:r>
    </w:p>
    <w:p w:rsidR="003B5A65" w:rsidRDefault="003B5A65" w:rsidP="003D060A">
      <w:pPr>
        <w:rPr>
          <w:snapToGrid w:val="0"/>
          <w:color w:val="000000" w:themeColor="text1"/>
          <w:lang w:eastAsia="ja-JP"/>
        </w:rPr>
      </w:pPr>
    </w:p>
    <w:p w:rsidR="00C30D44" w:rsidRPr="00FE30D6" w:rsidRDefault="00C30D44" w:rsidP="003D060A">
      <w:pPr>
        <w:pStyle w:val="DecisionParagraphs"/>
        <w:rPr>
          <w:lang w:val="en-US"/>
        </w:rPr>
      </w:pPr>
      <w:r w:rsidRPr="007E745C">
        <w:fldChar w:fldCharType="begin"/>
      </w:r>
      <w:r w:rsidRPr="00FE30D6">
        <w:rPr>
          <w:lang w:val="en-US"/>
        </w:rPr>
        <w:instrText xml:space="preserve"> AUTONUM  </w:instrText>
      </w:r>
      <w:r w:rsidRPr="007E745C">
        <w:fldChar w:fldCharType="end"/>
      </w:r>
      <w:r w:rsidRPr="00FE30D6">
        <w:rPr>
          <w:lang w:val="en-US"/>
        </w:rPr>
        <w:tab/>
        <w:t>The CAJ is invited to note</w:t>
      </w:r>
      <w:r w:rsidR="000D3C80" w:rsidRPr="00FE30D6">
        <w:rPr>
          <w:lang w:val="en-US"/>
        </w:rPr>
        <w:t xml:space="preserve"> that</w:t>
      </w:r>
      <w:r w:rsidRPr="00FE30D6">
        <w:rPr>
          <w:lang w:val="en-US"/>
        </w:rPr>
        <w:t>:</w:t>
      </w:r>
    </w:p>
    <w:p w:rsidR="00C30D44" w:rsidRPr="00FE30D6" w:rsidRDefault="00C30D44" w:rsidP="003D060A">
      <w:pPr>
        <w:pStyle w:val="DecisionParagraphs"/>
        <w:rPr>
          <w:lang w:val="en-US"/>
        </w:rPr>
      </w:pPr>
    </w:p>
    <w:p w:rsidR="00C30D44" w:rsidRPr="00FE30D6" w:rsidRDefault="00C30D44" w:rsidP="00FB1D90">
      <w:pPr>
        <w:pStyle w:val="DecisionParagraphs"/>
        <w:tabs>
          <w:tab w:val="left" w:pos="5954"/>
        </w:tabs>
        <w:rPr>
          <w:lang w:val="en-US"/>
        </w:rPr>
      </w:pPr>
      <w:r w:rsidRPr="00FE30D6">
        <w:rPr>
          <w:lang w:val="en-US"/>
        </w:rPr>
        <w:t xml:space="preserve"> </w:t>
      </w:r>
      <w:r w:rsidRPr="00FE30D6">
        <w:rPr>
          <w:lang w:val="en-US"/>
        </w:rPr>
        <w:tab/>
        <w:t>(</w:t>
      </w:r>
      <w:r w:rsidR="00F420B2" w:rsidRPr="00FE30D6">
        <w:rPr>
          <w:lang w:val="en-US"/>
        </w:rPr>
        <w:t>a</w:t>
      </w:r>
      <w:r w:rsidRPr="00FE30D6">
        <w:rPr>
          <w:lang w:val="en-US"/>
        </w:rPr>
        <w:t>)</w:t>
      </w:r>
      <w:r w:rsidRPr="00FE30D6">
        <w:rPr>
          <w:lang w:val="en-US"/>
        </w:rPr>
        <w:tab/>
        <w:t>a question and answer concerning the information on the situation in UPOV with regard to the use of molecular techniques for a wider audience, including the public in general, as set out in</w:t>
      </w:r>
      <w:r w:rsidR="000D3C80" w:rsidRPr="00FE30D6">
        <w:rPr>
          <w:lang w:val="en-US"/>
        </w:rPr>
        <w:t xml:space="preserve"> </w:t>
      </w:r>
      <w:r w:rsidRPr="00FE30D6">
        <w:rPr>
          <w:lang w:val="en-US"/>
        </w:rPr>
        <w:t xml:space="preserve"> paragraph </w:t>
      </w:r>
      <w:r w:rsidR="00F420B2" w:rsidRPr="00FE30D6">
        <w:rPr>
          <w:lang w:val="en-US"/>
        </w:rPr>
        <w:t>7</w:t>
      </w:r>
      <w:r w:rsidRPr="00FE30D6">
        <w:rPr>
          <w:lang w:val="en-US"/>
        </w:rPr>
        <w:t xml:space="preserve"> of this document, was adopted by the Council, at its fiftieth ordinary session;</w:t>
      </w:r>
    </w:p>
    <w:p w:rsidR="00C30D44" w:rsidRPr="00FE30D6" w:rsidRDefault="00C30D44" w:rsidP="00FB1D90">
      <w:pPr>
        <w:pStyle w:val="DecisionParagraphs"/>
        <w:tabs>
          <w:tab w:val="left" w:pos="5954"/>
        </w:tabs>
        <w:rPr>
          <w:lang w:val="en-US" w:eastAsia="ja-JP"/>
        </w:rPr>
      </w:pPr>
    </w:p>
    <w:p w:rsidR="00C30D44" w:rsidRPr="00FE30D6" w:rsidRDefault="00C30D44" w:rsidP="00FB1D90">
      <w:pPr>
        <w:pStyle w:val="DecisionParagraphs"/>
        <w:tabs>
          <w:tab w:val="left" w:pos="5954"/>
        </w:tabs>
        <w:rPr>
          <w:lang w:val="en-US"/>
        </w:rPr>
      </w:pPr>
      <w:r w:rsidRPr="00FE30D6">
        <w:rPr>
          <w:lang w:val="en-US"/>
        </w:rPr>
        <w:tab/>
        <w:t>(</w:t>
      </w:r>
      <w:r w:rsidR="00F420B2" w:rsidRPr="00FE30D6">
        <w:rPr>
          <w:lang w:val="en-US" w:eastAsia="ja-JP"/>
        </w:rPr>
        <w:t>b</w:t>
      </w:r>
      <w:r w:rsidRPr="00FE30D6">
        <w:rPr>
          <w:lang w:val="en-US"/>
        </w:rPr>
        <w:t>)</w:t>
      </w:r>
      <w:r w:rsidRPr="00FE30D6">
        <w:rPr>
          <w:lang w:val="en-US"/>
        </w:rPr>
        <w:tab/>
        <w:t xml:space="preserve">the TC, at its fifty-third session, </w:t>
      </w:r>
      <w:r w:rsidRPr="00FE30D6">
        <w:rPr>
          <w:lang w:val="en-US" w:eastAsia="ja-JP"/>
        </w:rPr>
        <w:t>agreed that possible future collaboration between UPOV, OECD and ISTA might include the harmonization of terms and methodologies used for different crops and the possible development of standards, after agreement by th</w:t>
      </w:r>
      <w:r w:rsidRPr="00FE30D6">
        <w:rPr>
          <w:rFonts w:hint="eastAsia"/>
          <w:lang w:val="en-US" w:eastAsia="ja-JP"/>
        </w:rPr>
        <w:t>ose</w:t>
      </w:r>
      <w:r w:rsidRPr="00FE30D6">
        <w:rPr>
          <w:lang w:val="en-US" w:eastAsia="ja-JP"/>
        </w:rPr>
        <w:t xml:space="preserve"> organizations</w:t>
      </w:r>
      <w:r w:rsidRPr="00FE30D6">
        <w:rPr>
          <w:lang w:val="en-US"/>
        </w:rPr>
        <w:t>;</w:t>
      </w:r>
    </w:p>
    <w:p w:rsidR="00C30D44" w:rsidRPr="00FE30D6" w:rsidRDefault="00C30D44" w:rsidP="00FB1D90">
      <w:pPr>
        <w:pStyle w:val="DecisionParagraphs"/>
        <w:tabs>
          <w:tab w:val="left" w:pos="5954"/>
        </w:tabs>
        <w:rPr>
          <w:lang w:val="en-US"/>
        </w:rPr>
      </w:pPr>
    </w:p>
    <w:p w:rsidR="00C30D44" w:rsidRPr="00FE30D6" w:rsidRDefault="00C30D44" w:rsidP="00FB1D90">
      <w:pPr>
        <w:pStyle w:val="DecisionParagraphs"/>
        <w:keepLines/>
        <w:tabs>
          <w:tab w:val="left" w:pos="5954"/>
        </w:tabs>
        <w:rPr>
          <w:lang w:val="en-US"/>
        </w:rPr>
      </w:pPr>
      <w:r w:rsidRPr="00FE30D6">
        <w:rPr>
          <w:lang w:val="en-US"/>
        </w:rPr>
        <w:tab/>
        <w:t>(</w:t>
      </w:r>
      <w:r w:rsidR="000D3C80" w:rsidRPr="00FE30D6">
        <w:rPr>
          <w:lang w:val="en-US"/>
        </w:rPr>
        <w:t>c</w:t>
      </w:r>
      <w:r w:rsidRPr="00FE30D6">
        <w:rPr>
          <w:lang w:val="en-US"/>
        </w:rPr>
        <w:t>)</w:t>
      </w:r>
      <w:r w:rsidRPr="00FE30D6">
        <w:rPr>
          <w:lang w:val="en-US"/>
        </w:rPr>
        <w:tab/>
        <w:t xml:space="preserve">the TC </w:t>
      </w:r>
      <w:r w:rsidRPr="00FE30D6">
        <w:rPr>
          <w:lang w:val="en-US" w:eastAsia="ja-JP"/>
        </w:rPr>
        <w:t>agreed that UPOV and OECD should consider making progress in</w:t>
      </w:r>
      <w:r w:rsidR="00CA00D8" w:rsidRPr="00FE30D6">
        <w:rPr>
          <w:lang w:val="en-US" w:eastAsia="ja-JP"/>
        </w:rPr>
        <w:t xml:space="preserve"> collaboration</w:t>
      </w:r>
      <w:r w:rsidRPr="00FE30D6">
        <w:rPr>
          <w:lang w:val="en-US" w:eastAsia="ja-JP"/>
        </w:rPr>
        <w:t xml:space="preserve"> if ISTA is unable to participate in the near future</w:t>
      </w:r>
      <w:r w:rsidRPr="00FE30D6">
        <w:rPr>
          <w:lang w:val="en-US"/>
        </w:rPr>
        <w:t xml:space="preserve">; </w:t>
      </w:r>
    </w:p>
    <w:p w:rsidR="00C30D44" w:rsidRPr="00FE30D6" w:rsidRDefault="00C30D44" w:rsidP="00FB1D90">
      <w:pPr>
        <w:pStyle w:val="DecisionParagraphs"/>
        <w:tabs>
          <w:tab w:val="left" w:pos="5954"/>
        </w:tabs>
        <w:rPr>
          <w:lang w:val="en-US"/>
        </w:rPr>
      </w:pPr>
    </w:p>
    <w:p w:rsidR="000D3C80" w:rsidRPr="00FE30D6" w:rsidRDefault="00C30D44" w:rsidP="00FB1D90">
      <w:pPr>
        <w:pStyle w:val="DecisionParagraphs"/>
        <w:tabs>
          <w:tab w:val="left" w:pos="5954"/>
        </w:tabs>
        <w:rPr>
          <w:lang w:val="en-US"/>
        </w:rPr>
      </w:pPr>
      <w:r w:rsidRPr="00FE30D6">
        <w:rPr>
          <w:lang w:val="en-US"/>
        </w:rPr>
        <w:t xml:space="preserve"> </w:t>
      </w:r>
      <w:r w:rsidRPr="00FE30D6">
        <w:rPr>
          <w:lang w:val="en-US"/>
        </w:rPr>
        <w:tab/>
        <w:t>(</w:t>
      </w:r>
      <w:r w:rsidR="000D3C80" w:rsidRPr="00FE30D6">
        <w:rPr>
          <w:lang w:val="en-US"/>
        </w:rPr>
        <w:t>d</w:t>
      </w:r>
      <w:r w:rsidRPr="00FE30D6">
        <w:rPr>
          <w:lang w:val="en-US"/>
        </w:rPr>
        <w:t>)</w:t>
      </w:r>
      <w:r w:rsidRPr="00FE30D6">
        <w:rPr>
          <w:lang w:val="en-US"/>
        </w:rPr>
        <w:tab/>
        <w:t>the TC agreed to propose that the meetings of the BMT be held on an annual basis and that consideration be given to organizing the sessions of the TWC and BMT back-to-back in the same location to facilitate exchange of information</w:t>
      </w:r>
      <w:r w:rsidR="000D3C80" w:rsidRPr="00FE30D6">
        <w:rPr>
          <w:lang w:val="en-US"/>
        </w:rPr>
        <w:t>; and</w:t>
      </w:r>
    </w:p>
    <w:p w:rsidR="000D3C80" w:rsidRPr="00FE30D6" w:rsidRDefault="000D3C80" w:rsidP="00FB1D90">
      <w:pPr>
        <w:pStyle w:val="DecisionParagraphs"/>
        <w:tabs>
          <w:tab w:val="left" w:pos="5954"/>
        </w:tabs>
        <w:rPr>
          <w:lang w:val="en-US"/>
        </w:rPr>
      </w:pPr>
    </w:p>
    <w:p w:rsidR="000D3C80" w:rsidRPr="00FE30D6" w:rsidRDefault="000D3C80" w:rsidP="000D3C80">
      <w:pPr>
        <w:pStyle w:val="DecisionParagraphs"/>
        <w:keepLines/>
        <w:tabs>
          <w:tab w:val="left" w:pos="5954"/>
        </w:tabs>
        <w:rPr>
          <w:lang w:val="en-US"/>
        </w:rPr>
      </w:pPr>
      <w:r w:rsidRPr="00FE30D6">
        <w:rPr>
          <w:lang w:val="en-US"/>
        </w:rPr>
        <w:tab/>
        <w:t>(e)</w:t>
      </w:r>
      <w:r w:rsidRPr="00FE30D6">
        <w:rPr>
          <w:lang w:val="en-US"/>
        </w:rPr>
        <w:tab/>
        <w:t>practical workshop</w:t>
      </w:r>
      <w:r w:rsidR="00CA00D8" w:rsidRPr="00FE30D6">
        <w:rPr>
          <w:lang w:val="en-US"/>
        </w:rPr>
        <w:t>s on</w:t>
      </w:r>
      <w:r w:rsidRPr="00FE30D6">
        <w:rPr>
          <w:lang w:val="en-US"/>
        </w:rPr>
        <w:t xml:space="preserve"> “DNA Techniques and Variety Identification” w</w:t>
      </w:r>
      <w:r w:rsidR="00CA00D8" w:rsidRPr="00FE30D6">
        <w:rPr>
          <w:lang w:val="en-US"/>
        </w:rPr>
        <w:t>ere</w:t>
      </w:r>
      <w:r w:rsidRPr="00FE30D6">
        <w:rPr>
          <w:lang w:val="en-US"/>
        </w:rPr>
        <w:t xml:space="preserve"> held</w:t>
      </w:r>
      <w:r w:rsidRPr="00FE30D6">
        <w:rPr>
          <w:lang w:val="en-US" w:eastAsia="ja-JP"/>
        </w:rPr>
        <w:t xml:space="preserve"> in Roelofarendsveen, Netherlands, from May 8 to 10, 2017 and </w:t>
      </w:r>
      <w:r w:rsidRPr="00FE30D6">
        <w:rPr>
          <w:rFonts w:cs="Arial"/>
          <w:iCs/>
          <w:lang w:val="en-US"/>
        </w:rPr>
        <w:t xml:space="preserve">from </w:t>
      </w:r>
      <w:r w:rsidRPr="00FE30D6">
        <w:rPr>
          <w:rFonts w:cs="Arial"/>
          <w:lang w:val="en-US"/>
        </w:rPr>
        <w:t>September 20 to 22</w:t>
      </w:r>
      <w:r w:rsidRPr="00FE30D6">
        <w:rPr>
          <w:rFonts w:cs="Arial"/>
          <w:iCs/>
          <w:lang w:val="en-US"/>
        </w:rPr>
        <w:t>, 2017</w:t>
      </w:r>
      <w:r w:rsidRPr="00FE30D6">
        <w:rPr>
          <w:lang w:val="en-US"/>
        </w:rPr>
        <w:t>.</w:t>
      </w:r>
    </w:p>
    <w:p w:rsidR="00C30D44" w:rsidRDefault="00C30D44" w:rsidP="00F8552E"/>
    <w:p w:rsidR="003A0D44" w:rsidRPr="00C5280D" w:rsidRDefault="003A0D44" w:rsidP="00F8552E">
      <w:pPr>
        <w:spacing w:before="480"/>
        <w:jc w:val="right"/>
      </w:pPr>
      <w:r>
        <w:t>[End of document]</w:t>
      </w:r>
    </w:p>
    <w:sectPr w:rsidR="003A0D44"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44" w:rsidRDefault="00C30D44" w:rsidP="00C30D44">
      <w:r>
        <w:separator/>
      </w:r>
    </w:p>
  </w:endnote>
  <w:endnote w:type="continuationSeparator" w:id="0">
    <w:p w:rsidR="00C30D44" w:rsidRDefault="00C30D44" w:rsidP="00C3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44" w:rsidRDefault="00C30D44" w:rsidP="00C30D44">
      <w:r>
        <w:separator/>
      </w:r>
    </w:p>
  </w:footnote>
  <w:footnote w:type="continuationSeparator" w:id="0">
    <w:p w:rsidR="00C30D44" w:rsidRDefault="00C30D44" w:rsidP="00C30D44">
      <w:r>
        <w:continuationSeparator/>
      </w:r>
    </w:p>
  </w:footnote>
  <w:footnote w:id="1">
    <w:p w:rsidR="00C30D44" w:rsidRPr="00DA760B" w:rsidRDefault="00C30D44" w:rsidP="00FB1D90">
      <w:pPr>
        <w:pStyle w:val="FootnoteText"/>
        <w:rPr>
          <w:lang w:eastAsia="ja-JP"/>
        </w:rPr>
      </w:pPr>
      <w:r>
        <w:rPr>
          <w:rStyle w:val="FootnoteReference"/>
        </w:rPr>
        <w:footnoteRef/>
      </w:r>
      <w:r>
        <w:t xml:space="preserve"> </w:t>
      </w:r>
      <w:r>
        <w:rPr>
          <w:rFonts w:hint="eastAsia"/>
          <w:lang w:eastAsia="ja-JP"/>
        </w:rPr>
        <w:tab/>
      </w:r>
      <w:r>
        <w:rPr>
          <w:lang w:eastAsia="ja-JP"/>
        </w:rPr>
        <w:t>H</w:t>
      </w:r>
      <w:r w:rsidRPr="001A6C20">
        <w:rPr>
          <w:rFonts w:cs="Arial" w:hint="eastAsia"/>
          <w:szCs w:val="16"/>
        </w:rPr>
        <w:t>eld</w:t>
      </w:r>
      <w:r>
        <w:rPr>
          <w:rFonts w:hint="eastAsia"/>
          <w:lang w:eastAsia="ja-JP"/>
        </w:rPr>
        <w:t xml:space="preserve"> in Geneva, on October 25</w:t>
      </w:r>
      <w:r>
        <w:rPr>
          <w:lang w:eastAsia="ja-JP"/>
        </w:rPr>
        <w:t>, 2016</w:t>
      </w:r>
      <w:r w:rsidRPr="005762C6">
        <w:rPr>
          <w:szCs w:val="16"/>
          <w:lang w:eastAsia="ja-JP"/>
        </w:rPr>
        <w:t>.</w:t>
      </w:r>
    </w:p>
  </w:footnote>
  <w:footnote w:id="2">
    <w:p w:rsidR="00C30D44" w:rsidRPr="00DA760B" w:rsidRDefault="00C30D44" w:rsidP="00FB1D90">
      <w:pPr>
        <w:pStyle w:val="FootnoteText"/>
        <w:rPr>
          <w:lang w:eastAsia="ja-JP"/>
        </w:rPr>
      </w:pPr>
      <w:r>
        <w:rPr>
          <w:rStyle w:val="FootnoteReference"/>
        </w:rPr>
        <w:footnoteRef/>
      </w:r>
      <w:r>
        <w:t xml:space="preserve"> </w:t>
      </w:r>
      <w:r>
        <w:rPr>
          <w:rFonts w:hint="eastAsia"/>
          <w:lang w:eastAsia="ja-JP"/>
        </w:rPr>
        <w:tab/>
        <w:t>S</w:t>
      </w:r>
      <w:r w:rsidRPr="00DA760B">
        <w:rPr>
          <w:lang w:eastAsia="ja-JP"/>
        </w:rPr>
        <w:t xml:space="preserve">ee document </w:t>
      </w:r>
      <w:hyperlink r:id="rId1" w:history="1">
        <w:r w:rsidRPr="009648C1">
          <w:rPr>
            <w:rStyle w:val="Hyperlink"/>
            <w:rFonts w:hint="eastAsia"/>
            <w:snapToGrid w:val="0"/>
            <w:lang w:eastAsia="ja-JP"/>
          </w:rPr>
          <w:t>CAJ/73/10</w:t>
        </w:r>
      </w:hyperlink>
      <w:bookmarkStart w:id="8" w:name="_GoBack"/>
      <w:bookmarkEnd w:id="8"/>
      <w:r>
        <w:rPr>
          <w:rFonts w:hint="eastAsia"/>
          <w:snapToGrid w:val="0"/>
          <w:lang w:eastAsia="ja-JP"/>
        </w:rPr>
        <w:t xml:space="preserve"> </w:t>
      </w:r>
      <w:r>
        <w:rPr>
          <w:snapToGrid w:val="0"/>
          <w:lang w:eastAsia="ja-JP"/>
        </w:rPr>
        <w:t>“</w:t>
      </w:r>
      <w:r>
        <w:rPr>
          <w:rFonts w:hint="eastAsia"/>
          <w:snapToGrid w:val="0"/>
          <w:lang w:eastAsia="ja-JP"/>
        </w:rPr>
        <w:t>Report on the Conclusions</w:t>
      </w:r>
      <w:r>
        <w:rPr>
          <w:snapToGrid w:val="0"/>
          <w:lang w:eastAsia="ja-JP"/>
        </w:rPr>
        <w:t>”</w:t>
      </w:r>
      <w:r>
        <w:rPr>
          <w:rFonts w:hint="eastAsia"/>
          <w:snapToGrid w:val="0"/>
          <w:lang w:eastAsia="ja-JP"/>
        </w:rPr>
        <w:t>, paragraph 57</w:t>
      </w:r>
      <w:r>
        <w:rPr>
          <w:lang w:eastAsia="ja-JP"/>
        </w:rPr>
        <w:t>.</w:t>
      </w:r>
    </w:p>
  </w:footnote>
  <w:footnote w:id="3">
    <w:p w:rsidR="00FB1D90" w:rsidRPr="00FB1D90" w:rsidRDefault="00FB1D90" w:rsidP="00FB1D90">
      <w:pPr>
        <w:pStyle w:val="FootnoteText"/>
        <w:rPr>
          <w:lang w:eastAsia="ja-JP"/>
        </w:rPr>
      </w:pPr>
      <w:r w:rsidRPr="00FB1D90">
        <w:rPr>
          <w:rStyle w:val="FootnoteReference"/>
          <w:spacing w:val="-2"/>
        </w:rPr>
        <w:footnoteRef/>
      </w:r>
      <w:r w:rsidRPr="00FB1D90">
        <w:t xml:space="preserve"> </w:t>
      </w:r>
      <w:r w:rsidRPr="00FB1D90">
        <w:rPr>
          <w:rFonts w:hint="eastAsia"/>
          <w:lang w:eastAsia="ja-JP"/>
        </w:rPr>
        <w:tab/>
        <w:t>S</w:t>
      </w:r>
      <w:r w:rsidRPr="00FB1D90">
        <w:rPr>
          <w:lang w:eastAsia="ja-JP"/>
        </w:rPr>
        <w:t xml:space="preserve">ee document </w:t>
      </w:r>
      <w:hyperlink r:id="rId2" w:history="1">
        <w:r w:rsidRPr="00FB1D90">
          <w:rPr>
            <w:rStyle w:val="Hyperlink"/>
            <w:rFonts w:eastAsiaTheme="minorEastAsia"/>
            <w:spacing w:val="-2"/>
            <w:lang w:eastAsia="ja-JP"/>
          </w:rPr>
          <w:t>C/50/</w:t>
        </w:r>
        <w:r w:rsidRPr="00FB1D90">
          <w:rPr>
            <w:rStyle w:val="Hyperlink"/>
            <w:rFonts w:eastAsiaTheme="minorEastAsia" w:hint="eastAsia"/>
            <w:spacing w:val="-2"/>
            <w:lang w:eastAsia="ja-JP"/>
          </w:rPr>
          <w:t>19</w:t>
        </w:r>
      </w:hyperlink>
      <w:r w:rsidRPr="00FB1D90">
        <w:rPr>
          <w:lang w:eastAsia="ja-JP"/>
        </w:rPr>
        <w:t xml:space="preserve"> “Report on the Decisions”, </w:t>
      </w:r>
      <w:r w:rsidRPr="00FB1D90">
        <w:rPr>
          <w:rFonts w:hint="eastAsia"/>
          <w:color w:val="000000"/>
          <w:lang w:eastAsia="ja-JP"/>
        </w:rPr>
        <w:t>paragraph 11.</w:t>
      </w:r>
      <w:r w:rsidRPr="00FB1D90">
        <w:rPr>
          <w:color w:val="000000"/>
          <w:lang w:eastAsia="ja-JP"/>
        </w:rPr>
        <w:t xml:space="preserve"> </w:t>
      </w:r>
      <w:r w:rsidRPr="00FB1D90">
        <w:rPr>
          <w:rFonts w:hint="eastAsia"/>
          <w:color w:val="000000"/>
          <w:lang w:eastAsia="ja-JP"/>
        </w:rPr>
        <w:t xml:space="preserve"> FAQ available at: </w:t>
      </w:r>
      <w:hyperlink r:id="rId3" w:anchor="QG121" w:history="1">
        <w:r w:rsidRPr="00C509A5">
          <w:rPr>
            <w:rStyle w:val="Hyperlink"/>
            <w:lang w:eastAsia="ja-JP"/>
          </w:rPr>
          <w:t>http://www.upov.int/about/en/f</w:t>
        </w:r>
        <w:r w:rsidRPr="00C509A5">
          <w:rPr>
            <w:rStyle w:val="Hyperlink"/>
            <w:lang w:eastAsia="ja-JP"/>
          </w:rPr>
          <w:t>a</w:t>
        </w:r>
        <w:r w:rsidRPr="00C509A5">
          <w:rPr>
            <w:rStyle w:val="Hyperlink"/>
            <w:lang w:eastAsia="ja-JP"/>
          </w:rPr>
          <w:t>q.html#QG121</w:t>
        </w:r>
      </w:hyperlink>
      <w:r w:rsidRPr="00FB1D90">
        <w:rPr>
          <w:lang w:eastAsia="ja-JP"/>
        </w:rPr>
        <w:t>.</w:t>
      </w:r>
    </w:p>
  </w:footnote>
  <w:footnote w:id="4">
    <w:p w:rsidR="00C30D44" w:rsidRPr="00DA760B" w:rsidRDefault="00C30D44" w:rsidP="00FB1D90">
      <w:pPr>
        <w:pStyle w:val="FootnoteText"/>
        <w:rPr>
          <w:lang w:eastAsia="ja-JP"/>
        </w:rPr>
      </w:pPr>
      <w:r>
        <w:rPr>
          <w:rStyle w:val="FootnoteReference"/>
        </w:rPr>
        <w:footnoteRef/>
      </w:r>
      <w:r>
        <w:t xml:space="preserve"> </w:t>
      </w:r>
      <w:r>
        <w:rPr>
          <w:rFonts w:hint="eastAsia"/>
          <w:lang w:eastAsia="ja-JP"/>
        </w:rPr>
        <w:tab/>
        <w:t>S</w:t>
      </w:r>
      <w:r w:rsidRPr="00DA760B">
        <w:rPr>
          <w:lang w:eastAsia="ja-JP"/>
        </w:rPr>
        <w:t xml:space="preserve">ee document </w:t>
      </w:r>
      <w:hyperlink r:id="rId4" w:history="1">
        <w:r w:rsidRPr="009648C1">
          <w:rPr>
            <w:rStyle w:val="Hyperlink"/>
            <w:rFonts w:eastAsiaTheme="minorEastAsia" w:hint="eastAsia"/>
            <w:snapToGrid w:val="0"/>
            <w:lang w:eastAsia="ja-JP"/>
          </w:rPr>
          <w:t>T</w:t>
        </w:r>
        <w:r w:rsidRPr="009648C1">
          <w:rPr>
            <w:rStyle w:val="Hyperlink"/>
            <w:rFonts w:eastAsiaTheme="minorEastAsia"/>
            <w:snapToGrid w:val="0"/>
            <w:lang w:eastAsia="ja-JP"/>
          </w:rPr>
          <w:t>C</w:t>
        </w:r>
        <w:r w:rsidRPr="009648C1">
          <w:rPr>
            <w:rStyle w:val="Hyperlink"/>
            <w:rFonts w:eastAsiaTheme="minorEastAsia" w:hint="eastAsia"/>
            <w:snapToGrid w:val="0"/>
            <w:lang w:eastAsia="ja-JP"/>
          </w:rPr>
          <w:t>/5</w:t>
        </w:r>
        <w:r w:rsidRPr="009648C1">
          <w:rPr>
            <w:rStyle w:val="Hyperlink"/>
            <w:rFonts w:eastAsiaTheme="minorEastAsia"/>
            <w:snapToGrid w:val="0"/>
            <w:lang w:eastAsia="ja-JP"/>
          </w:rPr>
          <w:t>3</w:t>
        </w:r>
        <w:r w:rsidRPr="009648C1">
          <w:rPr>
            <w:rStyle w:val="Hyperlink"/>
            <w:rFonts w:eastAsiaTheme="minorEastAsia" w:hint="eastAsia"/>
            <w:snapToGrid w:val="0"/>
            <w:lang w:eastAsia="ja-JP"/>
          </w:rPr>
          <w:t>/</w:t>
        </w:r>
        <w:r w:rsidRPr="009648C1">
          <w:rPr>
            <w:rStyle w:val="Hyperlink"/>
            <w:rFonts w:eastAsiaTheme="minorEastAsia"/>
            <w:snapToGrid w:val="0"/>
            <w:lang w:eastAsia="ja-JP"/>
          </w:rPr>
          <w:t>31</w:t>
        </w:r>
      </w:hyperlink>
      <w:r w:rsidRPr="00F27642">
        <w:rPr>
          <w:rFonts w:eastAsiaTheme="minorEastAsia" w:hint="eastAsia"/>
          <w:snapToGrid w:val="0"/>
          <w:lang w:eastAsia="ja-JP"/>
        </w:rPr>
        <w:t>, paragraph</w:t>
      </w:r>
      <w:r w:rsidR="000D3C80">
        <w:rPr>
          <w:rFonts w:eastAsiaTheme="minorEastAsia"/>
          <w:snapToGrid w:val="0"/>
          <w:lang w:eastAsia="ja-JP"/>
        </w:rPr>
        <w:t>s</w:t>
      </w:r>
      <w:r w:rsidRPr="00F27642">
        <w:rPr>
          <w:rFonts w:eastAsiaTheme="minorEastAsia" w:hint="eastAsia"/>
          <w:snapToGrid w:val="0"/>
          <w:lang w:eastAsia="ja-JP"/>
        </w:rPr>
        <w:t xml:space="preserve"> </w:t>
      </w:r>
      <w:r>
        <w:rPr>
          <w:rFonts w:eastAsiaTheme="minorEastAsia"/>
          <w:snapToGrid w:val="0"/>
          <w:lang w:eastAsia="ja-JP"/>
        </w:rPr>
        <w:t>198 to 211</w:t>
      </w:r>
      <w:r>
        <w:rPr>
          <w:lang w:eastAsia="ja-JP"/>
        </w:rPr>
        <w:t>.</w:t>
      </w:r>
    </w:p>
  </w:footnote>
  <w:footnote w:id="5">
    <w:p w:rsidR="00263FE5" w:rsidRPr="00DA760B" w:rsidRDefault="00263FE5" w:rsidP="00263FE5">
      <w:pPr>
        <w:pStyle w:val="FootnoteText"/>
        <w:rPr>
          <w:lang w:eastAsia="ja-JP"/>
        </w:rPr>
      </w:pPr>
      <w:r>
        <w:rPr>
          <w:rStyle w:val="FootnoteReference"/>
        </w:rPr>
        <w:footnoteRef/>
      </w:r>
      <w:r>
        <w:t xml:space="preserve"> </w:t>
      </w:r>
      <w:r>
        <w:rPr>
          <w:rFonts w:hint="eastAsia"/>
          <w:lang w:eastAsia="ja-JP"/>
        </w:rPr>
        <w:tab/>
      </w:r>
      <w:r>
        <w:t xml:space="preserve">Practical workshops on “DNA Techniques and Variety Identification” were organized by </w:t>
      </w:r>
      <w:r w:rsidRPr="00D51062">
        <w:rPr>
          <w:lang w:eastAsia="ja-JP"/>
        </w:rPr>
        <w:t>Naktuinbouw</w:t>
      </w:r>
      <w:r>
        <w:rPr>
          <w:lang w:eastAsia="ja-JP"/>
        </w:rPr>
        <w:t xml:space="preserve"> </w:t>
      </w:r>
      <w:r w:rsidRPr="00D51062">
        <w:rPr>
          <w:lang w:eastAsia="ja-JP"/>
        </w:rPr>
        <w:t>in Roelofarendsveen, Netherlands, from May 8 to 10, 2017</w:t>
      </w:r>
      <w:r>
        <w:rPr>
          <w:lang w:eastAsia="ja-JP"/>
        </w:rPr>
        <w:t xml:space="preserve"> and </w:t>
      </w:r>
      <w:r>
        <w:rPr>
          <w:rFonts w:cs="Arial"/>
        </w:rPr>
        <w:t>September 20 to 22</w:t>
      </w:r>
      <w:r w:rsidRPr="009C474E">
        <w:rPr>
          <w:rFonts w:cs="Arial"/>
          <w:iCs/>
        </w:rPr>
        <w:t xml:space="preserve">, </w:t>
      </w:r>
      <w:r>
        <w:rPr>
          <w:rFonts w:cs="Arial"/>
          <w:iCs/>
        </w:rPr>
        <w:t>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F524AB" w:rsidP="00EB048E">
    <w:pPr>
      <w:pStyle w:val="Header"/>
      <w:rPr>
        <w:rStyle w:val="PageNumber"/>
        <w:lang w:val="en-US"/>
      </w:rPr>
    </w:pPr>
    <w:r>
      <w:rPr>
        <w:rStyle w:val="PageNumber"/>
        <w:lang w:val="en-US"/>
      </w:rPr>
      <w:t>CAJ/74/</w:t>
    </w:r>
    <w:r w:rsidR="001A61F9">
      <w:rPr>
        <w:rStyle w:val="PageNumber"/>
        <w:lang w:val="en-US"/>
      </w:rPr>
      <w:t>8</w:t>
    </w:r>
  </w:p>
  <w:p w:rsidR="00182B99" w:rsidRPr="00C5280D" w:rsidRDefault="00F524A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648C1">
      <w:rPr>
        <w:rStyle w:val="PageNumber"/>
        <w:noProof/>
        <w:lang w:val="en-US"/>
      </w:rPr>
      <w:t>2</w:t>
    </w:r>
    <w:r w:rsidRPr="00C5280D">
      <w:rPr>
        <w:rStyle w:val="PageNumber"/>
        <w:lang w:val="en-US"/>
      </w:rPr>
      <w:fldChar w:fldCharType="end"/>
    </w:r>
  </w:p>
  <w:p w:rsidR="00182B99" w:rsidRPr="00C5280D" w:rsidRDefault="009648C1"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0"/>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8"/>
  </w:num>
  <w:num w:numId="43">
    <w:abstractNumId w:val="10"/>
  </w:num>
  <w:num w:numId="44">
    <w:abstractNumId w:val="16"/>
  </w:num>
  <w:num w:numId="45">
    <w:abstractNumId w:val="11"/>
  </w:num>
  <w:num w:numId="46">
    <w:abstractNumId w:val="19"/>
  </w:num>
  <w:num w:numId="47">
    <w:abstractNumId w:val="16"/>
  </w:num>
  <w:num w:numId="48">
    <w:abstractNumId w:val="12"/>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D44"/>
    <w:rsid w:val="00000531"/>
    <w:rsid w:val="00001BE4"/>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3C8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1F9"/>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380"/>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F07"/>
    <w:rsid w:val="002629CA"/>
    <w:rsid w:val="00262D64"/>
    <w:rsid w:val="00263FE5"/>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162A"/>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0D44"/>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A65"/>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70D"/>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3CE3"/>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D7CD8"/>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6A62"/>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5437"/>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4B29"/>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4E29"/>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412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0E6"/>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2BA"/>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8C1"/>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2F7"/>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31C3"/>
    <w:rsid w:val="00C24935"/>
    <w:rsid w:val="00C26397"/>
    <w:rsid w:val="00C26A76"/>
    <w:rsid w:val="00C26BDF"/>
    <w:rsid w:val="00C30D3E"/>
    <w:rsid w:val="00C30D44"/>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00D8"/>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199"/>
    <w:rsid w:val="00CF1735"/>
    <w:rsid w:val="00CF1B14"/>
    <w:rsid w:val="00CF2454"/>
    <w:rsid w:val="00CF2671"/>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4CC"/>
    <w:rsid w:val="00DD0AEB"/>
    <w:rsid w:val="00DD13BE"/>
    <w:rsid w:val="00DD1527"/>
    <w:rsid w:val="00DD2324"/>
    <w:rsid w:val="00DD2805"/>
    <w:rsid w:val="00DD4364"/>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03"/>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0B2"/>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24AB"/>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657"/>
    <w:rsid w:val="00F82D6B"/>
    <w:rsid w:val="00F841D3"/>
    <w:rsid w:val="00F8491C"/>
    <w:rsid w:val="00F84E0D"/>
    <w:rsid w:val="00F853C1"/>
    <w:rsid w:val="00F8552E"/>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1D90"/>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3FBE"/>
    <w:rsid w:val="00FD4EBC"/>
    <w:rsid w:val="00FE0B0B"/>
    <w:rsid w:val="00FE10C9"/>
    <w:rsid w:val="00FE117A"/>
    <w:rsid w:val="00FE19DA"/>
    <w:rsid w:val="00FE30D6"/>
    <w:rsid w:val="00FE3646"/>
    <w:rsid w:val="00FE3CB7"/>
    <w:rsid w:val="00FE4FF1"/>
    <w:rsid w:val="00FE503B"/>
    <w:rsid w:val="00FE689C"/>
    <w:rsid w:val="00FF00C2"/>
    <w:rsid w:val="00FF0C09"/>
    <w:rsid w:val="00FF0E7B"/>
    <w:rsid w:val="00FF0F4E"/>
    <w:rsid w:val="00FF0FCF"/>
    <w:rsid w:val="00FF101C"/>
    <w:rsid w:val="00FF14B5"/>
    <w:rsid w:val="00FF2E11"/>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FB1D90"/>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644B29"/>
    <w:pPr>
      <w:tabs>
        <w:tab w:val="right" w:leader="dot" w:pos="9639"/>
      </w:tabs>
      <w:spacing w:after="60"/>
      <w:ind w:left="284" w:right="851"/>
      <w:contextualSpacing/>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uiPriority w:val="99"/>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C30D44"/>
    <w:pPr>
      <w:spacing w:after="600"/>
      <w:jc w:val="left"/>
    </w:pPr>
    <w:rPr>
      <w:i/>
      <w:iCs/>
      <w:color w:val="A6A6A6" w:themeColor="background1" w:themeShade="A6"/>
    </w:rPr>
  </w:style>
  <w:style w:type="paragraph" w:customStyle="1" w:styleId="preparedby0">
    <w:name w:val="prepared_by"/>
    <w:basedOn w:val="Normal"/>
    <w:rsid w:val="00C30D44"/>
    <w:pPr>
      <w:spacing w:after="240"/>
      <w:jc w:val="center"/>
    </w:pPr>
    <w:rPr>
      <w:i/>
      <w:iCs/>
    </w:rPr>
  </w:style>
  <w:style w:type="character" w:customStyle="1" w:styleId="Heading1Char">
    <w:name w:val="Heading 1 Char"/>
    <w:basedOn w:val="DefaultParagraphFont"/>
    <w:link w:val="Heading1"/>
    <w:rsid w:val="00C30D44"/>
    <w:rPr>
      <w:caps/>
    </w:rPr>
  </w:style>
  <w:style w:type="paragraph" w:styleId="ListParagraph">
    <w:name w:val="List Paragraph"/>
    <w:basedOn w:val="Normal"/>
    <w:uiPriority w:val="34"/>
    <w:qFormat/>
    <w:rsid w:val="00C30D44"/>
    <w:pPr>
      <w:ind w:left="720"/>
      <w:contextualSpacing/>
    </w:pPr>
    <w:rPr>
      <w:rFonts w:eastAsiaTheme="minorEastAsia"/>
    </w:rPr>
  </w:style>
  <w:style w:type="character" w:customStyle="1" w:styleId="FootnoteTextChar">
    <w:name w:val="Footnote Text Char"/>
    <w:basedOn w:val="DefaultParagraphFont"/>
    <w:link w:val="FootnoteText"/>
    <w:rsid w:val="00FB1D90"/>
    <w:rPr>
      <w:sz w:val="16"/>
    </w:rPr>
  </w:style>
  <w:style w:type="character" w:customStyle="1" w:styleId="HeaderChar">
    <w:name w:val="Header Char"/>
    <w:basedOn w:val="DefaultParagraphFont"/>
    <w:link w:val="Header"/>
    <w:rsid w:val="00C30D44"/>
    <w:rPr>
      <w:lang w:val="fr-FR"/>
    </w:rPr>
  </w:style>
  <w:style w:type="paragraph" w:customStyle="1" w:styleId="Style1">
    <w:name w:val="Style1"/>
    <w:basedOn w:val="Normal"/>
    <w:rsid w:val="00C30D44"/>
    <w:pPr>
      <w:tabs>
        <w:tab w:val="decimal" w:pos="907"/>
        <w:tab w:val="left" w:pos="1077"/>
      </w:tabs>
    </w:pPr>
    <w:rPr>
      <w:rFonts w:ascii="Times New Roman" w:eastAsiaTheme="minorEastAsia"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FB1D90"/>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644B29"/>
    <w:pPr>
      <w:tabs>
        <w:tab w:val="right" w:leader="dot" w:pos="9639"/>
      </w:tabs>
      <w:spacing w:after="60"/>
      <w:ind w:left="284" w:right="851"/>
      <w:contextualSpacing/>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uiPriority w:val="99"/>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C30D44"/>
    <w:pPr>
      <w:spacing w:after="600"/>
      <w:jc w:val="left"/>
    </w:pPr>
    <w:rPr>
      <w:i/>
      <w:iCs/>
      <w:color w:val="A6A6A6" w:themeColor="background1" w:themeShade="A6"/>
    </w:rPr>
  </w:style>
  <w:style w:type="paragraph" w:customStyle="1" w:styleId="preparedby0">
    <w:name w:val="prepared_by"/>
    <w:basedOn w:val="Normal"/>
    <w:rsid w:val="00C30D44"/>
    <w:pPr>
      <w:spacing w:after="240"/>
      <w:jc w:val="center"/>
    </w:pPr>
    <w:rPr>
      <w:i/>
      <w:iCs/>
    </w:rPr>
  </w:style>
  <w:style w:type="character" w:customStyle="1" w:styleId="Heading1Char">
    <w:name w:val="Heading 1 Char"/>
    <w:basedOn w:val="DefaultParagraphFont"/>
    <w:link w:val="Heading1"/>
    <w:rsid w:val="00C30D44"/>
    <w:rPr>
      <w:caps/>
    </w:rPr>
  </w:style>
  <w:style w:type="paragraph" w:styleId="ListParagraph">
    <w:name w:val="List Paragraph"/>
    <w:basedOn w:val="Normal"/>
    <w:uiPriority w:val="34"/>
    <w:qFormat/>
    <w:rsid w:val="00C30D44"/>
    <w:pPr>
      <w:ind w:left="720"/>
      <w:contextualSpacing/>
    </w:pPr>
    <w:rPr>
      <w:rFonts w:eastAsiaTheme="minorEastAsia"/>
    </w:rPr>
  </w:style>
  <w:style w:type="character" w:customStyle="1" w:styleId="FootnoteTextChar">
    <w:name w:val="Footnote Text Char"/>
    <w:basedOn w:val="DefaultParagraphFont"/>
    <w:link w:val="FootnoteText"/>
    <w:rsid w:val="00FB1D90"/>
    <w:rPr>
      <w:sz w:val="16"/>
    </w:rPr>
  </w:style>
  <w:style w:type="character" w:customStyle="1" w:styleId="HeaderChar">
    <w:name w:val="Header Char"/>
    <w:basedOn w:val="DefaultParagraphFont"/>
    <w:link w:val="Header"/>
    <w:rsid w:val="00C30D44"/>
    <w:rPr>
      <w:lang w:val="fr-FR"/>
    </w:rPr>
  </w:style>
  <w:style w:type="paragraph" w:customStyle="1" w:styleId="Style1">
    <w:name w:val="Style1"/>
    <w:basedOn w:val="Normal"/>
    <w:rsid w:val="00C30D44"/>
    <w:pPr>
      <w:tabs>
        <w:tab w:val="decimal" w:pos="907"/>
        <w:tab w:val="left" w:pos="1077"/>
      </w:tabs>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upov.int/about/en/faq.html" TargetMode="External"/><Relationship Id="rId2" Type="http://schemas.openxmlformats.org/officeDocument/2006/relationships/hyperlink" Target="http://www.upov.int/meetings/en/details.jsp?meeting_id=40044" TargetMode="External"/><Relationship Id="rId1" Type="http://schemas.openxmlformats.org/officeDocument/2006/relationships/hyperlink" Target="http://www.upov.int/meetings/en/details.jsp?meeting_id=38922" TargetMode="External"/><Relationship Id="rId4" Type="http://schemas.openxmlformats.org/officeDocument/2006/relationships/hyperlink" Target="http://www.upov.int/meetings/en/details.jsp?meeting_id=42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C3D53-A943-44B2-9B47-F1072CF2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1367</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6</cp:revision>
  <cp:lastPrinted>2017-10-09T16:25:00Z</cp:lastPrinted>
  <dcterms:created xsi:type="dcterms:W3CDTF">2017-10-06T14:36:00Z</dcterms:created>
  <dcterms:modified xsi:type="dcterms:W3CDTF">2017-10-09T16:26:00Z</dcterms:modified>
</cp:coreProperties>
</file>