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1B0FE5" w:rsidRDefault="001254A1" w:rsidP="004E5CD5">
            <w:pPr>
              <w:spacing w:line="280" w:lineRule="exact"/>
              <w:ind w:left="1447"/>
              <w:jc w:val="left"/>
              <w:rPr>
                <w:rFonts w:cs="Arial"/>
              </w:rPr>
            </w:pPr>
            <w:r w:rsidRPr="001254A1">
              <w:rPr>
                <w:rFonts w:cs="Arial"/>
                <w:b/>
                <w:spacing w:val="10"/>
              </w:rPr>
              <w:t>UPOV/EXN/NUL/2 Draft 3</w:t>
            </w:r>
            <w:r w:rsidR="004E5CD5" w:rsidRPr="0019030C">
              <w:rPr>
                <w:rFonts w:cs="Arial"/>
                <w:b/>
                <w:spacing w:val="10"/>
              </w:rPr>
              <w:br/>
            </w:r>
            <w:r w:rsidR="004E5CD5" w:rsidRPr="001B0FE5">
              <w:rPr>
                <w:rFonts w:cs="Arial"/>
                <w:b/>
              </w:rPr>
              <w:t>ORIGINAL:</w:t>
            </w:r>
            <w:r w:rsidR="004E5CD5" w:rsidRPr="001B0FE5">
              <w:rPr>
                <w:rFonts w:cs="Arial"/>
              </w:rPr>
              <w:t xml:space="preserve">  English</w:t>
            </w:r>
          </w:p>
          <w:p w:rsidR="004E5CD5" w:rsidRPr="0019030C" w:rsidRDefault="004E5CD5" w:rsidP="00A16FFC">
            <w:pPr>
              <w:pStyle w:val="Docoriginal"/>
              <w:ind w:left="1447"/>
              <w:jc w:val="left"/>
              <w:rPr>
                <w:b w:val="0"/>
                <w:spacing w:val="0"/>
              </w:rPr>
            </w:pPr>
            <w:r w:rsidRPr="001B0FE5">
              <w:rPr>
                <w:rFonts w:cs="Arial"/>
                <w:spacing w:val="0"/>
              </w:rPr>
              <w:t xml:space="preserve">DATE: </w:t>
            </w:r>
            <w:r w:rsidRPr="001B0FE5">
              <w:rPr>
                <w:rFonts w:cs="Arial"/>
                <w:b w:val="0"/>
                <w:spacing w:val="0"/>
              </w:rPr>
              <w:t xml:space="preserve"> </w:t>
            </w:r>
            <w:r w:rsidR="00A16FFC">
              <w:rPr>
                <w:rFonts w:cs="Arial"/>
                <w:b w:val="0"/>
                <w:spacing w:val="0"/>
              </w:rPr>
              <w:t>March 2</w:t>
            </w:r>
            <w:bookmarkStart w:id="0" w:name="_GoBack"/>
            <w:bookmarkEnd w:id="0"/>
            <w:r w:rsidR="002813C5">
              <w:rPr>
                <w:rFonts w:cs="Arial"/>
                <w:b w:val="0"/>
                <w:spacing w:val="0"/>
              </w:rPr>
              <w:t>, 201</w:t>
            </w:r>
            <w:r w:rsidR="00DE1D86">
              <w:rPr>
                <w:rFonts w:cs="Arial"/>
                <w:b w:val="0"/>
                <w:spacing w:val="0"/>
              </w:rPr>
              <w:t>5</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CC0520" w:rsidRPr="0019030C" w:rsidRDefault="00D74D4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w:t>
      </w:r>
      <w:r w:rsidR="00CC0520">
        <w:rPr>
          <w:rFonts w:cs="Arial"/>
        </w:rPr>
        <w:t>REVISION</w:t>
      </w:r>
      <w:r>
        <w:rPr>
          <w:rFonts w:cs="Arial"/>
        </w:rPr>
        <w: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BB1428">
        <w:rPr>
          <w:rFonts w:cs="Arial"/>
          <w:caps/>
        </w:rPr>
        <w:t xml:space="preserve">THE </w:t>
      </w:r>
      <w:r w:rsidR="001254A1">
        <w:rPr>
          <w:rFonts w:cs="Arial"/>
          <w:caps/>
        </w:rPr>
        <w:t>Nullity of the Breeder's Right</w:t>
      </w:r>
      <w:r w:rsidR="00D74D44">
        <w:rPr>
          <w:rFonts w:cs="Arial"/>
          <w:caps/>
        </w:rPr>
        <w:br/>
      </w:r>
      <w:r w:rsidR="00D74D44">
        <w:rPr>
          <w:rFonts w:cs="Arial"/>
          <w:caps/>
        </w:rPr>
        <w:br/>
      </w:r>
      <w:r w:rsidR="00694FFC" w:rsidRPr="0019030C">
        <w:rPr>
          <w:rFonts w:cs="Arial"/>
          <w:caps/>
        </w:rPr>
        <w:t>under the upov convention</w:t>
      </w:r>
    </w:p>
    <w:p w:rsidR="00BE4EC4" w:rsidRPr="0019030C" w:rsidRDefault="00922700" w:rsidP="00BE4EC4">
      <w:pPr>
        <w:pStyle w:val="preparedby0"/>
        <w:spacing w:after="960"/>
        <w:rPr>
          <w:rFonts w:cs="Arial"/>
        </w:rPr>
      </w:pPr>
      <w:r>
        <w:rPr>
          <w:rFonts w:cs="Arial"/>
        </w:rPr>
        <w:br/>
      </w:r>
      <w:r w:rsidR="001254A1" w:rsidRPr="0019030C">
        <w:rPr>
          <w:rFonts w:cs="Arial"/>
        </w:rPr>
        <w:t>Document prepared by the Office of the Union</w:t>
      </w:r>
      <w:r w:rsidR="001254A1" w:rsidRPr="0019030C">
        <w:rPr>
          <w:rFonts w:cs="Arial"/>
        </w:rPr>
        <w:br/>
      </w:r>
      <w:r w:rsidR="001254A1" w:rsidRPr="0019030C">
        <w:rPr>
          <w:rFonts w:cs="Arial"/>
        </w:rPr>
        <w:br/>
      </w:r>
      <w:r w:rsidR="00DD6DD2" w:rsidRPr="0019030C">
        <w:rPr>
          <w:rFonts w:cs="Arial"/>
        </w:rPr>
        <w:t xml:space="preserve">to be considered by </w:t>
      </w:r>
      <w:r w:rsidR="00DD6DD2">
        <w:rPr>
          <w:rFonts w:cs="Arial"/>
        </w:rPr>
        <w:t xml:space="preserve">the </w:t>
      </w:r>
      <w:r w:rsidR="00DD6DD2" w:rsidRPr="00AE1CD9">
        <w:rPr>
          <w:rFonts w:cs="Arial"/>
          <w:color w:val="000000"/>
        </w:rPr>
        <w:t>Administrative and Legal Committee</w:t>
      </w:r>
      <w:r w:rsidR="00DD6DD2" w:rsidRPr="0019030C">
        <w:rPr>
          <w:rFonts w:cs="Arial"/>
        </w:rPr>
        <w:br/>
        <w:t xml:space="preserve">at its </w:t>
      </w:r>
      <w:r w:rsidR="00DD6DD2">
        <w:rPr>
          <w:rFonts w:cs="Arial"/>
        </w:rPr>
        <w:t xml:space="preserve">seventy-first </w:t>
      </w:r>
      <w:r w:rsidR="00DD6DD2" w:rsidRPr="0019030C">
        <w:rPr>
          <w:rFonts w:cs="Arial"/>
        </w:rPr>
        <w:t xml:space="preserve">session, to be held in </w:t>
      </w:r>
      <w:smartTag w:uri="urn:schemas-microsoft-com:office:smarttags" w:element="place">
        <w:smartTag w:uri="urn:schemas-microsoft-com:office:smarttags" w:element="City">
          <w:r w:rsidR="00DD6DD2" w:rsidRPr="0019030C">
            <w:rPr>
              <w:rFonts w:cs="Arial"/>
            </w:rPr>
            <w:t>Geneva</w:t>
          </w:r>
        </w:smartTag>
      </w:smartTag>
      <w:r w:rsidR="00DD6DD2" w:rsidRPr="0019030C">
        <w:rPr>
          <w:rFonts w:cs="Arial"/>
        </w:rPr>
        <w:t xml:space="preserve"> on </w:t>
      </w:r>
      <w:r w:rsidR="00DD6DD2">
        <w:rPr>
          <w:rFonts w:cs="Arial"/>
        </w:rPr>
        <w:t>March 26, 2015</w:t>
      </w:r>
      <w:r w:rsidR="00DD6DD2">
        <w:rPr>
          <w:rFonts w:cs="Arial"/>
        </w:rPr>
        <w:br/>
      </w:r>
      <w:r>
        <w:rPr>
          <w:rFonts w:cs="Arial"/>
        </w:rPr>
        <w:br/>
      </w:r>
      <w:r>
        <w:rPr>
          <w:color w:val="A6A6A6" w:themeColor="background1" w:themeShade="A6"/>
        </w:rPr>
        <w:t>Disclaimer:  this document does not represent UPOV policies or guidance</w:t>
      </w:r>
    </w:p>
    <w:p w:rsidR="00CC0520" w:rsidRDefault="00CC0520"/>
    <w:p w:rsidR="00CC0520" w:rsidRDefault="00CC0520"/>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CC0520" w:rsidRPr="005C424F" w:rsidTr="00A33726">
        <w:trPr>
          <w:cantSplit/>
          <w:jc w:val="center"/>
        </w:trPr>
        <w:tc>
          <w:tcPr>
            <w:tcW w:w="6664" w:type="dxa"/>
            <w:shd w:val="clear" w:color="auto" w:fill="E6E6E6"/>
          </w:tcPr>
          <w:p w:rsidR="00CC0520" w:rsidRPr="007611DF" w:rsidRDefault="00CC0520" w:rsidP="00A33726">
            <w:pPr>
              <w:jc w:val="center"/>
              <w:rPr>
                <w:sz w:val="18"/>
                <w:szCs w:val="18"/>
              </w:rPr>
            </w:pPr>
            <w:r w:rsidRPr="007611DF">
              <w:rPr>
                <w:sz w:val="18"/>
                <w:szCs w:val="18"/>
              </w:rPr>
              <w:t>Note for Draft version</w:t>
            </w:r>
          </w:p>
          <w:p w:rsidR="00CC0520" w:rsidRPr="007611DF" w:rsidRDefault="00CC0520" w:rsidP="00A33726">
            <w:pPr>
              <w:jc w:val="center"/>
              <w:rPr>
                <w:sz w:val="18"/>
                <w:szCs w:val="18"/>
              </w:rPr>
            </w:pPr>
          </w:p>
          <w:p w:rsidR="00CC0520" w:rsidRPr="007611DF" w:rsidRDefault="00CC0520" w:rsidP="00A33726">
            <w:pPr>
              <w:rPr>
                <w:rFonts w:cs="Arial"/>
                <w:sz w:val="18"/>
                <w:szCs w:val="18"/>
              </w:rPr>
            </w:pPr>
            <w:r w:rsidRPr="007611DF">
              <w:rPr>
                <w:rFonts w:cs="Arial"/>
                <w:b/>
                <w:strike/>
                <w:sz w:val="18"/>
                <w:szCs w:val="18"/>
              </w:rPr>
              <w:t>Strikethrough</w:t>
            </w:r>
            <w:r w:rsidRPr="007611DF">
              <w:rPr>
                <w:rFonts w:cs="Arial"/>
                <w:b/>
                <w:sz w:val="18"/>
                <w:szCs w:val="18"/>
              </w:rPr>
              <w:t xml:space="preserve"> (highlighted)</w:t>
            </w:r>
            <w:r w:rsidRPr="007611DF">
              <w:rPr>
                <w:rFonts w:cs="Arial"/>
                <w:sz w:val="18"/>
                <w:szCs w:val="18"/>
              </w:rPr>
              <w:t xml:space="preserve"> indicates deletion from the</w:t>
            </w:r>
            <w:r w:rsidR="006A1549">
              <w:rPr>
                <w:rFonts w:cs="Arial"/>
                <w:sz w:val="18"/>
                <w:szCs w:val="18"/>
              </w:rPr>
              <w:t xml:space="preserve"> text of document UPOV/EXN/NUL/1 that has been agreed by the </w:t>
            </w:r>
            <w:r w:rsidR="006A1549" w:rsidRPr="002D5242">
              <w:rPr>
                <w:rFonts w:cs="Arial"/>
                <w:sz w:val="18"/>
                <w:szCs w:val="18"/>
              </w:rPr>
              <w:t>Administrative and Legal Committee Advisory Group (CAJ-AG)</w:t>
            </w:r>
            <w:r w:rsidRPr="007611DF">
              <w:rPr>
                <w:rFonts w:cs="Arial"/>
                <w:sz w:val="18"/>
                <w:szCs w:val="18"/>
              </w:rPr>
              <w:t>.</w:t>
            </w:r>
          </w:p>
          <w:p w:rsidR="00CC0520" w:rsidRPr="007611DF" w:rsidRDefault="00CC0520" w:rsidP="00A33726">
            <w:pPr>
              <w:rPr>
                <w:rFonts w:cs="Arial"/>
                <w:sz w:val="18"/>
                <w:szCs w:val="18"/>
              </w:rPr>
            </w:pPr>
          </w:p>
          <w:p w:rsidR="00CC0520" w:rsidRPr="007611DF" w:rsidRDefault="00CC0520" w:rsidP="00A33726">
            <w:pPr>
              <w:rPr>
                <w:rFonts w:cs="Arial"/>
                <w:sz w:val="18"/>
                <w:szCs w:val="18"/>
              </w:rPr>
            </w:pPr>
            <w:r w:rsidRPr="007611DF">
              <w:rPr>
                <w:rFonts w:cs="Arial"/>
                <w:b/>
                <w:sz w:val="18"/>
                <w:szCs w:val="18"/>
                <w:u w:val="single"/>
              </w:rPr>
              <w:t>Underlining</w:t>
            </w:r>
            <w:r w:rsidRPr="007611DF">
              <w:rPr>
                <w:rFonts w:cs="Arial"/>
                <w:b/>
                <w:sz w:val="18"/>
                <w:szCs w:val="18"/>
              </w:rPr>
              <w:t xml:space="preserve"> (highlighted)</w:t>
            </w:r>
            <w:r w:rsidRPr="007611DF">
              <w:rPr>
                <w:rFonts w:cs="Arial"/>
                <w:sz w:val="18"/>
                <w:szCs w:val="18"/>
              </w:rPr>
              <w:t xml:space="preserve"> indicates insertion to the text of document </w:t>
            </w:r>
            <w:r>
              <w:rPr>
                <w:rFonts w:cs="Arial"/>
                <w:sz w:val="18"/>
                <w:szCs w:val="18"/>
              </w:rPr>
              <w:t>UPOV/EXN/NUL/</w:t>
            </w:r>
            <w:r w:rsidR="006A1549">
              <w:rPr>
                <w:rFonts w:cs="Arial"/>
                <w:sz w:val="18"/>
                <w:szCs w:val="18"/>
              </w:rPr>
              <w:t>1</w:t>
            </w:r>
            <w:r>
              <w:rPr>
                <w:rFonts w:cs="Arial"/>
                <w:sz w:val="18"/>
                <w:szCs w:val="18"/>
              </w:rPr>
              <w:t xml:space="preserve"> </w:t>
            </w:r>
            <w:r w:rsidR="006A1549">
              <w:rPr>
                <w:rFonts w:cs="Arial"/>
                <w:sz w:val="18"/>
                <w:szCs w:val="18"/>
              </w:rPr>
              <w:t xml:space="preserve">that has been agreed by the </w:t>
            </w:r>
            <w:r w:rsidR="006A1549" w:rsidRPr="002D5242">
              <w:rPr>
                <w:rFonts w:cs="Arial"/>
                <w:sz w:val="18"/>
                <w:szCs w:val="18"/>
              </w:rPr>
              <w:t>CAJ-AG</w:t>
            </w:r>
            <w:r w:rsidRPr="007611DF">
              <w:rPr>
                <w:rFonts w:cs="Arial"/>
                <w:sz w:val="18"/>
                <w:szCs w:val="18"/>
              </w:rPr>
              <w:t>.</w:t>
            </w:r>
          </w:p>
          <w:p w:rsidR="00CC0520" w:rsidRPr="007611DF" w:rsidRDefault="00CC0520" w:rsidP="00A33726">
            <w:pPr>
              <w:rPr>
                <w:sz w:val="18"/>
                <w:szCs w:val="18"/>
              </w:rPr>
            </w:pPr>
          </w:p>
          <w:p w:rsidR="00CC0520" w:rsidRPr="005C424F" w:rsidRDefault="00CC0520" w:rsidP="00A33726">
            <w:pPr>
              <w:rPr>
                <w:szCs w:val="22"/>
              </w:rPr>
            </w:pPr>
            <w:r w:rsidRPr="007611DF">
              <w:rPr>
                <w:b/>
                <w:sz w:val="18"/>
                <w:szCs w:val="18"/>
              </w:rPr>
              <w:t>Footnotes</w:t>
            </w:r>
            <w:r w:rsidRPr="007611DF">
              <w:rPr>
                <w:sz w:val="18"/>
                <w:szCs w:val="18"/>
              </w:rPr>
              <w:t xml:space="preserve"> to be retained in the published version of the document.</w:t>
            </w:r>
          </w:p>
        </w:tc>
      </w:tr>
    </w:tbl>
    <w:p w:rsidR="00BE4EC4" w:rsidRPr="0019030C" w:rsidRDefault="00BE4EC4" w:rsidP="006A4623">
      <w:pPr>
        <w:rPr>
          <w:rFonts w:cs="Arial"/>
          <w:b/>
        </w:rPr>
      </w:pPr>
    </w:p>
    <w:p w:rsidR="00BE4EC4" w:rsidRPr="0019030C" w:rsidRDefault="00BE4EC4" w:rsidP="006A4623">
      <w:pPr>
        <w:jc w:val="left"/>
        <w:rPr>
          <w:rFonts w:cs="Arial"/>
        </w:rPr>
      </w:pPr>
    </w:p>
    <w:p w:rsidR="006A4623" w:rsidRDefault="006A4623">
      <w:pPr>
        <w:jc w:val="left"/>
        <w:rPr>
          <w:rFonts w:cs="Arial"/>
        </w:rPr>
      </w:pPr>
      <w:r>
        <w:rPr>
          <w:rFonts w:cs="Arial"/>
        </w:rPr>
        <w:br w:type="page"/>
      </w:r>
    </w:p>
    <w:p w:rsidR="00153064" w:rsidRDefault="00153064" w:rsidP="00E25BA1">
      <w:pPr>
        <w:jc w:val="center"/>
        <w:rPr>
          <w:u w:val="single"/>
        </w:rPr>
      </w:pPr>
    </w:p>
    <w:p w:rsidR="00BF6521" w:rsidRPr="00E25BA1" w:rsidRDefault="00E25BA1" w:rsidP="00E25BA1">
      <w:pPr>
        <w:jc w:val="center"/>
        <w:rPr>
          <w:sz w:val="18"/>
          <w:u w:val="single"/>
        </w:rPr>
      </w:pPr>
      <w:r w:rsidRPr="00E25BA1">
        <w:rPr>
          <w:u w:val="single"/>
        </w:rPr>
        <w:t>TABLE OF CONTENTS</w:t>
      </w:r>
    </w:p>
    <w:p w:rsidR="00BF6521" w:rsidRDefault="00BF6521" w:rsidP="00BF6521">
      <w:pPr>
        <w:jc w:val="left"/>
        <w:rPr>
          <w:sz w:val="18"/>
        </w:rPr>
      </w:pPr>
    </w:p>
    <w:p w:rsidR="00153064" w:rsidRDefault="00BF6521">
      <w:pPr>
        <w:pStyle w:val="TOC2"/>
        <w:rPr>
          <w:rFonts w:asciiTheme="minorHAnsi" w:eastAsiaTheme="minorEastAsia" w:hAnsiTheme="minorHAnsi" w:cstheme="minorBidi"/>
          <w:sz w:val="22"/>
          <w:szCs w:val="22"/>
        </w:rPr>
      </w:pPr>
      <w:r w:rsidRPr="00E25BA1">
        <w:fldChar w:fldCharType="begin"/>
      </w:r>
      <w:r w:rsidRPr="00E25BA1">
        <w:instrText xml:space="preserve"> TOC \o "1-3" \u </w:instrText>
      </w:r>
      <w:r w:rsidRPr="00E25BA1">
        <w:fldChar w:fldCharType="separate"/>
      </w:r>
      <w:r w:rsidR="00153064">
        <w:t>PREAMBLE</w:t>
      </w:r>
      <w:r w:rsidR="00153064">
        <w:tab/>
      </w:r>
      <w:r w:rsidR="00153064">
        <w:fldChar w:fldCharType="begin"/>
      </w:r>
      <w:r w:rsidR="00153064">
        <w:instrText xml:space="preserve"> PAGEREF _Toc412823236 \h </w:instrText>
      </w:r>
      <w:r w:rsidR="00153064">
        <w:fldChar w:fldCharType="separate"/>
      </w:r>
      <w:r w:rsidR="00AE4EB8">
        <w:t>3</w:t>
      </w:r>
      <w:r w:rsidR="00153064">
        <w:fldChar w:fldCharType="end"/>
      </w:r>
    </w:p>
    <w:p w:rsidR="00153064" w:rsidRDefault="00153064">
      <w:pPr>
        <w:pStyle w:val="TOC2"/>
        <w:rPr>
          <w:rFonts w:asciiTheme="minorHAnsi" w:eastAsiaTheme="minorEastAsia" w:hAnsiTheme="minorHAnsi" w:cstheme="minorBidi"/>
          <w:sz w:val="22"/>
          <w:szCs w:val="22"/>
        </w:rPr>
      </w:pPr>
      <w:r>
        <w:t>SECTION I:  PROVISIONS ON THE NULLITY OF THE BREEDER’S RIGHT</w:t>
      </w:r>
      <w:r>
        <w:tab/>
      </w:r>
      <w:r>
        <w:fldChar w:fldCharType="begin"/>
      </w:r>
      <w:r>
        <w:instrText xml:space="preserve"> PAGEREF _Toc412823237 \h </w:instrText>
      </w:r>
      <w:r>
        <w:fldChar w:fldCharType="separate"/>
      </w:r>
      <w:r w:rsidR="00AE4EB8">
        <w:t>4</w:t>
      </w:r>
      <w:r>
        <w:fldChar w:fldCharType="end"/>
      </w:r>
    </w:p>
    <w:p w:rsidR="00153064" w:rsidRDefault="00153064">
      <w:pPr>
        <w:pStyle w:val="TOC2"/>
        <w:rPr>
          <w:rFonts w:asciiTheme="minorHAnsi" w:eastAsiaTheme="minorEastAsia" w:hAnsiTheme="minorHAnsi" w:cstheme="minorBidi"/>
          <w:sz w:val="22"/>
          <w:szCs w:val="22"/>
        </w:rPr>
      </w:pPr>
      <w:r>
        <w:t>SECTION II:  CERTAIN ASPECTS OF THE PROVISIONS ON THE NULLITY</w:t>
      </w:r>
      <w:r w:rsidRPr="00582241">
        <w:rPr>
          <w:lang w:val="en-GB"/>
        </w:rPr>
        <w:t xml:space="preserve"> OF THE BREEDER’S RIGHT</w:t>
      </w:r>
      <w:r>
        <w:tab/>
      </w:r>
      <w:r>
        <w:fldChar w:fldCharType="begin"/>
      </w:r>
      <w:r>
        <w:instrText xml:space="preserve"> PAGEREF _Toc412823238 \h </w:instrText>
      </w:r>
      <w:r>
        <w:fldChar w:fldCharType="separate"/>
      </w:r>
      <w:r w:rsidR="00AE4EB8">
        <w:t>5</w:t>
      </w:r>
      <w:r>
        <w:fldChar w:fldCharType="end"/>
      </w:r>
    </w:p>
    <w:p w:rsidR="00BF6521" w:rsidRPr="007934B1" w:rsidRDefault="00BF6521" w:rsidP="00E25BA1">
      <w:pPr>
        <w:jc w:val="center"/>
      </w:pPr>
      <w:r w:rsidRPr="00E25BA1">
        <w:rPr>
          <w:b/>
          <w:bCs/>
          <w:szCs w:val="24"/>
        </w:rPr>
        <w:fldChar w:fldCharType="end"/>
      </w:r>
      <w:r>
        <w:br w:type="page"/>
      </w:r>
      <w:r w:rsidRPr="007934B1">
        <w:lastRenderedPageBreak/>
        <w:t xml:space="preserve">EXPLANATORY NOTES ON </w:t>
      </w:r>
      <w:r>
        <w:t>THE NULLITY OF THE BREEDER’S RIGHT</w:t>
      </w:r>
      <w:r>
        <w:br/>
        <w:t>UNDER THE UPOV </w:t>
      </w:r>
      <w:r w:rsidRPr="007934B1">
        <w:t>CONVENTION</w:t>
      </w:r>
    </w:p>
    <w:p w:rsidR="00BF6521" w:rsidRPr="007934B1" w:rsidRDefault="00BF6521" w:rsidP="00BF6521"/>
    <w:p w:rsidR="00BF6521" w:rsidRPr="007F2014" w:rsidRDefault="00BF6521" w:rsidP="00E25BA1">
      <w:pPr>
        <w:pStyle w:val="Heading2"/>
      </w:pPr>
      <w:bookmarkStart w:id="1" w:name="_Toc412823236"/>
      <w:r w:rsidRPr="007F2014">
        <w:t>PREAMBLE</w:t>
      </w:r>
      <w:bookmarkEnd w:id="1"/>
    </w:p>
    <w:p w:rsidR="00BF6521" w:rsidRPr="007934B1" w:rsidRDefault="00BF6521" w:rsidP="00BF6521">
      <w:pPr>
        <w:rPr>
          <w:b/>
        </w:rPr>
      </w:pPr>
    </w:p>
    <w:p w:rsidR="00BF6521" w:rsidRPr="00012466" w:rsidRDefault="00BF6521" w:rsidP="00BF6521">
      <w:r w:rsidRPr="007934B1">
        <w:fldChar w:fldCharType="begin"/>
      </w:r>
      <w:r w:rsidRPr="007934B1">
        <w:instrText xml:space="preserve"> AUTONUM  </w:instrText>
      </w:r>
      <w:r w:rsidRPr="007934B1">
        <w:fldChar w:fldCharType="end"/>
      </w:r>
      <w:r w:rsidRPr="007934B1">
        <w:tab/>
        <w:t xml:space="preserve">The purpose of these Explanatory Notes is to provide guidance on </w:t>
      </w:r>
      <w:r>
        <w:t xml:space="preserve">the </w:t>
      </w:r>
      <w:r w:rsidRPr="007934B1">
        <w:t>“</w:t>
      </w:r>
      <w:r>
        <w:t>Nullity of the Breeder’s Right</w:t>
      </w:r>
      <w:r w:rsidRPr="007934B1">
        <w:t>” under the International Convention for the Protection of New Varieties of Plants (UPOV Convention). 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012466">
          <w:t>Union</w:t>
        </w:r>
      </w:smartTag>
      <w:r w:rsidRPr="00012466">
        <w:t xml:space="preserve"> concerned.  </w:t>
      </w:r>
    </w:p>
    <w:p w:rsidR="00BF6521" w:rsidRPr="00012466" w:rsidRDefault="00BF6521" w:rsidP="00BF6521"/>
    <w:p w:rsidR="00BF6521" w:rsidRDefault="00BF6521" w:rsidP="00BF6521">
      <w:pPr>
        <w:rPr>
          <w:lang w:val="en-GB"/>
        </w:rPr>
      </w:pPr>
      <w:r w:rsidRPr="00012466">
        <w:fldChar w:fldCharType="begin"/>
      </w:r>
      <w:r w:rsidRPr="00012466">
        <w:instrText xml:space="preserve"> AUTONUM  </w:instrText>
      </w:r>
      <w:r w:rsidRPr="00012466">
        <w:fldChar w:fldCharType="end"/>
      </w:r>
      <w:r w:rsidRPr="00012466">
        <w:tab/>
      </w:r>
      <w:r>
        <w:t>Section II provides</w:t>
      </w:r>
      <w:r w:rsidRPr="00012466">
        <w:t xml:space="preserve"> guidance on </w:t>
      </w:r>
      <w:r>
        <w:t xml:space="preserve">certain aspects of the provisions on the nullity of the breeder’s right </w:t>
      </w:r>
      <w:r w:rsidRPr="007934B1">
        <w:t xml:space="preserve">contained in Article </w:t>
      </w:r>
      <w:r>
        <w:t>21</w:t>
      </w:r>
      <w:r w:rsidRPr="007934B1">
        <w:t xml:space="preserve"> of the 1991 Act of</w:t>
      </w:r>
      <w:r>
        <w:t xml:space="preserve"> the UPOV Convention and </w:t>
      </w:r>
      <w:r>
        <w:rPr>
          <w:lang w:val="en-GB"/>
        </w:rPr>
        <w:t xml:space="preserve">Article 10(1) and (4) </w:t>
      </w:r>
      <w:r w:rsidRPr="007934B1">
        <w:rPr>
          <w:lang w:val="en-GB"/>
        </w:rPr>
        <w:t xml:space="preserve">of the 1978 Act </w:t>
      </w:r>
      <w:r>
        <w:rPr>
          <w:lang w:val="en-GB"/>
        </w:rPr>
        <w:t xml:space="preserve">of the UPOV Convention.  </w:t>
      </w:r>
    </w:p>
    <w:p w:rsidR="00BF6521" w:rsidRDefault="00BF6521" w:rsidP="00BF6521">
      <w:pPr>
        <w:rPr>
          <w:lang w:val="en-GB"/>
        </w:rPr>
      </w:pPr>
    </w:p>
    <w:p w:rsidR="00BF6521" w:rsidRDefault="00BF6521" w:rsidP="00BF6521">
      <w:pPr>
        <w:rPr>
          <w:lang w:val="en-GB"/>
        </w:rPr>
      </w:pPr>
    </w:p>
    <w:p w:rsidR="00BF6521" w:rsidRPr="00366754" w:rsidRDefault="00BF6521" w:rsidP="00E25BA1">
      <w:pPr>
        <w:pStyle w:val="Heading2"/>
      </w:pPr>
      <w:r>
        <w:br w:type="page"/>
      </w:r>
      <w:bookmarkStart w:id="2" w:name="_Toc412823237"/>
      <w:r>
        <w:lastRenderedPageBreak/>
        <w:t>SECTION</w:t>
      </w:r>
      <w:r w:rsidRPr="00366754">
        <w:t xml:space="preserve"> </w:t>
      </w:r>
      <w:r>
        <w:t>I</w:t>
      </w:r>
      <w:r w:rsidRPr="00366754">
        <w:t xml:space="preserve">:  </w:t>
      </w:r>
      <w:r>
        <w:t>PROVISIONS ON THE NULLITY OF THE BREEDER’S RIGHT</w:t>
      </w:r>
      <w:bookmarkEnd w:id="2"/>
    </w:p>
    <w:p w:rsidR="00BF6521" w:rsidRDefault="00BF6521" w:rsidP="00BF6521">
      <w:pPr>
        <w:rPr>
          <w:lang w:val="en-GB"/>
        </w:rPr>
      </w:pPr>
    </w:p>
    <w:p w:rsidR="00BF6521" w:rsidRDefault="00BF6521" w:rsidP="00BF6521">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provisions on the </w:t>
      </w:r>
      <w:r>
        <w:t xml:space="preserve">nullity of the breeder’s right </w:t>
      </w:r>
      <w:r w:rsidRPr="007934B1">
        <w:t xml:space="preserve">contained in Article </w:t>
      </w:r>
      <w:r>
        <w:t>21 of the 1991 </w:t>
      </w:r>
      <w:r w:rsidRPr="007934B1">
        <w:t>Act of</w:t>
      </w:r>
      <w:r>
        <w:t xml:space="preserve"> the UPOV Convention and </w:t>
      </w:r>
      <w:r>
        <w:rPr>
          <w:lang w:val="en-GB"/>
        </w:rPr>
        <w:t xml:space="preserve">Article 10 (1) and (4) </w:t>
      </w:r>
      <w:r w:rsidRPr="007934B1">
        <w:rPr>
          <w:lang w:val="en-GB"/>
        </w:rPr>
        <w:t xml:space="preserve">of the 1978 Act </w:t>
      </w:r>
      <w:r>
        <w:rPr>
          <w:lang w:val="en-GB"/>
        </w:rPr>
        <w:t>of the UPOV Convention are reproduced below:</w:t>
      </w:r>
    </w:p>
    <w:p w:rsidR="00BF6521" w:rsidRPr="008457C3" w:rsidRDefault="00BF6521" w:rsidP="00BF6521">
      <w:pPr>
        <w:rPr>
          <w:lang w:val="en-GB"/>
        </w:rPr>
      </w:pP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Pr>
          <w:lang w:val="en-GB"/>
        </w:rPr>
        <w:t xml:space="preserve">Article 21 of the </w:t>
      </w:r>
      <w:r w:rsidRPr="008457C3">
        <w:rPr>
          <w:b/>
          <w:lang w:val="en-GB"/>
        </w:rPr>
        <w:t>1991 Act</w:t>
      </w:r>
      <w:r w:rsidRPr="008457C3">
        <w:rPr>
          <w:lang w:val="en-GB"/>
        </w:rPr>
        <w:t xml:space="preserve"> of the UPOV Convention</w:t>
      </w: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sidRPr="008457C3">
        <w:rPr>
          <w:b/>
          <w:lang w:val="en-GB"/>
        </w:rPr>
        <w:t>Article 21</w:t>
      </w: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sidRPr="008457C3">
        <w:rPr>
          <w:b/>
          <w:lang w:val="en-GB"/>
        </w:rPr>
        <w:t>Nullity of the Breeder’s Right</w:t>
      </w: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lang w:val="en-GB"/>
        </w:rPr>
      </w:pP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r w:rsidRPr="008457C3">
        <w:rPr>
          <w:lang w:val="en-GB"/>
        </w:rPr>
        <w:tab/>
      </w:r>
      <w:r w:rsidRPr="008457C3">
        <w:t>(1)</w:t>
      </w:r>
      <w:r w:rsidRPr="008457C3">
        <w:tab/>
        <w:t>[</w:t>
      </w:r>
      <w:r w:rsidRPr="008457C3">
        <w:rPr>
          <w:i/>
        </w:rPr>
        <w:t>Reasons of nullity</w:t>
      </w:r>
      <w:r w:rsidRPr="008457C3">
        <w:t xml:space="preserve">]  Each Contracting Party shall declare a breeder’s right granted by it null and void when it is established </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(i)</w:t>
      </w:r>
      <w:r w:rsidRPr="008457C3">
        <w:rPr>
          <w:szCs w:val="20"/>
        </w:rPr>
        <w:tab/>
        <w:t xml:space="preserve">that the conditions laid down in Articles 6 or 7 were not complied with at the time of the grant of the breeder’s right, </w:t>
      </w: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(ii)</w:t>
      </w:r>
      <w:r w:rsidRPr="008457C3">
        <w:rPr>
          <w:szCs w:val="20"/>
        </w:rPr>
        <w:tab/>
        <w:t xml:space="preserve">that, where the grant of the breeder’s right has been essentially based upon information and documents furnished by the breeder, the conditions laid down in Articles 8 or 9 were not complied with at the time of the grant of the breeder’s right, </w:t>
      </w:r>
      <w:r w:rsidRPr="008457C3">
        <w:rPr>
          <w:szCs w:val="20"/>
          <w:vertAlign w:val="superscript"/>
        </w:rPr>
        <w:t>[</w:t>
      </w:r>
      <w:r w:rsidRPr="008457C3">
        <w:rPr>
          <w:rStyle w:val="FootnoteReference"/>
          <w:szCs w:val="20"/>
        </w:rPr>
        <w:footnoteReference w:id="1"/>
      </w:r>
      <w:r w:rsidRPr="008457C3">
        <w:rPr>
          <w:szCs w:val="20"/>
          <w:vertAlign w:val="superscript"/>
        </w:rPr>
        <w:t>]</w:t>
      </w:r>
      <w:r w:rsidRPr="008457C3">
        <w:rPr>
          <w:szCs w:val="20"/>
        </w:rPr>
        <w:t>or</w:t>
      </w: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(iii)</w:t>
      </w:r>
      <w:r w:rsidRPr="008457C3">
        <w:rPr>
          <w:szCs w:val="20"/>
        </w:rPr>
        <w:tab/>
        <w:t>that the breeder’s right has been granted to a person who is not entitled to it, unless it is transferred to the person who is so entitled.</w:t>
      </w:r>
      <w:r w:rsidRPr="008457C3">
        <w:rPr>
          <w:szCs w:val="20"/>
          <w:vertAlign w:val="superscript"/>
        </w:rPr>
        <w:t>[</w:t>
      </w:r>
      <w:r w:rsidRPr="008457C3">
        <w:rPr>
          <w:rStyle w:val="FootnoteReference"/>
          <w:szCs w:val="20"/>
        </w:rPr>
        <w:footnoteReference w:id="2"/>
      </w:r>
      <w:r w:rsidRPr="008457C3">
        <w:rPr>
          <w:szCs w:val="20"/>
          <w:vertAlign w:val="superscript"/>
        </w:rPr>
        <w:t>]</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r w:rsidRPr="008457C3">
        <w:tab/>
        <w:t>(2)</w:t>
      </w:r>
      <w:r w:rsidRPr="008457C3">
        <w:tab/>
        <w:t>[</w:t>
      </w:r>
      <w:r w:rsidRPr="008457C3">
        <w:rPr>
          <w:i/>
        </w:rPr>
        <w:t>Exclusion of other reasons</w:t>
      </w:r>
      <w:r w:rsidRPr="008457C3">
        <w:t>]  No breeder’s right shall be declared null and void for reasons other than those referred to in paragraph (1).</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rPr>
          <w:lang w:val="en-GB"/>
        </w:rPr>
      </w:pPr>
    </w:p>
    <w:p w:rsidR="00BF6521" w:rsidRDefault="00BF6521" w:rsidP="00BF6521">
      <w:pPr>
        <w:rPr>
          <w:lang w:val="en-GB"/>
        </w:rPr>
      </w:pPr>
    </w:p>
    <w:p w:rsidR="00BF6521" w:rsidRPr="008457C3" w:rsidRDefault="00BF6521" w:rsidP="00BF6521">
      <w:pPr>
        <w:rPr>
          <w:lang w:val="en-GB"/>
        </w:rPr>
      </w:pP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b w:val="0"/>
          <w:bCs/>
          <w:sz w:val="20"/>
          <w:lang w:val="en-GB"/>
        </w:rPr>
      </w:pP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b w:val="0"/>
          <w:bCs/>
          <w:sz w:val="20"/>
          <w:lang w:val="en-GB"/>
        </w:rPr>
        <w:t>Article 10 of the</w:t>
      </w:r>
      <w:r w:rsidRPr="008457C3">
        <w:rPr>
          <w:rFonts w:ascii="Arial" w:hAnsi="Arial" w:cs="Arial"/>
          <w:sz w:val="20"/>
          <w:lang w:val="en-GB"/>
        </w:rPr>
        <w:t xml:space="preserve"> 1978 Act </w:t>
      </w:r>
      <w:r w:rsidRPr="008457C3">
        <w:rPr>
          <w:rFonts w:ascii="Arial" w:hAnsi="Arial" w:cs="Arial"/>
          <w:b w:val="0"/>
          <w:bCs/>
          <w:sz w:val="20"/>
          <w:lang w:val="en-GB"/>
        </w:rPr>
        <w:t>of the UPOV Convention</w:t>
      </w:r>
      <w:r w:rsidRPr="008457C3">
        <w:rPr>
          <w:rFonts w:ascii="Arial" w:hAnsi="Arial" w:cs="Arial"/>
          <w:b w:val="0"/>
          <w:bCs/>
          <w:sz w:val="20"/>
        </w:rPr>
        <w:t xml:space="preserve"> </w:t>
      </w: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sz w:val="20"/>
        </w:rPr>
        <w:t>Article 10</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66"/>
        <w:rPr>
          <w:rFonts w:cs="Arial"/>
        </w:rPr>
      </w:pP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sz w:val="20"/>
        </w:rPr>
        <w:t>Nullity [and Forfeiture] of the Rights Protected</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66"/>
      </w:pPr>
      <w:r w:rsidRPr="008457C3">
        <w:t xml:space="preserve"> </w:t>
      </w:r>
    </w:p>
    <w:p w:rsidR="00BF6521" w:rsidRPr="008457C3" w:rsidRDefault="00BF6521" w:rsidP="00BF6521">
      <w:pPr>
        <w:pBdr>
          <w:top w:val="single" w:sz="4" w:space="1" w:color="auto"/>
          <w:left w:val="single" w:sz="4" w:space="1" w:color="auto"/>
          <w:bottom w:val="single" w:sz="4" w:space="1" w:color="auto"/>
          <w:right w:val="single" w:sz="4" w:space="1" w:color="auto"/>
        </w:pBdr>
        <w:spacing w:after="120"/>
        <w:ind w:left="567" w:right="566"/>
      </w:pPr>
      <w:r w:rsidRPr="008457C3">
        <w:tab/>
        <w:t xml:space="preserve">(1) </w:t>
      </w:r>
      <w:r w:rsidRPr="008457C3">
        <w:tab/>
        <w:t>The right of the breeder shall be declared null and void, in accordance with the provisions of the national law of each member State of the Union, if it is established that the conditions laid down in Article 6(1)</w:t>
      </w:r>
      <w:r w:rsidRPr="008457C3">
        <w:rPr>
          <w:i/>
        </w:rPr>
        <w:t>(a)</w:t>
      </w:r>
      <w:r w:rsidRPr="008457C3">
        <w:t xml:space="preserve"> and </w:t>
      </w:r>
      <w:r w:rsidRPr="008457C3">
        <w:rPr>
          <w:i/>
        </w:rPr>
        <w:t>(b)</w:t>
      </w:r>
      <w:r w:rsidRPr="008457C3">
        <w:t xml:space="preserve"> were not effectively complied with at the time when the title of protection was issued.</w:t>
      </w:r>
    </w:p>
    <w:p w:rsidR="00BF6521" w:rsidRPr="008457C3" w:rsidRDefault="00BF6521" w:rsidP="00BF6521">
      <w:pPr>
        <w:pBdr>
          <w:top w:val="single" w:sz="4" w:space="1" w:color="auto"/>
          <w:left w:val="single" w:sz="4" w:space="1" w:color="auto"/>
          <w:bottom w:val="single" w:sz="4" w:space="1" w:color="auto"/>
          <w:right w:val="single" w:sz="4" w:space="1" w:color="auto"/>
        </w:pBdr>
        <w:spacing w:after="120"/>
        <w:ind w:left="567" w:right="566"/>
        <w:rPr>
          <w:strike/>
          <w:vertAlign w:val="superscript"/>
        </w:rPr>
      </w:pPr>
      <w:r w:rsidRPr="008457C3">
        <w:tab/>
        <w:t>[…]</w:t>
      </w:r>
      <w:r w:rsidRPr="008457C3">
        <w:rPr>
          <w:vertAlign w:val="superscript"/>
        </w:rPr>
        <w:t>[</w:t>
      </w:r>
      <w:r w:rsidRPr="008457C3">
        <w:rPr>
          <w:rStyle w:val="FootnoteReference"/>
        </w:rPr>
        <w:footnoteReference w:id="3"/>
      </w:r>
      <w:r w:rsidRPr="008457C3">
        <w:rPr>
          <w:vertAlign w:val="superscript"/>
        </w:rPr>
        <w:t>]</w:t>
      </w:r>
    </w:p>
    <w:p w:rsidR="00BF6521" w:rsidRPr="008457C3" w:rsidRDefault="00BF6521" w:rsidP="00BF6521">
      <w:pPr>
        <w:pBdr>
          <w:top w:val="single" w:sz="4" w:space="1" w:color="auto"/>
          <w:left w:val="single" w:sz="4" w:space="1" w:color="auto"/>
          <w:bottom w:val="single" w:sz="4" w:space="1" w:color="auto"/>
          <w:right w:val="single" w:sz="4" w:space="1" w:color="auto"/>
        </w:pBdr>
        <w:spacing w:after="120"/>
        <w:ind w:left="567" w:right="566"/>
      </w:pPr>
      <w:r w:rsidRPr="008457C3">
        <w:tab/>
        <w:t>(4)</w:t>
      </w:r>
      <w:r w:rsidRPr="008457C3">
        <w:tab/>
        <w:t>The right of the breeder may not be annulled [or become forfeit] except on the grounds set out in this Article.</w:t>
      </w:r>
    </w:p>
    <w:p w:rsidR="00BF6521" w:rsidRPr="008457C3" w:rsidRDefault="00BF6521" w:rsidP="00BF6521">
      <w:pPr>
        <w:pBdr>
          <w:top w:val="single" w:sz="4" w:space="1" w:color="auto"/>
          <w:left w:val="single" w:sz="4" w:space="1" w:color="auto"/>
          <w:bottom w:val="single" w:sz="4" w:space="1" w:color="auto"/>
          <w:right w:val="single" w:sz="4" w:space="1" w:color="auto"/>
        </w:pBdr>
        <w:spacing w:after="120"/>
        <w:ind w:left="567" w:right="566"/>
      </w:pPr>
    </w:p>
    <w:p w:rsidR="00BF6521" w:rsidRPr="008457C3" w:rsidRDefault="00BF6521" w:rsidP="00BF6521">
      <w:pPr>
        <w:pStyle w:val="Style1"/>
        <w:tabs>
          <w:tab w:val="clear" w:pos="907"/>
          <w:tab w:val="clear" w:pos="1077"/>
        </w:tabs>
        <w:suppressAutoHyphens/>
        <w:jc w:val="left"/>
        <w:rPr>
          <w:szCs w:val="20"/>
          <w:lang w:val="en-GB"/>
        </w:rPr>
      </w:pPr>
      <w:r w:rsidRPr="008457C3">
        <w:rPr>
          <w:szCs w:val="20"/>
          <w:lang w:val="en-GB"/>
        </w:rPr>
        <w:br w:type="page"/>
      </w:r>
    </w:p>
    <w:p w:rsidR="00BF6521" w:rsidRPr="00257020" w:rsidRDefault="00BF6521" w:rsidP="00E25BA1">
      <w:pPr>
        <w:pStyle w:val="Heading2"/>
        <w:rPr>
          <w:sz w:val="22"/>
          <w:lang w:val="en-GB"/>
        </w:rPr>
      </w:pPr>
      <w:bookmarkStart w:id="3" w:name="_Toc203190981"/>
      <w:bookmarkStart w:id="4" w:name="_Toc203203122"/>
      <w:bookmarkStart w:id="5" w:name="_Toc412823238"/>
      <w:r w:rsidRPr="0076478C">
        <w:lastRenderedPageBreak/>
        <w:t xml:space="preserve">SECTION II:  CERTAIN ASPECTS OF THE PROVISIONS ON THE </w:t>
      </w:r>
      <w:r>
        <w:t>NULLITY</w:t>
      </w:r>
      <w:r w:rsidRPr="0076478C">
        <w:rPr>
          <w:sz w:val="22"/>
          <w:lang w:val="en-GB"/>
        </w:rPr>
        <w:t xml:space="preserve"> </w:t>
      </w:r>
      <w:r w:rsidRPr="006A78CE">
        <w:rPr>
          <w:szCs w:val="24"/>
          <w:lang w:val="en-GB"/>
        </w:rPr>
        <w:t>OF THE BREEDER’S RIGHT</w:t>
      </w:r>
      <w:bookmarkEnd w:id="3"/>
      <w:bookmarkEnd w:id="4"/>
      <w:bookmarkEnd w:id="5"/>
    </w:p>
    <w:p w:rsidR="00BF6521" w:rsidRDefault="00BF6521" w:rsidP="00BF6521"/>
    <w:p w:rsidR="00BF6521" w:rsidRDefault="00BF6521" w:rsidP="00BF6521">
      <w:r w:rsidRPr="007E087D">
        <w:rPr>
          <w:strike/>
          <w:highlight w:val="lightGray"/>
        </w:rPr>
        <w:t>5</w:t>
      </w:r>
      <w:r>
        <w:rPr>
          <w:strike/>
        </w:rPr>
        <w:t xml:space="preserve"> </w:t>
      </w:r>
      <w:r w:rsidR="00D0340F">
        <w:rPr>
          <w:highlight w:val="lightGray"/>
          <w:u w:val="single"/>
        </w:rPr>
        <w:fldChar w:fldCharType="begin"/>
      </w:r>
      <w:r w:rsidR="00D0340F">
        <w:rPr>
          <w:highlight w:val="lightGray"/>
          <w:u w:val="single"/>
        </w:rPr>
        <w:instrText xml:space="preserve"> AUTONUM  </w:instrText>
      </w:r>
      <w:r w:rsidR="00D0340F">
        <w:rPr>
          <w:highlight w:val="lightGray"/>
          <w:u w:val="single"/>
        </w:rPr>
        <w:fldChar w:fldCharType="end"/>
      </w:r>
      <w:r w:rsidR="00D0340F">
        <w:rPr>
          <w:highlight w:val="lightGray"/>
          <w:u w:val="single"/>
        </w:rPr>
        <w:tab/>
      </w:r>
      <w:r>
        <w:t xml:space="preserve">The use of the word “shall” clarifies that </w:t>
      </w:r>
      <w:r w:rsidRPr="00CB0F42">
        <w:t>the competent authority must declare the breeder’s right null and void if the criteria set out in Article</w:t>
      </w:r>
      <w:r>
        <w:t xml:space="preserve"> 21(1) of the 1991 Act of the UPOV Convention and Article 10(1) of the 1978 Act of the UPOV Convention are met.</w:t>
      </w:r>
    </w:p>
    <w:p w:rsidR="00BF6521" w:rsidRDefault="00BF6521" w:rsidP="00BF6521">
      <w:pPr>
        <w:rPr>
          <w:szCs w:val="22"/>
        </w:rPr>
      </w:pPr>
    </w:p>
    <w:p w:rsidR="00BF6521" w:rsidRDefault="00BF6521" w:rsidP="00BF6521">
      <w:r w:rsidRPr="009720D4">
        <w:rPr>
          <w:strike/>
          <w:highlight w:val="lightGray"/>
        </w:rPr>
        <w:t>4</w:t>
      </w:r>
      <w:r>
        <w:rPr>
          <w:strike/>
          <w:highlight w:val="lightGray"/>
        </w:rPr>
        <w:t>.</w:t>
      </w:r>
      <w:r w:rsidR="00D0340F">
        <w:rPr>
          <w:highlight w:val="lightGray"/>
          <w:u w:val="single"/>
        </w:rPr>
        <w:fldChar w:fldCharType="begin"/>
      </w:r>
      <w:r w:rsidR="00D0340F">
        <w:rPr>
          <w:highlight w:val="lightGray"/>
          <w:u w:val="single"/>
        </w:rPr>
        <w:instrText xml:space="preserve"> AUTONUM  </w:instrText>
      </w:r>
      <w:r w:rsidR="00D0340F">
        <w:rPr>
          <w:highlight w:val="lightGray"/>
          <w:u w:val="single"/>
        </w:rPr>
        <w:fldChar w:fldCharType="end"/>
      </w:r>
      <w:r w:rsidR="00D0340F">
        <w:rPr>
          <w:highlight w:val="lightGray"/>
          <w:u w:val="single"/>
        </w:rPr>
        <w:tab/>
      </w:r>
      <w:r w:rsidRPr="004E0B2E">
        <w:t>When a breeder’s right is declared null and void, it is equivalent to pronouncing that it was an invalid right and should not have been granted in the first instance.</w:t>
      </w:r>
      <w:r>
        <w:t xml:space="preserve"> </w:t>
      </w:r>
      <w:r w:rsidRPr="004E0B2E">
        <w:t xml:space="preserve"> </w:t>
      </w:r>
      <w:r w:rsidRPr="009720D4">
        <w:rPr>
          <w:strike/>
          <w:highlight w:val="lightGray"/>
        </w:rPr>
        <w:t>In</w:t>
      </w:r>
      <w:r w:rsidRPr="004E0B2E">
        <w:t xml:space="preserve"> </w:t>
      </w:r>
      <w:r w:rsidRPr="009720D4">
        <w:rPr>
          <w:highlight w:val="lightGray"/>
          <w:u w:val="single"/>
        </w:rPr>
        <w:t>By</w:t>
      </w:r>
      <w:r>
        <w:t xml:space="preserve"> </w:t>
      </w:r>
      <w:r w:rsidRPr="004E0B2E">
        <w:t>contrast, a breeder’s right which is cancelled was valid until the date of cancellation and was, in particular, valid at the time of granting (see</w:t>
      </w:r>
      <w:r w:rsidRPr="004E0B2E">
        <w:rPr>
          <w:szCs w:val="24"/>
        </w:rPr>
        <w:t xml:space="preserve"> Explanatory Notes on the Cancellation of the Breeder’s Right unde</w:t>
      </w:r>
      <w:r>
        <w:rPr>
          <w:szCs w:val="24"/>
        </w:rPr>
        <w:t>r the UPOV Convention (document </w:t>
      </w:r>
      <w:hyperlink r:id="rId9" w:history="1">
        <w:r w:rsidRPr="00573541">
          <w:rPr>
            <w:rStyle w:val="Hyperlink"/>
            <w:szCs w:val="24"/>
          </w:rPr>
          <w:t>UPOV/EXN/CAN</w:t>
        </w:r>
        <w:r w:rsidRPr="0056466F">
          <w:rPr>
            <w:rStyle w:val="Hyperlink"/>
            <w:strike/>
            <w:szCs w:val="24"/>
            <w:highlight w:val="lightGray"/>
          </w:rPr>
          <w:t>/1</w:t>
        </w:r>
      </w:hyperlink>
      <w:r w:rsidRPr="004E0B2E">
        <w:rPr>
          <w:szCs w:val="24"/>
        </w:rPr>
        <w:t>)</w:t>
      </w:r>
      <w:r>
        <w:rPr>
          <w:szCs w:val="24"/>
        </w:rPr>
        <w:t>)</w:t>
      </w:r>
      <w:r w:rsidRPr="004E0B2E">
        <w:t>.</w:t>
      </w:r>
    </w:p>
    <w:p w:rsidR="00BF6521" w:rsidRDefault="00BF6521" w:rsidP="00BF6521"/>
    <w:p w:rsidR="00BF6521" w:rsidRDefault="00BF6521" w:rsidP="00BF6521"/>
    <w:p w:rsidR="00BF6521" w:rsidRPr="00FC608A" w:rsidRDefault="00BF6521" w:rsidP="00BF6521">
      <w:pPr>
        <w:pStyle w:val="Style1"/>
        <w:tabs>
          <w:tab w:val="clear" w:pos="907"/>
          <w:tab w:val="clear" w:pos="1077"/>
        </w:tabs>
        <w:rPr>
          <w:i/>
          <w:u w:val="single"/>
        </w:rPr>
      </w:pPr>
      <w:r>
        <w:rPr>
          <w:i/>
          <w:highlight w:val="lightGray"/>
          <w:u w:val="single"/>
        </w:rPr>
        <w:t>Nullity</w:t>
      </w:r>
      <w:r w:rsidRPr="007F111E">
        <w:rPr>
          <w:i/>
          <w:highlight w:val="lightGray"/>
          <w:u w:val="single"/>
        </w:rPr>
        <w:t xml:space="preserve"> proceedings and decisions</w:t>
      </w:r>
    </w:p>
    <w:p w:rsidR="00BF6521" w:rsidRDefault="00BF6521" w:rsidP="00BF6521">
      <w:pPr>
        <w:rPr>
          <w:u w:val="single"/>
        </w:rPr>
      </w:pPr>
    </w:p>
    <w:p w:rsidR="00BF6521" w:rsidRDefault="00D0340F" w:rsidP="00BF6521">
      <w:pPr>
        <w:rPr>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BF6521" w:rsidRPr="00104531">
        <w:rPr>
          <w:highlight w:val="lightGray"/>
          <w:u w:val="single"/>
        </w:rPr>
        <w:t xml:space="preserve">Nullity proceedings </w:t>
      </w:r>
      <w:r w:rsidR="00BF6521">
        <w:rPr>
          <w:highlight w:val="lightGray"/>
          <w:u w:val="single"/>
        </w:rPr>
        <w:t xml:space="preserve">may </w:t>
      </w:r>
      <w:r w:rsidR="00BF6521" w:rsidRPr="00104531">
        <w:rPr>
          <w:highlight w:val="lightGray"/>
          <w:u w:val="single"/>
        </w:rPr>
        <w:t xml:space="preserve">be initiated </w:t>
      </w:r>
      <w:r w:rsidR="00BF6521">
        <w:rPr>
          <w:highlight w:val="lightGray"/>
          <w:u w:val="single"/>
        </w:rPr>
        <w:t xml:space="preserve">in response to </w:t>
      </w:r>
      <w:r w:rsidR="00BF6521" w:rsidRPr="00104531">
        <w:rPr>
          <w:highlight w:val="lightGray"/>
          <w:u w:val="single"/>
        </w:rPr>
        <w:t xml:space="preserve">a request </w:t>
      </w:r>
      <w:r w:rsidR="00BF6521">
        <w:rPr>
          <w:highlight w:val="lightGray"/>
          <w:u w:val="single"/>
        </w:rPr>
        <w:t xml:space="preserve">made by </w:t>
      </w:r>
      <w:r w:rsidR="00BF6521" w:rsidRPr="00104531">
        <w:rPr>
          <w:highlight w:val="lightGray"/>
          <w:u w:val="single"/>
        </w:rPr>
        <w:t>a third party</w:t>
      </w:r>
      <w:r w:rsidR="00BF6521">
        <w:rPr>
          <w:highlight w:val="lightGray"/>
          <w:u w:val="single"/>
        </w:rPr>
        <w:t>,</w:t>
      </w:r>
      <w:r w:rsidR="00BF6521" w:rsidRPr="00104531">
        <w:rPr>
          <w:highlight w:val="lightGray"/>
          <w:u w:val="single"/>
        </w:rPr>
        <w:t xml:space="preserve"> or </w:t>
      </w:r>
      <w:r w:rsidR="00BF6521" w:rsidRPr="00CA649C">
        <w:rPr>
          <w:i/>
          <w:highlight w:val="lightGray"/>
          <w:u w:val="single"/>
        </w:rPr>
        <w:t>ex officio</w:t>
      </w:r>
      <w:r w:rsidR="00BF6521" w:rsidRPr="00104531">
        <w:rPr>
          <w:highlight w:val="lightGray"/>
          <w:u w:val="single"/>
        </w:rPr>
        <w:t xml:space="preserve"> by the competent authority of the member of the Union concerned.</w:t>
      </w:r>
    </w:p>
    <w:p w:rsidR="00BF6521" w:rsidRDefault="00BF6521" w:rsidP="00BF6521">
      <w:pPr>
        <w:rPr>
          <w:u w:val="single"/>
        </w:rPr>
      </w:pPr>
    </w:p>
    <w:p w:rsidR="00BF6521" w:rsidRPr="009720D4" w:rsidRDefault="00D0340F" w:rsidP="00BF6521">
      <w:pPr>
        <w:rPr>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BF6521">
        <w:rPr>
          <w:highlight w:val="lightGray"/>
          <w:u w:val="single"/>
        </w:rPr>
        <w:t xml:space="preserve">The </w:t>
      </w:r>
      <w:r w:rsidR="00BF6521" w:rsidRPr="00251BE8">
        <w:rPr>
          <w:highlight w:val="lightGray"/>
          <w:u w:val="single"/>
        </w:rPr>
        <w:t>authority</w:t>
      </w:r>
      <w:r w:rsidR="00BF6521">
        <w:rPr>
          <w:highlight w:val="lightGray"/>
          <w:u w:val="single"/>
        </w:rPr>
        <w:t>,</w:t>
      </w:r>
      <w:r w:rsidR="00BF6521" w:rsidRPr="00251BE8">
        <w:rPr>
          <w:highlight w:val="lightGray"/>
          <w:u w:val="single"/>
        </w:rPr>
        <w:t xml:space="preserve"> </w:t>
      </w:r>
      <w:r w:rsidR="00BF6521">
        <w:rPr>
          <w:highlight w:val="lightGray"/>
          <w:u w:val="single"/>
        </w:rPr>
        <w:t>or authorities, with competence</w:t>
      </w:r>
      <w:r w:rsidR="00BF6521" w:rsidRPr="00251BE8">
        <w:rPr>
          <w:highlight w:val="lightGray"/>
          <w:u w:val="single"/>
        </w:rPr>
        <w:t xml:space="preserve"> to decide on matters concerning nullity of breeders’ rights</w:t>
      </w:r>
      <w:r w:rsidR="00BF6521">
        <w:rPr>
          <w:highlight w:val="lightGray"/>
          <w:u w:val="single"/>
        </w:rPr>
        <w:t xml:space="preserve"> (e.g. </w:t>
      </w:r>
      <w:r w:rsidR="00BF6521" w:rsidRPr="00251BE8">
        <w:rPr>
          <w:highlight w:val="lightGray"/>
          <w:u w:val="single"/>
        </w:rPr>
        <w:t>authorities g</w:t>
      </w:r>
      <w:r w:rsidR="00BF6521">
        <w:rPr>
          <w:highlight w:val="lightGray"/>
          <w:u w:val="single"/>
        </w:rPr>
        <w:t xml:space="preserve">ranting breeders’ rights, judicial authorities) will be determined by the relevant </w:t>
      </w:r>
      <w:r w:rsidR="00BF6521" w:rsidRPr="00251BE8">
        <w:rPr>
          <w:highlight w:val="lightGray"/>
          <w:u w:val="single"/>
        </w:rPr>
        <w:t>legislation of the m</w:t>
      </w:r>
      <w:r w:rsidR="00BF6521">
        <w:rPr>
          <w:highlight w:val="lightGray"/>
          <w:u w:val="single"/>
        </w:rPr>
        <w:t>ember of the Union concerned.  The relevant</w:t>
      </w:r>
      <w:r w:rsidR="00BF6521" w:rsidRPr="00251BE8">
        <w:rPr>
          <w:highlight w:val="lightGray"/>
          <w:u w:val="single"/>
        </w:rPr>
        <w:t xml:space="preserve"> legislation </w:t>
      </w:r>
      <w:r w:rsidR="00BF6521">
        <w:rPr>
          <w:highlight w:val="lightGray"/>
          <w:u w:val="single"/>
        </w:rPr>
        <w:t>might,</w:t>
      </w:r>
      <w:r w:rsidR="00BF6521" w:rsidRPr="00251BE8">
        <w:rPr>
          <w:highlight w:val="lightGray"/>
          <w:u w:val="single"/>
        </w:rPr>
        <w:t xml:space="preserve"> in addition to the legislation governing breeders’ rights, </w:t>
      </w:r>
      <w:r w:rsidR="00BF6521">
        <w:rPr>
          <w:highlight w:val="lightGray"/>
          <w:u w:val="single"/>
        </w:rPr>
        <w:t xml:space="preserve">include other </w:t>
      </w:r>
      <w:r w:rsidR="00BF6521" w:rsidRPr="00251BE8">
        <w:rPr>
          <w:highlight w:val="lightGray"/>
          <w:u w:val="single"/>
        </w:rPr>
        <w:t>legislation on substantive and procedural matters</w:t>
      </w:r>
      <w:r w:rsidR="00BF6521">
        <w:rPr>
          <w:highlight w:val="lightGray"/>
          <w:u w:val="single"/>
        </w:rPr>
        <w:t xml:space="preserve"> (e.g. civil legislation, criminal legislation</w:t>
      </w:r>
      <w:r w:rsidR="00BF6521" w:rsidRPr="00251BE8">
        <w:rPr>
          <w:highlight w:val="lightGray"/>
          <w:u w:val="single"/>
        </w:rPr>
        <w:t>).</w:t>
      </w:r>
      <w:r w:rsidR="00BF6521" w:rsidRPr="006F1A3F">
        <w:rPr>
          <w:rStyle w:val="EndnoteReference"/>
          <w:b/>
        </w:rPr>
        <w:t xml:space="preserve"> </w:t>
      </w:r>
    </w:p>
    <w:p w:rsidR="00BF6521" w:rsidRDefault="00BF6521" w:rsidP="00BF6521">
      <w:pPr>
        <w:rPr>
          <w:u w:val="single"/>
        </w:rPr>
      </w:pPr>
    </w:p>
    <w:p w:rsidR="00BF6521" w:rsidRPr="00E62DBB" w:rsidRDefault="00D0340F" w:rsidP="00BF6521">
      <w:pPr>
        <w:rPr>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BF6521" w:rsidRPr="0084722E">
        <w:rPr>
          <w:highlight w:val="lightGray"/>
          <w:u w:val="single"/>
        </w:rPr>
        <w:t>The UPOV Convention requires that the nullity of breeders’ rights be published (see Article 30(1)(iii) of the 1991 Act and Article 30(1)(c) of the 1978 Act.)</w:t>
      </w:r>
      <w:r w:rsidR="00BF6521" w:rsidRPr="0084722E">
        <w:rPr>
          <w:szCs w:val="22"/>
          <w:highlight w:val="lightGray"/>
          <w:u w:val="single"/>
        </w:rPr>
        <w:t>.</w:t>
      </w:r>
    </w:p>
    <w:p w:rsidR="00BF6521" w:rsidRDefault="00BF6521" w:rsidP="00BF6521">
      <w:pPr>
        <w:rPr>
          <w:i/>
          <w:szCs w:val="22"/>
          <w:highlight w:val="lightGray"/>
          <w:u w:val="single"/>
        </w:rPr>
      </w:pPr>
    </w:p>
    <w:p w:rsidR="00BF6521" w:rsidRDefault="00BF6521" w:rsidP="00BF6521">
      <w:pPr>
        <w:rPr>
          <w:i/>
          <w:szCs w:val="22"/>
          <w:highlight w:val="lightGray"/>
          <w:u w:val="single"/>
        </w:rPr>
      </w:pPr>
    </w:p>
    <w:p w:rsidR="00BF6521" w:rsidRPr="00CB2637" w:rsidRDefault="00BF6521" w:rsidP="00BF6521">
      <w:pPr>
        <w:rPr>
          <w:i/>
          <w:szCs w:val="22"/>
          <w:highlight w:val="lightGray"/>
          <w:u w:val="single"/>
        </w:rPr>
      </w:pPr>
      <w:r>
        <w:rPr>
          <w:i/>
          <w:szCs w:val="22"/>
          <w:highlight w:val="lightGray"/>
          <w:u w:val="single"/>
        </w:rPr>
        <w:t>Retroactive</w:t>
      </w:r>
      <w:r w:rsidRPr="00CB2637">
        <w:rPr>
          <w:i/>
          <w:szCs w:val="22"/>
          <w:highlight w:val="lightGray"/>
          <w:u w:val="single"/>
        </w:rPr>
        <w:t xml:space="preserve"> effects</w:t>
      </w:r>
    </w:p>
    <w:p w:rsidR="00BF6521" w:rsidRDefault="00BF6521" w:rsidP="00BF6521">
      <w:pPr>
        <w:rPr>
          <w:i/>
          <w:szCs w:val="22"/>
          <w:highlight w:val="lightGray"/>
          <w:u w:val="single"/>
        </w:rPr>
      </w:pPr>
    </w:p>
    <w:p w:rsidR="00BF6521" w:rsidRPr="00F2691F" w:rsidRDefault="00D0340F" w:rsidP="00BF6521">
      <w:pPr>
        <w:rPr>
          <w:i/>
          <w:szCs w:val="22"/>
          <w:highlight w:val="lightGray"/>
          <w:u w:val="single"/>
        </w:rPr>
      </w:pPr>
      <w:r w:rsidRPr="00F2691F">
        <w:rPr>
          <w:highlight w:val="lightGray"/>
          <w:u w:val="single"/>
        </w:rPr>
        <w:fldChar w:fldCharType="begin"/>
      </w:r>
      <w:r w:rsidRPr="00F2691F">
        <w:rPr>
          <w:highlight w:val="lightGray"/>
          <w:u w:val="single"/>
        </w:rPr>
        <w:instrText xml:space="preserve"> AUTONUM  </w:instrText>
      </w:r>
      <w:r w:rsidRPr="00F2691F">
        <w:rPr>
          <w:highlight w:val="lightGray"/>
          <w:u w:val="single"/>
        </w:rPr>
        <w:fldChar w:fldCharType="end"/>
      </w:r>
      <w:r w:rsidRPr="00F2691F">
        <w:rPr>
          <w:highlight w:val="lightGray"/>
          <w:u w:val="single"/>
        </w:rPr>
        <w:tab/>
        <w:t xml:space="preserve">The decision to declare </w:t>
      </w:r>
      <w:r w:rsidRPr="00F2691F">
        <w:rPr>
          <w:rFonts w:cs="Arial"/>
          <w:highlight w:val="lightGray"/>
          <w:u w:val="single"/>
        </w:rPr>
        <w:t>a breeder’s right null and void</w:t>
      </w:r>
      <w:r w:rsidRPr="00F2691F">
        <w:rPr>
          <w:highlight w:val="lightGray"/>
          <w:u w:val="single"/>
        </w:rPr>
        <w:t xml:space="preserve"> invalidates the right from the date of grant, although </w:t>
      </w:r>
      <w:r w:rsidRPr="00F2691F">
        <w:rPr>
          <w:rFonts w:cs="Arial"/>
          <w:highlight w:val="lightGray"/>
          <w:u w:val="single"/>
        </w:rPr>
        <w:t>the decision of nullity by the competent authority will occur at a later date.  Therefore, nullity has, in principle, retroactive effects.  The retroactive effects of nullity may vary in practice</w:t>
      </w:r>
      <w:r w:rsidR="002521F0" w:rsidRPr="002521F0">
        <w:rPr>
          <w:rFonts w:cs="Arial"/>
          <w:highlight w:val="lightGray"/>
          <w:u w:val="single"/>
        </w:rPr>
        <w:t xml:space="preserve">.  </w:t>
      </w:r>
      <w:r w:rsidR="00F2691F" w:rsidRPr="00F2691F">
        <w:rPr>
          <w:rFonts w:cs="Arial"/>
          <w:highlight w:val="lightGray"/>
          <w:u w:val="single"/>
        </w:rPr>
        <w:t>The remedies concerning the retroactive effects of nullity will depend on the relevant legislation of the member of the Union concerned and may also depend on contractual arrangements.</w:t>
      </w:r>
      <w:r w:rsidRPr="00F2691F">
        <w:rPr>
          <w:rFonts w:cs="Arial"/>
          <w:highlight w:val="lightGray"/>
          <w:u w:val="single"/>
        </w:rPr>
        <w:t xml:space="preserve">  In some cases, such as in cases of fraud or wilful abusive acts by the holder of the breeder’s right, reimbursement of royalties paid and/or other remedies may apply.  In some other cases, reimbursement of royalties received by the holder of the breeder’s right may not be applicable.</w:t>
      </w:r>
    </w:p>
    <w:p w:rsidR="00BF6521" w:rsidRDefault="00BF6521" w:rsidP="00BF6521"/>
    <w:p w:rsidR="00BF6521" w:rsidRDefault="00BF6521" w:rsidP="00BF6521"/>
    <w:p w:rsidR="00BF6521" w:rsidRDefault="00BF6521" w:rsidP="00BF6521"/>
    <w:p w:rsidR="006A1549" w:rsidRDefault="006A1549" w:rsidP="006A1549">
      <w:pPr>
        <w:jc w:val="right"/>
      </w:pPr>
      <w:r>
        <w:t>[End of document]</w:t>
      </w:r>
    </w:p>
    <w:p w:rsidR="00BF6521" w:rsidRDefault="00BF6521" w:rsidP="00BF6521"/>
    <w:p w:rsidR="00BF6521" w:rsidRDefault="00BF6521" w:rsidP="00BF6521"/>
    <w:p w:rsidR="00BF6521" w:rsidRPr="0019030C" w:rsidRDefault="00BF6521" w:rsidP="00BF6521">
      <w:pPr>
        <w:jc w:val="left"/>
        <w:rPr>
          <w:rFonts w:cs="Arial"/>
        </w:rPr>
      </w:pPr>
    </w:p>
    <w:p w:rsidR="00BE4EC4" w:rsidRPr="0019030C" w:rsidRDefault="00BE4EC4" w:rsidP="00BE4EC4">
      <w:pPr>
        <w:rPr>
          <w:rFonts w:cs="Arial"/>
        </w:rPr>
      </w:pPr>
    </w:p>
    <w:sectPr w:rsidR="00BE4EC4" w:rsidRPr="0019030C"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A1" w:rsidRDefault="001254A1">
      <w:r>
        <w:separator/>
      </w:r>
    </w:p>
  </w:endnote>
  <w:endnote w:type="continuationSeparator" w:id="0">
    <w:p w:rsidR="001254A1" w:rsidRDefault="0012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A1" w:rsidRDefault="001254A1">
      <w:r>
        <w:separator/>
      </w:r>
    </w:p>
  </w:footnote>
  <w:footnote w:type="continuationSeparator" w:id="0">
    <w:p w:rsidR="001254A1" w:rsidRDefault="001254A1">
      <w:r>
        <w:continuationSeparator/>
      </w:r>
    </w:p>
  </w:footnote>
  <w:footnote w:id="1">
    <w:p w:rsidR="00BF6521" w:rsidRPr="006B23CD" w:rsidRDefault="00BF6521" w:rsidP="00BF6521">
      <w:pPr>
        <w:pStyle w:val="FootnoteText"/>
      </w:pPr>
      <w:r>
        <w:rPr>
          <w:rStyle w:val="FootnoteReference"/>
        </w:rPr>
        <w:footnoteRef/>
      </w:r>
      <w:r>
        <w:tab/>
      </w:r>
      <w:r w:rsidRPr="006B23CD">
        <w:t>There is no corresponding provision to Article 21(1)(ii) of the 1991 Act in the 1978 Act.</w:t>
      </w:r>
    </w:p>
  </w:footnote>
  <w:footnote w:id="2">
    <w:p w:rsidR="00BF6521" w:rsidRDefault="00BF6521" w:rsidP="00BF6521">
      <w:pPr>
        <w:pStyle w:val="FootnoteText"/>
      </w:pPr>
      <w:r w:rsidRPr="006B23CD">
        <w:rPr>
          <w:rStyle w:val="FootnoteReference"/>
        </w:rPr>
        <w:footnoteRef/>
      </w:r>
      <w:r>
        <w:tab/>
      </w:r>
      <w:r w:rsidRPr="006B23CD">
        <w:t>There is no corresponding provision to Article 21(1)(iii) of the 1991 Act in the 1978 Act</w:t>
      </w:r>
      <w:r>
        <w:t>.</w:t>
      </w:r>
    </w:p>
  </w:footnote>
  <w:footnote w:id="3">
    <w:p w:rsidR="00BF6521" w:rsidRPr="00B5045C" w:rsidRDefault="00BF6521" w:rsidP="00BF6521">
      <w:pPr>
        <w:pStyle w:val="FootnoteText"/>
      </w:pPr>
      <w:r>
        <w:rPr>
          <w:rStyle w:val="FootnoteReference"/>
        </w:rPr>
        <w:footnoteRef/>
      </w:r>
      <w:r w:rsidRPr="00F2691F">
        <w:rPr>
          <w:vertAlign w:val="superscript"/>
        </w:rPr>
        <w:tab/>
      </w:r>
      <w:r w:rsidRPr="00B5045C">
        <w:t>Provisions in paragraphs 2 and 3 of Article 10 of the 1978 Act concern the forfeiture of the rights protected (see Explanatory Notes on the Cancellation of the Breeder’s Right unde</w:t>
      </w:r>
      <w:r>
        <w:t>r the UPOV Convention (document </w:t>
      </w:r>
      <w:hyperlink r:id="rId1" w:history="1">
        <w:r w:rsidRPr="00573541">
          <w:rPr>
            <w:rStyle w:val="Hyperlink"/>
          </w:rPr>
          <w:t>UPOV/EXN/CAN</w:t>
        </w:r>
        <w:r w:rsidRPr="0056466F">
          <w:rPr>
            <w:rStyle w:val="Hyperlink"/>
            <w:strike/>
            <w:highlight w:val="lightGray"/>
          </w:rPr>
          <w:t>/1</w:t>
        </w:r>
      </w:hyperlink>
      <w:r w:rsidRPr="00B5045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1254A1" w:rsidP="00BE4EC4">
    <w:pPr>
      <w:pStyle w:val="Header"/>
      <w:rPr>
        <w:rFonts w:cs="Arial"/>
      </w:rPr>
    </w:pPr>
    <w:r w:rsidRPr="003E2FBD">
      <w:t>UPOV/EXN/NUL/2 Draft 3</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AE4EB8">
      <w:rPr>
        <w:rStyle w:val="PageNumber"/>
        <w:rFonts w:cs="Arial"/>
        <w:noProof/>
      </w:rPr>
      <w:t>5</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A1"/>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54A1"/>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064"/>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21F0"/>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13C5"/>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466F"/>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1D"/>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1549"/>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06F0C"/>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6FFC"/>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4EB8"/>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428"/>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521"/>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0520"/>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340F"/>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47BE"/>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4D44"/>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DD2"/>
    <w:rsid w:val="00DD7EA8"/>
    <w:rsid w:val="00DE072A"/>
    <w:rsid w:val="00DE0F23"/>
    <w:rsid w:val="00DE16D0"/>
    <w:rsid w:val="00DE1D86"/>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BA1"/>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91F"/>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D347BE"/>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BF6521"/>
    <w:rPr>
      <w:rFonts w:ascii="Arial" w:hAnsi="Arial"/>
      <w:caps/>
    </w:rPr>
  </w:style>
  <w:style w:type="character" w:customStyle="1" w:styleId="Heading2Char">
    <w:name w:val="Heading 2 Char"/>
    <w:basedOn w:val="DefaultParagraphFont"/>
    <w:link w:val="Heading2"/>
    <w:rsid w:val="00BF6521"/>
    <w:rPr>
      <w:rFonts w:ascii="Arial" w:hAnsi="Arial"/>
      <w:u w:val="single"/>
    </w:rPr>
  </w:style>
  <w:style w:type="character" w:customStyle="1" w:styleId="FootnoteTextChar">
    <w:name w:val="Footnote Text Char"/>
    <w:basedOn w:val="DefaultParagraphFont"/>
    <w:link w:val="FootnoteText"/>
    <w:rsid w:val="00BF6521"/>
    <w:rPr>
      <w:rFonts w:ascii="Arial" w:hAnsi="Arial"/>
      <w:sz w:val="16"/>
    </w:rPr>
  </w:style>
  <w:style w:type="paragraph" w:styleId="BodyText2">
    <w:name w:val="Body Text 2"/>
    <w:basedOn w:val="Normal"/>
    <w:link w:val="BodyText2Char"/>
    <w:rsid w:val="00BF6521"/>
    <w:rPr>
      <w:rFonts w:ascii="Times New Roman" w:hAnsi="Times New Roman"/>
      <w:color w:val="008000"/>
      <w:sz w:val="24"/>
    </w:rPr>
  </w:style>
  <w:style w:type="character" w:customStyle="1" w:styleId="BodyText2Char">
    <w:name w:val="Body Text 2 Char"/>
    <w:basedOn w:val="DefaultParagraphFont"/>
    <w:link w:val="BodyText2"/>
    <w:rsid w:val="00BF6521"/>
    <w:rPr>
      <w:color w:val="008000"/>
      <w:sz w:val="24"/>
    </w:rPr>
  </w:style>
  <w:style w:type="paragraph" w:customStyle="1" w:styleId="a">
    <w:name w:val="a"/>
    <w:basedOn w:val="Normal"/>
    <w:rsid w:val="00BF6521"/>
    <w:pPr>
      <w:overflowPunct w:val="0"/>
      <w:autoSpaceDE w:val="0"/>
      <w:autoSpaceDN w:val="0"/>
      <w:adjustRightInd w:val="0"/>
      <w:jc w:val="center"/>
      <w:textAlignment w:val="baseline"/>
    </w:pPr>
    <w:rPr>
      <w:rFonts w:ascii="Times New Roman" w:hAnsi="Times New Roman"/>
      <w:b/>
      <w:sz w:val="24"/>
    </w:rPr>
  </w:style>
  <w:style w:type="paragraph" w:customStyle="1" w:styleId="Default">
    <w:name w:val="Default"/>
    <w:rsid w:val="00BF6521"/>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D347BE"/>
    <w:rPr>
      <w:rFonts w:ascii="Arial" w:hAnsi="Arial"/>
    </w:rPr>
  </w:style>
  <w:style w:type="character" w:customStyle="1" w:styleId="BodyTextIndentChar">
    <w:name w:val="Body Text Indent Char"/>
    <w:basedOn w:val="DefaultParagraphFont"/>
    <w:link w:val="BodyTextIndent"/>
    <w:rsid w:val="00D347BE"/>
    <w:rPr>
      <w:rFonts w:ascii="Arial" w:hAnsi="Arial"/>
      <w:lang w:val="es-ES_tradnl"/>
    </w:rPr>
  </w:style>
  <w:style w:type="character" w:customStyle="1" w:styleId="CommentTextChar">
    <w:name w:val="Comment Text Char"/>
    <w:basedOn w:val="DefaultParagraphFont"/>
    <w:link w:val="CommentText"/>
    <w:semiHidden/>
    <w:rsid w:val="00D347BE"/>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D347BE"/>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BF6521"/>
    <w:rPr>
      <w:rFonts w:ascii="Arial" w:hAnsi="Arial"/>
      <w:caps/>
    </w:rPr>
  </w:style>
  <w:style w:type="character" w:customStyle="1" w:styleId="Heading2Char">
    <w:name w:val="Heading 2 Char"/>
    <w:basedOn w:val="DefaultParagraphFont"/>
    <w:link w:val="Heading2"/>
    <w:rsid w:val="00BF6521"/>
    <w:rPr>
      <w:rFonts w:ascii="Arial" w:hAnsi="Arial"/>
      <w:u w:val="single"/>
    </w:rPr>
  </w:style>
  <w:style w:type="character" w:customStyle="1" w:styleId="FootnoteTextChar">
    <w:name w:val="Footnote Text Char"/>
    <w:basedOn w:val="DefaultParagraphFont"/>
    <w:link w:val="FootnoteText"/>
    <w:rsid w:val="00BF6521"/>
    <w:rPr>
      <w:rFonts w:ascii="Arial" w:hAnsi="Arial"/>
      <w:sz w:val="16"/>
    </w:rPr>
  </w:style>
  <w:style w:type="paragraph" w:styleId="BodyText2">
    <w:name w:val="Body Text 2"/>
    <w:basedOn w:val="Normal"/>
    <w:link w:val="BodyText2Char"/>
    <w:rsid w:val="00BF6521"/>
    <w:rPr>
      <w:rFonts w:ascii="Times New Roman" w:hAnsi="Times New Roman"/>
      <w:color w:val="008000"/>
      <w:sz w:val="24"/>
    </w:rPr>
  </w:style>
  <w:style w:type="character" w:customStyle="1" w:styleId="BodyText2Char">
    <w:name w:val="Body Text 2 Char"/>
    <w:basedOn w:val="DefaultParagraphFont"/>
    <w:link w:val="BodyText2"/>
    <w:rsid w:val="00BF6521"/>
    <w:rPr>
      <w:color w:val="008000"/>
      <w:sz w:val="24"/>
    </w:rPr>
  </w:style>
  <w:style w:type="paragraph" w:customStyle="1" w:styleId="a">
    <w:name w:val="a"/>
    <w:basedOn w:val="Normal"/>
    <w:rsid w:val="00BF6521"/>
    <w:pPr>
      <w:overflowPunct w:val="0"/>
      <w:autoSpaceDE w:val="0"/>
      <w:autoSpaceDN w:val="0"/>
      <w:adjustRightInd w:val="0"/>
      <w:jc w:val="center"/>
      <w:textAlignment w:val="baseline"/>
    </w:pPr>
    <w:rPr>
      <w:rFonts w:ascii="Times New Roman" w:hAnsi="Times New Roman"/>
      <w:b/>
      <w:sz w:val="24"/>
    </w:rPr>
  </w:style>
  <w:style w:type="paragraph" w:customStyle="1" w:styleId="Default">
    <w:name w:val="Default"/>
    <w:rsid w:val="00BF6521"/>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D347BE"/>
    <w:rPr>
      <w:rFonts w:ascii="Arial" w:hAnsi="Arial"/>
    </w:rPr>
  </w:style>
  <w:style w:type="character" w:customStyle="1" w:styleId="BodyTextIndentChar">
    <w:name w:val="Body Text Indent Char"/>
    <w:basedOn w:val="DefaultParagraphFont"/>
    <w:link w:val="BodyTextIndent"/>
    <w:rsid w:val="00D347BE"/>
    <w:rPr>
      <w:rFonts w:ascii="Arial" w:hAnsi="Arial"/>
      <w:lang w:val="es-ES_tradnl"/>
    </w:rPr>
  </w:style>
  <w:style w:type="character" w:customStyle="1" w:styleId="CommentTextChar">
    <w:name w:val="Comment Text Char"/>
    <w:basedOn w:val="DefaultParagraphFont"/>
    <w:link w:val="CommentText"/>
    <w:semiHidden/>
    <w:rsid w:val="00D347BE"/>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en/publications/pdf/upov_exn_can_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n/publications/pdf/upov_exn_can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template_EXN.dotx</Template>
  <TotalTime>23</TotalTime>
  <Pages>5</Pages>
  <Words>999</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6350</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19</cp:revision>
  <cp:lastPrinted>2015-03-02T17:14:00Z</cp:lastPrinted>
  <dcterms:created xsi:type="dcterms:W3CDTF">2014-11-18T16:55:00Z</dcterms:created>
  <dcterms:modified xsi:type="dcterms:W3CDTF">2015-03-02T17:14:00Z</dcterms:modified>
</cp:coreProperties>
</file>