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bookmarkStart w:id="0" w:name="_GoBack"/>
            <w:bookmarkEnd w:id="0"/>
          </w:p>
        </w:tc>
        <w:tc>
          <w:tcPr>
            <w:tcW w:w="1646" w:type="dxa"/>
            <w:vAlign w:val="center"/>
          </w:tcPr>
          <w:p w:rsidR="000D7780" w:rsidRPr="00576BE4" w:rsidRDefault="00110481" w:rsidP="00576BE4">
            <w:pPr>
              <w:pStyle w:val="LogoUPOV"/>
            </w:pPr>
            <w:r>
              <w:rPr>
                <w:noProof/>
              </w:rPr>
              <w:drawing>
                <wp:inline distT="0" distB="0" distL="0" distR="0" wp14:anchorId="3F643CAB" wp14:editId="03783BD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0D7780" w:rsidRPr="00997029" w:rsidRDefault="00F37961" w:rsidP="00474DA4">
            <w:pPr>
              <w:pStyle w:val="Docoriginal"/>
              <w:jc w:val="left"/>
            </w:pPr>
            <w:r w:rsidRPr="00664515">
              <w:t>CAJ/</w:t>
            </w:r>
            <w:r w:rsidR="00155F6F">
              <w:t>7</w:t>
            </w:r>
            <w:r w:rsidR="00551E76">
              <w:t>1</w:t>
            </w:r>
            <w:r w:rsidR="00EB3EFA" w:rsidRPr="00664515">
              <w:t>/</w:t>
            </w:r>
            <w:bookmarkStart w:id="1" w:name="Code"/>
            <w:bookmarkEnd w:id="1"/>
            <w:r w:rsidR="006C60FE">
              <w:t>3</w:t>
            </w:r>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2" w:name="Original"/>
            <w:bookmarkEnd w:id="2"/>
            <w:r w:rsidR="0024416D" w:rsidRPr="00CA774A">
              <w:rPr>
                <w:b w:val="0"/>
                <w:spacing w:val="0"/>
              </w:rPr>
              <w:t>English</w:t>
            </w:r>
          </w:p>
          <w:p w:rsidR="000D7780" w:rsidRPr="00EB3EFA" w:rsidRDefault="000D7780" w:rsidP="00973461">
            <w:pPr>
              <w:pStyle w:val="Docoriginal"/>
              <w:jc w:val="left"/>
              <w:rPr>
                <w:b w:val="0"/>
                <w:spacing w:val="0"/>
                <w:highlight w:val="cyan"/>
              </w:rPr>
            </w:pPr>
            <w:r w:rsidRPr="00CA774A">
              <w:rPr>
                <w:spacing w:val="0"/>
              </w:rPr>
              <w:t>DATE:</w:t>
            </w:r>
            <w:r w:rsidR="0061555F" w:rsidRPr="00CA774A">
              <w:rPr>
                <w:b w:val="0"/>
                <w:spacing w:val="0"/>
              </w:rPr>
              <w:t xml:space="preserve"> </w:t>
            </w:r>
            <w:r w:rsidRPr="00CA774A">
              <w:rPr>
                <w:rStyle w:val="StyleDocoriginalNotBold1"/>
                <w:spacing w:val="0"/>
              </w:rPr>
              <w:t xml:space="preserve"> </w:t>
            </w:r>
            <w:bookmarkStart w:id="3" w:name="Date"/>
            <w:bookmarkEnd w:id="3"/>
            <w:r w:rsidR="00973461">
              <w:rPr>
                <w:rStyle w:val="StyleDocoriginalNotBold1"/>
                <w:spacing w:val="0"/>
                <w:lang w:eastAsia="ja-JP"/>
              </w:rPr>
              <w:t>March 2</w:t>
            </w:r>
            <w:r w:rsidR="00155F6F" w:rsidRPr="00433B8A">
              <w:rPr>
                <w:rStyle w:val="StyleDocoriginalNotBold1"/>
                <w:spacing w:val="0"/>
              </w:rPr>
              <w:t>, 201</w:t>
            </w:r>
            <w:r w:rsidR="00551E76" w:rsidRPr="00433B8A">
              <w:rPr>
                <w:rStyle w:val="StyleDocoriginalNotBold1"/>
                <w:spacing w:val="0"/>
              </w:rPr>
              <w:t>5</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155F6F" w:rsidP="0080679D">
      <w:pPr>
        <w:pStyle w:val="Sessiontcplacedate"/>
      </w:pPr>
      <w:r>
        <w:t>Sevent</w:t>
      </w:r>
      <w:r w:rsidR="00551E76">
        <w:t>y-First</w:t>
      </w:r>
      <w:r w:rsidR="00F37961">
        <w:t xml:space="preserve"> </w:t>
      </w:r>
      <w:r w:rsidR="00FB0D37">
        <w:t>Session</w:t>
      </w:r>
      <w:r w:rsidR="00361821" w:rsidRPr="00997029">
        <w:br/>
      </w:r>
      <w:r w:rsidR="00FB0D37">
        <w:t xml:space="preserve">Geneva, </w:t>
      </w:r>
      <w:r w:rsidR="00551E76">
        <w:t>March 26, 2015</w:t>
      </w:r>
    </w:p>
    <w:p w:rsidR="000D7780" w:rsidRPr="00997029" w:rsidRDefault="00F3421C" w:rsidP="0080679D">
      <w:pPr>
        <w:pStyle w:val="Titleofdoc0"/>
      </w:pPr>
      <w:bookmarkStart w:id="4" w:name="TitleOfDoc"/>
      <w:bookmarkEnd w:id="4"/>
      <w:r w:rsidRPr="00AE0F27">
        <w:rPr>
          <w:kern w:val="28"/>
        </w:rPr>
        <w:t>Variety denominations</w:t>
      </w:r>
    </w:p>
    <w:p w:rsidR="000D7780" w:rsidRPr="00997029" w:rsidRDefault="00AE0EF1" w:rsidP="0080679D">
      <w:pPr>
        <w:pStyle w:val="preparedby1"/>
      </w:pPr>
      <w:bookmarkStart w:id="5" w:name="Prepared"/>
      <w:bookmarkEnd w:id="5"/>
      <w:r w:rsidRPr="006C60FE">
        <w:t>Document</w:t>
      </w:r>
      <w:r w:rsidRPr="00997029">
        <w:t xml:space="preserve"> </w:t>
      </w:r>
      <w:r w:rsidR="0061555F" w:rsidRPr="00997029">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B65A8F" w:rsidRPr="00483972" w:rsidRDefault="00B65A8F" w:rsidP="00483972">
      <w:pPr>
        <w:pStyle w:val="Heading1"/>
      </w:pPr>
      <w:bookmarkStart w:id="6" w:name="_Toc387757149"/>
      <w:bookmarkStart w:id="7" w:name="_Toc404931496"/>
      <w:bookmarkStart w:id="8" w:name="_Toc404931550"/>
      <w:bookmarkStart w:id="9" w:name="_Toc404931721"/>
      <w:bookmarkStart w:id="10" w:name="_Toc404932170"/>
      <w:bookmarkStart w:id="11" w:name="_Toc404935671"/>
      <w:bookmarkStart w:id="12" w:name="_Toc410717532"/>
      <w:bookmarkStart w:id="13" w:name="_Toc413079305"/>
      <w:r w:rsidRPr="009D77D3">
        <w:t xml:space="preserve">Executive </w:t>
      </w:r>
      <w:r w:rsidRPr="00483972">
        <w:t>summary</w:t>
      </w:r>
      <w:bookmarkEnd w:id="6"/>
      <w:bookmarkEnd w:id="7"/>
      <w:bookmarkEnd w:id="8"/>
      <w:bookmarkEnd w:id="9"/>
      <w:bookmarkEnd w:id="10"/>
      <w:bookmarkEnd w:id="11"/>
      <w:bookmarkEnd w:id="12"/>
      <w:bookmarkEnd w:id="13"/>
      <w:r w:rsidR="00E834E6" w:rsidRPr="006C5654">
        <w:rPr>
          <w:color w:val="FF0000"/>
        </w:rPr>
        <w:t xml:space="preserve"> </w:t>
      </w:r>
    </w:p>
    <w:p w:rsidR="00B65A8F" w:rsidRDefault="00B65A8F" w:rsidP="00B65A8F"/>
    <w:p w:rsidR="00B65A8F" w:rsidRPr="00822A3B" w:rsidRDefault="00B65A8F" w:rsidP="00B65A8F">
      <w:pPr>
        <w:rPr>
          <w:rFonts w:cs="Arial"/>
          <w:snapToGrid w:val="0"/>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822A3B">
        <w:rPr>
          <w:rFonts w:cs="Arial"/>
          <w:snapToGrid w:val="0"/>
        </w:rPr>
        <w:t>The purpose of th</w:t>
      </w:r>
      <w:r w:rsidR="00DE2A64">
        <w:rPr>
          <w:rFonts w:cs="Arial"/>
          <w:snapToGrid w:val="0"/>
        </w:rPr>
        <w:t xml:space="preserve">is document is to report on </w:t>
      </w:r>
      <w:r w:rsidRPr="00822A3B">
        <w:rPr>
          <w:rFonts w:cs="Arial"/>
          <w:snapToGrid w:val="0"/>
        </w:rPr>
        <w:t xml:space="preserve">work concerning </w:t>
      </w:r>
      <w:r w:rsidR="00306308">
        <w:rPr>
          <w:rFonts w:cs="Arial" w:hint="eastAsia"/>
          <w:snapToGrid w:val="0"/>
          <w:lang w:eastAsia="ja-JP"/>
        </w:rPr>
        <w:t xml:space="preserve">the </w:t>
      </w:r>
      <w:r w:rsidRPr="00822A3B">
        <w:rPr>
          <w:rFonts w:cs="Arial" w:hint="eastAsia"/>
          <w:snapToGrid w:val="0"/>
          <w:lang w:eastAsia="ja-JP"/>
        </w:rPr>
        <w:t>possible development of a UPOV similarity search tool for variety denomination purposes and</w:t>
      </w:r>
      <w:r w:rsidRPr="00822A3B">
        <w:t xml:space="preserve"> </w:t>
      </w:r>
      <w:r w:rsidR="009136C0" w:rsidRPr="00822A3B">
        <w:t xml:space="preserve">to </w:t>
      </w:r>
      <w:r w:rsidRPr="00822A3B">
        <w:rPr>
          <w:rFonts w:cs="Arial"/>
          <w:snapToGrid w:val="0"/>
          <w:lang w:eastAsia="ja-JP"/>
        </w:rPr>
        <w:t xml:space="preserve">consider the possible revision </w:t>
      </w:r>
      <w:r w:rsidRPr="00822A3B">
        <w:rPr>
          <w:rFonts w:cs="Arial"/>
        </w:rPr>
        <w:t xml:space="preserve">of </w:t>
      </w:r>
      <w:r w:rsidR="00DE2A64">
        <w:rPr>
          <w:rFonts w:cs="Arial"/>
        </w:rPr>
        <w:t xml:space="preserve">document UPOV/INF/12/4 </w:t>
      </w:r>
      <w:r w:rsidRPr="00822A3B">
        <w:rPr>
          <w:rFonts w:cs="Arial"/>
        </w:rPr>
        <w:t>“Explanatory Notes on Variety Denominations under the UPOV Convention”</w:t>
      </w:r>
      <w:r w:rsidRPr="00822A3B">
        <w:rPr>
          <w:rFonts w:cs="Arial"/>
          <w:snapToGrid w:val="0"/>
        </w:rPr>
        <w:t>.</w:t>
      </w:r>
    </w:p>
    <w:p w:rsidR="00B65A8F" w:rsidRPr="00822A3B" w:rsidRDefault="00B65A8F" w:rsidP="00B65A8F"/>
    <w:p w:rsidR="00B65A8F" w:rsidRPr="00822A3B" w:rsidRDefault="00B65A8F" w:rsidP="000D6679">
      <w:pPr>
        <w:pStyle w:val="DecisionParagraphs"/>
        <w:tabs>
          <w:tab w:val="clear" w:pos="5387"/>
          <w:tab w:val="left" w:pos="540"/>
        </w:tabs>
        <w:ind w:left="0"/>
        <w:rPr>
          <w:i w:val="0"/>
          <w:lang w:eastAsia="ja-JP"/>
        </w:rPr>
      </w:pPr>
      <w:r w:rsidRPr="00822A3B">
        <w:rPr>
          <w:i w:val="0"/>
        </w:rPr>
        <w:fldChar w:fldCharType="begin"/>
      </w:r>
      <w:r w:rsidRPr="00822A3B">
        <w:rPr>
          <w:i w:val="0"/>
        </w:rPr>
        <w:instrText xml:space="preserve"> AUTONUM  </w:instrText>
      </w:r>
      <w:r w:rsidRPr="00822A3B">
        <w:rPr>
          <w:i w:val="0"/>
        </w:rPr>
        <w:fldChar w:fldCharType="end"/>
      </w:r>
      <w:r w:rsidRPr="00822A3B">
        <w:rPr>
          <w:i w:val="0"/>
        </w:rPr>
        <w:tab/>
        <w:t>The CAJ is invited to:</w:t>
      </w:r>
    </w:p>
    <w:p w:rsidR="00B65A8F" w:rsidRPr="00822A3B" w:rsidRDefault="00B65A8F" w:rsidP="000D6679">
      <w:pPr>
        <w:pStyle w:val="DecisionParagraphs"/>
        <w:ind w:left="0"/>
        <w:rPr>
          <w:i w:val="0"/>
          <w:lang w:eastAsia="ja-JP"/>
        </w:rPr>
      </w:pPr>
    </w:p>
    <w:p w:rsidR="00B65A8F" w:rsidRPr="00822A3B" w:rsidRDefault="000D6679" w:rsidP="00822A3B">
      <w:pPr>
        <w:pStyle w:val="DecisionParagraphs"/>
        <w:tabs>
          <w:tab w:val="clear" w:pos="5387"/>
          <w:tab w:val="left" w:pos="0"/>
          <w:tab w:val="left" w:pos="1080"/>
        </w:tabs>
        <w:ind w:left="0" w:firstLine="540"/>
        <w:rPr>
          <w:i w:val="0"/>
        </w:rPr>
      </w:pPr>
      <w:r w:rsidRPr="00822A3B">
        <w:rPr>
          <w:i w:val="0"/>
          <w:color w:val="000000" w:themeColor="text1"/>
        </w:rPr>
        <w:t>(a)</w:t>
      </w:r>
      <w:r w:rsidRPr="00822A3B">
        <w:rPr>
          <w:rFonts w:hint="eastAsia"/>
          <w:i w:val="0"/>
          <w:color w:val="000000" w:themeColor="text1"/>
          <w:lang w:eastAsia="ja-JP"/>
        </w:rPr>
        <w:tab/>
      </w:r>
      <w:r w:rsidR="00303BC1" w:rsidRPr="00822A3B">
        <w:rPr>
          <w:i w:val="0"/>
          <w:snapToGrid w:val="0"/>
          <w:lang w:eastAsia="ja-JP"/>
        </w:rPr>
        <w:t xml:space="preserve">note the work on the possible development of a UPOV similarity search tool for variety denomination purposes </w:t>
      </w:r>
      <w:r w:rsidR="000D5DA3">
        <w:rPr>
          <w:i w:val="0"/>
          <w:snapToGrid w:val="0"/>
          <w:lang w:eastAsia="ja-JP"/>
        </w:rPr>
        <w:t xml:space="preserve">by the </w:t>
      </w:r>
      <w:r w:rsidR="00306308" w:rsidRPr="00306308">
        <w:rPr>
          <w:i w:val="0"/>
          <w:snapToGrid w:val="0"/>
          <w:lang w:eastAsia="ja-JP"/>
        </w:rPr>
        <w:t xml:space="preserve">Working Group for the Development of a UPOV Denomination Similarity Search Tool </w:t>
      </w:r>
      <w:r w:rsidR="000D5DA3" w:rsidRPr="00822A3B">
        <w:rPr>
          <w:i w:val="0"/>
          <w:snapToGrid w:val="0"/>
          <w:lang w:eastAsia="ja-JP"/>
        </w:rPr>
        <w:t>(WG</w:t>
      </w:r>
      <w:r w:rsidR="000D5DA3" w:rsidRPr="00822A3B">
        <w:rPr>
          <w:rFonts w:hint="eastAsia"/>
          <w:i w:val="0"/>
          <w:snapToGrid w:val="0"/>
          <w:lang w:eastAsia="ja-JP"/>
        </w:rPr>
        <w:t>-</w:t>
      </w:r>
      <w:r w:rsidR="000D5DA3" w:rsidRPr="00822A3B">
        <w:rPr>
          <w:i w:val="0"/>
          <w:snapToGrid w:val="0"/>
          <w:lang w:eastAsia="ja-JP"/>
        </w:rPr>
        <w:t>DST)</w:t>
      </w:r>
      <w:r w:rsidR="000D5DA3">
        <w:rPr>
          <w:i w:val="0"/>
          <w:snapToGrid w:val="0"/>
          <w:lang w:eastAsia="ja-JP"/>
        </w:rPr>
        <w:t>, including</w:t>
      </w:r>
      <w:r w:rsidR="00303BC1" w:rsidRPr="00822A3B">
        <w:rPr>
          <w:i w:val="0"/>
          <w:snapToGrid w:val="0"/>
          <w:lang w:eastAsia="ja-JP"/>
        </w:rPr>
        <w:t xml:space="preserve"> the test study</w:t>
      </w:r>
      <w:r w:rsidR="00433B8A">
        <w:rPr>
          <w:i w:val="0"/>
          <w:snapToGrid w:val="0"/>
          <w:lang w:eastAsia="ja-JP"/>
        </w:rPr>
        <w:t>,</w:t>
      </w:r>
      <w:r w:rsidR="00303BC1" w:rsidRPr="00822A3B">
        <w:rPr>
          <w:i w:val="0"/>
          <w:snapToGrid w:val="0"/>
          <w:lang w:eastAsia="ja-JP"/>
        </w:rPr>
        <w:t xml:space="preserve"> as set out in paragraphs </w:t>
      </w:r>
      <w:r w:rsidR="00303BC1" w:rsidRPr="00433B8A">
        <w:rPr>
          <w:i w:val="0"/>
          <w:snapToGrid w:val="0"/>
          <w:lang w:eastAsia="ja-JP"/>
        </w:rPr>
        <w:t>6</w:t>
      </w:r>
      <w:r w:rsidR="00DE2A64">
        <w:rPr>
          <w:rFonts w:hint="eastAsia"/>
          <w:i w:val="0"/>
          <w:snapToGrid w:val="0"/>
          <w:lang w:eastAsia="ja-JP"/>
        </w:rPr>
        <w:t xml:space="preserve"> to 1</w:t>
      </w:r>
      <w:r w:rsidR="00DE2A64">
        <w:rPr>
          <w:i w:val="0"/>
          <w:snapToGrid w:val="0"/>
          <w:lang w:eastAsia="ja-JP"/>
        </w:rPr>
        <w:t>3</w:t>
      </w:r>
      <w:r w:rsidR="00B65A8F" w:rsidRPr="00822A3B">
        <w:rPr>
          <w:rFonts w:hint="eastAsia"/>
          <w:i w:val="0"/>
          <w:snapToGrid w:val="0"/>
          <w:lang w:eastAsia="ja-JP"/>
        </w:rPr>
        <w:t>;</w:t>
      </w:r>
    </w:p>
    <w:p w:rsidR="006B2E46" w:rsidRPr="00822A3B" w:rsidRDefault="006B2E46" w:rsidP="000D6679">
      <w:pPr>
        <w:pStyle w:val="DecisionParagraphs"/>
        <w:ind w:left="0"/>
        <w:rPr>
          <w:i w:val="0"/>
        </w:rPr>
      </w:pPr>
    </w:p>
    <w:p w:rsidR="00B65A8F" w:rsidRPr="00822A3B" w:rsidRDefault="000D6679" w:rsidP="00822A3B">
      <w:pPr>
        <w:pStyle w:val="DecisionParagraphs"/>
        <w:tabs>
          <w:tab w:val="clear" w:pos="5387"/>
          <w:tab w:val="left" w:pos="720"/>
        </w:tabs>
        <w:ind w:left="0" w:firstLine="540"/>
        <w:rPr>
          <w:rFonts w:cs="Arial"/>
          <w:i w:val="0"/>
          <w:lang w:eastAsia="ja-JP"/>
        </w:rPr>
      </w:pPr>
      <w:r w:rsidRPr="00822A3B">
        <w:rPr>
          <w:i w:val="0"/>
        </w:rPr>
        <w:t>(b)</w:t>
      </w:r>
      <w:r w:rsidRPr="00822A3B">
        <w:rPr>
          <w:rFonts w:hint="eastAsia"/>
          <w:i w:val="0"/>
          <w:lang w:eastAsia="ja-JP"/>
        </w:rPr>
        <w:tab/>
      </w:r>
      <w:r w:rsidR="00973A6F" w:rsidRPr="00973A6F">
        <w:rPr>
          <w:i w:val="0"/>
        </w:rPr>
        <w:t xml:space="preserve">consider the </w:t>
      </w:r>
      <w:r w:rsidR="000D5DA3">
        <w:rPr>
          <w:i w:val="0"/>
        </w:rPr>
        <w:t xml:space="preserve">proposed </w:t>
      </w:r>
      <w:r w:rsidR="00973A6F" w:rsidRPr="00973A6F">
        <w:rPr>
          <w:i w:val="0"/>
        </w:rPr>
        <w:t>revision of document UPOV/INF/12 in relation to changes of registered variety denomin</w:t>
      </w:r>
      <w:r w:rsidR="00DE2A64">
        <w:rPr>
          <w:i w:val="0"/>
        </w:rPr>
        <w:t>ations, as set out in paragraph</w:t>
      </w:r>
      <w:r w:rsidR="00973A6F" w:rsidRPr="00973A6F">
        <w:rPr>
          <w:i w:val="0"/>
        </w:rPr>
        <w:t xml:space="preserve"> </w:t>
      </w:r>
      <w:r w:rsidR="00973A6F" w:rsidRPr="00433B8A">
        <w:rPr>
          <w:i w:val="0"/>
        </w:rPr>
        <w:t>21</w:t>
      </w:r>
      <w:r w:rsidR="00973A6F" w:rsidRPr="00973A6F">
        <w:rPr>
          <w:i w:val="0"/>
        </w:rPr>
        <w:t xml:space="preserve">, and subject to </w:t>
      </w:r>
      <w:r w:rsidR="000D5DA3">
        <w:rPr>
          <w:i w:val="0"/>
        </w:rPr>
        <w:t xml:space="preserve">agreement by </w:t>
      </w:r>
      <w:r w:rsidR="00973A6F" w:rsidRPr="00973A6F">
        <w:rPr>
          <w:i w:val="0"/>
        </w:rPr>
        <w:t>the CAJ, to present that guidance for adoption by the Council at its forty-ninth ordinary s</w:t>
      </w:r>
      <w:r w:rsidR="00026478">
        <w:rPr>
          <w:i w:val="0"/>
        </w:rPr>
        <w:t>ession, to be held on October 29</w:t>
      </w:r>
      <w:r w:rsidR="00973A6F" w:rsidRPr="00973A6F">
        <w:rPr>
          <w:i w:val="0"/>
        </w:rPr>
        <w:t>, 2015</w:t>
      </w:r>
      <w:r w:rsidR="00B65A8F" w:rsidRPr="00822A3B">
        <w:rPr>
          <w:rFonts w:cs="Arial" w:hint="eastAsia"/>
          <w:i w:val="0"/>
          <w:lang w:eastAsia="ja-JP"/>
        </w:rPr>
        <w:t>;</w:t>
      </w:r>
    </w:p>
    <w:p w:rsidR="003C178D" w:rsidRPr="00822A3B" w:rsidRDefault="003C178D" w:rsidP="000D6679">
      <w:pPr>
        <w:pStyle w:val="DecisionParagraphs"/>
        <w:tabs>
          <w:tab w:val="clear" w:pos="5387"/>
          <w:tab w:val="left" w:pos="1080"/>
        </w:tabs>
        <w:ind w:left="1080" w:hanging="513"/>
        <w:rPr>
          <w:rFonts w:cs="Arial"/>
          <w:i w:val="0"/>
          <w:lang w:eastAsia="ja-JP"/>
        </w:rPr>
      </w:pPr>
    </w:p>
    <w:p w:rsidR="003C178D" w:rsidRPr="007D1802" w:rsidRDefault="003C178D" w:rsidP="00822A3B">
      <w:pPr>
        <w:pStyle w:val="DecisionParagraphs"/>
        <w:tabs>
          <w:tab w:val="clear" w:pos="5387"/>
          <w:tab w:val="left" w:pos="0"/>
        </w:tabs>
        <w:ind w:left="0" w:firstLine="540"/>
        <w:rPr>
          <w:i w:val="0"/>
          <w:lang w:eastAsia="ja-JP"/>
        </w:rPr>
      </w:pPr>
      <w:r w:rsidRPr="00822A3B">
        <w:rPr>
          <w:i w:val="0"/>
        </w:rPr>
        <w:t>(c)</w:t>
      </w:r>
      <w:r w:rsidRPr="00822A3B">
        <w:rPr>
          <w:i w:val="0"/>
        </w:rPr>
        <w:tab/>
      </w:r>
      <w:r w:rsidR="00D306D7" w:rsidRPr="00D306D7">
        <w:rPr>
          <w:rFonts w:cs="Arial"/>
          <w:i w:val="0"/>
          <w:lang w:eastAsia="ja-JP"/>
        </w:rPr>
        <w:t>invite the WG-DST to consider the comments by the CAJ-AG, at its ninth session, on the proposals in document UPOV/INF/12/5 Dr</w:t>
      </w:r>
      <w:r w:rsidR="00483972">
        <w:rPr>
          <w:rFonts w:cs="Arial"/>
          <w:i w:val="0"/>
          <w:lang w:eastAsia="ja-JP"/>
        </w:rPr>
        <w:t>aft 2 concerning Sections 2.2.2</w:t>
      </w:r>
      <w:r w:rsidR="009D5FB2">
        <w:rPr>
          <w:rFonts w:cs="Arial"/>
          <w:i w:val="0"/>
          <w:lang w:eastAsia="ja-JP"/>
        </w:rPr>
        <w:t xml:space="preserve"> </w:t>
      </w:r>
      <w:r w:rsidR="00483972">
        <w:rPr>
          <w:rFonts w:cs="Arial"/>
          <w:i w:val="0"/>
          <w:lang w:eastAsia="ja-JP"/>
        </w:rPr>
        <w:t>(b), 2.3.1</w:t>
      </w:r>
      <w:r w:rsidR="009D5FB2">
        <w:rPr>
          <w:rFonts w:cs="Arial"/>
          <w:i w:val="0"/>
          <w:lang w:eastAsia="ja-JP"/>
        </w:rPr>
        <w:t xml:space="preserve"> </w:t>
      </w:r>
      <w:r w:rsidR="00D306D7" w:rsidRPr="00D306D7">
        <w:rPr>
          <w:rFonts w:cs="Arial"/>
          <w:i w:val="0"/>
          <w:lang w:eastAsia="ja-JP"/>
        </w:rPr>
        <w:t xml:space="preserve">(c) and (d), and 2.3.3 as set </w:t>
      </w:r>
      <w:r w:rsidR="00D306D7" w:rsidRPr="007D1802">
        <w:rPr>
          <w:rFonts w:cs="Arial"/>
          <w:i w:val="0"/>
          <w:lang w:eastAsia="ja-JP"/>
        </w:rPr>
        <w:t>out in paragraph 27</w:t>
      </w:r>
      <w:r w:rsidRPr="007D1802">
        <w:rPr>
          <w:i w:val="0"/>
        </w:rPr>
        <w:t>;</w:t>
      </w:r>
      <w:r w:rsidR="00303BC1" w:rsidRPr="007D1802">
        <w:rPr>
          <w:rFonts w:hint="eastAsia"/>
          <w:i w:val="0"/>
          <w:lang w:eastAsia="ja-JP"/>
        </w:rPr>
        <w:t xml:space="preserve"> and</w:t>
      </w:r>
    </w:p>
    <w:p w:rsidR="006B2E46" w:rsidRPr="007D1802" w:rsidRDefault="006B2E46" w:rsidP="000D6679">
      <w:pPr>
        <w:pStyle w:val="DecisionParagraphs"/>
        <w:ind w:left="0"/>
        <w:rPr>
          <w:i w:val="0"/>
        </w:rPr>
      </w:pPr>
    </w:p>
    <w:p w:rsidR="000D6679" w:rsidRDefault="003C178D" w:rsidP="00822A3B">
      <w:pPr>
        <w:pStyle w:val="DecisionParagraphs"/>
        <w:tabs>
          <w:tab w:val="clear" w:pos="5387"/>
          <w:tab w:val="left" w:pos="0"/>
        </w:tabs>
        <w:ind w:left="0" w:firstLine="540"/>
        <w:rPr>
          <w:rFonts w:cs="Arial"/>
          <w:i w:val="0"/>
          <w:lang w:eastAsia="ja-JP"/>
        </w:rPr>
      </w:pPr>
      <w:r w:rsidRPr="007D1802">
        <w:rPr>
          <w:rFonts w:cs="Arial"/>
          <w:i w:val="0"/>
          <w:lang w:eastAsia="ja-JP"/>
        </w:rPr>
        <w:t>(d</w:t>
      </w:r>
      <w:r w:rsidR="008C2D9C" w:rsidRPr="007D1802">
        <w:rPr>
          <w:rFonts w:cs="Arial"/>
          <w:i w:val="0"/>
          <w:lang w:eastAsia="ja-JP"/>
        </w:rPr>
        <w:t>)</w:t>
      </w:r>
      <w:r w:rsidR="008C2D9C" w:rsidRPr="007D1802">
        <w:rPr>
          <w:rFonts w:cs="Arial"/>
          <w:i w:val="0"/>
          <w:lang w:eastAsia="ja-JP"/>
        </w:rPr>
        <w:tab/>
      </w:r>
      <w:r w:rsidR="00D306D7" w:rsidRPr="007D1802">
        <w:rPr>
          <w:rFonts w:cs="Arial"/>
          <w:i w:val="0"/>
        </w:rPr>
        <w:t>consider the proposals of the CAJ</w:t>
      </w:r>
      <w:r w:rsidR="00433B8A" w:rsidRPr="007D1802">
        <w:rPr>
          <w:rFonts w:cs="Arial"/>
          <w:i w:val="0"/>
        </w:rPr>
        <w:t>-AG under Sections 2.2.2</w:t>
      </w:r>
      <w:r w:rsidR="009D5FB2" w:rsidRPr="007D1802">
        <w:rPr>
          <w:rFonts w:cs="Arial"/>
          <w:i w:val="0"/>
        </w:rPr>
        <w:t xml:space="preserve"> </w:t>
      </w:r>
      <w:r w:rsidR="00433B8A" w:rsidRPr="007D1802">
        <w:rPr>
          <w:rFonts w:cs="Arial"/>
          <w:i w:val="0"/>
        </w:rPr>
        <w:t>(c), 4(a) and 4</w:t>
      </w:r>
      <w:r w:rsidR="00D306D7" w:rsidRPr="007D1802">
        <w:rPr>
          <w:rFonts w:cs="Arial"/>
          <w:i w:val="0"/>
        </w:rPr>
        <w:t>(e)(i</w:t>
      </w:r>
      <w:r w:rsidR="00483972" w:rsidRPr="007D1802">
        <w:rPr>
          <w:rFonts w:cs="Arial"/>
          <w:i w:val="0"/>
        </w:rPr>
        <w:t>)</w:t>
      </w:r>
      <w:r w:rsidR="000D5DA3" w:rsidRPr="007D1802">
        <w:rPr>
          <w:rFonts w:cs="Arial"/>
          <w:i w:val="0"/>
        </w:rPr>
        <w:t xml:space="preserve"> at its seventy</w:t>
      </w:r>
      <w:r w:rsidR="00DE2A64" w:rsidRPr="007D1802">
        <w:rPr>
          <w:rFonts w:cs="Arial"/>
          <w:i w:val="0"/>
        </w:rPr>
        <w:noBreakHyphen/>
      </w:r>
      <w:r w:rsidR="000D5DA3" w:rsidRPr="007D1802">
        <w:rPr>
          <w:rFonts w:cs="Arial"/>
          <w:i w:val="0"/>
        </w:rPr>
        <w:t>second session</w:t>
      </w:r>
      <w:r w:rsidR="00D306D7" w:rsidRPr="007D1802">
        <w:rPr>
          <w:rFonts w:cs="Arial"/>
          <w:i w:val="0"/>
        </w:rPr>
        <w:t>, as set out in paragraph 28</w:t>
      </w:r>
      <w:r w:rsidR="00303BC1" w:rsidRPr="007D1802">
        <w:rPr>
          <w:rFonts w:cs="Arial" w:hint="eastAsia"/>
          <w:i w:val="0"/>
          <w:lang w:eastAsia="ja-JP"/>
        </w:rPr>
        <w:t>.</w:t>
      </w:r>
    </w:p>
    <w:p w:rsidR="00973A6F" w:rsidRDefault="00973A6F" w:rsidP="00973A6F">
      <w:pPr>
        <w:pStyle w:val="dec"/>
        <w:ind w:firstLine="567"/>
        <w:rPr>
          <w:rFonts w:eastAsia="MS Mincho" w:cs="Arial"/>
          <w:lang w:eastAsia="ja-JP"/>
        </w:rPr>
      </w:pPr>
    </w:p>
    <w:p w:rsidR="00433B8A" w:rsidRDefault="00433B8A">
      <w:pPr>
        <w:jc w:val="left"/>
        <w:rPr>
          <w:rFonts w:cs="Arial"/>
          <w:snapToGrid w:val="0"/>
        </w:rPr>
      </w:pPr>
      <w:bookmarkStart w:id="14" w:name="_Toc382388623"/>
      <w:r>
        <w:rPr>
          <w:rFonts w:cs="Arial"/>
          <w:snapToGrid w:val="0"/>
        </w:rPr>
        <w:br w:type="page"/>
      </w:r>
    </w:p>
    <w:p w:rsidR="00A2438A" w:rsidRDefault="00A2438A" w:rsidP="00433B8A">
      <w:pPr>
        <w:keepNext/>
        <w:rPr>
          <w:rFonts w:cs="Arial"/>
          <w:snapToGrid w:val="0"/>
          <w:lang w:eastAsia="ja-JP"/>
        </w:rPr>
      </w:pPr>
      <w:r w:rsidRPr="00C920D5">
        <w:rPr>
          <w:rFonts w:cs="Arial"/>
          <w:snapToGrid w:val="0"/>
        </w:rPr>
        <w:lastRenderedPageBreak/>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B65A8F" w:rsidRDefault="00B65A8F" w:rsidP="00433B8A">
      <w:pPr>
        <w:keepNext/>
        <w:rPr>
          <w:rFonts w:cs="Arial"/>
          <w:snapToGrid w:val="0"/>
          <w:lang w:eastAsia="ja-JP"/>
        </w:rPr>
      </w:pPr>
    </w:p>
    <w:p w:rsidR="005774CD" w:rsidRDefault="000F05D7">
      <w:pPr>
        <w:pStyle w:val="TOC1"/>
        <w:rPr>
          <w:rFonts w:asciiTheme="minorHAnsi" w:eastAsiaTheme="minorEastAsia" w:hAnsiTheme="minorHAnsi" w:cstheme="minorBidi"/>
          <w:caps w:val="0"/>
          <w:sz w:val="22"/>
          <w:szCs w:val="22"/>
        </w:rPr>
      </w:pPr>
      <w:r>
        <w:rPr>
          <w:rFonts w:cs="Arial"/>
          <w:bCs/>
          <w:snapToGrid w:val="0"/>
          <w:sz w:val="18"/>
        </w:rPr>
        <w:fldChar w:fldCharType="begin"/>
      </w:r>
      <w:r>
        <w:rPr>
          <w:rFonts w:cs="Arial"/>
          <w:bCs/>
          <w:snapToGrid w:val="0"/>
          <w:sz w:val="18"/>
        </w:rPr>
        <w:instrText xml:space="preserve"> TOC \o "1-3" \h \z \u </w:instrText>
      </w:r>
      <w:r>
        <w:rPr>
          <w:rFonts w:cs="Arial"/>
          <w:bCs/>
          <w:snapToGrid w:val="0"/>
          <w:sz w:val="18"/>
        </w:rPr>
        <w:fldChar w:fldCharType="separate"/>
      </w:r>
      <w:hyperlink w:anchor="_Toc413079305" w:history="1">
        <w:r w:rsidR="005774CD" w:rsidRPr="0061345D">
          <w:rPr>
            <w:rStyle w:val="Hyperlink"/>
          </w:rPr>
          <w:t>Executive summary</w:t>
        </w:r>
        <w:r w:rsidR="005774CD">
          <w:rPr>
            <w:webHidden/>
          </w:rPr>
          <w:tab/>
        </w:r>
        <w:r w:rsidR="005774CD">
          <w:rPr>
            <w:webHidden/>
          </w:rPr>
          <w:fldChar w:fldCharType="begin"/>
        </w:r>
        <w:r w:rsidR="005774CD">
          <w:rPr>
            <w:webHidden/>
          </w:rPr>
          <w:instrText xml:space="preserve"> PAGEREF _Toc413079305 \h </w:instrText>
        </w:r>
        <w:r w:rsidR="005774CD">
          <w:rPr>
            <w:webHidden/>
          </w:rPr>
        </w:r>
        <w:r w:rsidR="005774CD">
          <w:rPr>
            <w:webHidden/>
          </w:rPr>
          <w:fldChar w:fldCharType="separate"/>
        </w:r>
        <w:r w:rsidR="00C473D0">
          <w:rPr>
            <w:webHidden/>
          </w:rPr>
          <w:t>1</w:t>
        </w:r>
        <w:r w:rsidR="005774CD">
          <w:rPr>
            <w:webHidden/>
          </w:rPr>
          <w:fldChar w:fldCharType="end"/>
        </w:r>
      </w:hyperlink>
    </w:p>
    <w:p w:rsidR="005774CD" w:rsidRDefault="00C473D0">
      <w:pPr>
        <w:pStyle w:val="TOC1"/>
        <w:rPr>
          <w:rFonts w:asciiTheme="minorHAnsi" w:eastAsiaTheme="minorEastAsia" w:hAnsiTheme="minorHAnsi" w:cstheme="minorBidi"/>
          <w:caps w:val="0"/>
          <w:sz w:val="22"/>
          <w:szCs w:val="22"/>
        </w:rPr>
      </w:pPr>
      <w:hyperlink w:anchor="_Toc413079306" w:history="1">
        <w:r w:rsidR="005774CD" w:rsidRPr="0061345D">
          <w:rPr>
            <w:rStyle w:val="Hyperlink"/>
          </w:rPr>
          <w:t>PURPOSE</w:t>
        </w:r>
        <w:r w:rsidR="005774CD">
          <w:rPr>
            <w:webHidden/>
          </w:rPr>
          <w:tab/>
        </w:r>
        <w:r w:rsidR="005774CD">
          <w:rPr>
            <w:webHidden/>
          </w:rPr>
          <w:fldChar w:fldCharType="begin"/>
        </w:r>
        <w:r w:rsidR="005774CD">
          <w:rPr>
            <w:webHidden/>
          </w:rPr>
          <w:instrText xml:space="preserve"> PAGEREF _Toc413079306 \h </w:instrText>
        </w:r>
        <w:r w:rsidR="005774CD">
          <w:rPr>
            <w:webHidden/>
          </w:rPr>
        </w:r>
        <w:r w:rsidR="005774CD">
          <w:rPr>
            <w:webHidden/>
          </w:rPr>
          <w:fldChar w:fldCharType="separate"/>
        </w:r>
        <w:r>
          <w:rPr>
            <w:webHidden/>
          </w:rPr>
          <w:t>3</w:t>
        </w:r>
        <w:r w:rsidR="005774CD">
          <w:rPr>
            <w:webHidden/>
          </w:rPr>
          <w:fldChar w:fldCharType="end"/>
        </w:r>
      </w:hyperlink>
    </w:p>
    <w:p w:rsidR="005774CD" w:rsidRDefault="00C473D0">
      <w:pPr>
        <w:pStyle w:val="TOC1"/>
        <w:rPr>
          <w:rFonts w:asciiTheme="minorHAnsi" w:eastAsiaTheme="minorEastAsia" w:hAnsiTheme="minorHAnsi" w:cstheme="minorBidi"/>
          <w:caps w:val="0"/>
          <w:sz w:val="22"/>
          <w:szCs w:val="22"/>
        </w:rPr>
      </w:pPr>
      <w:hyperlink w:anchor="_Toc413079307" w:history="1">
        <w:r w:rsidR="005774CD" w:rsidRPr="0061345D">
          <w:rPr>
            <w:rStyle w:val="Hyperlink"/>
            <w:snapToGrid w:val="0"/>
          </w:rPr>
          <w:t>POSSIBLE Development of a UPOV similarity search tool for variety denomination purposes</w:t>
        </w:r>
        <w:r w:rsidR="005774CD">
          <w:rPr>
            <w:webHidden/>
          </w:rPr>
          <w:tab/>
        </w:r>
        <w:r w:rsidR="005774CD">
          <w:rPr>
            <w:webHidden/>
          </w:rPr>
          <w:fldChar w:fldCharType="begin"/>
        </w:r>
        <w:r w:rsidR="005774CD">
          <w:rPr>
            <w:webHidden/>
          </w:rPr>
          <w:instrText xml:space="preserve"> PAGEREF _Toc413079307 \h </w:instrText>
        </w:r>
        <w:r w:rsidR="005774CD">
          <w:rPr>
            <w:webHidden/>
          </w:rPr>
        </w:r>
        <w:r w:rsidR="005774CD">
          <w:rPr>
            <w:webHidden/>
          </w:rPr>
          <w:fldChar w:fldCharType="separate"/>
        </w:r>
        <w:r>
          <w:rPr>
            <w:webHidden/>
          </w:rPr>
          <w:t>3</w:t>
        </w:r>
        <w:r w:rsidR="005774CD">
          <w:rPr>
            <w:webHidden/>
          </w:rPr>
          <w:fldChar w:fldCharType="end"/>
        </w:r>
      </w:hyperlink>
    </w:p>
    <w:p w:rsidR="005774CD" w:rsidRDefault="00C473D0">
      <w:pPr>
        <w:pStyle w:val="TOC1"/>
        <w:rPr>
          <w:rFonts w:asciiTheme="minorHAnsi" w:eastAsiaTheme="minorEastAsia" w:hAnsiTheme="minorHAnsi" w:cstheme="minorBidi"/>
          <w:caps w:val="0"/>
          <w:sz w:val="22"/>
          <w:szCs w:val="22"/>
        </w:rPr>
      </w:pPr>
      <w:hyperlink w:anchor="_Toc413079308" w:history="1">
        <w:r w:rsidR="005774CD" w:rsidRPr="0061345D">
          <w:rPr>
            <w:rStyle w:val="Hyperlink"/>
            <w:snapToGrid w:val="0"/>
          </w:rPr>
          <w:t>revision of document UPOV/INF/12 “Explanatory Notes on Variety Denominations under the UPOV Convention”</w:t>
        </w:r>
        <w:r w:rsidR="005774CD">
          <w:rPr>
            <w:webHidden/>
          </w:rPr>
          <w:tab/>
        </w:r>
        <w:r w:rsidR="005774CD">
          <w:rPr>
            <w:webHidden/>
          </w:rPr>
          <w:fldChar w:fldCharType="begin"/>
        </w:r>
        <w:r w:rsidR="005774CD">
          <w:rPr>
            <w:webHidden/>
          </w:rPr>
          <w:instrText xml:space="preserve"> PAGEREF _Toc413079308 \h </w:instrText>
        </w:r>
        <w:r w:rsidR="005774CD">
          <w:rPr>
            <w:webHidden/>
          </w:rPr>
        </w:r>
        <w:r w:rsidR="005774CD">
          <w:rPr>
            <w:webHidden/>
          </w:rPr>
          <w:fldChar w:fldCharType="separate"/>
        </w:r>
        <w:r>
          <w:rPr>
            <w:webHidden/>
          </w:rPr>
          <w:t>4</w:t>
        </w:r>
        <w:r w:rsidR="005774CD">
          <w:rPr>
            <w:webHidden/>
          </w:rPr>
          <w:fldChar w:fldCharType="end"/>
        </w:r>
      </w:hyperlink>
    </w:p>
    <w:p w:rsidR="005774CD" w:rsidRDefault="00C473D0">
      <w:pPr>
        <w:pStyle w:val="TOC2"/>
        <w:rPr>
          <w:rFonts w:asciiTheme="minorHAnsi" w:eastAsiaTheme="minorEastAsia" w:hAnsiTheme="minorHAnsi" w:cstheme="minorBidi"/>
          <w:sz w:val="22"/>
          <w:szCs w:val="22"/>
        </w:rPr>
      </w:pPr>
      <w:hyperlink w:anchor="_Toc413079309" w:history="1">
        <w:r w:rsidR="005774CD" w:rsidRPr="0061345D">
          <w:rPr>
            <w:rStyle w:val="Hyperlink"/>
          </w:rPr>
          <w:t>Proposed guidance on the change of registered variety denominations for consideration by the CAJ at its seventy-first session</w:t>
        </w:r>
        <w:r w:rsidR="005774CD">
          <w:rPr>
            <w:webHidden/>
          </w:rPr>
          <w:tab/>
        </w:r>
        <w:r w:rsidR="005774CD">
          <w:rPr>
            <w:webHidden/>
          </w:rPr>
          <w:fldChar w:fldCharType="begin"/>
        </w:r>
        <w:r w:rsidR="005774CD">
          <w:rPr>
            <w:webHidden/>
          </w:rPr>
          <w:instrText xml:space="preserve"> PAGEREF _Toc413079309 \h </w:instrText>
        </w:r>
        <w:r w:rsidR="005774CD">
          <w:rPr>
            <w:webHidden/>
          </w:rPr>
        </w:r>
        <w:r w:rsidR="005774CD">
          <w:rPr>
            <w:webHidden/>
          </w:rPr>
          <w:fldChar w:fldCharType="separate"/>
        </w:r>
        <w:r>
          <w:rPr>
            <w:webHidden/>
          </w:rPr>
          <w:t>4</w:t>
        </w:r>
        <w:r w:rsidR="005774CD">
          <w:rPr>
            <w:webHidden/>
          </w:rPr>
          <w:fldChar w:fldCharType="end"/>
        </w:r>
      </w:hyperlink>
    </w:p>
    <w:p w:rsidR="005774CD" w:rsidRDefault="00C473D0">
      <w:pPr>
        <w:pStyle w:val="TOC2"/>
        <w:rPr>
          <w:rFonts w:asciiTheme="minorHAnsi" w:eastAsiaTheme="minorEastAsia" w:hAnsiTheme="minorHAnsi" w:cstheme="minorBidi"/>
          <w:sz w:val="22"/>
          <w:szCs w:val="22"/>
        </w:rPr>
      </w:pPr>
      <w:hyperlink w:anchor="_Toc413079310" w:history="1">
        <w:r w:rsidR="005774CD" w:rsidRPr="0061345D">
          <w:rPr>
            <w:rStyle w:val="Hyperlink"/>
            <w:lang w:eastAsia="ja-JP"/>
          </w:rPr>
          <w:t>Proposals for revision of document UPOV/INF/12/4 in which the CAJ-AG made an initial consideration</w:t>
        </w:r>
        <w:r w:rsidR="005774CD">
          <w:rPr>
            <w:webHidden/>
          </w:rPr>
          <w:tab/>
        </w:r>
        <w:r w:rsidR="005774CD">
          <w:rPr>
            <w:webHidden/>
          </w:rPr>
          <w:fldChar w:fldCharType="begin"/>
        </w:r>
        <w:r w:rsidR="005774CD">
          <w:rPr>
            <w:webHidden/>
          </w:rPr>
          <w:instrText xml:space="preserve"> PAGEREF _Toc413079310 \h </w:instrText>
        </w:r>
        <w:r w:rsidR="005774CD">
          <w:rPr>
            <w:webHidden/>
          </w:rPr>
        </w:r>
        <w:r w:rsidR="005774CD">
          <w:rPr>
            <w:webHidden/>
          </w:rPr>
          <w:fldChar w:fldCharType="separate"/>
        </w:r>
        <w:r>
          <w:rPr>
            <w:webHidden/>
          </w:rPr>
          <w:t>6</w:t>
        </w:r>
        <w:r w:rsidR="005774CD">
          <w:rPr>
            <w:webHidden/>
          </w:rPr>
          <w:fldChar w:fldCharType="end"/>
        </w:r>
      </w:hyperlink>
    </w:p>
    <w:p w:rsidR="005774CD" w:rsidRDefault="00C473D0">
      <w:pPr>
        <w:pStyle w:val="TOC2"/>
        <w:rPr>
          <w:rFonts w:asciiTheme="minorHAnsi" w:eastAsiaTheme="minorEastAsia" w:hAnsiTheme="minorHAnsi" w:cstheme="minorBidi"/>
          <w:sz w:val="22"/>
          <w:szCs w:val="22"/>
        </w:rPr>
      </w:pPr>
      <w:hyperlink w:anchor="_Toc413079311" w:history="1">
        <w:r w:rsidR="005774CD" w:rsidRPr="0061345D">
          <w:rPr>
            <w:rStyle w:val="Hyperlink"/>
          </w:rPr>
          <w:t xml:space="preserve">Proposed approach concerning the work of </w:t>
        </w:r>
        <w:r w:rsidR="005774CD" w:rsidRPr="0061345D">
          <w:rPr>
            <w:rStyle w:val="Hyperlink"/>
            <w:rFonts w:cs="Arial"/>
            <w:lang w:eastAsia="ja-JP"/>
          </w:rPr>
          <w:t>the WG-DST</w:t>
        </w:r>
        <w:r w:rsidR="005774CD">
          <w:rPr>
            <w:webHidden/>
          </w:rPr>
          <w:tab/>
        </w:r>
        <w:r w:rsidR="005774CD">
          <w:rPr>
            <w:webHidden/>
          </w:rPr>
          <w:fldChar w:fldCharType="begin"/>
        </w:r>
        <w:r w:rsidR="005774CD">
          <w:rPr>
            <w:webHidden/>
          </w:rPr>
          <w:instrText xml:space="preserve"> PAGEREF _Toc413079311 \h </w:instrText>
        </w:r>
        <w:r w:rsidR="005774CD">
          <w:rPr>
            <w:webHidden/>
          </w:rPr>
        </w:r>
        <w:r w:rsidR="005774CD">
          <w:rPr>
            <w:webHidden/>
          </w:rPr>
          <w:fldChar w:fldCharType="separate"/>
        </w:r>
        <w:r>
          <w:rPr>
            <w:webHidden/>
          </w:rPr>
          <w:t>7</w:t>
        </w:r>
        <w:r w:rsidR="005774CD">
          <w:rPr>
            <w:webHidden/>
          </w:rPr>
          <w:fldChar w:fldCharType="end"/>
        </w:r>
      </w:hyperlink>
    </w:p>
    <w:p w:rsidR="005774CD" w:rsidRDefault="00C473D0">
      <w:pPr>
        <w:pStyle w:val="TOC2"/>
        <w:rPr>
          <w:rFonts w:asciiTheme="minorHAnsi" w:eastAsiaTheme="minorEastAsia" w:hAnsiTheme="minorHAnsi" w:cstheme="minorBidi"/>
          <w:sz w:val="22"/>
          <w:szCs w:val="22"/>
        </w:rPr>
      </w:pPr>
      <w:hyperlink w:anchor="_Toc413079312" w:history="1">
        <w:r w:rsidR="005774CD" w:rsidRPr="0061345D">
          <w:rPr>
            <w:rStyle w:val="Hyperlink"/>
          </w:rPr>
          <w:t>Proposed guidance for consideration by the CAJ at its seventy-second session</w:t>
        </w:r>
        <w:r w:rsidR="005774CD">
          <w:rPr>
            <w:webHidden/>
          </w:rPr>
          <w:tab/>
        </w:r>
        <w:r w:rsidR="005774CD">
          <w:rPr>
            <w:webHidden/>
          </w:rPr>
          <w:fldChar w:fldCharType="begin"/>
        </w:r>
        <w:r w:rsidR="005774CD">
          <w:rPr>
            <w:webHidden/>
          </w:rPr>
          <w:instrText xml:space="preserve"> PAGEREF _Toc413079312 \h </w:instrText>
        </w:r>
        <w:r w:rsidR="005774CD">
          <w:rPr>
            <w:webHidden/>
          </w:rPr>
        </w:r>
        <w:r w:rsidR="005774CD">
          <w:rPr>
            <w:webHidden/>
          </w:rPr>
          <w:fldChar w:fldCharType="separate"/>
        </w:r>
        <w:r>
          <w:rPr>
            <w:webHidden/>
          </w:rPr>
          <w:t>8</w:t>
        </w:r>
        <w:r w:rsidR="005774CD">
          <w:rPr>
            <w:webHidden/>
          </w:rPr>
          <w:fldChar w:fldCharType="end"/>
        </w:r>
      </w:hyperlink>
    </w:p>
    <w:p w:rsidR="003E3D83" w:rsidRDefault="000F05D7" w:rsidP="00B45126">
      <w:pPr>
        <w:pStyle w:val="Heading1"/>
        <w:rPr>
          <w:noProof/>
          <w:snapToGrid w:val="0"/>
        </w:rPr>
      </w:pPr>
      <w:r>
        <w:rPr>
          <w:noProof/>
          <w:snapToGrid w:val="0"/>
        </w:rPr>
        <w:fldChar w:fldCharType="end"/>
      </w:r>
    </w:p>
    <w:p w:rsidR="000D5DA3" w:rsidRPr="00822A3B" w:rsidRDefault="000D5DA3" w:rsidP="000D5DA3">
      <w:pPr>
        <w:keepNext/>
        <w:rPr>
          <w:rFonts w:cs="Arial"/>
          <w:snapToGrid w:val="0"/>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822A3B">
        <w:rPr>
          <w:rFonts w:cs="Arial"/>
          <w:snapToGrid w:val="0"/>
        </w:rPr>
        <w:t>The following abbreviations are used in this document:</w:t>
      </w:r>
    </w:p>
    <w:p w:rsidR="000D5DA3" w:rsidRPr="00822A3B" w:rsidRDefault="000D5DA3" w:rsidP="000D5DA3">
      <w:pPr>
        <w:keepNext/>
        <w:rPr>
          <w:rFonts w:cs="Arial"/>
          <w:snapToGrid w:val="0"/>
        </w:rPr>
      </w:pPr>
    </w:p>
    <w:p w:rsidR="000D5DA3" w:rsidRPr="00822A3B" w:rsidRDefault="000D5DA3" w:rsidP="000D5DA3">
      <w:pPr>
        <w:keepNext/>
        <w:ind w:left="567"/>
        <w:rPr>
          <w:rFonts w:cs="Arial"/>
          <w:snapToGrid w:val="0"/>
        </w:rPr>
      </w:pPr>
      <w:r w:rsidRPr="00822A3B">
        <w:rPr>
          <w:rFonts w:cs="Arial"/>
          <w:snapToGrid w:val="0"/>
          <w:color w:val="000000"/>
        </w:rPr>
        <w:t xml:space="preserve">CAJ:  </w:t>
      </w:r>
      <w:r w:rsidRPr="00822A3B">
        <w:rPr>
          <w:rFonts w:cs="Arial" w:hint="eastAsia"/>
          <w:snapToGrid w:val="0"/>
          <w:color w:val="000000"/>
          <w:lang w:eastAsia="ja-JP"/>
        </w:rPr>
        <w:tab/>
      </w:r>
      <w:r w:rsidRPr="00822A3B">
        <w:rPr>
          <w:rFonts w:cs="Arial" w:hint="eastAsia"/>
          <w:snapToGrid w:val="0"/>
          <w:color w:val="000000"/>
          <w:lang w:eastAsia="ja-JP"/>
        </w:rPr>
        <w:tab/>
      </w:r>
      <w:r w:rsidRPr="00822A3B">
        <w:rPr>
          <w:rFonts w:cs="Arial"/>
          <w:snapToGrid w:val="0"/>
          <w:color w:val="000000"/>
        </w:rPr>
        <w:t xml:space="preserve">Administrative and Legal Committee </w:t>
      </w:r>
    </w:p>
    <w:p w:rsidR="000D5DA3" w:rsidRPr="00822A3B" w:rsidRDefault="000D5DA3" w:rsidP="000D5DA3">
      <w:pPr>
        <w:keepNext/>
        <w:ind w:left="567"/>
        <w:rPr>
          <w:rFonts w:cs="Arial"/>
          <w:snapToGrid w:val="0"/>
        </w:rPr>
      </w:pPr>
      <w:r w:rsidRPr="00822A3B">
        <w:rPr>
          <w:rFonts w:cs="Arial"/>
          <w:snapToGrid w:val="0"/>
        </w:rPr>
        <w:t xml:space="preserve">CAJ-AG:  </w:t>
      </w:r>
      <w:r w:rsidRPr="00822A3B">
        <w:rPr>
          <w:rFonts w:cs="Arial" w:hint="eastAsia"/>
          <w:snapToGrid w:val="0"/>
          <w:lang w:eastAsia="ja-JP"/>
        </w:rPr>
        <w:tab/>
      </w:r>
      <w:r w:rsidRPr="00822A3B">
        <w:rPr>
          <w:rFonts w:cs="Arial"/>
          <w:snapToGrid w:val="0"/>
        </w:rPr>
        <w:t xml:space="preserve">Administrative and Legal Committee Advisory Group </w:t>
      </w:r>
    </w:p>
    <w:p w:rsidR="000D5DA3" w:rsidRPr="00822A3B" w:rsidRDefault="000D5DA3" w:rsidP="000D5DA3">
      <w:pPr>
        <w:keepNext/>
        <w:ind w:left="567"/>
        <w:rPr>
          <w:rFonts w:cs="Arial"/>
          <w:snapToGrid w:val="0"/>
          <w:lang w:eastAsia="ja-JP"/>
        </w:rPr>
      </w:pPr>
      <w:r w:rsidRPr="00822A3B">
        <w:rPr>
          <w:rFonts w:cs="Arial"/>
          <w:snapToGrid w:val="0"/>
        </w:rPr>
        <w:t xml:space="preserve">TC:  </w:t>
      </w:r>
      <w:r w:rsidRPr="00822A3B">
        <w:rPr>
          <w:rFonts w:cs="Arial" w:hint="eastAsia"/>
          <w:snapToGrid w:val="0"/>
          <w:lang w:eastAsia="ja-JP"/>
        </w:rPr>
        <w:tab/>
      </w:r>
      <w:r w:rsidRPr="00822A3B">
        <w:rPr>
          <w:rFonts w:cs="Arial" w:hint="eastAsia"/>
          <w:snapToGrid w:val="0"/>
          <w:lang w:eastAsia="ja-JP"/>
        </w:rPr>
        <w:tab/>
      </w:r>
      <w:r w:rsidRPr="00822A3B">
        <w:rPr>
          <w:rFonts w:cs="Arial"/>
          <w:snapToGrid w:val="0"/>
        </w:rPr>
        <w:t>Technical Committee</w:t>
      </w:r>
    </w:p>
    <w:p w:rsidR="000D5DA3" w:rsidRDefault="000D5DA3" w:rsidP="000D5DA3">
      <w:pPr>
        <w:keepNext/>
        <w:ind w:left="567"/>
        <w:rPr>
          <w:snapToGrid w:val="0"/>
          <w:lang w:eastAsia="ja-JP"/>
        </w:rPr>
      </w:pPr>
      <w:r w:rsidRPr="00822A3B">
        <w:rPr>
          <w:snapToGrid w:val="0"/>
          <w:lang w:eastAsia="ja-JP"/>
        </w:rPr>
        <w:t>WG</w:t>
      </w:r>
      <w:r w:rsidRPr="00822A3B">
        <w:rPr>
          <w:rFonts w:hint="eastAsia"/>
          <w:snapToGrid w:val="0"/>
          <w:lang w:eastAsia="ja-JP"/>
        </w:rPr>
        <w:t>-</w:t>
      </w:r>
      <w:r w:rsidRPr="00822A3B">
        <w:rPr>
          <w:snapToGrid w:val="0"/>
          <w:lang w:eastAsia="ja-JP"/>
        </w:rPr>
        <w:t>DST</w:t>
      </w:r>
      <w:r w:rsidRPr="00822A3B">
        <w:rPr>
          <w:rFonts w:hint="eastAsia"/>
          <w:snapToGrid w:val="0"/>
          <w:lang w:eastAsia="ja-JP"/>
        </w:rPr>
        <w:t>:</w:t>
      </w:r>
      <w:r w:rsidRPr="00822A3B">
        <w:rPr>
          <w:rFonts w:hint="eastAsia"/>
          <w:snapToGrid w:val="0"/>
          <w:lang w:eastAsia="ja-JP"/>
        </w:rPr>
        <w:tab/>
      </w:r>
      <w:r w:rsidRPr="00822A3B">
        <w:rPr>
          <w:snapToGrid w:val="0"/>
          <w:lang w:eastAsia="ja-JP"/>
        </w:rPr>
        <w:t>Working Group for Variety Denomination Search Tool</w:t>
      </w:r>
    </w:p>
    <w:p w:rsidR="000D5DA3" w:rsidRPr="00822A3B" w:rsidRDefault="000D5DA3" w:rsidP="000D5DA3">
      <w:pPr>
        <w:rPr>
          <w:snapToGrid w:val="0"/>
          <w:lang w:eastAsia="ja-JP"/>
        </w:rPr>
      </w:pPr>
    </w:p>
    <w:p w:rsidR="000D5DA3" w:rsidRPr="000D5DA3" w:rsidRDefault="000D5DA3" w:rsidP="000D5DA3">
      <w:pPr>
        <w:rPr>
          <w:lang w:eastAsia="ja-JP"/>
        </w:rPr>
      </w:pPr>
    </w:p>
    <w:p w:rsidR="00B65A8F" w:rsidRDefault="00B65A8F" w:rsidP="00B65A8F">
      <w:pPr>
        <w:rPr>
          <w:lang w:eastAsia="ja-JP"/>
        </w:rPr>
      </w:pPr>
    </w:p>
    <w:p w:rsidR="009136C0" w:rsidRDefault="009136C0">
      <w:pPr>
        <w:jc w:val="left"/>
        <w:rPr>
          <w:caps/>
          <w:lang w:eastAsia="ja-JP"/>
        </w:rPr>
      </w:pPr>
    </w:p>
    <w:p w:rsidR="000D6679" w:rsidRDefault="000D6679">
      <w:pPr>
        <w:jc w:val="left"/>
        <w:rPr>
          <w:caps/>
          <w:lang w:eastAsia="ja-JP"/>
        </w:rPr>
      </w:pPr>
      <w:r>
        <w:br w:type="page"/>
      </w:r>
    </w:p>
    <w:p w:rsidR="00B65A8F" w:rsidRPr="009D77D3" w:rsidRDefault="00B65A8F" w:rsidP="00B45126">
      <w:pPr>
        <w:pStyle w:val="Heading1"/>
      </w:pPr>
      <w:bookmarkStart w:id="15" w:name="_Toc413079306"/>
      <w:r w:rsidRPr="009D77D3">
        <w:rPr>
          <w:rFonts w:hint="eastAsia"/>
        </w:rPr>
        <w:lastRenderedPageBreak/>
        <w:t>PURPOSE</w:t>
      </w:r>
      <w:bookmarkEnd w:id="15"/>
    </w:p>
    <w:p w:rsidR="00B65A8F" w:rsidRDefault="00B65A8F" w:rsidP="00B65A8F">
      <w:pPr>
        <w:rPr>
          <w:lang w:eastAsia="ja-JP"/>
        </w:rPr>
      </w:pPr>
    </w:p>
    <w:p w:rsidR="00B65A8F" w:rsidRDefault="00B65A8F" w:rsidP="00B65A8F">
      <w:pPr>
        <w:rPr>
          <w:rFonts w:cs="Arial"/>
          <w:snapToGrid w:val="0"/>
          <w:lang w:eastAsia="ja-JP"/>
        </w:rPr>
      </w:pPr>
      <w:r w:rsidRPr="00803FBF">
        <w:rPr>
          <w:rFonts w:cs="Arial"/>
        </w:rPr>
        <w:fldChar w:fldCharType="begin"/>
      </w:r>
      <w:r w:rsidRPr="00803FBF">
        <w:rPr>
          <w:rFonts w:cs="Arial"/>
        </w:rPr>
        <w:instrText xml:space="preserve"> AUTONUM  </w:instrText>
      </w:r>
      <w:r w:rsidRPr="00803FBF">
        <w:rPr>
          <w:rFonts w:cs="Arial"/>
        </w:rPr>
        <w:fldChar w:fldCharType="end"/>
      </w:r>
      <w:r w:rsidRPr="00803FBF">
        <w:rPr>
          <w:rFonts w:cs="Arial"/>
        </w:rPr>
        <w:tab/>
      </w:r>
      <w:r w:rsidR="009136C0" w:rsidRPr="00C920D5">
        <w:rPr>
          <w:rFonts w:cs="Arial"/>
          <w:snapToGrid w:val="0"/>
        </w:rPr>
        <w:t xml:space="preserve">The purpose of this document is to </w:t>
      </w:r>
      <w:r w:rsidR="009136C0">
        <w:rPr>
          <w:rFonts w:cs="Arial"/>
          <w:snapToGrid w:val="0"/>
        </w:rPr>
        <w:t xml:space="preserve">report on the work concerning </w:t>
      </w:r>
      <w:r w:rsidR="009136C0">
        <w:rPr>
          <w:rFonts w:cs="Arial" w:hint="eastAsia"/>
          <w:snapToGrid w:val="0"/>
          <w:lang w:eastAsia="ja-JP"/>
        </w:rPr>
        <w:t>possible development of a UPOV similarity search tool for variety denomination purposes and</w:t>
      </w:r>
      <w:r w:rsidR="009136C0" w:rsidRPr="003D39F6">
        <w:t xml:space="preserve"> </w:t>
      </w:r>
      <w:r w:rsidR="009136C0">
        <w:t xml:space="preserve">to </w:t>
      </w:r>
      <w:r w:rsidR="009136C0">
        <w:rPr>
          <w:rFonts w:cs="Arial"/>
          <w:snapToGrid w:val="0"/>
          <w:lang w:eastAsia="ja-JP"/>
        </w:rPr>
        <w:t xml:space="preserve">consider </w:t>
      </w:r>
      <w:r w:rsidR="0026489E">
        <w:rPr>
          <w:rFonts w:cs="Arial" w:hint="eastAsia"/>
          <w:snapToGrid w:val="0"/>
          <w:lang w:eastAsia="ja-JP"/>
        </w:rPr>
        <w:t>a</w:t>
      </w:r>
      <w:r w:rsidR="009136C0" w:rsidRPr="003D39F6">
        <w:rPr>
          <w:rFonts w:cs="Arial"/>
          <w:snapToGrid w:val="0"/>
          <w:lang w:eastAsia="ja-JP"/>
        </w:rPr>
        <w:t xml:space="preserve"> possible revision </w:t>
      </w:r>
      <w:r w:rsidR="009136C0" w:rsidRPr="00C920D5">
        <w:rPr>
          <w:rFonts w:cs="Arial"/>
        </w:rPr>
        <w:t>of the “Explanatory Notes on Variety Denominations under the UPOV Convention” (document</w:t>
      </w:r>
      <w:r w:rsidR="009136C0">
        <w:rPr>
          <w:rFonts w:cs="Arial"/>
        </w:rPr>
        <w:t> </w:t>
      </w:r>
      <w:r w:rsidR="009136C0" w:rsidRPr="00C920D5">
        <w:rPr>
          <w:rFonts w:cs="Arial"/>
        </w:rPr>
        <w:t>UPOV/INF/12/4)</w:t>
      </w:r>
      <w:r w:rsidR="009136C0" w:rsidRPr="00C920D5">
        <w:rPr>
          <w:rFonts w:cs="Arial"/>
          <w:snapToGrid w:val="0"/>
        </w:rPr>
        <w:t>.</w:t>
      </w:r>
    </w:p>
    <w:p w:rsidR="004F73E6" w:rsidRPr="00C920D5" w:rsidRDefault="004F73E6" w:rsidP="00433B8A">
      <w:pPr>
        <w:rPr>
          <w:snapToGrid w:val="0"/>
          <w:lang w:eastAsia="ja-JP"/>
        </w:rPr>
      </w:pPr>
    </w:p>
    <w:p w:rsidR="003E3D83" w:rsidRDefault="003E3D83" w:rsidP="00433B8A">
      <w:pPr>
        <w:rPr>
          <w:snapToGrid w:val="0"/>
        </w:rPr>
      </w:pPr>
    </w:p>
    <w:p w:rsidR="00433B8A" w:rsidRDefault="00433B8A" w:rsidP="00433B8A">
      <w:pPr>
        <w:rPr>
          <w:snapToGrid w:val="0"/>
        </w:rPr>
      </w:pPr>
    </w:p>
    <w:p w:rsidR="00A2438A" w:rsidRPr="00C920D5" w:rsidRDefault="00A2438A" w:rsidP="00B45126">
      <w:pPr>
        <w:pStyle w:val="Heading1"/>
        <w:rPr>
          <w:snapToGrid w:val="0"/>
        </w:rPr>
      </w:pPr>
      <w:bookmarkStart w:id="16" w:name="_Toc413079307"/>
      <w:bookmarkStart w:id="17" w:name="_Toc382388626"/>
      <w:bookmarkEnd w:id="14"/>
      <w:r w:rsidRPr="001960CC">
        <w:rPr>
          <w:snapToGrid w:val="0"/>
        </w:rPr>
        <w:t>POSSIBLE Development of a UPOV similarity search tool for variety denomination purposes</w:t>
      </w:r>
      <w:bookmarkEnd w:id="16"/>
    </w:p>
    <w:p w:rsidR="00A2438A" w:rsidRPr="00C920D5" w:rsidRDefault="00A2438A" w:rsidP="00A2438A">
      <w:pPr>
        <w:rPr>
          <w:rFonts w:cs="Arial"/>
          <w:snapToGrid w:val="0"/>
        </w:rPr>
      </w:pPr>
    </w:p>
    <w:p w:rsidR="00A2438A" w:rsidRDefault="00A2438A" w:rsidP="009B092F">
      <w:pPr>
        <w:rPr>
          <w:szCs w:val="24"/>
          <w:lang w:eastAsia="ja-JP"/>
        </w:rPr>
      </w:pPr>
      <w:r w:rsidRPr="00C920D5">
        <w:fldChar w:fldCharType="begin"/>
      </w:r>
      <w:r w:rsidRPr="00C920D5">
        <w:instrText xml:space="preserve"> AUTONUM  </w:instrText>
      </w:r>
      <w:r w:rsidRPr="00C920D5">
        <w:fldChar w:fldCharType="end"/>
      </w:r>
      <w:r w:rsidRPr="00C920D5">
        <w:tab/>
      </w:r>
      <w:r>
        <w:rPr>
          <w:szCs w:val="24"/>
        </w:rPr>
        <w:t xml:space="preserve">The background to this matter is provided in document </w:t>
      </w:r>
      <w:r w:rsidR="003D0C5A">
        <w:rPr>
          <w:rFonts w:hint="eastAsia"/>
          <w:szCs w:val="24"/>
          <w:lang w:eastAsia="ja-JP"/>
        </w:rPr>
        <w:t>CAJ</w:t>
      </w:r>
      <w:r w:rsidR="00543E63">
        <w:rPr>
          <w:szCs w:val="24"/>
          <w:lang w:eastAsia="ja-JP"/>
        </w:rPr>
        <w:t>/</w:t>
      </w:r>
      <w:r w:rsidR="003D0C5A">
        <w:rPr>
          <w:rFonts w:hint="eastAsia"/>
          <w:szCs w:val="24"/>
          <w:lang w:eastAsia="ja-JP"/>
        </w:rPr>
        <w:t>70/4</w:t>
      </w:r>
      <w:r>
        <w:rPr>
          <w:rFonts w:hint="eastAsia"/>
          <w:szCs w:val="24"/>
          <w:lang w:eastAsia="ja-JP"/>
        </w:rPr>
        <w:t xml:space="preserve"> </w:t>
      </w:r>
      <w:r>
        <w:rPr>
          <w:szCs w:val="24"/>
          <w:lang w:eastAsia="ja-JP"/>
        </w:rPr>
        <w:t>“</w:t>
      </w:r>
      <w:r>
        <w:rPr>
          <w:rFonts w:hint="eastAsia"/>
          <w:szCs w:val="24"/>
          <w:lang w:eastAsia="ja-JP"/>
        </w:rPr>
        <w:t>Variety denominations</w:t>
      </w:r>
      <w:r>
        <w:rPr>
          <w:szCs w:val="24"/>
          <w:lang w:eastAsia="ja-JP"/>
        </w:rPr>
        <w:t>”</w:t>
      </w:r>
      <w:r w:rsidR="003D0C5A">
        <w:rPr>
          <w:rFonts w:hint="eastAsia"/>
          <w:szCs w:val="24"/>
          <w:lang w:eastAsia="ja-JP"/>
        </w:rPr>
        <w:t xml:space="preserve"> and CAJ/70/4 Add. </w:t>
      </w:r>
      <w:r w:rsidR="003D0C5A">
        <w:rPr>
          <w:szCs w:val="24"/>
          <w:lang w:eastAsia="ja-JP"/>
        </w:rPr>
        <w:t>“</w:t>
      </w:r>
      <w:r w:rsidR="009B092F">
        <w:rPr>
          <w:rFonts w:hint="eastAsia"/>
          <w:szCs w:val="24"/>
          <w:lang w:eastAsia="ja-JP"/>
        </w:rPr>
        <w:t>Addendum to Variety Denominations</w:t>
      </w:r>
      <w:r w:rsidR="009B092F">
        <w:rPr>
          <w:szCs w:val="24"/>
          <w:lang w:eastAsia="ja-JP"/>
        </w:rPr>
        <w:t>”</w:t>
      </w:r>
      <w:r>
        <w:rPr>
          <w:rFonts w:hint="eastAsia"/>
          <w:szCs w:val="24"/>
          <w:lang w:eastAsia="ja-JP"/>
        </w:rPr>
        <w:t>.</w:t>
      </w:r>
    </w:p>
    <w:p w:rsidR="00A2438A" w:rsidRDefault="00A2438A" w:rsidP="00A2438A">
      <w:pPr>
        <w:rPr>
          <w:lang w:eastAsia="ja-JP"/>
        </w:rPr>
      </w:pPr>
    </w:p>
    <w:p w:rsidR="00A2438A" w:rsidRPr="00EE234C" w:rsidRDefault="00A2438A" w:rsidP="00A2438A">
      <w:r w:rsidRPr="004B56C9">
        <w:rPr>
          <w:szCs w:val="24"/>
        </w:rPr>
        <w:fldChar w:fldCharType="begin"/>
      </w:r>
      <w:r w:rsidRPr="004B56C9">
        <w:rPr>
          <w:szCs w:val="24"/>
        </w:rPr>
        <w:instrText xml:space="preserve"> AUTONUM  </w:instrText>
      </w:r>
      <w:r w:rsidRPr="004B56C9">
        <w:rPr>
          <w:szCs w:val="24"/>
        </w:rPr>
        <w:fldChar w:fldCharType="end"/>
      </w:r>
      <w:r w:rsidRPr="004B56C9">
        <w:rPr>
          <w:szCs w:val="24"/>
        </w:rPr>
        <w:tab/>
      </w:r>
      <w:r w:rsidRPr="004B56C9">
        <w:rPr>
          <w:kern w:val="28"/>
        </w:rPr>
        <w:t>The CAJ</w:t>
      </w:r>
      <w:r>
        <w:rPr>
          <w:rFonts w:hint="eastAsia"/>
          <w:kern w:val="28"/>
          <w:lang w:eastAsia="ja-JP"/>
        </w:rPr>
        <w:t>, at its seventieth session</w:t>
      </w:r>
      <w:r w:rsidR="00676B9F">
        <w:rPr>
          <w:rStyle w:val="FootnoteReference"/>
          <w:kern w:val="28"/>
          <w:lang w:eastAsia="ja-JP"/>
        </w:rPr>
        <w:footnoteReference w:id="2"/>
      </w:r>
      <w:r>
        <w:rPr>
          <w:rFonts w:hint="eastAsia"/>
          <w:kern w:val="28"/>
          <w:lang w:eastAsia="ja-JP"/>
        </w:rPr>
        <w:t>,</w:t>
      </w:r>
      <w:r>
        <w:rPr>
          <w:kern w:val="28"/>
          <w:lang w:eastAsia="ja-JP"/>
        </w:rPr>
        <w:t xml:space="preserve"> </w:t>
      </w:r>
      <w:r>
        <w:rPr>
          <w:kern w:val="28"/>
        </w:rPr>
        <w:t xml:space="preserve">received a </w:t>
      </w:r>
      <w:r w:rsidRPr="004B56C9">
        <w:t xml:space="preserve">report </w:t>
      </w:r>
      <w:r>
        <w:t xml:space="preserve">from the </w:t>
      </w:r>
      <w:r w:rsidRPr="001237F5">
        <w:t>Vice</w:t>
      </w:r>
      <w:r>
        <w:t> </w:t>
      </w:r>
      <w:r w:rsidRPr="001237F5">
        <w:t>Secretary</w:t>
      </w:r>
      <w:r w:rsidRPr="001237F5">
        <w:noBreakHyphen/>
        <w:t>General</w:t>
      </w:r>
      <w:r>
        <w:t xml:space="preserve"> </w:t>
      </w:r>
      <w:r w:rsidRPr="004B56C9">
        <w:t xml:space="preserve">on the first meeting of the </w:t>
      </w:r>
      <w:r w:rsidRPr="004B56C9">
        <w:rPr>
          <w:rFonts w:cs="Arial"/>
        </w:rPr>
        <w:t>Working Group for the Development of a UPOV Denomination Similarity Search Tool</w:t>
      </w:r>
      <w:r w:rsidRPr="004B56C9">
        <w:rPr>
          <w:rFonts w:cs="Arial"/>
          <w:snapToGrid w:val="0"/>
          <w:lang w:eastAsia="ja-JP"/>
        </w:rPr>
        <w:t xml:space="preserve"> (WG</w:t>
      </w:r>
      <w:r w:rsidR="00676B9F">
        <w:rPr>
          <w:rFonts w:cs="Arial" w:hint="eastAsia"/>
          <w:snapToGrid w:val="0"/>
          <w:lang w:eastAsia="ja-JP"/>
        </w:rPr>
        <w:noBreakHyphen/>
      </w:r>
      <w:r w:rsidRPr="004B56C9">
        <w:rPr>
          <w:rFonts w:cs="Arial"/>
          <w:snapToGrid w:val="0"/>
          <w:lang w:eastAsia="ja-JP"/>
        </w:rPr>
        <w:t>DST)</w:t>
      </w:r>
      <w:r w:rsidR="00676B9F">
        <w:rPr>
          <w:rStyle w:val="FootnoteReference"/>
          <w:rFonts w:cs="Arial"/>
          <w:snapToGrid w:val="0"/>
          <w:lang w:eastAsia="ja-JP"/>
        </w:rPr>
        <w:footnoteReference w:id="3"/>
      </w:r>
      <w:r>
        <w:t>.</w:t>
      </w:r>
      <w:r w:rsidR="00DC795D">
        <w:t xml:space="preserve">  The report of the WG-DST is provided in document UPOV/WG-DST/1/4 “Report” </w:t>
      </w:r>
      <w:r w:rsidR="00DC795D" w:rsidRPr="00843F63">
        <w:t>(see</w:t>
      </w:r>
      <w:r w:rsidR="00676B9F">
        <w:t> </w:t>
      </w:r>
      <w:hyperlink r:id="rId10" w:history="1">
        <w:r w:rsidR="00483972" w:rsidRPr="00E457F0">
          <w:rPr>
            <w:rStyle w:val="Hyperlink"/>
          </w:rPr>
          <w:t>http://www.upov.int/meetings/en/details.jsp?meeting_id=34462</w:t>
        </w:r>
      </w:hyperlink>
      <w:r w:rsidR="00DC795D" w:rsidRPr="00843F63">
        <w:t>).</w:t>
      </w:r>
      <w:r w:rsidR="00184A04" w:rsidRPr="00843F63">
        <w:t xml:space="preserve"> </w:t>
      </w:r>
      <w:r w:rsidR="00BA3BC1">
        <w:t xml:space="preserve"> </w:t>
      </w:r>
      <w:r>
        <w:t>The</w:t>
      </w:r>
      <w:r w:rsidR="00C625C5">
        <w:t> </w:t>
      </w:r>
      <w:r>
        <w:t xml:space="preserve">CAJ noted that presentations had been made on the search tools available on the PLUTO database and that the </w:t>
      </w:r>
      <w:r w:rsidRPr="00EE234C">
        <w:t xml:space="preserve">WG-DST members </w:t>
      </w:r>
      <w:r>
        <w:t xml:space="preserve">had agreed </w:t>
      </w:r>
      <w:r w:rsidRPr="00EE234C">
        <w:t>to share their search tools and procedures</w:t>
      </w:r>
      <w:r>
        <w:t xml:space="preserve"> with the WG-DST.</w:t>
      </w:r>
    </w:p>
    <w:p w:rsidR="00A2438A" w:rsidRPr="00EE234C" w:rsidRDefault="00A2438A" w:rsidP="00A2438A"/>
    <w:p w:rsidR="00A2438A" w:rsidRDefault="00A2438A" w:rsidP="00A2438A">
      <w:r>
        <w:fldChar w:fldCharType="begin"/>
      </w:r>
      <w:r>
        <w:instrText xml:space="preserve"> AUTONUM  </w:instrText>
      </w:r>
      <w:r>
        <w:fldChar w:fldCharType="end"/>
      </w:r>
      <w:r>
        <w:tab/>
        <w:t xml:space="preserve">The CAJ noted that the </w:t>
      </w:r>
      <w:r w:rsidRPr="00EE234C">
        <w:t xml:space="preserve">WG-DST </w:t>
      </w:r>
      <w:r>
        <w:t>had agreed that the f</w:t>
      </w:r>
      <w:r w:rsidRPr="00EE234C">
        <w:t xml:space="preserve">unction of </w:t>
      </w:r>
      <w:r>
        <w:t xml:space="preserve">a </w:t>
      </w:r>
      <w:r w:rsidRPr="00EE234C">
        <w:t xml:space="preserve">UPOV similarity search tool would be to identify those denominations that </w:t>
      </w:r>
      <w:r>
        <w:t xml:space="preserve">were </w:t>
      </w:r>
      <w:r w:rsidRPr="00EE234C">
        <w:t>similar to existing denominations to the extent that they would require further, individual consideration before deciding if the denomination was (sufficiently) different from existing denominations</w:t>
      </w:r>
      <w:r>
        <w:t xml:space="preserve">.  In that regard, the </w:t>
      </w:r>
      <w:r w:rsidRPr="00EE234C">
        <w:t xml:space="preserve">WG-DST </w:t>
      </w:r>
      <w:r>
        <w:t xml:space="preserve">had agreed to organize a </w:t>
      </w:r>
      <w:r w:rsidRPr="004B56C9">
        <w:t>test study to develop an effective denomination search tool</w:t>
      </w:r>
      <w:r>
        <w:t>,</w:t>
      </w:r>
      <w:r w:rsidRPr="004B56C9">
        <w:t xml:space="preserve"> </w:t>
      </w:r>
      <w:r>
        <w:t>an overview of which was presented to the CAJ.</w:t>
      </w:r>
    </w:p>
    <w:p w:rsidR="00A2438A" w:rsidRPr="004B56C9" w:rsidRDefault="00A2438A" w:rsidP="00A2438A"/>
    <w:p w:rsidR="00A2438A" w:rsidRDefault="00A2438A" w:rsidP="00A2438A">
      <w:r w:rsidRPr="004B56C9">
        <w:fldChar w:fldCharType="begin"/>
      </w:r>
      <w:r w:rsidRPr="004B56C9">
        <w:instrText xml:space="preserve"> AUTONUM  </w:instrText>
      </w:r>
      <w:r w:rsidRPr="004B56C9">
        <w:fldChar w:fldCharType="end"/>
      </w:r>
      <w:r w:rsidRPr="004B56C9">
        <w:tab/>
      </w:r>
      <w:r>
        <w:t xml:space="preserve">The CAJ agreed that the </w:t>
      </w:r>
      <w:r w:rsidRPr="00EE234C">
        <w:t>WG-DST</w:t>
      </w:r>
      <w:r>
        <w:t xml:space="preserve"> should agree</w:t>
      </w:r>
      <w:r w:rsidR="00CB47D9">
        <w:t xml:space="preserve"> on</w:t>
      </w:r>
      <w:r>
        <w:t xml:space="preserve"> the details of the test study before participants were invited to start the study.</w:t>
      </w:r>
    </w:p>
    <w:p w:rsidR="00A2438A" w:rsidRDefault="00A2438A" w:rsidP="00A2438A"/>
    <w:p w:rsidR="00A2438A" w:rsidRDefault="00A2438A" w:rsidP="00A2438A">
      <w:pPr>
        <w:rPr>
          <w:lang w:eastAsia="ja-JP"/>
        </w:rPr>
      </w:pPr>
      <w:r>
        <w:fldChar w:fldCharType="begin"/>
      </w:r>
      <w:r>
        <w:instrText xml:space="preserve"> AUTONUM  </w:instrText>
      </w:r>
      <w:r>
        <w:fldChar w:fldCharType="end"/>
      </w:r>
      <w:r>
        <w:tab/>
      </w:r>
      <w:r w:rsidRPr="004B56C9">
        <w:t>The CAJ agreed that the possibility to participate in the test study to develop an effective denomination search tool should be offered to all members of the Union</w:t>
      </w:r>
      <w:r w:rsidR="00483972">
        <w:t>.</w:t>
      </w:r>
      <w:r w:rsidR="004F73E6">
        <w:rPr>
          <w:rStyle w:val="FootnoteReference"/>
        </w:rPr>
        <w:footnoteReference w:id="4"/>
      </w:r>
    </w:p>
    <w:p w:rsidR="00A1050E" w:rsidRDefault="00A1050E" w:rsidP="00A2438A">
      <w:pPr>
        <w:rPr>
          <w:lang w:eastAsia="ja-JP"/>
        </w:rPr>
      </w:pPr>
    </w:p>
    <w:p w:rsidR="00A1050E" w:rsidRDefault="00A1050E" w:rsidP="00A1050E">
      <w:pPr>
        <w:rPr>
          <w:lang w:eastAsia="ja-JP"/>
        </w:rPr>
      </w:pPr>
      <w:r w:rsidRPr="00AF3B67">
        <w:fldChar w:fldCharType="begin"/>
      </w:r>
      <w:r w:rsidRPr="00AF3B67">
        <w:instrText xml:space="preserve"> AUTONUM  </w:instrText>
      </w:r>
      <w:r w:rsidRPr="00AF3B67">
        <w:fldChar w:fldCharType="end"/>
      </w:r>
      <w:r w:rsidRPr="00AF3B67">
        <w:tab/>
        <w:t xml:space="preserve">The members of the </w:t>
      </w:r>
      <w:r w:rsidRPr="00AF3B67">
        <w:rPr>
          <w:rFonts w:hint="eastAsia"/>
          <w:lang w:eastAsia="ja-JP"/>
        </w:rPr>
        <w:t xml:space="preserve">WG-DST </w:t>
      </w:r>
      <w:r w:rsidRPr="00AF3B67">
        <w:t>were invited to submit comments on the details of the test study</w:t>
      </w:r>
      <w:r w:rsidRPr="00AF3B67">
        <w:rPr>
          <w:rFonts w:hint="eastAsia"/>
          <w:lang w:eastAsia="ja-JP"/>
        </w:rPr>
        <w:t xml:space="preserve"> by February 27</w:t>
      </w:r>
      <w:r w:rsidR="00483972">
        <w:rPr>
          <w:lang w:eastAsia="ja-JP"/>
        </w:rPr>
        <w:t>, 2015</w:t>
      </w:r>
      <w:r>
        <w:rPr>
          <w:lang w:eastAsia="ja-JP"/>
        </w:rPr>
        <w:t xml:space="preserve"> (see paragraph </w:t>
      </w:r>
      <w:r w:rsidRPr="00676B9F">
        <w:rPr>
          <w:lang w:eastAsia="ja-JP"/>
        </w:rPr>
        <w:t>9</w:t>
      </w:r>
      <w:r>
        <w:rPr>
          <w:lang w:eastAsia="ja-JP"/>
        </w:rPr>
        <w:t xml:space="preserve"> above)</w:t>
      </w:r>
      <w:r>
        <w:rPr>
          <w:rFonts w:hint="eastAsia"/>
          <w:lang w:eastAsia="ja-JP"/>
        </w:rPr>
        <w:t>.  Subject to agreement by the members of the WG-DST, a circular to i</w:t>
      </w:r>
      <w:r>
        <w:t>nvit</w:t>
      </w:r>
      <w:r>
        <w:rPr>
          <w:rFonts w:hint="eastAsia"/>
          <w:lang w:eastAsia="ja-JP"/>
        </w:rPr>
        <w:t>e</w:t>
      </w:r>
      <w:r>
        <w:t xml:space="preserve"> all UPOV members to participate in the study will be issued on March 6, 2015</w:t>
      </w:r>
      <w:r w:rsidR="00483972">
        <w:t>,</w:t>
      </w:r>
      <w:r>
        <w:t xml:space="preserve"> with a deadline of submitting lists of similar denominations by April 27</w:t>
      </w:r>
      <w:r w:rsidR="00676B9F">
        <w:rPr>
          <w:rFonts w:hint="eastAsia"/>
          <w:lang w:eastAsia="ja-JP"/>
        </w:rPr>
        <w:t>, 2015</w:t>
      </w:r>
      <w:r>
        <w:t>.</w:t>
      </w:r>
      <w:r>
        <w:rPr>
          <w:rFonts w:hint="eastAsia"/>
          <w:lang w:eastAsia="ja-JP"/>
        </w:rPr>
        <w:t xml:space="preserve"> </w:t>
      </w:r>
      <w:r w:rsidR="00DB113F">
        <w:rPr>
          <w:lang w:eastAsia="ja-JP"/>
        </w:rPr>
        <w:t xml:space="preserve"> The second </w:t>
      </w:r>
      <w:r>
        <w:rPr>
          <w:rFonts w:hint="eastAsia"/>
          <w:lang w:eastAsia="ja-JP"/>
        </w:rPr>
        <w:t>meeting</w:t>
      </w:r>
      <w:r w:rsidR="00DB113F">
        <w:rPr>
          <w:rFonts w:hint="eastAsia"/>
          <w:lang w:eastAsia="ja-JP"/>
        </w:rPr>
        <w:t xml:space="preserve"> of the WG-DST</w:t>
      </w:r>
      <w:r>
        <w:rPr>
          <w:rFonts w:hint="eastAsia"/>
          <w:lang w:eastAsia="ja-JP"/>
        </w:rPr>
        <w:t xml:space="preserve"> is proposed to</w:t>
      </w:r>
      <w:r>
        <w:rPr>
          <w:lang w:eastAsia="ja-JP"/>
        </w:rPr>
        <w:t xml:space="preserve"> be held </w:t>
      </w:r>
      <w:r w:rsidR="00DB113F">
        <w:rPr>
          <w:rFonts w:hint="eastAsia"/>
          <w:lang w:eastAsia="ja-JP"/>
        </w:rPr>
        <w:t>o</w:t>
      </w:r>
      <w:r>
        <w:rPr>
          <w:lang w:eastAsia="ja-JP"/>
        </w:rPr>
        <w:t xml:space="preserve">n June 9, 2015, </w:t>
      </w:r>
      <w:r>
        <w:rPr>
          <w:rFonts w:hint="eastAsia"/>
          <w:lang w:eastAsia="ja-JP"/>
        </w:rPr>
        <w:t>at which</w:t>
      </w:r>
      <w:r>
        <w:rPr>
          <w:lang w:eastAsia="ja-JP"/>
        </w:rPr>
        <w:t xml:space="preserve"> a report of the study</w:t>
      </w:r>
      <w:r>
        <w:rPr>
          <w:rFonts w:hint="eastAsia"/>
          <w:lang w:eastAsia="ja-JP"/>
        </w:rPr>
        <w:t xml:space="preserve"> will be made.</w:t>
      </w:r>
      <w:r>
        <w:t xml:space="preserve"> </w:t>
      </w:r>
    </w:p>
    <w:p w:rsidR="00A2438A" w:rsidRDefault="00A2438A" w:rsidP="00A2438A"/>
    <w:p w:rsidR="00543E63" w:rsidRDefault="00DC795D" w:rsidP="00A2438A">
      <w:pPr>
        <w:rPr>
          <w:lang w:eastAsia="ja-JP"/>
        </w:rPr>
      </w:pPr>
      <w:r>
        <w:fldChar w:fldCharType="begin"/>
      </w:r>
      <w:r>
        <w:instrText xml:space="preserve"> AUTONUM  </w:instrText>
      </w:r>
      <w:r>
        <w:fldChar w:fldCharType="end"/>
      </w:r>
      <w:r>
        <w:tab/>
        <w:t xml:space="preserve">The study </w:t>
      </w:r>
      <w:r w:rsidR="0026489E">
        <w:rPr>
          <w:rFonts w:hint="eastAsia"/>
          <w:lang w:eastAsia="ja-JP"/>
        </w:rPr>
        <w:t>is planned to</w:t>
      </w:r>
      <w:r w:rsidR="00543E63">
        <w:t xml:space="preserve"> be carried out </w:t>
      </w:r>
      <w:r w:rsidR="0026489E">
        <w:rPr>
          <w:rFonts w:hint="eastAsia"/>
          <w:lang w:eastAsia="ja-JP"/>
        </w:rPr>
        <w:t>in the</w:t>
      </w:r>
      <w:r w:rsidR="00543E63">
        <w:t xml:space="preserve"> follow</w:t>
      </w:r>
      <w:r w:rsidR="00B06046">
        <w:t>ing step</w:t>
      </w:r>
      <w:r w:rsidR="00DB113F">
        <w:t>s</w:t>
      </w:r>
      <w:r w:rsidR="00DB113F">
        <w:rPr>
          <w:rFonts w:hint="eastAsia"/>
          <w:lang w:eastAsia="ja-JP"/>
        </w:rPr>
        <w:t>:</w:t>
      </w:r>
    </w:p>
    <w:p w:rsidR="00B06046" w:rsidRDefault="00B06046" w:rsidP="00A2438A"/>
    <w:p w:rsidR="00A1050E" w:rsidRDefault="00A1050E" w:rsidP="0063125F">
      <w:pPr>
        <w:ind w:left="567"/>
      </w:pPr>
      <w:r>
        <w:rPr>
          <w:rFonts w:hint="eastAsia"/>
          <w:lang w:eastAsia="ja-JP"/>
        </w:rPr>
        <w:t xml:space="preserve">Step 1: </w:t>
      </w:r>
      <w:r w:rsidR="00DC795D">
        <w:t>Select test denominations</w:t>
      </w:r>
      <w:r w:rsidR="006C4BC9">
        <w:t xml:space="preserve"> to cover </w:t>
      </w:r>
      <w:r w:rsidR="00543E63">
        <w:t xml:space="preserve">a </w:t>
      </w:r>
      <w:r w:rsidR="009136C0">
        <w:t xml:space="preserve">broad range of </w:t>
      </w:r>
      <w:r w:rsidR="00CD3684">
        <w:t>denominations</w:t>
      </w:r>
    </w:p>
    <w:p w:rsidR="000D5DA3" w:rsidRDefault="000D5DA3" w:rsidP="0063125F">
      <w:pPr>
        <w:ind w:left="567"/>
        <w:rPr>
          <w:lang w:eastAsia="ja-JP"/>
        </w:rPr>
      </w:pPr>
    </w:p>
    <w:p w:rsidR="00DC795D" w:rsidRDefault="009136C0" w:rsidP="0063125F">
      <w:pPr>
        <w:ind w:left="567"/>
      </w:pPr>
      <w:r>
        <w:t>T</w:t>
      </w:r>
      <w:r w:rsidR="00680BCD">
        <w:t xml:space="preserve">est denominations were </w:t>
      </w:r>
      <w:r>
        <w:t>proposed</w:t>
      </w:r>
      <w:r w:rsidR="00680BCD">
        <w:t xml:space="preserve"> by members of </w:t>
      </w:r>
      <w:r>
        <w:t xml:space="preserve">the </w:t>
      </w:r>
      <w:r w:rsidR="00680BCD">
        <w:t>WG-DST and 20 were selected for the study</w:t>
      </w:r>
      <w:r w:rsidR="00483972">
        <w:t>.</w:t>
      </w:r>
      <w:r w:rsidR="00DB113F">
        <w:rPr>
          <w:rStyle w:val="FootnoteReference"/>
        </w:rPr>
        <w:footnoteReference w:id="5"/>
      </w:r>
    </w:p>
    <w:p w:rsidR="00B06046" w:rsidRDefault="00B06046" w:rsidP="000828FF">
      <w:pPr>
        <w:ind w:firstLine="567"/>
      </w:pPr>
    </w:p>
    <w:p w:rsidR="00A1050E" w:rsidRDefault="00A1050E" w:rsidP="0063125F">
      <w:pPr>
        <w:ind w:left="567"/>
        <w:rPr>
          <w:lang w:eastAsia="ja-JP"/>
        </w:rPr>
      </w:pPr>
      <w:r>
        <w:rPr>
          <w:rFonts w:hint="eastAsia"/>
          <w:lang w:eastAsia="ja-JP"/>
        </w:rPr>
        <w:t>Step 2: Provide lists of similar denominations</w:t>
      </w:r>
    </w:p>
    <w:p w:rsidR="000D5DA3" w:rsidRDefault="000D5DA3" w:rsidP="0063125F">
      <w:pPr>
        <w:ind w:left="567"/>
        <w:rPr>
          <w:lang w:eastAsia="ja-JP"/>
        </w:rPr>
      </w:pPr>
    </w:p>
    <w:p w:rsidR="0063125F" w:rsidRPr="004A4EAB" w:rsidRDefault="0063125F" w:rsidP="0063125F">
      <w:pPr>
        <w:ind w:left="567"/>
      </w:pPr>
      <w:r w:rsidRPr="004A4EAB">
        <w:t xml:space="preserve">For each of the test denominations, participants will be invited to provide lists of denominations that they consider similar to the extent that further, individual consideration would be required.  </w:t>
      </w:r>
    </w:p>
    <w:p w:rsidR="00B06046" w:rsidRDefault="00B06046" w:rsidP="00680BCD">
      <w:pPr>
        <w:ind w:firstLine="567"/>
      </w:pPr>
    </w:p>
    <w:p w:rsidR="00A1050E" w:rsidRDefault="00A1050E" w:rsidP="0063125F">
      <w:pPr>
        <w:ind w:left="567"/>
        <w:rPr>
          <w:lang w:eastAsia="ja-JP"/>
        </w:rPr>
      </w:pPr>
      <w:r>
        <w:rPr>
          <w:rFonts w:hint="eastAsia"/>
          <w:lang w:eastAsia="ja-JP"/>
        </w:rPr>
        <w:t>Step 3: Development of an effective search tool</w:t>
      </w:r>
    </w:p>
    <w:p w:rsidR="000D5DA3" w:rsidRDefault="000D5DA3" w:rsidP="0063125F">
      <w:pPr>
        <w:ind w:left="567"/>
        <w:rPr>
          <w:lang w:eastAsia="ja-JP"/>
        </w:rPr>
      </w:pPr>
    </w:p>
    <w:p w:rsidR="0063125F" w:rsidRPr="004A4EAB" w:rsidRDefault="0063125F" w:rsidP="0063125F">
      <w:pPr>
        <w:ind w:left="567"/>
      </w:pPr>
      <w:r w:rsidRPr="004A4EAB">
        <w:t xml:space="preserve">A denomination search tool contains two elements: pre-processing of the denominations (e.g. treating double letters, such as “ll”, as a single letter); and an algorithm to provide rank of similarity.  </w:t>
      </w:r>
    </w:p>
    <w:p w:rsidR="0063125F" w:rsidRPr="004A4EAB" w:rsidRDefault="0063125F" w:rsidP="0063125F"/>
    <w:p w:rsidR="0063125F" w:rsidRPr="004A4EAB" w:rsidRDefault="0063125F" w:rsidP="000D5DA3">
      <w:pPr>
        <w:spacing w:after="240"/>
        <w:ind w:left="540"/>
      </w:pPr>
      <w:r w:rsidRPr="004A4EAB">
        <w:lastRenderedPageBreak/>
        <w:t>Different settings of pre-processing (e.g. treat “ll” as one or two letters) and algorithms (e.g.</w:t>
      </w:r>
      <w:r w:rsidR="00DB113F">
        <w:t> </w:t>
      </w:r>
      <w:r w:rsidRPr="004A4EAB">
        <w:t>different combinations</w:t>
      </w:r>
      <w:r>
        <w:rPr>
          <w:rFonts w:hint="eastAsia"/>
        </w:rPr>
        <w:t xml:space="preserve"> of algorithms</w:t>
      </w:r>
      <w:r w:rsidRPr="004A4EAB">
        <w:t>) will create a broad range of pre-processing/algorithm sets (PPA sets).  It is intended to find a PPA set that will provide an improved ranking of denominations compared to PPA sets in existing tools.</w:t>
      </w:r>
    </w:p>
    <w:p w:rsidR="0063125F" w:rsidRPr="004A4EAB" w:rsidRDefault="0063125F" w:rsidP="000D5DA3">
      <w:pPr>
        <w:ind w:left="540"/>
        <w:rPr>
          <w:highlight w:val="yellow"/>
        </w:rPr>
      </w:pPr>
      <w:r w:rsidRPr="004A4EAB">
        <w:t>The most effective search tool will be identified by repeated testing of different settings of pre-processing and algorithms from the PLUTO database (e.g. Similarity factor [CPVO search tool], Fuzzy, Phonetic, Contains, Starts, Ends), the Global Brand Database and possibly other sources.</w:t>
      </w:r>
    </w:p>
    <w:p w:rsidR="0063125F" w:rsidRPr="004A4EAB" w:rsidRDefault="0063125F" w:rsidP="0063125F"/>
    <w:p w:rsidR="0063125F" w:rsidRPr="004A4EAB" w:rsidRDefault="0063125F" w:rsidP="000D5DA3">
      <w:pPr>
        <w:ind w:left="540"/>
      </w:pPr>
      <w:r w:rsidRPr="0063125F">
        <w:t>The PPA sets will be eval</w:t>
      </w:r>
      <w:r w:rsidR="00DB113F">
        <w:t>uated by two aspects: precision</w:t>
      </w:r>
      <w:r w:rsidRPr="0063125F">
        <w:t xml:space="preserve"> and recall.  </w:t>
      </w:r>
      <w:r w:rsidR="00DB113F">
        <w:rPr>
          <w:lang w:eastAsia="ja-JP"/>
        </w:rPr>
        <w:t>“</w:t>
      </w:r>
      <w:r w:rsidRPr="0063125F">
        <w:t>Precision</w:t>
      </w:r>
      <w:r w:rsidR="00DB113F">
        <w:rPr>
          <w:lang w:eastAsia="ja-JP"/>
        </w:rPr>
        <w:t>”</w:t>
      </w:r>
      <w:r w:rsidRPr="0063125F">
        <w:t xml:space="preserve"> is the proportion of the correct results (i.e. those considered similar by the participants) in relation to all the returned results, and </w:t>
      </w:r>
      <w:r w:rsidR="00DB113F">
        <w:rPr>
          <w:lang w:eastAsia="ja-JP"/>
        </w:rPr>
        <w:t>“</w:t>
      </w:r>
      <w:r w:rsidRPr="0063125F">
        <w:t>recall</w:t>
      </w:r>
      <w:r w:rsidR="00DB113F">
        <w:rPr>
          <w:lang w:eastAsia="ja-JP"/>
        </w:rPr>
        <w:t>”</w:t>
      </w:r>
      <w:r w:rsidRPr="0063125F">
        <w:t xml:space="preserve"> is the proportion of the correct results it returns in relation to all the correct results (i.e. in</w:t>
      </w:r>
      <w:r w:rsidRPr="004A4EAB">
        <w:t>cluding the correct results it did not return).</w:t>
      </w:r>
    </w:p>
    <w:p w:rsidR="00DC795D" w:rsidRDefault="00DC795D" w:rsidP="0063125F">
      <w:pPr>
        <w:ind w:firstLine="567"/>
      </w:pPr>
    </w:p>
    <w:p w:rsidR="00B06046" w:rsidRDefault="00A1050E" w:rsidP="00A2438A">
      <w:r w:rsidRPr="00AF3B67">
        <w:fldChar w:fldCharType="begin"/>
      </w:r>
      <w:r w:rsidRPr="00AF3B67">
        <w:instrText xml:space="preserve"> AUTONUM  </w:instrText>
      </w:r>
      <w:r w:rsidRPr="00AF3B67">
        <w:fldChar w:fldCharType="end"/>
      </w:r>
      <w:r w:rsidRPr="00AF3B67">
        <w:tab/>
      </w:r>
      <w:r>
        <w:rPr>
          <w:rFonts w:hint="eastAsia"/>
          <w:lang w:eastAsia="ja-JP"/>
        </w:rPr>
        <w:t>T</w:t>
      </w:r>
      <w:r w:rsidR="00B06046">
        <w:t>he result</w:t>
      </w:r>
      <w:r w:rsidR="00307C75">
        <w:rPr>
          <w:rFonts w:hint="eastAsia"/>
          <w:lang w:eastAsia="ja-JP"/>
        </w:rPr>
        <w:t xml:space="preserve"> </w:t>
      </w:r>
      <w:r>
        <w:rPr>
          <w:rFonts w:hint="eastAsia"/>
          <w:lang w:eastAsia="ja-JP"/>
        </w:rPr>
        <w:t xml:space="preserve">of the test study will be reported </w:t>
      </w:r>
      <w:r w:rsidR="00307C75">
        <w:rPr>
          <w:rFonts w:hint="eastAsia"/>
          <w:lang w:eastAsia="ja-JP"/>
        </w:rPr>
        <w:t xml:space="preserve">to the second </w:t>
      </w:r>
      <w:r w:rsidR="002E25B7">
        <w:rPr>
          <w:rFonts w:hint="eastAsia"/>
          <w:lang w:eastAsia="ja-JP"/>
        </w:rPr>
        <w:t>meeting</w:t>
      </w:r>
      <w:r w:rsidR="00B45126">
        <w:rPr>
          <w:rFonts w:hint="eastAsia"/>
          <w:lang w:eastAsia="ja-JP"/>
        </w:rPr>
        <w:t xml:space="preserve"> of the WG-DST</w:t>
      </w:r>
      <w:r w:rsidR="00B06046">
        <w:t xml:space="preserve">.  The most effective search tool </w:t>
      </w:r>
      <w:r w:rsidR="00307C75">
        <w:rPr>
          <w:rFonts w:hint="eastAsia"/>
          <w:lang w:eastAsia="ja-JP"/>
        </w:rPr>
        <w:t xml:space="preserve">according to precision and recall </w:t>
      </w:r>
      <w:r w:rsidR="00B06046">
        <w:t>will be described and documented.</w:t>
      </w:r>
    </w:p>
    <w:p w:rsidR="00400F79" w:rsidRDefault="00400F79" w:rsidP="00483972">
      <w:pPr>
        <w:rPr>
          <w:snapToGrid w:val="0"/>
        </w:rPr>
      </w:pPr>
    </w:p>
    <w:p w:rsidR="00A1050E" w:rsidRDefault="00A1050E" w:rsidP="00A1050E">
      <w:pPr>
        <w:rPr>
          <w:lang w:eastAsia="ja-JP"/>
        </w:rPr>
      </w:pPr>
    </w:p>
    <w:p w:rsidR="00973461" w:rsidRPr="00A1050E" w:rsidRDefault="00973461" w:rsidP="00A1050E">
      <w:pPr>
        <w:rPr>
          <w:lang w:eastAsia="ja-JP"/>
        </w:rPr>
      </w:pPr>
    </w:p>
    <w:p w:rsidR="00A2438A" w:rsidRPr="00C920D5" w:rsidRDefault="00A2438A" w:rsidP="00B45126">
      <w:pPr>
        <w:pStyle w:val="Heading1"/>
        <w:rPr>
          <w:snapToGrid w:val="0"/>
        </w:rPr>
      </w:pPr>
      <w:bookmarkStart w:id="18" w:name="_Toc413079308"/>
      <w:r w:rsidRPr="00C920D5">
        <w:rPr>
          <w:snapToGrid w:val="0"/>
        </w:rPr>
        <w:t>revision of document UPOV/INF/12 “Explanatory Notes on Variety Denominations under the UPOV Convention”</w:t>
      </w:r>
      <w:bookmarkEnd w:id="18"/>
    </w:p>
    <w:p w:rsidR="00A2438A" w:rsidRDefault="00A2438A" w:rsidP="00A2438A">
      <w:pPr>
        <w:keepNext/>
        <w:rPr>
          <w:rFonts w:cs="Arial"/>
          <w:snapToGrid w:val="0"/>
          <w:lang w:eastAsia="ja-JP"/>
        </w:rPr>
      </w:pPr>
    </w:p>
    <w:p w:rsidR="00D81E9C" w:rsidRDefault="00D81E9C" w:rsidP="00D81E9C">
      <w:r w:rsidRPr="00265AF2">
        <w:fldChar w:fldCharType="begin"/>
      </w:r>
      <w:r w:rsidRPr="00265AF2">
        <w:instrText xml:space="preserve"> AUTONUM  </w:instrText>
      </w:r>
      <w:r w:rsidRPr="00265AF2">
        <w:fldChar w:fldCharType="end"/>
      </w:r>
      <w:r w:rsidRPr="00265AF2">
        <w:tab/>
        <w:t>The CAJ, at its sixty-ninth session</w:t>
      </w:r>
      <w:r>
        <w:rPr>
          <w:rStyle w:val="FootnoteReference"/>
        </w:rPr>
        <w:footnoteReference w:id="6"/>
      </w:r>
      <w:r>
        <w:rPr>
          <w:rFonts w:hint="eastAsia"/>
          <w:lang w:eastAsia="ja-JP"/>
        </w:rPr>
        <w:t>,</w:t>
      </w:r>
      <w:r w:rsidRPr="00265AF2">
        <w:t xml:space="preserve"> </w:t>
      </w:r>
      <w:r w:rsidRPr="00265AF2">
        <w:rPr>
          <w:spacing w:val="-2"/>
        </w:rPr>
        <w:t xml:space="preserve">approved the work program for the development of information materials for the </w:t>
      </w:r>
      <w:r w:rsidRPr="00265AF2">
        <w:t>ninth session</w:t>
      </w:r>
      <w:r w:rsidRPr="00A2438A">
        <w:rPr>
          <w:rStyle w:val="FootnoteReference"/>
        </w:rPr>
        <w:footnoteReference w:id="7"/>
      </w:r>
      <w:r w:rsidRPr="00265AF2">
        <w:t xml:space="preserve"> </w:t>
      </w:r>
      <w:r w:rsidRPr="00265AF2">
        <w:rPr>
          <w:snapToGrid w:val="0"/>
        </w:rPr>
        <w:t>of the CAJ</w:t>
      </w:r>
      <w:r w:rsidRPr="00265AF2">
        <w:rPr>
          <w:snapToGrid w:val="0"/>
        </w:rPr>
        <w:noBreakHyphen/>
        <w:t>AG</w:t>
      </w:r>
      <w:r>
        <w:rPr>
          <w:snapToGrid w:val="0"/>
        </w:rPr>
        <w:t xml:space="preserve">.  </w:t>
      </w:r>
      <w:r w:rsidR="001F730D">
        <w:rPr>
          <w:snapToGrid w:val="0"/>
        </w:rPr>
        <w:t xml:space="preserve">The work program included </w:t>
      </w:r>
      <w:r w:rsidR="001F730D" w:rsidRPr="00482F75">
        <w:rPr>
          <w:rFonts w:cs="Arial"/>
        </w:rPr>
        <w:t xml:space="preserve">the development of guidance </w:t>
      </w:r>
      <w:r w:rsidR="00B45126">
        <w:rPr>
          <w:rFonts w:cs="Arial" w:hint="eastAsia"/>
          <w:lang w:eastAsia="ja-JP"/>
        </w:rPr>
        <w:t xml:space="preserve">by the CAJ-AG </w:t>
      </w:r>
      <w:r w:rsidR="001F730D" w:rsidRPr="00482F75">
        <w:rPr>
          <w:rFonts w:cs="Arial"/>
        </w:rPr>
        <w:t>in relation to a request from a breeder to change a registered variety denomination</w:t>
      </w:r>
      <w:r w:rsidR="001F730D">
        <w:rPr>
          <w:rStyle w:val="FootnoteReference"/>
          <w:rFonts w:cs="Arial"/>
        </w:rPr>
        <w:footnoteReference w:id="8"/>
      </w:r>
      <w:r w:rsidR="00A1050E">
        <w:rPr>
          <w:rFonts w:cs="Arial" w:hint="eastAsia"/>
          <w:lang w:eastAsia="ja-JP"/>
        </w:rPr>
        <w:t>.  The key elements to be developed in the guidance were</w:t>
      </w:r>
      <w:r w:rsidR="001F730D">
        <w:rPr>
          <w:rFonts w:cs="Arial"/>
        </w:rPr>
        <w:t xml:space="preserve"> agreed by t</w:t>
      </w:r>
      <w:r w:rsidR="001F730D" w:rsidRPr="00482F75">
        <w:rPr>
          <w:rFonts w:cs="Arial"/>
        </w:rPr>
        <w:t>he CAJ-AG</w:t>
      </w:r>
      <w:r w:rsidR="001F730D">
        <w:rPr>
          <w:rFonts w:cs="Arial"/>
        </w:rPr>
        <w:t xml:space="preserve">, at </w:t>
      </w:r>
      <w:r w:rsidR="001F730D" w:rsidRPr="00482F75">
        <w:t>its eighth session</w:t>
      </w:r>
      <w:r w:rsidR="00B45126">
        <w:rPr>
          <w:rStyle w:val="FootnoteReference"/>
        </w:rPr>
        <w:footnoteReference w:id="9"/>
      </w:r>
      <w:r w:rsidR="001F730D">
        <w:t xml:space="preserve">.  </w:t>
      </w:r>
      <w:r>
        <w:rPr>
          <w:snapToGrid w:val="0"/>
        </w:rPr>
        <w:t>The CAJ</w:t>
      </w:r>
      <w:r>
        <w:rPr>
          <w:rFonts w:cs="Arial"/>
        </w:rPr>
        <w:t xml:space="preserve"> agreed that</w:t>
      </w:r>
      <w:r w:rsidRPr="00265AF2">
        <w:rPr>
          <w:rFonts w:cs="Arial"/>
        </w:rPr>
        <w:t xml:space="preserve"> a </w:t>
      </w:r>
      <w:r>
        <w:rPr>
          <w:szCs w:val="24"/>
        </w:rPr>
        <w:t>draft revision of the Explanatory N</w:t>
      </w:r>
      <w:r w:rsidRPr="00265AF2">
        <w:rPr>
          <w:szCs w:val="24"/>
        </w:rPr>
        <w:t xml:space="preserve">otes </w:t>
      </w:r>
      <w:r w:rsidRPr="00265AF2">
        <w:t>on Variety Denominations under the UPOV Convention</w:t>
      </w:r>
      <w:r>
        <w:t xml:space="preserve"> </w:t>
      </w:r>
      <w:r w:rsidRPr="00265AF2">
        <w:rPr>
          <w:szCs w:val="24"/>
        </w:rPr>
        <w:t xml:space="preserve">be provided to the CAJ-AG </w:t>
      </w:r>
      <w:r>
        <w:rPr>
          <w:szCs w:val="24"/>
        </w:rPr>
        <w:t xml:space="preserve">members </w:t>
      </w:r>
      <w:r w:rsidRPr="00265AF2">
        <w:rPr>
          <w:szCs w:val="24"/>
        </w:rPr>
        <w:t>by May 9, 2014</w:t>
      </w:r>
      <w:r>
        <w:rPr>
          <w:szCs w:val="24"/>
        </w:rPr>
        <w:t xml:space="preserve">, and also agreed to invite comments from </w:t>
      </w:r>
      <w:r w:rsidRPr="00265AF2">
        <w:rPr>
          <w:szCs w:val="24"/>
        </w:rPr>
        <w:t>CAJ members and observers</w:t>
      </w:r>
      <w:r>
        <w:rPr>
          <w:szCs w:val="24"/>
        </w:rPr>
        <w:t xml:space="preserve"> on the draft</w:t>
      </w:r>
      <w:r w:rsidRPr="00A2438A">
        <w:rPr>
          <w:rStyle w:val="FootnoteReference"/>
          <w:szCs w:val="24"/>
        </w:rPr>
        <w:footnoteReference w:id="10"/>
      </w:r>
      <w:r w:rsidRPr="00265AF2">
        <w:t>.</w:t>
      </w:r>
    </w:p>
    <w:p w:rsidR="00D81E9C" w:rsidRDefault="00D81E9C" w:rsidP="00D81E9C"/>
    <w:p w:rsidR="00D81E9C" w:rsidRPr="00265AF2" w:rsidRDefault="00D81E9C" w:rsidP="00D81E9C">
      <w:pPr>
        <w:rPr>
          <w:lang w:eastAsia="ja-JP"/>
        </w:rPr>
      </w:pPr>
      <w:r w:rsidRPr="00265AF2">
        <w:rPr>
          <w:rFonts w:cs="Arial"/>
        </w:rPr>
        <w:fldChar w:fldCharType="begin"/>
      </w:r>
      <w:r w:rsidRPr="00265AF2">
        <w:rPr>
          <w:rFonts w:cs="Arial"/>
        </w:rPr>
        <w:instrText xml:space="preserve"> AUTONUM  </w:instrText>
      </w:r>
      <w:r w:rsidRPr="00265AF2">
        <w:rPr>
          <w:rFonts w:cs="Arial"/>
        </w:rPr>
        <w:fldChar w:fldCharType="end"/>
      </w:r>
      <w:r w:rsidRPr="00265AF2">
        <w:rPr>
          <w:rFonts w:cs="Arial"/>
        </w:rPr>
        <w:tab/>
      </w:r>
      <w:r>
        <w:t xml:space="preserve">The draft was circulated as </w:t>
      </w:r>
      <w:r w:rsidRPr="00A5024F">
        <w:t>document UPOV/INF/12/5 Draft 1</w:t>
      </w:r>
      <w:r>
        <w:rPr>
          <w:rFonts w:hint="eastAsia"/>
          <w:lang w:eastAsia="ja-JP"/>
        </w:rPr>
        <w:t xml:space="preserve"> and c</w:t>
      </w:r>
      <w:r w:rsidRPr="00265AF2">
        <w:t xml:space="preserve">omments on the </w:t>
      </w:r>
      <w:r>
        <w:rPr>
          <w:rFonts w:hint="eastAsia"/>
          <w:lang w:eastAsia="ja-JP"/>
        </w:rPr>
        <w:t>document</w:t>
      </w:r>
      <w:r w:rsidRPr="00265AF2">
        <w:t xml:space="preserve"> were received from Argentina, New Zealand, </w:t>
      </w:r>
      <w:r>
        <w:t xml:space="preserve">the </w:t>
      </w:r>
      <w:r w:rsidR="00483972" w:rsidRPr="00483972">
        <w:rPr>
          <w:rFonts w:cs="Arial"/>
          <w:color w:val="000000"/>
          <w:szCs w:val="26"/>
        </w:rPr>
        <w:t>Association for Plant Breeding for the Benefit of Society (APBREBES)</w:t>
      </w:r>
      <w:r w:rsidRPr="00265AF2">
        <w:t xml:space="preserve"> and </w:t>
      </w:r>
      <w:r>
        <w:t xml:space="preserve">the </w:t>
      </w:r>
      <w:r w:rsidRPr="00265AF2">
        <w:t>European Seed Association</w:t>
      </w:r>
      <w:r w:rsidR="00483972">
        <w:t xml:space="preserve"> (ESA)</w:t>
      </w:r>
      <w:r>
        <w:rPr>
          <w:rStyle w:val="FootnoteReference"/>
        </w:rPr>
        <w:footnoteReference w:id="11"/>
      </w:r>
      <w:r w:rsidRPr="00265AF2">
        <w:rPr>
          <w:szCs w:val="24"/>
        </w:rPr>
        <w:t>.</w:t>
      </w:r>
    </w:p>
    <w:p w:rsidR="00D81E9C" w:rsidRDefault="00D81E9C" w:rsidP="00D81E9C">
      <w:pPr>
        <w:rPr>
          <w:snapToGrid w:val="0"/>
          <w:lang w:eastAsia="ja-JP"/>
        </w:rPr>
      </w:pPr>
    </w:p>
    <w:p w:rsidR="00D81E9C" w:rsidRDefault="00D81E9C" w:rsidP="00D81E9C">
      <w:pPr>
        <w:rPr>
          <w:rFonts w:cs="Arial"/>
          <w:lang w:eastAsia="ja-JP"/>
        </w:rPr>
      </w:pPr>
      <w:r w:rsidRPr="00265AF2">
        <w:rPr>
          <w:szCs w:val="24"/>
        </w:rPr>
        <w:fldChar w:fldCharType="begin"/>
      </w:r>
      <w:r w:rsidRPr="00265AF2">
        <w:rPr>
          <w:szCs w:val="24"/>
        </w:rPr>
        <w:instrText xml:space="preserve"> AUTONUM  </w:instrText>
      </w:r>
      <w:r w:rsidRPr="00265AF2">
        <w:rPr>
          <w:szCs w:val="24"/>
        </w:rPr>
        <w:fldChar w:fldCharType="end"/>
      </w:r>
      <w:r w:rsidRPr="00265AF2">
        <w:rPr>
          <w:szCs w:val="24"/>
        </w:rPr>
        <w:tab/>
        <w:t xml:space="preserve">On the basis of the comments received, a new draft of </w:t>
      </w:r>
      <w:r w:rsidRPr="00265AF2">
        <w:t>the Explanatory Notes on Variety Denominations under the UPOV Convention (document UPOV/INF/12/5 Draft 2) was posted</w:t>
      </w:r>
      <w:r>
        <w:t xml:space="preserve"> on the CAJ-AG webpage</w:t>
      </w:r>
      <w:r w:rsidRPr="00265AF2">
        <w:t xml:space="preserve"> </w:t>
      </w:r>
      <w:r w:rsidRPr="00265AF2">
        <w:rPr>
          <w:szCs w:val="24"/>
        </w:rPr>
        <w:t>on September</w:t>
      </w:r>
      <w:r>
        <w:rPr>
          <w:szCs w:val="24"/>
        </w:rPr>
        <w:t xml:space="preserve"> 10, 2014, </w:t>
      </w:r>
      <w:r>
        <w:rPr>
          <w:rFonts w:hint="eastAsia"/>
          <w:szCs w:val="24"/>
          <w:lang w:eastAsia="ja-JP"/>
        </w:rPr>
        <w:t>for</w:t>
      </w:r>
      <w:r w:rsidRPr="00265AF2">
        <w:rPr>
          <w:szCs w:val="24"/>
        </w:rPr>
        <w:t xml:space="preserve"> </w:t>
      </w:r>
      <w:r w:rsidRPr="00265AF2">
        <w:rPr>
          <w:rFonts w:cs="Arial"/>
        </w:rPr>
        <w:t>consider</w:t>
      </w:r>
      <w:r>
        <w:rPr>
          <w:rFonts w:cs="Arial" w:hint="eastAsia"/>
          <w:lang w:eastAsia="ja-JP"/>
        </w:rPr>
        <w:t>ation</w:t>
      </w:r>
      <w:r w:rsidRPr="00265AF2">
        <w:rPr>
          <w:rFonts w:cs="Arial"/>
        </w:rPr>
        <w:t xml:space="preserve"> by the CAJ-AG at its ninth session</w:t>
      </w:r>
      <w:r w:rsidR="00483972" w:rsidRPr="007D1802">
        <w:rPr>
          <w:rFonts w:cs="Arial"/>
        </w:rPr>
        <w:t>.</w:t>
      </w:r>
      <w:r w:rsidRPr="007D1802">
        <w:rPr>
          <w:rStyle w:val="FootnoteReference"/>
          <w:rFonts w:cs="Arial"/>
        </w:rPr>
        <w:footnoteReference w:id="12"/>
      </w:r>
      <w:r w:rsidRPr="007D1802">
        <w:rPr>
          <w:rFonts w:cs="Arial"/>
          <w:lang w:eastAsia="ja-JP"/>
        </w:rPr>
        <w:t xml:space="preserve">  </w:t>
      </w:r>
      <w:r w:rsidRPr="007D1802">
        <w:rPr>
          <w:rFonts w:cs="Arial" w:hint="eastAsia"/>
          <w:lang w:eastAsia="ja-JP"/>
        </w:rPr>
        <w:t>A copy of d</w:t>
      </w:r>
      <w:r w:rsidRPr="007D1802">
        <w:rPr>
          <w:rFonts w:cs="Arial"/>
        </w:rPr>
        <w:t>ocument UPOV/INF/12/5 Draft 2</w:t>
      </w:r>
      <w:r w:rsidRPr="007D1802">
        <w:rPr>
          <w:rFonts w:cs="Arial" w:hint="eastAsia"/>
          <w:lang w:eastAsia="ja-JP"/>
        </w:rPr>
        <w:t xml:space="preserve"> is provided on the CAJ/</w:t>
      </w:r>
      <w:r w:rsidRPr="007D1802">
        <w:rPr>
          <w:rFonts w:cs="Arial"/>
          <w:lang w:eastAsia="ja-JP"/>
        </w:rPr>
        <w:t>71</w:t>
      </w:r>
      <w:r w:rsidRPr="007D1802">
        <w:rPr>
          <w:rFonts w:cs="Arial" w:hint="eastAsia"/>
          <w:lang w:eastAsia="ja-JP"/>
        </w:rPr>
        <w:t xml:space="preserve"> webpage</w:t>
      </w:r>
      <w:r w:rsidR="00483972" w:rsidRPr="007D1802">
        <w:rPr>
          <w:rFonts w:cs="Arial"/>
          <w:lang w:eastAsia="ja-JP"/>
        </w:rPr>
        <w:t>.</w:t>
      </w:r>
      <w:r w:rsidRPr="007D1802">
        <w:rPr>
          <w:rStyle w:val="FootnoteReference"/>
          <w:rFonts w:cs="Arial"/>
          <w:lang w:eastAsia="ja-JP"/>
        </w:rPr>
        <w:footnoteReference w:id="13"/>
      </w:r>
    </w:p>
    <w:p w:rsidR="00D81E9C" w:rsidRDefault="00D81E9C" w:rsidP="00D81E9C">
      <w:pPr>
        <w:rPr>
          <w:rFonts w:cs="Arial"/>
          <w:lang w:eastAsia="ja-JP"/>
        </w:rPr>
      </w:pPr>
    </w:p>
    <w:p w:rsidR="006C5654" w:rsidRDefault="00D81E9C" w:rsidP="006C5654">
      <w:pPr>
        <w:rPr>
          <w:rFonts w:cs="Arial"/>
          <w:szCs w:val="26"/>
          <w:lang w:eastAsia="ja-JP"/>
        </w:rPr>
      </w:pPr>
      <w:r w:rsidRPr="00265AF2">
        <w:fldChar w:fldCharType="begin"/>
      </w:r>
      <w:r w:rsidRPr="00265AF2">
        <w:instrText xml:space="preserve"> AUTONUM  </w:instrText>
      </w:r>
      <w:r w:rsidRPr="00265AF2">
        <w:fldChar w:fldCharType="end"/>
      </w:r>
      <w:r>
        <w:tab/>
      </w:r>
      <w:r w:rsidRPr="00482F75">
        <w:rPr>
          <w:rFonts w:cs="Arial"/>
        </w:rPr>
        <w:t>The CAJ­AG</w:t>
      </w:r>
      <w:r>
        <w:rPr>
          <w:rFonts w:cs="Arial"/>
        </w:rPr>
        <w:t xml:space="preserve">, at its </w:t>
      </w:r>
      <w:r w:rsidRPr="00210134">
        <w:t>ninth session</w:t>
      </w:r>
      <w:r>
        <w:t>,</w:t>
      </w:r>
      <w:r w:rsidRPr="00482F75">
        <w:rPr>
          <w:rFonts w:cs="Arial"/>
        </w:rPr>
        <w:t xml:space="preserve"> considered document </w:t>
      </w:r>
      <w:r w:rsidRPr="00BE4A7F">
        <w:t>UPOV/INF/12/5 Draft 2</w:t>
      </w:r>
      <w:r>
        <w:t>, including contributions made</w:t>
      </w:r>
      <w:r w:rsidRPr="00482F75">
        <w:t xml:space="preserve"> by</w:t>
      </w:r>
      <w:r>
        <w:t xml:space="preserve"> APBREBES and</w:t>
      </w:r>
      <w:r w:rsidRPr="00482F75">
        <w:t xml:space="preserve"> </w:t>
      </w:r>
      <w:r>
        <w:rPr>
          <w:rFonts w:cs="Arial"/>
          <w:szCs w:val="26"/>
        </w:rPr>
        <w:t>ESA</w:t>
      </w:r>
      <w:r w:rsidR="00483972">
        <w:rPr>
          <w:rFonts w:cs="Arial"/>
          <w:szCs w:val="26"/>
        </w:rPr>
        <w:t>.</w:t>
      </w:r>
      <w:r>
        <w:rPr>
          <w:rStyle w:val="FootnoteReference"/>
          <w:rFonts w:cs="Arial"/>
          <w:szCs w:val="26"/>
        </w:rPr>
        <w:footnoteReference w:id="14"/>
      </w:r>
    </w:p>
    <w:p w:rsidR="006C5654" w:rsidRDefault="006C5654" w:rsidP="00973461">
      <w:pPr>
        <w:rPr>
          <w:rFonts w:cs="Arial"/>
          <w:szCs w:val="26"/>
          <w:lang w:eastAsia="ja-JP"/>
        </w:rPr>
      </w:pPr>
    </w:p>
    <w:p w:rsidR="00973461" w:rsidRDefault="00973461" w:rsidP="00973461">
      <w:pPr>
        <w:rPr>
          <w:rFonts w:cs="Arial"/>
          <w:szCs w:val="26"/>
          <w:lang w:eastAsia="ja-JP"/>
        </w:rPr>
      </w:pPr>
    </w:p>
    <w:p w:rsidR="002E25B7" w:rsidRPr="000D5DA3" w:rsidRDefault="00CD4E41" w:rsidP="004906C1">
      <w:pPr>
        <w:pStyle w:val="Heading2"/>
      </w:pPr>
      <w:bookmarkStart w:id="19" w:name="_Toc413079309"/>
      <w:r w:rsidRPr="000D5DA3">
        <w:t>Proposed guidance on the c</w:t>
      </w:r>
      <w:r w:rsidR="002E25B7" w:rsidRPr="000D5DA3">
        <w:t>hange of registered variety denominations</w:t>
      </w:r>
      <w:r w:rsidRPr="000D5DA3">
        <w:t xml:space="preserve"> for consideration by the CAJ at its seventy-first session</w:t>
      </w:r>
      <w:bookmarkEnd w:id="19"/>
    </w:p>
    <w:p w:rsidR="001164DE" w:rsidRDefault="001164DE" w:rsidP="002E25B7">
      <w:pPr>
        <w:rPr>
          <w:lang w:eastAsia="ja-JP"/>
        </w:rPr>
      </w:pPr>
    </w:p>
    <w:p w:rsidR="00214B92" w:rsidRPr="00822A3B" w:rsidRDefault="00E834E6" w:rsidP="00822A3B">
      <w:pPr>
        <w:autoSpaceDE w:val="0"/>
        <w:autoSpaceDN w:val="0"/>
        <w:adjustRightInd w:val="0"/>
        <w:ind w:right="9"/>
        <w:rPr>
          <w:rFonts w:cs="Arial"/>
          <w:lang w:eastAsia="ja-JP"/>
        </w:rPr>
      </w:pPr>
      <w:r>
        <w:fldChar w:fldCharType="begin"/>
      </w:r>
      <w:r>
        <w:instrText xml:space="preserve"> AUTONUM  </w:instrText>
      </w:r>
      <w:r>
        <w:fldChar w:fldCharType="end"/>
      </w:r>
      <w:r>
        <w:tab/>
      </w:r>
      <w:r w:rsidR="00214B92" w:rsidRPr="00822A3B">
        <w:rPr>
          <w:rFonts w:cs="Arial"/>
        </w:rPr>
        <w:t>The CAJ-AG</w:t>
      </w:r>
      <w:r w:rsidR="00822A3B" w:rsidRPr="00265AF2">
        <w:t xml:space="preserve">, at its </w:t>
      </w:r>
      <w:r w:rsidR="00822A3B">
        <w:rPr>
          <w:rFonts w:hint="eastAsia"/>
          <w:lang w:eastAsia="ja-JP"/>
        </w:rPr>
        <w:t>eighth</w:t>
      </w:r>
      <w:r w:rsidR="00822A3B" w:rsidRPr="00265AF2">
        <w:t xml:space="preserve"> session</w:t>
      </w:r>
      <w:r>
        <w:rPr>
          <w:rStyle w:val="FootnoteReference"/>
        </w:rPr>
        <w:footnoteReference w:id="15"/>
      </w:r>
      <w:r w:rsidR="00D306D7">
        <w:rPr>
          <w:rFonts w:hint="eastAsia"/>
          <w:lang w:eastAsia="ja-JP"/>
        </w:rPr>
        <w:t>,</w:t>
      </w:r>
      <w:r w:rsidR="00214B92" w:rsidRPr="00822A3B">
        <w:rPr>
          <w:rFonts w:cs="Arial"/>
        </w:rPr>
        <w:t xml:space="preserve"> agreed to the development of guidance in relation to a request from a breeder to change</w:t>
      </w:r>
      <w:r w:rsidR="00214B92" w:rsidRPr="00822A3B">
        <w:rPr>
          <w:rFonts w:cs="Arial" w:hint="eastAsia"/>
          <w:lang w:eastAsia="ja-JP"/>
        </w:rPr>
        <w:t xml:space="preserve"> </w:t>
      </w:r>
      <w:r w:rsidR="00214B92" w:rsidRPr="00822A3B">
        <w:rPr>
          <w:rFonts w:cs="Arial"/>
        </w:rPr>
        <w:t xml:space="preserve">a registered variety denomination in cases other than where the denomination of </w:t>
      </w:r>
      <w:r w:rsidR="00214B92" w:rsidRPr="00822A3B">
        <w:rPr>
          <w:rFonts w:cs="Arial"/>
        </w:rPr>
        <w:lastRenderedPageBreak/>
        <w:t>the variety was cancelled</w:t>
      </w:r>
      <w:r w:rsidR="00214B92" w:rsidRPr="00822A3B">
        <w:rPr>
          <w:rFonts w:cs="Arial" w:hint="eastAsia"/>
          <w:lang w:eastAsia="ja-JP"/>
        </w:rPr>
        <w:t xml:space="preserve"> </w:t>
      </w:r>
      <w:r w:rsidR="00214B92" w:rsidRPr="00822A3B">
        <w:rPr>
          <w:rFonts w:cs="Arial"/>
        </w:rPr>
        <w:t>after the grant of the right, on the basis that such a request should be refused. However, the CAJ-AG</w:t>
      </w:r>
      <w:r w:rsidR="00214B92" w:rsidRPr="00822A3B">
        <w:rPr>
          <w:rFonts w:cs="Arial" w:hint="eastAsia"/>
          <w:lang w:eastAsia="ja-JP"/>
        </w:rPr>
        <w:t xml:space="preserve"> </w:t>
      </w:r>
      <w:r w:rsidR="00214B92" w:rsidRPr="00822A3B">
        <w:rPr>
          <w:rFonts w:cs="Arial"/>
        </w:rPr>
        <w:t>agreed that changes would be appropriate in the following situations</w:t>
      </w:r>
      <w:r w:rsidR="00BA4549">
        <w:rPr>
          <w:rFonts w:cs="Arial"/>
        </w:rPr>
        <w:t>:</w:t>
      </w:r>
      <w:r w:rsidR="00822A3B">
        <w:rPr>
          <w:rStyle w:val="FootnoteReference"/>
          <w:snapToGrid w:val="0"/>
          <w:lang w:eastAsia="ja-JP"/>
        </w:rPr>
        <w:footnoteReference w:id="16"/>
      </w:r>
    </w:p>
    <w:p w:rsidR="00214B92" w:rsidRPr="00214B92" w:rsidRDefault="00214B92" w:rsidP="00214B92">
      <w:pPr>
        <w:autoSpaceDE w:val="0"/>
        <w:autoSpaceDN w:val="0"/>
        <w:adjustRightInd w:val="0"/>
        <w:ind w:left="540" w:right="549"/>
        <w:rPr>
          <w:rFonts w:cs="Arial"/>
          <w:sz w:val="18"/>
          <w:szCs w:val="18"/>
          <w:lang w:eastAsia="ja-JP"/>
        </w:rPr>
      </w:pPr>
    </w:p>
    <w:p w:rsidR="00214B92" w:rsidRPr="00214B92" w:rsidRDefault="00214B92" w:rsidP="00F62511">
      <w:pPr>
        <w:autoSpaceDE w:val="0"/>
        <w:autoSpaceDN w:val="0"/>
        <w:adjustRightInd w:val="0"/>
        <w:spacing w:after="240"/>
        <w:ind w:left="567" w:right="550" w:firstLine="567"/>
        <w:rPr>
          <w:rFonts w:cs="Arial"/>
          <w:sz w:val="18"/>
          <w:szCs w:val="18"/>
        </w:rPr>
      </w:pPr>
      <w:r w:rsidRPr="00214B92">
        <w:rPr>
          <w:rFonts w:cs="Arial"/>
          <w:sz w:val="18"/>
          <w:szCs w:val="18"/>
        </w:rPr>
        <w:t>(a)</w:t>
      </w:r>
      <w:r>
        <w:rPr>
          <w:rFonts w:cs="Arial" w:hint="eastAsia"/>
          <w:sz w:val="18"/>
          <w:szCs w:val="18"/>
          <w:lang w:eastAsia="ja-JP"/>
        </w:rPr>
        <w:tab/>
      </w:r>
      <w:r w:rsidRPr="00214B92">
        <w:rPr>
          <w:rFonts w:cs="Arial"/>
          <w:sz w:val="18"/>
          <w:szCs w:val="18"/>
        </w:rPr>
        <w:t>if it was discovered that there was a prior right concerning the denomination which would have</w:t>
      </w:r>
      <w:r>
        <w:rPr>
          <w:rFonts w:cs="Arial" w:hint="eastAsia"/>
          <w:sz w:val="18"/>
          <w:szCs w:val="18"/>
          <w:lang w:eastAsia="ja-JP"/>
        </w:rPr>
        <w:t xml:space="preserve"> </w:t>
      </w:r>
      <w:r w:rsidRPr="00214B92">
        <w:rPr>
          <w:rFonts w:cs="Arial"/>
          <w:sz w:val="18"/>
          <w:szCs w:val="18"/>
        </w:rPr>
        <w:t>resulted in the rejection of the denomination (see Article 20(4) and (7) of the 1991 Act, Article 13(4) and (7)</w:t>
      </w:r>
      <w:r>
        <w:rPr>
          <w:rFonts w:cs="Arial" w:hint="eastAsia"/>
          <w:sz w:val="18"/>
          <w:szCs w:val="18"/>
          <w:lang w:eastAsia="ja-JP"/>
        </w:rPr>
        <w:t xml:space="preserve"> </w:t>
      </w:r>
      <w:r w:rsidRPr="00214B92">
        <w:rPr>
          <w:rFonts w:cs="Arial"/>
          <w:sz w:val="18"/>
          <w:szCs w:val="18"/>
        </w:rPr>
        <w:t>of the 1978 Act and document UPOV/INF/12/4, Note 7);</w:t>
      </w:r>
    </w:p>
    <w:p w:rsidR="00214B92" w:rsidRDefault="00F62511" w:rsidP="00214B92">
      <w:pPr>
        <w:autoSpaceDE w:val="0"/>
        <w:autoSpaceDN w:val="0"/>
        <w:adjustRightInd w:val="0"/>
        <w:ind w:left="567" w:right="549" w:firstLine="567"/>
        <w:rPr>
          <w:rFonts w:cs="Arial"/>
          <w:sz w:val="18"/>
          <w:szCs w:val="18"/>
          <w:lang w:eastAsia="ja-JP"/>
        </w:rPr>
      </w:pPr>
      <w:r>
        <w:rPr>
          <w:rFonts w:cs="Arial"/>
          <w:sz w:val="18"/>
          <w:szCs w:val="18"/>
        </w:rPr>
        <w:t>(b)</w:t>
      </w:r>
      <w:r>
        <w:rPr>
          <w:rFonts w:cs="Arial"/>
          <w:sz w:val="18"/>
          <w:szCs w:val="18"/>
        </w:rPr>
        <w:tab/>
      </w:r>
      <w:r w:rsidR="00214B92" w:rsidRPr="00214B92">
        <w:rPr>
          <w:rFonts w:cs="Arial"/>
          <w:sz w:val="18"/>
          <w:szCs w:val="18"/>
        </w:rPr>
        <w:t>if the denomination was unsuitable because it was contrary to the provisions of Article 20(2) of</w:t>
      </w:r>
      <w:r w:rsidR="00214B92">
        <w:rPr>
          <w:rFonts w:cs="Arial" w:hint="eastAsia"/>
          <w:sz w:val="18"/>
          <w:szCs w:val="18"/>
          <w:lang w:eastAsia="ja-JP"/>
        </w:rPr>
        <w:t xml:space="preserve"> </w:t>
      </w:r>
      <w:r w:rsidR="00214B92" w:rsidRPr="00214B92">
        <w:rPr>
          <w:rFonts w:cs="Arial"/>
          <w:sz w:val="18"/>
          <w:szCs w:val="18"/>
        </w:rPr>
        <w:t xml:space="preserve">the 1991 Act and Article 13(2) of the 1978 Act; </w:t>
      </w:r>
      <w:r>
        <w:rPr>
          <w:rFonts w:cs="Arial"/>
          <w:sz w:val="18"/>
          <w:szCs w:val="18"/>
        </w:rPr>
        <w:t xml:space="preserve"> </w:t>
      </w:r>
      <w:r w:rsidR="00214B92" w:rsidRPr="00214B92">
        <w:rPr>
          <w:rFonts w:cs="Arial"/>
          <w:sz w:val="18"/>
          <w:szCs w:val="18"/>
        </w:rPr>
        <w:t>and</w:t>
      </w:r>
    </w:p>
    <w:p w:rsidR="00214B92" w:rsidRPr="00214B92" w:rsidRDefault="00214B92" w:rsidP="00214B92">
      <w:pPr>
        <w:autoSpaceDE w:val="0"/>
        <w:autoSpaceDN w:val="0"/>
        <w:adjustRightInd w:val="0"/>
        <w:ind w:left="567" w:right="549" w:firstLine="567"/>
        <w:rPr>
          <w:rFonts w:cs="Arial"/>
          <w:sz w:val="18"/>
          <w:szCs w:val="18"/>
          <w:lang w:eastAsia="ja-JP"/>
        </w:rPr>
      </w:pPr>
    </w:p>
    <w:p w:rsidR="00214B92" w:rsidRDefault="00214B92" w:rsidP="00214B92">
      <w:pPr>
        <w:autoSpaceDE w:val="0"/>
        <w:autoSpaceDN w:val="0"/>
        <w:adjustRightInd w:val="0"/>
        <w:ind w:left="567" w:right="549" w:firstLine="567"/>
        <w:rPr>
          <w:rFonts w:cs="Arial"/>
          <w:sz w:val="18"/>
          <w:szCs w:val="18"/>
          <w:lang w:eastAsia="ja-JP"/>
        </w:rPr>
      </w:pPr>
      <w:r w:rsidRPr="00214B92">
        <w:rPr>
          <w:rFonts w:cs="Arial"/>
          <w:sz w:val="18"/>
          <w:szCs w:val="18"/>
        </w:rPr>
        <w:t>(c)</w:t>
      </w:r>
      <w:r w:rsidR="00F62511">
        <w:rPr>
          <w:rFonts w:cs="Arial"/>
          <w:sz w:val="18"/>
          <w:szCs w:val="18"/>
        </w:rPr>
        <w:tab/>
      </w:r>
      <w:r w:rsidRPr="00214B92">
        <w:rPr>
          <w:rFonts w:cs="Arial"/>
          <w:sz w:val="18"/>
          <w:szCs w:val="18"/>
        </w:rPr>
        <w:t>if the denomination was subsequently refused in another member of the Union and, at the</w:t>
      </w:r>
      <w:r>
        <w:rPr>
          <w:rFonts w:cs="Arial" w:hint="eastAsia"/>
          <w:sz w:val="18"/>
          <w:szCs w:val="18"/>
          <w:lang w:eastAsia="ja-JP"/>
        </w:rPr>
        <w:t xml:space="preserve"> </w:t>
      </w:r>
      <w:r w:rsidRPr="00214B92">
        <w:rPr>
          <w:rFonts w:cs="Arial"/>
          <w:sz w:val="18"/>
          <w:szCs w:val="18"/>
        </w:rPr>
        <w:t>request of the breeder, the authority agreed to change the denomination to the one registered in the said</w:t>
      </w:r>
      <w:r>
        <w:rPr>
          <w:rFonts w:cs="Arial" w:hint="eastAsia"/>
          <w:sz w:val="18"/>
          <w:szCs w:val="18"/>
          <w:lang w:eastAsia="ja-JP"/>
        </w:rPr>
        <w:t xml:space="preserve"> </w:t>
      </w:r>
      <w:r w:rsidRPr="00214B92">
        <w:rPr>
          <w:rFonts w:cs="Arial"/>
          <w:sz w:val="18"/>
          <w:szCs w:val="18"/>
        </w:rPr>
        <w:t>other member of the Union.</w:t>
      </w:r>
    </w:p>
    <w:p w:rsidR="00214B92" w:rsidRPr="00214B92" w:rsidRDefault="00214B92" w:rsidP="00214B92">
      <w:pPr>
        <w:autoSpaceDE w:val="0"/>
        <w:autoSpaceDN w:val="0"/>
        <w:adjustRightInd w:val="0"/>
        <w:ind w:left="567" w:right="549" w:firstLine="567"/>
        <w:jc w:val="left"/>
        <w:rPr>
          <w:rFonts w:cs="Arial"/>
          <w:sz w:val="18"/>
          <w:szCs w:val="18"/>
          <w:lang w:eastAsia="ja-JP"/>
        </w:rPr>
      </w:pPr>
    </w:p>
    <w:p w:rsidR="001164DE" w:rsidRDefault="00822A3B" w:rsidP="00F62511">
      <w:r>
        <w:fldChar w:fldCharType="begin"/>
      </w:r>
      <w:r>
        <w:instrText xml:space="preserve"> AUTONUM  </w:instrText>
      </w:r>
      <w:r>
        <w:fldChar w:fldCharType="end"/>
      </w:r>
      <w:r>
        <w:tab/>
      </w:r>
      <w:r>
        <w:rPr>
          <w:rFonts w:hint="eastAsia"/>
          <w:lang w:eastAsia="ja-JP"/>
        </w:rPr>
        <w:t xml:space="preserve">The CAJ-AG, at its </w:t>
      </w:r>
      <w:r w:rsidR="00E834E6">
        <w:rPr>
          <w:rFonts w:hint="eastAsia"/>
          <w:lang w:eastAsia="ja-JP"/>
        </w:rPr>
        <w:t>eighth</w:t>
      </w:r>
      <w:r w:rsidR="00E834E6" w:rsidRPr="00265AF2">
        <w:t xml:space="preserve"> </w:t>
      </w:r>
      <w:r>
        <w:rPr>
          <w:rFonts w:hint="eastAsia"/>
          <w:lang w:eastAsia="ja-JP"/>
        </w:rPr>
        <w:t>session,</w:t>
      </w:r>
      <w:r w:rsidR="00214B92" w:rsidRPr="00822A3B">
        <w:t xml:space="preserve"> agreed that the additional guidance should be considered as part of a possible revision of the</w:t>
      </w:r>
      <w:r w:rsidR="00214B92" w:rsidRPr="00822A3B">
        <w:rPr>
          <w:rFonts w:hint="eastAsia"/>
          <w:lang w:eastAsia="ja-JP"/>
        </w:rPr>
        <w:t xml:space="preserve"> </w:t>
      </w:r>
      <w:r w:rsidR="00214B92" w:rsidRPr="00822A3B">
        <w:t>“Explanatory Notes on Variety Denominations under the UPOV Convention” (document UPOV/INF/12/4).</w:t>
      </w:r>
    </w:p>
    <w:p w:rsidR="00E834E6" w:rsidRDefault="00E834E6" w:rsidP="00822A3B">
      <w:pPr>
        <w:tabs>
          <w:tab w:val="left" w:pos="540"/>
        </w:tabs>
        <w:autoSpaceDE w:val="0"/>
        <w:autoSpaceDN w:val="0"/>
        <w:adjustRightInd w:val="0"/>
        <w:ind w:right="549"/>
        <w:rPr>
          <w:rFonts w:cs="Arial"/>
        </w:rPr>
      </w:pPr>
    </w:p>
    <w:p w:rsidR="00E834E6" w:rsidRPr="00822A3B" w:rsidRDefault="00E834E6" w:rsidP="00F62511">
      <w:r>
        <w:fldChar w:fldCharType="begin"/>
      </w:r>
      <w:r>
        <w:instrText xml:space="preserve"> AUTONUM  </w:instrText>
      </w:r>
      <w:r>
        <w:fldChar w:fldCharType="end"/>
      </w:r>
      <w:r>
        <w:tab/>
      </w:r>
      <w:r w:rsidR="00FD640B">
        <w:rPr>
          <w:snapToGrid w:val="0"/>
        </w:rPr>
        <w:t>The CAJ</w:t>
      </w:r>
      <w:r w:rsidR="00BA4549">
        <w:rPr>
          <w:snapToGrid w:val="0"/>
        </w:rPr>
        <w:t>,</w:t>
      </w:r>
      <w:r w:rsidR="00BA4549" w:rsidRPr="00BA4549">
        <w:t xml:space="preserve"> </w:t>
      </w:r>
      <w:r w:rsidR="00BA4549" w:rsidRPr="00265AF2">
        <w:t>at its sixty-ninth session</w:t>
      </w:r>
      <w:r w:rsidR="00BA4549">
        <w:t>,</w:t>
      </w:r>
      <w:r w:rsidR="00BA4549" w:rsidRPr="00BA4549">
        <w:rPr>
          <w:rStyle w:val="FootnoteReference"/>
        </w:rPr>
        <w:t xml:space="preserve"> </w:t>
      </w:r>
      <w:r w:rsidR="00BA4549">
        <w:rPr>
          <w:rStyle w:val="FootnoteReference"/>
        </w:rPr>
        <w:footnoteReference w:id="17"/>
      </w:r>
      <w:r w:rsidR="00BA4549">
        <w:rPr>
          <w:rFonts w:cs="Arial"/>
        </w:rPr>
        <w:t xml:space="preserve"> </w:t>
      </w:r>
      <w:r w:rsidR="00FD640B">
        <w:rPr>
          <w:rFonts w:cs="Arial"/>
        </w:rPr>
        <w:t xml:space="preserve"> agreed</w:t>
      </w:r>
      <w:r w:rsidR="00BA4549">
        <w:rPr>
          <w:rFonts w:cs="Arial"/>
        </w:rPr>
        <w:t xml:space="preserve"> </w:t>
      </w:r>
      <w:r w:rsidR="00FD640B">
        <w:rPr>
          <w:rFonts w:cs="Arial"/>
        </w:rPr>
        <w:t>that</w:t>
      </w:r>
      <w:r w:rsidR="00FD640B" w:rsidRPr="00265AF2">
        <w:rPr>
          <w:rFonts w:cs="Arial"/>
        </w:rPr>
        <w:t xml:space="preserve"> a </w:t>
      </w:r>
      <w:r w:rsidR="00FD640B">
        <w:rPr>
          <w:szCs w:val="24"/>
        </w:rPr>
        <w:t>draft revision of the Explanatory N</w:t>
      </w:r>
      <w:r w:rsidR="00FD640B" w:rsidRPr="00265AF2">
        <w:rPr>
          <w:szCs w:val="24"/>
        </w:rPr>
        <w:t xml:space="preserve">otes </w:t>
      </w:r>
      <w:r w:rsidR="00FD640B" w:rsidRPr="00265AF2">
        <w:t>on Variety Denominations under the UPOV Convention</w:t>
      </w:r>
      <w:r w:rsidR="00FD640B">
        <w:t xml:space="preserve"> </w:t>
      </w:r>
      <w:r w:rsidR="00FD640B" w:rsidRPr="00265AF2">
        <w:rPr>
          <w:szCs w:val="24"/>
        </w:rPr>
        <w:t xml:space="preserve">be </w:t>
      </w:r>
      <w:r>
        <w:t xml:space="preserve">circulated </w:t>
      </w:r>
      <w:r w:rsidR="00C372E9">
        <w:t xml:space="preserve">to the CAJ, </w:t>
      </w:r>
      <w:r>
        <w:t xml:space="preserve">as </w:t>
      </w:r>
      <w:r w:rsidRPr="00A5024F">
        <w:t>document UPOV/INF/12/5 Draft 1</w:t>
      </w:r>
      <w:r w:rsidR="00C372E9">
        <w:t xml:space="preserve">. </w:t>
      </w:r>
      <w:r w:rsidR="00D306D7">
        <w:rPr>
          <w:rFonts w:hint="eastAsia"/>
          <w:lang w:eastAsia="ja-JP"/>
        </w:rPr>
        <w:t xml:space="preserve"> </w:t>
      </w:r>
      <w:r w:rsidR="00C372E9" w:rsidRPr="00265AF2">
        <w:rPr>
          <w:szCs w:val="24"/>
        </w:rPr>
        <w:t>On the basis of the co</w:t>
      </w:r>
      <w:r w:rsidR="00C372E9">
        <w:rPr>
          <w:szCs w:val="24"/>
        </w:rPr>
        <w:t>mments received, a new draft</w:t>
      </w:r>
      <w:r w:rsidR="00D306D7">
        <w:rPr>
          <w:rFonts w:hint="eastAsia"/>
          <w:szCs w:val="24"/>
          <w:lang w:eastAsia="ja-JP"/>
        </w:rPr>
        <w:t xml:space="preserve">, </w:t>
      </w:r>
      <w:r w:rsidR="00D306D7" w:rsidRPr="00265AF2">
        <w:t>document UPOV/INF/12/5 Draft 2</w:t>
      </w:r>
      <w:r w:rsidR="00D306D7">
        <w:rPr>
          <w:rFonts w:hint="eastAsia"/>
          <w:lang w:eastAsia="ja-JP"/>
        </w:rPr>
        <w:t>,</w:t>
      </w:r>
      <w:r w:rsidR="00C372E9">
        <w:rPr>
          <w:szCs w:val="24"/>
        </w:rPr>
        <w:t xml:space="preserve"> was prepared for consideration by the </w:t>
      </w:r>
      <w:r w:rsidR="00C372E9" w:rsidRPr="00A2438A">
        <w:rPr>
          <w:rFonts w:cs="Arial"/>
        </w:rPr>
        <w:t>CAJ</w:t>
      </w:r>
      <w:r w:rsidR="00C372E9" w:rsidRPr="00A2438A">
        <w:rPr>
          <w:rFonts w:cs="Arial" w:hint="eastAsia"/>
          <w:lang w:eastAsia="ja-JP"/>
        </w:rPr>
        <w:noBreakHyphen/>
      </w:r>
      <w:r w:rsidR="00C372E9" w:rsidRPr="00A2438A">
        <w:rPr>
          <w:rFonts w:cs="Arial"/>
        </w:rPr>
        <w:t>AG</w:t>
      </w:r>
      <w:r w:rsidR="00C372E9" w:rsidRPr="00A2438A">
        <w:rPr>
          <w:rFonts w:cs="Arial" w:hint="eastAsia"/>
          <w:lang w:eastAsia="ja-JP"/>
        </w:rPr>
        <w:t xml:space="preserve"> at its ninth session</w:t>
      </w:r>
      <w:r w:rsidR="00BA4549">
        <w:rPr>
          <w:rFonts w:cs="Arial"/>
          <w:lang w:eastAsia="ja-JP"/>
        </w:rPr>
        <w:t>.</w:t>
      </w:r>
      <w:r w:rsidR="00BA4549">
        <w:rPr>
          <w:rStyle w:val="FootnoteReference"/>
          <w:rFonts w:cs="Arial"/>
          <w:lang w:eastAsia="ja-JP"/>
        </w:rPr>
        <w:footnoteReference w:id="18"/>
      </w:r>
    </w:p>
    <w:p w:rsidR="00214B92" w:rsidRDefault="00214B92" w:rsidP="002E25B7">
      <w:pPr>
        <w:rPr>
          <w:lang w:eastAsia="ja-JP"/>
        </w:rPr>
      </w:pPr>
    </w:p>
    <w:p w:rsidR="002E25B7" w:rsidRDefault="002E25B7" w:rsidP="002E25B7">
      <w:pPr>
        <w:rPr>
          <w:rFonts w:cs="Arial"/>
          <w:lang w:eastAsia="ja-JP"/>
        </w:rPr>
      </w:pPr>
      <w:r>
        <w:fldChar w:fldCharType="begin"/>
      </w:r>
      <w:r>
        <w:instrText xml:space="preserve"> AUTONUM  </w:instrText>
      </w:r>
      <w:r>
        <w:fldChar w:fldCharType="end"/>
      </w:r>
      <w:r>
        <w:tab/>
      </w:r>
      <w:r w:rsidR="001F730D">
        <w:t>T</w:t>
      </w:r>
      <w:r w:rsidRPr="00A2438A">
        <w:rPr>
          <w:rFonts w:cs="Arial"/>
        </w:rPr>
        <w:t>he following guidance was agreed by the CAJ</w:t>
      </w:r>
      <w:r w:rsidRPr="00A2438A">
        <w:rPr>
          <w:rFonts w:cs="Arial" w:hint="eastAsia"/>
          <w:lang w:eastAsia="ja-JP"/>
        </w:rPr>
        <w:noBreakHyphen/>
      </w:r>
      <w:r w:rsidRPr="00A2438A">
        <w:rPr>
          <w:rFonts w:cs="Arial"/>
        </w:rPr>
        <w:t>AG</w:t>
      </w:r>
      <w:r w:rsidRPr="00A2438A">
        <w:rPr>
          <w:rFonts w:cs="Arial" w:hint="eastAsia"/>
          <w:lang w:eastAsia="ja-JP"/>
        </w:rPr>
        <w:t xml:space="preserve"> at its ninth session</w:t>
      </w:r>
      <w:r w:rsidR="007767F4">
        <w:rPr>
          <w:rFonts w:cs="Arial" w:hint="eastAsia"/>
          <w:lang w:eastAsia="ja-JP"/>
        </w:rPr>
        <w:t xml:space="preserve">, as provided </w:t>
      </w:r>
      <w:r w:rsidR="001F730D">
        <w:rPr>
          <w:rFonts w:cs="Arial" w:hint="eastAsia"/>
          <w:lang w:eastAsia="ja-JP"/>
        </w:rPr>
        <w:t xml:space="preserve">in </w:t>
      </w:r>
      <w:r w:rsidR="001F730D" w:rsidRPr="00482F75">
        <w:rPr>
          <w:rFonts w:cs="Arial"/>
        </w:rPr>
        <w:t xml:space="preserve">document </w:t>
      </w:r>
      <w:r w:rsidR="001F730D" w:rsidRPr="00BE4A7F">
        <w:t>UPOV/INF/12/5 Draft 2</w:t>
      </w:r>
      <w:r w:rsidRPr="006E3C2E">
        <w:rPr>
          <w:rFonts w:cs="Arial"/>
        </w:rPr>
        <w:t>:</w:t>
      </w:r>
    </w:p>
    <w:p w:rsidR="002E25B7" w:rsidRDefault="002E25B7" w:rsidP="002E25B7"/>
    <w:p w:rsidR="002E25B7" w:rsidRPr="00BE1F8B" w:rsidRDefault="002E25B7" w:rsidP="002E25B7">
      <w:pPr>
        <w:ind w:left="567" w:right="567"/>
        <w:rPr>
          <w:sz w:val="18"/>
        </w:rPr>
      </w:pPr>
      <w:r w:rsidRPr="00BE1F8B">
        <w:rPr>
          <w:sz w:val="18"/>
        </w:rPr>
        <w:t>“7.2</w:t>
      </w:r>
      <w:r w:rsidRPr="00BE1F8B">
        <w:rPr>
          <w:sz w:val="18"/>
        </w:rPr>
        <w:tab/>
        <w:t>The following items provide guidance in relation to changes of registered variety denominations:</w:t>
      </w:r>
    </w:p>
    <w:p w:rsidR="002E25B7" w:rsidRPr="00BE1F8B" w:rsidRDefault="002E25B7" w:rsidP="002E25B7">
      <w:pPr>
        <w:ind w:left="567" w:right="567"/>
        <w:rPr>
          <w:sz w:val="18"/>
        </w:rPr>
      </w:pPr>
    </w:p>
    <w:p w:rsidR="002E25B7" w:rsidRPr="00BE1F8B" w:rsidRDefault="002E25B7" w:rsidP="002E25B7">
      <w:pPr>
        <w:ind w:left="567" w:right="567" w:firstLine="567"/>
        <w:rPr>
          <w:sz w:val="18"/>
        </w:rPr>
      </w:pPr>
      <w:r w:rsidRPr="00BE1F8B">
        <w:rPr>
          <w:sz w:val="18"/>
        </w:rPr>
        <w:t>(a)</w:t>
      </w:r>
      <w:r w:rsidRPr="00BE1F8B">
        <w:rPr>
          <w:sz w:val="18"/>
        </w:rPr>
        <w:tab/>
        <w:t xml:space="preserve">The UPOV Convention requires a change of the registered denomination where the denomination of the variety is cancelled after the grant of the right. The competent authority should cancel a variety denomination if: </w:t>
      </w:r>
    </w:p>
    <w:p w:rsidR="002E25B7" w:rsidRPr="00BE1F8B" w:rsidRDefault="002E25B7" w:rsidP="002E25B7">
      <w:pPr>
        <w:pStyle w:val="ListParagraph"/>
        <w:ind w:left="1287" w:right="567"/>
        <w:rPr>
          <w:sz w:val="18"/>
        </w:rPr>
      </w:pPr>
    </w:p>
    <w:p w:rsidR="002E25B7" w:rsidRPr="00BE1F8B" w:rsidRDefault="002E25B7" w:rsidP="002E25B7">
      <w:pPr>
        <w:ind w:left="567" w:right="567" w:firstLine="567"/>
        <w:rPr>
          <w:sz w:val="18"/>
        </w:rPr>
      </w:pPr>
      <w:r w:rsidRPr="00BE1F8B">
        <w:rPr>
          <w:sz w:val="18"/>
        </w:rPr>
        <w:tab/>
        <w:t>(i)</w:t>
      </w:r>
      <w:r w:rsidRPr="00BE1F8B">
        <w:rPr>
          <w:sz w:val="18"/>
        </w:rPr>
        <w:tab/>
        <w:t xml:space="preserve">by reason of a prior right, the use of the denomination of a variety is forbidden to a person who, in accordance with the provisions of paragraph (7), is obliged to use it (see paragraph  (4) “Prior rights of third persons”); </w:t>
      </w:r>
    </w:p>
    <w:p w:rsidR="002E25B7" w:rsidRPr="00BE1F8B" w:rsidRDefault="002E25B7" w:rsidP="002E25B7">
      <w:pPr>
        <w:ind w:left="567" w:right="567" w:firstLine="567"/>
        <w:rPr>
          <w:sz w:val="18"/>
        </w:rPr>
      </w:pPr>
    </w:p>
    <w:p w:rsidR="002E25B7" w:rsidRPr="00BE1F8B" w:rsidRDefault="002E25B7" w:rsidP="002E25B7">
      <w:pPr>
        <w:ind w:left="567" w:right="567" w:firstLine="567"/>
        <w:rPr>
          <w:sz w:val="18"/>
        </w:rPr>
      </w:pPr>
      <w:r w:rsidRPr="00BE1F8B">
        <w:rPr>
          <w:sz w:val="18"/>
        </w:rPr>
        <w:tab/>
        <w:t>(ii)</w:t>
      </w:r>
      <w:r w:rsidRPr="00BE1F8B">
        <w:rPr>
          <w:sz w:val="18"/>
        </w:rPr>
        <w:tab/>
        <w:t>the denomination is unsuitable because it is contrary</w:t>
      </w:r>
      <w:r>
        <w:rPr>
          <w:sz w:val="18"/>
        </w:rPr>
        <w:t xml:space="preserve"> to the provisions in paragraph </w:t>
      </w:r>
      <w:r w:rsidRPr="00BE1F8B">
        <w:rPr>
          <w:sz w:val="18"/>
        </w:rPr>
        <w:t xml:space="preserve">(2) “Characteristics of the denomination”; </w:t>
      </w:r>
    </w:p>
    <w:p w:rsidR="002E25B7" w:rsidRPr="00BE1F8B" w:rsidRDefault="002E25B7" w:rsidP="002E25B7">
      <w:pPr>
        <w:pStyle w:val="ListParagraph"/>
        <w:ind w:left="2421" w:right="567"/>
        <w:rPr>
          <w:sz w:val="18"/>
        </w:rPr>
      </w:pPr>
    </w:p>
    <w:p w:rsidR="002E25B7" w:rsidRPr="00BE1F8B" w:rsidRDefault="002E25B7" w:rsidP="002E25B7">
      <w:pPr>
        <w:ind w:left="567" w:right="567" w:firstLine="567"/>
        <w:rPr>
          <w:sz w:val="18"/>
        </w:rPr>
      </w:pPr>
      <w:r w:rsidRPr="00BE1F8B">
        <w:rPr>
          <w:sz w:val="18"/>
        </w:rPr>
        <w:t>(b)</w:t>
      </w:r>
      <w:r w:rsidRPr="00BE1F8B">
        <w:rPr>
          <w:sz w:val="18"/>
        </w:rPr>
        <w:tab/>
        <w:t xml:space="preserve">In cases where the registered denomination is subsequently refused in another member of the Union because it is </w:t>
      </w:r>
      <w:r>
        <w:rPr>
          <w:sz w:val="18"/>
        </w:rPr>
        <w:t>unsuitable in that territory (e</w:t>
      </w:r>
      <w:r>
        <w:rPr>
          <w:rFonts w:hint="eastAsia"/>
          <w:sz w:val="18"/>
          <w:lang w:eastAsia="ja-JP"/>
        </w:rPr>
        <w:t>.</w:t>
      </w:r>
      <w:r w:rsidRPr="00BE1F8B">
        <w:rPr>
          <w:sz w:val="18"/>
        </w:rPr>
        <w:t>g</w:t>
      </w:r>
      <w:r>
        <w:rPr>
          <w:rFonts w:hint="eastAsia"/>
          <w:sz w:val="18"/>
          <w:lang w:eastAsia="ja-JP"/>
        </w:rPr>
        <w:t>.</w:t>
      </w:r>
      <w:r w:rsidRPr="00BE1F8B">
        <w:rPr>
          <w:sz w:val="18"/>
        </w:rPr>
        <w:t xml:space="preserve"> prior right), at the request of the breeder, the authority may consider it appropriate to change the denomination to the denomination registered in the said other member of the Union (see provisions in paragraph (5) “Same denomination in all Contracting Parties”); and</w:t>
      </w:r>
    </w:p>
    <w:p w:rsidR="002E25B7" w:rsidRPr="00BE1F8B" w:rsidRDefault="002E25B7" w:rsidP="002E25B7">
      <w:pPr>
        <w:ind w:left="567" w:right="567"/>
        <w:rPr>
          <w:sz w:val="18"/>
        </w:rPr>
      </w:pPr>
    </w:p>
    <w:p w:rsidR="006C5654" w:rsidRDefault="002E25B7" w:rsidP="002E25B7">
      <w:pPr>
        <w:ind w:left="567" w:right="567" w:firstLine="567"/>
        <w:rPr>
          <w:sz w:val="18"/>
          <w:lang w:eastAsia="ja-JP"/>
        </w:rPr>
      </w:pPr>
      <w:r w:rsidRPr="00BE1F8B">
        <w:rPr>
          <w:sz w:val="18"/>
        </w:rPr>
        <w:t>(c)</w:t>
      </w:r>
      <w:r w:rsidRPr="00BE1F8B">
        <w:rPr>
          <w:sz w:val="18"/>
        </w:rPr>
        <w:tab/>
        <w:t>In general, subject to (a) and (b) above, it would not be appropriate for the authority to change a registered denomination following a request by the breeder.”</w:t>
      </w:r>
      <w:r w:rsidR="002F7364">
        <w:rPr>
          <w:rStyle w:val="FootnoteReference"/>
          <w:rFonts w:cs="Arial"/>
          <w:lang w:eastAsia="ja-JP"/>
        </w:rPr>
        <w:footnoteReference w:id="19"/>
      </w:r>
    </w:p>
    <w:p w:rsidR="006C5654" w:rsidRDefault="006C5654" w:rsidP="002E25B7">
      <w:pPr>
        <w:ind w:left="567" w:right="567" w:firstLine="567"/>
        <w:rPr>
          <w:sz w:val="18"/>
          <w:lang w:eastAsia="ja-JP"/>
        </w:rPr>
      </w:pPr>
    </w:p>
    <w:p w:rsidR="00740CB2" w:rsidRDefault="00740CB2" w:rsidP="00433B8A">
      <w:pPr>
        <w:rPr>
          <w:sz w:val="18"/>
          <w:lang w:eastAsia="ja-JP"/>
        </w:rPr>
      </w:pPr>
      <w:r>
        <w:fldChar w:fldCharType="begin"/>
      </w:r>
      <w:r>
        <w:instrText xml:space="preserve"> AUTONUM  </w:instrText>
      </w:r>
      <w:r>
        <w:fldChar w:fldCharType="end"/>
      </w:r>
      <w:r>
        <w:tab/>
      </w:r>
      <w:r>
        <w:rPr>
          <w:rFonts w:hint="eastAsia"/>
          <w:lang w:eastAsia="ja-JP"/>
        </w:rPr>
        <w:t>Subject to the agreement by the CAJ, at its seventy-first session</w:t>
      </w:r>
      <w:r w:rsidR="00C372E9">
        <w:rPr>
          <w:rStyle w:val="FootnoteReference"/>
          <w:lang w:eastAsia="ja-JP"/>
        </w:rPr>
        <w:footnoteReference w:id="20"/>
      </w:r>
      <w:r w:rsidR="00D306D7">
        <w:rPr>
          <w:rFonts w:hint="eastAsia"/>
          <w:lang w:eastAsia="ja-JP"/>
        </w:rPr>
        <w:t>,</w:t>
      </w:r>
      <w:r>
        <w:rPr>
          <w:rFonts w:hint="eastAsia"/>
          <w:lang w:eastAsia="ja-JP"/>
        </w:rPr>
        <w:t xml:space="preserve"> </w:t>
      </w:r>
      <w:r w:rsidR="007767F4">
        <w:rPr>
          <w:rFonts w:hint="eastAsia"/>
          <w:lang w:eastAsia="ja-JP"/>
        </w:rPr>
        <w:t>it is proposed to revise</w:t>
      </w:r>
      <w:r w:rsidR="00C35B57">
        <w:t xml:space="preserve"> document </w:t>
      </w:r>
      <w:r w:rsidRPr="007025E4">
        <w:t>UPOV/INF/</w:t>
      </w:r>
      <w:r>
        <w:t>12</w:t>
      </w:r>
      <w:r w:rsidRPr="007025E4">
        <w:t xml:space="preserve"> </w:t>
      </w:r>
      <w:r w:rsidR="007C6528">
        <w:rPr>
          <w:lang w:eastAsia="ja-JP"/>
        </w:rPr>
        <w:t>to incorporate</w:t>
      </w:r>
      <w:r w:rsidR="007767F4">
        <w:rPr>
          <w:rFonts w:hint="eastAsia"/>
          <w:lang w:eastAsia="ja-JP"/>
        </w:rPr>
        <w:t xml:space="preserve"> the</w:t>
      </w:r>
      <w:r w:rsidRPr="007025E4">
        <w:t xml:space="preserve"> </w:t>
      </w:r>
      <w:r w:rsidRPr="005300D4">
        <w:t xml:space="preserve">guidance </w:t>
      </w:r>
      <w:r w:rsidR="007C6528">
        <w:t>on</w:t>
      </w:r>
      <w:r w:rsidRPr="005300D4">
        <w:t xml:space="preserve"> changes of registered variety denominations</w:t>
      </w:r>
      <w:r w:rsidR="007767F4">
        <w:rPr>
          <w:rFonts w:hint="eastAsia"/>
          <w:lang w:eastAsia="ja-JP"/>
        </w:rPr>
        <w:t xml:space="preserve">, as set out in paragraph </w:t>
      </w:r>
      <w:r w:rsidR="00C372E9">
        <w:rPr>
          <w:lang w:eastAsia="ja-JP"/>
        </w:rPr>
        <w:t>21</w:t>
      </w:r>
      <w:r w:rsidR="007767F4">
        <w:rPr>
          <w:rFonts w:hint="eastAsia"/>
          <w:lang w:eastAsia="ja-JP"/>
        </w:rPr>
        <w:t xml:space="preserve"> above, and to present that guidance</w:t>
      </w:r>
      <w:r>
        <w:t xml:space="preserve"> </w:t>
      </w:r>
      <w:r w:rsidRPr="007025E4">
        <w:t>for adoption by the Council</w:t>
      </w:r>
      <w:r w:rsidR="00C372E9">
        <w:t xml:space="preserve">, </w:t>
      </w:r>
      <w:r w:rsidRPr="007025E4">
        <w:t>at its forty</w:t>
      </w:r>
      <w:r w:rsidR="00D306D7">
        <w:rPr>
          <w:rFonts w:hint="eastAsia"/>
          <w:lang w:eastAsia="ja-JP"/>
        </w:rPr>
        <w:noBreakHyphen/>
      </w:r>
      <w:r>
        <w:t>nin</w:t>
      </w:r>
      <w:r w:rsidRPr="007025E4">
        <w:t>th ordinary session</w:t>
      </w:r>
      <w:r w:rsidR="00C372E9">
        <w:rPr>
          <w:rStyle w:val="FootnoteReference"/>
          <w:color w:val="000000"/>
        </w:rPr>
        <w:footnoteReference w:id="21"/>
      </w:r>
      <w:r w:rsidR="007C6528">
        <w:rPr>
          <w:lang w:eastAsia="ja-JP"/>
        </w:rPr>
        <w:t>.</w:t>
      </w:r>
    </w:p>
    <w:p w:rsidR="002E25B7" w:rsidRDefault="002E25B7" w:rsidP="00973461"/>
    <w:p w:rsidR="00973461" w:rsidRDefault="00973461" w:rsidP="00973461"/>
    <w:p w:rsidR="002E25B7" w:rsidRDefault="002E25B7" w:rsidP="004906C1">
      <w:pPr>
        <w:pStyle w:val="Heading2"/>
      </w:pPr>
      <w:bookmarkStart w:id="20" w:name="_Toc413079310"/>
      <w:r>
        <w:rPr>
          <w:rFonts w:hint="eastAsia"/>
          <w:lang w:eastAsia="ja-JP"/>
        </w:rPr>
        <w:lastRenderedPageBreak/>
        <w:t>Proposals for revision of document UPOV/INF/12/4 in which the CAJ-AG made an initial consideration</w:t>
      </w:r>
      <w:bookmarkEnd w:id="20"/>
    </w:p>
    <w:p w:rsidR="002E25B7" w:rsidRDefault="002E25B7" w:rsidP="00A2438A">
      <w:pPr>
        <w:keepNext/>
        <w:rPr>
          <w:rFonts w:cs="Arial"/>
          <w:snapToGrid w:val="0"/>
          <w:lang w:eastAsia="ja-JP"/>
        </w:rPr>
      </w:pPr>
    </w:p>
    <w:p w:rsidR="007767F4" w:rsidRDefault="007767F4" w:rsidP="00433B8A">
      <w:pPr>
        <w:rPr>
          <w:snapToGrid w:val="0"/>
          <w:lang w:eastAsia="ja-JP"/>
        </w:rPr>
      </w:pPr>
      <w:r>
        <w:fldChar w:fldCharType="begin"/>
      </w:r>
      <w:r>
        <w:instrText xml:space="preserve"> AUTONUM  </w:instrText>
      </w:r>
      <w:r>
        <w:fldChar w:fldCharType="end"/>
      </w:r>
      <w:r>
        <w:tab/>
      </w:r>
      <w:r>
        <w:rPr>
          <w:rFonts w:hint="eastAsia"/>
          <w:snapToGrid w:val="0"/>
          <w:lang w:eastAsia="ja-JP"/>
        </w:rPr>
        <w:t>When document UPOV/INF/12/5 Draft 1, incorporating the key elements of the guidance in relation to changes of registered variety denomination agreed by the CAJ-AG at its eighth session, was circulated by correspondence to the CAJ, new comments and proposals were received and incorporated in document UPOV/INF/12/5 Draft 2.</w:t>
      </w:r>
    </w:p>
    <w:p w:rsidR="007767F4" w:rsidRDefault="007767F4" w:rsidP="00433B8A">
      <w:pPr>
        <w:rPr>
          <w:snapToGrid w:val="0"/>
          <w:lang w:eastAsia="ja-JP"/>
        </w:rPr>
      </w:pPr>
    </w:p>
    <w:p w:rsidR="002F7364" w:rsidRDefault="00192EC1" w:rsidP="006C5654">
      <w:pPr>
        <w:rPr>
          <w:lang w:eastAsia="ja-JP"/>
        </w:rPr>
      </w:pPr>
      <w:r w:rsidRPr="006E3C2E">
        <w:rPr>
          <w:rFonts w:cs="Arial"/>
        </w:rPr>
        <w:fldChar w:fldCharType="begin"/>
      </w:r>
      <w:r w:rsidRPr="006E3C2E">
        <w:rPr>
          <w:rFonts w:cs="Arial"/>
        </w:rPr>
        <w:instrText xml:space="preserve"> AUTONUM  </w:instrText>
      </w:r>
      <w:r w:rsidRPr="006E3C2E">
        <w:rPr>
          <w:rFonts w:cs="Arial"/>
        </w:rPr>
        <w:fldChar w:fldCharType="end"/>
      </w:r>
      <w:r w:rsidRPr="006E3C2E">
        <w:rPr>
          <w:rFonts w:cs="Arial"/>
        </w:rPr>
        <w:tab/>
      </w:r>
      <w:r>
        <w:rPr>
          <w:rFonts w:hint="eastAsia"/>
          <w:lang w:eastAsia="ja-JP"/>
        </w:rPr>
        <w:t>T</w:t>
      </w:r>
      <w:r w:rsidRPr="006E3C2E">
        <w:t>he</w:t>
      </w:r>
      <w:r w:rsidRPr="006E3C2E">
        <w:rPr>
          <w:rFonts w:cs="Arial"/>
        </w:rPr>
        <w:t xml:space="preserve"> CAJ­AG agreed</w:t>
      </w:r>
      <w:r>
        <w:rPr>
          <w:rFonts w:cs="Arial" w:hint="eastAsia"/>
          <w:lang w:eastAsia="ja-JP"/>
        </w:rPr>
        <w:t xml:space="preserve">, at its ninth session, </w:t>
      </w:r>
      <w:r w:rsidRPr="006E3C2E">
        <w:rPr>
          <w:rFonts w:cs="Arial"/>
        </w:rPr>
        <w:t xml:space="preserve">to make an initial consideration of </w:t>
      </w:r>
      <w:r w:rsidRPr="00CD518F">
        <w:rPr>
          <w:rFonts w:cs="Arial"/>
        </w:rPr>
        <w:t xml:space="preserve">proposals </w:t>
      </w:r>
      <w:r w:rsidR="00C715A5">
        <w:rPr>
          <w:rFonts w:cs="Arial" w:hint="eastAsia"/>
          <w:lang w:eastAsia="ja-JP"/>
        </w:rPr>
        <w:t xml:space="preserve">presented in </w:t>
      </w:r>
      <w:r w:rsidR="00C715A5" w:rsidRPr="00482F75">
        <w:rPr>
          <w:rFonts w:cs="Arial"/>
        </w:rPr>
        <w:t xml:space="preserve">document </w:t>
      </w:r>
      <w:r w:rsidR="00C715A5" w:rsidRPr="00BE4A7F">
        <w:t>UPOV/INF/12/5 Draft 2</w:t>
      </w:r>
      <w:r w:rsidR="00C715A5">
        <w:rPr>
          <w:rFonts w:hint="eastAsia"/>
          <w:lang w:eastAsia="ja-JP"/>
        </w:rPr>
        <w:t>.</w:t>
      </w:r>
    </w:p>
    <w:p w:rsidR="00192EC1" w:rsidRDefault="00192EC1" w:rsidP="00192EC1">
      <w:pPr>
        <w:rPr>
          <w:rFonts w:cs="Arial"/>
          <w:lang w:eastAsia="ja-JP"/>
        </w:rPr>
      </w:pPr>
    </w:p>
    <w:p w:rsidR="00192EC1" w:rsidRPr="00A0552A" w:rsidRDefault="00192EC1" w:rsidP="00192EC1">
      <w:r w:rsidRPr="006E3C2E">
        <w:fldChar w:fldCharType="begin"/>
      </w:r>
      <w:r w:rsidRPr="006E3C2E">
        <w:instrText xml:space="preserve"> AUTONUM  </w:instrText>
      </w:r>
      <w:r w:rsidRPr="006E3C2E">
        <w:fldChar w:fldCharType="end"/>
      </w:r>
      <w:r w:rsidR="00C715A5">
        <w:tab/>
      </w:r>
      <w:r w:rsidR="00C715A5">
        <w:rPr>
          <w:rFonts w:hint="eastAsia"/>
          <w:lang w:eastAsia="ja-JP"/>
        </w:rPr>
        <w:t>T</w:t>
      </w:r>
      <w:r w:rsidRPr="006E3C2E">
        <w:t xml:space="preserve">he following </w:t>
      </w:r>
      <w:r w:rsidR="00C715A5">
        <w:rPr>
          <w:rFonts w:hint="eastAsia"/>
          <w:lang w:eastAsia="ja-JP"/>
        </w:rPr>
        <w:t>comments</w:t>
      </w:r>
      <w:r w:rsidR="00A74316">
        <w:t xml:space="preserve"> </w:t>
      </w:r>
      <w:r w:rsidRPr="006E3C2E">
        <w:t xml:space="preserve">were </w:t>
      </w:r>
      <w:r w:rsidR="00C715A5">
        <w:rPr>
          <w:rFonts w:hint="eastAsia"/>
          <w:lang w:eastAsia="ja-JP"/>
        </w:rPr>
        <w:t>made</w:t>
      </w:r>
      <w:r w:rsidRPr="006E3C2E">
        <w:t xml:space="preserve"> by the CAJ-AG</w:t>
      </w:r>
      <w:r w:rsidR="00757F01">
        <w:rPr>
          <w:rFonts w:hint="eastAsia"/>
          <w:lang w:eastAsia="ja-JP"/>
        </w:rPr>
        <w:t xml:space="preserve"> on </w:t>
      </w:r>
      <w:r w:rsidR="00757F01" w:rsidRPr="00482F75">
        <w:rPr>
          <w:rFonts w:cs="Arial"/>
        </w:rPr>
        <w:t xml:space="preserve">document </w:t>
      </w:r>
      <w:r w:rsidR="00757F01" w:rsidRPr="00BE4A7F">
        <w:t>UPOV/INF/12/5 Draft 2</w:t>
      </w:r>
      <w:r>
        <w:rPr>
          <w:rStyle w:val="FootnoteReference"/>
          <w:lang w:eastAsia="ja-JP"/>
        </w:rPr>
        <w:footnoteReference w:id="22"/>
      </w:r>
      <w:r>
        <w:t xml:space="preserve">: </w:t>
      </w:r>
    </w:p>
    <w:p w:rsidR="00192EC1" w:rsidRDefault="00192EC1" w:rsidP="00192EC1">
      <w:pPr>
        <w:keepNext/>
        <w:rPr>
          <w:rFonts w:cs="Arial"/>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192EC1" w:rsidRPr="00482F75" w:rsidTr="00D51033">
        <w:trPr>
          <w:cantSplit/>
        </w:trPr>
        <w:tc>
          <w:tcPr>
            <w:tcW w:w="1391" w:type="dxa"/>
          </w:tcPr>
          <w:p w:rsidR="00192EC1" w:rsidRPr="00452713" w:rsidRDefault="00192EC1" w:rsidP="00F62511">
            <w:pPr>
              <w:rPr>
                <w:rFonts w:cs="Arial"/>
              </w:rPr>
            </w:pPr>
            <w:r w:rsidRPr="00452713">
              <w:t>2.2.2</w:t>
            </w:r>
            <w:r w:rsidR="009D5FB2">
              <w:t xml:space="preserve"> </w:t>
            </w:r>
            <w:r w:rsidRPr="00452713">
              <w:t>(b)</w:t>
            </w:r>
          </w:p>
        </w:tc>
        <w:tc>
          <w:tcPr>
            <w:tcW w:w="7789" w:type="dxa"/>
          </w:tcPr>
          <w:p w:rsidR="00192EC1" w:rsidRDefault="00192EC1" w:rsidP="00D51033">
            <w:pPr>
              <w:rPr>
                <w:snapToGrid w:val="0"/>
              </w:rPr>
            </w:pPr>
            <w:r w:rsidRPr="00452713">
              <w:rPr>
                <w:snapToGrid w:val="0"/>
              </w:rPr>
              <w:t xml:space="preserve">To clarify the terminology in </w:t>
            </w:r>
            <w:r w:rsidRPr="00452713">
              <w:t>2.2.2</w:t>
            </w:r>
            <w:r w:rsidR="009D5FB2">
              <w:t xml:space="preserve"> </w:t>
            </w:r>
            <w:r w:rsidRPr="00452713">
              <w:t>(b)</w:t>
            </w:r>
            <w:r w:rsidRPr="00452713">
              <w:rPr>
                <w:snapToGrid w:val="0"/>
              </w:rPr>
              <w:t>. In particular, to consider changing the examples or replacing “species” by “genera” or “taxa” in the following sentence:</w:t>
            </w:r>
          </w:p>
          <w:p w:rsidR="00192EC1" w:rsidRPr="00452713" w:rsidRDefault="00192EC1" w:rsidP="00D51033">
            <w:pPr>
              <w:rPr>
                <w:snapToGrid w:val="0"/>
              </w:rPr>
            </w:pPr>
          </w:p>
          <w:p w:rsidR="00192EC1" w:rsidRPr="00452713" w:rsidRDefault="00192EC1" w:rsidP="00D51033">
            <w:pPr>
              <w:rPr>
                <w:snapToGrid w:val="0"/>
              </w:rPr>
            </w:pPr>
            <w:r w:rsidRPr="00452713">
              <w:rPr>
                <w:snapToGrid w:val="0"/>
              </w:rPr>
              <w:t>“</w:t>
            </w:r>
            <w:r w:rsidRPr="00452713">
              <w:rPr>
                <w:color w:val="000000"/>
              </w:rPr>
              <w:t>(b)</w:t>
            </w:r>
            <w:r w:rsidRPr="00452713">
              <w:rPr>
                <w:color w:val="000000"/>
              </w:rPr>
              <w:tab/>
              <w:t>accepted market practices for particular variety types (e.g. hybrids) and particular species (e.g. Medicago, Helianthus).</w:t>
            </w:r>
          </w:p>
        </w:tc>
      </w:tr>
      <w:tr w:rsidR="00192EC1" w:rsidRPr="00482F75" w:rsidTr="00D51033">
        <w:trPr>
          <w:cantSplit/>
        </w:trPr>
        <w:tc>
          <w:tcPr>
            <w:tcW w:w="1391" w:type="dxa"/>
          </w:tcPr>
          <w:p w:rsidR="00192EC1" w:rsidRPr="00452713" w:rsidRDefault="00192EC1" w:rsidP="00F62511">
            <w:pPr>
              <w:rPr>
                <w:rFonts w:cs="Arial"/>
              </w:rPr>
            </w:pPr>
            <w:r w:rsidRPr="00452713">
              <w:rPr>
                <w:rFonts w:cs="Arial"/>
              </w:rPr>
              <w:t>2.2.2</w:t>
            </w:r>
            <w:r w:rsidR="009D5FB2">
              <w:rPr>
                <w:rFonts w:cs="Arial"/>
              </w:rPr>
              <w:t xml:space="preserve"> </w:t>
            </w:r>
            <w:r w:rsidRPr="00452713">
              <w:rPr>
                <w:rFonts w:cs="Arial"/>
              </w:rPr>
              <w:t>(c)</w:t>
            </w:r>
          </w:p>
        </w:tc>
        <w:tc>
          <w:tcPr>
            <w:tcW w:w="7789" w:type="dxa"/>
          </w:tcPr>
          <w:p w:rsidR="00192EC1" w:rsidRPr="00452713" w:rsidRDefault="00192EC1" w:rsidP="00D51033">
            <w:pPr>
              <w:rPr>
                <w:rFonts w:cs="Arial"/>
              </w:rPr>
            </w:pPr>
            <w:r w:rsidRPr="00452713">
              <w:rPr>
                <w:rFonts w:cs="Arial"/>
              </w:rPr>
              <w:t>To add 2.2.2</w:t>
            </w:r>
            <w:r w:rsidR="009D5FB2">
              <w:rPr>
                <w:rFonts w:cs="Arial"/>
              </w:rPr>
              <w:t xml:space="preserve"> </w:t>
            </w:r>
            <w:r w:rsidRPr="00452713">
              <w:rPr>
                <w:rFonts w:cs="Arial"/>
              </w:rPr>
              <w:t>(c) as follows:</w:t>
            </w:r>
          </w:p>
          <w:p w:rsidR="00192EC1" w:rsidRPr="00452713" w:rsidRDefault="00192EC1" w:rsidP="00D51033">
            <w:pPr>
              <w:rPr>
                <w:rFonts w:cs="Arial"/>
              </w:rPr>
            </w:pPr>
          </w:p>
          <w:p w:rsidR="00192EC1" w:rsidRPr="00452713" w:rsidRDefault="00192EC1" w:rsidP="00D51033">
            <w:pPr>
              <w:rPr>
                <w:rFonts w:cs="Arial"/>
              </w:rPr>
            </w:pPr>
            <w:r w:rsidRPr="00452713">
              <w:rPr>
                <w:rFonts w:cs="Arial"/>
              </w:rPr>
              <w:t>“(c)</w:t>
            </w:r>
            <w:r>
              <w:rPr>
                <w:rFonts w:cs="Arial"/>
              </w:rPr>
              <w:tab/>
            </w:r>
            <w:r w:rsidRPr="00452713">
              <w:rPr>
                <w:rFonts w:cs="Arial"/>
              </w:rPr>
              <w:t>‘established practice’ is determined to be when registration has been accepted for one species or group, so that it can be used in other species which have not yet registered any variety whose denomination consists solely of figures.”</w:t>
            </w:r>
          </w:p>
        </w:tc>
      </w:tr>
      <w:tr w:rsidR="00192EC1" w:rsidRPr="00482F75" w:rsidTr="00D51033">
        <w:trPr>
          <w:cantSplit/>
        </w:trPr>
        <w:tc>
          <w:tcPr>
            <w:tcW w:w="1391" w:type="dxa"/>
          </w:tcPr>
          <w:p w:rsidR="00192EC1" w:rsidRPr="00452713" w:rsidRDefault="00192EC1" w:rsidP="00F62511">
            <w:pPr>
              <w:rPr>
                <w:rFonts w:cs="Arial"/>
              </w:rPr>
            </w:pPr>
            <w:r w:rsidRPr="00452713">
              <w:t>2.3.1</w:t>
            </w:r>
            <w:r w:rsidR="009D5FB2">
              <w:t xml:space="preserve"> </w:t>
            </w:r>
            <w:r w:rsidRPr="00452713">
              <w:t>(c)</w:t>
            </w:r>
          </w:p>
        </w:tc>
        <w:tc>
          <w:tcPr>
            <w:tcW w:w="7789" w:type="dxa"/>
          </w:tcPr>
          <w:p w:rsidR="00192EC1" w:rsidRPr="00452713" w:rsidRDefault="00192EC1" w:rsidP="00D51033">
            <w:r w:rsidRPr="00452713">
              <w:t>To develop further guidance on 2.3.1</w:t>
            </w:r>
            <w:r w:rsidR="009D5FB2">
              <w:t xml:space="preserve"> </w:t>
            </w:r>
            <w:r w:rsidRPr="00452713">
              <w:t>(c) and to provide</w:t>
            </w:r>
            <w:r>
              <w:t xml:space="preserve"> other, more</w:t>
            </w:r>
            <w:r w:rsidRPr="00452713">
              <w:t xml:space="preserve"> appropriate examples</w:t>
            </w:r>
          </w:p>
          <w:p w:rsidR="00192EC1" w:rsidRPr="00452713" w:rsidRDefault="00192EC1" w:rsidP="00D51033">
            <w:pPr>
              <w:keepNext/>
            </w:pPr>
          </w:p>
          <w:p w:rsidR="00192EC1" w:rsidRPr="00452713" w:rsidRDefault="00192EC1" w:rsidP="00D51033">
            <w:pPr>
              <w:keepNext/>
            </w:pPr>
            <w:r w:rsidRPr="00452713">
              <w:t>“(c)</w:t>
            </w:r>
            <w:r w:rsidRPr="00452713">
              <w:tab/>
              <w:t>convey the impression that the variety is derived from, or related to, another variety when that is not, in fact, the case;</w:t>
            </w:r>
          </w:p>
          <w:p w:rsidR="00192EC1" w:rsidRPr="00452713" w:rsidRDefault="00192EC1" w:rsidP="00D51033">
            <w:pPr>
              <w:keepNext/>
            </w:pPr>
          </w:p>
          <w:p w:rsidR="00192EC1" w:rsidRPr="00452713" w:rsidRDefault="00192EC1" w:rsidP="00D51033">
            <w:pPr>
              <w:rPr>
                <w:rFonts w:cs="Arial"/>
              </w:rPr>
            </w:pPr>
            <w:r w:rsidRPr="00452713">
              <w:rPr>
                <w:i/>
              </w:rPr>
              <w:t>Example:</w:t>
            </w:r>
            <w:r w:rsidRPr="00452713">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tc>
      </w:tr>
      <w:tr w:rsidR="00192EC1" w:rsidRPr="00482F75" w:rsidTr="00D51033">
        <w:trPr>
          <w:cantSplit/>
        </w:trPr>
        <w:tc>
          <w:tcPr>
            <w:tcW w:w="1391" w:type="dxa"/>
          </w:tcPr>
          <w:p w:rsidR="00192EC1" w:rsidRPr="00452713" w:rsidRDefault="00192EC1" w:rsidP="00F62511">
            <w:r w:rsidRPr="00452713">
              <w:t>2.3.1</w:t>
            </w:r>
            <w:r w:rsidR="009D5FB2">
              <w:t xml:space="preserve"> </w:t>
            </w:r>
            <w:r w:rsidRPr="00452713">
              <w:t>(d)</w:t>
            </w:r>
          </w:p>
        </w:tc>
        <w:tc>
          <w:tcPr>
            <w:tcW w:w="7789" w:type="dxa"/>
          </w:tcPr>
          <w:p w:rsidR="00192EC1" w:rsidRDefault="00192EC1" w:rsidP="00D51033">
            <w:r w:rsidRPr="00452713">
              <w:t>To add 2.3.1</w:t>
            </w:r>
            <w:r w:rsidR="009D5FB2">
              <w:t xml:space="preserve"> </w:t>
            </w:r>
            <w:r w:rsidRPr="00452713">
              <w:t>(d) as follows:</w:t>
            </w:r>
          </w:p>
          <w:p w:rsidR="00192EC1" w:rsidRPr="00452713" w:rsidRDefault="00192EC1" w:rsidP="00D51033"/>
          <w:p w:rsidR="00192EC1" w:rsidRPr="00452713" w:rsidRDefault="00192EC1" w:rsidP="00D51033">
            <w:r w:rsidRPr="00452713">
              <w:t xml:space="preserve">“(d) </w:t>
            </w:r>
            <w:r w:rsidRPr="00452713">
              <w:tab/>
              <w:t xml:space="preserve">contain the </w:t>
            </w:r>
            <w:r>
              <w:t>botanical</w:t>
            </w:r>
            <w:r w:rsidRPr="00452713">
              <w:t xml:space="preserve"> or common name of the genus to which that variety belongs. The identity of the denomination and that of the genus to which it belongs could become unclear and confusing.”</w:t>
            </w:r>
          </w:p>
          <w:p w:rsidR="00192EC1" w:rsidRPr="00452713" w:rsidRDefault="00192EC1" w:rsidP="00D51033">
            <w:pPr>
              <w:rPr>
                <w:highlight w:val="lightGray"/>
              </w:rPr>
            </w:pPr>
          </w:p>
          <w:p w:rsidR="00192EC1" w:rsidRPr="00452713" w:rsidRDefault="00192EC1" w:rsidP="00D51033">
            <w:r w:rsidRPr="00452713">
              <w:t>To clarify the following example:</w:t>
            </w:r>
          </w:p>
          <w:p w:rsidR="00192EC1" w:rsidRPr="00452713" w:rsidRDefault="00192EC1" w:rsidP="00D51033"/>
          <w:p w:rsidR="00192EC1" w:rsidRPr="00452713" w:rsidRDefault="00192EC1" w:rsidP="00D51033">
            <w:pPr>
              <w:ind w:left="567"/>
            </w:pPr>
            <w:r w:rsidRPr="00452713">
              <w:rPr>
                <w:i/>
              </w:rPr>
              <w:t>Example</w:t>
            </w:r>
            <w:r w:rsidRPr="00452713">
              <w:t xml:space="preserve">:  </w:t>
            </w:r>
            <w:r w:rsidRPr="00452713">
              <w:rPr>
                <w:i/>
              </w:rPr>
              <w:t xml:space="preserve">Carex </w:t>
            </w:r>
            <w:r w:rsidRPr="00452713">
              <w:t xml:space="preserve">variety ‘Sedge’. This could possibly be referred to as ‘Sedge’ </w:t>
            </w:r>
            <w:r w:rsidRPr="00452713">
              <w:rPr>
                <w:i/>
              </w:rPr>
              <w:t xml:space="preserve">Carex </w:t>
            </w:r>
            <w:r w:rsidRPr="00452713">
              <w:t>and without the use of italics or single quotes the identity of the denomination and the genus may not be clear.</w:t>
            </w:r>
          </w:p>
          <w:p w:rsidR="00192EC1" w:rsidRPr="00452713" w:rsidRDefault="00192EC1" w:rsidP="00D51033"/>
          <w:p w:rsidR="00192EC1" w:rsidRPr="00452713" w:rsidRDefault="00192EC1" w:rsidP="00D51033">
            <w:r w:rsidRPr="00452713">
              <w:t xml:space="preserve">To develop guidance on possible confusion of the use of the </w:t>
            </w:r>
            <w:r>
              <w:t>botanical</w:t>
            </w:r>
            <w:r w:rsidRPr="00452713">
              <w:t xml:space="preserve"> or common name of </w:t>
            </w:r>
            <w:r>
              <w:t xml:space="preserve">a </w:t>
            </w:r>
            <w:r w:rsidRPr="00452713">
              <w:t xml:space="preserve">genus to which that variety does </w:t>
            </w:r>
            <w:r w:rsidRPr="00C841DF">
              <w:rPr>
                <w:u w:val="single"/>
              </w:rPr>
              <w:t>not</w:t>
            </w:r>
            <w:r w:rsidRPr="00452713">
              <w:t xml:space="preserve"> belong – case by case</w:t>
            </w:r>
          </w:p>
        </w:tc>
      </w:tr>
      <w:tr w:rsidR="00192EC1" w:rsidRPr="00482F75" w:rsidTr="00D51033">
        <w:trPr>
          <w:cantSplit/>
        </w:trPr>
        <w:tc>
          <w:tcPr>
            <w:tcW w:w="1391" w:type="dxa"/>
          </w:tcPr>
          <w:p w:rsidR="00192EC1" w:rsidRPr="00452713" w:rsidRDefault="00192EC1" w:rsidP="00F62511">
            <w:r w:rsidRPr="00452713">
              <w:t>2.3.3</w:t>
            </w:r>
          </w:p>
        </w:tc>
        <w:tc>
          <w:tcPr>
            <w:tcW w:w="7789" w:type="dxa"/>
          </w:tcPr>
          <w:p w:rsidR="00192EC1" w:rsidRPr="00452713" w:rsidRDefault="00192EC1" w:rsidP="00D51033">
            <w:pPr>
              <w:rPr>
                <w:snapToGrid w:val="0"/>
              </w:rPr>
            </w:pPr>
            <w:r w:rsidRPr="00452713">
              <w:rPr>
                <w:snapToGrid w:val="0"/>
              </w:rPr>
              <w:t xml:space="preserve">To consider proposals in 2.3.3 of document </w:t>
            </w:r>
            <w:r w:rsidRPr="00452713">
              <w:t>UPOV/INF/12/5 Draft 2 as an initial step to develop further guidance and appropriate examples in conjunction with the development of an effective UPOV similarity search tool</w:t>
            </w:r>
          </w:p>
        </w:tc>
      </w:tr>
      <w:tr w:rsidR="00192EC1" w:rsidRPr="00482F75" w:rsidTr="00D51033">
        <w:trPr>
          <w:cantSplit/>
        </w:trPr>
        <w:tc>
          <w:tcPr>
            <w:tcW w:w="1391" w:type="dxa"/>
          </w:tcPr>
          <w:p w:rsidR="00192EC1" w:rsidRPr="00452713" w:rsidRDefault="00192EC1" w:rsidP="00D51033">
            <w:r w:rsidRPr="00452713">
              <w:lastRenderedPageBreak/>
              <w:t>4(a)</w:t>
            </w:r>
          </w:p>
        </w:tc>
        <w:tc>
          <w:tcPr>
            <w:tcW w:w="7789" w:type="dxa"/>
          </w:tcPr>
          <w:p w:rsidR="00192EC1" w:rsidRPr="00452713" w:rsidRDefault="00192EC1" w:rsidP="00D51033">
            <w:pPr>
              <w:rPr>
                <w:snapToGrid w:val="0"/>
              </w:rPr>
            </w:pPr>
            <w:r w:rsidRPr="00452713">
              <w:rPr>
                <w:snapToGrid w:val="0"/>
              </w:rPr>
              <w:t>To modify 4(a) as follows:</w:t>
            </w:r>
          </w:p>
          <w:p w:rsidR="00192EC1" w:rsidRPr="00452713" w:rsidRDefault="00192EC1" w:rsidP="00D51033">
            <w:pPr>
              <w:rPr>
                <w:snapToGrid w:val="0"/>
              </w:rPr>
            </w:pPr>
          </w:p>
          <w:p w:rsidR="00192EC1" w:rsidRPr="00452713" w:rsidRDefault="00192EC1" w:rsidP="00D51033">
            <w:pPr>
              <w:ind w:firstLine="567"/>
            </w:pPr>
            <w:r w:rsidRPr="00452713">
              <w:t>“(a)</w:t>
            </w:r>
            <w:r w:rsidRPr="00452713">
              <w:tab/>
              <w:t xml:space="preserve">An authority should not accept a variety denomination if </w:t>
            </w:r>
            <w:r w:rsidRPr="00452713">
              <w:rPr>
                <w:strike/>
              </w:rPr>
              <w:t>a</w:t>
            </w:r>
            <w:r w:rsidRPr="00452713">
              <w:t xml:space="preserve"> </w:t>
            </w:r>
            <w:r w:rsidRPr="00452713">
              <w:rPr>
                <w:u w:val="single"/>
              </w:rPr>
              <w:t>there is an existing</w:t>
            </w:r>
            <w:r w:rsidRPr="00452713">
              <w:t xml:space="preserve"> prior right, the exercise of which may prevent the use of the proposed denomination</w:t>
            </w:r>
            <w:r w:rsidRPr="00452713">
              <w:rPr>
                <w:strike/>
              </w:rPr>
              <w:t>, has already been granted to a third party</w:t>
            </w:r>
            <w:r w:rsidRPr="00452713">
              <w:t xml:space="preserve"> </w:t>
            </w:r>
            <w:r w:rsidRPr="00452713">
              <w:rPr>
                <w:strike/>
              </w:rPr>
              <w:t>under plant breeder’s right law, trademark law or any other intellectual property legislation.</w:t>
            </w:r>
            <w:r w:rsidRPr="00452713">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1" w:history="1">
              <w:r w:rsidRPr="00452713">
                <w:rPr>
                  <w:rStyle w:val="Hyperlink"/>
                </w:rPr>
                <w:t>http://www.upov.int/pluto/en/</w:t>
              </w:r>
            </w:hyperlink>
            <w:r w:rsidRPr="00452713">
              <w:t>) to identify prior rights for variety denominations.  They may also make searches in other registers, such as trademark registers, before accepting a variety denomination.”</w:t>
            </w:r>
          </w:p>
        </w:tc>
      </w:tr>
      <w:tr w:rsidR="00192EC1" w:rsidRPr="00482F75" w:rsidTr="00D51033">
        <w:trPr>
          <w:cantSplit/>
        </w:trPr>
        <w:tc>
          <w:tcPr>
            <w:tcW w:w="1391" w:type="dxa"/>
          </w:tcPr>
          <w:p w:rsidR="00192EC1" w:rsidRPr="00452713" w:rsidRDefault="00192EC1" w:rsidP="00D51033">
            <w:r w:rsidRPr="00452713">
              <w:t>4(e)(i)</w:t>
            </w:r>
          </w:p>
        </w:tc>
        <w:tc>
          <w:tcPr>
            <w:tcW w:w="7789" w:type="dxa"/>
          </w:tcPr>
          <w:p w:rsidR="00192EC1" w:rsidRDefault="00192EC1" w:rsidP="00D51033">
            <w:pPr>
              <w:rPr>
                <w:snapToGrid w:val="0"/>
              </w:rPr>
            </w:pPr>
            <w:r w:rsidRPr="00452713">
              <w:rPr>
                <w:snapToGrid w:val="0"/>
              </w:rPr>
              <w:t xml:space="preserve">To modify last sentence of </w:t>
            </w:r>
            <w:r w:rsidRPr="00452713">
              <w:t xml:space="preserve">4(e)(i) </w:t>
            </w:r>
            <w:r w:rsidRPr="00452713">
              <w:rPr>
                <w:snapToGrid w:val="0"/>
              </w:rPr>
              <w:t>as follows:</w:t>
            </w:r>
          </w:p>
          <w:p w:rsidR="00192EC1" w:rsidRPr="00452713" w:rsidRDefault="00192EC1" w:rsidP="00D51033">
            <w:pPr>
              <w:rPr>
                <w:snapToGrid w:val="0"/>
              </w:rPr>
            </w:pPr>
          </w:p>
          <w:p w:rsidR="00192EC1" w:rsidRPr="00973461" w:rsidRDefault="00192EC1" w:rsidP="00D51033">
            <w:pPr>
              <w:tabs>
                <w:tab w:val="right" w:pos="1134"/>
                <w:tab w:val="left" w:pos="1418"/>
              </w:tabs>
              <w:rPr>
                <w:spacing w:val="-2"/>
              </w:rPr>
            </w:pPr>
            <w:r w:rsidRPr="00973461">
              <w:rPr>
                <w:spacing w:val="-2"/>
              </w:rPr>
              <w:t xml:space="preserve">“In cases of mere similarity or small likelihood of </w:t>
            </w:r>
            <w:r w:rsidRPr="00973461">
              <w:rPr>
                <w:strike/>
                <w:spacing w:val="-2"/>
              </w:rPr>
              <w:t>association</w:t>
            </w:r>
            <w:r w:rsidRPr="00973461">
              <w:rPr>
                <w:spacing w:val="-2"/>
              </w:rPr>
              <w:t xml:space="preserve"> </w:t>
            </w:r>
            <w:r w:rsidRPr="00973461">
              <w:rPr>
                <w:spacing w:val="-2"/>
                <w:u w:val="single"/>
              </w:rPr>
              <w:t>confusion</w:t>
            </w:r>
            <w:r w:rsidRPr="00973461">
              <w:rPr>
                <w:spacing w:val="-2"/>
              </w:rPr>
              <w:t xml:space="preserve"> by users, waivers granted to breeders by prior trademark right holders could be a suitable solution.”</w:t>
            </w:r>
          </w:p>
        </w:tc>
      </w:tr>
    </w:tbl>
    <w:p w:rsidR="000D5DA3" w:rsidRDefault="000D5DA3" w:rsidP="00973461"/>
    <w:p w:rsidR="00973461" w:rsidRDefault="00973461" w:rsidP="00973461"/>
    <w:p w:rsidR="00CD4E41" w:rsidRPr="007C6528" w:rsidRDefault="00CD4E41" w:rsidP="004906C1">
      <w:pPr>
        <w:pStyle w:val="Heading2"/>
      </w:pPr>
      <w:bookmarkStart w:id="21" w:name="_Toc413079311"/>
      <w:r w:rsidRPr="007C6528">
        <w:t xml:space="preserve">Proposed approach </w:t>
      </w:r>
      <w:r w:rsidR="00155977" w:rsidRPr="007C6528">
        <w:t xml:space="preserve">concerning the work of </w:t>
      </w:r>
      <w:r w:rsidR="00155977" w:rsidRPr="007C6528">
        <w:rPr>
          <w:rFonts w:cs="Arial" w:hint="eastAsia"/>
          <w:lang w:eastAsia="ja-JP"/>
        </w:rPr>
        <w:t>the WG-DST</w:t>
      </w:r>
      <w:bookmarkEnd w:id="21"/>
    </w:p>
    <w:p w:rsidR="00CD4E41" w:rsidRDefault="00CD4E41" w:rsidP="00CD518F">
      <w:pPr>
        <w:keepNext/>
        <w:rPr>
          <w:rFonts w:cs="Arial"/>
          <w:lang w:eastAsia="ja-JP"/>
        </w:rPr>
      </w:pPr>
    </w:p>
    <w:p w:rsidR="000D5DA3" w:rsidRPr="004906C1" w:rsidRDefault="00CD518F" w:rsidP="00433B8A">
      <w:pPr>
        <w:rPr>
          <w:rFonts w:cs="Arial"/>
          <w:lang w:eastAsia="ja-JP"/>
        </w:rPr>
      </w:pPr>
      <w:r w:rsidRPr="004906C1">
        <w:rPr>
          <w:rFonts w:cs="Arial"/>
        </w:rPr>
        <w:fldChar w:fldCharType="begin"/>
      </w:r>
      <w:r w:rsidRPr="004906C1">
        <w:rPr>
          <w:rFonts w:cs="Arial"/>
        </w:rPr>
        <w:instrText xml:space="preserve"> AUTONUM  </w:instrText>
      </w:r>
      <w:r w:rsidRPr="004906C1">
        <w:rPr>
          <w:rFonts w:cs="Arial"/>
        </w:rPr>
        <w:fldChar w:fldCharType="end"/>
      </w:r>
      <w:r w:rsidRPr="004906C1">
        <w:rPr>
          <w:rFonts w:cs="Arial"/>
        </w:rPr>
        <w:tab/>
      </w:r>
      <w:r w:rsidR="006454C2" w:rsidRPr="004906C1">
        <w:rPr>
          <w:rFonts w:cs="Arial"/>
        </w:rPr>
        <w:t xml:space="preserve">The </w:t>
      </w:r>
      <w:r w:rsidR="008E3B88" w:rsidRPr="004906C1">
        <w:rPr>
          <w:rFonts w:cs="Arial"/>
        </w:rPr>
        <w:t>CAJ-AG</w:t>
      </w:r>
      <w:r w:rsidR="007767F4" w:rsidRPr="004906C1">
        <w:rPr>
          <w:rFonts w:cs="Arial" w:hint="eastAsia"/>
          <w:lang w:eastAsia="ja-JP"/>
        </w:rPr>
        <w:t xml:space="preserve">, at its ninth session, suggested </w:t>
      </w:r>
      <w:r w:rsidR="007767F4" w:rsidRPr="004906C1">
        <w:rPr>
          <w:rFonts w:cs="Arial"/>
          <w:lang w:eastAsia="ja-JP"/>
        </w:rPr>
        <w:t>“</w:t>
      </w:r>
      <w:r w:rsidR="00C372E9" w:rsidRPr="004906C1">
        <w:rPr>
          <w:snapToGrid w:val="0"/>
        </w:rPr>
        <w:t>t</w:t>
      </w:r>
      <w:r w:rsidR="00925996" w:rsidRPr="004906C1">
        <w:rPr>
          <w:snapToGrid w:val="0"/>
        </w:rPr>
        <w:t xml:space="preserve">o consider proposals in 2.3.3 of document </w:t>
      </w:r>
      <w:r w:rsidR="00925996" w:rsidRPr="004906C1">
        <w:t>UPOV/INF/12/5 Draft 2 as an initial step to develop further guidance and appropriate examples in conjunction with the development of an effective UPOV similarity search tool</w:t>
      </w:r>
      <w:r w:rsidR="00925996" w:rsidRPr="004906C1">
        <w:rPr>
          <w:lang w:eastAsia="ja-JP"/>
        </w:rPr>
        <w:t>”</w:t>
      </w:r>
      <w:r w:rsidR="00DE2A64">
        <w:rPr>
          <w:rStyle w:val="FootnoteReference"/>
          <w:lang w:eastAsia="ja-JP"/>
        </w:rPr>
        <w:footnoteReference w:id="23"/>
      </w:r>
      <w:r w:rsidR="00B04842" w:rsidRPr="004906C1">
        <w:rPr>
          <w:rFonts w:cs="Arial" w:hint="eastAsia"/>
          <w:lang w:eastAsia="ja-JP"/>
        </w:rPr>
        <w:t xml:space="preserve">. </w:t>
      </w:r>
    </w:p>
    <w:p w:rsidR="000D5DA3" w:rsidRPr="004906C1" w:rsidRDefault="000D5DA3" w:rsidP="00433B8A">
      <w:pPr>
        <w:rPr>
          <w:rFonts w:cs="Arial"/>
          <w:lang w:eastAsia="ja-JP"/>
        </w:rPr>
      </w:pPr>
    </w:p>
    <w:p w:rsidR="002F7364" w:rsidRDefault="00FE7EC3" w:rsidP="002F7364">
      <w:pPr>
        <w:keepNext/>
        <w:rPr>
          <w:rFonts w:cs="Arial"/>
          <w:lang w:eastAsia="ja-JP"/>
        </w:rPr>
      </w:pPr>
      <w:r w:rsidRPr="004A7314">
        <w:rPr>
          <w:rFonts w:cs="Arial"/>
        </w:rPr>
        <w:fldChar w:fldCharType="begin"/>
      </w:r>
      <w:r w:rsidRPr="004A7314">
        <w:rPr>
          <w:rFonts w:cs="Arial"/>
        </w:rPr>
        <w:instrText xml:space="preserve"> AUTONUM  </w:instrText>
      </w:r>
      <w:r w:rsidRPr="004A7314">
        <w:rPr>
          <w:rFonts w:cs="Arial"/>
        </w:rPr>
        <w:fldChar w:fldCharType="end"/>
      </w:r>
      <w:r w:rsidRPr="004A7314">
        <w:rPr>
          <w:rFonts w:cs="Arial"/>
        </w:rPr>
        <w:tab/>
      </w:r>
      <w:r w:rsidR="00B24D15">
        <w:rPr>
          <w:rFonts w:cs="Arial"/>
          <w:lang w:eastAsia="ja-JP"/>
        </w:rPr>
        <w:t>I</w:t>
      </w:r>
      <w:r w:rsidR="00DE2A64">
        <w:rPr>
          <w:rFonts w:cs="Arial" w:hint="eastAsia"/>
          <w:lang w:eastAsia="ja-JP"/>
        </w:rPr>
        <w:t xml:space="preserve">n that regard, </w:t>
      </w:r>
      <w:r w:rsidR="00C372E9">
        <w:rPr>
          <w:rFonts w:cs="Arial"/>
          <w:lang w:eastAsia="ja-JP"/>
        </w:rPr>
        <w:t xml:space="preserve">the CAJ may wish to </w:t>
      </w:r>
      <w:r w:rsidR="00B24D15">
        <w:rPr>
          <w:rFonts w:cs="Arial" w:hint="eastAsia"/>
          <w:lang w:eastAsia="ja-JP"/>
        </w:rPr>
        <w:t>invite</w:t>
      </w:r>
      <w:r w:rsidR="00C372E9">
        <w:rPr>
          <w:rFonts w:cs="Arial"/>
          <w:lang w:eastAsia="ja-JP"/>
        </w:rPr>
        <w:t xml:space="preserve"> the</w:t>
      </w:r>
      <w:r w:rsidR="00B24D15">
        <w:rPr>
          <w:rFonts w:cs="Arial" w:hint="eastAsia"/>
          <w:lang w:eastAsia="ja-JP"/>
        </w:rPr>
        <w:t xml:space="preserve"> WG</w:t>
      </w:r>
      <w:r>
        <w:rPr>
          <w:rFonts w:cs="Arial" w:hint="eastAsia"/>
          <w:lang w:eastAsia="ja-JP"/>
        </w:rPr>
        <w:t>-DST</w:t>
      </w:r>
      <w:r w:rsidR="00B24D15">
        <w:rPr>
          <w:rFonts w:cs="Arial" w:hint="eastAsia"/>
          <w:lang w:eastAsia="ja-JP"/>
        </w:rPr>
        <w:t xml:space="preserve"> to consider</w:t>
      </w:r>
      <w:r w:rsidR="00843F63">
        <w:rPr>
          <w:rFonts w:cs="Arial" w:hint="eastAsia"/>
          <w:lang w:eastAsia="ja-JP"/>
        </w:rPr>
        <w:t xml:space="preserve"> </w:t>
      </w:r>
      <w:r w:rsidR="00C421CB">
        <w:rPr>
          <w:rFonts w:cs="Arial" w:hint="eastAsia"/>
          <w:lang w:eastAsia="ja-JP"/>
        </w:rPr>
        <w:t xml:space="preserve">the </w:t>
      </w:r>
      <w:r w:rsidR="00DE2A64">
        <w:rPr>
          <w:rFonts w:cs="Arial"/>
          <w:lang w:eastAsia="ja-JP"/>
        </w:rPr>
        <w:t xml:space="preserve">following </w:t>
      </w:r>
      <w:r w:rsidR="00C372E9">
        <w:rPr>
          <w:rFonts w:cs="Arial"/>
          <w:lang w:eastAsia="ja-JP"/>
        </w:rPr>
        <w:t xml:space="preserve">comments </w:t>
      </w:r>
      <w:r w:rsidR="00C421CB">
        <w:rPr>
          <w:rFonts w:cs="Arial" w:hint="eastAsia"/>
          <w:lang w:eastAsia="ja-JP"/>
        </w:rPr>
        <w:t xml:space="preserve">by the CAJ-AG, at its ninth session, </w:t>
      </w:r>
      <w:r>
        <w:rPr>
          <w:rFonts w:cs="Arial" w:hint="eastAsia"/>
          <w:lang w:eastAsia="ja-JP"/>
        </w:rPr>
        <w:t xml:space="preserve">on </w:t>
      </w:r>
      <w:r w:rsidR="00C372E9">
        <w:rPr>
          <w:rFonts w:cs="Arial"/>
          <w:lang w:eastAsia="ja-JP"/>
        </w:rPr>
        <w:t xml:space="preserve">the proposals in document </w:t>
      </w:r>
      <w:r w:rsidR="00C372E9" w:rsidRPr="00452713">
        <w:t>UPOV/INF/12/5 Draft 2</w:t>
      </w:r>
      <w:r w:rsidR="00C372E9">
        <w:t xml:space="preserve"> concerning </w:t>
      </w:r>
      <w:r w:rsidR="00C372E9">
        <w:rPr>
          <w:lang w:eastAsia="ja-JP"/>
        </w:rPr>
        <w:t>S</w:t>
      </w:r>
      <w:r>
        <w:rPr>
          <w:rFonts w:hint="eastAsia"/>
          <w:lang w:eastAsia="ja-JP"/>
        </w:rPr>
        <w:t xml:space="preserve">ections </w:t>
      </w:r>
      <w:r w:rsidR="00BA4549">
        <w:rPr>
          <w:rFonts w:hint="cs"/>
          <w:lang w:eastAsia="ja-JP"/>
        </w:rPr>
        <w:t> </w:t>
      </w:r>
      <w:r w:rsidR="00F62511">
        <w:rPr>
          <w:rFonts w:cs="Arial"/>
        </w:rPr>
        <w:t>2.2.2</w:t>
      </w:r>
      <w:r w:rsidR="009D5FB2">
        <w:rPr>
          <w:rFonts w:cs="Arial"/>
        </w:rPr>
        <w:t xml:space="preserve"> </w:t>
      </w:r>
      <w:r>
        <w:rPr>
          <w:rFonts w:cs="Arial"/>
        </w:rPr>
        <w:t>(b), 2.3.1</w:t>
      </w:r>
      <w:r w:rsidR="009D5FB2">
        <w:rPr>
          <w:rFonts w:cs="Arial"/>
        </w:rPr>
        <w:t xml:space="preserve"> </w:t>
      </w:r>
      <w:r>
        <w:rPr>
          <w:rFonts w:cs="Arial"/>
        </w:rPr>
        <w:t>(c) and (d)</w:t>
      </w:r>
      <w:r w:rsidR="00843F63">
        <w:rPr>
          <w:rFonts w:cs="Arial" w:hint="eastAsia"/>
          <w:lang w:eastAsia="ja-JP"/>
        </w:rPr>
        <w:t>, and 2.3.3</w:t>
      </w:r>
      <w:r w:rsidR="007D1802">
        <w:rPr>
          <w:rFonts w:cs="Arial" w:hint="eastAsia"/>
          <w:lang w:eastAsia="ja-JP"/>
        </w:rPr>
        <w:t>,</w:t>
      </w:r>
      <w:r w:rsidR="002F7364">
        <w:rPr>
          <w:rFonts w:cs="Arial" w:hint="eastAsia"/>
          <w:lang w:eastAsia="ja-JP"/>
        </w:rPr>
        <w:t xml:space="preserve"> in conjunction with the development </w:t>
      </w:r>
      <w:r w:rsidR="002F7364" w:rsidRPr="00452713">
        <w:t>of an effective UPOV similarity search tool</w:t>
      </w:r>
      <w:r w:rsidR="007D1802">
        <w:rPr>
          <w:rFonts w:hint="eastAsia"/>
          <w:lang w:eastAsia="ja-JP"/>
        </w:rPr>
        <w:t>,</w:t>
      </w:r>
      <w:r w:rsidR="002F7364">
        <w:rPr>
          <w:rFonts w:hint="eastAsia"/>
          <w:lang w:eastAsia="ja-JP"/>
        </w:rPr>
        <w:t xml:space="preserve"> a</w:t>
      </w:r>
      <w:r w:rsidR="002F7364">
        <w:rPr>
          <w:rFonts w:cs="Arial" w:hint="eastAsia"/>
          <w:lang w:eastAsia="ja-JP"/>
        </w:rPr>
        <w:t xml:space="preserve">nd any conclusions by the WG-DST </w:t>
      </w:r>
      <w:r w:rsidR="00C372E9">
        <w:rPr>
          <w:rFonts w:cs="Arial"/>
          <w:lang w:eastAsia="ja-JP"/>
        </w:rPr>
        <w:t xml:space="preserve">to </w:t>
      </w:r>
      <w:r w:rsidR="002F7364">
        <w:rPr>
          <w:rFonts w:cs="Arial" w:hint="eastAsia"/>
          <w:lang w:eastAsia="ja-JP"/>
        </w:rPr>
        <w:t>revise document UPOV/INF/12, if appropriate.</w:t>
      </w:r>
    </w:p>
    <w:p w:rsidR="002F7364" w:rsidRDefault="002F7364" w:rsidP="00B24D15">
      <w:pPr>
        <w:keepNext/>
        <w:ind w:firstLine="567"/>
        <w:rPr>
          <w:rFonts w:cs="Arial"/>
          <w:lang w:eastAsia="ja-JP"/>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2F7364" w:rsidRPr="00482F75" w:rsidTr="00247164">
        <w:trPr>
          <w:cantSplit/>
        </w:trPr>
        <w:tc>
          <w:tcPr>
            <w:tcW w:w="1391" w:type="dxa"/>
          </w:tcPr>
          <w:p w:rsidR="002F7364" w:rsidRPr="00452713" w:rsidRDefault="002F7364" w:rsidP="00F62511">
            <w:pPr>
              <w:rPr>
                <w:rFonts w:cs="Arial"/>
              </w:rPr>
            </w:pPr>
            <w:r w:rsidRPr="00452713">
              <w:t>2.2.2</w:t>
            </w:r>
            <w:r w:rsidR="009D5FB2">
              <w:t xml:space="preserve"> </w:t>
            </w:r>
            <w:r w:rsidRPr="00452713">
              <w:t>(b)</w:t>
            </w:r>
          </w:p>
        </w:tc>
        <w:tc>
          <w:tcPr>
            <w:tcW w:w="7789" w:type="dxa"/>
          </w:tcPr>
          <w:p w:rsidR="002F7364" w:rsidRDefault="002F7364" w:rsidP="00247164">
            <w:pPr>
              <w:rPr>
                <w:snapToGrid w:val="0"/>
              </w:rPr>
            </w:pPr>
            <w:r w:rsidRPr="00452713">
              <w:rPr>
                <w:snapToGrid w:val="0"/>
              </w:rPr>
              <w:t xml:space="preserve">To clarify the terminology in </w:t>
            </w:r>
            <w:r w:rsidRPr="00452713">
              <w:t>2.2.2</w:t>
            </w:r>
            <w:r w:rsidR="009D5FB2">
              <w:t xml:space="preserve"> </w:t>
            </w:r>
            <w:r w:rsidRPr="00452713">
              <w:t>(b)</w:t>
            </w:r>
            <w:r w:rsidRPr="00452713">
              <w:rPr>
                <w:snapToGrid w:val="0"/>
              </w:rPr>
              <w:t xml:space="preserve">. </w:t>
            </w:r>
            <w:r w:rsidR="00F62511">
              <w:rPr>
                <w:snapToGrid w:val="0"/>
              </w:rPr>
              <w:t xml:space="preserve"> </w:t>
            </w:r>
            <w:r w:rsidRPr="00452713">
              <w:rPr>
                <w:snapToGrid w:val="0"/>
              </w:rPr>
              <w:t>In particular, to consider changing the examples or replacing “species” by “genera” or “taxa” in the following sentence:</w:t>
            </w:r>
          </w:p>
          <w:p w:rsidR="002F7364" w:rsidRPr="00452713" w:rsidRDefault="002F7364" w:rsidP="00247164">
            <w:pPr>
              <w:rPr>
                <w:snapToGrid w:val="0"/>
              </w:rPr>
            </w:pPr>
          </w:p>
          <w:p w:rsidR="002F7364" w:rsidRPr="00452713" w:rsidRDefault="002F7364" w:rsidP="00247164">
            <w:pPr>
              <w:rPr>
                <w:snapToGrid w:val="0"/>
              </w:rPr>
            </w:pPr>
            <w:r w:rsidRPr="00452713">
              <w:rPr>
                <w:snapToGrid w:val="0"/>
              </w:rPr>
              <w:t>“</w:t>
            </w:r>
            <w:r w:rsidRPr="00452713">
              <w:rPr>
                <w:color w:val="000000"/>
              </w:rPr>
              <w:t>(b)</w:t>
            </w:r>
            <w:r w:rsidRPr="00452713">
              <w:rPr>
                <w:color w:val="000000"/>
              </w:rPr>
              <w:tab/>
              <w:t>accepted market practices for particular variety types (e.g. hybrids) and particular species (e.g. Medicago, Helianthus).</w:t>
            </w:r>
          </w:p>
        </w:tc>
      </w:tr>
      <w:tr w:rsidR="002F7364" w:rsidRPr="00482F75" w:rsidTr="002F7364">
        <w:trPr>
          <w:cantSplit/>
        </w:trPr>
        <w:tc>
          <w:tcPr>
            <w:tcW w:w="1391" w:type="dxa"/>
            <w:tcBorders>
              <w:top w:val="single" w:sz="4" w:space="0" w:color="auto"/>
              <w:left w:val="single" w:sz="4" w:space="0" w:color="auto"/>
              <w:bottom w:val="single" w:sz="4" w:space="0" w:color="auto"/>
              <w:right w:val="single" w:sz="4" w:space="0" w:color="auto"/>
            </w:tcBorders>
          </w:tcPr>
          <w:p w:rsidR="002F7364" w:rsidRPr="00452713" w:rsidRDefault="002F7364" w:rsidP="00F62511">
            <w:pPr>
              <w:rPr>
                <w:rFonts w:cs="Arial"/>
              </w:rPr>
            </w:pPr>
            <w:r w:rsidRPr="002F7364">
              <w:rPr>
                <w:rFonts w:cs="Arial"/>
              </w:rPr>
              <w:t>2.3.1</w:t>
            </w:r>
            <w:r w:rsidR="009D5FB2">
              <w:rPr>
                <w:rFonts w:cs="Arial"/>
              </w:rPr>
              <w:t xml:space="preserve"> </w:t>
            </w:r>
            <w:r w:rsidRPr="002F7364">
              <w:rPr>
                <w:rFonts w:cs="Arial"/>
              </w:rPr>
              <w:t>(c)</w:t>
            </w:r>
          </w:p>
        </w:tc>
        <w:tc>
          <w:tcPr>
            <w:tcW w:w="7789" w:type="dxa"/>
            <w:tcBorders>
              <w:top w:val="single" w:sz="4" w:space="0" w:color="auto"/>
              <w:left w:val="single" w:sz="4" w:space="0" w:color="auto"/>
              <w:bottom w:val="single" w:sz="4" w:space="0" w:color="auto"/>
              <w:right w:val="single" w:sz="4" w:space="0" w:color="auto"/>
            </w:tcBorders>
          </w:tcPr>
          <w:p w:rsidR="002F7364" w:rsidRPr="002F7364" w:rsidRDefault="002F7364" w:rsidP="00247164">
            <w:pPr>
              <w:rPr>
                <w:rFonts w:cs="Arial"/>
              </w:rPr>
            </w:pPr>
            <w:r w:rsidRPr="002F7364">
              <w:rPr>
                <w:rFonts w:cs="Arial"/>
              </w:rPr>
              <w:t>To develop further guidance on 2.3.1</w:t>
            </w:r>
            <w:r w:rsidR="009D5FB2">
              <w:rPr>
                <w:rFonts w:cs="Arial"/>
              </w:rPr>
              <w:t xml:space="preserve"> </w:t>
            </w:r>
            <w:r w:rsidRPr="002F7364">
              <w:rPr>
                <w:rFonts w:cs="Arial"/>
              </w:rPr>
              <w:t>(c) and to provide other, more appropriate examples</w:t>
            </w:r>
          </w:p>
          <w:p w:rsidR="002F7364" w:rsidRPr="002F7364" w:rsidRDefault="002F7364" w:rsidP="002F7364">
            <w:pPr>
              <w:rPr>
                <w:rFonts w:cs="Arial"/>
              </w:rPr>
            </w:pPr>
          </w:p>
          <w:p w:rsidR="002F7364" w:rsidRPr="002F7364" w:rsidRDefault="002F7364" w:rsidP="002F7364">
            <w:pPr>
              <w:rPr>
                <w:rFonts w:cs="Arial"/>
              </w:rPr>
            </w:pPr>
            <w:r w:rsidRPr="002F7364">
              <w:rPr>
                <w:rFonts w:cs="Arial"/>
              </w:rPr>
              <w:t>“(c)</w:t>
            </w:r>
            <w:r w:rsidRPr="002F7364">
              <w:rPr>
                <w:rFonts w:cs="Arial"/>
              </w:rPr>
              <w:tab/>
              <w:t>convey the impression that the variety is derived from, or related to, another variety when that is not, in fact, the case;</w:t>
            </w:r>
          </w:p>
          <w:p w:rsidR="002F7364" w:rsidRPr="002F7364" w:rsidRDefault="002F7364" w:rsidP="002F7364">
            <w:pPr>
              <w:rPr>
                <w:rFonts w:cs="Arial"/>
              </w:rPr>
            </w:pPr>
          </w:p>
          <w:p w:rsidR="002F7364" w:rsidRPr="00452713" w:rsidRDefault="002F7364" w:rsidP="00247164">
            <w:pPr>
              <w:rPr>
                <w:rFonts w:cs="Arial"/>
              </w:rPr>
            </w:pPr>
            <w:r w:rsidRPr="002F7364">
              <w:rPr>
                <w:rFonts w:cs="Arial"/>
              </w:rPr>
              <w:t>Example: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tc>
      </w:tr>
      <w:tr w:rsidR="002F7364" w:rsidRPr="00482F75" w:rsidTr="002F7364">
        <w:trPr>
          <w:cantSplit/>
        </w:trPr>
        <w:tc>
          <w:tcPr>
            <w:tcW w:w="1391" w:type="dxa"/>
            <w:tcBorders>
              <w:top w:val="single" w:sz="4" w:space="0" w:color="auto"/>
              <w:left w:val="single" w:sz="4" w:space="0" w:color="auto"/>
              <w:bottom w:val="single" w:sz="4" w:space="0" w:color="auto"/>
              <w:right w:val="single" w:sz="4" w:space="0" w:color="auto"/>
            </w:tcBorders>
          </w:tcPr>
          <w:p w:rsidR="002F7364" w:rsidRPr="002F7364" w:rsidRDefault="00F62511" w:rsidP="00247164">
            <w:pPr>
              <w:rPr>
                <w:rFonts w:cs="Arial"/>
              </w:rPr>
            </w:pPr>
            <w:r>
              <w:rPr>
                <w:rFonts w:cs="Arial"/>
              </w:rPr>
              <w:lastRenderedPageBreak/>
              <w:t>2.3.1</w:t>
            </w:r>
            <w:r w:rsidR="009D5FB2">
              <w:rPr>
                <w:rFonts w:cs="Arial"/>
              </w:rPr>
              <w:t xml:space="preserve"> </w:t>
            </w:r>
            <w:r w:rsidR="002F7364" w:rsidRPr="002F7364">
              <w:rPr>
                <w:rFonts w:cs="Arial"/>
              </w:rPr>
              <w:t>(d)</w:t>
            </w:r>
          </w:p>
        </w:tc>
        <w:tc>
          <w:tcPr>
            <w:tcW w:w="7789" w:type="dxa"/>
            <w:tcBorders>
              <w:top w:val="single" w:sz="4" w:space="0" w:color="auto"/>
              <w:left w:val="single" w:sz="4" w:space="0" w:color="auto"/>
              <w:bottom w:val="single" w:sz="4" w:space="0" w:color="auto"/>
              <w:right w:val="single" w:sz="4" w:space="0" w:color="auto"/>
            </w:tcBorders>
          </w:tcPr>
          <w:p w:rsidR="002F7364" w:rsidRPr="002F7364" w:rsidRDefault="002F7364" w:rsidP="00247164">
            <w:pPr>
              <w:rPr>
                <w:rFonts w:cs="Arial"/>
              </w:rPr>
            </w:pPr>
            <w:r w:rsidRPr="002F7364">
              <w:rPr>
                <w:rFonts w:cs="Arial"/>
              </w:rPr>
              <w:t>To add 2.3.1</w:t>
            </w:r>
            <w:r w:rsidR="009D5FB2">
              <w:rPr>
                <w:rFonts w:cs="Arial"/>
              </w:rPr>
              <w:t xml:space="preserve"> </w:t>
            </w:r>
            <w:r w:rsidRPr="002F7364">
              <w:rPr>
                <w:rFonts w:cs="Arial"/>
              </w:rPr>
              <w:t>(d) as follows:</w:t>
            </w:r>
          </w:p>
          <w:p w:rsidR="002F7364" w:rsidRPr="002F7364" w:rsidRDefault="002F7364" w:rsidP="00247164">
            <w:pPr>
              <w:rPr>
                <w:rFonts w:cs="Arial"/>
              </w:rPr>
            </w:pPr>
          </w:p>
          <w:p w:rsidR="002F7364" w:rsidRPr="002F7364" w:rsidRDefault="002F7364" w:rsidP="00247164">
            <w:pPr>
              <w:rPr>
                <w:rFonts w:cs="Arial"/>
              </w:rPr>
            </w:pPr>
            <w:r w:rsidRPr="002F7364">
              <w:rPr>
                <w:rFonts w:cs="Arial"/>
              </w:rPr>
              <w:t xml:space="preserve">“(d) </w:t>
            </w:r>
            <w:r w:rsidRPr="002F7364">
              <w:rPr>
                <w:rFonts w:cs="Arial"/>
              </w:rPr>
              <w:tab/>
              <w:t>contain the botanical or common name of the genus to which that variety belongs. The identity of the denomination and that of the genus to which it belongs could become unclear and confusing.”</w:t>
            </w:r>
          </w:p>
          <w:p w:rsidR="002F7364" w:rsidRPr="002F7364" w:rsidRDefault="002F7364" w:rsidP="00247164">
            <w:pPr>
              <w:rPr>
                <w:rFonts w:cs="Arial"/>
              </w:rPr>
            </w:pPr>
          </w:p>
          <w:p w:rsidR="002F7364" w:rsidRPr="002F7364" w:rsidRDefault="002F7364" w:rsidP="00247164">
            <w:pPr>
              <w:rPr>
                <w:rFonts w:cs="Arial"/>
              </w:rPr>
            </w:pPr>
            <w:r w:rsidRPr="002F7364">
              <w:rPr>
                <w:rFonts w:cs="Arial"/>
              </w:rPr>
              <w:t>To clarify the following example:</w:t>
            </w:r>
          </w:p>
          <w:p w:rsidR="002F7364" w:rsidRPr="002F7364" w:rsidRDefault="002F7364" w:rsidP="00247164">
            <w:pPr>
              <w:rPr>
                <w:rFonts w:cs="Arial"/>
              </w:rPr>
            </w:pPr>
          </w:p>
          <w:p w:rsidR="002F7364" w:rsidRPr="002F7364" w:rsidRDefault="00DE2A64" w:rsidP="002F7364">
            <w:pPr>
              <w:rPr>
                <w:rFonts w:cs="Arial"/>
              </w:rPr>
            </w:pPr>
            <w:r>
              <w:rPr>
                <w:rFonts w:cs="Arial"/>
              </w:rPr>
              <w:t>“</w:t>
            </w:r>
            <w:r w:rsidR="002F7364" w:rsidRPr="002F7364">
              <w:rPr>
                <w:rFonts w:cs="Arial"/>
              </w:rPr>
              <w:t>Example:  Carex variety ‘Sedge’. This could possibly be referred to as ‘Sedge’ Carex and without the use of italics or single quotes the identity of the denomination and the genus may not be clear.</w:t>
            </w:r>
            <w:r>
              <w:rPr>
                <w:rFonts w:cs="Arial"/>
              </w:rPr>
              <w:t>”</w:t>
            </w:r>
          </w:p>
          <w:p w:rsidR="002F7364" w:rsidRPr="002F7364" w:rsidRDefault="002F7364" w:rsidP="00247164">
            <w:pPr>
              <w:rPr>
                <w:rFonts w:cs="Arial"/>
              </w:rPr>
            </w:pPr>
          </w:p>
          <w:p w:rsidR="002F7364" w:rsidRPr="002F7364" w:rsidRDefault="002F7364" w:rsidP="00247164">
            <w:pPr>
              <w:rPr>
                <w:rFonts w:cs="Arial"/>
              </w:rPr>
            </w:pPr>
            <w:r w:rsidRPr="002F7364">
              <w:rPr>
                <w:rFonts w:cs="Arial"/>
              </w:rPr>
              <w:t>To develop guidance on possible confusion of the use of the botanical or common name of a genus to which that variety does not belong – case by case</w:t>
            </w:r>
          </w:p>
        </w:tc>
      </w:tr>
      <w:tr w:rsidR="002F7364" w:rsidRPr="00482F75" w:rsidTr="002F7364">
        <w:trPr>
          <w:cantSplit/>
        </w:trPr>
        <w:tc>
          <w:tcPr>
            <w:tcW w:w="1391" w:type="dxa"/>
            <w:tcBorders>
              <w:top w:val="single" w:sz="4" w:space="0" w:color="auto"/>
              <w:left w:val="single" w:sz="4" w:space="0" w:color="auto"/>
              <w:bottom w:val="single" w:sz="4" w:space="0" w:color="auto"/>
              <w:right w:val="single" w:sz="4" w:space="0" w:color="auto"/>
            </w:tcBorders>
          </w:tcPr>
          <w:p w:rsidR="002F7364" w:rsidRPr="002F7364" w:rsidRDefault="00F62511" w:rsidP="00247164">
            <w:pPr>
              <w:rPr>
                <w:rFonts w:cs="Arial"/>
              </w:rPr>
            </w:pPr>
            <w:r>
              <w:rPr>
                <w:rFonts w:cs="Arial"/>
              </w:rPr>
              <w:t>2.3.3</w:t>
            </w:r>
          </w:p>
        </w:tc>
        <w:tc>
          <w:tcPr>
            <w:tcW w:w="7789" w:type="dxa"/>
            <w:tcBorders>
              <w:top w:val="single" w:sz="4" w:space="0" w:color="auto"/>
              <w:left w:val="single" w:sz="4" w:space="0" w:color="auto"/>
              <w:bottom w:val="single" w:sz="4" w:space="0" w:color="auto"/>
              <w:right w:val="single" w:sz="4" w:space="0" w:color="auto"/>
            </w:tcBorders>
          </w:tcPr>
          <w:p w:rsidR="002F7364" w:rsidRPr="002F7364" w:rsidRDefault="002F7364" w:rsidP="00247164">
            <w:pPr>
              <w:rPr>
                <w:rFonts w:cs="Arial"/>
              </w:rPr>
            </w:pPr>
            <w:r w:rsidRPr="002F7364">
              <w:rPr>
                <w:rFonts w:cs="Arial"/>
              </w:rPr>
              <w:t>To consider proposals in 2.3.3 of document UPOV/INF/12/5 Draft 2 as an initial step to develop further guidance and appropriate examples in conjunction with the development of an effective UPOV similarity search tool</w:t>
            </w:r>
          </w:p>
        </w:tc>
      </w:tr>
    </w:tbl>
    <w:p w:rsidR="0066192B" w:rsidRDefault="0066192B" w:rsidP="00433B8A">
      <w:pPr>
        <w:rPr>
          <w:lang w:eastAsia="ja-JP"/>
        </w:rPr>
      </w:pPr>
    </w:p>
    <w:p w:rsidR="0066192B" w:rsidRDefault="0066192B" w:rsidP="00433B8A">
      <w:pPr>
        <w:rPr>
          <w:lang w:eastAsia="ja-JP"/>
        </w:rPr>
      </w:pPr>
    </w:p>
    <w:p w:rsidR="00CD4E41" w:rsidRPr="00564CB9" w:rsidRDefault="00CD4E41" w:rsidP="004906C1">
      <w:pPr>
        <w:pStyle w:val="Heading2"/>
      </w:pPr>
      <w:bookmarkStart w:id="22" w:name="_Toc413079312"/>
      <w:r w:rsidRPr="00CD4E41">
        <w:t xml:space="preserve">Proposed guidance </w:t>
      </w:r>
      <w:r w:rsidRPr="00564CB9">
        <w:t>for consideration by the CAJ at its seventy-</w:t>
      </w:r>
      <w:r>
        <w:t xml:space="preserve">second </w:t>
      </w:r>
      <w:r w:rsidRPr="00564CB9">
        <w:t>session</w:t>
      </w:r>
      <w:bookmarkEnd w:id="22"/>
    </w:p>
    <w:p w:rsidR="00CD4E41" w:rsidRDefault="00CD4E41" w:rsidP="00973461">
      <w:pPr>
        <w:rPr>
          <w:lang w:eastAsia="ja-JP"/>
        </w:rPr>
      </w:pPr>
    </w:p>
    <w:p w:rsidR="00B04842" w:rsidRDefault="000C6236" w:rsidP="00F62511">
      <w:pPr>
        <w:rPr>
          <w:lang w:eastAsia="ja-JP"/>
        </w:rPr>
      </w:pPr>
      <w:r w:rsidRPr="004A7314">
        <w:fldChar w:fldCharType="begin"/>
      </w:r>
      <w:r w:rsidRPr="004A7314">
        <w:instrText xml:space="preserve"> AUTONUM  </w:instrText>
      </w:r>
      <w:r w:rsidRPr="004A7314">
        <w:fldChar w:fldCharType="end"/>
      </w:r>
      <w:r w:rsidRPr="004A7314">
        <w:tab/>
      </w:r>
      <w:r w:rsidR="00C35B57">
        <w:rPr>
          <w:rFonts w:hint="eastAsia"/>
          <w:lang w:eastAsia="ja-JP"/>
        </w:rPr>
        <w:t>I</w:t>
      </w:r>
      <w:r w:rsidR="00C35B57">
        <w:t xml:space="preserve">t is suggested that </w:t>
      </w:r>
      <w:r w:rsidR="00DE2A64">
        <w:t xml:space="preserve">the following </w:t>
      </w:r>
      <w:r w:rsidR="00C35B57">
        <w:t xml:space="preserve">proposals </w:t>
      </w:r>
      <w:r w:rsidR="00C35B57">
        <w:rPr>
          <w:rFonts w:hint="eastAsia"/>
          <w:lang w:eastAsia="ja-JP"/>
        </w:rPr>
        <w:t>c</w:t>
      </w:r>
      <w:r w:rsidR="00F72ADF">
        <w:t>oncerning</w:t>
      </w:r>
      <w:r w:rsidR="00740CB2">
        <w:rPr>
          <w:rFonts w:hint="eastAsia"/>
          <w:lang w:eastAsia="ja-JP"/>
        </w:rPr>
        <w:t xml:space="preserve"> </w:t>
      </w:r>
      <w:r w:rsidR="00026478">
        <w:rPr>
          <w:lang w:eastAsia="ja-JP"/>
        </w:rPr>
        <w:t>S</w:t>
      </w:r>
      <w:r w:rsidR="00740CB2">
        <w:rPr>
          <w:rFonts w:hint="eastAsia"/>
          <w:lang w:eastAsia="ja-JP"/>
        </w:rPr>
        <w:t>ections</w:t>
      </w:r>
      <w:r w:rsidR="00F62511">
        <w:t xml:space="preserve"> 2.2.2</w:t>
      </w:r>
      <w:r w:rsidR="009D5FB2">
        <w:t xml:space="preserve"> </w:t>
      </w:r>
      <w:r w:rsidR="00A277F9">
        <w:t>(c), 4</w:t>
      </w:r>
      <w:r w:rsidR="00F62511">
        <w:t>(a) and 4(e)</w:t>
      </w:r>
      <w:r w:rsidR="00C35B57">
        <w:t>(i)</w:t>
      </w:r>
      <w:r w:rsidR="00740CB2">
        <w:t xml:space="preserve"> </w:t>
      </w:r>
      <w:r w:rsidR="00B04842">
        <w:t>be considered by the</w:t>
      </w:r>
      <w:r w:rsidR="0066192B">
        <w:rPr>
          <w:rFonts w:hint="eastAsia"/>
          <w:lang w:eastAsia="ja-JP"/>
        </w:rPr>
        <w:t xml:space="preserve"> </w:t>
      </w:r>
      <w:r w:rsidR="00DE2A64">
        <w:t>CAJ</w:t>
      </w:r>
      <w:r w:rsidR="00740CB2">
        <w:t xml:space="preserve"> at its seventy-second session</w:t>
      </w:r>
      <w:r w:rsidR="00026478">
        <w:t>.</w:t>
      </w:r>
      <w:r w:rsidR="00B04842">
        <w:rPr>
          <w:rStyle w:val="FootnoteReference"/>
          <w:rFonts w:cs="Arial"/>
          <w:lang w:eastAsia="ja-JP"/>
        </w:rPr>
        <w:footnoteReference w:id="24"/>
      </w:r>
      <w:r w:rsidR="00740CB2">
        <w:rPr>
          <w:rFonts w:hint="eastAsia"/>
          <w:lang w:eastAsia="ja-JP"/>
        </w:rPr>
        <w:t xml:space="preserve"> </w:t>
      </w:r>
    </w:p>
    <w:p w:rsidR="00E97DFE" w:rsidRDefault="00E97DFE" w:rsidP="002B5FE4">
      <w:pPr>
        <w:rPr>
          <w:lang w:eastAsia="ja-JP"/>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2F7364" w:rsidRPr="00482F75" w:rsidTr="00247164">
        <w:trPr>
          <w:cantSplit/>
        </w:trPr>
        <w:tc>
          <w:tcPr>
            <w:tcW w:w="1391" w:type="dxa"/>
          </w:tcPr>
          <w:p w:rsidR="002F7364" w:rsidRPr="00452713" w:rsidRDefault="002F7364" w:rsidP="00F62511">
            <w:pPr>
              <w:rPr>
                <w:rFonts w:cs="Arial"/>
              </w:rPr>
            </w:pPr>
            <w:r w:rsidRPr="00452713">
              <w:rPr>
                <w:rFonts w:cs="Arial"/>
              </w:rPr>
              <w:t>2.2.2</w:t>
            </w:r>
            <w:r w:rsidR="009D5FB2">
              <w:rPr>
                <w:rFonts w:cs="Arial"/>
              </w:rPr>
              <w:t xml:space="preserve"> </w:t>
            </w:r>
            <w:r w:rsidRPr="00452713">
              <w:rPr>
                <w:rFonts w:cs="Arial"/>
              </w:rPr>
              <w:t>(c)</w:t>
            </w:r>
          </w:p>
        </w:tc>
        <w:tc>
          <w:tcPr>
            <w:tcW w:w="7789" w:type="dxa"/>
          </w:tcPr>
          <w:p w:rsidR="002F7364" w:rsidRPr="00452713" w:rsidRDefault="002F7364" w:rsidP="00973A6F">
            <w:pPr>
              <w:spacing w:after="120"/>
              <w:rPr>
                <w:rFonts w:cs="Arial"/>
              </w:rPr>
            </w:pPr>
            <w:r w:rsidRPr="00452713">
              <w:rPr>
                <w:rFonts w:cs="Arial"/>
              </w:rPr>
              <w:t>To add 2.2.2</w:t>
            </w:r>
            <w:r w:rsidR="009D5FB2">
              <w:rPr>
                <w:rFonts w:cs="Arial"/>
              </w:rPr>
              <w:t xml:space="preserve"> </w:t>
            </w:r>
            <w:r w:rsidRPr="00452713">
              <w:rPr>
                <w:rFonts w:cs="Arial"/>
              </w:rPr>
              <w:t>(c) as follows:</w:t>
            </w:r>
          </w:p>
          <w:p w:rsidR="002F7364" w:rsidRPr="00452713" w:rsidRDefault="002F7364" w:rsidP="00247164">
            <w:pPr>
              <w:rPr>
                <w:rFonts w:cs="Arial"/>
              </w:rPr>
            </w:pPr>
            <w:r w:rsidRPr="00452713">
              <w:rPr>
                <w:rFonts w:cs="Arial"/>
              </w:rPr>
              <w:t>“(c)</w:t>
            </w:r>
            <w:r>
              <w:rPr>
                <w:rFonts w:cs="Arial"/>
              </w:rPr>
              <w:tab/>
            </w:r>
            <w:r w:rsidRPr="00452713">
              <w:rPr>
                <w:rFonts w:cs="Arial"/>
              </w:rPr>
              <w:t>‘established practice’ is determined to be when registration has been accepted for one species or group, so that it can be used in other species which have not yet registered any variety whose denomination consists solely of figures.”</w:t>
            </w:r>
          </w:p>
        </w:tc>
      </w:tr>
      <w:tr w:rsidR="002F7364" w:rsidRPr="00482F75" w:rsidTr="00247164">
        <w:trPr>
          <w:cantSplit/>
        </w:trPr>
        <w:tc>
          <w:tcPr>
            <w:tcW w:w="1391" w:type="dxa"/>
          </w:tcPr>
          <w:p w:rsidR="002F7364" w:rsidRPr="00452713" w:rsidRDefault="002F7364" w:rsidP="00247164">
            <w:r w:rsidRPr="00452713">
              <w:t>4(a)</w:t>
            </w:r>
          </w:p>
        </w:tc>
        <w:tc>
          <w:tcPr>
            <w:tcW w:w="7789" w:type="dxa"/>
          </w:tcPr>
          <w:p w:rsidR="002F7364" w:rsidRPr="00452713" w:rsidRDefault="002F7364" w:rsidP="00973A6F">
            <w:pPr>
              <w:spacing w:after="120"/>
              <w:rPr>
                <w:snapToGrid w:val="0"/>
              </w:rPr>
            </w:pPr>
            <w:r w:rsidRPr="00452713">
              <w:rPr>
                <w:snapToGrid w:val="0"/>
              </w:rPr>
              <w:t>To modify 4(a) as follows:</w:t>
            </w:r>
          </w:p>
          <w:p w:rsidR="002F7364" w:rsidRPr="00452713" w:rsidRDefault="002F7364" w:rsidP="00247164">
            <w:pPr>
              <w:ind w:firstLine="567"/>
            </w:pPr>
            <w:r w:rsidRPr="00452713">
              <w:t>“(a)</w:t>
            </w:r>
            <w:r w:rsidRPr="00452713">
              <w:tab/>
              <w:t xml:space="preserve">An authority should not accept a variety denomination if </w:t>
            </w:r>
            <w:r w:rsidRPr="00452713">
              <w:rPr>
                <w:strike/>
              </w:rPr>
              <w:t>a</w:t>
            </w:r>
            <w:r w:rsidRPr="00452713">
              <w:t xml:space="preserve"> </w:t>
            </w:r>
            <w:r w:rsidRPr="00452713">
              <w:rPr>
                <w:u w:val="single"/>
              </w:rPr>
              <w:t>there is an existing</w:t>
            </w:r>
            <w:r w:rsidRPr="00452713">
              <w:t xml:space="preserve"> prior right, the exercise of which may prevent the use of the proposed denomination</w:t>
            </w:r>
            <w:r w:rsidRPr="00452713">
              <w:rPr>
                <w:strike/>
              </w:rPr>
              <w:t>, has already been granted to a third party</w:t>
            </w:r>
            <w:r w:rsidRPr="00452713">
              <w:t xml:space="preserve"> </w:t>
            </w:r>
            <w:r w:rsidRPr="00452713">
              <w:rPr>
                <w:strike/>
              </w:rPr>
              <w:t>under plant breeder’s right law, trademark law or any other intellectual property legislation.</w:t>
            </w:r>
            <w:r w:rsidRPr="00452713">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2" w:history="1">
              <w:r w:rsidRPr="00452713">
                <w:rPr>
                  <w:rStyle w:val="Hyperlink"/>
                </w:rPr>
                <w:t>http://www.upov.int/pluto/en/</w:t>
              </w:r>
            </w:hyperlink>
            <w:r w:rsidRPr="00452713">
              <w:t>) to identify prior rights for variety denominations.  They may also make searches in other registers, such as trademark registers, before accepting a variety denomination.”</w:t>
            </w:r>
          </w:p>
        </w:tc>
      </w:tr>
      <w:tr w:rsidR="002F7364" w:rsidRPr="00482F75" w:rsidTr="00247164">
        <w:trPr>
          <w:cantSplit/>
        </w:trPr>
        <w:tc>
          <w:tcPr>
            <w:tcW w:w="1391" w:type="dxa"/>
          </w:tcPr>
          <w:p w:rsidR="002F7364" w:rsidRPr="00452713" w:rsidRDefault="002F7364" w:rsidP="00247164">
            <w:r w:rsidRPr="00452713">
              <w:t>4(e)(i)</w:t>
            </w:r>
          </w:p>
        </w:tc>
        <w:tc>
          <w:tcPr>
            <w:tcW w:w="7789" w:type="dxa"/>
          </w:tcPr>
          <w:p w:rsidR="002F7364" w:rsidRPr="00452713" w:rsidRDefault="002F7364" w:rsidP="00973A6F">
            <w:pPr>
              <w:spacing w:after="120"/>
              <w:rPr>
                <w:snapToGrid w:val="0"/>
              </w:rPr>
            </w:pPr>
            <w:r w:rsidRPr="00452713">
              <w:rPr>
                <w:snapToGrid w:val="0"/>
              </w:rPr>
              <w:t xml:space="preserve">To modify last sentence of </w:t>
            </w:r>
            <w:r w:rsidRPr="00452713">
              <w:t xml:space="preserve">4(e)(i) </w:t>
            </w:r>
            <w:r w:rsidRPr="00452713">
              <w:rPr>
                <w:snapToGrid w:val="0"/>
              </w:rPr>
              <w:t>as follows:</w:t>
            </w:r>
          </w:p>
          <w:p w:rsidR="002F7364" w:rsidRPr="00452713" w:rsidRDefault="002F7364" w:rsidP="00247164">
            <w:pPr>
              <w:tabs>
                <w:tab w:val="right" w:pos="1134"/>
                <w:tab w:val="left" w:pos="1418"/>
              </w:tabs>
            </w:pPr>
            <w:r w:rsidRPr="00452713">
              <w:t xml:space="preserve">“In cases of mere similarity or small likelihood of </w:t>
            </w:r>
            <w:r w:rsidRPr="00452713">
              <w:rPr>
                <w:strike/>
              </w:rPr>
              <w:t>association</w:t>
            </w:r>
            <w:r w:rsidRPr="00452713">
              <w:t xml:space="preserve"> </w:t>
            </w:r>
            <w:r w:rsidRPr="00452713">
              <w:rPr>
                <w:u w:val="single"/>
              </w:rPr>
              <w:t>confusion</w:t>
            </w:r>
            <w:r w:rsidRPr="00452713">
              <w:t xml:space="preserve"> by users, waivers granted to breeders by prior trademark right holders could be a suitable solution.”</w:t>
            </w:r>
          </w:p>
        </w:tc>
      </w:tr>
    </w:tbl>
    <w:p w:rsidR="00026478" w:rsidRDefault="00026478" w:rsidP="00184A04">
      <w:pPr>
        <w:keepNext/>
        <w:rPr>
          <w:rFonts w:cs="Arial"/>
          <w:lang w:eastAsia="ja-JP"/>
        </w:rPr>
      </w:pPr>
    </w:p>
    <w:p w:rsidR="003E3D83" w:rsidRPr="00303BC1" w:rsidRDefault="003E3D83" w:rsidP="002B5FE4">
      <w:pPr>
        <w:pStyle w:val="dec"/>
        <w:tabs>
          <w:tab w:val="left" w:pos="5387"/>
          <w:tab w:val="left" w:pos="5954"/>
        </w:tabs>
        <w:ind w:left="4820"/>
        <w:rPr>
          <w:rFonts w:eastAsia="MS Mincho"/>
          <w:color w:val="000000" w:themeColor="text1"/>
          <w:spacing w:val="0"/>
          <w:lang w:eastAsia="ja-JP"/>
        </w:rPr>
      </w:pPr>
      <w:r w:rsidRPr="001960CC">
        <w:fldChar w:fldCharType="begin"/>
      </w:r>
      <w:r w:rsidRPr="001960CC">
        <w:instrText xml:space="preserve"> AUTONUM  </w:instrText>
      </w:r>
      <w:r w:rsidRPr="001960CC">
        <w:fldChar w:fldCharType="end"/>
      </w:r>
      <w:r w:rsidRPr="001960CC">
        <w:tab/>
      </w:r>
      <w:r>
        <w:rPr>
          <w:color w:val="000000" w:themeColor="text1"/>
          <w:spacing w:val="0"/>
        </w:rPr>
        <w:t xml:space="preserve">The </w:t>
      </w:r>
      <w:r w:rsidRPr="00C920D5">
        <w:rPr>
          <w:color w:val="000000" w:themeColor="text1"/>
          <w:spacing w:val="0"/>
        </w:rPr>
        <w:t>C</w:t>
      </w:r>
      <w:r>
        <w:rPr>
          <w:rFonts w:eastAsia="MS Mincho" w:hint="eastAsia"/>
          <w:color w:val="000000" w:themeColor="text1"/>
          <w:spacing w:val="0"/>
          <w:lang w:eastAsia="ja-JP"/>
        </w:rPr>
        <w:t>AJ</w:t>
      </w:r>
      <w:r w:rsidRPr="00C920D5">
        <w:rPr>
          <w:color w:val="000000" w:themeColor="text1"/>
          <w:spacing w:val="0"/>
        </w:rPr>
        <w:t xml:space="preserve"> is invited to</w:t>
      </w:r>
      <w:r w:rsidR="00303BC1">
        <w:rPr>
          <w:rFonts w:eastAsia="MS Mincho" w:hint="eastAsia"/>
          <w:color w:val="000000" w:themeColor="text1"/>
          <w:spacing w:val="0"/>
          <w:lang w:eastAsia="ja-JP"/>
        </w:rPr>
        <w:t>:</w:t>
      </w:r>
    </w:p>
    <w:p w:rsidR="003E3D83" w:rsidRPr="00C920D5" w:rsidRDefault="003E3D83" w:rsidP="002B5FE4">
      <w:pPr>
        <w:pStyle w:val="dec"/>
        <w:tabs>
          <w:tab w:val="left" w:pos="5387"/>
          <w:tab w:val="left" w:pos="5954"/>
        </w:tabs>
        <w:ind w:left="4820"/>
        <w:rPr>
          <w:color w:val="000000" w:themeColor="text1"/>
          <w:spacing w:val="0"/>
        </w:rPr>
      </w:pPr>
    </w:p>
    <w:p w:rsidR="003E3D83" w:rsidRPr="00F62511" w:rsidRDefault="003E3D83" w:rsidP="002B5FE4">
      <w:pPr>
        <w:pStyle w:val="dec"/>
        <w:tabs>
          <w:tab w:val="left" w:pos="5387"/>
          <w:tab w:val="left" w:pos="5954"/>
        </w:tabs>
        <w:ind w:left="4820" w:firstLine="567"/>
        <w:rPr>
          <w:color w:val="000000" w:themeColor="text1"/>
          <w:spacing w:val="0"/>
        </w:rPr>
      </w:pPr>
      <w:r w:rsidRPr="00F62511">
        <w:rPr>
          <w:color w:val="000000" w:themeColor="text1"/>
          <w:spacing w:val="0"/>
        </w:rPr>
        <w:t>(a)</w:t>
      </w:r>
      <w:r w:rsidRPr="00F62511">
        <w:rPr>
          <w:color w:val="000000" w:themeColor="text1"/>
          <w:spacing w:val="0"/>
        </w:rPr>
        <w:tab/>
      </w:r>
      <w:r w:rsidR="00F72ADF" w:rsidRPr="00F72ADF">
        <w:rPr>
          <w:color w:val="000000" w:themeColor="text1"/>
          <w:spacing w:val="0"/>
        </w:rPr>
        <w:t xml:space="preserve">note the work on the possible development of a UPOV similarity search tool for variety denomination purposes by the </w:t>
      </w:r>
      <w:r w:rsidR="000E42F8" w:rsidRPr="000E42F8">
        <w:rPr>
          <w:color w:val="000000" w:themeColor="text1"/>
          <w:spacing w:val="0"/>
        </w:rPr>
        <w:t>Working Group for the Development of a UPOV Denomination Similarity Search Tool</w:t>
      </w:r>
      <w:r w:rsidR="00F72ADF" w:rsidRPr="00F72ADF">
        <w:rPr>
          <w:color w:val="000000" w:themeColor="text1"/>
          <w:spacing w:val="0"/>
        </w:rPr>
        <w:t xml:space="preserve"> (WG-DST), including the test study, as set out i</w:t>
      </w:r>
      <w:r w:rsidR="00DE2A64">
        <w:rPr>
          <w:color w:val="000000" w:themeColor="text1"/>
          <w:spacing w:val="0"/>
        </w:rPr>
        <w:t>n paragraphs 6 to 13</w:t>
      </w:r>
      <w:r w:rsidR="00F72ADF">
        <w:rPr>
          <w:color w:val="000000" w:themeColor="text1"/>
          <w:spacing w:val="0"/>
        </w:rPr>
        <w:t xml:space="preserve"> </w:t>
      </w:r>
      <w:r w:rsidR="00802781" w:rsidRPr="00F62511">
        <w:rPr>
          <w:rFonts w:eastAsia="MS Mincho"/>
          <w:snapToGrid w:val="0"/>
          <w:spacing w:val="0"/>
          <w:lang w:eastAsia="ja-JP"/>
        </w:rPr>
        <w:t>above</w:t>
      </w:r>
      <w:r w:rsidR="00400F79" w:rsidRPr="00F62511">
        <w:rPr>
          <w:rFonts w:eastAsia="MS Mincho" w:hint="eastAsia"/>
          <w:snapToGrid w:val="0"/>
          <w:spacing w:val="0"/>
          <w:lang w:eastAsia="ja-JP"/>
        </w:rPr>
        <w:t>;</w:t>
      </w:r>
    </w:p>
    <w:p w:rsidR="003E3D83" w:rsidRPr="00F62511" w:rsidRDefault="003E3D83" w:rsidP="002B5FE4">
      <w:pPr>
        <w:pStyle w:val="dec"/>
        <w:tabs>
          <w:tab w:val="left" w:pos="5387"/>
          <w:tab w:val="left" w:pos="5954"/>
        </w:tabs>
        <w:ind w:left="4820"/>
        <w:rPr>
          <w:color w:val="000000" w:themeColor="text1"/>
          <w:spacing w:val="0"/>
        </w:rPr>
      </w:pPr>
    </w:p>
    <w:bookmarkEnd w:id="17"/>
    <w:p w:rsidR="00C421CB" w:rsidRDefault="002B5FE4" w:rsidP="000E42F8">
      <w:pPr>
        <w:pStyle w:val="dec"/>
        <w:tabs>
          <w:tab w:val="left" w:pos="5387"/>
          <w:tab w:val="left" w:pos="5954"/>
        </w:tabs>
        <w:ind w:left="4820"/>
        <w:rPr>
          <w:rFonts w:eastAsia="MS Mincho"/>
          <w:color w:val="000000"/>
          <w:lang w:eastAsia="ja-JP"/>
        </w:rPr>
      </w:pPr>
      <w:r>
        <w:rPr>
          <w:rFonts w:eastAsia="MS Mincho" w:cs="Arial"/>
          <w:lang w:eastAsia="ja-JP"/>
        </w:rPr>
        <w:tab/>
      </w:r>
      <w:r w:rsidR="00802781" w:rsidRPr="00F62511">
        <w:rPr>
          <w:rFonts w:eastAsia="MS Mincho" w:cs="Arial" w:hint="eastAsia"/>
          <w:lang w:eastAsia="ja-JP"/>
        </w:rPr>
        <w:t>(</w:t>
      </w:r>
      <w:r w:rsidR="00802781" w:rsidRPr="00F62511">
        <w:rPr>
          <w:rFonts w:eastAsia="MS Mincho" w:cs="Arial"/>
          <w:lang w:eastAsia="ja-JP"/>
        </w:rPr>
        <w:t>b)</w:t>
      </w:r>
      <w:r w:rsidR="00CB47D9" w:rsidRPr="00F62511">
        <w:rPr>
          <w:rFonts w:eastAsia="MS Mincho" w:cs="Arial"/>
          <w:lang w:eastAsia="ja-JP"/>
        </w:rPr>
        <w:tab/>
      </w:r>
      <w:r w:rsidR="00F72ADF" w:rsidRPr="00F72ADF">
        <w:t xml:space="preserve">consider the proposed revision of document UPOV/INF/12 in relation to changes of registered variety denominations, as set out in </w:t>
      </w:r>
      <w:r w:rsidR="00F72ADF" w:rsidRPr="00F72ADF">
        <w:lastRenderedPageBreak/>
        <w:t>paragraph 21, and subject to agreement by the CAJ, to present that guidance for adoption by the Council at its forty-ninth ordinary s</w:t>
      </w:r>
      <w:r w:rsidR="00026478">
        <w:t>ession, to be held on October 29</w:t>
      </w:r>
      <w:r w:rsidR="00F72ADF" w:rsidRPr="00F72ADF">
        <w:t>, 2015</w:t>
      </w:r>
      <w:r w:rsidR="005300D4" w:rsidRPr="00F62511">
        <w:rPr>
          <w:rFonts w:eastAsia="MS Mincho"/>
          <w:color w:val="000000"/>
        </w:rPr>
        <w:t>;</w:t>
      </w:r>
    </w:p>
    <w:p w:rsidR="000E42F8" w:rsidRPr="00F62511" w:rsidRDefault="000E42F8" w:rsidP="000E42F8">
      <w:pPr>
        <w:pStyle w:val="dec"/>
        <w:tabs>
          <w:tab w:val="left" w:pos="5387"/>
          <w:tab w:val="left" w:pos="5954"/>
        </w:tabs>
        <w:ind w:left="4820"/>
        <w:rPr>
          <w:rFonts w:eastAsia="MS Mincho" w:cs="Arial"/>
          <w:lang w:eastAsia="ja-JP"/>
        </w:rPr>
      </w:pPr>
    </w:p>
    <w:p w:rsidR="0072003C" w:rsidRPr="000E42F8" w:rsidRDefault="008E3B88" w:rsidP="002B5FE4">
      <w:pPr>
        <w:pStyle w:val="dec"/>
        <w:tabs>
          <w:tab w:val="left" w:pos="5387"/>
          <w:tab w:val="left" w:pos="5954"/>
        </w:tabs>
        <w:ind w:left="4820" w:firstLine="567"/>
        <w:rPr>
          <w:rFonts w:eastAsia="MS Mincho" w:cs="Arial"/>
          <w:lang w:eastAsia="ja-JP"/>
        </w:rPr>
      </w:pPr>
      <w:r w:rsidRPr="00F62511">
        <w:rPr>
          <w:rFonts w:eastAsia="MS Mincho" w:cs="Arial" w:hint="eastAsia"/>
          <w:lang w:eastAsia="ja-JP"/>
        </w:rPr>
        <w:t>(</w:t>
      </w:r>
      <w:r w:rsidR="00E97DFE" w:rsidRPr="00F62511">
        <w:rPr>
          <w:rFonts w:eastAsia="MS Mincho" w:cs="Arial" w:hint="eastAsia"/>
          <w:lang w:eastAsia="ja-JP"/>
        </w:rPr>
        <w:t>c</w:t>
      </w:r>
      <w:r w:rsidRPr="00F62511">
        <w:rPr>
          <w:rFonts w:eastAsia="MS Mincho" w:cs="Arial" w:hint="eastAsia"/>
          <w:lang w:eastAsia="ja-JP"/>
        </w:rPr>
        <w:t>)</w:t>
      </w:r>
      <w:r w:rsidRPr="00F62511">
        <w:rPr>
          <w:rFonts w:eastAsia="MS Mincho" w:cs="Arial" w:hint="eastAsia"/>
          <w:lang w:eastAsia="ja-JP"/>
        </w:rPr>
        <w:tab/>
      </w:r>
      <w:r w:rsidR="00F72ADF" w:rsidRPr="00F72ADF">
        <w:rPr>
          <w:rFonts w:cs="Arial"/>
          <w:lang w:eastAsia="ja-JP"/>
        </w:rPr>
        <w:t xml:space="preserve">invite the WG-DST to consider the comments by the CAJ-AG, at its ninth session, on the proposals in document UPOV/INF/12/5 Draft 2 concerning Sections 2.2.2 (b), 2.3.1 (c) and (d), and 2.3.3, as set out in </w:t>
      </w:r>
      <w:r w:rsidR="00F72ADF" w:rsidRPr="000E42F8">
        <w:rPr>
          <w:rFonts w:cs="Arial"/>
          <w:lang w:eastAsia="ja-JP"/>
        </w:rPr>
        <w:t>paragraph 27 above</w:t>
      </w:r>
      <w:r w:rsidR="0072003C" w:rsidRPr="000E42F8">
        <w:rPr>
          <w:rFonts w:eastAsia="MS Mincho" w:cs="Arial" w:hint="eastAsia"/>
          <w:lang w:eastAsia="ja-JP"/>
        </w:rPr>
        <w:t>; and</w:t>
      </w:r>
    </w:p>
    <w:p w:rsidR="002C05E5" w:rsidRPr="000E42F8" w:rsidRDefault="002C05E5" w:rsidP="002B5FE4">
      <w:pPr>
        <w:pStyle w:val="dec"/>
        <w:tabs>
          <w:tab w:val="left" w:pos="5387"/>
          <w:tab w:val="left" w:pos="5954"/>
        </w:tabs>
        <w:ind w:left="4820" w:firstLine="567"/>
        <w:rPr>
          <w:rFonts w:cs="Arial"/>
        </w:rPr>
      </w:pPr>
    </w:p>
    <w:p w:rsidR="00973A6F" w:rsidRDefault="00E97DFE" w:rsidP="002B5FE4">
      <w:pPr>
        <w:pStyle w:val="dec"/>
        <w:tabs>
          <w:tab w:val="left" w:pos="5387"/>
          <w:tab w:val="left" w:pos="5954"/>
        </w:tabs>
        <w:spacing w:after="120"/>
        <w:ind w:left="4820" w:firstLine="567"/>
        <w:rPr>
          <w:rFonts w:cs="Arial"/>
        </w:rPr>
      </w:pPr>
      <w:r w:rsidRPr="000E42F8">
        <w:rPr>
          <w:rFonts w:cs="Arial"/>
        </w:rPr>
        <w:t>(</w:t>
      </w:r>
      <w:r w:rsidRPr="000E42F8">
        <w:rPr>
          <w:rFonts w:eastAsia="MS Mincho" w:cs="Arial" w:hint="eastAsia"/>
          <w:lang w:eastAsia="ja-JP"/>
        </w:rPr>
        <w:t>d</w:t>
      </w:r>
      <w:r w:rsidR="002C05E5" w:rsidRPr="000E42F8">
        <w:rPr>
          <w:rFonts w:cs="Arial"/>
        </w:rPr>
        <w:t>)</w:t>
      </w:r>
      <w:r w:rsidR="002C05E5" w:rsidRPr="000E42F8">
        <w:rPr>
          <w:rFonts w:cs="Arial"/>
        </w:rPr>
        <w:tab/>
      </w:r>
      <w:r w:rsidR="00F72ADF" w:rsidRPr="000E42F8">
        <w:rPr>
          <w:rFonts w:cs="Arial"/>
        </w:rPr>
        <w:t xml:space="preserve">consider the proposals of the CAJ-AG under Sections 2.2.2 (c), </w:t>
      </w:r>
      <w:r w:rsidR="00026478">
        <w:rPr>
          <w:rFonts w:cs="Arial"/>
        </w:rPr>
        <w:t>4(a) and 4(e)(i) at its seventy</w:t>
      </w:r>
      <w:r w:rsidR="00026478">
        <w:rPr>
          <w:rFonts w:cs="Arial"/>
        </w:rPr>
        <w:noBreakHyphen/>
      </w:r>
      <w:r w:rsidR="00F72ADF" w:rsidRPr="000E42F8">
        <w:rPr>
          <w:rFonts w:cs="Arial"/>
        </w:rPr>
        <w:t xml:space="preserve">second session, as set out in paragraph 28 </w:t>
      </w:r>
      <w:r w:rsidR="000228BD" w:rsidRPr="000E42F8">
        <w:rPr>
          <w:rFonts w:eastAsia="MS Mincho" w:cs="Arial" w:hint="eastAsia"/>
          <w:lang w:eastAsia="ja-JP"/>
        </w:rPr>
        <w:t>above</w:t>
      </w:r>
      <w:r w:rsidR="00F01F36">
        <w:rPr>
          <w:rFonts w:cs="Arial"/>
        </w:rPr>
        <w:t>.</w:t>
      </w:r>
    </w:p>
    <w:p w:rsidR="00F72ADF" w:rsidRDefault="00F72ADF" w:rsidP="00F72ADF">
      <w:pPr>
        <w:pStyle w:val="DecisionParagraphs"/>
        <w:ind w:left="0"/>
        <w:rPr>
          <w:i w:val="0"/>
        </w:rPr>
      </w:pPr>
    </w:p>
    <w:p w:rsidR="00973461" w:rsidRDefault="00973461" w:rsidP="00F72ADF">
      <w:pPr>
        <w:pStyle w:val="DecisionParagraphs"/>
        <w:ind w:left="0"/>
        <w:rPr>
          <w:i w:val="0"/>
        </w:rPr>
      </w:pPr>
    </w:p>
    <w:p w:rsidR="00973461" w:rsidRPr="00822A3B" w:rsidRDefault="00973461" w:rsidP="00F72ADF">
      <w:pPr>
        <w:pStyle w:val="DecisionParagraphs"/>
        <w:ind w:left="0"/>
        <w:rPr>
          <w:i w:val="0"/>
        </w:rPr>
      </w:pPr>
    </w:p>
    <w:p w:rsidR="003E3D83" w:rsidRPr="00973A6F" w:rsidRDefault="003E3D83" w:rsidP="00973A6F">
      <w:pPr>
        <w:pStyle w:val="dec"/>
        <w:ind w:firstLine="567"/>
        <w:jc w:val="right"/>
        <w:rPr>
          <w:rFonts w:cs="Arial"/>
          <w:i w:val="0"/>
          <w:iCs/>
        </w:rPr>
      </w:pPr>
      <w:r w:rsidRPr="00973A6F">
        <w:rPr>
          <w:rFonts w:cs="Arial"/>
          <w:i w:val="0"/>
          <w:iCs/>
        </w:rPr>
        <w:t>[</w:t>
      </w:r>
      <w:r w:rsidRPr="00973A6F">
        <w:rPr>
          <w:rFonts w:cs="Arial" w:hint="eastAsia"/>
          <w:i w:val="0"/>
          <w:iCs/>
          <w:lang w:eastAsia="ja-JP"/>
        </w:rPr>
        <w:t>End of document</w:t>
      </w:r>
      <w:r w:rsidRPr="00973A6F">
        <w:rPr>
          <w:rFonts w:cs="Arial"/>
          <w:i w:val="0"/>
          <w:iCs/>
        </w:rPr>
        <w:t>]</w:t>
      </w:r>
    </w:p>
    <w:sectPr w:rsidR="003E3D83" w:rsidRPr="00973A6F" w:rsidSect="00906DDC">
      <w:headerReference w:type="defaul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0FE" w:rsidRDefault="006C60FE">
      <w:r>
        <w:separator/>
      </w:r>
    </w:p>
    <w:p w:rsidR="006C60FE" w:rsidRDefault="006C60FE"/>
    <w:p w:rsidR="006C60FE" w:rsidRDefault="006C60FE"/>
  </w:endnote>
  <w:endnote w:type="continuationSeparator" w:id="0">
    <w:p w:rsidR="006C60FE" w:rsidRDefault="006C60FE">
      <w:r>
        <w:separator/>
      </w:r>
    </w:p>
    <w:p w:rsidR="006C60FE" w:rsidRPr="00664515" w:rsidRDefault="006C60FE">
      <w:pPr>
        <w:pStyle w:val="Footer"/>
        <w:spacing w:after="60"/>
        <w:rPr>
          <w:sz w:val="18"/>
          <w:lang w:val="fr-CH"/>
        </w:rPr>
      </w:pPr>
      <w:r w:rsidRPr="00664515">
        <w:rPr>
          <w:sz w:val="18"/>
          <w:lang w:val="fr-CH"/>
        </w:rPr>
        <w:t>[Suite de la note de la page précédente]</w:t>
      </w:r>
    </w:p>
    <w:p w:rsidR="006C60FE" w:rsidRPr="00664515" w:rsidRDefault="006C60FE">
      <w:pPr>
        <w:rPr>
          <w:lang w:val="fr-CH"/>
        </w:rPr>
      </w:pPr>
    </w:p>
    <w:p w:rsidR="006C60FE" w:rsidRPr="00664515" w:rsidRDefault="006C60FE">
      <w:pPr>
        <w:rPr>
          <w:lang w:val="fr-CH"/>
        </w:rPr>
      </w:pPr>
    </w:p>
  </w:endnote>
  <w:endnote w:type="continuationNotice" w:id="1">
    <w:p w:rsidR="006C60FE" w:rsidRPr="00664515" w:rsidRDefault="006C60FE">
      <w:pPr>
        <w:spacing w:before="60"/>
        <w:jc w:val="right"/>
        <w:rPr>
          <w:sz w:val="18"/>
          <w:lang w:val="fr-CH"/>
        </w:rPr>
      </w:pPr>
      <w:r w:rsidRPr="00664515">
        <w:rPr>
          <w:sz w:val="18"/>
          <w:lang w:val="fr-CH"/>
        </w:rPr>
        <w:t>[Suite de la note page suivante]</w:t>
      </w:r>
    </w:p>
    <w:p w:rsidR="006C60FE" w:rsidRPr="00664515" w:rsidRDefault="006C60FE">
      <w:pPr>
        <w:rPr>
          <w:lang w:val="fr-CH"/>
        </w:rPr>
      </w:pPr>
    </w:p>
    <w:p w:rsidR="006C60FE" w:rsidRPr="00664515" w:rsidRDefault="006C60FE">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0FE" w:rsidRDefault="006C60FE" w:rsidP="009D690D">
      <w:pPr>
        <w:spacing w:before="120"/>
      </w:pPr>
      <w:r>
        <w:separator/>
      </w:r>
    </w:p>
  </w:footnote>
  <w:footnote w:type="continuationSeparator" w:id="0">
    <w:p w:rsidR="006C60FE" w:rsidRDefault="006C60FE" w:rsidP="00520297">
      <w:pPr>
        <w:spacing w:before="120"/>
        <w:jc w:val="left"/>
      </w:pPr>
      <w:r>
        <w:separator/>
      </w:r>
    </w:p>
  </w:footnote>
  <w:footnote w:type="continuationNotice" w:id="1">
    <w:p w:rsidR="006C60FE" w:rsidRDefault="006C60FE"/>
  </w:footnote>
  <w:footnote w:id="2">
    <w:p w:rsidR="00676B9F" w:rsidRPr="00676B9F" w:rsidRDefault="00676B9F" w:rsidP="005546A4">
      <w:pPr>
        <w:pStyle w:val="FootnoteText"/>
        <w:rPr>
          <w:lang w:eastAsia="ja-JP"/>
        </w:rPr>
      </w:pPr>
      <w:r>
        <w:rPr>
          <w:rStyle w:val="FootnoteReference"/>
        </w:rPr>
        <w:footnoteRef/>
      </w:r>
      <w:r>
        <w:t xml:space="preserve"> </w:t>
      </w:r>
      <w:r w:rsidR="00B45126">
        <w:rPr>
          <w:rFonts w:hint="eastAsia"/>
          <w:lang w:eastAsia="ja-JP"/>
        </w:rPr>
        <w:tab/>
        <w:t>H</w:t>
      </w:r>
      <w:r>
        <w:rPr>
          <w:lang w:eastAsia="ja-JP"/>
        </w:rPr>
        <w:t>eld in Geneva, October 13, 2014</w:t>
      </w:r>
      <w:r w:rsidR="00433B8A">
        <w:rPr>
          <w:lang w:eastAsia="ja-JP"/>
        </w:rPr>
        <w:t>.</w:t>
      </w:r>
    </w:p>
  </w:footnote>
  <w:footnote w:id="3">
    <w:p w:rsidR="00676B9F" w:rsidRPr="00676B9F" w:rsidRDefault="00676B9F" w:rsidP="005546A4">
      <w:pPr>
        <w:pStyle w:val="FootnoteText"/>
        <w:rPr>
          <w:lang w:eastAsia="ja-JP"/>
        </w:rPr>
      </w:pPr>
      <w:r>
        <w:rPr>
          <w:rStyle w:val="FootnoteReference"/>
        </w:rPr>
        <w:footnoteRef/>
      </w:r>
      <w:r>
        <w:t xml:space="preserve"> </w:t>
      </w:r>
      <w:r w:rsidR="00B45126">
        <w:rPr>
          <w:rFonts w:hint="eastAsia"/>
          <w:lang w:eastAsia="ja-JP"/>
        </w:rPr>
        <w:tab/>
        <w:t>H</w:t>
      </w:r>
      <w:r w:rsidRPr="004B56C9">
        <w:t xml:space="preserve">eld </w:t>
      </w:r>
      <w:r>
        <w:t>in Geneva</w:t>
      </w:r>
      <w:r>
        <w:rPr>
          <w:rFonts w:hint="eastAsia"/>
          <w:lang w:eastAsia="ja-JP"/>
        </w:rPr>
        <w:t>,</w:t>
      </w:r>
      <w:r>
        <w:t xml:space="preserve"> September 3, 2014</w:t>
      </w:r>
      <w:r w:rsidR="00433B8A">
        <w:t>.</w:t>
      </w:r>
    </w:p>
  </w:footnote>
  <w:footnote w:id="4">
    <w:p w:rsidR="004F73E6" w:rsidRDefault="004F73E6" w:rsidP="005546A4">
      <w:pPr>
        <w:pStyle w:val="FootnoteText"/>
        <w:rPr>
          <w:lang w:eastAsia="ja-JP"/>
        </w:rPr>
      </w:pPr>
      <w:r>
        <w:rPr>
          <w:rStyle w:val="FootnoteReference"/>
        </w:rPr>
        <w:footnoteRef/>
      </w:r>
      <w:r>
        <w:t xml:space="preserve"> </w:t>
      </w:r>
      <w:r w:rsidR="00B45126">
        <w:rPr>
          <w:rFonts w:hint="eastAsia"/>
          <w:lang w:eastAsia="ja-JP"/>
        </w:rPr>
        <w:tab/>
        <w:t>S</w:t>
      </w:r>
      <w:r>
        <w:t>ee document CAJ/70/10 “Report on the Conclusions”, paragraph</w:t>
      </w:r>
      <w:r w:rsidRPr="00825B54">
        <w:t>s</w:t>
      </w:r>
      <w:r>
        <w:t xml:space="preserve"> 26 to 29</w:t>
      </w:r>
      <w:r w:rsidR="00433B8A">
        <w:t>.</w:t>
      </w:r>
    </w:p>
  </w:footnote>
  <w:footnote w:id="5">
    <w:p w:rsidR="00DB113F" w:rsidRDefault="00DB113F" w:rsidP="005546A4">
      <w:pPr>
        <w:pStyle w:val="FootnoteText"/>
        <w:rPr>
          <w:lang w:eastAsia="ja-JP"/>
        </w:rPr>
      </w:pPr>
      <w:r>
        <w:rPr>
          <w:rStyle w:val="FootnoteReference"/>
        </w:rPr>
        <w:footnoteRef/>
      </w:r>
      <w:r>
        <w:t xml:space="preserve"> </w:t>
      </w:r>
      <w:r w:rsidR="00B45126">
        <w:rPr>
          <w:rFonts w:hint="eastAsia"/>
          <w:lang w:eastAsia="ja-JP"/>
        </w:rPr>
        <w:tab/>
      </w:r>
      <w:r w:rsidR="00B45126" w:rsidRPr="00822A3B">
        <w:rPr>
          <w:rFonts w:hint="eastAsia"/>
          <w:lang w:eastAsia="ja-JP"/>
        </w:rPr>
        <w:t xml:space="preserve">See </w:t>
      </w:r>
      <w:r w:rsidRPr="00822A3B">
        <w:rPr>
          <w:snapToGrid w:val="0"/>
        </w:rPr>
        <w:t>UPOV Circular E-15/018</w:t>
      </w:r>
      <w:r w:rsidR="00483972">
        <w:rPr>
          <w:snapToGrid w:val="0"/>
          <w:lang w:eastAsia="ja-JP"/>
        </w:rPr>
        <w:t xml:space="preserve"> of</w:t>
      </w:r>
      <w:r w:rsidRPr="00822A3B">
        <w:rPr>
          <w:snapToGrid w:val="0"/>
        </w:rPr>
        <w:t> </w:t>
      </w:r>
      <w:r w:rsidRPr="00822A3B">
        <w:rPr>
          <w:rFonts w:hint="eastAsia"/>
          <w:lang w:eastAsia="ja-JP"/>
        </w:rPr>
        <w:t>February 6, 2015</w:t>
      </w:r>
      <w:r w:rsidR="00433B8A">
        <w:rPr>
          <w:lang w:eastAsia="ja-JP"/>
        </w:rPr>
        <w:t>.</w:t>
      </w:r>
    </w:p>
  </w:footnote>
  <w:footnote w:id="6">
    <w:p w:rsidR="00D81E9C" w:rsidRDefault="00D81E9C" w:rsidP="005546A4">
      <w:pPr>
        <w:pStyle w:val="FootnoteText"/>
        <w:rPr>
          <w:lang w:eastAsia="ja-JP"/>
        </w:rPr>
      </w:pPr>
      <w:r>
        <w:rPr>
          <w:rStyle w:val="FootnoteReference"/>
        </w:rPr>
        <w:footnoteRef/>
      </w:r>
      <w:r>
        <w:t xml:space="preserve"> </w:t>
      </w:r>
      <w:r>
        <w:rPr>
          <w:rFonts w:hint="eastAsia"/>
          <w:lang w:eastAsia="ja-JP"/>
        </w:rPr>
        <w:tab/>
      </w:r>
      <w:r>
        <w:rPr>
          <w:rFonts w:hint="eastAsia"/>
          <w:snapToGrid w:val="0"/>
          <w:lang w:eastAsia="ja-JP"/>
        </w:rPr>
        <w:t>H</w:t>
      </w:r>
      <w:r w:rsidRPr="00510EB1">
        <w:rPr>
          <w:snapToGrid w:val="0"/>
        </w:rPr>
        <w:t xml:space="preserve">eld </w:t>
      </w:r>
      <w:r>
        <w:rPr>
          <w:rFonts w:hint="eastAsia"/>
          <w:snapToGrid w:val="0"/>
          <w:lang w:eastAsia="ja-JP"/>
        </w:rPr>
        <w:t>on</w:t>
      </w:r>
      <w:r w:rsidRPr="00510EB1">
        <w:rPr>
          <w:snapToGrid w:val="0"/>
        </w:rPr>
        <w:t xml:space="preserve"> April 10, 2014</w:t>
      </w:r>
      <w:r w:rsidR="005546A4">
        <w:rPr>
          <w:snapToGrid w:val="0"/>
        </w:rPr>
        <w:t>.</w:t>
      </w:r>
    </w:p>
  </w:footnote>
  <w:footnote w:id="7">
    <w:p w:rsidR="00D81E9C" w:rsidRDefault="00D81E9C" w:rsidP="005546A4">
      <w:pPr>
        <w:pStyle w:val="FootnoteText"/>
        <w:rPr>
          <w:lang w:eastAsia="ja-JP"/>
        </w:rPr>
      </w:pPr>
      <w:r>
        <w:rPr>
          <w:rStyle w:val="FootnoteReference"/>
        </w:rPr>
        <w:footnoteRef/>
      </w:r>
      <w:r>
        <w:t xml:space="preserve"> </w:t>
      </w:r>
      <w:r>
        <w:tab/>
      </w:r>
      <w:r>
        <w:rPr>
          <w:rFonts w:hint="eastAsia"/>
          <w:lang w:eastAsia="ja-JP"/>
        </w:rPr>
        <w:t>H</w:t>
      </w:r>
      <w:r w:rsidRPr="00346346">
        <w:t>eld on October 14 and 17, 2014</w:t>
      </w:r>
      <w:r w:rsidR="005546A4">
        <w:t>.</w:t>
      </w:r>
    </w:p>
  </w:footnote>
  <w:footnote w:id="8">
    <w:p w:rsidR="001F730D" w:rsidRDefault="001F730D" w:rsidP="005546A4">
      <w:pPr>
        <w:pStyle w:val="FootnoteText"/>
      </w:pPr>
      <w:r>
        <w:rPr>
          <w:rStyle w:val="FootnoteReference"/>
        </w:rPr>
        <w:footnoteRef/>
      </w:r>
      <w:r>
        <w:t xml:space="preserve"> </w:t>
      </w:r>
      <w:r>
        <w:tab/>
        <w:t>See document CAJ-AG/13/8/10 “Report on the Conclusions”, paragraph 70</w:t>
      </w:r>
      <w:r w:rsidR="00E66B3C">
        <w:t xml:space="preserve"> and 71</w:t>
      </w:r>
      <w:r w:rsidR="005546A4">
        <w:t>.</w:t>
      </w:r>
    </w:p>
  </w:footnote>
  <w:footnote w:id="9">
    <w:p w:rsidR="00B45126" w:rsidRPr="00B45126" w:rsidRDefault="00B45126" w:rsidP="005546A4">
      <w:pPr>
        <w:pStyle w:val="FootnoteText"/>
        <w:rPr>
          <w:lang w:eastAsia="ja-JP"/>
        </w:rPr>
      </w:pPr>
      <w:r>
        <w:rPr>
          <w:rStyle w:val="FootnoteReference"/>
        </w:rPr>
        <w:footnoteRef/>
      </w:r>
      <w:r>
        <w:t xml:space="preserve"> </w:t>
      </w:r>
      <w:r>
        <w:rPr>
          <w:rFonts w:hint="eastAsia"/>
          <w:lang w:eastAsia="ja-JP"/>
        </w:rPr>
        <w:tab/>
        <w:t>H</w:t>
      </w:r>
      <w:r>
        <w:t xml:space="preserve">eld </w:t>
      </w:r>
      <w:r w:rsidRPr="00482F75">
        <w:t>in Geneva on October 21</w:t>
      </w:r>
      <w:r>
        <w:t xml:space="preserve"> </w:t>
      </w:r>
      <w:r w:rsidRPr="00482F75">
        <w:t>and 25, 2013</w:t>
      </w:r>
      <w:r w:rsidR="005546A4">
        <w:t>.</w:t>
      </w:r>
    </w:p>
  </w:footnote>
  <w:footnote w:id="10">
    <w:p w:rsidR="00D81E9C" w:rsidRDefault="00D81E9C" w:rsidP="005546A4">
      <w:pPr>
        <w:pStyle w:val="FootnoteText"/>
      </w:pPr>
      <w:r>
        <w:rPr>
          <w:rStyle w:val="FootnoteReference"/>
        </w:rPr>
        <w:footnoteRef/>
      </w:r>
      <w:r>
        <w:t xml:space="preserve"> </w:t>
      </w:r>
      <w:r>
        <w:tab/>
        <w:t>See document CAJ/69/12</w:t>
      </w:r>
      <w:r w:rsidRPr="001C522C">
        <w:t xml:space="preserve"> </w:t>
      </w:r>
      <w:r>
        <w:t>“</w:t>
      </w:r>
      <w:r w:rsidRPr="001C522C">
        <w:t>Report</w:t>
      </w:r>
      <w:r>
        <w:t xml:space="preserve"> on the Conclusions”, paragraph 27</w:t>
      </w:r>
      <w:r w:rsidR="005546A4">
        <w:t>.</w:t>
      </w:r>
    </w:p>
  </w:footnote>
  <w:footnote w:id="11">
    <w:p w:rsidR="00D81E9C" w:rsidRPr="00433B8A" w:rsidRDefault="00D81E9C" w:rsidP="005546A4">
      <w:pPr>
        <w:pStyle w:val="FootnoteText"/>
        <w:rPr>
          <w:lang w:eastAsia="ja-JP"/>
        </w:rPr>
      </w:pPr>
      <w:r w:rsidRPr="00433B8A">
        <w:rPr>
          <w:rStyle w:val="FootnoteReference"/>
        </w:rPr>
        <w:footnoteRef/>
      </w:r>
      <w:r w:rsidRPr="00433B8A">
        <w:t xml:space="preserve">  </w:t>
      </w:r>
      <w:r w:rsidRPr="00433B8A">
        <w:rPr>
          <w:rFonts w:hint="eastAsia"/>
          <w:lang w:eastAsia="ja-JP"/>
        </w:rPr>
        <w:tab/>
        <w:t>S</w:t>
      </w:r>
      <w:r w:rsidRPr="00433B8A">
        <w:t xml:space="preserve">ee CAJ-AG/13 section under “Consideration by Correspondence”:  </w:t>
      </w:r>
      <w:hyperlink r:id="rId1" w:history="1">
        <w:r w:rsidRPr="00433B8A">
          <w:rPr>
            <w:rStyle w:val="Hyperlink"/>
            <w:szCs w:val="24"/>
          </w:rPr>
          <w:t>http://www.upov.int/meetings/en/details.jsp?meeting_id=29783</w:t>
        </w:r>
      </w:hyperlink>
      <w:r w:rsidR="005546A4">
        <w:rPr>
          <w:rStyle w:val="Hyperlink"/>
          <w:szCs w:val="24"/>
        </w:rPr>
        <w:t>.</w:t>
      </w:r>
    </w:p>
  </w:footnote>
  <w:footnote w:id="12">
    <w:p w:rsidR="00D81E9C" w:rsidRDefault="00D81E9C" w:rsidP="005546A4">
      <w:pPr>
        <w:pStyle w:val="FootnoteText"/>
      </w:pPr>
      <w:r>
        <w:rPr>
          <w:rStyle w:val="FootnoteReference"/>
        </w:rPr>
        <w:footnoteRef/>
      </w:r>
      <w:r>
        <w:tab/>
        <w:t>See document CAJ/69/12</w:t>
      </w:r>
      <w:r w:rsidRPr="001C522C">
        <w:t xml:space="preserve"> </w:t>
      </w:r>
      <w:r>
        <w:t>“</w:t>
      </w:r>
      <w:r w:rsidRPr="001C522C">
        <w:t>Report</w:t>
      </w:r>
      <w:r>
        <w:t xml:space="preserve"> on the Conclusions”, paragraph 28.</w:t>
      </w:r>
    </w:p>
  </w:footnote>
  <w:footnote w:id="13">
    <w:p w:rsidR="00D81E9C" w:rsidRDefault="00D81E9C" w:rsidP="005546A4">
      <w:pPr>
        <w:pStyle w:val="FootnoteText"/>
        <w:rPr>
          <w:lang w:eastAsia="ja-JP"/>
        </w:rPr>
      </w:pPr>
      <w:r>
        <w:rPr>
          <w:rStyle w:val="FootnoteReference"/>
        </w:rPr>
        <w:footnoteRef/>
      </w:r>
      <w:r>
        <w:t xml:space="preserve"> </w:t>
      </w:r>
      <w:r>
        <w:rPr>
          <w:rFonts w:hint="eastAsia"/>
          <w:lang w:eastAsia="ja-JP"/>
        </w:rPr>
        <w:tab/>
      </w:r>
      <w:hyperlink r:id="rId2" w:history="1">
        <w:r w:rsidR="00483972" w:rsidRPr="00E457F0">
          <w:rPr>
            <w:rStyle w:val="Hyperlink"/>
            <w:lang w:eastAsia="ja-JP"/>
          </w:rPr>
          <w:t>http://www.upov.int/meetings/en/details.jsp?meeting_id=35055</w:t>
        </w:r>
      </w:hyperlink>
      <w:r w:rsidR="00483972">
        <w:rPr>
          <w:lang w:eastAsia="ja-JP"/>
        </w:rPr>
        <w:t>.</w:t>
      </w:r>
    </w:p>
  </w:footnote>
  <w:footnote w:id="14">
    <w:p w:rsidR="00D81E9C" w:rsidRDefault="00D81E9C" w:rsidP="005546A4">
      <w:pPr>
        <w:pStyle w:val="FootnoteText"/>
      </w:pPr>
      <w:r>
        <w:rPr>
          <w:rStyle w:val="FootnoteReference"/>
        </w:rPr>
        <w:footnoteRef/>
      </w:r>
      <w:r>
        <w:t xml:space="preserve"> </w:t>
      </w:r>
      <w:r>
        <w:tab/>
      </w:r>
      <w:r>
        <w:rPr>
          <w:szCs w:val="26"/>
        </w:rPr>
        <w:t xml:space="preserve">See document </w:t>
      </w:r>
      <w:r w:rsidRPr="00A2438A">
        <w:t>CAJ</w:t>
      </w:r>
      <w:r>
        <w:noBreakHyphen/>
      </w:r>
      <w:r w:rsidRPr="006E3C2E">
        <w:t>AG/14/9/6 “Report</w:t>
      </w:r>
      <w:r>
        <w:t xml:space="preserve"> on the Conclusions”, paragraph 15</w:t>
      </w:r>
      <w:r w:rsidR="00483972">
        <w:t>.</w:t>
      </w:r>
    </w:p>
  </w:footnote>
  <w:footnote w:id="15">
    <w:p w:rsidR="00E834E6" w:rsidRPr="00B45126" w:rsidRDefault="00E834E6" w:rsidP="005546A4">
      <w:pPr>
        <w:pStyle w:val="FootnoteText"/>
        <w:rPr>
          <w:lang w:eastAsia="ja-JP"/>
        </w:rPr>
      </w:pPr>
      <w:r>
        <w:rPr>
          <w:rStyle w:val="FootnoteReference"/>
        </w:rPr>
        <w:footnoteRef/>
      </w:r>
      <w:r>
        <w:t xml:space="preserve"> </w:t>
      </w:r>
      <w:r>
        <w:rPr>
          <w:rFonts w:hint="eastAsia"/>
          <w:lang w:eastAsia="ja-JP"/>
        </w:rPr>
        <w:tab/>
        <w:t>H</w:t>
      </w:r>
      <w:r>
        <w:t xml:space="preserve">eld </w:t>
      </w:r>
      <w:r w:rsidRPr="00482F75">
        <w:t>in Geneva on October 21</w:t>
      </w:r>
      <w:r>
        <w:t xml:space="preserve"> </w:t>
      </w:r>
      <w:r w:rsidRPr="00482F75">
        <w:t>and 25, 2013</w:t>
      </w:r>
      <w:r w:rsidR="00F62511">
        <w:t>.</w:t>
      </w:r>
    </w:p>
  </w:footnote>
  <w:footnote w:id="16">
    <w:p w:rsidR="00822A3B" w:rsidRPr="00214B92" w:rsidRDefault="00822A3B" w:rsidP="005546A4">
      <w:pPr>
        <w:pStyle w:val="FootnoteText"/>
        <w:rPr>
          <w:lang w:eastAsia="ja-JP"/>
        </w:rPr>
      </w:pPr>
      <w:r>
        <w:rPr>
          <w:rStyle w:val="FootnoteReference"/>
        </w:rPr>
        <w:footnoteRef/>
      </w:r>
      <w:r>
        <w:t xml:space="preserve"> </w:t>
      </w:r>
      <w:r>
        <w:rPr>
          <w:rFonts w:hint="eastAsia"/>
          <w:lang w:eastAsia="ja-JP"/>
        </w:rPr>
        <w:tab/>
      </w:r>
      <w:r>
        <w:t>See document CAJ-AG/13/8/10 “Report on the Conclusions”, paragraph 70 and 71</w:t>
      </w:r>
      <w:r w:rsidR="005546A4">
        <w:t>.</w:t>
      </w:r>
    </w:p>
  </w:footnote>
  <w:footnote w:id="17">
    <w:p w:rsidR="00BA4549" w:rsidRDefault="00BA4549" w:rsidP="00BA4549">
      <w:pPr>
        <w:pStyle w:val="FootnoteText"/>
        <w:rPr>
          <w:lang w:eastAsia="ja-JP"/>
        </w:rPr>
      </w:pPr>
      <w:r>
        <w:rPr>
          <w:rStyle w:val="FootnoteReference"/>
        </w:rPr>
        <w:footnoteRef/>
      </w:r>
      <w:r>
        <w:t xml:space="preserve"> </w:t>
      </w:r>
      <w:r>
        <w:rPr>
          <w:rFonts w:hint="eastAsia"/>
          <w:lang w:eastAsia="ja-JP"/>
        </w:rPr>
        <w:tab/>
      </w:r>
      <w:r>
        <w:rPr>
          <w:rFonts w:hint="eastAsia"/>
          <w:snapToGrid w:val="0"/>
          <w:lang w:eastAsia="ja-JP"/>
        </w:rPr>
        <w:t>H</w:t>
      </w:r>
      <w:r w:rsidRPr="00510EB1">
        <w:rPr>
          <w:snapToGrid w:val="0"/>
        </w:rPr>
        <w:t xml:space="preserve">eld </w:t>
      </w:r>
      <w:r>
        <w:rPr>
          <w:rFonts w:hint="eastAsia"/>
          <w:snapToGrid w:val="0"/>
          <w:lang w:eastAsia="ja-JP"/>
        </w:rPr>
        <w:t>on</w:t>
      </w:r>
      <w:r w:rsidRPr="00510EB1">
        <w:rPr>
          <w:snapToGrid w:val="0"/>
        </w:rPr>
        <w:t xml:space="preserve"> April 10, 2014</w:t>
      </w:r>
      <w:r>
        <w:rPr>
          <w:snapToGrid w:val="0"/>
        </w:rPr>
        <w:t>.</w:t>
      </w:r>
    </w:p>
  </w:footnote>
  <w:footnote w:id="18">
    <w:p w:rsidR="00BA4549" w:rsidRPr="00214B92" w:rsidRDefault="00BA4549" w:rsidP="00BA4549">
      <w:pPr>
        <w:pStyle w:val="FootnoteText"/>
        <w:rPr>
          <w:lang w:eastAsia="ja-JP"/>
        </w:rPr>
      </w:pPr>
      <w:r>
        <w:rPr>
          <w:rStyle w:val="FootnoteReference"/>
        </w:rPr>
        <w:footnoteRef/>
      </w:r>
      <w:r>
        <w:t xml:space="preserve"> </w:t>
      </w:r>
      <w:r>
        <w:rPr>
          <w:rFonts w:hint="eastAsia"/>
          <w:lang w:eastAsia="ja-JP"/>
        </w:rPr>
        <w:tab/>
        <w:t>H</w:t>
      </w:r>
      <w:r w:rsidRPr="00A2438A">
        <w:rPr>
          <w:rFonts w:hint="eastAsia"/>
          <w:lang w:eastAsia="ja-JP"/>
        </w:rPr>
        <w:t>eld in Geneva, on October 14 and 17, 2014</w:t>
      </w:r>
      <w:r>
        <w:rPr>
          <w:lang w:eastAsia="ja-JP"/>
        </w:rPr>
        <w:t>.</w:t>
      </w:r>
    </w:p>
  </w:footnote>
  <w:footnote w:id="19">
    <w:p w:rsidR="002F7364" w:rsidRDefault="002F7364" w:rsidP="005546A4">
      <w:pPr>
        <w:pStyle w:val="FootnoteText"/>
        <w:rPr>
          <w:lang w:eastAsia="ja-JP"/>
        </w:rPr>
      </w:pPr>
      <w:r>
        <w:rPr>
          <w:rStyle w:val="FootnoteReference"/>
        </w:rPr>
        <w:footnoteRef/>
      </w:r>
      <w:r>
        <w:t xml:space="preserve"> </w:t>
      </w:r>
      <w:r>
        <w:rPr>
          <w:rFonts w:hint="eastAsia"/>
          <w:lang w:eastAsia="ja-JP"/>
        </w:rPr>
        <w:tab/>
        <w:t>S</w:t>
      </w:r>
      <w:r w:rsidRPr="00A2438A">
        <w:t>ee document CAJ</w:t>
      </w:r>
      <w:r>
        <w:noBreakHyphen/>
      </w:r>
      <w:r w:rsidRPr="006E3C2E">
        <w:t>AG/14/9/6 “Report</w:t>
      </w:r>
      <w:r>
        <w:t xml:space="preserve"> on the Conclusions”, paragraph 16</w:t>
      </w:r>
      <w:r w:rsidR="00433B8A">
        <w:t>.</w:t>
      </w:r>
    </w:p>
  </w:footnote>
  <w:footnote w:id="20">
    <w:p w:rsidR="00C372E9" w:rsidRPr="00D306D7" w:rsidRDefault="00C372E9" w:rsidP="005546A4">
      <w:pPr>
        <w:pStyle w:val="FootnoteText"/>
      </w:pPr>
      <w:r w:rsidRPr="00D306D7">
        <w:rPr>
          <w:rStyle w:val="FootnoteReference"/>
          <w:szCs w:val="16"/>
        </w:rPr>
        <w:footnoteRef/>
      </w:r>
      <w:r w:rsidR="00433B8A">
        <w:tab/>
      </w:r>
      <w:r w:rsidRPr="00D306D7">
        <w:t>T</w:t>
      </w:r>
      <w:r w:rsidRPr="00D306D7">
        <w:rPr>
          <w:rFonts w:hint="eastAsia"/>
          <w:lang w:eastAsia="ja-JP"/>
        </w:rPr>
        <w:t>o be he</w:t>
      </w:r>
      <w:r w:rsidR="00433B8A">
        <w:rPr>
          <w:rFonts w:hint="eastAsia"/>
          <w:lang w:eastAsia="ja-JP"/>
        </w:rPr>
        <w:t>ld in Geneva, on March 26, 2015</w:t>
      </w:r>
      <w:r w:rsidR="00433B8A">
        <w:rPr>
          <w:lang w:eastAsia="ja-JP"/>
        </w:rPr>
        <w:t>.</w:t>
      </w:r>
    </w:p>
  </w:footnote>
  <w:footnote w:id="21">
    <w:p w:rsidR="00C372E9" w:rsidRDefault="00C372E9" w:rsidP="00433B8A">
      <w:pPr>
        <w:spacing w:before="60"/>
        <w:ind w:right="567"/>
      </w:pPr>
      <w:r w:rsidRPr="00D306D7">
        <w:rPr>
          <w:rStyle w:val="FootnoteReference"/>
          <w:sz w:val="16"/>
          <w:szCs w:val="16"/>
        </w:rPr>
        <w:footnoteRef/>
      </w:r>
      <w:r w:rsidRPr="00D306D7">
        <w:rPr>
          <w:sz w:val="16"/>
          <w:szCs w:val="16"/>
        </w:rPr>
        <w:t xml:space="preserve"> </w:t>
      </w:r>
      <w:r w:rsidRPr="00D306D7">
        <w:rPr>
          <w:sz w:val="16"/>
          <w:szCs w:val="16"/>
        </w:rPr>
        <w:tab/>
      </w:r>
      <w:r w:rsidRPr="00D306D7">
        <w:rPr>
          <w:color w:val="000000"/>
          <w:sz w:val="16"/>
          <w:szCs w:val="16"/>
        </w:rPr>
        <w:t>To be held on October 28, 2015</w:t>
      </w:r>
      <w:r w:rsidRPr="00D306D7">
        <w:rPr>
          <w:color w:val="000000"/>
          <w:sz w:val="16"/>
          <w:szCs w:val="16"/>
          <w:lang w:eastAsia="ja-JP"/>
        </w:rPr>
        <w:t>.</w:t>
      </w:r>
    </w:p>
  </w:footnote>
  <w:footnote w:id="22">
    <w:p w:rsidR="00192EC1" w:rsidRDefault="00192EC1" w:rsidP="005546A4">
      <w:pPr>
        <w:pStyle w:val="FootnoteText"/>
        <w:rPr>
          <w:lang w:eastAsia="ja-JP"/>
        </w:rPr>
      </w:pPr>
      <w:r>
        <w:rPr>
          <w:rStyle w:val="FootnoteReference"/>
        </w:rPr>
        <w:footnoteRef/>
      </w:r>
      <w:r>
        <w:t xml:space="preserve"> </w:t>
      </w:r>
      <w:r>
        <w:rPr>
          <w:rFonts w:hint="eastAsia"/>
          <w:lang w:eastAsia="ja-JP"/>
        </w:rPr>
        <w:tab/>
        <w:t>S</w:t>
      </w:r>
      <w:r>
        <w:t>ee document CAJ</w:t>
      </w:r>
      <w:r>
        <w:noBreakHyphen/>
      </w:r>
      <w:r w:rsidRPr="006E3C2E">
        <w:t>AG/14/9/6 “Report on the Conclusions”, paragraph 18</w:t>
      </w:r>
      <w:r w:rsidR="005546A4">
        <w:t>.</w:t>
      </w:r>
    </w:p>
  </w:footnote>
  <w:footnote w:id="23">
    <w:p w:rsidR="00DE2A64" w:rsidRDefault="00DE2A64">
      <w:pPr>
        <w:pStyle w:val="FootnoteText"/>
      </w:pPr>
      <w:r>
        <w:rPr>
          <w:rStyle w:val="FootnoteReference"/>
        </w:rPr>
        <w:footnoteRef/>
      </w:r>
      <w:r>
        <w:t xml:space="preserve"> </w:t>
      </w:r>
      <w:r>
        <w:tab/>
        <w:t xml:space="preserve">See document </w:t>
      </w:r>
      <w:r w:rsidRPr="00DE2A64">
        <w:t>CAJ-AG/14/9/6</w:t>
      </w:r>
      <w:r>
        <w:t xml:space="preserve"> “Report on the Conclusions”, paragraph 18</w:t>
      </w:r>
    </w:p>
  </w:footnote>
  <w:footnote w:id="24">
    <w:p w:rsidR="00B04842" w:rsidRDefault="00B04842" w:rsidP="005546A4">
      <w:pPr>
        <w:pStyle w:val="FootnoteText"/>
      </w:pPr>
      <w:r>
        <w:rPr>
          <w:rStyle w:val="FootnoteReference"/>
        </w:rPr>
        <w:footnoteRef/>
      </w:r>
      <w:r>
        <w:t xml:space="preserve"> </w:t>
      </w:r>
      <w:r w:rsidR="0066192B">
        <w:rPr>
          <w:rFonts w:hint="eastAsia"/>
          <w:lang w:eastAsia="ja-JP"/>
        </w:rPr>
        <w:tab/>
      </w:r>
      <w:r>
        <w:rPr>
          <w:lang w:eastAsia="ja-JP"/>
        </w:rPr>
        <w:t>T</w:t>
      </w:r>
      <w:r>
        <w:rPr>
          <w:rFonts w:hint="eastAsia"/>
          <w:lang w:eastAsia="ja-JP"/>
        </w:rPr>
        <w:t>o be held in Geneva on October 26 and 27, 2015</w:t>
      </w:r>
      <w:r w:rsidR="005546A4">
        <w:rPr>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FA" w:rsidRPr="00997029" w:rsidRDefault="002F78FA" w:rsidP="00E23920">
    <w:pPr>
      <w:jc w:val="center"/>
      <w:rPr>
        <w:rStyle w:val="PageNumber"/>
      </w:rPr>
    </w:pPr>
    <w:r>
      <w:rPr>
        <w:rStyle w:val="PageNumber"/>
      </w:rPr>
      <w:t>CAJ/</w:t>
    </w:r>
    <w:r w:rsidR="00155F6F">
      <w:rPr>
        <w:rStyle w:val="PageNumber"/>
      </w:rPr>
      <w:t>7</w:t>
    </w:r>
    <w:r w:rsidR="00551E76">
      <w:rPr>
        <w:rStyle w:val="PageNumber"/>
      </w:rPr>
      <w:t>1</w:t>
    </w:r>
    <w:r>
      <w:rPr>
        <w:rStyle w:val="PageNumber"/>
      </w:rPr>
      <w:t>/</w:t>
    </w:r>
    <w:r w:rsidR="006C60FE">
      <w:rPr>
        <w:rStyle w:val="PageNumber"/>
      </w:rPr>
      <w:t>3</w:t>
    </w:r>
  </w:p>
  <w:p w:rsidR="002F78FA" w:rsidRPr="00997029" w:rsidRDefault="002F78FA"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C473D0">
      <w:rPr>
        <w:rStyle w:val="PageNumber"/>
        <w:noProof/>
      </w:rPr>
      <w:t>8</w:t>
    </w:r>
    <w:r w:rsidRPr="00997029">
      <w:rPr>
        <w:rStyle w:val="PageNumber"/>
      </w:rPr>
      <w:fldChar w:fldCharType="end"/>
    </w:r>
  </w:p>
  <w:p w:rsidR="002F78FA" w:rsidRPr="00997029" w:rsidRDefault="002F78FA"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936E6"/>
    <w:multiLevelType w:val="hybridMultilevel"/>
    <w:tmpl w:val="56322C68"/>
    <w:lvl w:ilvl="0" w:tplc="DC08BD1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7042A"/>
    <w:multiLevelType w:val="hybridMultilevel"/>
    <w:tmpl w:val="CFFC8DC8"/>
    <w:lvl w:ilvl="0" w:tplc="DC08BD12">
      <w:start w:val="1"/>
      <w:numFmt w:val="lowerLetter"/>
      <w:lvlText w:val="(%1)"/>
      <w:lvlJc w:val="left"/>
      <w:pPr>
        <w:ind w:left="720" w:hanging="360"/>
      </w:pPr>
      <w:rPr>
        <w:rFonts w:hint="default"/>
      </w:rPr>
    </w:lvl>
    <w:lvl w:ilvl="1" w:tplc="BA1C5B5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86BBA"/>
    <w:multiLevelType w:val="hybridMultilevel"/>
    <w:tmpl w:val="0C2430FC"/>
    <w:lvl w:ilvl="0" w:tplc="DC08BD12">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77AB2"/>
    <w:multiLevelType w:val="hybridMultilevel"/>
    <w:tmpl w:val="AAA60BE8"/>
    <w:lvl w:ilvl="0" w:tplc="DC08BD12">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FE"/>
    <w:rsid w:val="00001380"/>
    <w:rsid w:val="00001D48"/>
    <w:rsid w:val="00010CF3"/>
    <w:rsid w:val="00011E27"/>
    <w:rsid w:val="000148BC"/>
    <w:rsid w:val="000228BD"/>
    <w:rsid w:val="00024AB8"/>
    <w:rsid w:val="00026478"/>
    <w:rsid w:val="00036028"/>
    <w:rsid w:val="000446B9"/>
    <w:rsid w:val="00047E21"/>
    <w:rsid w:val="0006472C"/>
    <w:rsid w:val="000828FF"/>
    <w:rsid w:val="00085505"/>
    <w:rsid w:val="000C6236"/>
    <w:rsid w:val="000C7021"/>
    <w:rsid w:val="000D492E"/>
    <w:rsid w:val="000D5DA3"/>
    <w:rsid w:val="000D6679"/>
    <w:rsid w:val="000D6BBC"/>
    <w:rsid w:val="000D7224"/>
    <w:rsid w:val="000D7780"/>
    <w:rsid w:val="000E42F8"/>
    <w:rsid w:val="000F05D7"/>
    <w:rsid w:val="00105929"/>
    <w:rsid w:val="00110481"/>
    <w:rsid w:val="001131D5"/>
    <w:rsid w:val="001164DE"/>
    <w:rsid w:val="00123820"/>
    <w:rsid w:val="0013296B"/>
    <w:rsid w:val="00141DB8"/>
    <w:rsid w:val="0015185B"/>
    <w:rsid w:val="00155977"/>
    <w:rsid w:val="00155F6F"/>
    <w:rsid w:val="0017474A"/>
    <w:rsid w:val="001758C6"/>
    <w:rsid w:val="00184A04"/>
    <w:rsid w:val="00192EC1"/>
    <w:rsid w:val="00197636"/>
    <w:rsid w:val="001A60B8"/>
    <w:rsid w:val="001A7029"/>
    <w:rsid w:val="001C3DF3"/>
    <w:rsid w:val="001D5473"/>
    <w:rsid w:val="001E17A2"/>
    <w:rsid w:val="001F1F2A"/>
    <w:rsid w:val="001F730D"/>
    <w:rsid w:val="0021332C"/>
    <w:rsid w:val="00213982"/>
    <w:rsid w:val="00214B92"/>
    <w:rsid w:val="00237C7D"/>
    <w:rsid w:val="0024416D"/>
    <w:rsid w:val="0026489E"/>
    <w:rsid w:val="002661BE"/>
    <w:rsid w:val="0027309C"/>
    <w:rsid w:val="002800A0"/>
    <w:rsid w:val="00281060"/>
    <w:rsid w:val="0029439F"/>
    <w:rsid w:val="002A2C65"/>
    <w:rsid w:val="002A6E50"/>
    <w:rsid w:val="002B5FE4"/>
    <w:rsid w:val="002C05E5"/>
    <w:rsid w:val="002C256A"/>
    <w:rsid w:val="002D410B"/>
    <w:rsid w:val="002E25B7"/>
    <w:rsid w:val="002E7BA1"/>
    <w:rsid w:val="002F7364"/>
    <w:rsid w:val="002F78FA"/>
    <w:rsid w:val="00303BC1"/>
    <w:rsid w:val="00305A7F"/>
    <w:rsid w:val="00306308"/>
    <w:rsid w:val="00307C75"/>
    <w:rsid w:val="003138BF"/>
    <w:rsid w:val="003152FE"/>
    <w:rsid w:val="0032221F"/>
    <w:rsid w:val="00327436"/>
    <w:rsid w:val="00344BD6"/>
    <w:rsid w:val="003533FA"/>
    <w:rsid w:val="0035528D"/>
    <w:rsid w:val="003614AC"/>
    <w:rsid w:val="00361821"/>
    <w:rsid w:val="00385DA2"/>
    <w:rsid w:val="003A17C8"/>
    <w:rsid w:val="003B388C"/>
    <w:rsid w:val="003C178D"/>
    <w:rsid w:val="003C563E"/>
    <w:rsid w:val="003D0C5A"/>
    <w:rsid w:val="003D227C"/>
    <w:rsid w:val="003D2B4D"/>
    <w:rsid w:val="003E3D83"/>
    <w:rsid w:val="003F115C"/>
    <w:rsid w:val="003F6136"/>
    <w:rsid w:val="00400F79"/>
    <w:rsid w:val="00406D69"/>
    <w:rsid w:val="00427139"/>
    <w:rsid w:val="00433B8A"/>
    <w:rsid w:val="00444A88"/>
    <w:rsid w:val="00474DA4"/>
    <w:rsid w:val="00483972"/>
    <w:rsid w:val="004906C1"/>
    <w:rsid w:val="004D047D"/>
    <w:rsid w:val="004F305A"/>
    <w:rsid w:val="004F69F4"/>
    <w:rsid w:val="004F73E6"/>
    <w:rsid w:val="005011A7"/>
    <w:rsid w:val="00512164"/>
    <w:rsid w:val="00520297"/>
    <w:rsid w:val="005300D4"/>
    <w:rsid w:val="005338F9"/>
    <w:rsid w:val="00534940"/>
    <w:rsid w:val="0054281C"/>
    <w:rsid w:val="00543E63"/>
    <w:rsid w:val="00551E76"/>
    <w:rsid w:val="0055268D"/>
    <w:rsid w:val="005546A4"/>
    <w:rsid w:val="0056672C"/>
    <w:rsid w:val="00572A8B"/>
    <w:rsid w:val="00572E44"/>
    <w:rsid w:val="00576BE4"/>
    <w:rsid w:val="005774AC"/>
    <w:rsid w:val="005774CD"/>
    <w:rsid w:val="005A400A"/>
    <w:rsid w:val="00602E7E"/>
    <w:rsid w:val="00607F6A"/>
    <w:rsid w:val="00612379"/>
    <w:rsid w:val="00612593"/>
    <w:rsid w:val="0061555F"/>
    <w:rsid w:val="00616118"/>
    <w:rsid w:val="00631124"/>
    <w:rsid w:val="0063125F"/>
    <w:rsid w:val="00637070"/>
    <w:rsid w:val="00641200"/>
    <w:rsid w:val="006454C2"/>
    <w:rsid w:val="00645627"/>
    <w:rsid w:val="0066192B"/>
    <w:rsid w:val="00663ED8"/>
    <w:rsid w:val="00664515"/>
    <w:rsid w:val="00676B9F"/>
    <w:rsid w:val="00680BCD"/>
    <w:rsid w:val="00682A23"/>
    <w:rsid w:val="00687EB4"/>
    <w:rsid w:val="006B0500"/>
    <w:rsid w:val="006B17D2"/>
    <w:rsid w:val="006B2E46"/>
    <w:rsid w:val="006B45FA"/>
    <w:rsid w:val="006C224E"/>
    <w:rsid w:val="006C4BC9"/>
    <w:rsid w:val="006C5654"/>
    <w:rsid w:val="006C60FE"/>
    <w:rsid w:val="00707B78"/>
    <w:rsid w:val="0072003C"/>
    <w:rsid w:val="00732DEC"/>
    <w:rsid w:val="00735BD5"/>
    <w:rsid w:val="00740CB2"/>
    <w:rsid w:val="0075117E"/>
    <w:rsid w:val="007513CB"/>
    <w:rsid w:val="007530EB"/>
    <w:rsid w:val="007556F6"/>
    <w:rsid w:val="00757F01"/>
    <w:rsid w:val="00760EEF"/>
    <w:rsid w:val="00774FAA"/>
    <w:rsid w:val="007767F4"/>
    <w:rsid w:val="00777EE5"/>
    <w:rsid w:val="0078229D"/>
    <w:rsid w:val="00784836"/>
    <w:rsid w:val="0079023E"/>
    <w:rsid w:val="00793DA4"/>
    <w:rsid w:val="007B6894"/>
    <w:rsid w:val="007C1BF5"/>
    <w:rsid w:val="007C6528"/>
    <w:rsid w:val="007C6639"/>
    <w:rsid w:val="007D0B9D"/>
    <w:rsid w:val="007D1802"/>
    <w:rsid w:val="007D19B0"/>
    <w:rsid w:val="007F498F"/>
    <w:rsid w:val="00802781"/>
    <w:rsid w:val="0080679D"/>
    <w:rsid w:val="008108B0"/>
    <w:rsid w:val="00811B20"/>
    <w:rsid w:val="0082296E"/>
    <w:rsid w:val="00822A3B"/>
    <w:rsid w:val="00824099"/>
    <w:rsid w:val="00836E88"/>
    <w:rsid w:val="00843F63"/>
    <w:rsid w:val="00855DBD"/>
    <w:rsid w:val="00867AC1"/>
    <w:rsid w:val="00882E21"/>
    <w:rsid w:val="008A395B"/>
    <w:rsid w:val="008A743F"/>
    <w:rsid w:val="008B51D0"/>
    <w:rsid w:val="008C0970"/>
    <w:rsid w:val="008C2D9C"/>
    <w:rsid w:val="008D2CF7"/>
    <w:rsid w:val="008E3B88"/>
    <w:rsid w:val="008E793E"/>
    <w:rsid w:val="00900C26"/>
    <w:rsid w:val="0090197F"/>
    <w:rsid w:val="00906DDC"/>
    <w:rsid w:val="0090789B"/>
    <w:rsid w:val="009136C0"/>
    <w:rsid w:val="00925996"/>
    <w:rsid w:val="00934E09"/>
    <w:rsid w:val="00936253"/>
    <w:rsid w:val="00970FED"/>
    <w:rsid w:val="00973461"/>
    <w:rsid w:val="00973A6F"/>
    <w:rsid w:val="009848BA"/>
    <w:rsid w:val="00997029"/>
    <w:rsid w:val="009B092F"/>
    <w:rsid w:val="009D0DE5"/>
    <w:rsid w:val="009D2990"/>
    <w:rsid w:val="009D5FB2"/>
    <w:rsid w:val="009D690D"/>
    <w:rsid w:val="009D6AFD"/>
    <w:rsid w:val="009D77D3"/>
    <w:rsid w:val="009E65B6"/>
    <w:rsid w:val="00A02AD7"/>
    <w:rsid w:val="00A06E67"/>
    <w:rsid w:val="00A1050E"/>
    <w:rsid w:val="00A14CF8"/>
    <w:rsid w:val="00A2438A"/>
    <w:rsid w:val="00A26331"/>
    <w:rsid w:val="00A277F9"/>
    <w:rsid w:val="00A42AC3"/>
    <w:rsid w:val="00A430CF"/>
    <w:rsid w:val="00A5024F"/>
    <w:rsid w:val="00A54309"/>
    <w:rsid w:val="00A74316"/>
    <w:rsid w:val="00A77EEC"/>
    <w:rsid w:val="00AB2B93"/>
    <w:rsid w:val="00AB693B"/>
    <w:rsid w:val="00AD1F31"/>
    <w:rsid w:val="00AE0EF1"/>
    <w:rsid w:val="00AF1DB8"/>
    <w:rsid w:val="00AF6234"/>
    <w:rsid w:val="00B02385"/>
    <w:rsid w:val="00B04842"/>
    <w:rsid w:val="00B06046"/>
    <w:rsid w:val="00B07301"/>
    <w:rsid w:val="00B224DE"/>
    <w:rsid w:val="00B24D15"/>
    <w:rsid w:val="00B45126"/>
    <w:rsid w:val="00B54A99"/>
    <w:rsid w:val="00B65A8F"/>
    <w:rsid w:val="00B84BBD"/>
    <w:rsid w:val="00B91499"/>
    <w:rsid w:val="00BA3BC1"/>
    <w:rsid w:val="00BA43FB"/>
    <w:rsid w:val="00BA4549"/>
    <w:rsid w:val="00BC127D"/>
    <w:rsid w:val="00BC1FE6"/>
    <w:rsid w:val="00BD4C24"/>
    <w:rsid w:val="00BE39BB"/>
    <w:rsid w:val="00C061B6"/>
    <w:rsid w:val="00C21DBF"/>
    <w:rsid w:val="00C2446C"/>
    <w:rsid w:val="00C35B57"/>
    <w:rsid w:val="00C36AE5"/>
    <w:rsid w:val="00C372E9"/>
    <w:rsid w:val="00C41F17"/>
    <w:rsid w:val="00C421CB"/>
    <w:rsid w:val="00C473D0"/>
    <w:rsid w:val="00C54BF4"/>
    <w:rsid w:val="00C5791C"/>
    <w:rsid w:val="00C625C5"/>
    <w:rsid w:val="00C66290"/>
    <w:rsid w:val="00C715A5"/>
    <w:rsid w:val="00C72B7A"/>
    <w:rsid w:val="00C973F2"/>
    <w:rsid w:val="00CA774A"/>
    <w:rsid w:val="00CB47D9"/>
    <w:rsid w:val="00CC11B0"/>
    <w:rsid w:val="00CD310B"/>
    <w:rsid w:val="00CD3684"/>
    <w:rsid w:val="00CD4E41"/>
    <w:rsid w:val="00CD518F"/>
    <w:rsid w:val="00CF7E36"/>
    <w:rsid w:val="00D233D8"/>
    <w:rsid w:val="00D24210"/>
    <w:rsid w:val="00D306D7"/>
    <w:rsid w:val="00D3708D"/>
    <w:rsid w:val="00D40426"/>
    <w:rsid w:val="00D57C96"/>
    <w:rsid w:val="00D70CD4"/>
    <w:rsid w:val="00D81E9C"/>
    <w:rsid w:val="00D91203"/>
    <w:rsid w:val="00D943A1"/>
    <w:rsid w:val="00D95174"/>
    <w:rsid w:val="00D95A5C"/>
    <w:rsid w:val="00DA6F36"/>
    <w:rsid w:val="00DB113F"/>
    <w:rsid w:val="00DC00EA"/>
    <w:rsid w:val="00DC795D"/>
    <w:rsid w:val="00DE2A64"/>
    <w:rsid w:val="00E23920"/>
    <w:rsid w:val="00E613F7"/>
    <w:rsid w:val="00E66B3C"/>
    <w:rsid w:val="00E72D49"/>
    <w:rsid w:val="00E7593C"/>
    <w:rsid w:val="00E7678A"/>
    <w:rsid w:val="00E76C9D"/>
    <w:rsid w:val="00E834E6"/>
    <w:rsid w:val="00E935F1"/>
    <w:rsid w:val="00E94A81"/>
    <w:rsid w:val="00E97DFE"/>
    <w:rsid w:val="00EA1FFB"/>
    <w:rsid w:val="00EB048E"/>
    <w:rsid w:val="00EB3EFA"/>
    <w:rsid w:val="00EF2F89"/>
    <w:rsid w:val="00F0066E"/>
    <w:rsid w:val="00F01F36"/>
    <w:rsid w:val="00F04DEB"/>
    <w:rsid w:val="00F07D4B"/>
    <w:rsid w:val="00F1237A"/>
    <w:rsid w:val="00F22CBD"/>
    <w:rsid w:val="00F3421C"/>
    <w:rsid w:val="00F37961"/>
    <w:rsid w:val="00F62511"/>
    <w:rsid w:val="00F6334D"/>
    <w:rsid w:val="00F72ADF"/>
    <w:rsid w:val="00F9309D"/>
    <w:rsid w:val="00FA47CE"/>
    <w:rsid w:val="00FA49AB"/>
    <w:rsid w:val="00FA4EEA"/>
    <w:rsid w:val="00FA5DAC"/>
    <w:rsid w:val="00FB0D37"/>
    <w:rsid w:val="00FD640B"/>
    <w:rsid w:val="00FE158F"/>
    <w:rsid w:val="00FE39C7"/>
    <w:rsid w:val="00FE4AF3"/>
    <w:rsid w:val="00FE7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B45126"/>
    <w:pPr>
      <w:keepNext/>
      <w:jc w:val="both"/>
      <w:outlineLvl w:val="0"/>
    </w:pPr>
    <w:rPr>
      <w:rFonts w:ascii="Arial" w:hAnsi="Arial"/>
      <w:caps/>
      <w:lang w:eastAsia="ja-JP"/>
    </w:rPr>
  </w:style>
  <w:style w:type="paragraph" w:styleId="Heading2">
    <w:name w:val="heading 2"/>
    <w:next w:val="Normal"/>
    <w:autoRedefine/>
    <w:qFormat/>
    <w:rsid w:val="004906C1"/>
    <w:pPr>
      <w:keepNext/>
      <w:spacing w:before="60"/>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5546A4"/>
    <w:pPr>
      <w:spacing w:before="60"/>
      <w:ind w:left="567" w:right="-142" w:hanging="567"/>
      <w:jc w:val="both"/>
    </w:pPr>
    <w:rPr>
      <w:rFonts w:ascii="Arial" w:hAnsi="Arial"/>
      <w:spacing w:val="-2"/>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631124"/>
    <w:pPr>
      <w:tabs>
        <w:tab w:val="right" w:leader="dot" w:pos="9639"/>
      </w:tabs>
      <w:spacing w:before="120"/>
      <w:ind w:left="270" w:right="851" w:firstLine="14"/>
      <w:contextualSpacing/>
    </w:pPr>
    <w:rPr>
      <w:rFonts w:ascii="Arial" w:hAnsi="Arial"/>
      <w:noProof/>
    </w:rPr>
  </w:style>
  <w:style w:type="paragraph" w:styleId="TOC3">
    <w:name w:val="toc 3"/>
    <w:next w:val="Normal"/>
    <w:autoRedefine/>
    <w:uiPriority w:val="39"/>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0F05D7"/>
    <w:pPr>
      <w:tabs>
        <w:tab w:val="right" w:leader="dot" w:pos="9639"/>
      </w:tabs>
      <w:spacing w:before="60" w:after="120"/>
      <w:ind w:right="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customStyle="1" w:styleId="dec">
    <w:name w:val="dec"/>
    <w:basedOn w:val="Normal"/>
    <w:link w:val="decChar"/>
    <w:qFormat/>
    <w:rsid w:val="003E3D83"/>
    <w:pPr>
      <w:ind w:left="4536"/>
    </w:pPr>
    <w:rPr>
      <w:rFonts w:eastAsiaTheme="minorEastAsia"/>
      <w:i/>
      <w:spacing w:val="-2"/>
    </w:rPr>
  </w:style>
  <w:style w:type="character" w:customStyle="1" w:styleId="decChar">
    <w:name w:val="dec Char"/>
    <w:basedOn w:val="DefaultParagraphFont"/>
    <w:link w:val="dec"/>
    <w:rsid w:val="003E3D83"/>
    <w:rPr>
      <w:rFonts w:ascii="Arial" w:eastAsiaTheme="minorEastAsia" w:hAnsi="Arial"/>
      <w:i/>
      <w:spacing w:val="-2"/>
    </w:rPr>
  </w:style>
  <w:style w:type="paragraph" w:styleId="ListParagraph">
    <w:name w:val="List Paragraph"/>
    <w:basedOn w:val="Normal"/>
    <w:uiPriority w:val="34"/>
    <w:qFormat/>
    <w:rsid w:val="003E3D83"/>
    <w:pPr>
      <w:ind w:left="720"/>
      <w:contextualSpacing/>
    </w:pPr>
  </w:style>
  <w:style w:type="character" w:customStyle="1" w:styleId="FootnoteTextChar">
    <w:name w:val="Footnote Text Char"/>
    <w:link w:val="FootnoteText"/>
    <w:rsid w:val="005546A4"/>
    <w:rPr>
      <w:rFonts w:ascii="Arial" w:hAnsi="Arial"/>
      <w:spacing w:val="-2"/>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B45126"/>
    <w:pPr>
      <w:keepNext/>
      <w:jc w:val="both"/>
      <w:outlineLvl w:val="0"/>
    </w:pPr>
    <w:rPr>
      <w:rFonts w:ascii="Arial" w:hAnsi="Arial"/>
      <w:caps/>
      <w:lang w:eastAsia="ja-JP"/>
    </w:rPr>
  </w:style>
  <w:style w:type="paragraph" w:styleId="Heading2">
    <w:name w:val="heading 2"/>
    <w:next w:val="Normal"/>
    <w:autoRedefine/>
    <w:qFormat/>
    <w:rsid w:val="004906C1"/>
    <w:pPr>
      <w:keepNext/>
      <w:spacing w:before="60"/>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5546A4"/>
    <w:pPr>
      <w:spacing w:before="60"/>
      <w:ind w:left="567" w:right="-142" w:hanging="567"/>
      <w:jc w:val="both"/>
    </w:pPr>
    <w:rPr>
      <w:rFonts w:ascii="Arial" w:hAnsi="Arial"/>
      <w:spacing w:val="-2"/>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631124"/>
    <w:pPr>
      <w:tabs>
        <w:tab w:val="right" w:leader="dot" w:pos="9639"/>
      </w:tabs>
      <w:spacing w:before="120"/>
      <w:ind w:left="270" w:right="851" w:firstLine="14"/>
      <w:contextualSpacing/>
    </w:pPr>
    <w:rPr>
      <w:rFonts w:ascii="Arial" w:hAnsi="Arial"/>
      <w:noProof/>
    </w:rPr>
  </w:style>
  <w:style w:type="paragraph" w:styleId="TOC3">
    <w:name w:val="toc 3"/>
    <w:next w:val="Normal"/>
    <w:autoRedefine/>
    <w:uiPriority w:val="39"/>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0F05D7"/>
    <w:pPr>
      <w:tabs>
        <w:tab w:val="right" w:leader="dot" w:pos="9639"/>
      </w:tabs>
      <w:spacing w:before="60" w:after="120"/>
      <w:ind w:right="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customStyle="1" w:styleId="dec">
    <w:name w:val="dec"/>
    <w:basedOn w:val="Normal"/>
    <w:link w:val="decChar"/>
    <w:qFormat/>
    <w:rsid w:val="003E3D83"/>
    <w:pPr>
      <w:ind w:left="4536"/>
    </w:pPr>
    <w:rPr>
      <w:rFonts w:eastAsiaTheme="minorEastAsia"/>
      <w:i/>
      <w:spacing w:val="-2"/>
    </w:rPr>
  </w:style>
  <w:style w:type="character" w:customStyle="1" w:styleId="decChar">
    <w:name w:val="dec Char"/>
    <w:basedOn w:val="DefaultParagraphFont"/>
    <w:link w:val="dec"/>
    <w:rsid w:val="003E3D83"/>
    <w:rPr>
      <w:rFonts w:ascii="Arial" w:eastAsiaTheme="minorEastAsia" w:hAnsi="Arial"/>
      <w:i/>
      <w:spacing w:val="-2"/>
    </w:rPr>
  </w:style>
  <w:style w:type="paragraph" w:styleId="ListParagraph">
    <w:name w:val="List Paragraph"/>
    <w:basedOn w:val="Normal"/>
    <w:uiPriority w:val="34"/>
    <w:qFormat/>
    <w:rsid w:val="003E3D83"/>
    <w:pPr>
      <w:ind w:left="720"/>
      <w:contextualSpacing/>
    </w:pPr>
  </w:style>
  <w:style w:type="character" w:customStyle="1" w:styleId="FootnoteTextChar">
    <w:name w:val="Footnote Text Char"/>
    <w:link w:val="FootnoteText"/>
    <w:rsid w:val="005546A4"/>
    <w:rPr>
      <w:rFonts w:ascii="Arial" w:hAnsi="Arial"/>
      <w:spacing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pluto/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pluto/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meetings/en/details.jsp?meeting_id=3446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pov.int/meetings/en/details.jsp?meeting_id=35055" TargetMode="External"/><Relationship Id="rId1" Type="http://schemas.openxmlformats.org/officeDocument/2006/relationships/hyperlink" Target="http://www.upov.int/meetings/en/details.jsp?meeting_id=297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AJ\CAJ71\templates\CAJ_7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FE302-BD12-4D57-AC20-94248EF9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CAJ_71_EN.dotx</Template>
  <TotalTime>245</TotalTime>
  <Pages>9</Pages>
  <Words>3270</Words>
  <Characters>18335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21562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PASIEKA Allie</dc:creator>
  <cp:lastModifiedBy>BESSE Ariane</cp:lastModifiedBy>
  <cp:revision>15</cp:revision>
  <cp:lastPrinted>2015-03-02T16:55:00Z</cp:lastPrinted>
  <dcterms:created xsi:type="dcterms:W3CDTF">2015-02-24T18:07:00Z</dcterms:created>
  <dcterms:modified xsi:type="dcterms:W3CDTF">2015-03-02T16:56:00Z</dcterms:modified>
</cp:coreProperties>
</file>