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3F643CAB" wp14:editId="03783B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3B2467" w:rsidRDefault="0024416D" w:rsidP="00576BE4">
            <w:pPr>
              <w:pStyle w:val="Lettrine"/>
            </w:pPr>
            <w:r w:rsidRPr="003B2467">
              <w:t>E</w:t>
            </w:r>
          </w:p>
          <w:p w:rsidR="000D7780" w:rsidRPr="003B2467" w:rsidRDefault="00F37961" w:rsidP="00474DA4">
            <w:pPr>
              <w:pStyle w:val="Docoriginal"/>
              <w:jc w:val="left"/>
            </w:pPr>
            <w:r w:rsidRPr="003B2467">
              <w:t>CAJ/</w:t>
            </w:r>
            <w:r w:rsidR="00155F6F" w:rsidRPr="003B2467">
              <w:t>7</w:t>
            </w:r>
            <w:r w:rsidR="00551E76" w:rsidRPr="003B2467">
              <w:t>1</w:t>
            </w:r>
            <w:r w:rsidR="00EB3EFA" w:rsidRPr="003B2467">
              <w:t>/</w:t>
            </w:r>
            <w:bookmarkStart w:id="0" w:name="Code"/>
            <w:bookmarkEnd w:id="0"/>
            <w:r w:rsidR="00D56ED3" w:rsidRPr="003B2467">
              <w:t>2</w:t>
            </w:r>
          </w:p>
          <w:p w:rsidR="000D7780" w:rsidRPr="003B2467" w:rsidRDefault="0061555F" w:rsidP="00474DA4">
            <w:pPr>
              <w:pStyle w:val="Docoriginal"/>
              <w:jc w:val="left"/>
            </w:pPr>
            <w:r w:rsidRPr="003B2467">
              <w:rPr>
                <w:rStyle w:val="StyleDoclangBold"/>
                <w:b/>
                <w:bCs/>
                <w:spacing w:val="0"/>
              </w:rPr>
              <w:t>ORIGINAL</w:t>
            </w:r>
            <w:r w:rsidR="000D7780" w:rsidRPr="003B2467">
              <w:rPr>
                <w:rStyle w:val="StyleDoclangBold"/>
                <w:b/>
                <w:bCs/>
                <w:spacing w:val="0"/>
              </w:rPr>
              <w:t>:</w:t>
            </w:r>
            <w:r w:rsidRPr="003B2467">
              <w:rPr>
                <w:rStyle w:val="StyleDocoriginalNotBold1"/>
                <w:spacing w:val="0"/>
              </w:rPr>
              <w:t xml:space="preserve"> </w:t>
            </w:r>
            <w:r w:rsidR="000D7780" w:rsidRPr="003B2467">
              <w:rPr>
                <w:rStyle w:val="StyleDocoriginalNotBold1"/>
                <w:spacing w:val="0"/>
              </w:rPr>
              <w:t xml:space="preserve"> </w:t>
            </w:r>
            <w:bookmarkStart w:id="1" w:name="Original"/>
            <w:bookmarkEnd w:id="1"/>
            <w:r w:rsidR="0024416D" w:rsidRPr="003B2467">
              <w:rPr>
                <w:b w:val="0"/>
                <w:spacing w:val="0"/>
              </w:rPr>
              <w:t>English</w:t>
            </w:r>
          </w:p>
          <w:p w:rsidR="000D7780" w:rsidRPr="003B2467" w:rsidRDefault="000D7780" w:rsidP="00232C2F">
            <w:pPr>
              <w:pStyle w:val="Docoriginal"/>
              <w:jc w:val="left"/>
              <w:rPr>
                <w:b w:val="0"/>
                <w:spacing w:val="0"/>
              </w:rPr>
            </w:pPr>
            <w:r w:rsidRPr="003B2467">
              <w:rPr>
                <w:spacing w:val="0"/>
              </w:rPr>
              <w:t>DATE:</w:t>
            </w:r>
            <w:r w:rsidR="0061555F" w:rsidRPr="003B2467">
              <w:rPr>
                <w:b w:val="0"/>
                <w:spacing w:val="0"/>
              </w:rPr>
              <w:t xml:space="preserve"> </w:t>
            </w:r>
            <w:r w:rsidRPr="003B2467">
              <w:rPr>
                <w:rStyle w:val="StyleDocoriginalNotBold1"/>
                <w:spacing w:val="0"/>
              </w:rPr>
              <w:t xml:space="preserve"> </w:t>
            </w:r>
            <w:bookmarkStart w:id="2" w:name="Date"/>
            <w:bookmarkEnd w:id="2"/>
            <w:r w:rsidR="006D15FD">
              <w:rPr>
                <w:rStyle w:val="StyleDocoriginalNotBold1"/>
                <w:spacing w:val="0"/>
              </w:rPr>
              <w:t xml:space="preserve">March </w:t>
            </w:r>
            <w:r w:rsidR="00232C2F">
              <w:rPr>
                <w:rStyle w:val="StyleDocoriginalNotBold1"/>
                <w:spacing w:val="0"/>
              </w:rPr>
              <w:t>2</w:t>
            </w:r>
            <w:r w:rsidR="00155F6F" w:rsidRPr="003B2467">
              <w:rPr>
                <w:rStyle w:val="StyleDocoriginalNotBold1"/>
                <w:spacing w:val="0"/>
              </w:rPr>
              <w:t>, 201</w:t>
            </w:r>
            <w:r w:rsidR="00551E76" w:rsidRPr="003B2467">
              <w:rPr>
                <w:rStyle w:val="StyleDocoriginalNotBold1"/>
                <w:spacing w:val="0"/>
              </w:rPr>
              <w:t>5</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155F6F" w:rsidP="0080679D">
      <w:pPr>
        <w:pStyle w:val="Sessiontcplacedate"/>
      </w:pPr>
      <w:r>
        <w:t>Sevent</w:t>
      </w:r>
      <w:r w:rsidR="00551E76">
        <w:t>y-First</w:t>
      </w:r>
      <w:r w:rsidR="00F37961">
        <w:t xml:space="preserve"> </w:t>
      </w:r>
      <w:r w:rsidR="00FB0D37">
        <w:t>Session</w:t>
      </w:r>
      <w:r w:rsidR="00361821" w:rsidRPr="00997029">
        <w:br/>
      </w:r>
      <w:r w:rsidR="00FB0D37">
        <w:t xml:space="preserve">Geneva, </w:t>
      </w:r>
      <w:r w:rsidR="00551E76">
        <w:t>March 26, 2015</w:t>
      </w:r>
    </w:p>
    <w:p w:rsidR="000D7780" w:rsidRPr="00997029" w:rsidRDefault="00BF62AE" w:rsidP="0080679D">
      <w:pPr>
        <w:pStyle w:val="Titleofdoc0"/>
      </w:pPr>
      <w:bookmarkStart w:id="3" w:name="TitleOfDoc"/>
      <w:bookmarkEnd w:id="3"/>
      <w:r w:rsidRPr="00AE0F27">
        <w:rPr>
          <w:kern w:val="28"/>
        </w:rPr>
        <w:t>Development of information materials concerning the UPOV Convention</w:t>
      </w:r>
    </w:p>
    <w:p w:rsidR="000D7780" w:rsidRPr="00997029" w:rsidRDefault="00AE0EF1" w:rsidP="0080679D">
      <w:pPr>
        <w:pStyle w:val="preparedby1"/>
      </w:pPr>
      <w:bookmarkStart w:id="4" w:name="Prepared"/>
      <w:bookmarkEnd w:id="4"/>
      <w:r w:rsidRPr="0041524B">
        <w:t>Document</w:t>
      </w:r>
      <w:r w:rsidRPr="00997029">
        <w:t xml:space="preserve"> </w:t>
      </w:r>
      <w:r w:rsidR="0061555F" w:rsidRPr="00997029">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9612F3" w:rsidRPr="00B520F2" w:rsidRDefault="00B520F2" w:rsidP="009612F3">
      <w:pPr>
        <w:jc w:val="left"/>
        <w:rPr>
          <w:rFonts w:cs="Arial"/>
          <w:snapToGrid w:val="0"/>
        </w:rPr>
      </w:pPr>
      <w:r w:rsidRPr="00B520F2">
        <w:rPr>
          <w:rFonts w:cs="Arial"/>
          <w:snapToGrid w:val="0"/>
        </w:rPr>
        <w:t>EXECUTIVE SUMMARY</w:t>
      </w:r>
    </w:p>
    <w:p w:rsidR="009612F3" w:rsidRDefault="009612F3" w:rsidP="009612F3">
      <w:pPr>
        <w:jc w:val="left"/>
        <w:rPr>
          <w:rFonts w:cs="Arial"/>
          <w:b/>
          <w:snapToGrid w:val="0"/>
        </w:rPr>
      </w:pPr>
    </w:p>
    <w:p w:rsidR="009612F3" w:rsidRPr="005C5D7E" w:rsidRDefault="009612F3" w:rsidP="009612F3">
      <w:pPr>
        <w:rPr>
          <w:rFonts w:cs="Arial"/>
          <w:b/>
          <w:snapToGrid w:val="0"/>
        </w:rPr>
      </w:pPr>
    </w:p>
    <w:p w:rsidR="001C7E73" w:rsidRPr="00B520F2" w:rsidRDefault="009612F3" w:rsidP="001C7E73">
      <w:r w:rsidRPr="005C5D7E">
        <w:fldChar w:fldCharType="begin"/>
      </w:r>
      <w:r w:rsidRPr="005C5D7E">
        <w:instrText xml:space="preserve"> AUTONUM  </w:instrText>
      </w:r>
      <w:r w:rsidRPr="005C5D7E">
        <w:fldChar w:fldCharType="end"/>
      </w:r>
      <w:r w:rsidRPr="005C5D7E">
        <w:tab/>
        <w:t xml:space="preserve">The purpose of this document is to </w:t>
      </w:r>
      <w:r w:rsidR="001C7E73" w:rsidRPr="00BC54C4">
        <w:t xml:space="preserve">provide background information to assist the Administrative and Legal Committee (CAJ) in its consideration of relevant matters at its </w:t>
      </w:r>
      <w:r w:rsidR="001C7E73">
        <w:t>seventy-first s</w:t>
      </w:r>
      <w:r w:rsidR="001C7E73" w:rsidRPr="001C7E73">
        <w:t>ession</w:t>
      </w:r>
      <w:r w:rsidR="00B520F2">
        <w:t xml:space="preserve">, to report on a matter referred by the CAJ to the Consultative Committee and the Council </w:t>
      </w:r>
      <w:r w:rsidR="001C7E73" w:rsidRPr="00BC54C4">
        <w:t xml:space="preserve">and present a tentative program for the </w:t>
      </w:r>
      <w:r w:rsidR="001C7E73">
        <w:t>development of information materials</w:t>
      </w:r>
      <w:r w:rsidR="001C7E73" w:rsidRPr="00BC54C4">
        <w:rPr>
          <w:rFonts w:cs="Arial"/>
        </w:rPr>
        <w:t>.</w:t>
      </w:r>
    </w:p>
    <w:p w:rsidR="009612F3" w:rsidRPr="005C5D7E" w:rsidRDefault="009612F3" w:rsidP="009612F3"/>
    <w:p w:rsidR="007F0390" w:rsidRDefault="009612F3" w:rsidP="009612F3">
      <w:r w:rsidRPr="005C5D7E">
        <w:fldChar w:fldCharType="begin"/>
      </w:r>
      <w:r w:rsidRPr="005C5D7E">
        <w:instrText xml:space="preserve"> AUTONUM  </w:instrText>
      </w:r>
      <w:r w:rsidRPr="005C5D7E">
        <w:fldChar w:fldCharType="end"/>
      </w:r>
      <w:r>
        <w:tab/>
      </w:r>
      <w:r w:rsidR="007F0390">
        <w:t>In particular</w:t>
      </w:r>
      <w:r w:rsidR="000758CE">
        <w:t>,</w:t>
      </w:r>
      <w:r w:rsidR="007F0390">
        <w:t xml:space="preserve"> the CAJ </w:t>
      </w:r>
      <w:r w:rsidR="00232C2F">
        <w:t>will be</w:t>
      </w:r>
      <w:r w:rsidR="007F0390">
        <w:t xml:space="preserve"> invited to:</w:t>
      </w:r>
    </w:p>
    <w:p w:rsidR="006F4AC2" w:rsidRDefault="006F4AC2" w:rsidP="009612F3"/>
    <w:p w:rsidR="007F0390" w:rsidRDefault="000758CE" w:rsidP="006F4AC2">
      <w:pPr>
        <w:ind w:firstLine="567"/>
      </w:pPr>
      <w:r>
        <w:t>(a)</w:t>
      </w:r>
      <w:r>
        <w:tab/>
      </w:r>
      <w:r w:rsidR="007F0390">
        <w:t>note that the CAJ­AG welcomed the presentation made by Australia by electronic means, via the internet, containing the additional information on the context of the examples provided by Australia at the EDV Seminar, and that a copy of the presentation has been posted on t</w:t>
      </w:r>
      <w:r>
        <w:t>he CAJ</w:t>
      </w:r>
      <w:r>
        <w:noBreakHyphen/>
      </w:r>
      <w:r w:rsidR="007F0390">
        <w:t>AG/14 section of the UPOV website;</w:t>
      </w:r>
    </w:p>
    <w:p w:rsidR="007F0390" w:rsidRDefault="007F0390" w:rsidP="007F0390">
      <w:pPr>
        <w:pStyle w:val="ListParagraph"/>
        <w:ind w:left="567"/>
      </w:pPr>
    </w:p>
    <w:p w:rsidR="007F0390" w:rsidRDefault="000758CE" w:rsidP="006F4AC2">
      <w:pPr>
        <w:ind w:firstLine="567"/>
      </w:pPr>
      <w:r>
        <w:t>(b)</w:t>
      </w:r>
      <w:r>
        <w:tab/>
      </w:r>
      <w:r w:rsidR="007F0390">
        <w:t>consider the development of guidance concerning the status of essentially derived varieties that are not granted protection in their own right, after the adoption of the revised document UPOV/EXN/EDV/2, as s</w:t>
      </w:r>
      <w:r w:rsidR="006F4AC2">
        <w:t>et out in paragraph 11</w:t>
      </w:r>
      <w:r w:rsidR="007F0390">
        <w:t>;</w:t>
      </w:r>
    </w:p>
    <w:p w:rsidR="007F0390" w:rsidRDefault="007F0390" w:rsidP="007F0390">
      <w:pPr>
        <w:pStyle w:val="ListParagraph"/>
        <w:ind w:left="567"/>
      </w:pPr>
    </w:p>
    <w:p w:rsidR="007F0390" w:rsidRDefault="000758CE" w:rsidP="006F4AC2">
      <w:pPr>
        <w:ind w:firstLine="567"/>
      </w:pPr>
      <w:r>
        <w:t>(c)</w:t>
      </w:r>
      <w:r>
        <w:tab/>
      </w:r>
      <w:r w:rsidR="007F0390">
        <w:t xml:space="preserve">consider whether to invite the Delegations of Australia, Brazil and the European Union and other members of the Union to make presentations on their systems concerning essentially derived varieties at its seventy-second session; </w:t>
      </w:r>
    </w:p>
    <w:p w:rsidR="007F0390" w:rsidRDefault="007F0390" w:rsidP="007F0390">
      <w:pPr>
        <w:pStyle w:val="ListParagraph"/>
        <w:ind w:left="567"/>
      </w:pPr>
    </w:p>
    <w:p w:rsidR="007F0390" w:rsidRDefault="000758CE" w:rsidP="006F4AC2">
      <w:pPr>
        <w:ind w:firstLine="567"/>
      </w:pPr>
      <w:r>
        <w:t>(d)</w:t>
      </w:r>
      <w:r>
        <w:tab/>
      </w:r>
      <w:r w:rsidR="007F0390">
        <w:t xml:space="preserve">whether to request the Office of the Union to organize a meeting to exchange information with CIOPORA, ISF and WIPO in order to explore the possible role of UPOV in alternative dispute settlement mechanisms for matters concerning essentially derived varieties, including the provision of experts on EDV matters, and to </w:t>
      </w:r>
      <w:r>
        <w:t>provide a report at the seventy</w:t>
      </w:r>
      <w:r>
        <w:noBreakHyphen/>
      </w:r>
      <w:r w:rsidR="007F0390">
        <w:t>second session of the CAJ; and</w:t>
      </w:r>
    </w:p>
    <w:p w:rsidR="007F0390" w:rsidRDefault="007F0390" w:rsidP="007F0390">
      <w:pPr>
        <w:pStyle w:val="ListParagraph"/>
        <w:ind w:left="567"/>
      </w:pPr>
    </w:p>
    <w:p w:rsidR="007F0390" w:rsidRDefault="000758CE" w:rsidP="006F4AC2">
      <w:pPr>
        <w:ind w:firstLine="567"/>
      </w:pPr>
      <w:r>
        <w:t>(e)</w:t>
      </w:r>
      <w:r>
        <w:tab/>
      </w:r>
      <w:r w:rsidR="007F0390">
        <w:t xml:space="preserve">consider a new draft of the “Explanatory Notes on Essentially Derived Varieties under the 1991 </w:t>
      </w:r>
      <w:r>
        <w:t> </w:t>
      </w:r>
      <w:r w:rsidR="007F0390">
        <w:t>Act of the UPOV Convention” (Revision) (document UPOV/EX</w:t>
      </w:r>
      <w:r>
        <w:t>N/EDV/2 Draft 6) at its seventy</w:t>
      </w:r>
      <w:r>
        <w:noBreakHyphen/>
      </w:r>
      <w:r w:rsidR="007F0390">
        <w:t>second session, as set o</w:t>
      </w:r>
      <w:r w:rsidR="006F4AC2">
        <w:t>ut in paragraphs 15 and 16;</w:t>
      </w:r>
    </w:p>
    <w:p w:rsidR="006F4AC2" w:rsidRDefault="006F4AC2" w:rsidP="006F4AC2">
      <w:pPr>
        <w:ind w:firstLine="567"/>
      </w:pPr>
    </w:p>
    <w:p w:rsidR="006F4AC2" w:rsidRDefault="006F4AC2" w:rsidP="006F4AC2">
      <w:pPr>
        <w:ind w:firstLine="567"/>
      </w:pPr>
      <w:r>
        <w:t>(f)</w:t>
      </w:r>
      <w:r w:rsidR="000758CE">
        <w:tab/>
      </w:r>
      <w:r w:rsidRPr="00AB6E5A">
        <w:t>consider</w:t>
      </w:r>
      <w:r w:rsidRPr="00AB6E5A">
        <w:rPr>
          <w:lang w:eastAsia="zh-CN"/>
        </w:rPr>
        <w:t xml:space="preserve"> document </w:t>
      </w:r>
      <w:r w:rsidRPr="00AB6E5A">
        <w:t>UPOV/EXN/PPM/1 Draft 4 as the basis for the adoption of the “Explanatory Notes on Propagating Material under the 1991 Act of the UPOV Convention”, by the Council at its forty-ninth ordinary session, to be held on October 29, 2015</w:t>
      </w:r>
      <w:r>
        <w:t>;</w:t>
      </w:r>
    </w:p>
    <w:p w:rsidR="006F4AC2" w:rsidRDefault="006F4AC2" w:rsidP="006F4AC2">
      <w:pPr>
        <w:ind w:firstLine="567"/>
      </w:pPr>
    </w:p>
    <w:p w:rsidR="006F4AC2" w:rsidRDefault="006F4AC2" w:rsidP="006F4AC2">
      <w:pPr>
        <w:ind w:firstLine="567"/>
      </w:pPr>
      <w:r>
        <w:lastRenderedPageBreak/>
        <w:t>(g)</w:t>
      </w:r>
      <w:r w:rsidR="000758CE">
        <w:tab/>
      </w:r>
      <w:r w:rsidRPr="0050638A">
        <w:t xml:space="preserve">consider the conclusion of the CAJ-AG that it would not be appropriate to seek to develop a revision of </w:t>
      </w:r>
      <w:r>
        <w:t>the “</w:t>
      </w:r>
      <w:r w:rsidRPr="0050638A">
        <w:t>Explanatory Notes on Acts in Respect of Harvested Material under the 1991 Act of the UPOV Convention</w:t>
      </w:r>
      <w:r>
        <w:t>”</w:t>
      </w:r>
      <w:r w:rsidRPr="0050638A">
        <w:t xml:space="preserve"> </w:t>
      </w:r>
      <w:r>
        <w:t>(</w:t>
      </w:r>
      <w:r w:rsidRPr="0050638A">
        <w:t>document UPOV/EXN/HRV/1</w:t>
      </w:r>
      <w:r>
        <w:t>) for the time being;</w:t>
      </w:r>
    </w:p>
    <w:p w:rsidR="006F4AC2" w:rsidRDefault="006F4AC2" w:rsidP="006F4AC2">
      <w:pPr>
        <w:ind w:firstLine="567"/>
      </w:pPr>
    </w:p>
    <w:p w:rsidR="006F4AC2" w:rsidRPr="006F4AC2" w:rsidRDefault="006F4AC2" w:rsidP="006F4AC2">
      <w:pPr>
        <w:ind w:firstLine="567"/>
      </w:pPr>
      <w:r>
        <w:t>(h)</w:t>
      </w:r>
      <w:r w:rsidR="000758CE">
        <w:rPr>
          <w:szCs w:val="24"/>
        </w:rPr>
        <w:tab/>
      </w:r>
      <w:r w:rsidRPr="006F4AC2">
        <w:rPr>
          <w:szCs w:val="24"/>
        </w:rPr>
        <w:t xml:space="preserve">consider document UPOV/EXN/CAN/2  Draft 3 as the basis for the revision of the “Explanatory Notes on Cancellation of the Breeder's Right under the UPOV Convention” (Revision) (document UPOV/EXN/CAN/1), by the Council at its forty-ninth ordinary session, to be held on October 29, 2015; </w:t>
      </w:r>
    </w:p>
    <w:p w:rsidR="006F4AC2" w:rsidRPr="006F4AC2" w:rsidRDefault="006F4AC2" w:rsidP="006F4AC2">
      <w:pPr>
        <w:pStyle w:val="ListParagraph"/>
        <w:ind w:left="567"/>
        <w:rPr>
          <w:szCs w:val="24"/>
        </w:rPr>
      </w:pPr>
    </w:p>
    <w:p w:rsidR="009612F3" w:rsidRDefault="000758CE" w:rsidP="006F4AC2">
      <w:pPr>
        <w:ind w:firstLine="567"/>
        <w:rPr>
          <w:szCs w:val="24"/>
        </w:rPr>
      </w:pPr>
      <w:r>
        <w:rPr>
          <w:szCs w:val="24"/>
        </w:rPr>
        <w:t>(i)</w:t>
      </w:r>
      <w:r>
        <w:rPr>
          <w:szCs w:val="24"/>
        </w:rPr>
        <w:tab/>
      </w:r>
      <w:r w:rsidR="006F4AC2" w:rsidRPr="006F4AC2">
        <w:rPr>
          <w:szCs w:val="24"/>
        </w:rPr>
        <w:t>note that the CA</w:t>
      </w:r>
      <w:r w:rsidR="006F4AC2">
        <w:rPr>
          <w:szCs w:val="24"/>
        </w:rPr>
        <w:t xml:space="preserve">J, at its sixty-ninth session, </w:t>
      </w:r>
      <w:r w:rsidR="006F4AC2" w:rsidRPr="006F4AC2">
        <w:rPr>
          <w:szCs w:val="24"/>
        </w:rPr>
        <w:t>had agreed to invite the TC to consider the development of guidance on certain matters concerning variety descriptions, as set out i</w:t>
      </w:r>
      <w:r>
        <w:rPr>
          <w:szCs w:val="24"/>
        </w:rPr>
        <w:t>n paragraph 26</w:t>
      </w:r>
      <w:r w:rsidR="006F4AC2">
        <w:rPr>
          <w:szCs w:val="24"/>
        </w:rPr>
        <w:t>;</w:t>
      </w:r>
    </w:p>
    <w:p w:rsidR="006F4AC2" w:rsidRDefault="006F4AC2" w:rsidP="006F4AC2">
      <w:pPr>
        <w:ind w:firstLine="567"/>
        <w:rPr>
          <w:szCs w:val="24"/>
        </w:rPr>
      </w:pPr>
    </w:p>
    <w:p w:rsidR="006F4AC2" w:rsidRDefault="006F4AC2" w:rsidP="006F4AC2">
      <w:pPr>
        <w:ind w:firstLine="567"/>
        <w:rPr>
          <w:szCs w:val="24"/>
        </w:rPr>
      </w:pPr>
      <w:r>
        <w:rPr>
          <w:szCs w:val="24"/>
        </w:rPr>
        <w:t>(j)</w:t>
      </w:r>
      <w:r w:rsidR="000758CE">
        <w:rPr>
          <w:szCs w:val="24"/>
        </w:rPr>
        <w:tab/>
      </w:r>
      <w:r w:rsidRPr="006F4AC2">
        <w:rPr>
          <w:szCs w:val="24"/>
        </w:rPr>
        <w:t>consider document UPOV/EXN/NUL/2 Draft 3 as the basis for the revision of the “Explanatory Notes on the Nullity of the Breeder's Right under the UPOV Convention” (Revision) (document UPOV/EXN/NUL/1), by the Council at its forty-ninth ordinary session, to be held on October 29, 2015</w:t>
      </w:r>
      <w:r>
        <w:rPr>
          <w:szCs w:val="24"/>
        </w:rPr>
        <w:t>;</w:t>
      </w:r>
    </w:p>
    <w:p w:rsidR="006F4AC2" w:rsidRDefault="006F4AC2" w:rsidP="006F4AC2">
      <w:pPr>
        <w:ind w:firstLine="567"/>
        <w:rPr>
          <w:szCs w:val="24"/>
        </w:rPr>
      </w:pPr>
    </w:p>
    <w:p w:rsidR="006F4AC2" w:rsidRDefault="006F4AC2" w:rsidP="006F4AC2">
      <w:pPr>
        <w:ind w:firstLine="567"/>
        <w:rPr>
          <w:szCs w:val="24"/>
        </w:rPr>
      </w:pPr>
      <w:r>
        <w:rPr>
          <w:szCs w:val="24"/>
        </w:rPr>
        <w:t>(k)</w:t>
      </w:r>
      <w:r w:rsidR="000758CE">
        <w:rPr>
          <w:szCs w:val="24"/>
        </w:rPr>
        <w:tab/>
      </w:r>
      <w:r w:rsidRPr="006F4AC2">
        <w:rPr>
          <w:szCs w:val="24"/>
        </w:rPr>
        <w:t>consider document UPOV/EXN/PRP/2 Draft 3 as the basis for the revision of the “Explanatory Notes on Provisional Protection under the UPOV Convention” (document UPOV/EXN/PRP/1), by the Council at its forty-ninth ordinary session, to be held on October 29, 2015</w:t>
      </w:r>
      <w:r>
        <w:rPr>
          <w:szCs w:val="24"/>
        </w:rPr>
        <w:t>;</w:t>
      </w:r>
    </w:p>
    <w:p w:rsidR="006F4AC2" w:rsidRDefault="006F4AC2" w:rsidP="006F4AC2">
      <w:pPr>
        <w:ind w:firstLine="567"/>
        <w:rPr>
          <w:szCs w:val="24"/>
        </w:rPr>
      </w:pPr>
    </w:p>
    <w:p w:rsidR="006F4AC2" w:rsidRPr="006F4AC2" w:rsidRDefault="006F4AC2" w:rsidP="006F4AC2">
      <w:pPr>
        <w:ind w:firstLine="567"/>
        <w:rPr>
          <w:szCs w:val="24"/>
        </w:rPr>
      </w:pPr>
      <w:r>
        <w:rPr>
          <w:szCs w:val="24"/>
        </w:rPr>
        <w:t>(l)</w:t>
      </w:r>
      <w:r w:rsidR="000758CE">
        <w:tab/>
      </w:r>
      <w:r w:rsidRPr="006F4AC2">
        <w:rPr>
          <w:szCs w:val="24"/>
        </w:rPr>
        <w:t>consider the conclusions of the CAJ-AG on:</w:t>
      </w:r>
    </w:p>
    <w:p w:rsidR="006F4AC2" w:rsidRPr="006F4AC2" w:rsidRDefault="006F4AC2" w:rsidP="006F4AC2">
      <w:pPr>
        <w:ind w:firstLine="567"/>
        <w:rPr>
          <w:szCs w:val="24"/>
        </w:rPr>
      </w:pPr>
    </w:p>
    <w:p w:rsidR="006F4AC2" w:rsidRPr="006F4AC2" w:rsidRDefault="006F4AC2" w:rsidP="006F4AC2">
      <w:pPr>
        <w:ind w:firstLine="567"/>
        <w:rPr>
          <w:szCs w:val="24"/>
        </w:rPr>
      </w:pPr>
      <w:r>
        <w:rPr>
          <w:szCs w:val="24"/>
        </w:rPr>
        <w:tab/>
        <w:t>(i</w:t>
      </w:r>
      <w:r w:rsidR="000758CE">
        <w:rPr>
          <w:szCs w:val="24"/>
        </w:rPr>
        <w:t>)</w:t>
      </w:r>
      <w:r w:rsidR="000758CE">
        <w:rPr>
          <w:szCs w:val="24"/>
        </w:rPr>
        <w:tab/>
      </w:r>
      <w:r w:rsidRPr="006F4AC2">
        <w:rPr>
          <w:szCs w:val="24"/>
        </w:rPr>
        <w:t xml:space="preserve">the purpose(s) of the variety description developed at the time of the grant of the breeder’s right (original variety description), </w:t>
      </w:r>
      <w:r>
        <w:rPr>
          <w:szCs w:val="24"/>
        </w:rPr>
        <w:t>as set out in paragraph 37</w:t>
      </w:r>
      <w:r w:rsidRPr="006F4AC2">
        <w:rPr>
          <w:szCs w:val="24"/>
        </w:rPr>
        <w:t xml:space="preserve">; and </w:t>
      </w:r>
    </w:p>
    <w:p w:rsidR="006F4AC2" w:rsidRPr="006F4AC2" w:rsidRDefault="006F4AC2" w:rsidP="006F4AC2">
      <w:pPr>
        <w:ind w:firstLine="567"/>
        <w:rPr>
          <w:szCs w:val="24"/>
        </w:rPr>
      </w:pPr>
    </w:p>
    <w:p w:rsidR="006F4AC2" w:rsidRDefault="006F4AC2" w:rsidP="006F4AC2">
      <w:pPr>
        <w:ind w:firstLine="567"/>
        <w:rPr>
          <w:szCs w:val="24"/>
        </w:rPr>
      </w:pPr>
      <w:r>
        <w:rPr>
          <w:szCs w:val="24"/>
        </w:rPr>
        <w:tab/>
        <w:t>(ii</w:t>
      </w:r>
      <w:r w:rsidR="000758CE">
        <w:rPr>
          <w:szCs w:val="24"/>
        </w:rPr>
        <w:t>)</w:t>
      </w:r>
      <w:r w:rsidR="000758CE">
        <w:rPr>
          <w:szCs w:val="24"/>
        </w:rPr>
        <w:tab/>
      </w:r>
      <w:r w:rsidRPr="006F4AC2">
        <w:rPr>
          <w:szCs w:val="24"/>
        </w:rPr>
        <w:t>the status of the original variety description in relation to the verification of the conformity of plant material to a protected variety for enforcement of the breeder’s right, as set o</w:t>
      </w:r>
      <w:r>
        <w:rPr>
          <w:szCs w:val="24"/>
        </w:rPr>
        <w:t>ut in paragraphs 38 and  39;</w:t>
      </w:r>
    </w:p>
    <w:p w:rsidR="006F4AC2" w:rsidRDefault="006F4AC2" w:rsidP="006F4AC2">
      <w:pPr>
        <w:ind w:firstLine="567"/>
        <w:rPr>
          <w:szCs w:val="24"/>
        </w:rPr>
      </w:pPr>
    </w:p>
    <w:p w:rsidR="006F4AC2" w:rsidRDefault="006F4AC2" w:rsidP="006F4AC2">
      <w:pPr>
        <w:ind w:firstLine="567"/>
      </w:pPr>
      <w:r>
        <w:rPr>
          <w:szCs w:val="24"/>
        </w:rPr>
        <w:t>(ll)</w:t>
      </w:r>
      <w:r w:rsidR="000758CE">
        <w:rPr>
          <w:szCs w:val="24"/>
        </w:rPr>
        <w:tab/>
      </w:r>
      <w:r>
        <w:t xml:space="preserve">note that a </w:t>
      </w:r>
      <w:r w:rsidRPr="00131904">
        <w:t xml:space="preserve">report on work concerning the possible development of a UPOV similarity search tool for variety denomination purposes and </w:t>
      </w:r>
      <w:r>
        <w:t>proposals concerning a</w:t>
      </w:r>
      <w:r w:rsidRPr="00131904">
        <w:t xml:space="preserve"> possible revision of document UPOV/INF/12/4 “Explanatory Notes on Variety Denominations under the UPOV Convention” </w:t>
      </w:r>
      <w:r>
        <w:t>are</w:t>
      </w:r>
      <w:r w:rsidRPr="00131904">
        <w:t xml:space="preserve"> provided in document CAJ/71/3 “Variety denominations</w:t>
      </w:r>
      <w:r>
        <w:t>;</w:t>
      </w:r>
    </w:p>
    <w:p w:rsidR="006F4AC2" w:rsidRDefault="006F4AC2" w:rsidP="006F4AC2">
      <w:pPr>
        <w:ind w:firstLine="567"/>
      </w:pPr>
    </w:p>
    <w:p w:rsidR="006F4AC2" w:rsidRDefault="006F4AC2" w:rsidP="006F4AC2">
      <w:pPr>
        <w:ind w:firstLine="567"/>
      </w:pPr>
      <w:r>
        <w:t>(m)</w:t>
      </w:r>
      <w:r w:rsidR="000758CE">
        <w:tab/>
      </w:r>
      <w:r>
        <w:t xml:space="preserve">consider matters </w:t>
      </w:r>
      <w:r w:rsidR="000758CE">
        <w:t>concerning observers in the CAJ-</w:t>
      </w:r>
      <w:r>
        <w:t>AG in the event that a session of the CAJ</w:t>
      </w:r>
      <w:r w:rsidR="000758CE">
        <w:t xml:space="preserve">-AG is convened by the CAJ; </w:t>
      </w:r>
    </w:p>
    <w:p w:rsidR="006F4AC2" w:rsidRDefault="006F4AC2" w:rsidP="006F4AC2">
      <w:pPr>
        <w:ind w:firstLine="567"/>
      </w:pPr>
    </w:p>
    <w:p w:rsidR="006F4AC2" w:rsidRDefault="000758CE" w:rsidP="006F4AC2">
      <w:pPr>
        <w:ind w:firstLine="567"/>
      </w:pPr>
      <w:r>
        <w:t>(n)</w:t>
      </w:r>
      <w:r>
        <w:tab/>
      </w:r>
      <w:r w:rsidR="006F4AC2">
        <w:t>consider the merits of inviting written comments from members and observers on relevant CAJ do</w:t>
      </w:r>
      <w:r>
        <w:t>cuments before the CAJ sessions;</w:t>
      </w:r>
    </w:p>
    <w:p w:rsidR="000758CE" w:rsidRDefault="000758CE" w:rsidP="006F4AC2">
      <w:pPr>
        <w:ind w:firstLine="567"/>
      </w:pPr>
    </w:p>
    <w:p w:rsidR="000758CE" w:rsidRDefault="000758CE" w:rsidP="006F4AC2">
      <w:pPr>
        <w:ind w:firstLine="567"/>
      </w:pPr>
      <w:r>
        <w:t>(o)</w:t>
      </w:r>
      <w:r>
        <w:tab/>
      </w:r>
      <w:r w:rsidRPr="000758CE">
        <w:t>note that the interest to discuss the relationship and effects of the implementation of the “Nagoya Protocol on Access to Genetic Resources and the Fair and Equitable Sharing of Benefits Arising from their Utilization to the Convention on Biological Diversity” for the breeder’s exemption was reported to the Consultative Committee and the Co</w:t>
      </w:r>
      <w:r>
        <w:t xml:space="preserve">uncil, as set out in paragraph </w:t>
      </w:r>
      <w:r w:rsidRPr="000758CE">
        <w:t>48</w:t>
      </w:r>
      <w:r>
        <w:t>;</w:t>
      </w:r>
    </w:p>
    <w:p w:rsidR="000758CE" w:rsidRDefault="000758CE" w:rsidP="006F4AC2">
      <w:pPr>
        <w:ind w:firstLine="567"/>
      </w:pPr>
    </w:p>
    <w:p w:rsidR="000758CE" w:rsidRDefault="000758CE" w:rsidP="000758CE">
      <w:pPr>
        <w:ind w:firstLine="567"/>
      </w:pPr>
      <w:r>
        <w:t>(p)</w:t>
      </w:r>
      <w:r>
        <w:tab/>
        <w:t>subject to progress at the seventy-first session of the CAJ, consider the tentative program for the development of information materials at the seventy-second session of the CAJ, as set out in paragraph  51; and</w:t>
      </w:r>
    </w:p>
    <w:p w:rsidR="000758CE" w:rsidRDefault="000758CE" w:rsidP="000758CE">
      <w:pPr>
        <w:ind w:firstLine="567"/>
      </w:pPr>
    </w:p>
    <w:p w:rsidR="000758CE" w:rsidRPr="000758CE" w:rsidRDefault="000758CE" w:rsidP="000758CE">
      <w:pPr>
        <w:ind w:firstLine="567"/>
      </w:pPr>
      <w:r>
        <w:t>(q)</w:t>
      </w:r>
      <w:r>
        <w:tab/>
        <w:t>subject to the approval of the CAJ at its seventy-first session, the Council, at its forty-ninth ordinary session, will be invited to adopt the “Explanatory Notes on Propagating Material under the 1991 Act of the UPOV Convention” (document UPOV/EXN/PPM/1);  the “Explanatory Notes on Cancellation of the Breeder's Right under the UPOV Convention” (Revision) (document UPOV/EXN/CAN/2);  Explanatory Notes on the Nullity of the Breeder's Right under the UPOV Convention (Revision) (document UPOV/EXN/NUL/2); the “Explanatory Notes on Provisional Protection under the UPOV Convention” (Revision) (document UPOV/EXN/PRP/2); and in conjunction with the above explanatory notes, a revision of document UPOV/INF/6/3 “Guidance for the preparation of laws based on the 1991 Act of the UPOV Convention” (document UPOV/INF/6/4), in conjunction with the explanatory notes that the Council will be invited to adopt at its forty-ninth ordinary session..</w:t>
      </w:r>
    </w:p>
    <w:p w:rsidR="009612F3" w:rsidRDefault="009612F3" w:rsidP="009612F3">
      <w:pPr>
        <w:rPr>
          <w:szCs w:val="24"/>
          <w:highlight w:val="yellow"/>
        </w:rPr>
      </w:pPr>
    </w:p>
    <w:p w:rsidR="009612F3" w:rsidRDefault="009612F3" w:rsidP="009612F3">
      <w:pPr>
        <w:rPr>
          <w:szCs w:val="24"/>
          <w:highlight w:val="yellow"/>
        </w:rPr>
      </w:pPr>
    </w:p>
    <w:p w:rsidR="009612F3" w:rsidRDefault="009612F3" w:rsidP="009612F3">
      <w:pPr>
        <w:rPr>
          <w:szCs w:val="24"/>
          <w:highlight w:val="yellow"/>
        </w:rPr>
      </w:pPr>
    </w:p>
    <w:p w:rsidR="009612F3" w:rsidRDefault="009612F3" w:rsidP="009612F3">
      <w:pPr>
        <w:jc w:val="left"/>
        <w:rPr>
          <w:szCs w:val="24"/>
          <w:highlight w:val="yellow"/>
        </w:rPr>
      </w:pPr>
      <w:r>
        <w:rPr>
          <w:szCs w:val="24"/>
          <w:highlight w:val="yellow"/>
        </w:rPr>
        <w:br w:type="page"/>
      </w:r>
    </w:p>
    <w:p w:rsidR="009612F3" w:rsidRPr="00A845F1" w:rsidRDefault="009612F3" w:rsidP="009612F3">
      <w:pPr>
        <w:rPr>
          <w:u w:val="single"/>
        </w:rPr>
      </w:pPr>
      <w:r w:rsidRPr="00A845F1">
        <w:rPr>
          <w:u w:val="single"/>
        </w:rPr>
        <w:lastRenderedPageBreak/>
        <w:t>Table of Contents</w:t>
      </w:r>
    </w:p>
    <w:p w:rsidR="009612F3" w:rsidRDefault="009612F3" w:rsidP="009612F3"/>
    <w:p w:rsidR="00232C2F" w:rsidRDefault="009612F3">
      <w:pPr>
        <w:pStyle w:val="TOC1"/>
        <w:rPr>
          <w:rFonts w:asciiTheme="minorHAnsi" w:eastAsiaTheme="minorEastAsia" w:hAnsiTheme="minorHAnsi" w:cstheme="minorBidi"/>
          <w:caps w:val="0"/>
          <w:sz w:val="22"/>
          <w:szCs w:val="22"/>
        </w:rPr>
      </w:pPr>
      <w:r w:rsidRPr="00280209">
        <w:rPr>
          <w:rFonts w:eastAsia="Arial Unicode MS" w:cs="Arial"/>
          <w:b/>
          <w:sz w:val="18"/>
        </w:rPr>
        <w:fldChar w:fldCharType="begin"/>
      </w:r>
      <w:r w:rsidRPr="00280209">
        <w:rPr>
          <w:rFonts w:eastAsia="Arial Unicode MS" w:cs="Arial"/>
          <w:b/>
          <w:sz w:val="18"/>
        </w:rPr>
        <w:instrText xml:space="preserve"> TOC \o "1-3" \u </w:instrText>
      </w:r>
      <w:r w:rsidRPr="00280209">
        <w:rPr>
          <w:rFonts w:eastAsia="Arial Unicode MS" w:cs="Arial"/>
          <w:b/>
          <w:sz w:val="18"/>
        </w:rPr>
        <w:fldChar w:fldCharType="separate"/>
      </w:r>
      <w:r w:rsidR="00232C2F">
        <w:t>INTRODUCTION</w:t>
      </w:r>
      <w:r w:rsidR="00232C2F">
        <w:tab/>
      </w:r>
      <w:r w:rsidR="00232C2F">
        <w:fldChar w:fldCharType="begin"/>
      </w:r>
      <w:r w:rsidR="00232C2F">
        <w:instrText xml:space="preserve"> PAGEREF _Toc413059216 \h </w:instrText>
      </w:r>
      <w:r w:rsidR="00232C2F">
        <w:fldChar w:fldCharType="separate"/>
      </w:r>
      <w:r w:rsidR="00F17514">
        <w:t>3</w:t>
      </w:r>
      <w:r w:rsidR="00232C2F">
        <w:fldChar w:fldCharType="end"/>
      </w:r>
    </w:p>
    <w:p w:rsidR="00232C2F" w:rsidRDefault="00232C2F">
      <w:pPr>
        <w:pStyle w:val="TOC1"/>
        <w:rPr>
          <w:rFonts w:asciiTheme="minorHAnsi" w:eastAsiaTheme="minorEastAsia" w:hAnsiTheme="minorHAnsi" w:cstheme="minorBidi"/>
          <w:caps w:val="0"/>
          <w:sz w:val="22"/>
          <w:szCs w:val="22"/>
        </w:rPr>
      </w:pPr>
      <w:r>
        <w:t>OVERVIEW OF THE DEVELOPMENT OF INFORMATION MATERIALS</w:t>
      </w:r>
      <w:r>
        <w:tab/>
      </w:r>
      <w:r>
        <w:fldChar w:fldCharType="begin"/>
      </w:r>
      <w:r>
        <w:instrText xml:space="preserve"> PAGEREF _Toc413059217 \h </w:instrText>
      </w:r>
      <w:r>
        <w:fldChar w:fldCharType="separate"/>
      </w:r>
      <w:r w:rsidR="00F17514">
        <w:t>3</w:t>
      </w:r>
      <w:r>
        <w:fldChar w:fldCharType="end"/>
      </w:r>
    </w:p>
    <w:p w:rsidR="00232C2F" w:rsidRDefault="00232C2F">
      <w:pPr>
        <w:pStyle w:val="TOC1"/>
        <w:rPr>
          <w:rFonts w:asciiTheme="minorHAnsi" w:eastAsiaTheme="minorEastAsia" w:hAnsiTheme="minorHAnsi" w:cstheme="minorBidi"/>
          <w:caps w:val="0"/>
          <w:sz w:val="22"/>
          <w:szCs w:val="22"/>
        </w:rPr>
      </w:pPr>
      <w:r>
        <w:t>INFORMATION MATERIALS</w:t>
      </w:r>
      <w:r>
        <w:tab/>
      </w:r>
      <w:r>
        <w:fldChar w:fldCharType="begin"/>
      </w:r>
      <w:r>
        <w:instrText xml:space="preserve"> PAGEREF _Toc413059218 \h </w:instrText>
      </w:r>
      <w:r>
        <w:fldChar w:fldCharType="separate"/>
      </w:r>
      <w:r w:rsidR="00F17514">
        <w:t>4</w:t>
      </w:r>
      <w:r>
        <w:fldChar w:fldCharType="end"/>
      </w:r>
    </w:p>
    <w:p w:rsidR="00232C2F" w:rsidRDefault="00232C2F" w:rsidP="00232C2F">
      <w:pPr>
        <w:pStyle w:val="TOC2"/>
        <w:rPr>
          <w:rFonts w:asciiTheme="minorHAnsi" w:eastAsiaTheme="minorEastAsia" w:hAnsiTheme="minorHAnsi" w:cstheme="minorBidi"/>
          <w:sz w:val="22"/>
          <w:szCs w:val="22"/>
        </w:rPr>
      </w:pPr>
      <w:r>
        <w:t>Explanatory Notes on Essentially Derived Varieties under the 1991 Act of the UPOV Convention (Revision) (document CAJ/71/2)</w:t>
      </w:r>
      <w:r>
        <w:tab/>
      </w:r>
      <w:r>
        <w:fldChar w:fldCharType="begin"/>
      </w:r>
      <w:r>
        <w:instrText xml:space="preserve"> PAGEREF _Toc413059219 \h </w:instrText>
      </w:r>
      <w:r>
        <w:fldChar w:fldCharType="separate"/>
      </w:r>
      <w:r w:rsidR="00F17514">
        <w:t>4</w:t>
      </w:r>
      <w:r>
        <w:fldChar w:fldCharType="end"/>
      </w:r>
    </w:p>
    <w:p w:rsidR="00232C2F" w:rsidRDefault="00232C2F" w:rsidP="00232C2F">
      <w:pPr>
        <w:pStyle w:val="TOC2"/>
        <w:rPr>
          <w:rFonts w:asciiTheme="minorHAnsi" w:eastAsiaTheme="minorEastAsia" w:hAnsiTheme="minorHAnsi" w:cstheme="minorBidi"/>
          <w:sz w:val="22"/>
          <w:szCs w:val="22"/>
        </w:rPr>
      </w:pPr>
      <w:r>
        <w:t>Explanatory Notes on Propagating Material under the 1991 Act of the UPOV Convention (document UPOV/EXN/PPM/1 Draft 4)</w:t>
      </w:r>
      <w:r>
        <w:tab/>
      </w:r>
      <w:r>
        <w:fldChar w:fldCharType="begin"/>
      </w:r>
      <w:r>
        <w:instrText xml:space="preserve"> PAGEREF _Toc413059220 \h </w:instrText>
      </w:r>
      <w:r>
        <w:fldChar w:fldCharType="separate"/>
      </w:r>
      <w:r w:rsidR="00F17514">
        <w:t>8</w:t>
      </w:r>
      <w:r>
        <w:fldChar w:fldCharType="end"/>
      </w:r>
    </w:p>
    <w:p w:rsidR="00232C2F" w:rsidRDefault="00232C2F" w:rsidP="00232C2F">
      <w:pPr>
        <w:pStyle w:val="TOC2"/>
        <w:rPr>
          <w:rFonts w:asciiTheme="minorHAnsi" w:eastAsiaTheme="minorEastAsia" w:hAnsiTheme="minorHAnsi" w:cstheme="minorBidi"/>
          <w:sz w:val="22"/>
          <w:szCs w:val="22"/>
        </w:rPr>
      </w:pPr>
      <w:r>
        <w:t xml:space="preserve">Explanatory Notes on Acts in Respect of Harvested Material under the 1991 Act of the UPOV Convention (Revision) </w:t>
      </w:r>
      <w:r w:rsidRPr="00DA4030">
        <w:rPr>
          <w:kern w:val="28"/>
        </w:rPr>
        <w:t>(document CAJ/71/2)</w:t>
      </w:r>
      <w:r>
        <w:tab/>
      </w:r>
      <w:r>
        <w:fldChar w:fldCharType="begin"/>
      </w:r>
      <w:r>
        <w:instrText xml:space="preserve"> PAGEREF _Toc413059221 \h </w:instrText>
      </w:r>
      <w:r>
        <w:fldChar w:fldCharType="separate"/>
      </w:r>
      <w:r w:rsidR="00F17514">
        <w:t>9</w:t>
      </w:r>
      <w:r>
        <w:fldChar w:fldCharType="end"/>
      </w:r>
    </w:p>
    <w:p w:rsidR="00232C2F" w:rsidRDefault="00232C2F" w:rsidP="00232C2F">
      <w:pPr>
        <w:pStyle w:val="TOC2"/>
        <w:rPr>
          <w:rFonts w:asciiTheme="minorHAnsi" w:eastAsiaTheme="minorEastAsia" w:hAnsiTheme="minorHAnsi" w:cstheme="minorBidi"/>
          <w:sz w:val="22"/>
          <w:szCs w:val="22"/>
        </w:rPr>
      </w:pPr>
      <w:r>
        <w:t>Explanatory Notes on Cancellation of the Breeder's Right under the UPOV Convention (Revision) (document UPOV/EXN/CAN/2 Draft 3)</w:t>
      </w:r>
      <w:r>
        <w:tab/>
      </w:r>
      <w:r>
        <w:fldChar w:fldCharType="begin"/>
      </w:r>
      <w:r>
        <w:instrText xml:space="preserve"> PAGEREF _Toc413059222 \h </w:instrText>
      </w:r>
      <w:r>
        <w:fldChar w:fldCharType="separate"/>
      </w:r>
      <w:r w:rsidR="00F17514">
        <w:t>9</w:t>
      </w:r>
      <w:r>
        <w:fldChar w:fldCharType="end"/>
      </w:r>
    </w:p>
    <w:p w:rsidR="00232C2F" w:rsidRDefault="00232C2F" w:rsidP="00232C2F">
      <w:pPr>
        <w:pStyle w:val="TOC2"/>
        <w:rPr>
          <w:rFonts w:asciiTheme="minorHAnsi" w:eastAsiaTheme="minorEastAsia" w:hAnsiTheme="minorHAnsi" w:cstheme="minorBidi"/>
          <w:sz w:val="22"/>
          <w:szCs w:val="22"/>
        </w:rPr>
      </w:pPr>
      <w:r>
        <w:t>Explanatory Notes on the Nullity of the Breeder's Right under the UPOV Convention (Revision) (document UPOV/EXN/NUL/2 Draft 3)</w:t>
      </w:r>
      <w:r>
        <w:tab/>
      </w:r>
      <w:r>
        <w:fldChar w:fldCharType="begin"/>
      </w:r>
      <w:r>
        <w:instrText xml:space="preserve"> PAGEREF _Toc413059223 \h </w:instrText>
      </w:r>
      <w:r>
        <w:fldChar w:fldCharType="separate"/>
      </w:r>
      <w:r w:rsidR="00F17514">
        <w:t>11</w:t>
      </w:r>
      <w:r>
        <w:fldChar w:fldCharType="end"/>
      </w:r>
    </w:p>
    <w:p w:rsidR="00232C2F" w:rsidRDefault="00232C2F" w:rsidP="00232C2F">
      <w:pPr>
        <w:pStyle w:val="TOC2"/>
        <w:rPr>
          <w:rFonts w:asciiTheme="minorHAnsi" w:eastAsiaTheme="minorEastAsia" w:hAnsiTheme="minorHAnsi" w:cstheme="minorBidi"/>
          <w:sz w:val="22"/>
          <w:szCs w:val="22"/>
        </w:rPr>
      </w:pPr>
      <w:r>
        <w:t>Explanatory Notes on Provisional Protection under the UPOV Convention (Revision) (document UPOV/EXN/PRP/2 Draft 3)</w:t>
      </w:r>
      <w:r>
        <w:tab/>
      </w:r>
      <w:r>
        <w:fldChar w:fldCharType="begin"/>
      </w:r>
      <w:r>
        <w:instrText xml:space="preserve"> PAGEREF _Toc413059224 \h </w:instrText>
      </w:r>
      <w:r>
        <w:fldChar w:fldCharType="separate"/>
      </w:r>
      <w:r w:rsidR="00F17514">
        <w:t>12</w:t>
      </w:r>
      <w:r>
        <w:fldChar w:fldCharType="end"/>
      </w:r>
    </w:p>
    <w:p w:rsidR="00232C2F" w:rsidRDefault="00232C2F" w:rsidP="00232C2F">
      <w:pPr>
        <w:pStyle w:val="TOC2"/>
        <w:rPr>
          <w:rFonts w:asciiTheme="minorHAnsi" w:eastAsiaTheme="minorEastAsia" w:hAnsiTheme="minorHAnsi" w:cstheme="minorBidi"/>
          <w:sz w:val="22"/>
          <w:szCs w:val="22"/>
        </w:rPr>
      </w:pPr>
      <w:r>
        <w:t xml:space="preserve">Matters concerning variety descriptions considered by the CAJ-AG </w:t>
      </w:r>
      <w:r w:rsidRPr="00DA4030">
        <w:rPr>
          <w:kern w:val="28"/>
        </w:rPr>
        <w:t>(document CAJ/71/2)</w:t>
      </w:r>
      <w:r>
        <w:tab/>
      </w:r>
      <w:r>
        <w:fldChar w:fldCharType="begin"/>
      </w:r>
      <w:r>
        <w:instrText xml:space="preserve"> PAGEREF _Toc413059225 \h </w:instrText>
      </w:r>
      <w:r>
        <w:fldChar w:fldCharType="separate"/>
      </w:r>
      <w:r w:rsidR="00F17514">
        <w:t>12</w:t>
      </w:r>
      <w:r>
        <w:fldChar w:fldCharType="end"/>
      </w:r>
    </w:p>
    <w:p w:rsidR="00232C2F" w:rsidRDefault="00232C2F" w:rsidP="00232C2F">
      <w:pPr>
        <w:pStyle w:val="TOC2"/>
        <w:rPr>
          <w:rFonts w:asciiTheme="minorHAnsi" w:eastAsiaTheme="minorEastAsia" w:hAnsiTheme="minorHAnsi" w:cstheme="minorBidi"/>
          <w:sz w:val="22"/>
          <w:szCs w:val="22"/>
        </w:rPr>
      </w:pPr>
      <w:r>
        <w:t>Variety denominations (document CAJ/71/3)</w:t>
      </w:r>
      <w:r>
        <w:tab/>
      </w:r>
      <w:r>
        <w:fldChar w:fldCharType="begin"/>
      </w:r>
      <w:r>
        <w:instrText xml:space="preserve"> PAGEREF _Toc413059226 \h </w:instrText>
      </w:r>
      <w:r>
        <w:fldChar w:fldCharType="separate"/>
      </w:r>
      <w:r w:rsidR="00F17514">
        <w:t>14</w:t>
      </w:r>
      <w:r>
        <w:fldChar w:fldCharType="end"/>
      </w:r>
    </w:p>
    <w:p w:rsidR="00232C2F" w:rsidRDefault="00232C2F">
      <w:pPr>
        <w:pStyle w:val="TOC1"/>
        <w:rPr>
          <w:rFonts w:asciiTheme="minorHAnsi" w:eastAsiaTheme="minorEastAsia" w:hAnsiTheme="minorHAnsi" w:cstheme="minorBidi"/>
          <w:caps w:val="0"/>
          <w:sz w:val="22"/>
          <w:szCs w:val="22"/>
        </w:rPr>
      </w:pPr>
      <w:r>
        <w:t>Matters concerning observers in the CAJ-AG</w:t>
      </w:r>
      <w:r>
        <w:tab/>
      </w:r>
      <w:r>
        <w:fldChar w:fldCharType="begin"/>
      </w:r>
      <w:r>
        <w:instrText xml:space="preserve"> PAGEREF _Toc413059227 \h </w:instrText>
      </w:r>
      <w:r>
        <w:fldChar w:fldCharType="separate"/>
      </w:r>
      <w:r w:rsidR="00F17514">
        <w:t>15</w:t>
      </w:r>
      <w:r>
        <w:fldChar w:fldCharType="end"/>
      </w:r>
    </w:p>
    <w:p w:rsidR="00232C2F" w:rsidRDefault="00232C2F">
      <w:pPr>
        <w:pStyle w:val="TOC1"/>
        <w:rPr>
          <w:rFonts w:asciiTheme="minorHAnsi" w:eastAsiaTheme="minorEastAsia" w:hAnsiTheme="minorHAnsi" w:cstheme="minorBidi"/>
          <w:caps w:val="0"/>
          <w:sz w:val="22"/>
          <w:szCs w:val="22"/>
        </w:rPr>
      </w:pPr>
      <w:r>
        <w:t>MATTER REFERRED BY THE CAJ TO THE CONSULTATIVE COMMITTEE AND THE COUNCIL</w:t>
      </w:r>
      <w:r>
        <w:tab/>
      </w:r>
      <w:r>
        <w:fldChar w:fldCharType="begin"/>
      </w:r>
      <w:r>
        <w:instrText xml:space="preserve"> PAGEREF _Toc413059228 \h </w:instrText>
      </w:r>
      <w:r>
        <w:fldChar w:fldCharType="separate"/>
      </w:r>
      <w:r w:rsidR="00F17514">
        <w:t>15</w:t>
      </w:r>
      <w:r>
        <w:fldChar w:fldCharType="end"/>
      </w:r>
    </w:p>
    <w:p w:rsidR="00232C2F" w:rsidRDefault="00232C2F">
      <w:pPr>
        <w:pStyle w:val="TOC1"/>
        <w:rPr>
          <w:rFonts w:asciiTheme="minorHAnsi" w:eastAsiaTheme="minorEastAsia" w:hAnsiTheme="minorHAnsi" w:cstheme="minorBidi"/>
          <w:caps w:val="0"/>
          <w:sz w:val="22"/>
          <w:szCs w:val="22"/>
        </w:rPr>
      </w:pPr>
      <w:r>
        <w:t>TENTATIVE PROGRAM FOR THE DEVELOPMENT OF INFORMATION MATERIALS</w:t>
      </w:r>
      <w:r>
        <w:tab/>
      </w:r>
      <w:r>
        <w:fldChar w:fldCharType="begin"/>
      </w:r>
      <w:r>
        <w:instrText xml:space="preserve"> PAGEREF _Toc413059229 \h </w:instrText>
      </w:r>
      <w:r>
        <w:fldChar w:fldCharType="separate"/>
      </w:r>
      <w:r w:rsidR="00F17514">
        <w:t>16</w:t>
      </w:r>
      <w:r>
        <w:fldChar w:fldCharType="end"/>
      </w:r>
    </w:p>
    <w:p w:rsidR="009612F3" w:rsidRDefault="009612F3" w:rsidP="009612F3">
      <w:pPr>
        <w:tabs>
          <w:tab w:val="left" w:pos="567"/>
        </w:tabs>
        <w:spacing w:before="120"/>
        <w:rPr>
          <w:rFonts w:eastAsia="Arial Unicode MS" w:cs="Arial"/>
          <w:b/>
          <w:bCs/>
          <w:caps/>
        </w:rPr>
      </w:pPr>
      <w:r w:rsidRPr="00280209">
        <w:rPr>
          <w:rFonts w:eastAsia="Arial Unicode MS" w:cs="Arial"/>
          <w:b/>
          <w:bCs/>
          <w:caps/>
          <w:sz w:val="16"/>
        </w:rPr>
        <w:fldChar w:fldCharType="end"/>
      </w:r>
    </w:p>
    <w:p w:rsidR="009612F3" w:rsidRDefault="009612F3" w:rsidP="009612F3">
      <w:pPr>
        <w:tabs>
          <w:tab w:val="left" w:pos="567"/>
        </w:tabs>
        <w:rPr>
          <w:rFonts w:eastAsia="Arial Unicode MS" w:cs="Arial"/>
          <w:b/>
          <w:bCs/>
          <w:caps/>
        </w:rPr>
      </w:pPr>
    </w:p>
    <w:p w:rsidR="009612F3" w:rsidRPr="001374EC" w:rsidRDefault="006D15FD" w:rsidP="00827F80">
      <w:pPr>
        <w:pStyle w:val="Heading1"/>
      </w:pPr>
      <w:bookmarkStart w:id="5" w:name="_Toc413059216"/>
      <w:r>
        <w:t>INTRODUCTION</w:t>
      </w:r>
      <w:bookmarkEnd w:id="5"/>
    </w:p>
    <w:p w:rsidR="009612F3" w:rsidRPr="001C522C" w:rsidRDefault="009612F3" w:rsidP="009612F3">
      <w:pPr>
        <w:keepNext/>
        <w:rPr>
          <w:rFonts w:cs="Arial"/>
        </w:rPr>
      </w:pPr>
    </w:p>
    <w:p w:rsidR="009612F3" w:rsidRDefault="009612F3" w:rsidP="009612F3">
      <w:r w:rsidRPr="001C522C">
        <w:fldChar w:fldCharType="begin"/>
      </w:r>
      <w:r w:rsidRPr="001C522C">
        <w:instrText xml:space="preserve"> AUTONUM  </w:instrText>
      </w:r>
      <w:r w:rsidRPr="001C522C">
        <w:fldChar w:fldCharType="end"/>
      </w:r>
      <w:r w:rsidRPr="001C522C">
        <w:tab/>
        <w:t xml:space="preserve">The </w:t>
      </w:r>
      <w:r>
        <w:t>CAJ</w:t>
      </w:r>
      <w:r w:rsidR="00016155">
        <w:t xml:space="preserve">, </w:t>
      </w:r>
      <w:r w:rsidR="00B520F2">
        <w:t>a</w:t>
      </w:r>
      <w:r w:rsidR="00016155">
        <w:t>t its fifty-second session,</w:t>
      </w:r>
      <w:r>
        <w:rPr>
          <w:rStyle w:val="FootnoteReference"/>
        </w:rPr>
        <w:footnoteReference w:id="2"/>
      </w:r>
      <w:r>
        <w:t xml:space="preserve"> </w:t>
      </w:r>
      <w:r w:rsidRPr="001C522C">
        <w:t>agreed an approach for the preparation of information materials concerning the UPOV Convention</w:t>
      </w:r>
      <w:r w:rsidR="00890BA2">
        <w:t>.</w:t>
      </w:r>
      <w:r>
        <w:rPr>
          <w:rStyle w:val="FootnoteReference"/>
        </w:rPr>
        <w:footnoteReference w:id="3"/>
      </w:r>
      <w:r>
        <w:t xml:space="preserve">  </w:t>
      </w:r>
      <w:r w:rsidRPr="001C522C">
        <w:t>It also agreed to the establishment of</w:t>
      </w:r>
      <w:r>
        <w:t xml:space="preserve"> an advisory group to the CAJ (CAJ-AG</w:t>
      </w:r>
      <w:r w:rsidRPr="001C522C">
        <w:t>) to assist in the preparation of documents concerning such materials</w:t>
      </w:r>
      <w:r w:rsidR="00890BA2">
        <w:t>.</w:t>
      </w:r>
      <w:r>
        <w:rPr>
          <w:rStyle w:val="FootnoteReference"/>
        </w:rPr>
        <w:footnoteReference w:id="4"/>
      </w:r>
      <w:r w:rsidR="00CA0D73">
        <w:t xml:space="preserve">  </w:t>
      </w:r>
      <w:r w:rsidRPr="001C522C">
        <w:t xml:space="preserve">The agreed approach is summarized as follows:  the Office of the Union will develop certain draft materials which it considers covers aspects of a straightforward nature and will circulate these to the CAJ for comments within a specified time.  In other cases, where it is considered that there are difficult issues, where discussions at a CAJ session would be important for the development of suitable information materials, and also in cases where the drafts on seemingly straightforward materials provoke unexpected concerns when circulated for comments, it was agreed that the assistance of the CAJ-AG would be sought prior to the CAJ being invited to discuss those matters at its sessions. </w:t>
      </w:r>
    </w:p>
    <w:p w:rsidR="001C7E73" w:rsidRDefault="001C7E73" w:rsidP="009612F3"/>
    <w:p w:rsidR="00CA0D73" w:rsidRDefault="001C7E73" w:rsidP="00CA0D73">
      <w:pPr>
        <w:tabs>
          <w:tab w:val="left" w:pos="567"/>
        </w:tabs>
      </w:pPr>
      <w:r>
        <w:fldChar w:fldCharType="begin"/>
      </w:r>
      <w:r>
        <w:instrText xml:space="preserve"> AUTONUM  </w:instrText>
      </w:r>
      <w:r>
        <w:fldChar w:fldCharType="end"/>
      </w:r>
      <w:r>
        <w:tab/>
      </w:r>
      <w:r w:rsidR="00CA0D73" w:rsidRPr="0055142A">
        <w:t>The CAJ</w:t>
      </w:r>
      <w:r w:rsidR="00CF689E" w:rsidRPr="0055142A">
        <w:t>, at its seventieth session</w:t>
      </w:r>
      <w:r w:rsidR="00CA0D73" w:rsidRPr="0055142A">
        <w:rPr>
          <w:rStyle w:val="FootnoteReference"/>
        </w:rPr>
        <w:footnoteReference w:id="5"/>
      </w:r>
      <w:r w:rsidR="00CA0D73" w:rsidRPr="0055142A">
        <w:t xml:space="preserve"> agreed that all matters under consideration by the CAJ-AG at its ninth session</w:t>
      </w:r>
      <w:r w:rsidR="00E6094F" w:rsidRPr="0055142A">
        <w:rPr>
          <w:rStyle w:val="FootnoteReference"/>
        </w:rPr>
        <w:footnoteReference w:id="6"/>
      </w:r>
      <w:r w:rsidR="00CF689E" w:rsidRPr="0055142A">
        <w:t xml:space="preserve"> </w:t>
      </w:r>
      <w:r w:rsidR="00CA0D73" w:rsidRPr="0055142A">
        <w:t xml:space="preserve">should, following the ninth session of the CAJ-AG, be considered by the CAJ and that the CAJ-AG should only be convened, on an </w:t>
      </w:r>
      <w:r w:rsidR="00CA0D73" w:rsidRPr="0055142A">
        <w:rPr>
          <w:i/>
        </w:rPr>
        <w:t>ad hoc</w:t>
      </w:r>
      <w:r w:rsidR="00CA0D73" w:rsidRPr="0055142A">
        <w:t xml:space="preserve"> basis, as considered appropriate by the CAJ.</w:t>
      </w:r>
      <w:r w:rsidR="00CA0D73" w:rsidRPr="0055142A">
        <w:rPr>
          <w:rStyle w:val="FootnoteReference"/>
        </w:rPr>
        <w:footnoteReference w:id="7"/>
      </w:r>
      <w:r w:rsidR="00CA0D73">
        <w:t xml:space="preserve">  </w:t>
      </w:r>
    </w:p>
    <w:p w:rsidR="001C7E73" w:rsidRDefault="001C7E73" w:rsidP="009612F3"/>
    <w:p w:rsidR="009612F3" w:rsidRDefault="009612F3" w:rsidP="009612F3"/>
    <w:p w:rsidR="0080410A" w:rsidRPr="001C522C" w:rsidRDefault="0080410A" w:rsidP="009612F3"/>
    <w:p w:rsidR="009612F3" w:rsidRPr="000341D8" w:rsidRDefault="009612F3" w:rsidP="00827F80">
      <w:pPr>
        <w:pStyle w:val="Heading1"/>
      </w:pPr>
      <w:bookmarkStart w:id="6" w:name="_Toc413059217"/>
      <w:r w:rsidRPr="00BC54C4">
        <w:t>OVERVIEW OF THE DEVELOPMENT OF INFORMATION MATERIALS</w:t>
      </w:r>
      <w:bookmarkEnd w:id="6"/>
    </w:p>
    <w:p w:rsidR="009612F3" w:rsidRPr="001C522C" w:rsidRDefault="009612F3" w:rsidP="009612F3">
      <w:pPr>
        <w:keepNext/>
        <w:rPr>
          <w:rFonts w:cs="Arial"/>
        </w:rPr>
      </w:pPr>
    </w:p>
    <w:p w:rsidR="009612F3" w:rsidRDefault="009612F3" w:rsidP="00280209">
      <w:pPr>
        <w:spacing w:after="72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218DA">
        <w:rPr>
          <w:rFonts w:cs="Arial"/>
        </w:rPr>
        <w:t xml:space="preserve">An overview of the development of the information materials is provided in the Annex to this document.  </w:t>
      </w:r>
    </w:p>
    <w:p w:rsidR="00016155" w:rsidRDefault="006D15FD" w:rsidP="00827F80">
      <w:pPr>
        <w:pStyle w:val="Heading1"/>
      </w:pPr>
      <w:bookmarkStart w:id="7" w:name="_Toc413059218"/>
      <w:r>
        <w:lastRenderedPageBreak/>
        <w:t>INFORMATION MATERIALS</w:t>
      </w:r>
      <w:bookmarkEnd w:id="7"/>
    </w:p>
    <w:p w:rsidR="00016155" w:rsidRDefault="00016155" w:rsidP="00280209">
      <w:pPr>
        <w:keepNext/>
        <w:tabs>
          <w:tab w:val="left" w:pos="567"/>
        </w:tabs>
      </w:pPr>
    </w:p>
    <w:p w:rsidR="00016155" w:rsidRDefault="00016155" w:rsidP="00016155">
      <w:pPr>
        <w:tabs>
          <w:tab w:val="left" w:pos="567"/>
        </w:tabs>
      </w:pPr>
      <w:r w:rsidRPr="00293035">
        <w:fldChar w:fldCharType="begin"/>
      </w:r>
      <w:r w:rsidRPr="00293035">
        <w:instrText xml:space="preserve"> AUTONUM  </w:instrText>
      </w:r>
      <w:r w:rsidRPr="00293035">
        <w:fldChar w:fldCharType="end"/>
      </w:r>
      <w:r w:rsidRPr="00293035">
        <w:tab/>
      </w:r>
      <w:r>
        <w:t>T</w:t>
      </w:r>
      <w:r w:rsidRPr="00293035">
        <w:t>he CAJ</w:t>
      </w:r>
      <w:r>
        <w:t>, at its seventieth session, requested the CAJ</w:t>
      </w:r>
      <w:r>
        <w:noBreakHyphen/>
      </w:r>
      <w:r w:rsidRPr="00293035">
        <w:t xml:space="preserve">AG, at its ninth session, to advise the CAJ </w:t>
      </w:r>
      <w:r>
        <w:t xml:space="preserve">on </w:t>
      </w:r>
      <w:r w:rsidRPr="00293035">
        <w:t>documents to be considered at t</w:t>
      </w:r>
      <w:r>
        <w:t>he seventy-first session of the </w:t>
      </w:r>
      <w:r w:rsidRPr="00293035">
        <w:t>CAJ, in March 2015.</w:t>
      </w:r>
      <w:r w:rsidR="0055142A">
        <w:rPr>
          <w:rStyle w:val="FootnoteReference"/>
        </w:rPr>
        <w:footnoteReference w:id="8"/>
      </w:r>
      <w:r>
        <w:t xml:space="preserve">  </w:t>
      </w:r>
    </w:p>
    <w:p w:rsidR="00016155" w:rsidRDefault="00016155" w:rsidP="00016155">
      <w:pPr>
        <w:tabs>
          <w:tab w:val="left" w:pos="567"/>
        </w:tabs>
      </w:pPr>
    </w:p>
    <w:p w:rsidR="00016155" w:rsidRDefault="00016155" w:rsidP="008668E7">
      <w:pPr>
        <w:tabs>
          <w:tab w:val="left" w:pos="567"/>
        </w:tabs>
        <w:spacing w:after="240"/>
      </w:pPr>
      <w:r>
        <w:fldChar w:fldCharType="begin"/>
      </w:r>
      <w:r>
        <w:instrText xml:space="preserve"> AUTONUM  </w:instrText>
      </w:r>
      <w:r>
        <w:fldChar w:fldCharType="end"/>
      </w:r>
      <w:r>
        <w:tab/>
        <w:t>In that regard, the CAJ</w:t>
      </w:r>
      <w:r>
        <w:noBreakHyphen/>
      </w:r>
      <w:r w:rsidRPr="00293035">
        <w:t>AG</w:t>
      </w:r>
      <w:r>
        <w:t xml:space="preserve"> advised a</w:t>
      </w:r>
      <w:r w:rsidR="006D15FD">
        <w:t>s follows in relation to items</w:t>
      </w:r>
      <w:r>
        <w:t xml:space="preserve"> “</w:t>
      </w:r>
      <w:r w:rsidRPr="00145935">
        <w:rPr>
          <w:kern w:val="28"/>
        </w:rPr>
        <w:t xml:space="preserve">Development of information materials concerning the </w:t>
      </w:r>
      <w:r>
        <w:rPr>
          <w:kern w:val="28"/>
        </w:rPr>
        <w:t xml:space="preserve">UPOV Convention” </w:t>
      </w:r>
      <w:r w:rsidR="006D15FD">
        <w:t xml:space="preserve">and </w:t>
      </w:r>
      <w:r>
        <w:t>“</w:t>
      </w:r>
      <w:r w:rsidRPr="00145935">
        <w:rPr>
          <w:kern w:val="28"/>
        </w:rPr>
        <w:t>Variety denominations</w:t>
      </w:r>
      <w:r>
        <w:rPr>
          <w:kern w:val="28"/>
        </w:rPr>
        <w:t>”</w:t>
      </w:r>
      <w:r>
        <w:t xml:space="preserve"> of the seventy-first session of the </w:t>
      </w:r>
      <w:r w:rsidRPr="00293035">
        <w:t>CAJ</w:t>
      </w:r>
      <w:r w:rsidRPr="0055142A">
        <w:t>:</w:t>
      </w:r>
      <w:r w:rsidR="0055142A" w:rsidRPr="0055142A">
        <w:rPr>
          <w:rStyle w:val="FootnoteReference"/>
        </w:rPr>
        <w:t xml:space="preserve"> </w:t>
      </w:r>
      <w:r w:rsidR="0055142A" w:rsidRPr="0055142A">
        <w:rPr>
          <w:rStyle w:val="FootnoteReference"/>
        </w:rPr>
        <w:footnoteReference w:id="9"/>
      </w:r>
      <w:r w:rsidR="0055142A">
        <w:t xml:space="preserve"> </w:t>
      </w:r>
      <w:r>
        <w:t xml:space="preserve"> </w:t>
      </w:r>
    </w:p>
    <w:p w:rsidR="00016155" w:rsidRPr="00184EDD" w:rsidRDefault="00016155" w:rsidP="00232C2F">
      <w:pPr>
        <w:tabs>
          <w:tab w:val="left" w:pos="567"/>
        </w:tabs>
        <w:ind w:left="567" w:right="567"/>
        <w:rPr>
          <w:kern w:val="28"/>
        </w:rPr>
      </w:pPr>
      <w:r w:rsidRPr="00184EDD">
        <w:rPr>
          <w:kern w:val="28"/>
        </w:rPr>
        <w:t>Development of information materials concerning the UPOV Convention (documents CAJ/71/2 and CAJ</w:t>
      </w:r>
      <w:r w:rsidRPr="00184EDD">
        <w:rPr>
          <w:kern w:val="28"/>
        </w:rPr>
        <w:noBreakHyphen/>
        <w:t>AG/14/9/7 “Report”)</w:t>
      </w:r>
    </w:p>
    <w:p w:rsidR="00016155" w:rsidRPr="00184EDD" w:rsidRDefault="00016155" w:rsidP="00016155">
      <w:pPr>
        <w:ind w:left="1134" w:right="567" w:hanging="567"/>
      </w:pPr>
    </w:p>
    <w:p w:rsidR="00016155" w:rsidRPr="00184EDD" w:rsidRDefault="00016155" w:rsidP="00016155">
      <w:pPr>
        <w:ind w:left="1701" w:right="567" w:hanging="567"/>
        <w:rPr>
          <w:strike/>
        </w:rPr>
      </w:pPr>
      <w:r w:rsidRPr="00184EDD">
        <w:t>(a)</w:t>
      </w:r>
      <w:r w:rsidRPr="00184EDD">
        <w:tab/>
        <w:t>Explanatory Notes on Essentially Derived Varieties under the 1991 Act of the UPOV Convention (Revision) (</w:t>
      </w:r>
      <w:r w:rsidRPr="00184EDD">
        <w:rPr>
          <w:kern w:val="28"/>
        </w:rPr>
        <w:t>document CAJ/71/2</w:t>
      </w:r>
      <w:r>
        <w:rPr>
          <w:kern w:val="28"/>
        </w:rPr>
        <w:t xml:space="preserve">: </w:t>
      </w:r>
      <w:r w:rsidRPr="00184EDD">
        <w:rPr>
          <w:kern w:val="28"/>
        </w:rPr>
        <w:t xml:space="preserve"> proposed way forward</w:t>
      </w:r>
      <w:r>
        <w:rPr>
          <w:kern w:val="28"/>
        </w:rPr>
        <w:t>, with a view to the discussion of a new draft of document UPOV/EXN/EDV/2 in the CAJ in October 2015</w:t>
      </w:r>
      <w:r w:rsidRPr="00184EDD">
        <w:t>)</w:t>
      </w:r>
    </w:p>
    <w:p w:rsidR="00016155" w:rsidRPr="00184EDD" w:rsidRDefault="00016155" w:rsidP="00016155">
      <w:pPr>
        <w:ind w:left="1134" w:right="567" w:hanging="567"/>
        <w:rPr>
          <w:strike/>
        </w:rPr>
      </w:pPr>
    </w:p>
    <w:p w:rsidR="00016155" w:rsidRPr="00184EDD" w:rsidRDefault="00016155" w:rsidP="00016155">
      <w:pPr>
        <w:ind w:left="1701" w:right="567" w:hanging="567"/>
      </w:pPr>
      <w:r w:rsidRPr="00184EDD">
        <w:t>(b)</w:t>
      </w:r>
      <w:r w:rsidRPr="00184EDD">
        <w:tab/>
        <w:t>Explanatory Notes on Propagating Material under the UPOV Convention (document UPOV/EXN/PPM/1 Draft 4)</w:t>
      </w:r>
    </w:p>
    <w:p w:rsidR="00016155" w:rsidRPr="00184EDD" w:rsidRDefault="00016155" w:rsidP="00016155">
      <w:pPr>
        <w:ind w:left="1701" w:right="567" w:hanging="567"/>
      </w:pPr>
    </w:p>
    <w:p w:rsidR="00016155" w:rsidRPr="00184EDD" w:rsidRDefault="00016155" w:rsidP="00016155">
      <w:pPr>
        <w:ind w:left="1701" w:right="567" w:hanging="567"/>
        <w:rPr>
          <w:kern w:val="28"/>
        </w:rPr>
      </w:pPr>
      <w:r w:rsidRPr="00184EDD">
        <w:t>(c)</w:t>
      </w:r>
      <w:r w:rsidRPr="00184EDD">
        <w:tab/>
        <w:t xml:space="preserve">Explanatory Notes on Acts in Respect of Harvested Material under the 1991 Act of the UPOV Convention (Revision) </w:t>
      </w:r>
      <w:r w:rsidRPr="00184EDD">
        <w:rPr>
          <w:kern w:val="28"/>
        </w:rPr>
        <w:t>(document CAJ/71/2</w:t>
      </w:r>
      <w:r>
        <w:rPr>
          <w:kern w:val="28"/>
        </w:rPr>
        <w:t xml:space="preserve">: </w:t>
      </w:r>
      <w:r w:rsidRPr="00184EDD">
        <w:rPr>
          <w:kern w:val="28"/>
        </w:rPr>
        <w:t xml:space="preserve"> </w:t>
      </w:r>
      <w:r w:rsidRPr="00184EDD">
        <w:t xml:space="preserve">CAJ-AG </w:t>
      </w:r>
      <w:r>
        <w:t>proposal to discontinue the development of a revision of UPOV/EXN/HRV/1</w:t>
      </w:r>
      <w:r w:rsidRPr="00184EDD">
        <w:rPr>
          <w:kern w:val="28"/>
        </w:rPr>
        <w:t>)</w:t>
      </w:r>
    </w:p>
    <w:p w:rsidR="00016155" w:rsidRPr="00184EDD" w:rsidRDefault="00016155" w:rsidP="00016155">
      <w:pPr>
        <w:ind w:left="1701" w:right="567" w:hanging="567"/>
        <w:rPr>
          <w:kern w:val="28"/>
        </w:rPr>
      </w:pPr>
    </w:p>
    <w:p w:rsidR="00016155" w:rsidRPr="00184EDD" w:rsidRDefault="00016155" w:rsidP="00016155">
      <w:pPr>
        <w:ind w:left="1701" w:right="567" w:hanging="567"/>
      </w:pPr>
      <w:r w:rsidRPr="00184EDD">
        <w:rPr>
          <w:kern w:val="28"/>
        </w:rPr>
        <w:t>(d)</w:t>
      </w:r>
      <w:r w:rsidRPr="00184EDD">
        <w:rPr>
          <w:kern w:val="28"/>
        </w:rPr>
        <w:tab/>
      </w:r>
      <w:r w:rsidRPr="00184EDD">
        <w:t>Explanatory Notes on Cancellation of the Breeder's Right under the UPOV Convention (Revision) (document UPOV/EXN/CAN/2 Draft 3)</w:t>
      </w:r>
    </w:p>
    <w:p w:rsidR="00016155" w:rsidRPr="00184EDD" w:rsidRDefault="00016155" w:rsidP="00016155">
      <w:pPr>
        <w:ind w:left="1701" w:right="567" w:hanging="567"/>
      </w:pPr>
    </w:p>
    <w:p w:rsidR="00016155" w:rsidRPr="00184EDD" w:rsidRDefault="00016155" w:rsidP="00016155">
      <w:pPr>
        <w:ind w:left="1701" w:right="567" w:hanging="567"/>
      </w:pPr>
      <w:r w:rsidRPr="00184EDD">
        <w:t>(e)</w:t>
      </w:r>
      <w:r w:rsidRPr="00184EDD">
        <w:tab/>
        <w:t>Explanatory Notes on Nullity of the Breeder's Right under the UPOV Convention (Revision) (document UPOV/EXN/NUL/2 Draft 3)</w:t>
      </w:r>
    </w:p>
    <w:p w:rsidR="00016155" w:rsidRPr="00184EDD" w:rsidRDefault="00016155" w:rsidP="00016155">
      <w:pPr>
        <w:ind w:left="1701" w:right="567" w:hanging="567"/>
      </w:pPr>
    </w:p>
    <w:p w:rsidR="00016155" w:rsidRPr="00184EDD" w:rsidRDefault="00016155" w:rsidP="00016155">
      <w:pPr>
        <w:ind w:left="1701" w:right="567" w:hanging="567"/>
        <w:rPr>
          <w:kern w:val="28"/>
        </w:rPr>
      </w:pPr>
      <w:r w:rsidRPr="00184EDD">
        <w:t>(f)</w:t>
      </w:r>
      <w:r w:rsidRPr="00184EDD">
        <w:tab/>
        <w:t xml:space="preserve">Matters concerning variety descriptions </w:t>
      </w:r>
      <w:r w:rsidRPr="00184EDD">
        <w:rPr>
          <w:kern w:val="28"/>
        </w:rPr>
        <w:t>(document CAJ/71/2</w:t>
      </w:r>
      <w:r>
        <w:rPr>
          <w:kern w:val="28"/>
        </w:rPr>
        <w:t xml:space="preserve">:  to present the </w:t>
      </w:r>
      <w:r w:rsidRPr="00184EDD">
        <w:t>conclusion</w:t>
      </w:r>
      <w:r>
        <w:t xml:space="preserve"> of the CAJ-AG</w:t>
      </w:r>
      <w:r w:rsidRPr="00184EDD">
        <w:rPr>
          <w:kern w:val="28"/>
        </w:rPr>
        <w:t>)</w:t>
      </w:r>
    </w:p>
    <w:p w:rsidR="00016155" w:rsidRPr="00184EDD" w:rsidRDefault="00016155" w:rsidP="00016155">
      <w:pPr>
        <w:ind w:left="1701" w:right="567" w:hanging="567"/>
        <w:rPr>
          <w:kern w:val="28"/>
        </w:rPr>
      </w:pPr>
    </w:p>
    <w:p w:rsidR="00016155" w:rsidRPr="00184EDD" w:rsidRDefault="00016155" w:rsidP="00016155">
      <w:pPr>
        <w:ind w:left="1701" w:right="567" w:hanging="567"/>
      </w:pPr>
      <w:r w:rsidRPr="00184EDD">
        <w:rPr>
          <w:kern w:val="28"/>
        </w:rPr>
        <w:t>(g)</w:t>
      </w:r>
      <w:r w:rsidRPr="00184EDD">
        <w:rPr>
          <w:kern w:val="28"/>
        </w:rPr>
        <w:tab/>
      </w:r>
      <w:r w:rsidRPr="00184EDD">
        <w:t>Explanatory Notes on Provisional Protection under the UPOV Convention (Revision) (document UPOV/EXN/PRP/2 Draft 3)</w:t>
      </w:r>
    </w:p>
    <w:p w:rsidR="00016155" w:rsidRPr="00184EDD" w:rsidRDefault="00016155" w:rsidP="00016155">
      <w:pPr>
        <w:ind w:left="1134" w:right="567" w:hanging="567"/>
        <w:rPr>
          <w:kern w:val="28"/>
        </w:rPr>
      </w:pPr>
    </w:p>
    <w:p w:rsidR="00016155" w:rsidRPr="00184EDD" w:rsidRDefault="00016155" w:rsidP="006D15FD">
      <w:pPr>
        <w:ind w:left="1134" w:right="567"/>
        <w:rPr>
          <w:kern w:val="28"/>
        </w:rPr>
      </w:pPr>
      <w:r w:rsidRPr="00184EDD">
        <w:rPr>
          <w:kern w:val="28"/>
        </w:rPr>
        <w:t>Variety denominations (document CAJ/71/3)</w:t>
      </w:r>
    </w:p>
    <w:p w:rsidR="00016155" w:rsidRPr="00184EDD" w:rsidRDefault="00016155" w:rsidP="00016155">
      <w:pPr>
        <w:ind w:left="1701" w:right="567" w:hanging="567"/>
        <w:rPr>
          <w:kern w:val="28"/>
        </w:rPr>
      </w:pPr>
    </w:p>
    <w:p w:rsidR="00016155" w:rsidRPr="00293035" w:rsidRDefault="00016155" w:rsidP="00016155">
      <w:pPr>
        <w:ind w:left="1134" w:right="567"/>
        <w:rPr>
          <w:strike/>
        </w:rPr>
      </w:pPr>
      <w:r w:rsidRPr="00184EDD">
        <w:t>Explanatory Notes on Variety Denominations under the UPOV Convention (Revision) (</w:t>
      </w:r>
      <w:r w:rsidRPr="00184EDD">
        <w:rPr>
          <w:kern w:val="28"/>
        </w:rPr>
        <w:t>CAJ</w:t>
      </w:r>
      <w:r>
        <w:rPr>
          <w:kern w:val="28"/>
        </w:rPr>
        <w:t xml:space="preserve"> to be invited to consider a plan for the revision of document UPOV/INF/12/5</w:t>
      </w:r>
      <w:r w:rsidRPr="00184EDD">
        <w:t>)</w:t>
      </w:r>
    </w:p>
    <w:p w:rsidR="00016155" w:rsidRDefault="00016155" w:rsidP="00016155"/>
    <w:p w:rsidR="008E620D" w:rsidRPr="00281AC7" w:rsidRDefault="008E620D" w:rsidP="008E620D">
      <w:r w:rsidRPr="00281AC7">
        <w:rPr>
          <w:rFonts w:cs="Arial"/>
          <w:spacing w:val="-2"/>
        </w:rPr>
        <w:fldChar w:fldCharType="begin"/>
      </w:r>
      <w:r w:rsidRPr="00281AC7">
        <w:rPr>
          <w:rFonts w:cs="Arial"/>
          <w:spacing w:val="-2"/>
        </w:rPr>
        <w:instrText xml:space="preserve"> AUTONUM  </w:instrText>
      </w:r>
      <w:r w:rsidRPr="00281AC7">
        <w:rPr>
          <w:rFonts w:cs="Arial"/>
          <w:spacing w:val="-2"/>
        </w:rPr>
        <w:fldChar w:fldCharType="end"/>
      </w:r>
      <w:r w:rsidRPr="00281AC7">
        <w:rPr>
          <w:rFonts w:cs="Arial"/>
          <w:spacing w:val="-2"/>
        </w:rPr>
        <w:tab/>
      </w:r>
      <w:r w:rsidRPr="00281AC7">
        <w:rPr>
          <w:rFonts w:eastAsia="MS Mincho" w:cs="Arial"/>
          <w:spacing w:val="-2"/>
          <w:lang w:eastAsia="ja-JP" w:bidi="th-TH"/>
        </w:rPr>
        <w:t xml:space="preserve">The “Report on the Conclusions” </w:t>
      </w:r>
      <w:r w:rsidRPr="00281AC7">
        <w:rPr>
          <w:rFonts w:cs="Arial"/>
          <w:spacing w:val="-2"/>
        </w:rPr>
        <w:t xml:space="preserve">of the </w:t>
      </w:r>
      <w:r w:rsidRPr="00281AC7">
        <w:rPr>
          <w:rFonts w:eastAsia="MS Mincho" w:cs="Arial"/>
          <w:spacing w:val="-2"/>
          <w:lang w:eastAsia="ja-JP" w:bidi="th-TH"/>
        </w:rPr>
        <w:t>CAJ</w:t>
      </w:r>
      <w:r w:rsidRPr="00281AC7">
        <w:rPr>
          <w:rFonts w:eastAsia="MS Mincho" w:cs="Arial"/>
          <w:spacing w:val="-2"/>
          <w:lang w:eastAsia="ja-JP" w:bidi="th-TH"/>
        </w:rPr>
        <w:noBreakHyphen/>
        <w:t>AG at its </w:t>
      </w:r>
      <w:r w:rsidRPr="00281AC7">
        <w:t>ninth session</w:t>
      </w:r>
      <w:r w:rsidRPr="00281AC7">
        <w:rPr>
          <w:rFonts w:cs="Arial"/>
          <w:spacing w:val="-2"/>
        </w:rPr>
        <w:t xml:space="preserve"> </w:t>
      </w:r>
      <w:r w:rsidRPr="00281AC7">
        <w:t xml:space="preserve">(document </w:t>
      </w:r>
      <w:r w:rsidR="00281AC7" w:rsidRPr="00281AC7">
        <w:t>CAJ-AG/14/9/6</w:t>
      </w:r>
      <w:r w:rsidRPr="00281AC7">
        <w:t xml:space="preserve">) </w:t>
      </w:r>
      <w:r w:rsidRPr="00281AC7">
        <w:rPr>
          <w:rFonts w:eastAsia="MS Mincho" w:cs="Arial"/>
          <w:spacing w:val="-2"/>
          <w:lang w:eastAsia="ja-JP" w:bidi="th-TH"/>
        </w:rPr>
        <w:t>has been posted on the CAJ</w:t>
      </w:r>
      <w:r w:rsidRPr="00281AC7">
        <w:rPr>
          <w:rFonts w:eastAsia="MS Mincho" w:cs="Arial"/>
          <w:spacing w:val="-2"/>
          <w:lang w:eastAsia="ja-JP" w:bidi="th-TH"/>
        </w:rPr>
        <w:noBreakHyphen/>
        <w:t>AG and CAJ/71 sections of the UPOV website.</w:t>
      </w:r>
      <w:r w:rsidRPr="00281AC7">
        <w:rPr>
          <w:rFonts w:cs="Arial"/>
          <w:spacing w:val="-2"/>
        </w:rPr>
        <w:t xml:space="preserve">  </w:t>
      </w:r>
      <w:r w:rsidRPr="00281AC7">
        <w:t>The detailed report</w:t>
      </w:r>
      <w:r w:rsidR="00281AC7" w:rsidRPr="00281AC7">
        <w:t xml:space="preserve">, which includes </w:t>
      </w:r>
      <w:r w:rsidRPr="00281AC7">
        <w:t xml:space="preserve">the discussions in the presence of </w:t>
      </w:r>
      <w:r w:rsidR="00281AC7" w:rsidRPr="00281AC7">
        <w:t>observers,</w:t>
      </w:r>
      <w:r w:rsidR="00281AC7" w:rsidRPr="00281AC7">
        <w:rPr>
          <w:bCs/>
        </w:rPr>
        <w:t xml:space="preserve"> will be posted by March 25, 2015 (</w:t>
      </w:r>
      <w:r w:rsidR="00281AC7" w:rsidRPr="00281AC7">
        <w:t>document CAJ-AG/14/9/7)</w:t>
      </w:r>
      <w:r w:rsidR="00281AC7" w:rsidRPr="00281AC7">
        <w:rPr>
          <w:bCs/>
        </w:rPr>
        <w:t>.</w:t>
      </w:r>
    </w:p>
    <w:p w:rsidR="00016155" w:rsidRPr="00643D59" w:rsidRDefault="00016155" w:rsidP="009612F3"/>
    <w:p w:rsidR="003B2467" w:rsidRPr="00F4074C" w:rsidRDefault="003B2467" w:rsidP="00827F80"/>
    <w:p w:rsidR="00072AD8" w:rsidRPr="00E831EC" w:rsidRDefault="00072AD8" w:rsidP="00E831EC">
      <w:pPr>
        <w:pStyle w:val="Heading2"/>
      </w:pPr>
      <w:bookmarkStart w:id="8" w:name="_Toc413059219"/>
      <w:r w:rsidRPr="00E831EC">
        <w:t>Explanatory Notes on Essentially Derived Varieties under the 1991 Act of the UPOV Convention (Revision) (document CAJ/71/2)</w:t>
      </w:r>
      <w:bookmarkEnd w:id="8"/>
      <w:r w:rsidRPr="00E831EC">
        <w:t xml:space="preserve">  </w:t>
      </w:r>
    </w:p>
    <w:p w:rsidR="00F4074C" w:rsidRDefault="00F4074C" w:rsidP="002A2583"/>
    <w:p w:rsidR="00F4074C" w:rsidRDefault="00F4074C" w:rsidP="00F4074C">
      <w:r w:rsidRPr="002A2583">
        <w:fldChar w:fldCharType="begin"/>
      </w:r>
      <w:r w:rsidRPr="002A2583">
        <w:instrText xml:space="preserve"> AUTONUM  </w:instrText>
      </w:r>
      <w:r w:rsidRPr="002A2583">
        <w:fldChar w:fldCharType="end"/>
      </w:r>
      <w:r w:rsidRPr="002A2583">
        <w:tab/>
      </w:r>
      <w:r w:rsidRPr="002A2583">
        <w:rPr>
          <w:rFonts w:cs="Arial"/>
        </w:rPr>
        <w:t>The CAJ­AG</w:t>
      </w:r>
      <w:r w:rsidR="0073787A" w:rsidRPr="002A2583">
        <w:rPr>
          <w:rFonts w:cs="Arial"/>
        </w:rPr>
        <w:t>,</w:t>
      </w:r>
      <w:r w:rsidR="0073787A" w:rsidRPr="002A2583">
        <w:rPr>
          <w:rFonts w:eastAsia="MS Mincho" w:cs="Arial"/>
          <w:spacing w:val="-2"/>
          <w:lang w:eastAsia="ja-JP" w:bidi="th-TH"/>
        </w:rPr>
        <w:t xml:space="preserve"> at its </w:t>
      </w:r>
      <w:r w:rsidR="0073787A" w:rsidRPr="002A2583">
        <w:t>ninth session,</w:t>
      </w:r>
      <w:r w:rsidRPr="002A2583">
        <w:rPr>
          <w:rStyle w:val="FootnoteReference"/>
          <w:rFonts w:cs="Arial"/>
        </w:rPr>
        <w:footnoteReference w:id="10"/>
      </w:r>
      <w:r w:rsidRPr="002A2583">
        <w:rPr>
          <w:rFonts w:cs="Arial"/>
        </w:rPr>
        <w:t xml:space="preserve"> considered </w:t>
      </w:r>
      <w:r w:rsidRPr="002A2583">
        <w:t>documents C</w:t>
      </w:r>
      <w:r w:rsidR="00DB09CA" w:rsidRPr="002A2583">
        <w:t>AJ-AG/14/9/2 and UPOV/EXN/EDV/2 </w:t>
      </w:r>
      <w:r w:rsidR="002A2583">
        <w:t>Draft </w:t>
      </w:r>
      <w:r w:rsidRPr="002A2583">
        <w:t xml:space="preserve">5 and the views expressed by </w:t>
      </w:r>
      <w:r w:rsidR="002A2583" w:rsidRPr="002A2583">
        <w:t xml:space="preserve">the </w:t>
      </w:r>
      <w:r w:rsidR="002A2583" w:rsidRPr="002A2583">
        <w:rPr>
          <w:lang w:val="fr-FR"/>
        </w:rPr>
        <w:t>International Association of Horticultural Producers (AIPH)</w:t>
      </w:r>
      <w:r w:rsidRPr="002A2583">
        <w:t xml:space="preserve">, </w:t>
      </w:r>
      <w:r w:rsidR="002A2583" w:rsidRPr="002A2583">
        <w:t xml:space="preserve">the </w:t>
      </w:r>
      <w:r w:rsidR="002A2583" w:rsidRPr="002A2583">
        <w:rPr>
          <w:szCs w:val="26"/>
        </w:rPr>
        <w:t>Association for Plant Breeding for the Benefit of Society (APBREBES)</w:t>
      </w:r>
      <w:r w:rsidRPr="002A2583">
        <w:t xml:space="preserve">, </w:t>
      </w:r>
      <w:r w:rsidR="002A2583" w:rsidRPr="002A2583">
        <w:t>the International Community of Breeders of Asexually Reproduced Ornamental and Fruit Varieties (CIOPORA)</w:t>
      </w:r>
      <w:r w:rsidRPr="002A2583">
        <w:t xml:space="preserve">, </w:t>
      </w:r>
      <w:r w:rsidR="002A2583" w:rsidRPr="002A2583">
        <w:t>the European Seed Association (ESA)</w:t>
      </w:r>
      <w:r w:rsidRPr="002A2583">
        <w:t xml:space="preserve"> and </w:t>
      </w:r>
      <w:r w:rsidR="002A2583" w:rsidRPr="002A2583">
        <w:t>the International Seed Federation (ISF)</w:t>
      </w:r>
      <w:r w:rsidRPr="002A2583">
        <w:t>.</w:t>
      </w:r>
      <w:r w:rsidRPr="0055142A">
        <w:rPr>
          <w:rStyle w:val="FootnoteReference"/>
        </w:rPr>
        <w:footnoteReference w:id="11"/>
      </w:r>
    </w:p>
    <w:p w:rsidR="00F4074C" w:rsidRDefault="00F4074C" w:rsidP="00F4074C"/>
    <w:p w:rsidR="00F4074C" w:rsidRDefault="00F4074C" w:rsidP="00F4074C">
      <w:r>
        <w:lastRenderedPageBreak/>
        <w:fldChar w:fldCharType="begin"/>
      </w:r>
      <w:r>
        <w:instrText xml:space="preserve"> AUTONUM  </w:instrText>
      </w:r>
      <w:r>
        <w:fldChar w:fldCharType="end"/>
      </w:r>
      <w:r>
        <w:tab/>
      </w:r>
      <w:r w:rsidRPr="00482F75">
        <w:rPr>
          <w:rFonts w:cs="Arial"/>
        </w:rPr>
        <w:t xml:space="preserve">The CAJ­AG </w:t>
      </w:r>
      <w:r>
        <w:t>welcomed the presentation made by Australia by electronic means, via the internet, containing the additional information on the context of the examples provided by Australia at the EDV Seminar.</w:t>
      </w:r>
      <w:r w:rsidR="0073787A">
        <w:t xml:space="preserve"> The presentation made by Australia </w:t>
      </w:r>
      <w:r w:rsidR="0073787A" w:rsidRPr="00281AC7">
        <w:rPr>
          <w:rFonts w:eastAsia="MS Mincho" w:cs="Arial"/>
          <w:spacing w:val="-2"/>
          <w:lang w:eastAsia="ja-JP" w:bidi="th-TH"/>
        </w:rPr>
        <w:t>has been posted on the CAJ</w:t>
      </w:r>
      <w:r w:rsidR="0073787A" w:rsidRPr="00281AC7">
        <w:rPr>
          <w:rFonts w:eastAsia="MS Mincho" w:cs="Arial"/>
          <w:spacing w:val="-2"/>
          <w:lang w:eastAsia="ja-JP" w:bidi="th-TH"/>
        </w:rPr>
        <w:noBreakHyphen/>
        <w:t>AG</w:t>
      </w:r>
      <w:r w:rsidR="0073787A">
        <w:rPr>
          <w:rFonts w:eastAsia="MS Mincho" w:cs="Arial"/>
          <w:spacing w:val="-2"/>
          <w:lang w:eastAsia="ja-JP" w:bidi="th-TH"/>
        </w:rPr>
        <w:t xml:space="preserve">/14 section </w:t>
      </w:r>
      <w:r w:rsidR="0073787A" w:rsidRPr="00281AC7">
        <w:rPr>
          <w:rFonts w:eastAsia="MS Mincho" w:cs="Arial"/>
          <w:spacing w:val="-2"/>
          <w:lang w:eastAsia="ja-JP" w:bidi="th-TH"/>
        </w:rPr>
        <w:t>of the UPOV website</w:t>
      </w:r>
      <w:r w:rsidR="0073787A">
        <w:rPr>
          <w:rFonts w:eastAsia="MS Mincho" w:cs="Arial"/>
          <w:spacing w:val="-2"/>
          <w:lang w:eastAsia="ja-JP" w:bidi="th-TH"/>
        </w:rPr>
        <w:t>.</w:t>
      </w:r>
    </w:p>
    <w:p w:rsidR="00F4074C" w:rsidRDefault="00F4074C" w:rsidP="00F4074C"/>
    <w:p w:rsidR="00F4074C" w:rsidRDefault="00F4074C" w:rsidP="00F4074C">
      <w:r>
        <w:fldChar w:fldCharType="begin"/>
      </w:r>
      <w:r>
        <w:instrText xml:space="preserve"> AUTONUM  </w:instrText>
      </w:r>
      <w:r>
        <w:fldChar w:fldCharType="end"/>
      </w:r>
      <w:r>
        <w:tab/>
      </w:r>
      <w:r w:rsidRPr="00482F75">
        <w:rPr>
          <w:rFonts w:cs="Arial"/>
        </w:rPr>
        <w:t xml:space="preserve">The CAJ­AG </w:t>
      </w:r>
      <w:r w:rsidR="006D15FD">
        <w:t>recalled that</w:t>
      </w:r>
      <w:r>
        <w:t xml:space="preserve">, at its eighth session, </w:t>
      </w:r>
      <w:r w:rsidR="006D15FD">
        <w:t xml:space="preserve">it </w:t>
      </w:r>
      <w:r>
        <w:t>had agreed to consider the development of guidance on the matters raised in para</w:t>
      </w:r>
      <w:r w:rsidR="0073787A">
        <w:t>graphs 15 to 18 of document CAJ</w:t>
      </w:r>
      <w:r w:rsidR="0073787A">
        <w:noBreakHyphen/>
      </w:r>
      <w:r>
        <w:t xml:space="preserve">AG/13/8/2 “Explanatory Notes on Essentially Derived Varieties under the 1991 Act of the UPOV Convention”, concerning the status of essentially derived varieties that were not granted protection in their own right, </w:t>
      </w:r>
      <w:r w:rsidRPr="00DB09CA">
        <w:t>after the adoption of the revised document UPOV/EXN/EDV/2.</w:t>
      </w:r>
    </w:p>
    <w:p w:rsidR="00F4074C" w:rsidRDefault="00F4074C" w:rsidP="00F4074C"/>
    <w:p w:rsidR="00F4074C" w:rsidRDefault="00F4074C" w:rsidP="008668E7">
      <w:pPr>
        <w:spacing w:after="240"/>
      </w:pPr>
      <w:r>
        <w:fldChar w:fldCharType="begin"/>
      </w:r>
      <w:r>
        <w:instrText xml:space="preserve"> AUTONUM  </w:instrText>
      </w:r>
      <w:r>
        <w:fldChar w:fldCharType="end"/>
      </w:r>
      <w:r>
        <w:tab/>
      </w:r>
      <w:r w:rsidRPr="00DB09CA">
        <w:rPr>
          <w:rFonts w:cs="Arial"/>
        </w:rPr>
        <w:t xml:space="preserve">The CAJ­AG </w:t>
      </w:r>
      <w:r w:rsidR="006D15FD">
        <w:t xml:space="preserve">recalled its </w:t>
      </w:r>
      <w:r w:rsidRPr="00DB09CA">
        <w:t>conclusion, at its eighth session, that at an appropriate future session of the CAJ-AG, the Delegations of Australia, Brazil and the European Union and other members of the Union be invited to make presentations on their systems concerning essentially derived varieties, would be considered by the CAJ.</w:t>
      </w:r>
    </w:p>
    <w:p w:rsidR="00FD2F4F" w:rsidRDefault="00F4074C" w:rsidP="00F4074C">
      <w:r>
        <w:fldChar w:fldCharType="begin"/>
      </w:r>
      <w:r>
        <w:instrText xml:space="preserve"> AUTONUM  </w:instrText>
      </w:r>
      <w:r>
        <w:fldChar w:fldCharType="end"/>
      </w:r>
      <w:r>
        <w:tab/>
      </w:r>
      <w:r w:rsidRPr="00006A57">
        <w:rPr>
          <w:rFonts w:cs="Arial"/>
        </w:rPr>
        <w:t xml:space="preserve">The CAJ­AG </w:t>
      </w:r>
      <w:r w:rsidRPr="00006A57">
        <w:t xml:space="preserve">noted that matters concerning the possible role of UPOV in alternative dispute settlement mechanisms and the proposal in document CAJ-AG/14/9/3 “Possible alternative dispute settlement mechanisms for essentially derived varieties” would be referred to the CAJ for consideration at its </w:t>
      </w:r>
      <w:r w:rsidR="00006A57">
        <w:t>seventy</w:t>
      </w:r>
      <w:r w:rsidR="00006A57">
        <w:noBreakHyphen/>
      </w:r>
      <w:r w:rsidRPr="00006A57">
        <w:t>first session in March 2015.</w:t>
      </w:r>
      <w:r>
        <w:t xml:space="preserve"> </w:t>
      </w:r>
      <w:r w:rsidR="00006A57">
        <w:t>T</w:t>
      </w:r>
      <w:r w:rsidR="00FD2F4F">
        <w:t>he proposal in document CAJ-AG/14/9/3 provides as follows:</w:t>
      </w:r>
    </w:p>
    <w:p w:rsidR="00FD2F4F" w:rsidRDefault="00FD2F4F" w:rsidP="00FD2F4F">
      <w:pPr>
        <w:rPr>
          <w:snapToGrid w:val="0"/>
        </w:rPr>
      </w:pPr>
    </w:p>
    <w:p w:rsidR="00FD2F4F" w:rsidRPr="00FD2F4F" w:rsidRDefault="00FD2F4F" w:rsidP="00FD2F4F">
      <w:pPr>
        <w:ind w:left="567" w:right="567"/>
        <w:rPr>
          <w:snapToGrid w:val="0"/>
          <w:sz w:val="18"/>
          <w:szCs w:val="18"/>
        </w:rPr>
      </w:pPr>
      <w:r w:rsidRPr="00FD2F4F">
        <w:rPr>
          <w:sz w:val="18"/>
          <w:szCs w:val="18"/>
        </w:rPr>
        <w:t>“6.</w:t>
      </w:r>
      <w:r w:rsidRPr="00FD2F4F">
        <w:rPr>
          <w:sz w:val="18"/>
          <w:szCs w:val="18"/>
        </w:rPr>
        <w:tab/>
      </w:r>
      <w:r w:rsidRPr="00FD2F4F">
        <w:rPr>
          <w:snapToGrid w:val="0"/>
          <w:sz w:val="18"/>
          <w:szCs w:val="18"/>
        </w:rPr>
        <w:t>As a next step, the CAJ-AG may wish to consider requesting the Office of the Union:</w:t>
      </w:r>
    </w:p>
    <w:p w:rsidR="00FD2F4F" w:rsidRPr="00FD2F4F" w:rsidRDefault="00FD2F4F" w:rsidP="00FD2F4F">
      <w:pPr>
        <w:ind w:left="567" w:right="567"/>
        <w:rPr>
          <w:snapToGrid w:val="0"/>
          <w:sz w:val="18"/>
          <w:szCs w:val="18"/>
        </w:rPr>
      </w:pPr>
    </w:p>
    <w:p w:rsidR="00FD2F4F" w:rsidRPr="00FD2F4F" w:rsidRDefault="00FD2F4F" w:rsidP="00FD2F4F">
      <w:pPr>
        <w:ind w:left="567" w:right="567"/>
        <w:rPr>
          <w:sz w:val="18"/>
          <w:szCs w:val="18"/>
        </w:rPr>
      </w:pPr>
      <w:r w:rsidRPr="00FD2F4F">
        <w:rPr>
          <w:snapToGrid w:val="0"/>
          <w:sz w:val="18"/>
          <w:szCs w:val="18"/>
        </w:rPr>
        <w:tab/>
        <w:t>(i)</w:t>
      </w:r>
      <w:r w:rsidRPr="00FD2F4F">
        <w:rPr>
          <w:snapToGrid w:val="0"/>
          <w:sz w:val="18"/>
          <w:szCs w:val="18"/>
        </w:rPr>
        <w:tab/>
      </w:r>
      <w:r w:rsidRPr="00FD2F4F">
        <w:rPr>
          <w:sz w:val="18"/>
          <w:szCs w:val="18"/>
        </w:rPr>
        <w:t>to organize a meeting to exchange information with CIOPORA, ISF and WIPO i</w:t>
      </w:r>
      <w:r w:rsidRPr="00FD2F4F">
        <w:rPr>
          <w:snapToGrid w:val="0"/>
          <w:sz w:val="18"/>
          <w:szCs w:val="18"/>
        </w:rPr>
        <w:t xml:space="preserve">n order </w:t>
      </w:r>
      <w:r w:rsidRPr="00FD2F4F">
        <w:rPr>
          <w:sz w:val="18"/>
          <w:szCs w:val="18"/>
        </w:rPr>
        <w:t xml:space="preserve">to explore the possible role of UPOV </w:t>
      </w:r>
      <w:r w:rsidRPr="00FD2F4F">
        <w:rPr>
          <w:snapToGrid w:val="0"/>
          <w:sz w:val="18"/>
          <w:szCs w:val="18"/>
        </w:rPr>
        <w:t xml:space="preserve">in alternative dispute settlement mechanisms </w:t>
      </w:r>
      <w:r w:rsidRPr="00FD2F4F">
        <w:rPr>
          <w:sz w:val="18"/>
          <w:szCs w:val="18"/>
        </w:rPr>
        <w:t>for matters concerning essentially derived varieties, including the provision of experts on EDV matters; and</w:t>
      </w:r>
    </w:p>
    <w:p w:rsidR="00FD2F4F" w:rsidRPr="00FD2F4F" w:rsidRDefault="00FD2F4F" w:rsidP="00FD2F4F">
      <w:pPr>
        <w:ind w:left="567" w:right="567"/>
        <w:rPr>
          <w:sz w:val="18"/>
          <w:szCs w:val="18"/>
        </w:rPr>
      </w:pPr>
    </w:p>
    <w:p w:rsidR="00FD2F4F" w:rsidRPr="00FD2F4F" w:rsidRDefault="00FD2F4F" w:rsidP="00FD2F4F">
      <w:pPr>
        <w:ind w:left="567" w:right="567"/>
        <w:rPr>
          <w:sz w:val="18"/>
          <w:szCs w:val="18"/>
        </w:rPr>
      </w:pPr>
      <w:r w:rsidRPr="00FD2F4F">
        <w:rPr>
          <w:sz w:val="18"/>
          <w:szCs w:val="18"/>
        </w:rPr>
        <w:tab/>
        <w:t>(ii)</w:t>
      </w:r>
      <w:r w:rsidRPr="00FD2F4F">
        <w:rPr>
          <w:sz w:val="18"/>
          <w:szCs w:val="18"/>
        </w:rPr>
        <w:tab/>
        <w:t>to provide a report for the CAJ-AG, at its tenth session in October 2015.”</w:t>
      </w:r>
    </w:p>
    <w:p w:rsidR="00FD2F4F" w:rsidRDefault="00FD2F4F" w:rsidP="00F4074C"/>
    <w:p w:rsidR="00FD2F4F" w:rsidRPr="00006A57" w:rsidRDefault="00FD2F4F" w:rsidP="00FD2F4F">
      <w:pPr>
        <w:rPr>
          <w:snapToGrid w:val="0"/>
        </w:rPr>
      </w:pPr>
      <w:r w:rsidRPr="00006A57">
        <w:fldChar w:fldCharType="begin"/>
      </w:r>
      <w:r w:rsidRPr="00006A57">
        <w:instrText xml:space="preserve"> AUTONUM  </w:instrText>
      </w:r>
      <w:r w:rsidRPr="00006A57">
        <w:fldChar w:fldCharType="end"/>
      </w:r>
      <w:r w:rsidRPr="00006A57">
        <w:tab/>
      </w:r>
      <w:r w:rsidR="00006A57" w:rsidRPr="00006A57">
        <w:t xml:space="preserve">It is proposed to consider the possible role of UPOV in alternative dispute settlement mechanisms </w:t>
      </w:r>
      <w:r w:rsidR="00006A57">
        <w:t xml:space="preserve">and </w:t>
      </w:r>
      <w:r w:rsidR="00006A57" w:rsidRPr="00006A57">
        <w:t>the proposal to organize a meeting to exchange information with CIOPORA, ISF and WIPO i</w:t>
      </w:r>
      <w:r w:rsidR="00006A57" w:rsidRPr="00006A57">
        <w:rPr>
          <w:snapToGrid w:val="0"/>
        </w:rPr>
        <w:t xml:space="preserve">n order </w:t>
      </w:r>
      <w:r w:rsidR="00006A57" w:rsidRPr="00006A57">
        <w:t xml:space="preserve">to explore the possible role of UPOV </w:t>
      </w:r>
      <w:r w:rsidR="00006A57" w:rsidRPr="00006A57">
        <w:rPr>
          <w:snapToGrid w:val="0"/>
        </w:rPr>
        <w:t xml:space="preserve">in alternative dispute settlement mechanisms </w:t>
      </w:r>
      <w:r w:rsidR="00006A57" w:rsidRPr="00006A57">
        <w:t>for matters concerning essentially derived varieties, including the provision of experts on EDV matters</w:t>
      </w:r>
      <w:r w:rsidR="00DB09CA">
        <w:t>,</w:t>
      </w:r>
      <w:r w:rsidR="00006A57" w:rsidRPr="00006A57">
        <w:t xml:space="preserve"> at the </w:t>
      </w:r>
      <w:r w:rsidR="00DB09CA">
        <w:t>seventy</w:t>
      </w:r>
      <w:r w:rsidR="00DB09CA">
        <w:noBreakHyphen/>
      </w:r>
      <w:r w:rsidR="00006A57" w:rsidRPr="00006A57">
        <w:t>second session of the CAJ.</w:t>
      </w:r>
    </w:p>
    <w:p w:rsidR="00F4074C" w:rsidRDefault="00F4074C" w:rsidP="00F4074C"/>
    <w:p w:rsidR="00F4074C" w:rsidRDefault="00F4074C" w:rsidP="00F4074C">
      <w:pPr>
        <w:keepNext/>
        <w:rPr>
          <w:rFonts w:cs="Arial"/>
        </w:rPr>
      </w:pPr>
      <w:r>
        <w:fldChar w:fldCharType="begin"/>
      </w:r>
      <w:r>
        <w:instrText xml:space="preserve"> AUTONUM  </w:instrText>
      </w:r>
      <w:r>
        <w:fldChar w:fldCharType="end"/>
      </w:r>
      <w:r>
        <w:tab/>
      </w:r>
      <w:r w:rsidRPr="00BB6708">
        <w:rPr>
          <w:rFonts w:cs="Arial"/>
        </w:rPr>
        <w:t xml:space="preserve">The CAJ­AG agreed to amend document </w:t>
      </w:r>
      <w:r w:rsidRPr="00BB6708">
        <w:t>UPOV/EXN/EDV/2 Draft 5</w:t>
      </w:r>
      <w:r w:rsidRPr="00BB6708">
        <w:rPr>
          <w:rFonts w:cs="Arial"/>
        </w:rPr>
        <w:t xml:space="preserve"> as follows:</w:t>
      </w:r>
    </w:p>
    <w:p w:rsidR="00F4074C" w:rsidRDefault="00F4074C" w:rsidP="00F4074C">
      <w:pPr>
        <w:keepNext/>
        <w:rPr>
          <w:rFonts w:cs="Arial"/>
        </w:rPr>
      </w:pPr>
    </w:p>
    <w:tbl>
      <w:tblPr>
        <w:tblW w:w="9180"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391"/>
        <w:gridCol w:w="7789"/>
      </w:tblGrid>
      <w:tr w:rsidR="00F4074C" w:rsidRPr="00482F75" w:rsidTr="008668E7">
        <w:trPr>
          <w:cantSplit/>
        </w:trPr>
        <w:tc>
          <w:tcPr>
            <w:tcW w:w="1391" w:type="dxa"/>
          </w:tcPr>
          <w:p w:rsidR="00F4074C" w:rsidRPr="00482F75" w:rsidRDefault="00F4074C" w:rsidP="008668E7">
            <w:pPr>
              <w:jc w:val="left"/>
              <w:rPr>
                <w:rFonts w:cs="Arial"/>
              </w:rPr>
            </w:pPr>
            <w:r>
              <w:rPr>
                <w:rFonts w:cs="Arial"/>
              </w:rPr>
              <w:t>Paragraph 2</w:t>
            </w:r>
          </w:p>
        </w:tc>
        <w:tc>
          <w:tcPr>
            <w:tcW w:w="7789" w:type="dxa"/>
          </w:tcPr>
          <w:p w:rsidR="00F4074C" w:rsidRDefault="00F4074C" w:rsidP="008668E7">
            <w:pPr>
              <w:rPr>
                <w:snapToGrid w:val="0"/>
              </w:rPr>
            </w:pPr>
            <w:r>
              <w:rPr>
                <w:snapToGrid w:val="0"/>
              </w:rPr>
              <w:t>The second sentence to read:</w:t>
            </w:r>
          </w:p>
          <w:p w:rsidR="00F4074C" w:rsidRDefault="00F4074C" w:rsidP="008668E7">
            <w:pPr>
              <w:rPr>
                <w:snapToGrid w:val="0"/>
              </w:rPr>
            </w:pPr>
          </w:p>
          <w:p w:rsidR="00F4074C" w:rsidRDefault="00F4074C" w:rsidP="008668E7">
            <w:pPr>
              <w:rPr>
                <w:snapToGrid w:val="0"/>
              </w:rPr>
            </w:pPr>
            <w:r>
              <w:rPr>
                <w:snapToGrid w:val="0"/>
              </w:rPr>
              <w:t>“</w:t>
            </w:r>
            <w:r w:rsidRPr="00062F44">
              <w:rPr>
                <w:snapToGrid w:val="0"/>
              </w:rPr>
              <w:t xml:space="preserve">The purpose of </w:t>
            </w:r>
            <w:r w:rsidRPr="00062F44">
              <w:rPr>
                <w:strike/>
                <w:snapToGrid w:val="0"/>
              </w:rPr>
              <w:t xml:space="preserve">the </w:t>
            </w:r>
            <w:r w:rsidRPr="00062F44">
              <w:rPr>
                <w:snapToGrid w:val="0"/>
                <w:u w:val="single"/>
              </w:rPr>
              <w:t>this</w:t>
            </w:r>
            <w:r>
              <w:rPr>
                <w:snapToGrid w:val="0"/>
              </w:rPr>
              <w:t xml:space="preserve"> </w:t>
            </w:r>
            <w:r w:rsidRPr="00062F44">
              <w:rPr>
                <w:snapToGrid w:val="0"/>
              </w:rPr>
              <w:t>guidance</w:t>
            </w:r>
            <w:r>
              <w:rPr>
                <w:snapToGrid w:val="0"/>
              </w:rPr>
              <w:t xml:space="preserve"> […]”</w:t>
            </w:r>
          </w:p>
          <w:p w:rsidR="00F4074C" w:rsidRDefault="00F4074C" w:rsidP="008668E7">
            <w:pPr>
              <w:rPr>
                <w:snapToGrid w:val="0"/>
              </w:rPr>
            </w:pPr>
          </w:p>
          <w:p w:rsidR="00F4074C" w:rsidRDefault="00F4074C" w:rsidP="008668E7">
            <w:pPr>
              <w:rPr>
                <w:snapToGrid w:val="0"/>
              </w:rPr>
            </w:pPr>
            <w:r>
              <w:rPr>
                <w:snapToGrid w:val="0"/>
              </w:rPr>
              <w:t xml:space="preserve">To delete the third sentence:  </w:t>
            </w:r>
          </w:p>
          <w:p w:rsidR="00F4074C" w:rsidRPr="006A4BD1" w:rsidRDefault="00F4074C" w:rsidP="008668E7">
            <w:pPr>
              <w:rPr>
                <w:strike/>
                <w:snapToGrid w:val="0"/>
              </w:rPr>
            </w:pPr>
            <w:r w:rsidRPr="00062F44">
              <w:rPr>
                <w:strike/>
                <w:snapToGrid w:val="0"/>
              </w:rPr>
              <w:t>“The guidance is intended for:  authorities granting breeders’ rights with competence in matters concerning essentially derived varieties; breeders, farmers, growers and other stakeholders;  and relevant bodies responsible for solving disputes in litigation, mediation or arbitration cases”</w:t>
            </w:r>
          </w:p>
        </w:tc>
      </w:tr>
      <w:tr w:rsidR="00F4074C" w:rsidRPr="00482F75" w:rsidTr="008668E7">
        <w:trPr>
          <w:cantSplit/>
        </w:trPr>
        <w:tc>
          <w:tcPr>
            <w:tcW w:w="1391" w:type="dxa"/>
          </w:tcPr>
          <w:p w:rsidR="00F4074C" w:rsidRPr="00482F75" w:rsidRDefault="00F4074C" w:rsidP="008668E7">
            <w:pPr>
              <w:jc w:val="left"/>
              <w:rPr>
                <w:rFonts w:cs="Arial"/>
              </w:rPr>
            </w:pPr>
            <w:r>
              <w:rPr>
                <w:rFonts w:cs="Arial"/>
              </w:rPr>
              <w:lastRenderedPageBreak/>
              <w:t xml:space="preserve">Paragraph 6 </w:t>
            </w:r>
          </w:p>
        </w:tc>
        <w:tc>
          <w:tcPr>
            <w:tcW w:w="7789" w:type="dxa"/>
          </w:tcPr>
          <w:p w:rsidR="00F4074C" w:rsidRPr="00062F44" w:rsidRDefault="00F4074C" w:rsidP="008668E7">
            <w:pPr>
              <w:autoSpaceDE w:val="0"/>
              <w:rPr>
                <w:rFonts w:cs="Arial"/>
              </w:rPr>
            </w:pPr>
            <w:r w:rsidRPr="00062F44">
              <w:rPr>
                <w:rFonts w:cs="Arial"/>
              </w:rPr>
              <w:t>To read as follows:</w:t>
            </w:r>
          </w:p>
          <w:p w:rsidR="00F4074C" w:rsidRPr="00062F44" w:rsidRDefault="00F4074C" w:rsidP="008668E7">
            <w:pPr>
              <w:autoSpaceDE w:val="0"/>
              <w:rPr>
                <w:rFonts w:cs="Arial"/>
              </w:rPr>
            </w:pPr>
          </w:p>
          <w:p w:rsidR="00F4074C" w:rsidRPr="00062F44" w:rsidRDefault="00F4074C" w:rsidP="008668E7">
            <w:pPr>
              <w:autoSpaceDE w:val="0"/>
              <w:rPr>
                <w:rFonts w:cs="Arial"/>
              </w:rPr>
            </w:pPr>
            <w:r>
              <w:rPr>
                <w:rFonts w:cs="Arial"/>
              </w:rPr>
              <w:t>“</w:t>
            </w:r>
            <w:r w:rsidRPr="00062F44">
              <w:rPr>
                <w:rFonts w:cs="Arial"/>
              </w:rPr>
              <w:t>6.</w:t>
            </w:r>
            <w:r w:rsidRPr="00062F44">
              <w:rPr>
                <w:rFonts w:cs="Arial"/>
              </w:rPr>
              <w:tab/>
              <w:t>The following might be considered in relation to the notion of “essential characteristics”:</w:t>
            </w:r>
          </w:p>
          <w:p w:rsidR="00F4074C" w:rsidRPr="00062F44" w:rsidRDefault="00F4074C" w:rsidP="008668E7">
            <w:pPr>
              <w:rPr>
                <w:rFonts w:cs="Arial"/>
              </w:rPr>
            </w:pPr>
          </w:p>
          <w:p w:rsidR="00F4074C" w:rsidRPr="00062F44" w:rsidRDefault="00F4074C" w:rsidP="008668E7">
            <w:pPr>
              <w:ind w:left="567"/>
              <w:rPr>
                <w:rFonts w:cs="Arial"/>
              </w:rPr>
            </w:pPr>
            <w:r w:rsidRPr="00062F44">
              <w:rPr>
                <w:rFonts w:cs="Arial"/>
              </w:rPr>
              <w:t>(i)</w:t>
            </w:r>
            <w:r w:rsidRPr="00062F44">
              <w:rPr>
                <w:rFonts w:cs="Arial"/>
              </w:rPr>
              <w:tab/>
              <w:t>essential characteristics, in relation to a plant variety, means heritable traits that are determined by the expression of one or more genes, or other heritable determinants, that contribute to the principal features, performance or value of the variety;</w:t>
            </w:r>
          </w:p>
          <w:p w:rsidR="00F4074C" w:rsidRDefault="00F4074C" w:rsidP="008668E7">
            <w:pPr>
              <w:ind w:left="567"/>
              <w:rPr>
                <w:rFonts w:cs="Arial"/>
              </w:rPr>
            </w:pPr>
          </w:p>
          <w:p w:rsidR="00F4074C" w:rsidRPr="00062F44" w:rsidRDefault="00F4074C" w:rsidP="008668E7">
            <w:pPr>
              <w:ind w:left="567"/>
              <w:rPr>
                <w:rFonts w:cs="Arial"/>
                <w:b/>
              </w:rPr>
            </w:pPr>
            <w:r w:rsidRPr="00062F44">
              <w:rPr>
                <w:rFonts w:cs="Arial"/>
              </w:rPr>
              <w:t>(ii)</w:t>
            </w:r>
            <w:r w:rsidRPr="00062F44">
              <w:rPr>
                <w:rFonts w:cs="Arial"/>
              </w:rPr>
              <w:tab/>
              <w:t>characteristics that are important from the perspective of the producer, seller, supplier, buyer, recipient, or user;</w:t>
            </w:r>
          </w:p>
          <w:p w:rsidR="00F4074C" w:rsidRDefault="00F4074C" w:rsidP="008668E7">
            <w:pPr>
              <w:ind w:left="567"/>
              <w:rPr>
                <w:rFonts w:cs="Arial"/>
              </w:rPr>
            </w:pPr>
          </w:p>
          <w:p w:rsidR="00F4074C" w:rsidRPr="00062F44" w:rsidRDefault="00F4074C" w:rsidP="008668E7">
            <w:pPr>
              <w:ind w:left="567"/>
              <w:rPr>
                <w:rFonts w:cs="Arial"/>
              </w:rPr>
            </w:pPr>
            <w:r w:rsidRPr="00062F44">
              <w:rPr>
                <w:rFonts w:cs="Arial"/>
              </w:rPr>
              <w:t>(iii)</w:t>
            </w:r>
            <w:r w:rsidRPr="00062F44">
              <w:rPr>
                <w:rFonts w:cs="Arial"/>
                <w:b/>
              </w:rPr>
              <w:t xml:space="preserve"> </w:t>
            </w:r>
            <w:r w:rsidRPr="00062F44">
              <w:rPr>
                <w:rFonts w:cs="Arial"/>
                <w:b/>
              </w:rPr>
              <w:tab/>
            </w:r>
            <w:r w:rsidRPr="00062F44">
              <w:rPr>
                <w:rFonts w:cs="Arial"/>
              </w:rPr>
              <w:t xml:space="preserve">characteristics that are essential for the variety as a whole, including, for example, morphological, physiological, agronomic, industrial </w:t>
            </w:r>
            <w:r>
              <w:rPr>
                <w:rFonts w:cs="Arial"/>
              </w:rPr>
              <w:t>and biochemical characteristics;</w:t>
            </w:r>
          </w:p>
          <w:p w:rsidR="00F4074C" w:rsidRDefault="00F4074C" w:rsidP="008668E7">
            <w:pPr>
              <w:ind w:left="567"/>
              <w:rPr>
                <w:rFonts w:cs="Arial"/>
              </w:rPr>
            </w:pPr>
          </w:p>
          <w:p w:rsidR="00F4074C" w:rsidRPr="00062F44" w:rsidRDefault="00F4074C" w:rsidP="008668E7">
            <w:pPr>
              <w:ind w:left="567"/>
              <w:rPr>
                <w:rFonts w:cs="Arial"/>
                <w:b/>
              </w:rPr>
            </w:pPr>
            <w:r w:rsidRPr="00062F44">
              <w:rPr>
                <w:rFonts w:cs="Arial"/>
              </w:rPr>
              <w:t>(iv)</w:t>
            </w:r>
            <w:r w:rsidRPr="00062F44">
              <w:rPr>
                <w:rFonts w:cs="Arial"/>
              </w:rPr>
              <w:tab/>
              <w:t>essential characteristics may or may not be phenotypic characteristics used for the examination of distinctness, uniformity and stability (DUS)</w:t>
            </w:r>
            <w:r w:rsidRPr="00062F44">
              <w:rPr>
                <w:rFonts w:cs="Arial"/>
                <w:b/>
              </w:rPr>
              <w:t>;</w:t>
            </w:r>
          </w:p>
          <w:p w:rsidR="00F4074C" w:rsidRPr="00062F44" w:rsidRDefault="00F4074C" w:rsidP="008668E7">
            <w:pPr>
              <w:ind w:left="567"/>
              <w:rPr>
                <w:rFonts w:cs="Arial"/>
                <w:b/>
              </w:rPr>
            </w:pPr>
          </w:p>
          <w:p w:rsidR="00F4074C" w:rsidRPr="00062F44" w:rsidRDefault="00F4074C" w:rsidP="008668E7">
            <w:pPr>
              <w:ind w:left="567"/>
              <w:rPr>
                <w:rFonts w:cs="Arial"/>
              </w:rPr>
            </w:pPr>
            <w:r w:rsidRPr="00062F44">
              <w:rPr>
                <w:rFonts w:cs="Arial"/>
              </w:rPr>
              <w:t>(v)</w:t>
            </w:r>
            <w:r w:rsidRPr="00062F44">
              <w:rPr>
                <w:rFonts w:cs="Arial"/>
              </w:rPr>
              <w:tab/>
              <w:t>essential characteristics are not restricted to those characteristics that relate only to high performance or value (for instance, disease resistance may be considered as an essential characteristic when the variety has susceptibility to disease);</w:t>
            </w:r>
          </w:p>
          <w:p w:rsidR="00F4074C" w:rsidRPr="00062F44" w:rsidRDefault="00F4074C" w:rsidP="008668E7">
            <w:pPr>
              <w:ind w:left="567"/>
              <w:rPr>
                <w:rFonts w:cs="Arial"/>
              </w:rPr>
            </w:pPr>
          </w:p>
          <w:p w:rsidR="00F4074C" w:rsidRPr="006A4BD1" w:rsidRDefault="00F4074C" w:rsidP="008668E7">
            <w:pPr>
              <w:ind w:left="567"/>
            </w:pPr>
            <w:r w:rsidRPr="00062F44">
              <w:rPr>
                <w:rFonts w:cs="Arial"/>
              </w:rPr>
              <w:t>(vi)</w:t>
            </w:r>
            <w:r w:rsidRPr="00062F44">
              <w:rPr>
                <w:rFonts w:cs="Arial"/>
              </w:rPr>
              <w:tab/>
            </w:r>
            <w:r w:rsidRPr="00062F44">
              <w:t>essential characteristics may be different in different crops/species.</w:t>
            </w:r>
            <w:r>
              <w:t>”</w:t>
            </w:r>
          </w:p>
        </w:tc>
      </w:tr>
      <w:tr w:rsidR="00F4074C" w:rsidRPr="00482F75" w:rsidTr="008668E7">
        <w:trPr>
          <w:cantSplit/>
        </w:trPr>
        <w:tc>
          <w:tcPr>
            <w:tcW w:w="1391" w:type="dxa"/>
          </w:tcPr>
          <w:p w:rsidR="00F4074C" w:rsidRPr="00482F75" w:rsidRDefault="00F4074C" w:rsidP="008668E7">
            <w:pPr>
              <w:jc w:val="left"/>
              <w:rPr>
                <w:rFonts w:cs="Arial"/>
              </w:rPr>
            </w:pPr>
            <w:r>
              <w:rPr>
                <w:rFonts w:cs="Arial"/>
              </w:rPr>
              <w:t>Paragraph 7</w:t>
            </w:r>
          </w:p>
        </w:tc>
        <w:tc>
          <w:tcPr>
            <w:tcW w:w="7789" w:type="dxa"/>
          </w:tcPr>
          <w:p w:rsidR="00F4074C" w:rsidRPr="00482F75" w:rsidRDefault="00F4074C" w:rsidP="008668E7">
            <w:pPr>
              <w:rPr>
                <w:rFonts w:cs="Arial"/>
              </w:rPr>
            </w:pPr>
            <w:r>
              <w:rPr>
                <w:rFonts w:cs="Arial"/>
              </w:rPr>
              <w:t>To be deleted</w:t>
            </w:r>
          </w:p>
        </w:tc>
      </w:tr>
      <w:tr w:rsidR="00F4074C" w:rsidRPr="00482F75" w:rsidTr="008668E7">
        <w:trPr>
          <w:cantSplit/>
        </w:trPr>
        <w:tc>
          <w:tcPr>
            <w:tcW w:w="1391" w:type="dxa"/>
          </w:tcPr>
          <w:p w:rsidR="00F4074C" w:rsidRPr="00482F75" w:rsidRDefault="00F4074C" w:rsidP="008668E7">
            <w:pPr>
              <w:jc w:val="left"/>
            </w:pPr>
            <w:r>
              <w:t>Paragraph 8</w:t>
            </w:r>
          </w:p>
        </w:tc>
        <w:tc>
          <w:tcPr>
            <w:tcW w:w="7789" w:type="dxa"/>
          </w:tcPr>
          <w:p w:rsidR="00F4074C" w:rsidRDefault="00F4074C" w:rsidP="008668E7">
            <w:r>
              <w:t>To read as follows:</w:t>
            </w:r>
          </w:p>
          <w:p w:rsidR="00F4074C" w:rsidRDefault="00F4074C" w:rsidP="008668E7"/>
          <w:p w:rsidR="00F4074C" w:rsidRPr="00482F75" w:rsidRDefault="00F4074C" w:rsidP="008668E7">
            <w:r>
              <w:t>“</w:t>
            </w:r>
            <w:r w:rsidRPr="00B03CCB">
              <w:t>8.</w:t>
            </w:r>
            <w:r w:rsidRPr="00B03CCB">
              <w:tab/>
              <w:t>The phrase “it is clearly distinguishable from the initial variety” establishes that essential derivation is concerned only with varieties that are clearly distinguishable, in accordance with Article 7, from the initial variety and which are accordingly protectable.  Article 14(5)(a)(ii) would apply if the variety is “not clearly distinguishable in accordance with Article 7 from the protected variety”.</w:t>
            </w:r>
          </w:p>
        </w:tc>
      </w:tr>
      <w:tr w:rsidR="00F4074C" w:rsidRPr="00482F75" w:rsidTr="008668E7">
        <w:trPr>
          <w:cantSplit/>
        </w:trPr>
        <w:tc>
          <w:tcPr>
            <w:tcW w:w="1391" w:type="dxa"/>
          </w:tcPr>
          <w:p w:rsidR="00F4074C" w:rsidRPr="00482F75" w:rsidRDefault="00F4074C" w:rsidP="008668E7">
            <w:pPr>
              <w:jc w:val="left"/>
            </w:pPr>
            <w:r>
              <w:t xml:space="preserve">Paragraph 10 </w:t>
            </w:r>
          </w:p>
        </w:tc>
        <w:tc>
          <w:tcPr>
            <w:tcW w:w="7789" w:type="dxa"/>
          </w:tcPr>
          <w:p w:rsidR="00F4074C" w:rsidRDefault="00F4074C" w:rsidP="008668E7">
            <w:pPr>
              <w:rPr>
                <w:snapToGrid w:val="0"/>
              </w:rPr>
            </w:pPr>
            <w:r>
              <w:rPr>
                <w:snapToGrid w:val="0"/>
              </w:rPr>
              <w:t>To read as follows:</w:t>
            </w:r>
          </w:p>
          <w:p w:rsidR="00F4074C" w:rsidRDefault="00F4074C" w:rsidP="008668E7">
            <w:pPr>
              <w:rPr>
                <w:snapToGrid w:val="0"/>
              </w:rPr>
            </w:pPr>
          </w:p>
          <w:p w:rsidR="00F4074C" w:rsidRPr="00482F75" w:rsidRDefault="00F4074C" w:rsidP="008668E7">
            <w:pPr>
              <w:rPr>
                <w:snapToGrid w:val="0"/>
              </w:rPr>
            </w:pPr>
            <w:r>
              <w:rPr>
                <w:snapToGrid w:val="0"/>
              </w:rPr>
              <w:t>“10.</w:t>
            </w:r>
            <w:r>
              <w:rPr>
                <w:snapToGrid w:val="0"/>
              </w:rPr>
              <w:tab/>
            </w:r>
            <w:r w:rsidRPr="00DD19CF">
              <w:rPr>
                <w:snapToGrid w:val="0"/>
              </w:rPr>
              <w:t>The words “except for the differences which result from the act of derivation” do not set a limit to the amount of difference which may exist where a variety is considered to be essentially derived.  A limit is, however, set by Article 14(5)(b) (i) and (iii).   The differences must not be such that the variety fails “to retain the expression of the essential characteristics that result from the genotype or combination of genotypes of the initial variety”.</w:t>
            </w:r>
            <w:r>
              <w:rPr>
                <w:snapToGrid w:val="0"/>
              </w:rPr>
              <w:t>”</w:t>
            </w:r>
          </w:p>
        </w:tc>
      </w:tr>
      <w:tr w:rsidR="00F4074C" w:rsidRPr="00482F75" w:rsidTr="008668E7">
        <w:trPr>
          <w:cantSplit/>
        </w:trPr>
        <w:tc>
          <w:tcPr>
            <w:tcW w:w="1391" w:type="dxa"/>
          </w:tcPr>
          <w:p w:rsidR="00F4074C" w:rsidRPr="00482F75" w:rsidRDefault="00F4074C" w:rsidP="008668E7">
            <w:pPr>
              <w:jc w:val="left"/>
            </w:pPr>
            <w:r>
              <w:t xml:space="preserve">Paragraph 11 </w:t>
            </w:r>
          </w:p>
        </w:tc>
        <w:tc>
          <w:tcPr>
            <w:tcW w:w="7789" w:type="dxa"/>
          </w:tcPr>
          <w:p w:rsidR="00F4074C" w:rsidRPr="00B03CCB" w:rsidRDefault="00F4074C" w:rsidP="008668E7">
            <w:pPr>
              <w:rPr>
                <w:rFonts w:cs="Arial"/>
              </w:rPr>
            </w:pPr>
            <w:r w:rsidRPr="00B03CCB">
              <w:rPr>
                <w:rFonts w:cs="Arial"/>
              </w:rPr>
              <w:t>To read as follows:</w:t>
            </w:r>
          </w:p>
          <w:p w:rsidR="00F4074C" w:rsidRPr="00B03CCB" w:rsidRDefault="00F4074C" w:rsidP="008668E7">
            <w:pPr>
              <w:rPr>
                <w:rFonts w:cs="Arial"/>
              </w:rPr>
            </w:pPr>
          </w:p>
          <w:p w:rsidR="00F4074C" w:rsidRPr="006A4BD1" w:rsidRDefault="00F4074C" w:rsidP="008668E7">
            <w:pPr>
              <w:rPr>
                <w:rFonts w:cs="Arial"/>
              </w:rPr>
            </w:pPr>
            <w:r>
              <w:rPr>
                <w:rFonts w:cs="Arial"/>
              </w:rPr>
              <w:t>“</w:t>
            </w:r>
            <w:r w:rsidRPr="00B03CCB">
              <w:rPr>
                <w:rFonts w:cs="Arial"/>
              </w:rPr>
              <w:t>11.</w:t>
            </w:r>
            <w:r w:rsidRPr="00B03CCB">
              <w:rPr>
                <w:rFonts w:cs="Arial"/>
              </w:rPr>
              <w:tab/>
              <w:t>The examples given in Article 14(5) (c) make clear that the differences which result from the act of derivation should be one or very few.  However, if there are only one or few differences that does not necessar</w:t>
            </w:r>
            <w:r>
              <w:rPr>
                <w:rFonts w:cs="Arial"/>
              </w:rPr>
              <w:t>il</w:t>
            </w:r>
            <w:r w:rsidRPr="00B03CCB">
              <w:rPr>
                <w:rFonts w:cs="Arial"/>
              </w:rPr>
              <w:t>y mean that a variety is essentially derived.  The variety would also be required to fulfil the definition stated in Article 14(5)(b).</w:t>
            </w:r>
            <w:r>
              <w:rPr>
                <w:rFonts w:cs="Arial"/>
              </w:rPr>
              <w:t>”</w:t>
            </w:r>
            <w:r w:rsidRPr="00B03CCB">
              <w:rPr>
                <w:rFonts w:cs="Arial"/>
              </w:rPr>
              <w:t xml:space="preserve"> </w:t>
            </w:r>
          </w:p>
        </w:tc>
      </w:tr>
      <w:tr w:rsidR="00F4074C" w:rsidRPr="00482F75" w:rsidTr="008668E7">
        <w:trPr>
          <w:cantSplit/>
        </w:trPr>
        <w:tc>
          <w:tcPr>
            <w:tcW w:w="1391" w:type="dxa"/>
          </w:tcPr>
          <w:p w:rsidR="00F4074C" w:rsidRPr="00482F75" w:rsidRDefault="00F4074C" w:rsidP="008668E7">
            <w:pPr>
              <w:jc w:val="left"/>
            </w:pPr>
            <w:r>
              <w:t>New paragraph after paragraph 11</w:t>
            </w:r>
          </w:p>
        </w:tc>
        <w:tc>
          <w:tcPr>
            <w:tcW w:w="7789" w:type="dxa"/>
          </w:tcPr>
          <w:p w:rsidR="00F4074C" w:rsidRPr="00B03CCB" w:rsidRDefault="00F4074C" w:rsidP="008668E7">
            <w:pPr>
              <w:rPr>
                <w:rFonts w:cs="Arial"/>
              </w:rPr>
            </w:pPr>
            <w:r w:rsidRPr="00B03CCB">
              <w:rPr>
                <w:rFonts w:cs="Arial"/>
              </w:rPr>
              <w:t xml:space="preserve">To </w:t>
            </w:r>
            <w:r>
              <w:rPr>
                <w:rFonts w:cs="Arial"/>
              </w:rPr>
              <w:t>insert the following quote in paragraph 11 in a new paragraph</w:t>
            </w:r>
            <w:r w:rsidRPr="00B03CCB">
              <w:rPr>
                <w:rFonts w:cs="Arial"/>
              </w:rPr>
              <w:t xml:space="preserve"> as follows:</w:t>
            </w:r>
          </w:p>
          <w:p w:rsidR="00F4074C" w:rsidRPr="00B03CCB" w:rsidRDefault="00F4074C" w:rsidP="008668E7">
            <w:pPr>
              <w:rPr>
                <w:rFonts w:cs="Arial"/>
              </w:rPr>
            </w:pPr>
          </w:p>
          <w:p w:rsidR="00F4074C" w:rsidRPr="006A4BD1" w:rsidRDefault="00F4074C" w:rsidP="008668E7">
            <w:pPr>
              <w:rPr>
                <w:rFonts w:cs="Arial"/>
              </w:rPr>
            </w:pPr>
            <w:r>
              <w:rPr>
                <w:rFonts w:cs="Arial"/>
              </w:rPr>
              <w:t>“12.</w:t>
            </w:r>
            <w:r>
              <w:rPr>
                <w:rFonts w:cs="Arial"/>
              </w:rPr>
              <w:tab/>
            </w:r>
            <w:r w:rsidRPr="00B03CCB">
              <w:rPr>
                <w:rFonts w:cs="Arial"/>
              </w:rPr>
              <w:t>The derived variety must retain almost the totality of the genotype of the mother variety and be distinguishable from that variety by a very limited number of characteristics (typically by one)</w:t>
            </w:r>
            <w:r>
              <w:rPr>
                <w:rFonts w:cs="Arial"/>
              </w:rPr>
              <w:t>.”</w:t>
            </w:r>
          </w:p>
        </w:tc>
      </w:tr>
      <w:tr w:rsidR="00F4074C" w:rsidRPr="00482F75" w:rsidTr="008668E7">
        <w:trPr>
          <w:cantSplit/>
        </w:trPr>
        <w:tc>
          <w:tcPr>
            <w:tcW w:w="1391" w:type="dxa"/>
          </w:tcPr>
          <w:p w:rsidR="00F4074C" w:rsidRDefault="00F4074C" w:rsidP="008668E7">
            <w:pPr>
              <w:jc w:val="left"/>
            </w:pPr>
            <w:r>
              <w:t xml:space="preserve">To re-insert title </w:t>
            </w:r>
          </w:p>
        </w:tc>
        <w:tc>
          <w:tcPr>
            <w:tcW w:w="7789" w:type="dxa"/>
          </w:tcPr>
          <w:p w:rsidR="00F4074C" w:rsidRPr="00B03CCB" w:rsidRDefault="00F4074C" w:rsidP="008668E7">
            <w:pPr>
              <w:rPr>
                <w:rFonts w:cs="Arial"/>
              </w:rPr>
            </w:pPr>
            <w:r>
              <w:rPr>
                <w:rFonts w:cs="Arial"/>
              </w:rPr>
              <w:t>Method of Breeding</w:t>
            </w:r>
          </w:p>
        </w:tc>
      </w:tr>
      <w:tr w:rsidR="00F4074C" w:rsidRPr="00482F75" w:rsidTr="008668E7">
        <w:trPr>
          <w:cantSplit/>
        </w:trPr>
        <w:tc>
          <w:tcPr>
            <w:tcW w:w="1391" w:type="dxa"/>
          </w:tcPr>
          <w:p w:rsidR="00F4074C" w:rsidRPr="00482F75" w:rsidRDefault="00F4074C" w:rsidP="008668E7">
            <w:pPr>
              <w:jc w:val="left"/>
            </w:pPr>
            <w:r>
              <w:lastRenderedPageBreak/>
              <w:t>Paragraph 14</w:t>
            </w:r>
          </w:p>
        </w:tc>
        <w:tc>
          <w:tcPr>
            <w:tcW w:w="7789" w:type="dxa"/>
          </w:tcPr>
          <w:p w:rsidR="00F4074C" w:rsidRDefault="00F4074C" w:rsidP="008668E7">
            <w:r>
              <w:t>Paragraph 14 to read as follows:</w:t>
            </w:r>
          </w:p>
          <w:p w:rsidR="00F4074C" w:rsidRDefault="00F4074C" w:rsidP="008668E7"/>
          <w:p w:rsidR="00F4074C" w:rsidRPr="006A4BD1" w:rsidRDefault="00F4074C" w:rsidP="008668E7">
            <w:r>
              <w:t>“</w:t>
            </w:r>
            <w:r w:rsidRPr="00B03CCB">
              <w:t xml:space="preserve">There is a need to consider the situation in different crops and species and the method of breeding in </w:t>
            </w:r>
            <w:r>
              <w:t xml:space="preserve">the determination of </w:t>
            </w:r>
            <w:r w:rsidRPr="00B03CCB">
              <w:t>essentially derived varieties</w:t>
            </w:r>
            <w:r>
              <w:t>.”</w:t>
            </w:r>
          </w:p>
        </w:tc>
      </w:tr>
      <w:tr w:rsidR="00F4074C" w:rsidRPr="00482F75" w:rsidTr="008668E7">
        <w:trPr>
          <w:cantSplit/>
        </w:trPr>
        <w:tc>
          <w:tcPr>
            <w:tcW w:w="1391" w:type="dxa"/>
          </w:tcPr>
          <w:p w:rsidR="00F4074C" w:rsidRDefault="00F4074C" w:rsidP="008668E7">
            <w:pPr>
              <w:jc w:val="left"/>
            </w:pPr>
            <w:r>
              <w:t>Paragraph 20</w:t>
            </w:r>
          </w:p>
        </w:tc>
        <w:tc>
          <w:tcPr>
            <w:tcW w:w="7789" w:type="dxa"/>
          </w:tcPr>
          <w:p w:rsidR="00F4074C" w:rsidRDefault="00F4074C" w:rsidP="008668E7">
            <w:r>
              <w:t>To wait for joint proposal to be provided by ESA and ISF</w:t>
            </w:r>
          </w:p>
        </w:tc>
      </w:tr>
      <w:tr w:rsidR="00F4074C" w:rsidRPr="00482F75" w:rsidTr="008668E7">
        <w:trPr>
          <w:cantSplit/>
        </w:trPr>
        <w:tc>
          <w:tcPr>
            <w:tcW w:w="1391" w:type="dxa"/>
          </w:tcPr>
          <w:p w:rsidR="00F4074C" w:rsidRDefault="00F4074C" w:rsidP="008668E7">
            <w:pPr>
              <w:jc w:val="left"/>
            </w:pPr>
            <w:r>
              <w:t>Paragraph 21</w:t>
            </w:r>
          </w:p>
        </w:tc>
        <w:tc>
          <w:tcPr>
            <w:tcW w:w="7789" w:type="dxa"/>
          </w:tcPr>
          <w:p w:rsidR="00F4074C" w:rsidRPr="001A4C96" w:rsidRDefault="00F4074C" w:rsidP="008668E7">
            <w:r>
              <w:t>To add a note that the current text was not acceptable but that new proposals should be considered.  To show the existing text in strikethrough.</w:t>
            </w:r>
          </w:p>
        </w:tc>
      </w:tr>
      <w:tr w:rsidR="00F4074C" w:rsidRPr="00482F75" w:rsidTr="008668E7">
        <w:trPr>
          <w:cantSplit/>
        </w:trPr>
        <w:tc>
          <w:tcPr>
            <w:tcW w:w="1391" w:type="dxa"/>
          </w:tcPr>
          <w:p w:rsidR="00F4074C" w:rsidRPr="00482F75" w:rsidRDefault="00F4074C" w:rsidP="008668E7">
            <w:pPr>
              <w:jc w:val="left"/>
            </w:pPr>
            <w:r>
              <w:t xml:space="preserve">Paragraph 29 </w:t>
            </w:r>
          </w:p>
        </w:tc>
        <w:tc>
          <w:tcPr>
            <w:tcW w:w="7789" w:type="dxa"/>
          </w:tcPr>
          <w:p w:rsidR="00F4074C" w:rsidRDefault="00F4074C" w:rsidP="008668E7">
            <w:pPr>
              <w:rPr>
                <w:snapToGrid w:val="0"/>
              </w:rPr>
            </w:pPr>
            <w:r>
              <w:rPr>
                <w:snapToGrid w:val="0"/>
              </w:rPr>
              <w:t>To read as follows:</w:t>
            </w:r>
          </w:p>
          <w:p w:rsidR="00F4074C" w:rsidRDefault="00F4074C" w:rsidP="008668E7">
            <w:pPr>
              <w:rPr>
                <w:snapToGrid w:val="0"/>
              </w:rPr>
            </w:pPr>
          </w:p>
          <w:p w:rsidR="00F4074C" w:rsidRPr="00482F75" w:rsidRDefault="00F4074C" w:rsidP="008668E7">
            <w:pPr>
              <w:rPr>
                <w:snapToGrid w:val="0"/>
              </w:rPr>
            </w:pPr>
            <w:r>
              <w:rPr>
                <w:snapToGrid w:val="0"/>
              </w:rPr>
              <w:t>“</w:t>
            </w:r>
            <w:r w:rsidRPr="00CD6EF1">
              <w:rPr>
                <w:snapToGrid w:val="0"/>
              </w:rPr>
              <w:t>29.</w:t>
            </w:r>
            <w:r w:rsidRPr="00CD6EF1">
              <w:rPr>
                <w:snapToGrid w:val="0"/>
              </w:rPr>
              <w:tab/>
              <w:t>Both predominant derivation (e.g. evidence of genetic conformity with the initial variety) and conformity on the essential characteristics (e.g. evidence on conformity in the expression of the essential characteristics of the initial variety) are possible starting points in providing an indication that a variety might be essentially derived from the initial variety.</w:t>
            </w:r>
            <w:r>
              <w:rPr>
                <w:snapToGrid w:val="0"/>
              </w:rPr>
              <w:t>”</w:t>
            </w:r>
          </w:p>
        </w:tc>
      </w:tr>
      <w:tr w:rsidR="00F4074C" w:rsidRPr="00482F75" w:rsidTr="008668E7">
        <w:trPr>
          <w:cantSplit/>
        </w:trPr>
        <w:tc>
          <w:tcPr>
            <w:tcW w:w="1391" w:type="dxa"/>
          </w:tcPr>
          <w:p w:rsidR="00F4074C" w:rsidRDefault="00F4074C" w:rsidP="008668E7">
            <w:pPr>
              <w:jc w:val="left"/>
            </w:pPr>
            <w:r>
              <w:t xml:space="preserve">Paragraph 30 </w:t>
            </w:r>
          </w:p>
        </w:tc>
        <w:tc>
          <w:tcPr>
            <w:tcW w:w="7789" w:type="dxa"/>
          </w:tcPr>
          <w:p w:rsidR="00F4074C" w:rsidRDefault="00F4074C" w:rsidP="008668E7">
            <w:pPr>
              <w:rPr>
                <w:snapToGrid w:val="0"/>
              </w:rPr>
            </w:pPr>
            <w:r>
              <w:rPr>
                <w:snapToGrid w:val="0"/>
              </w:rPr>
              <w:t>To read as follows:</w:t>
            </w:r>
          </w:p>
          <w:p w:rsidR="00F4074C" w:rsidRDefault="00F4074C" w:rsidP="008668E7">
            <w:pPr>
              <w:rPr>
                <w:snapToGrid w:val="0"/>
              </w:rPr>
            </w:pPr>
          </w:p>
          <w:p w:rsidR="00F4074C" w:rsidRPr="00482F75" w:rsidRDefault="00F4074C" w:rsidP="008668E7">
            <w:pPr>
              <w:rPr>
                <w:snapToGrid w:val="0"/>
              </w:rPr>
            </w:pPr>
            <w:r>
              <w:rPr>
                <w:snapToGrid w:val="0"/>
              </w:rPr>
              <w:t>“</w:t>
            </w:r>
            <w:r w:rsidRPr="00CD6EF1">
              <w:rPr>
                <w:snapToGrid w:val="0"/>
              </w:rPr>
              <w:t>30.</w:t>
            </w:r>
            <w:r w:rsidRPr="00CD6EF1">
              <w:rPr>
                <w:snapToGrid w:val="0"/>
              </w:rPr>
              <w:tab/>
              <w:t xml:space="preserve">In some situations, relevant information provided by the breeder of the initial variety on predominant derivation and/or on conformity on the essential characteristics might be used as the basis for the reversal of the burden of </w:t>
            </w:r>
            <w:r>
              <w:rPr>
                <w:snapToGrid w:val="0"/>
              </w:rPr>
              <w:t>proof.  In such situations</w:t>
            </w:r>
            <w:r w:rsidRPr="00CD6EF1">
              <w:rPr>
                <w:snapToGrid w:val="0"/>
              </w:rPr>
              <w:t>, the other breeder might need to prove that the other variety is not essentially derived from the initial variety.  For instance, the other breeder would need to provide information on the breeding history of the second variety to prove that the variety was not derived from the initial variety.</w:t>
            </w:r>
            <w:r>
              <w:rPr>
                <w:snapToGrid w:val="0"/>
              </w:rPr>
              <w:t>”</w:t>
            </w:r>
          </w:p>
        </w:tc>
      </w:tr>
      <w:tr w:rsidR="00F4074C" w:rsidRPr="00482F75" w:rsidTr="008668E7">
        <w:trPr>
          <w:cantSplit/>
        </w:trPr>
        <w:tc>
          <w:tcPr>
            <w:tcW w:w="1391" w:type="dxa"/>
          </w:tcPr>
          <w:p w:rsidR="00F4074C" w:rsidRDefault="00F4074C" w:rsidP="008668E7">
            <w:pPr>
              <w:jc w:val="left"/>
            </w:pPr>
            <w:r>
              <w:t>Section II</w:t>
            </w:r>
          </w:p>
        </w:tc>
        <w:tc>
          <w:tcPr>
            <w:tcW w:w="7789" w:type="dxa"/>
          </w:tcPr>
          <w:p w:rsidR="00F4074C" w:rsidRDefault="00F4074C" w:rsidP="008668E7">
            <w:pPr>
              <w:rPr>
                <w:snapToGrid w:val="0"/>
              </w:rPr>
            </w:pPr>
            <w:r>
              <w:rPr>
                <w:snapToGrid w:val="0"/>
              </w:rPr>
              <w:t>To clarify the purpose of Section II in the relevant parts of the document and, in particular, that it relates to assessment of whether a variety is an EDV and not whether it is protectable.</w:t>
            </w:r>
          </w:p>
        </w:tc>
      </w:tr>
      <w:tr w:rsidR="00F4074C" w:rsidRPr="00482F75" w:rsidTr="008668E7">
        <w:trPr>
          <w:cantSplit/>
        </w:trPr>
        <w:tc>
          <w:tcPr>
            <w:tcW w:w="1391" w:type="dxa"/>
          </w:tcPr>
          <w:p w:rsidR="00F4074C" w:rsidRDefault="00F4074C" w:rsidP="008668E7">
            <w:pPr>
              <w:jc w:val="left"/>
            </w:pPr>
            <w:r>
              <w:t xml:space="preserve">New proposal </w:t>
            </w:r>
          </w:p>
        </w:tc>
        <w:tc>
          <w:tcPr>
            <w:tcW w:w="7789" w:type="dxa"/>
          </w:tcPr>
          <w:p w:rsidR="00F4074C" w:rsidRPr="00482F75" w:rsidRDefault="00F4074C" w:rsidP="008668E7">
            <w:pPr>
              <w:rPr>
                <w:snapToGrid w:val="0"/>
              </w:rPr>
            </w:pPr>
            <w:r>
              <w:rPr>
                <w:snapToGrid w:val="0"/>
              </w:rPr>
              <w:t>To develop guidance in the next draft to clarify the situation if the initial variety, or the EDV, is not protected or is protected in another territory.</w:t>
            </w:r>
          </w:p>
        </w:tc>
      </w:tr>
    </w:tbl>
    <w:p w:rsidR="00006A57" w:rsidRDefault="00006A57" w:rsidP="00F4074C"/>
    <w:p w:rsidR="00F4074C" w:rsidRDefault="00006A57" w:rsidP="00F4074C">
      <w:r w:rsidRPr="00232C2F">
        <w:fldChar w:fldCharType="begin"/>
      </w:r>
      <w:r w:rsidRPr="00232C2F">
        <w:instrText xml:space="preserve"> AUTONUM  </w:instrText>
      </w:r>
      <w:r w:rsidRPr="00232C2F">
        <w:fldChar w:fldCharType="end"/>
      </w:r>
      <w:r w:rsidRPr="00232C2F">
        <w:tab/>
      </w:r>
      <w:r w:rsidR="006D15FD" w:rsidRPr="00232C2F">
        <w:t xml:space="preserve">In accordance with the proposal of the CAJ-AG (see paragraph 7(a), above), </w:t>
      </w:r>
      <w:r w:rsidR="006D15FD" w:rsidRPr="00232C2F">
        <w:rPr>
          <w:lang w:eastAsia="ja-JP"/>
        </w:rPr>
        <w:t>i</w:t>
      </w:r>
      <w:r w:rsidR="009642CF" w:rsidRPr="00232C2F">
        <w:t xml:space="preserve">t is suggested that a new draft of the “Explanatory Notes on Essentially Derived Varieties under the 1991 Act of the UPOV Convention (Revision)” (document UPOV/EXN/EDV/2 Draft 6), incorporating the amendments agreed by the </w:t>
      </w:r>
      <w:r w:rsidR="009642CF" w:rsidRPr="00232C2F">
        <w:rPr>
          <w:rFonts w:cs="Arial"/>
        </w:rPr>
        <w:t xml:space="preserve">CAJ­AG </w:t>
      </w:r>
      <w:r w:rsidR="009642CF" w:rsidRPr="00232C2F">
        <w:rPr>
          <w:rFonts w:eastAsia="MS Mincho" w:cs="Arial"/>
          <w:spacing w:val="-2"/>
          <w:lang w:eastAsia="ja-JP" w:bidi="th-TH"/>
        </w:rPr>
        <w:t>at its </w:t>
      </w:r>
      <w:r w:rsidR="009642CF" w:rsidRPr="00232C2F">
        <w:t>ninth session (see paragraph 1</w:t>
      </w:r>
      <w:r w:rsidR="00DB09CA" w:rsidRPr="00232C2F">
        <w:t>5</w:t>
      </w:r>
      <w:r w:rsidR="009642CF" w:rsidRPr="00232C2F">
        <w:t>, above),</w:t>
      </w:r>
      <w:r w:rsidR="009642CF" w:rsidRPr="00232C2F">
        <w:rPr>
          <w:rFonts w:cs="Arial"/>
        </w:rPr>
        <w:t xml:space="preserve"> be prepared for consideration </w:t>
      </w:r>
      <w:r w:rsidR="009642CF" w:rsidRPr="00232C2F">
        <w:t>by the</w:t>
      </w:r>
      <w:r w:rsidR="009642CF" w:rsidRPr="00232C2F">
        <w:rPr>
          <w:rFonts w:hint="eastAsia"/>
          <w:lang w:eastAsia="ja-JP"/>
        </w:rPr>
        <w:t xml:space="preserve"> </w:t>
      </w:r>
      <w:r w:rsidR="009642CF" w:rsidRPr="00232C2F">
        <w:t>CAJ at its</w:t>
      </w:r>
      <w:r w:rsidR="009642CF" w:rsidRPr="009642CF">
        <w:t xml:space="preserve"> seventy-second session.</w:t>
      </w:r>
      <w:r w:rsidR="009642CF" w:rsidRPr="009642CF">
        <w:rPr>
          <w:rStyle w:val="FootnoteReference"/>
          <w:rFonts w:cs="Arial"/>
          <w:lang w:eastAsia="ja-JP"/>
        </w:rPr>
        <w:footnoteReference w:id="12"/>
      </w:r>
      <w:r w:rsidR="009642CF">
        <w:rPr>
          <w:rFonts w:hint="eastAsia"/>
          <w:lang w:eastAsia="ja-JP"/>
        </w:rPr>
        <w:t xml:space="preserve"> </w:t>
      </w:r>
      <w:r w:rsidR="009642CF">
        <w:t xml:space="preserve"> </w:t>
      </w:r>
    </w:p>
    <w:p w:rsidR="009642CF" w:rsidRDefault="009642CF" w:rsidP="00F4074C"/>
    <w:p w:rsidR="005B11B9" w:rsidRPr="00385AED" w:rsidRDefault="005B11B9" w:rsidP="00827F80">
      <w:pPr>
        <w:tabs>
          <w:tab w:val="left" w:pos="5387"/>
        </w:tabs>
        <w:ind w:left="4820"/>
        <w:rPr>
          <w:i/>
          <w:snapToGrid w:val="0"/>
        </w:rPr>
      </w:pPr>
      <w:r w:rsidRPr="00385AED">
        <w:rPr>
          <w:i/>
          <w:snapToGrid w:val="0"/>
        </w:rPr>
        <w:fldChar w:fldCharType="begin"/>
      </w:r>
      <w:r w:rsidRPr="00385AED">
        <w:rPr>
          <w:i/>
          <w:snapToGrid w:val="0"/>
        </w:rPr>
        <w:instrText xml:space="preserve"> AUTONUM  </w:instrText>
      </w:r>
      <w:r w:rsidRPr="00385AED">
        <w:rPr>
          <w:i/>
          <w:snapToGrid w:val="0"/>
        </w:rPr>
        <w:fldChar w:fldCharType="end"/>
      </w:r>
      <w:r w:rsidR="00827F80">
        <w:rPr>
          <w:i/>
          <w:snapToGrid w:val="0"/>
        </w:rPr>
        <w:tab/>
        <w:t>The CAJ</w:t>
      </w:r>
      <w:r w:rsidRPr="00385AED">
        <w:rPr>
          <w:i/>
          <w:snapToGrid w:val="0"/>
        </w:rPr>
        <w:t xml:space="preserve"> is invited to</w:t>
      </w:r>
      <w:r w:rsidR="009642CF">
        <w:rPr>
          <w:i/>
          <w:snapToGrid w:val="0"/>
        </w:rPr>
        <w:t>:</w:t>
      </w:r>
    </w:p>
    <w:p w:rsidR="005B11B9" w:rsidRPr="00385AED" w:rsidRDefault="005B11B9" w:rsidP="00827F80">
      <w:pPr>
        <w:tabs>
          <w:tab w:val="left" w:pos="5387"/>
          <w:tab w:val="left" w:pos="5954"/>
        </w:tabs>
        <w:ind w:left="4820"/>
        <w:rPr>
          <w:i/>
          <w:snapToGrid w:val="0"/>
        </w:rPr>
      </w:pPr>
    </w:p>
    <w:p w:rsidR="005B11B9" w:rsidRPr="00E8069F" w:rsidRDefault="00827F80" w:rsidP="00827F80">
      <w:pPr>
        <w:tabs>
          <w:tab w:val="left" w:pos="5387"/>
          <w:tab w:val="left" w:pos="5954"/>
        </w:tabs>
        <w:ind w:left="4820"/>
        <w:rPr>
          <w:i/>
        </w:rPr>
      </w:pPr>
      <w:r>
        <w:rPr>
          <w:i/>
        </w:rPr>
        <w:tab/>
      </w:r>
      <w:r w:rsidR="005B11B9" w:rsidRPr="00E8069F">
        <w:rPr>
          <w:i/>
        </w:rPr>
        <w:t>(a)</w:t>
      </w:r>
      <w:r w:rsidR="005B11B9" w:rsidRPr="00E8069F">
        <w:rPr>
          <w:i/>
        </w:rPr>
        <w:tab/>
        <w:t xml:space="preserve">note that </w:t>
      </w:r>
      <w:r w:rsidR="006D15FD">
        <w:rPr>
          <w:i/>
        </w:rPr>
        <w:t xml:space="preserve">the </w:t>
      </w:r>
      <w:r w:rsidR="0073787A" w:rsidRPr="0073787A">
        <w:rPr>
          <w:i/>
        </w:rPr>
        <w:t xml:space="preserve">CAJ­AG welcomed the presentation made by Australia by electronic means, via the internet, containing the additional information on the context of the examples provided </w:t>
      </w:r>
      <w:r w:rsidR="0073787A">
        <w:rPr>
          <w:i/>
        </w:rPr>
        <w:t xml:space="preserve">by Australia at the EDV Seminar, </w:t>
      </w:r>
      <w:r w:rsidR="006D15FD">
        <w:rPr>
          <w:i/>
        </w:rPr>
        <w:t xml:space="preserve">and that a copy of the presentation </w:t>
      </w:r>
      <w:r w:rsidR="0073787A" w:rsidRPr="0073787A">
        <w:rPr>
          <w:i/>
        </w:rPr>
        <w:t>has been posted on t</w:t>
      </w:r>
      <w:r w:rsidR="0073787A">
        <w:rPr>
          <w:i/>
        </w:rPr>
        <w:t>he CAJ</w:t>
      </w:r>
      <w:r w:rsidR="0073787A">
        <w:rPr>
          <w:i/>
        </w:rPr>
        <w:noBreakHyphen/>
      </w:r>
      <w:r w:rsidR="0073787A" w:rsidRPr="0073787A">
        <w:rPr>
          <w:i/>
        </w:rPr>
        <w:t>AG</w:t>
      </w:r>
      <w:r w:rsidR="00006A57">
        <w:rPr>
          <w:i/>
        </w:rPr>
        <w:t>/14 section of the UPOV website</w:t>
      </w:r>
      <w:r w:rsidR="005B11B9" w:rsidRPr="00E8069F">
        <w:rPr>
          <w:i/>
        </w:rPr>
        <w:t>;</w:t>
      </w:r>
    </w:p>
    <w:p w:rsidR="005B11B9" w:rsidRPr="00E834E1" w:rsidRDefault="00827F80" w:rsidP="00DB09CA">
      <w:pPr>
        <w:tabs>
          <w:tab w:val="left" w:pos="5387"/>
          <w:tab w:val="left" w:pos="5954"/>
        </w:tabs>
        <w:rPr>
          <w:i/>
          <w:sz w:val="16"/>
          <w:szCs w:val="16"/>
        </w:rPr>
      </w:pPr>
      <w:r>
        <w:rPr>
          <w:i/>
        </w:rPr>
        <w:tab/>
      </w:r>
    </w:p>
    <w:p w:rsidR="005B11B9" w:rsidRPr="00385AED" w:rsidRDefault="00827F80" w:rsidP="0001630D">
      <w:pPr>
        <w:tabs>
          <w:tab w:val="left" w:pos="5387"/>
          <w:tab w:val="left" w:pos="5954"/>
        </w:tabs>
        <w:ind w:left="4820"/>
        <w:rPr>
          <w:i/>
        </w:rPr>
      </w:pPr>
      <w:r>
        <w:rPr>
          <w:i/>
        </w:rPr>
        <w:tab/>
      </w:r>
      <w:r w:rsidR="00DB09CA">
        <w:rPr>
          <w:i/>
        </w:rPr>
        <w:t>(b</w:t>
      </w:r>
      <w:r w:rsidR="005B11B9" w:rsidRPr="00385AED">
        <w:rPr>
          <w:i/>
        </w:rPr>
        <w:t>)</w:t>
      </w:r>
      <w:r w:rsidR="005B11B9">
        <w:rPr>
          <w:i/>
        </w:rPr>
        <w:tab/>
      </w:r>
      <w:r w:rsidR="005B11B9" w:rsidRPr="00385AED">
        <w:rPr>
          <w:i/>
        </w:rPr>
        <w:t xml:space="preserve">consider the development of guidance concerning the status of essentially derived varieties </w:t>
      </w:r>
      <w:r w:rsidR="005B11B9" w:rsidRPr="00232C2F">
        <w:rPr>
          <w:i/>
          <w:spacing w:val="-4"/>
        </w:rPr>
        <w:t xml:space="preserve">that </w:t>
      </w:r>
      <w:r w:rsidR="006D15FD" w:rsidRPr="00232C2F">
        <w:rPr>
          <w:i/>
          <w:spacing w:val="-4"/>
        </w:rPr>
        <w:t>are</w:t>
      </w:r>
      <w:r w:rsidR="005B11B9" w:rsidRPr="00232C2F">
        <w:rPr>
          <w:i/>
          <w:spacing w:val="-4"/>
        </w:rPr>
        <w:t xml:space="preserve"> not granted protection in their own right, after the adoption of the revised document UPOV/EXN/EDV/2</w:t>
      </w:r>
      <w:r w:rsidR="0001630D" w:rsidRPr="00232C2F">
        <w:rPr>
          <w:i/>
          <w:spacing w:val="-4"/>
        </w:rPr>
        <w:t xml:space="preserve">, </w:t>
      </w:r>
      <w:r w:rsidR="00232C2F">
        <w:rPr>
          <w:i/>
          <w:spacing w:val="-4"/>
        </w:rPr>
        <w:br/>
      </w:r>
      <w:r w:rsidR="0001630D" w:rsidRPr="00232C2F">
        <w:rPr>
          <w:i/>
        </w:rPr>
        <w:t>as set out in paragraph 11;</w:t>
      </w:r>
    </w:p>
    <w:p w:rsidR="005B11B9" w:rsidRPr="00E834E1" w:rsidRDefault="005B11B9" w:rsidP="00827F80">
      <w:pPr>
        <w:tabs>
          <w:tab w:val="left" w:pos="5387"/>
          <w:tab w:val="left" w:pos="5954"/>
        </w:tabs>
        <w:ind w:left="4820"/>
        <w:rPr>
          <w:i/>
          <w:snapToGrid w:val="0"/>
          <w:sz w:val="16"/>
          <w:szCs w:val="16"/>
        </w:rPr>
      </w:pPr>
    </w:p>
    <w:p w:rsidR="005B11B9" w:rsidRPr="006D15FD" w:rsidRDefault="00827F80" w:rsidP="00827F80">
      <w:pPr>
        <w:tabs>
          <w:tab w:val="left" w:pos="5387"/>
          <w:tab w:val="left" w:pos="5954"/>
        </w:tabs>
        <w:ind w:left="4820"/>
        <w:rPr>
          <w:i/>
          <w:snapToGrid w:val="0"/>
        </w:rPr>
      </w:pPr>
      <w:r>
        <w:rPr>
          <w:i/>
          <w:snapToGrid w:val="0"/>
        </w:rPr>
        <w:tab/>
      </w:r>
      <w:r w:rsidR="00DB09CA">
        <w:rPr>
          <w:i/>
          <w:snapToGrid w:val="0"/>
        </w:rPr>
        <w:t>(c</w:t>
      </w:r>
      <w:r w:rsidR="005B11B9" w:rsidRPr="00385AED">
        <w:rPr>
          <w:i/>
          <w:snapToGrid w:val="0"/>
        </w:rPr>
        <w:t>)</w:t>
      </w:r>
      <w:r w:rsidR="005B11B9">
        <w:rPr>
          <w:i/>
          <w:snapToGrid w:val="0"/>
        </w:rPr>
        <w:tab/>
      </w:r>
      <w:r w:rsidR="005B11B9" w:rsidRPr="006D15FD">
        <w:rPr>
          <w:i/>
          <w:snapToGrid w:val="0"/>
        </w:rPr>
        <w:t xml:space="preserve">consider </w:t>
      </w:r>
      <w:r w:rsidR="006D15FD" w:rsidRPr="006D15FD">
        <w:rPr>
          <w:i/>
          <w:snapToGrid w:val="0"/>
        </w:rPr>
        <w:t>whether to invite</w:t>
      </w:r>
      <w:r w:rsidR="005B11B9" w:rsidRPr="006D15FD">
        <w:rPr>
          <w:i/>
          <w:snapToGrid w:val="0"/>
        </w:rPr>
        <w:t xml:space="preserve"> the Delegations of Australia, Brazil and the European</w:t>
      </w:r>
      <w:r w:rsidR="005B11B9" w:rsidRPr="00385AED">
        <w:rPr>
          <w:i/>
          <w:snapToGrid w:val="0"/>
        </w:rPr>
        <w:t xml:space="preserve"> Union and other members of the Union to make </w:t>
      </w:r>
      <w:r w:rsidR="005B11B9" w:rsidRPr="006D15FD">
        <w:rPr>
          <w:i/>
          <w:snapToGrid w:val="0"/>
        </w:rPr>
        <w:lastRenderedPageBreak/>
        <w:t>presentations on their systems concerning essentially derived varieties</w:t>
      </w:r>
      <w:r w:rsidR="0001630D" w:rsidRPr="006D15FD">
        <w:rPr>
          <w:i/>
          <w:snapToGrid w:val="0"/>
        </w:rPr>
        <w:t xml:space="preserve"> </w:t>
      </w:r>
      <w:r w:rsidR="006D15FD" w:rsidRPr="006D15FD">
        <w:rPr>
          <w:i/>
        </w:rPr>
        <w:t>at its seventy-second session</w:t>
      </w:r>
      <w:r w:rsidR="005B11B9" w:rsidRPr="006D15FD">
        <w:rPr>
          <w:i/>
          <w:snapToGrid w:val="0"/>
        </w:rPr>
        <w:t xml:space="preserve">; </w:t>
      </w:r>
    </w:p>
    <w:p w:rsidR="005B11B9" w:rsidRPr="00E834E1" w:rsidRDefault="005B11B9" w:rsidP="00827F80">
      <w:pPr>
        <w:tabs>
          <w:tab w:val="left" w:pos="5387"/>
          <w:tab w:val="left" w:pos="5954"/>
        </w:tabs>
        <w:ind w:left="4820"/>
        <w:rPr>
          <w:i/>
          <w:snapToGrid w:val="0"/>
          <w:sz w:val="16"/>
          <w:szCs w:val="16"/>
        </w:rPr>
      </w:pPr>
    </w:p>
    <w:p w:rsidR="005B11B9" w:rsidRPr="006D15FD" w:rsidRDefault="00827F80" w:rsidP="00DB09CA">
      <w:pPr>
        <w:tabs>
          <w:tab w:val="left" w:pos="5387"/>
          <w:tab w:val="left" w:pos="5954"/>
        </w:tabs>
        <w:ind w:left="4820"/>
        <w:rPr>
          <w:i/>
        </w:rPr>
      </w:pPr>
      <w:r>
        <w:rPr>
          <w:i/>
        </w:rPr>
        <w:tab/>
      </w:r>
      <w:r w:rsidR="00DB09CA" w:rsidRPr="006D15FD">
        <w:rPr>
          <w:i/>
        </w:rPr>
        <w:t>(d</w:t>
      </w:r>
      <w:r w:rsidR="005B11B9" w:rsidRPr="006D15FD">
        <w:rPr>
          <w:i/>
        </w:rPr>
        <w:t>)</w:t>
      </w:r>
      <w:r w:rsidR="005B11B9" w:rsidRPr="006D15FD">
        <w:rPr>
          <w:i/>
        </w:rPr>
        <w:tab/>
      </w:r>
      <w:r w:rsidR="00653C88">
        <w:rPr>
          <w:i/>
        </w:rPr>
        <w:t xml:space="preserve">consider </w:t>
      </w:r>
      <w:r w:rsidR="006D15FD" w:rsidRPr="006D15FD">
        <w:rPr>
          <w:i/>
        </w:rPr>
        <w:t xml:space="preserve">whether to request the Office of the Union </w:t>
      </w:r>
      <w:r w:rsidR="00006A57" w:rsidRPr="006D15FD">
        <w:rPr>
          <w:i/>
        </w:rPr>
        <w:t>to organize a meeting to exchange information with CIOPORA, ISF and WIPO in order to explore the possible role of UPOV in alternative dispute settlement mechanisms for matters concerning essentially derived varieties, including the provision of experts on EDV matters,</w:t>
      </w:r>
      <w:r w:rsidR="006D15FD" w:rsidRPr="006D15FD">
        <w:rPr>
          <w:i/>
        </w:rPr>
        <w:t xml:space="preserve"> and to provide a report </w:t>
      </w:r>
      <w:r w:rsidR="00006A57" w:rsidRPr="006D15FD">
        <w:rPr>
          <w:i/>
        </w:rPr>
        <w:t>at the seventy</w:t>
      </w:r>
      <w:r w:rsidR="00006A57" w:rsidRPr="006D15FD">
        <w:rPr>
          <w:i/>
        </w:rPr>
        <w:noBreakHyphen/>
        <w:t>second session of the CAJ</w:t>
      </w:r>
      <w:r w:rsidR="00DB09CA" w:rsidRPr="006D15FD">
        <w:rPr>
          <w:i/>
        </w:rPr>
        <w:t>; and</w:t>
      </w:r>
    </w:p>
    <w:p w:rsidR="00DB09CA" w:rsidRDefault="00DB09CA" w:rsidP="00827F80">
      <w:pPr>
        <w:tabs>
          <w:tab w:val="left" w:pos="5387"/>
          <w:tab w:val="left" w:pos="5954"/>
        </w:tabs>
        <w:ind w:left="4820"/>
        <w:rPr>
          <w:i/>
        </w:rPr>
      </w:pPr>
    </w:p>
    <w:p w:rsidR="00DB09CA" w:rsidRPr="008668E7" w:rsidRDefault="00DB09CA" w:rsidP="00DB09CA">
      <w:pPr>
        <w:tabs>
          <w:tab w:val="left" w:pos="5387"/>
          <w:tab w:val="left" w:pos="5954"/>
        </w:tabs>
        <w:ind w:left="4820"/>
        <w:rPr>
          <w:i/>
        </w:rPr>
      </w:pPr>
      <w:r>
        <w:rPr>
          <w:i/>
        </w:rPr>
        <w:tab/>
        <w:t>(e</w:t>
      </w:r>
      <w:r w:rsidRPr="008668E7">
        <w:rPr>
          <w:i/>
        </w:rPr>
        <w:t>)</w:t>
      </w:r>
      <w:r w:rsidRPr="008668E7">
        <w:rPr>
          <w:i/>
        </w:rPr>
        <w:tab/>
        <w:t xml:space="preserve">consider </w:t>
      </w:r>
      <w:r>
        <w:rPr>
          <w:i/>
        </w:rPr>
        <w:t xml:space="preserve">a new draft of the </w:t>
      </w:r>
      <w:r w:rsidRPr="008668E7">
        <w:rPr>
          <w:i/>
        </w:rPr>
        <w:t>“Explanatory Notes on Essentially Derived Varieties under the 1991 Act of</w:t>
      </w:r>
      <w:r>
        <w:rPr>
          <w:i/>
        </w:rPr>
        <w:t xml:space="preserve"> the UPOV Convention” (Revision)</w:t>
      </w:r>
      <w:r w:rsidRPr="008668E7">
        <w:rPr>
          <w:i/>
        </w:rPr>
        <w:t xml:space="preserve"> </w:t>
      </w:r>
      <w:r>
        <w:rPr>
          <w:i/>
        </w:rPr>
        <w:t xml:space="preserve">(document UPOV/EXN/EDV/2 Draft 6) at its </w:t>
      </w:r>
      <w:r w:rsidRPr="00653C88">
        <w:rPr>
          <w:i/>
        </w:rPr>
        <w:t>seventy</w:t>
      </w:r>
      <w:r w:rsidRPr="00653C88">
        <w:rPr>
          <w:i/>
        </w:rPr>
        <w:noBreakHyphen/>
        <w:t>second session, as set out in paragraphs 15 and 16.</w:t>
      </w:r>
    </w:p>
    <w:p w:rsidR="005B11B9" w:rsidRDefault="005B11B9" w:rsidP="00280209"/>
    <w:p w:rsidR="003B2467" w:rsidRPr="00184EDD" w:rsidRDefault="003B2467" w:rsidP="008668E7"/>
    <w:p w:rsidR="003B2467" w:rsidRPr="00184EDD" w:rsidRDefault="00072AD8" w:rsidP="00E831EC">
      <w:pPr>
        <w:pStyle w:val="Heading2"/>
      </w:pPr>
      <w:bookmarkStart w:id="9" w:name="_Toc413059220"/>
      <w:r w:rsidRPr="00016155">
        <w:t xml:space="preserve">Explanatory Notes on Propagating Material under the </w:t>
      </w:r>
      <w:r w:rsidR="008F1D00">
        <w:t xml:space="preserve">1991 Act of the </w:t>
      </w:r>
      <w:r w:rsidRPr="00016155">
        <w:t>UPOV Convention (document UPOV/EXN/PPM/1 Draft 4)</w:t>
      </w:r>
      <w:bookmarkEnd w:id="9"/>
    </w:p>
    <w:p w:rsidR="003B2467" w:rsidRDefault="003B2467" w:rsidP="00827F80"/>
    <w:p w:rsidR="004D7B6E" w:rsidRDefault="004D7B6E" w:rsidP="004D7B6E">
      <w:r w:rsidRPr="00482F75">
        <w:rPr>
          <w:rFonts w:cs="Arial"/>
        </w:rPr>
        <w:fldChar w:fldCharType="begin"/>
      </w:r>
      <w:r w:rsidRPr="00482F75">
        <w:rPr>
          <w:rFonts w:cs="Arial"/>
        </w:rPr>
        <w:instrText xml:space="preserve"> AUTONUM  </w:instrText>
      </w:r>
      <w:r w:rsidRPr="00482F75">
        <w:rPr>
          <w:rFonts w:cs="Arial"/>
        </w:rPr>
        <w:fldChar w:fldCharType="end"/>
      </w:r>
      <w:r w:rsidRPr="00482F75">
        <w:rPr>
          <w:rFonts w:cs="Arial"/>
        </w:rPr>
        <w:tab/>
      </w:r>
      <w:r w:rsidRPr="00131904">
        <w:t>The CAJ-AG</w:t>
      </w:r>
      <w:r w:rsidRPr="00131904">
        <w:rPr>
          <w:rStyle w:val="FootnoteReference"/>
        </w:rPr>
        <w:footnoteReference w:id="13"/>
      </w:r>
      <w:r w:rsidRPr="00131904">
        <w:t xml:space="preserve"> considered document UPOV/EXN/PPM/1 Draft 3 and the presentations of views by APBREBES, CIOPORA, and ESA.</w:t>
      </w:r>
      <w:r w:rsidRPr="00131904">
        <w:rPr>
          <w:rStyle w:val="FootnoteReference"/>
        </w:rPr>
        <w:footnoteReference w:id="14"/>
      </w:r>
    </w:p>
    <w:p w:rsidR="004D7B6E" w:rsidRDefault="004D7B6E" w:rsidP="004D7B6E"/>
    <w:p w:rsidR="004D7B6E" w:rsidRPr="00482F75" w:rsidRDefault="004D7B6E" w:rsidP="004D7B6E">
      <w:r>
        <w:fldChar w:fldCharType="begin"/>
      </w:r>
      <w:r>
        <w:instrText xml:space="preserve"> AUTONUM  </w:instrText>
      </w:r>
      <w:r>
        <w:fldChar w:fldCharType="end"/>
      </w:r>
      <w:r>
        <w:tab/>
        <w:t xml:space="preserve">The CAJ-AG agreed the following amendments to </w:t>
      </w:r>
      <w:r w:rsidRPr="007B1E3F">
        <w:t>document UPOV/EXN/PPM/1 Draft 3</w:t>
      </w:r>
      <w:r>
        <w:t>:</w:t>
      </w:r>
    </w:p>
    <w:p w:rsidR="004D7B6E" w:rsidRDefault="004D7B6E" w:rsidP="004D7B6E">
      <w:pPr>
        <w:rPr>
          <w:rFonts w:cs="Arial"/>
        </w:rPr>
      </w:pPr>
    </w:p>
    <w:tbl>
      <w:tblPr>
        <w:tblW w:w="9186" w:type="dxa"/>
        <w:tblInd w:w="5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5" w:type="dxa"/>
        </w:tblCellMar>
        <w:tblLook w:val="0000" w:firstRow="0" w:lastRow="0" w:firstColumn="0" w:lastColumn="0" w:noHBand="0" w:noVBand="0"/>
      </w:tblPr>
      <w:tblGrid>
        <w:gridCol w:w="1397"/>
        <w:gridCol w:w="7789"/>
      </w:tblGrid>
      <w:tr w:rsidR="004D7B6E" w:rsidRPr="00482F75" w:rsidTr="008668E7">
        <w:trPr>
          <w:cantSplit/>
        </w:trPr>
        <w:tc>
          <w:tcPr>
            <w:tcW w:w="1397" w:type="dxa"/>
          </w:tcPr>
          <w:p w:rsidR="004D7B6E" w:rsidRPr="00482F75" w:rsidRDefault="004D7B6E" w:rsidP="004224C1">
            <w:pPr>
              <w:rPr>
                <w:rFonts w:cs="Arial"/>
              </w:rPr>
            </w:pPr>
            <w:r w:rsidRPr="00482F75">
              <w:rPr>
                <w:rFonts w:cs="Arial"/>
              </w:rPr>
              <w:t>General</w:t>
            </w:r>
          </w:p>
        </w:tc>
        <w:tc>
          <w:tcPr>
            <w:tcW w:w="7789" w:type="dxa"/>
          </w:tcPr>
          <w:p w:rsidR="004D7B6E" w:rsidRPr="00482F75" w:rsidRDefault="004D7B6E" w:rsidP="004224C1">
            <w:pPr>
              <w:rPr>
                <w:snapToGrid w:val="0"/>
              </w:rPr>
            </w:pPr>
            <w:r>
              <w:rPr>
                <w:snapToGrid w:val="0"/>
              </w:rPr>
              <w:t>To replace the term “</w:t>
            </w:r>
            <w:r w:rsidRPr="00FA7DC7">
              <w:rPr>
                <w:snapToGrid w:val="0"/>
              </w:rPr>
              <w:t>propagation and propagating material</w:t>
            </w:r>
            <w:r>
              <w:rPr>
                <w:snapToGrid w:val="0"/>
              </w:rPr>
              <w:t xml:space="preserve">” with </w:t>
            </w:r>
            <w:r>
              <w:t>“p</w:t>
            </w:r>
            <w:r w:rsidRPr="00BE4A7F">
              <w:t>ropagating material</w:t>
            </w:r>
            <w:r>
              <w:t>”, in the title and elsewhere in the document.</w:t>
            </w:r>
          </w:p>
        </w:tc>
      </w:tr>
      <w:tr w:rsidR="004D7B6E" w:rsidRPr="00482F75" w:rsidTr="008668E7">
        <w:trPr>
          <w:cantSplit/>
        </w:trPr>
        <w:tc>
          <w:tcPr>
            <w:tcW w:w="1397" w:type="dxa"/>
          </w:tcPr>
          <w:p w:rsidR="004D7B6E" w:rsidRPr="00482F75" w:rsidRDefault="004D7B6E" w:rsidP="004224C1">
            <w:pPr>
              <w:rPr>
                <w:rFonts w:cs="Arial"/>
              </w:rPr>
            </w:pPr>
            <w:r>
              <w:rPr>
                <w:rFonts w:cs="Arial"/>
              </w:rPr>
              <w:t>1.</w:t>
            </w:r>
          </w:p>
        </w:tc>
        <w:tc>
          <w:tcPr>
            <w:tcW w:w="7789" w:type="dxa"/>
          </w:tcPr>
          <w:p w:rsidR="004D7B6E" w:rsidRDefault="004D7B6E" w:rsidP="004224C1">
            <w:pPr>
              <w:rPr>
                <w:rFonts w:cs="Arial"/>
              </w:rPr>
            </w:pPr>
            <w:r>
              <w:rPr>
                <w:rFonts w:cs="Arial"/>
              </w:rPr>
              <w:t xml:space="preserve">to read: </w:t>
            </w:r>
          </w:p>
          <w:p w:rsidR="004D7B6E" w:rsidRPr="00482F75" w:rsidRDefault="004D7B6E" w:rsidP="004224C1">
            <w:pPr>
              <w:rPr>
                <w:rFonts w:cs="Arial"/>
              </w:rPr>
            </w:pPr>
            <w:r>
              <w:rPr>
                <w:rFonts w:cs="Arial"/>
              </w:rPr>
              <w:t>“</w:t>
            </w:r>
            <w:r w:rsidRPr="00FA7DC7">
              <w:rPr>
                <w:rFonts w:cs="Arial"/>
              </w:rPr>
              <w:t>Propagating material encompasses reproductive and vegetative propagating material.  The UPOV Convention do</w:t>
            </w:r>
            <w:r>
              <w:rPr>
                <w:rFonts w:cs="Arial"/>
              </w:rPr>
              <w:t>es not provide a definition of ‘propagating material’</w:t>
            </w:r>
            <w:r w:rsidRPr="00FA7DC7">
              <w:rPr>
                <w:rFonts w:cs="Arial"/>
              </w:rPr>
              <w:t>.  The following section provides guidance on factors that might be considered in relation to whether material is propagating material.</w:t>
            </w:r>
            <w:r>
              <w:rPr>
                <w:rFonts w:cs="Arial"/>
              </w:rPr>
              <w:t>”</w:t>
            </w:r>
          </w:p>
        </w:tc>
      </w:tr>
      <w:tr w:rsidR="004D7B6E" w:rsidRPr="00482F75" w:rsidTr="008668E7">
        <w:trPr>
          <w:cantSplit/>
        </w:trPr>
        <w:tc>
          <w:tcPr>
            <w:tcW w:w="1397" w:type="dxa"/>
          </w:tcPr>
          <w:p w:rsidR="004D7B6E" w:rsidRPr="00482F75" w:rsidRDefault="004D7B6E" w:rsidP="004224C1">
            <w:pPr>
              <w:rPr>
                <w:rFonts w:cs="Arial"/>
              </w:rPr>
            </w:pPr>
            <w:r>
              <w:rPr>
                <w:rFonts w:cs="Arial"/>
              </w:rPr>
              <w:t>2.</w:t>
            </w:r>
          </w:p>
        </w:tc>
        <w:tc>
          <w:tcPr>
            <w:tcW w:w="7789" w:type="dxa"/>
          </w:tcPr>
          <w:p w:rsidR="004D7B6E" w:rsidRDefault="004D7B6E" w:rsidP="004224C1">
            <w:pPr>
              <w:rPr>
                <w:rFonts w:cs="Arial"/>
              </w:rPr>
            </w:pPr>
            <w:r>
              <w:rPr>
                <w:rFonts w:cs="Arial"/>
              </w:rPr>
              <w:t xml:space="preserve">to read: </w:t>
            </w:r>
          </w:p>
          <w:p w:rsidR="004D7B6E" w:rsidRPr="00482F75" w:rsidRDefault="004D7B6E" w:rsidP="004224C1">
            <w:pPr>
              <w:rPr>
                <w:rFonts w:cs="Arial"/>
              </w:rPr>
            </w:pPr>
            <w:r>
              <w:rPr>
                <w:rFonts w:cs="Arial"/>
              </w:rPr>
              <w:t>“</w:t>
            </w:r>
            <w:r w:rsidRPr="00821501">
              <w:rPr>
                <w:rFonts w:cs="Arial"/>
              </w:rPr>
              <w:t>Whether material is propagating material is a matter of fact but may also include the intention on the part of those concerned (producer, seller, supplier, buyer, recipient, user) and depends on the definition of propagating material in the law of the member of the Union concerned</w:t>
            </w:r>
            <w:r>
              <w:rPr>
                <w:rFonts w:cs="Arial"/>
              </w:rPr>
              <w:t>. […]”</w:t>
            </w:r>
          </w:p>
        </w:tc>
      </w:tr>
      <w:tr w:rsidR="004D7B6E" w:rsidRPr="00482F75" w:rsidTr="008668E7">
        <w:trPr>
          <w:cantSplit/>
        </w:trPr>
        <w:tc>
          <w:tcPr>
            <w:tcW w:w="1397" w:type="dxa"/>
          </w:tcPr>
          <w:p w:rsidR="004D7B6E" w:rsidRPr="00482F75" w:rsidRDefault="004D7B6E" w:rsidP="004224C1">
            <w:r>
              <w:t>4.</w:t>
            </w:r>
          </w:p>
        </w:tc>
        <w:tc>
          <w:tcPr>
            <w:tcW w:w="7789" w:type="dxa"/>
          </w:tcPr>
          <w:p w:rsidR="004D7B6E" w:rsidRDefault="004D7B6E" w:rsidP="004224C1">
            <w:r>
              <w:rPr>
                <w:snapToGrid w:val="0"/>
              </w:rPr>
              <w:t>to read</w:t>
            </w:r>
            <w:r>
              <w:t>:</w:t>
            </w:r>
          </w:p>
          <w:p w:rsidR="004D7B6E" w:rsidRPr="002C1C84" w:rsidRDefault="004D7B6E" w:rsidP="004224C1">
            <w:pPr>
              <w:autoSpaceDE w:val="0"/>
            </w:pPr>
            <w:r>
              <w:t xml:space="preserve">“Taking into account </w:t>
            </w:r>
            <w:r w:rsidRPr="002C1C84">
              <w:t>the definition of propagating material in the law of the member of the Union concerned, if applicable, the following, non-exhaustive, list of factors</w:t>
            </w:r>
            <w:r w:rsidRPr="002C1C84">
              <w:rPr>
                <w:rFonts w:ascii="ZWAdobeF" w:hAnsi="ZWAdobeF" w:cs="ZWAdobeF"/>
                <w:sz w:val="2"/>
                <w:szCs w:val="2"/>
              </w:rPr>
              <w:t>1</w:t>
            </w:r>
            <w:r w:rsidRPr="002C1C84">
              <w:t>, and/or combination of factors, might be considered in deciding whether material is propagating material:</w:t>
            </w:r>
          </w:p>
          <w:p w:rsidR="004D7B6E" w:rsidRPr="002C1C84" w:rsidRDefault="004D7B6E" w:rsidP="004224C1"/>
          <w:p w:rsidR="004D7B6E" w:rsidRPr="002C1C84" w:rsidRDefault="004D7B6E" w:rsidP="004224C1">
            <w:pPr>
              <w:ind w:left="1102" w:hanging="535"/>
            </w:pPr>
            <w:r w:rsidRPr="002C1C84">
              <w:t>(i)</w:t>
            </w:r>
            <w:r w:rsidRPr="002C1C84">
              <w:tab/>
              <w:t>whether the material has been used to propagate the variety;</w:t>
            </w:r>
          </w:p>
          <w:p w:rsidR="004D7B6E" w:rsidRPr="002C1C84" w:rsidRDefault="004D7B6E" w:rsidP="004224C1">
            <w:pPr>
              <w:ind w:left="1102" w:hanging="535"/>
            </w:pPr>
            <w:r w:rsidRPr="002C1C84">
              <w:t>(ii)</w:t>
            </w:r>
            <w:r w:rsidRPr="002C1C84">
              <w:tab/>
              <w:t>whether the material is capable of producing entire plants of the variety;</w:t>
            </w:r>
          </w:p>
          <w:p w:rsidR="004D7B6E" w:rsidRPr="002C1C84" w:rsidRDefault="004D7B6E" w:rsidP="004224C1">
            <w:pPr>
              <w:ind w:left="1102" w:hanging="535"/>
            </w:pPr>
            <w:r w:rsidRPr="002C1C84">
              <w:t>(iii)</w:t>
            </w:r>
            <w:r w:rsidRPr="002C1C84">
              <w:tab/>
              <w:t>whether there has been a custom/practice of using the material for that purpose or, as a result of new developments, there is a new custom/practice of using the material for that purpose;</w:t>
            </w:r>
          </w:p>
          <w:p w:rsidR="004D7B6E" w:rsidRDefault="004D7B6E" w:rsidP="004224C1">
            <w:pPr>
              <w:ind w:left="1102" w:hanging="535"/>
            </w:pPr>
            <w:r w:rsidRPr="002C1C84">
              <w:t>(</w:t>
            </w:r>
            <w:r>
              <w:t>i</w:t>
            </w:r>
            <w:r w:rsidRPr="002C1C84">
              <w:t>v)</w:t>
            </w:r>
            <w:r w:rsidRPr="002C1C84">
              <w:tab/>
              <w:t xml:space="preserve">the intention on the part of those concerned (producer, seller, supplier, buyer, recipient, user);  </w:t>
            </w:r>
            <w:r>
              <w:t>or</w:t>
            </w:r>
          </w:p>
          <w:p w:rsidR="004D7B6E" w:rsidRPr="00482F75" w:rsidRDefault="004D7B6E" w:rsidP="004224C1">
            <w:pPr>
              <w:ind w:left="1102" w:hanging="535"/>
            </w:pPr>
            <w:r>
              <w:t>(v)</w:t>
            </w:r>
            <w:r w:rsidRPr="002C1C84">
              <w:t xml:space="preserve"> </w:t>
            </w:r>
            <w:r w:rsidRPr="002C1C84">
              <w:tab/>
              <w:t xml:space="preserve">if, based on the nature and condition of the material and/or the form of its use, it can be determined that </w:t>
            </w:r>
            <w:r>
              <w:t>the</w:t>
            </w:r>
            <w:r w:rsidRPr="002C1C84">
              <w:t xml:space="preserve"> material is “propagating material”</w:t>
            </w:r>
            <w:r>
              <w:t>.</w:t>
            </w:r>
            <w:r w:rsidRPr="002C1C84">
              <w:t xml:space="preserve"> </w:t>
            </w:r>
          </w:p>
        </w:tc>
      </w:tr>
    </w:tbl>
    <w:p w:rsidR="005B11B9" w:rsidRDefault="005B11B9" w:rsidP="004D7B6E"/>
    <w:p w:rsidR="008F1D00" w:rsidRPr="00AB6E5A" w:rsidRDefault="008F1D00" w:rsidP="00B93B31">
      <w:pPr>
        <w:pStyle w:val="DecisionParagraphs"/>
      </w:pPr>
      <w:r w:rsidRPr="00AB6E5A">
        <w:lastRenderedPageBreak/>
        <w:fldChar w:fldCharType="begin"/>
      </w:r>
      <w:r w:rsidRPr="00AB6E5A">
        <w:instrText xml:space="preserve"> AUTONUM  </w:instrText>
      </w:r>
      <w:r w:rsidRPr="00AB6E5A">
        <w:fldChar w:fldCharType="end"/>
      </w:r>
      <w:r w:rsidRPr="00AB6E5A">
        <w:tab/>
        <w:t>The CAJ is invited to consider</w:t>
      </w:r>
      <w:r w:rsidR="00B93B31" w:rsidRPr="00AB6E5A">
        <w:rPr>
          <w:lang w:eastAsia="zh-CN"/>
        </w:rPr>
        <w:t xml:space="preserve"> document </w:t>
      </w:r>
      <w:r w:rsidR="00B93B31" w:rsidRPr="00AB6E5A">
        <w:t>UPOV/EXN/PPM/1 Draft 4 as the basis for</w:t>
      </w:r>
      <w:r w:rsidRPr="00AB6E5A">
        <w:t xml:space="preserve"> the </w:t>
      </w:r>
      <w:r w:rsidR="00B93B31" w:rsidRPr="00AB6E5A">
        <w:t xml:space="preserve">adoption of the </w:t>
      </w:r>
      <w:r w:rsidRPr="00AB6E5A">
        <w:t>“Explanatory Notes on Propagating Material under the 1991 Act of the UPOV Convention”,</w:t>
      </w:r>
      <w:r w:rsidR="00AB6E5A" w:rsidRPr="00AB6E5A">
        <w:t xml:space="preserve"> by the Council at its forty-ninth ordinary session, to be held on October 29, 2015.</w:t>
      </w:r>
    </w:p>
    <w:p w:rsidR="00AB6E5A" w:rsidRPr="008F1D00" w:rsidRDefault="00AB6E5A" w:rsidP="00B93B31">
      <w:pPr>
        <w:pStyle w:val="DecisionParagraphs"/>
        <w:rPr>
          <w:lang w:eastAsia="zh-CN"/>
        </w:rPr>
      </w:pPr>
    </w:p>
    <w:p w:rsidR="008F1D00" w:rsidRDefault="008F1D00" w:rsidP="004D7B6E"/>
    <w:p w:rsidR="003B2467" w:rsidRPr="00016155" w:rsidRDefault="00072AD8" w:rsidP="00E831EC">
      <w:pPr>
        <w:pStyle w:val="Heading2"/>
        <w:rPr>
          <w:kern w:val="28"/>
        </w:rPr>
      </w:pPr>
      <w:bookmarkStart w:id="10" w:name="_Toc413059221"/>
      <w:r w:rsidRPr="00016155">
        <w:t xml:space="preserve">Explanatory Notes on Acts in Respect of Harvested Material under the 1991 Act of the UPOV Convention (Revision) </w:t>
      </w:r>
      <w:r w:rsidRPr="00016155">
        <w:rPr>
          <w:kern w:val="28"/>
        </w:rPr>
        <w:t>(document CAJ/71/2)</w:t>
      </w:r>
      <w:bookmarkEnd w:id="10"/>
      <w:r w:rsidRPr="00016155">
        <w:rPr>
          <w:kern w:val="28"/>
        </w:rPr>
        <w:t xml:space="preserve"> </w:t>
      </w:r>
    </w:p>
    <w:p w:rsidR="003B2467" w:rsidRDefault="003B2467" w:rsidP="00FE7F6B">
      <w:pPr>
        <w:keepNext/>
        <w:ind w:left="1701" w:right="567" w:hanging="567"/>
        <w:rPr>
          <w:kern w:val="28"/>
        </w:rPr>
      </w:pPr>
    </w:p>
    <w:p w:rsidR="004D7B6E" w:rsidRDefault="004D7B6E" w:rsidP="004D7B6E">
      <w:r w:rsidRPr="00482F75">
        <w:rPr>
          <w:rFonts w:cs="Arial"/>
        </w:rPr>
        <w:fldChar w:fldCharType="begin"/>
      </w:r>
      <w:r w:rsidRPr="00482F75">
        <w:rPr>
          <w:rFonts w:cs="Arial"/>
        </w:rPr>
        <w:instrText xml:space="preserve"> AUTONUM  </w:instrText>
      </w:r>
      <w:r w:rsidRPr="00482F75">
        <w:rPr>
          <w:rFonts w:cs="Arial"/>
        </w:rPr>
        <w:fldChar w:fldCharType="end"/>
      </w:r>
      <w:r w:rsidRPr="00482F75">
        <w:rPr>
          <w:rFonts w:cs="Arial"/>
        </w:rPr>
        <w:tab/>
      </w:r>
      <w:r w:rsidRPr="00131904">
        <w:t>The CAJ-AG</w:t>
      </w:r>
      <w:r w:rsidR="00FE7F6B" w:rsidRPr="00131904">
        <w:rPr>
          <w:rStyle w:val="FootnoteReference"/>
        </w:rPr>
        <w:footnoteReference w:id="15"/>
      </w:r>
      <w:r w:rsidRPr="00131904">
        <w:t xml:space="preserve"> considered document UPOV/EXN/HRV/2 Draft 2 and the views expressed by AIPH, APBREBES, CIOPORA and ESA.</w:t>
      </w:r>
      <w:r w:rsidR="00FE7F6B" w:rsidRPr="00131904">
        <w:rPr>
          <w:rStyle w:val="FootnoteReference"/>
        </w:rPr>
        <w:footnoteReference w:id="16"/>
      </w:r>
    </w:p>
    <w:p w:rsidR="004D7B6E" w:rsidRDefault="004D7B6E" w:rsidP="004D7B6E"/>
    <w:p w:rsidR="004D7B6E" w:rsidRDefault="004D7B6E" w:rsidP="004D7B6E">
      <w:r>
        <w:fldChar w:fldCharType="begin"/>
      </w:r>
      <w:r>
        <w:instrText xml:space="preserve"> AUTONUM  </w:instrText>
      </w:r>
      <w:r>
        <w:fldChar w:fldCharType="end"/>
      </w:r>
      <w:r>
        <w:tab/>
        <w:t>The CAJ-AG concluded that it would not be appropriate to seek to develop a revision of document UPOV/EXN/HRV/1 for the time being.</w:t>
      </w:r>
      <w:r w:rsidRPr="007B1E3F">
        <w:t xml:space="preserve"> </w:t>
      </w:r>
      <w:r>
        <w:t xml:space="preserve"> </w:t>
      </w:r>
    </w:p>
    <w:p w:rsidR="00D21C53" w:rsidRDefault="00D21C53" w:rsidP="008668E7">
      <w:pPr>
        <w:ind w:left="5670" w:right="567" w:hanging="567"/>
        <w:rPr>
          <w:kern w:val="28"/>
        </w:rPr>
      </w:pPr>
    </w:p>
    <w:p w:rsidR="008A1D4E" w:rsidRDefault="0050638A" w:rsidP="0050638A">
      <w:pPr>
        <w:pStyle w:val="DecisionParagraphs"/>
      </w:pPr>
      <w:r w:rsidRPr="0050638A">
        <w:fldChar w:fldCharType="begin"/>
      </w:r>
      <w:r w:rsidRPr="0050638A">
        <w:instrText xml:space="preserve"> AUTONUM  </w:instrText>
      </w:r>
      <w:r w:rsidRPr="0050638A">
        <w:fldChar w:fldCharType="end"/>
      </w:r>
      <w:r w:rsidRPr="0050638A">
        <w:tab/>
        <w:t xml:space="preserve">The CAJ is invited to consider the conclusion of the CAJ-AG that it would not be appropriate to seek to develop a revision of </w:t>
      </w:r>
      <w:r>
        <w:t>the “</w:t>
      </w:r>
      <w:r w:rsidRPr="0050638A">
        <w:t xml:space="preserve">Explanatory Notes </w:t>
      </w:r>
      <w:r w:rsidR="00653C88">
        <w:br/>
      </w:r>
      <w:r w:rsidRPr="0050638A">
        <w:t xml:space="preserve">on Acts in Respect of Harvested Material under </w:t>
      </w:r>
      <w:r w:rsidR="00653C88">
        <w:br/>
      </w:r>
      <w:r w:rsidRPr="0050638A">
        <w:t>the 1991 Act of the UPOV Convention</w:t>
      </w:r>
      <w:r>
        <w:t>”</w:t>
      </w:r>
      <w:r w:rsidRPr="0050638A">
        <w:t xml:space="preserve"> </w:t>
      </w:r>
      <w:r>
        <w:t>(</w:t>
      </w:r>
      <w:r w:rsidRPr="0050638A">
        <w:t>document UPOV/EXN/HRV/1</w:t>
      </w:r>
      <w:r>
        <w:t>)</w:t>
      </w:r>
      <w:r w:rsidRPr="0050638A">
        <w:t xml:space="preserve"> for the time being.</w:t>
      </w:r>
    </w:p>
    <w:p w:rsidR="008668E7" w:rsidRDefault="008668E7" w:rsidP="008668E7"/>
    <w:p w:rsidR="0050638A" w:rsidRPr="00184EDD" w:rsidRDefault="0050638A" w:rsidP="008668E7"/>
    <w:p w:rsidR="003B2467" w:rsidRPr="00016155" w:rsidRDefault="00072AD8" w:rsidP="00E831EC">
      <w:pPr>
        <w:pStyle w:val="Heading2"/>
      </w:pPr>
      <w:bookmarkStart w:id="11" w:name="_Toc413059222"/>
      <w:r w:rsidRPr="00016155">
        <w:t>Explanatory Notes on Cancellation of the Breeder's Right under the UPOV Convention (Revision) (document UPOV/EXN/CAN/2 Draft 3)</w:t>
      </w:r>
      <w:bookmarkEnd w:id="11"/>
    </w:p>
    <w:p w:rsidR="003B2467" w:rsidRDefault="003B2467" w:rsidP="00E2596B">
      <w:pPr>
        <w:keepNext/>
        <w:ind w:left="1701" w:right="567" w:hanging="567"/>
      </w:pPr>
    </w:p>
    <w:p w:rsidR="00E2596B" w:rsidRDefault="00E2596B" w:rsidP="00E2596B">
      <w:r w:rsidRPr="00131904">
        <w:fldChar w:fldCharType="begin"/>
      </w:r>
      <w:r w:rsidRPr="00131904">
        <w:instrText xml:space="preserve"> AUTONUM  </w:instrText>
      </w:r>
      <w:r w:rsidRPr="00131904">
        <w:fldChar w:fldCharType="end"/>
      </w:r>
      <w:r w:rsidRPr="00131904">
        <w:tab/>
      </w:r>
      <w:r w:rsidRPr="00131904">
        <w:rPr>
          <w:rFonts w:cs="Arial"/>
        </w:rPr>
        <w:t>The CAJ­AG</w:t>
      </w:r>
      <w:r w:rsidRPr="00131904">
        <w:rPr>
          <w:rStyle w:val="FootnoteReference"/>
          <w:rFonts w:cs="Arial"/>
        </w:rPr>
        <w:footnoteReference w:id="17"/>
      </w:r>
      <w:r w:rsidRPr="00131904">
        <w:rPr>
          <w:rFonts w:cs="Arial"/>
        </w:rPr>
        <w:t xml:space="preserve"> considered document </w:t>
      </w:r>
      <w:r w:rsidRPr="00131904">
        <w:t xml:space="preserve">UPOV/EXN/CAN/2 Draft 2 </w:t>
      </w:r>
      <w:r w:rsidRPr="00131904">
        <w:rPr>
          <w:rFonts w:cs="Arial"/>
        </w:rPr>
        <w:t xml:space="preserve">and the </w:t>
      </w:r>
      <w:r w:rsidRPr="00131904">
        <w:t xml:space="preserve">views expressed by </w:t>
      </w:r>
      <w:r w:rsidRPr="00131904">
        <w:rPr>
          <w:rFonts w:cs="Arial"/>
          <w:szCs w:val="26"/>
        </w:rPr>
        <w:t>CropLife International.</w:t>
      </w:r>
      <w:r w:rsidRPr="00131904">
        <w:rPr>
          <w:rStyle w:val="FootnoteReference"/>
          <w:rFonts w:cs="Arial"/>
          <w:szCs w:val="26"/>
        </w:rPr>
        <w:footnoteReference w:id="18"/>
      </w:r>
    </w:p>
    <w:p w:rsidR="00E2596B" w:rsidRDefault="00E2596B" w:rsidP="00E2596B">
      <w:pPr>
        <w:jc w:val="left"/>
      </w:pPr>
    </w:p>
    <w:p w:rsidR="00E2596B" w:rsidRDefault="00E2596B" w:rsidP="00E2596B">
      <w:pPr>
        <w:keepNext/>
        <w:rPr>
          <w:rFonts w:cs="Arial"/>
        </w:rPr>
      </w:pPr>
      <w:r w:rsidRPr="0022331F">
        <w:fldChar w:fldCharType="begin"/>
      </w:r>
      <w:r w:rsidRPr="0022331F">
        <w:instrText xml:space="preserve"> AUTONUM  </w:instrText>
      </w:r>
      <w:r w:rsidRPr="0022331F">
        <w:fldChar w:fldCharType="end"/>
      </w:r>
      <w:r w:rsidRPr="0022331F">
        <w:tab/>
      </w:r>
      <w:r w:rsidRPr="0022331F">
        <w:rPr>
          <w:rFonts w:cs="Arial"/>
        </w:rPr>
        <w:t>The CAJ­AG agreed the following</w:t>
      </w:r>
      <w:r>
        <w:rPr>
          <w:rFonts w:cs="Arial"/>
        </w:rPr>
        <w:t xml:space="preserve"> amendments</w:t>
      </w:r>
      <w:r w:rsidRPr="0022331F">
        <w:rPr>
          <w:rFonts w:cs="Arial"/>
        </w:rPr>
        <w:t xml:space="preserve"> to document </w:t>
      </w:r>
      <w:r w:rsidRPr="0022331F">
        <w:t>UPOV/EXN/CAN/2 Draft 2</w:t>
      </w:r>
      <w:r w:rsidRPr="0022331F">
        <w:rPr>
          <w:rFonts w:cs="Arial"/>
        </w:rPr>
        <w:t>:</w:t>
      </w:r>
    </w:p>
    <w:p w:rsidR="00E2596B" w:rsidRDefault="00E2596B" w:rsidP="00E2596B">
      <w:pPr>
        <w:keepNext/>
        <w:rPr>
          <w:rFonts w:cs="Arial"/>
        </w:rPr>
      </w:pPr>
    </w:p>
    <w:tbl>
      <w:tblPr>
        <w:tblW w:w="9180"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5" w:type="dxa"/>
        </w:tblCellMar>
        <w:tblLook w:val="0000" w:firstRow="0" w:lastRow="0" w:firstColumn="0" w:lastColumn="0" w:noHBand="0" w:noVBand="0"/>
      </w:tblPr>
      <w:tblGrid>
        <w:gridCol w:w="1391"/>
        <w:gridCol w:w="7789"/>
      </w:tblGrid>
      <w:tr w:rsidR="00E2596B" w:rsidRPr="00482F75" w:rsidTr="008668E7">
        <w:trPr>
          <w:cantSplit/>
        </w:trPr>
        <w:tc>
          <w:tcPr>
            <w:tcW w:w="1391" w:type="dxa"/>
          </w:tcPr>
          <w:p w:rsidR="00E2596B" w:rsidRPr="00482F75" w:rsidRDefault="00E2596B" w:rsidP="004224C1">
            <w:pPr>
              <w:jc w:val="left"/>
              <w:rPr>
                <w:rFonts w:cs="Arial"/>
              </w:rPr>
            </w:pPr>
            <w:r>
              <w:rPr>
                <w:rFonts w:cs="Arial"/>
              </w:rPr>
              <w:t>Title – cover page</w:t>
            </w:r>
          </w:p>
        </w:tc>
        <w:tc>
          <w:tcPr>
            <w:tcW w:w="7789" w:type="dxa"/>
          </w:tcPr>
          <w:p w:rsidR="00E2596B" w:rsidRPr="00482F75" w:rsidRDefault="00E2596B" w:rsidP="004224C1">
            <w:pPr>
              <w:rPr>
                <w:snapToGrid w:val="0"/>
              </w:rPr>
            </w:pPr>
            <w:r>
              <w:rPr>
                <w:snapToGrid w:val="0"/>
              </w:rPr>
              <w:t>To delete “the 1991 Act”</w:t>
            </w:r>
          </w:p>
        </w:tc>
      </w:tr>
      <w:tr w:rsidR="00E2596B" w:rsidRPr="00482F75" w:rsidTr="008668E7">
        <w:trPr>
          <w:cantSplit/>
        </w:trPr>
        <w:tc>
          <w:tcPr>
            <w:tcW w:w="1391" w:type="dxa"/>
          </w:tcPr>
          <w:p w:rsidR="00E2596B" w:rsidRPr="00482F75" w:rsidRDefault="00E2596B" w:rsidP="004224C1">
            <w:pPr>
              <w:jc w:val="left"/>
              <w:rPr>
                <w:rFonts w:cs="Arial"/>
              </w:rPr>
            </w:pPr>
            <w:r>
              <w:rPr>
                <w:rFonts w:cs="Arial"/>
              </w:rPr>
              <w:t xml:space="preserve">Paragraph 6 </w:t>
            </w:r>
          </w:p>
        </w:tc>
        <w:tc>
          <w:tcPr>
            <w:tcW w:w="7789" w:type="dxa"/>
          </w:tcPr>
          <w:p w:rsidR="00E2596B" w:rsidRDefault="00E2596B" w:rsidP="004224C1">
            <w:pPr>
              <w:pStyle w:val="Style1"/>
              <w:tabs>
                <w:tab w:val="clear" w:pos="907"/>
                <w:tab w:val="clear" w:pos="1077"/>
              </w:tabs>
            </w:pPr>
            <w:r>
              <w:t>To replace by:</w:t>
            </w:r>
          </w:p>
          <w:p w:rsidR="00E2596B" w:rsidRPr="00664961" w:rsidRDefault="00E2596B" w:rsidP="004224C1">
            <w:pPr>
              <w:pStyle w:val="Style1"/>
              <w:tabs>
                <w:tab w:val="clear" w:pos="907"/>
                <w:tab w:val="clear" w:pos="1077"/>
              </w:tabs>
            </w:pPr>
          </w:p>
          <w:p w:rsidR="00E2596B" w:rsidRPr="00B54223" w:rsidRDefault="00E2596B" w:rsidP="004224C1">
            <w:pPr>
              <w:rPr>
                <w:rFonts w:cs="Arial"/>
                <w:sz w:val="24"/>
                <w:szCs w:val="24"/>
              </w:rPr>
            </w:pPr>
            <w:r w:rsidRPr="00664961">
              <w:t xml:space="preserve">6.  </w:t>
            </w:r>
            <w:r w:rsidRPr="00664961">
              <w:rPr>
                <w:rFonts w:cs="Arial"/>
              </w:rPr>
              <w:t>The cancellation of a breeder’s right is different from the surrender or renunciation of the breeder’s right.</w:t>
            </w:r>
            <w:r>
              <w:rPr>
                <w:rFonts w:cs="Arial"/>
                <w:u w:val="single"/>
              </w:rPr>
              <w:t xml:space="preserve">  </w:t>
            </w:r>
            <w:r w:rsidRPr="00664961">
              <w:rPr>
                <w:rFonts w:cs="Arial"/>
                <w:highlight w:val="lightGray"/>
                <w:u w:val="single"/>
              </w:rPr>
              <w:t xml:space="preserve">Cancellation of a breeder’s right is a matter for the competent authority </w:t>
            </w:r>
            <w:r>
              <w:rPr>
                <w:rFonts w:cs="Arial"/>
                <w:highlight w:val="lightGray"/>
                <w:u w:val="single"/>
              </w:rPr>
              <w:t xml:space="preserve">to decide in accordance with the </w:t>
            </w:r>
            <w:r w:rsidRPr="00664961">
              <w:rPr>
                <w:rFonts w:cs="Arial"/>
                <w:highlight w:val="lightGray"/>
                <w:u w:val="single"/>
              </w:rPr>
              <w:t>UPOV Convention</w:t>
            </w:r>
            <w:r>
              <w:rPr>
                <w:rFonts w:cs="Arial"/>
                <w:highlight w:val="lightGray"/>
                <w:u w:val="single"/>
              </w:rPr>
              <w:t xml:space="preserve"> (see paragraph 3)</w:t>
            </w:r>
            <w:r w:rsidRPr="00664961">
              <w:rPr>
                <w:rFonts w:cs="Arial"/>
                <w:highlight w:val="lightGray"/>
                <w:u w:val="single"/>
              </w:rPr>
              <w:t xml:space="preserve">.  </w:t>
            </w:r>
            <w:r>
              <w:rPr>
                <w:rFonts w:cs="Arial"/>
                <w:highlight w:val="lightGray"/>
                <w:u w:val="single"/>
              </w:rPr>
              <w:t>By </w:t>
            </w:r>
            <w:r w:rsidRPr="00664961">
              <w:rPr>
                <w:rFonts w:cs="Arial"/>
                <w:highlight w:val="lightGray"/>
                <w:u w:val="single"/>
              </w:rPr>
              <w:t xml:space="preserve">contrast, </w:t>
            </w:r>
            <w:r w:rsidRPr="00664961">
              <w:rPr>
                <w:rFonts w:cs="Arial"/>
              </w:rPr>
              <w:t xml:space="preserve">surrender or renunciation of the breeder’s right is a unilateral decision of the </w:t>
            </w:r>
            <w:r w:rsidRPr="00664961">
              <w:t xml:space="preserve">holder of the breeder’s right that is not linked to compliance with any obligation under the UPOV Convention.  The holder of the breeder’s right </w:t>
            </w:r>
            <w:r w:rsidRPr="00D10ED9">
              <w:rPr>
                <w:rFonts w:cs="Arial"/>
                <w:strike/>
                <w:highlight w:val="lightGray"/>
              </w:rPr>
              <w:t>decides</w:t>
            </w:r>
            <w:r w:rsidRPr="00664961">
              <w:rPr>
                <w:rFonts w:cs="Arial"/>
              </w:rPr>
              <w:t xml:space="preserve"> </w:t>
            </w:r>
            <w:r w:rsidRPr="00D10ED9">
              <w:rPr>
                <w:rFonts w:cs="Arial"/>
                <w:highlight w:val="lightGray"/>
                <w:u w:val="single"/>
              </w:rPr>
              <w:t>can decide</w:t>
            </w:r>
            <w:r>
              <w:rPr>
                <w:rFonts w:cs="Arial"/>
              </w:rPr>
              <w:t xml:space="preserve"> </w:t>
            </w:r>
            <w:r w:rsidRPr="00664961">
              <w:rPr>
                <w:rFonts w:cs="Arial"/>
              </w:rPr>
              <w:t xml:space="preserve">on an early termination </w:t>
            </w:r>
            <w:r w:rsidRPr="00664961">
              <w:t>by giving notice to the authority granting breeders’ rights</w:t>
            </w:r>
            <w:r>
              <w:t xml:space="preserve">.  </w:t>
            </w:r>
            <w:r w:rsidRPr="00D10ED9">
              <w:rPr>
                <w:highlight w:val="lightGray"/>
                <w:u w:val="single"/>
              </w:rPr>
              <w:t>T</w:t>
            </w:r>
            <w:r w:rsidRPr="00D10ED9">
              <w:rPr>
                <w:szCs w:val="18"/>
                <w:highlight w:val="lightGray"/>
                <w:u w:val="single"/>
              </w:rPr>
              <w:t>h</w:t>
            </w:r>
            <w:r w:rsidRPr="00664961">
              <w:rPr>
                <w:szCs w:val="18"/>
                <w:highlight w:val="lightGray"/>
                <w:u w:val="single"/>
              </w:rPr>
              <w:t>e competent authority publish</w:t>
            </w:r>
            <w:r>
              <w:rPr>
                <w:szCs w:val="18"/>
                <w:highlight w:val="lightGray"/>
                <w:u w:val="single"/>
              </w:rPr>
              <w:t>es</w:t>
            </w:r>
            <w:r w:rsidRPr="00664961">
              <w:rPr>
                <w:szCs w:val="18"/>
                <w:highlight w:val="lightGray"/>
                <w:u w:val="single"/>
              </w:rPr>
              <w:t xml:space="preserve"> the termination of the breeder’s right</w:t>
            </w:r>
            <w:r w:rsidRPr="00664961">
              <w:rPr>
                <w:szCs w:val="18"/>
                <w:highlight w:val="lightGray"/>
              </w:rPr>
              <w:t>.</w:t>
            </w:r>
            <w:r>
              <w:rPr>
                <w:szCs w:val="18"/>
              </w:rPr>
              <w:t xml:space="preserve">  </w:t>
            </w:r>
          </w:p>
        </w:tc>
      </w:tr>
      <w:tr w:rsidR="00E2596B" w:rsidRPr="00482F75" w:rsidTr="008668E7">
        <w:trPr>
          <w:cantSplit/>
        </w:trPr>
        <w:tc>
          <w:tcPr>
            <w:tcW w:w="1391" w:type="dxa"/>
          </w:tcPr>
          <w:p w:rsidR="00E2596B" w:rsidRPr="00485444" w:rsidRDefault="00E2596B" w:rsidP="004224C1">
            <w:pPr>
              <w:jc w:val="left"/>
              <w:rPr>
                <w:rFonts w:cs="Arial"/>
                <w:i/>
              </w:rPr>
            </w:pPr>
            <w:r w:rsidRPr="00485444">
              <w:rPr>
                <w:rFonts w:cs="Arial"/>
                <w:i/>
              </w:rPr>
              <w:lastRenderedPageBreak/>
              <w:t xml:space="preserve">Verifying the maintenance of the variety </w:t>
            </w:r>
          </w:p>
        </w:tc>
        <w:tc>
          <w:tcPr>
            <w:tcW w:w="7789" w:type="dxa"/>
          </w:tcPr>
          <w:p w:rsidR="00E2596B" w:rsidRDefault="00E2596B" w:rsidP="004224C1">
            <w:pPr>
              <w:rPr>
                <w:rFonts w:cs="Arial"/>
              </w:rPr>
            </w:pPr>
            <w:r>
              <w:rPr>
                <w:rFonts w:cs="Arial"/>
              </w:rPr>
              <w:t>The CAJ-AG noted that the development of guidance on section “</w:t>
            </w:r>
            <w:r w:rsidRPr="00485444">
              <w:rPr>
                <w:rFonts w:cs="Arial"/>
                <w:i/>
              </w:rPr>
              <w:t>Verifying the maintenance of the variety</w:t>
            </w:r>
            <w:r>
              <w:rPr>
                <w:rFonts w:cs="Arial"/>
                <w:i/>
              </w:rPr>
              <w:t>”</w:t>
            </w:r>
            <w:r>
              <w:rPr>
                <w:rFonts w:cs="Arial"/>
              </w:rPr>
              <w:t xml:space="preserve"> would need to wait for the consideration by the Technical Committee of relevant matters on variety descriptions, as explained in the Note in document </w:t>
            </w:r>
            <w:r w:rsidRPr="0022331F">
              <w:rPr>
                <w:rFonts w:cs="Arial"/>
              </w:rPr>
              <w:t>UPOV/EXN/CAN/2 Draft 2</w:t>
            </w:r>
            <w:r>
              <w:rPr>
                <w:rFonts w:cs="Arial"/>
              </w:rPr>
              <w:t xml:space="preserve"> (reproduced below)</w:t>
            </w:r>
          </w:p>
          <w:p w:rsidR="00E2596B" w:rsidRDefault="00E2596B" w:rsidP="004224C1">
            <w:pPr>
              <w:rPr>
                <w:rFonts w:cs="Arial"/>
              </w:rPr>
            </w:pPr>
          </w:p>
          <w:p w:rsidR="00E2596B" w:rsidRPr="0022331F" w:rsidRDefault="00E2596B" w:rsidP="004224C1">
            <w:pPr>
              <w:rPr>
                <w:rFonts w:cs="Arial"/>
              </w:rPr>
            </w:pPr>
            <w:r>
              <w:rPr>
                <w:rFonts w:cs="Arial"/>
              </w:rPr>
              <w:t xml:space="preserve">Note: </w:t>
            </w:r>
            <w:r w:rsidRPr="0022331F">
              <w:rPr>
                <w:rFonts w:cs="Arial"/>
              </w:rPr>
              <w:t>The CAJ-AG, at its eighth session, held in Geneva on October 21 and 25, 2013, agreed to the development of guidance on the following, which it proposed that the CAJ should invite the Technical Committee (TC) to consider in the first instance (see document CAJ-AG/13/8/10 “Report”, paragraph 73):</w:t>
            </w:r>
          </w:p>
          <w:p w:rsidR="00E2596B" w:rsidRPr="0022331F" w:rsidRDefault="00E2596B" w:rsidP="004224C1">
            <w:pPr>
              <w:rPr>
                <w:rFonts w:cs="Arial"/>
              </w:rPr>
            </w:pPr>
          </w:p>
          <w:p w:rsidR="00E2596B" w:rsidRPr="0022331F" w:rsidRDefault="00E2596B" w:rsidP="004224C1">
            <w:pPr>
              <w:rPr>
                <w:rFonts w:cs="Arial"/>
              </w:rPr>
            </w:pPr>
            <w:r w:rsidRPr="0022331F">
              <w:rPr>
                <w:rFonts w:cs="Arial"/>
              </w:rPr>
              <w:tab/>
              <w:t>(a)</w:t>
            </w:r>
            <w:r w:rsidRPr="0022331F">
              <w:rPr>
                <w:rFonts w:cs="Arial"/>
              </w:rPr>
              <w:tab/>
              <w:t xml:space="preserve">use of information, documents or material provided by the breeder for verifying the maintenance of the variety, as set out in paragraph 15 of document CAJ-AG/13/8/4 “Matters concerning cancellation of the breeder's right”, with an explanation that the information, documents or material could be maintained in a different country;  and  </w:t>
            </w:r>
          </w:p>
          <w:p w:rsidR="00E2596B" w:rsidRPr="0022331F" w:rsidRDefault="00E2596B" w:rsidP="004224C1">
            <w:pPr>
              <w:rPr>
                <w:rFonts w:cs="Arial"/>
              </w:rPr>
            </w:pPr>
          </w:p>
          <w:p w:rsidR="00E2596B" w:rsidRPr="0022331F" w:rsidRDefault="00E2596B" w:rsidP="004224C1">
            <w:pPr>
              <w:rPr>
                <w:rFonts w:cs="Arial"/>
              </w:rPr>
            </w:pPr>
            <w:r w:rsidRPr="0022331F">
              <w:rPr>
                <w:rFonts w:cs="Arial"/>
              </w:rPr>
              <w:tab/>
              <w:t>(b)</w:t>
            </w:r>
            <w:r w:rsidRPr="0022331F">
              <w:rPr>
                <w:rFonts w:cs="Arial"/>
              </w:rPr>
              <w:tab/>
              <w:t>use of Test Guidelines for verifying the maintenance of the variety that were different from the Test Guidelines used for the examination of Distinctness, Uniformity and Stability (“DUS”).</w:t>
            </w:r>
          </w:p>
          <w:p w:rsidR="00E2596B" w:rsidRPr="0022331F" w:rsidRDefault="00E2596B" w:rsidP="004224C1">
            <w:pPr>
              <w:rPr>
                <w:rFonts w:cs="Arial"/>
              </w:rPr>
            </w:pPr>
          </w:p>
          <w:p w:rsidR="00E2596B" w:rsidRPr="00482F75" w:rsidRDefault="00E2596B" w:rsidP="004224C1">
            <w:pPr>
              <w:rPr>
                <w:rFonts w:cs="Arial"/>
              </w:rPr>
            </w:pPr>
            <w:r w:rsidRPr="0022331F">
              <w:rPr>
                <w:rFonts w:cs="Arial"/>
              </w:rPr>
              <w:t>The CAJ, at its sixty-ninth session, held in Geneva on April 10, 2014, in accordance with the proposal by the CAJ-AG, agreed to invite the TC to consider the development of guidance on certain matters concerning variety descriptions, as set out in document CAJ/69/2, paragraphs 27 and 28 (see document CAJ/69/13 “Report”, paragraph19).</w:t>
            </w:r>
          </w:p>
        </w:tc>
      </w:tr>
    </w:tbl>
    <w:p w:rsidR="00E2596B" w:rsidRDefault="00E2596B" w:rsidP="00E2596B"/>
    <w:p w:rsidR="00565994" w:rsidRDefault="00565994" w:rsidP="00565994">
      <w:r w:rsidRPr="00653C88">
        <w:rPr>
          <w:rFonts w:cs="Arial"/>
        </w:rPr>
        <w:fldChar w:fldCharType="begin"/>
      </w:r>
      <w:r w:rsidRPr="00653C88">
        <w:rPr>
          <w:rFonts w:cs="Arial"/>
        </w:rPr>
        <w:instrText xml:space="preserve"> AUTONUM  </w:instrText>
      </w:r>
      <w:r w:rsidRPr="00653C88">
        <w:rPr>
          <w:rFonts w:cs="Arial"/>
        </w:rPr>
        <w:fldChar w:fldCharType="end"/>
      </w:r>
      <w:r w:rsidRPr="00653C88">
        <w:rPr>
          <w:rFonts w:cs="Arial"/>
        </w:rPr>
        <w:tab/>
      </w:r>
      <w:r w:rsidR="006D15FD" w:rsidRPr="00653C88">
        <w:rPr>
          <w:rFonts w:cs="Arial"/>
        </w:rPr>
        <w:t>T</w:t>
      </w:r>
      <w:r w:rsidRPr="00653C88">
        <w:rPr>
          <w:rFonts w:cs="Arial"/>
        </w:rPr>
        <w:t>he CAJ, at its sixty-ninth session</w:t>
      </w:r>
      <w:r w:rsidR="00653C88" w:rsidRPr="00653C88">
        <w:rPr>
          <w:rStyle w:val="FootnoteReference"/>
          <w:rFonts w:cs="Arial"/>
        </w:rPr>
        <w:footnoteReference w:id="19"/>
      </w:r>
      <w:r w:rsidRPr="00653C88">
        <w:rPr>
          <w:rFonts w:cs="Arial"/>
        </w:rPr>
        <w:t>, in accordance with the proposal by the CAJ-AG,</w:t>
      </w:r>
      <w:r w:rsidR="00A6466B" w:rsidRPr="00653C88">
        <w:rPr>
          <w:rFonts w:cs="Arial"/>
        </w:rPr>
        <w:t xml:space="preserve"> at </w:t>
      </w:r>
      <w:r w:rsidR="006D15FD" w:rsidRPr="00653C88">
        <w:rPr>
          <w:rFonts w:cs="Arial"/>
        </w:rPr>
        <w:t>its</w:t>
      </w:r>
      <w:r w:rsidR="00A6466B" w:rsidRPr="00653C88">
        <w:rPr>
          <w:rFonts w:cs="Arial"/>
        </w:rPr>
        <w:t xml:space="preserve"> eighth</w:t>
      </w:r>
      <w:r w:rsidR="00A6466B">
        <w:rPr>
          <w:rFonts w:cs="Arial"/>
        </w:rPr>
        <w:t xml:space="preserve"> session,</w:t>
      </w:r>
      <w:r w:rsidRPr="0022331F">
        <w:rPr>
          <w:rFonts w:cs="Arial"/>
        </w:rPr>
        <w:t xml:space="preserve"> agreed to invite the TC to consider the development of guidance on certain matters concerning variety descriptions</w:t>
      </w:r>
      <w:r>
        <w:rPr>
          <w:rFonts w:cs="Arial"/>
        </w:rPr>
        <w:t>, as follows:</w:t>
      </w:r>
      <w:r w:rsidR="00A6466B">
        <w:rPr>
          <w:rStyle w:val="FootnoteReference"/>
          <w:rFonts w:cs="Arial"/>
        </w:rPr>
        <w:footnoteReference w:id="20"/>
      </w:r>
      <w:r>
        <w:rPr>
          <w:rFonts w:cs="Arial"/>
        </w:rPr>
        <w:t xml:space="preserve"> </w:t>
      </w:r>
    </w:p>
    <w:p w:rsidR="00565994" w:rsidRDefault="00565994" w:rsidP="00565994">
      <w:r>
        <w:tab/>
      </w:r>
    </w:p>
    <w:p w:rsidR="00565994" w:rsidRPr="004C152A" w:rsidRDefault="00653C88" w:rsidP="00A6466B">
      <w:pPr>
        <w:ind w:left="567" w:right="567"/>
        <w:rPr>
          <w:rFonts w:cs="Arial"/>
          <w:sz w:val="18"/>
          <w:szCs w:val="18"/>
        </w:rPr>
      </w:pPr>
      <w:r>
        <w:rPr>
          <w:sz w:val="18"/>
          <w:szCs w:val="18"/>
        </w:rPr>
        <w:t>“27.</w:t>
      </w:r>
      <w:r>
        <w:rPr>
          <w:sz w:val="18"/>
          <w:szCs w:val="18"/>
        </w:rPr>
        <w:tab/>
      </w:r>
      <w:r w:rsidR="00565994" w:rsidRPr="004C152A">
        <w:rPr>
          <w:rFonts w:cs="Arial"/>
          <w:sz w:val="18"/>
          <w:szCs w:val="18"/>
        </w:rPr>
        <w:t xml:space="preserve">The CAJ-AG, at its eighth session, agreed to the development of guidance on the following, which it proposed that the CAJ should invite the Technical Committee (TC) to consider in the first instance </w:t>
      </w:r>
      <w:r w:rsidR="00565994" w:rsidRPr="004C152A">
        <w:rPr>
          <w:sz w:val="18"/>
          <w:szCs w:val="18"/>
        </w:rPr>
        <w:t>(see document CAJ-AG/13/8/10 “Report”, paragraph 73)</w:t>
      </w:r>
      <w:r w:rsidR="00565994" w:rsidRPr="004C152A">
        <w:rPr>
          <w:rFonts w:cs="Arial"/>
          <w:sz w:val="18"/>
          <w:szCs w:val="18"/>
        </w:rPr>
        <w:t>:</w:t>
      </w:r>
    </w:p>
    <w:p w:rsidR="00565994" w:rsidRPr="004C152A" w:rsidRDefault="00565994" w:rsidP="00A6466B">
      <w:pPr>
        <w:ind w:left="567" w:right="567"/>
        <w:rPr>
          <w:rFonts w:cs="Arial"/>
          <w:sz w:val="18"/>
          <w:szCs w:val="18"/>
        </w:rPr>
      </w:pPr>
    </w:p>
    <w:p w:rsidR="00565994" w:rsidRPr="004C152A" w:rsidRDefault="00565994" w:rsidP="00A6466B">
      <w:pPr>
        <w:ind w:left="567" w:right="567"/>
        <w:rPr>
          <w:rFonts w:cs="Arial"/>
          <w:sz w:val="18"/>
          <w:szCs w:val="18"/>
        </w:rPr>
      </w:pPr>
      <w:r w:rsidRPr="004C152A">
        <w:rPr>
          <w:rFonts w:cs="Arial"/>
          <w:sz w:val="18"/>
          <w:szCs w:val="18"/>
        </w:rPr>
        <w:tab/>
        <w:t>(a)</w:t>
      </w:r>
      <w:r w:rsidRPr="004C152A">
        <w:rPr>
          <w:rFonts w:cs="Arial"/>
          <w:sz w:val="18"/>
          <w:szCs w:val="18"/>
        </w:rPr>
        <w:tab/>
        <w:t>use of information, documents or material provided by the breeder for verifying the maintenance of the variety, as set out in paragraph 15 of document CAJ-AG/13/8/4 “Matters concerning cancellation of the breeder's right”, with an explanation that the information, documents or material could be maintained in a different country;  and</w:t>
      </w:r>
    </w:p>
    <w:p w:rsidR="00565994" w:rsidRPr="004C152A" w:rsidRDefault="00565994" w:rsidP="00A6466B">
      <w:pPr>
        <w:tabs>
          <w:tab w:val="left" w:pos="7500"/>
        </w:tabs>
        <w:ind w:left="567" w:right="567"/>
        <w:rPr>
          <w:rFonts w:cs="Arial"/>
          <w:sz w:val="18"/>
          <w:szCs w:val="18"/>
        </w:rPr>
      </w:pPr>
    </w:p>
    <w:p w:rsidR="00565994" w:rsidRPr="004C152A" w:rsidRDefault="00565994" w:rsidP="00A6466B">
      <w:pPr>
        <w:ind w:left="567" w:right="567"/>
        <w:rPr>
          <w:rFonts w:cs="Arial"/>
          <w:sz w:val="18"/>
          <w:szCs w:val="18"/>
        </w:rPr>
      </w:pPr>
      <w:r w:rsidRPr="004C152A">
        <w:rPr>
          <w:rFonts w:cs="Arial"/>
          <w:sz w:val="18"/>
          <w:szCs w:val="18"/>
        </w:rPr>
        <w:tab/>
        <w:t>(b)</w:t>
      </w:r>
      <w:r w:rsidRPr="004C152A">
        <w:rPr>
          <w:rFonts w:cs="Arial"/>
          <w:sz w:val="18"/>
          <w:szCs w:val="18"/>
        </w:rPr>
        <w:tab/>
        <w:t>use of Test Guidelines for verifying the maintenance of the variety that were different from the Test Guidelines used for the examination of Distinctness, Uniformity and Stability (“DUS”).</w:t>
      </w:r>
    </w:p>
    <w:p w:rsidR="00565994" w:rsidRPr="004C152A" w:rsidRDefault="00565994" w:rsidP="00A6466B">
      <w:pPr>
        <w:ind w:left="567" w:right="567"/>
        <w:rPr>
          <w:sz w:val="18"/>
          <w:szCs w:val="18"/>
        </w:rPr>
      </w:pPr>
    </w:p>
    <w:p w:rsidR="00565994" w:rsidRPr="004C152A" w:rsidRDefault="00653C88" w:rsidP="00A6466B">
      <w:pPr>
        <w:ind w:left="567" w:right="567"/>
        <w:rPr>
          <w:rFonts w:cs="Arial"/>
          <w:sz w:val="18"/>
          <w:szCs w:val="18"/>
        </w:rPr>
      </w:pPr>
      <w:r>
        <w:rPr>
          <w:rFonts w:cs="Arial"/>
          <w:sz w:val="18"/>
          <w:szCs w:val="18"/>
        </w:rPr>
        <w:t>“28.</w:t>
      </w:r>
      <w:r>
        <w:rPr>
          <w:rFonts w:cs="Arial"/>
          <w:sz w:val="18"/>
          <w:szCs w:val="18"/>
        </w:rPr>
        <w:tab/>
      </w:r>
      <w:r w:rsidR="00565994" w:rsidRPr="004C152A">
        <w:rPr>
          <w:rFonts w:cs="Arial"/>
          <w:sz w:val="18"/>
          <w:szCs w:val="18"/>
        </w:rPr>
        <w:t xml:space="preserve">The CAJ-AG, at its eighth session, agreed to propose to the CAJ that the following matters in document CAJ-AG/13/8/7, paragraph 4, should be considered by the TC in the first instance </w:t>
      </w:r>
      <w:r w:rsidR="00565994" w:rsidRPr="004C152A">
        <w:rPr>
          <w:sz w:val="18"/>
          <w:szCs w:val="18"/>
        </w:rPr>
        <w:t>(see document CAJ-AG/13/8/10 “Report”, paragraph 74)</w:t>
      </w:r>
      <w:r w:rsidR="00565994" w:rsidRPr="004C152A">
        <w:rPr>
          <w:rFonts w:cs="Arial"/>
          <w:sz w:val="18"/>
          <w:szCs w:val="18"/>
        </w:rPr>
        <w:t>:</w:t>
      </w:r>
    </w:p>
    <w:p w:rsidR="00565994" w:rsidRPr="004C152A" w:rsidRDefault="00565994" w:rsidP="00A6466B">
      <w:pPr>
        <w:ind w:left="567" w:right="567"/>
        <w:rPr>
          <w:rFonts w:cs="Arial"/>
          <w:sz w:val="18"/>
          <w:szCs w:val="18"/>
        </w:rPr>
      </w:pPr>
    </w:p>
    <w:p w:rsidR="00565994" w:rsidRPr="004C152A" w:rsidRDefault="00565994" w:rsidP="00A6466B">
      <w:pPr>
        <w:ind w:left="567" w:right="567"/>
        <w:rPr>
          <w:sz w:val="18"/>
          <w:szCs w:val="18"/>
        </w:rPr>
      </w:pPr>
      <w:r w:rsidRPr="004C152A">
        <w:rPr>
          <w:sz w:val="18"/>
          <w:szCs w:val="18"/>
        </w:rPr>
        <w:t>“[…]</w:t>
      </w:r>
    </w:p>
    <w:p w:rsidR="00565994" w:rsidRPr="004C152A" w:rsidRDefault="00565994" w:rsidP="00A6466B">
      <w:pPr>
        <w:ind w:left="567" w:right="567"/>
        <w:rPr>
          <w:sz w:val="18"/>
          <w:szCs w:val="18"/>
        </w:rPr>
      </w:pPr>
    </w:p>
    <w:p w:rsidR="00565994" w:rsidRPr="004C152A" w:rsidRDefault="00565994" w:rsidP="00A6466B">
      <w:pPr>
        <w:ind w:left="567" w:right="567"/>
        <w:rPr>
          <w:sz w:val="18"/>
          <w:szCs w:val="18"/>
        </w:rPr>
      </w:pPr>
      <w:r w:rsidRPr="004C152A">
        <w:rPr>
          <w:sz w:val="18"/>
          <w:szCs w:val="18"/>
        </w:rPr>
        <w:t>“(b)</w:t>
      </w:r>
      <w:r w:rsidRPr="004C152A">
        <w:rPr>
          <w:sz w:val="18"/>
          <w:szCs w:val="18"/>
        </w:rPr>
        <w:tab/>
        <w:t>the status of the original variety description in relation to the verification of the conformity of plant material to a protected variety for the purposes of:</w:t>
      </w:r>
    </w:p>
    <w:p w:rsidR="00565994" w:rsidRPr="004C152A" w:rsidRDefault="00565994" w:rsidP="00A6466B">
      <w:pPr>
        <w:ind w:left="567" w:right="567"/>
        <w:rPr>
          <w:sz w:val="18"/>
          <w:szCs w:val="18"/>
        </w:rPr>
      </w:pPr>
    </w:p>
    <w:p w:rsidR="00565994" w:rsidRPr="004C152A" w:rsidRDefault="00565994" w:rsidP="00A6466B">
      <w:pPr>
        <w:ind w:left="567" w:right="567"/>
        <w:rPr>
          <w:sz w:val="18"/>
          <w:szCs w:val="18"/>
        </w:rPr>
      </w:pPr>
      <w:r w:rsidRPr="004C152A">
        <w:rPr>
          <w:sz w:val="18"/>
          <w:szCs w:val="18"/>
        </w:rPr>
        <w:t>“(i)</w:t>
      </w:r>
      <w:r w:rsidRPr="004C152A">
        <w:rPr>
          <w:sz w:val="18"/>
          <w:szCs w:val="18"/>
        </w:rPr>
        <w:tab/>
        <w:t>verifying the maintenance of the variety (Article 22 of the 1991 Act, Article 10 of the 1978 Act);</w:t>
      </w:r>
    </w:p>
    <w:p w:rsidR="00565994" w:rsidRPr="004C152A" w:rsidRDefault="00565994" w:rsidP="00A6466B">
      <w:pPr>
        <w:ind w:left="567" w:right="567"/>
        <w:rPr>
          <w:sz w:val="18"/>
          <w:szCs w:val="18"/>
        </w:rPr>
      </w:pPr>
    </w:p>
    <w:p w:rsidR="00565994" w:rsidRPr="004C152A" w:rsidRDefault="00565994" w:rsidP="00A6466B">
      <w:pPr>
        <w:ind w:left="567" w:right="567"/>
        <w:rPr>
          <w:sz w:val="18"/>
          <w:szCs w:val="18"/>
        </w:rPr>
      </w:pPr>
      <w:r w:rsidRPr="004C152A">
        <w:rPr>
          <w:sz w:val="18"/>
          <w:szCs w:val="18"/>
        </w:rPr>
        <w:t>“(ii)</w:t>
      </w:r>
      <w:r w:rsidRPr="004C152A">
        <w:rPr>
          <w:sz w:val="18"/>
          <w:szCs w:val="18"/>
        </w:rPr>
        <w:tab/>
        <w:t>the examination of distinctness, uniformity and stability (“DUS”) of candidate varieties;  and</w:t>
      </w:r>
    </w:p>
    <w:p w:rsidR="00565994" w:rsidRPr="004C152A" w:rsidRDefault="00565994" w:rsidP="00A6466B">
      <w:pPr>
        <w:ind w:left="567" w:right="567"/>
        <w:rPr>
          <w:sz w:val="18"/>
          <w:szCs w:val="18"/>
        </w:rPr>
      </w:pPr>
    </w:p>
    <w:p w:rsidR="00565994" w:rsidRPr="004C152A" w:rsidRDefault="00565994" w:rsidP="00A6466B">
      <w:pPr>
        <w:spacing w:after="240"/>
        <w:ind w:left="567" w:right="567"/>
        <w:rPr>
          <w:sz w:val="18"/>
          <w:szCs w:val="18"/>
        </w:rPr>
      </w:pPr>
      <w:r w:rsidRPr="004C152A">
        <w:rPr>
          <w:sz w:val="18"/>
          <w:szCs w:val="18"/>
        </w:rPr>
        <w:t>“[…]</w:t>
      </w:r>
    </w:p>
    <w:p w:rsidR="00565994" w:rsidRPr="004C152A" w:rsidRDefault="00565994" w:rsidP="00653C88">
      <w:pPr>
        <w:ind w:left="567" w:right="567"/>
        <w:rPr>
          <w:sz w:val="18"/>
          <w:szCs w:val="18"/>
        </w:rPr>
      </w:pPr>
      <w:r w:rsidRPr="004C152A">
        <w:rPr>
          <w:sz w:val="18"/>
          <w:szCs w:val="18"/>
        </w:rPr>
        <w:t>“(c)</w:t>
      </w:r>
      <w:r w:rsidRPr="004C152A">
        <w:rPr>
          <w:sz w:val="18"/>
          <w:szCs w:val="18"/>
        </w:rPr>
        <w:tab/>
        <w:t>the status of a modified variety description in relation to (a) and (b) above produced, for example, as a result of:</w:t>
      </w:r>
    </w:p>
    <w:p w:rsidR="00565994" w:rsidRPr="004C152A" w:rsidRDefault="00565994" w:rsidP="00653C88">
      <w:pPr>
        <w:ind w:left="567" w:right="567"/>
        <w:rPr>
          <w:sz w:val="18"/>
          <w:szCs w:val="18"/>
        </w:rPr>
      </w:pPr>
    </w:p>
    <w:p w:rsidR="00565994" w:rsidRPr="004C152A" w:rsidRDefault="00565994" w:rsidP="00A6466B">
      <w:pPr>
        <w:spacing w:after="60"/>
        <w:ind w:left="567" w:right="567"/>
        <w:rPr>
          <w:sz w:val="18"/>
          <w:szCs w:val="18"/>
        </w:rPr>
      </w:pPr>
      <w:r w:rsidRPr="004C152A">
        <w:rPr>
          <w:sz w:val="18"/>
          <w:szCs w:val="18"/>
        </w:rPr>
        <w:lastRenderedPageBreak/>
        <w:t>“(i)</w:t>
      </w:r>
      <w:r w:rsidRPr="004C152A">
        <w:rPr>
          <w:sz w:val="18"/>
          <w:szCs w:val="18"/>
        </w:rPr>
        <w:tab/>
        <w:t>a recalibration of the scale in the Test Guidelines (particularly for non</w:t>
      </w:r>
      <w:r w:rsidRPr="004C152A">
        <w:rPr>
          <w:sz w:val="18"/>
          <w:szCs w:val="18"/>
        </w:rPr>
        <w:noBreakHyphen/>
        <w:t>asterisked characteristics</w:t>
      </w:r>
      <w:r w:rsidRPr="004C152A">
        <w:rPr>
          <w:rStyle w:val="FootnoteReference"/>
          <w:sz w:val="18"/>
          <w:szCs w:val="18"/>
        </w:rPr>
        <w:footnoteReference w:id="21"/>
      </w:r>
      <w:r w:rsidRPr="004C152A">
        <w:rPr>
          <w:sz w:val="18"/>
          <w:szCs w:val="18"/>
        </w:rPr>
        <w:t>);</w:t>
      </w:r>
    </w:p>
    <w:p w:rsidR="00565994" w:rsidRPr="004C152A" w:rsidRDefault="00565994" w:rsidP="00A6466B">
      <w:pPr>
        <w:spacing w:after="60"/>
        <w:ind w:left="567" w:right="567"/>
        <w:rPr>
          <w:sz w:val="18"/>
          <w:szCs w:val="18"/>
        </w:rPr>
      </w:pPr>
      <w:r w:rsidRPr="004C152A">
        <w:rPr>
          <w:sz w:val="18"/>
          <w:szCs w:val="18"/>
        </w:rPr>
        <w:t>“(ii)</w:t>
      </w:r>
      <w:r w:rsidRPr="004C152A">
        <w:rPr>
          <w:sz w:val="18"/>
          <w:szCs w:val="18"/>
        </w:rPr>
        <w:tab/>
        <w:t>variation due to the environmental conditions of the years of testing for characteristics that are influenced by the environment;</w:t>
      </w:r>
    </w:p>
    <w:p w:rsidR="00565994" w:rsidRPr="004C152A" w:rsidRDefault="00565994" w:rsidP="00A6466B">
      <w:pPr>
        <w:spacing w:after="60"/>
        <w:ind w:left="567" w:right="567"/>
        <w:rPr>
          <w:sz w:val="18"/>
          <w:szCs w:val="18"/>
        </w:rPr>
      </w:pPr>
      <w:r w:rsidRPr="004C152A">
        <w:rPr>
          <w:sz w:val="18"/>
          <w:szCs w:val="18"/>
        </w:rPr>
        <w:t>“(iii)</w:t>
      </w:r>
      <w:r w:rsidRPr="004C152A">
        <w:rPr>
          <w:sz w:val="18"/>
          <w:szCs w:val="18"/>
        </w:rPr>
        <w:tab/>
        <w:t>variation due to observation by different experts;  or</w:t>
      </w:r>
    </w:p>
    <w:p w:rsidR="00565994" w:rsidRPr="004C152A" w:rsidRDefault="00565994" w:rsidP="00A6466B">
      <w:pPr>
        <w:ind w:left="567" w:right="567"/>
        <w:rPr>
          <w:sz w:val="18"/>
          <w:szCs w:val="18"/>
        </w:rPr>
      </w:pPr>
      <w:r w:rsidRPr="004C152A">
        <w:rPr>
          <w:sz w:val="18"/>
          <w:szCs w:val="18"/>
        </w:rPr>
        <w:t>“(iv)</w:t>
      </w:r>
      <w:r w:rsidRPr="004C152A">
        <w:rPr>
          <w:sz w:val="18"/>
          <w:szCs w:val="18"/>
        </w:rPr>
        <w:tab/>
        <w:t>the use of different versions of scales (e.g. different versions of the RHS Color Chart).</w:t>
      </w:r>
    </w:p>
    <w:p w:rsidR="00565994" w:rsidRPr="004C152A" w:rsidRDefault="00565994" w:rsidP="00A6466B">
      <w:pPr>
        <w:ind w:left="567" w:right="567"/>
        <w:rPr>
          <w:sz w:val="18"/>
          <w:szCs w:val="18"/>
        </w:rPr>
      </w:pPr>
    </w:p>
    <w:p w:rsidR="00565994" w:rsidRPr="004C152A" w:rsidRDefault="00565994" w:rsidP="00A6466B">
      <w:pPr>
        <w:ind w:left="567" w:right="567"/>
        <w:rPr>
          <w:sz w:val="18"/>
          <w:szCs w:val="18"/>
        </w:rPr>
      </w:pPr>
      <w:r w:rsidRPr="004C152A">
        <w:rPr>
          <w:sz w:val="18"/>
          <w:szCs w:val="18"/>
        </w:rPr>
        <w:t>“(d)</w:t>
      </w:r>
      <w:r w:rsidRPr="004C152A">
        <w:rPr>
          <w:sz w:val="18"/>
          <w:szCs w:val="18"/>
        </w:rPr>
        <w:tab/>
        <w:t>situations where an error is subsequently discovered in the initial variety description.”</w:t>
      </w:r>
    </w:p>
    <w:p w:rsidR="00565994" w:rsidRPr="004C152A" w:rsidRDefault="00565994" w:rsidP="00E2596B">
      <w:pPr>
        <w:rPr>
          <w:sz w:val="18"/>
          <w:szCs w:val="18"/>
        </w:rPr>
      </w:pPr>
    </w:p>
    <w:p w:rsidR="00565994" w:rsidRDefault="0050638A" w:rsidP="0050638A">
      <w:pPr>
        <w:pStyle w:val="DecisionParagraphs"/>
      </w:pPr>
      <w:r w:rsidRPr="0050638A">
        <w:fldChar w:fldCharType="begin"/>
      </w:r>
      <w:r w:rsidRPr="0050638A">
        <w:instrText xml:space="preserve"> AUTONUM  </w:instrText>
      </w:r>
      <w:r w:rsidRPr="0050638A">
        <w:fldChar w:fldCharType="end"/>
      </w:r>
      <w:r w:rsidRPr="0050638A">
        <w:tab/>
        <w:t>The CAJ is invited to</w:t>
      </w:r>
      <w:r w:rsidR="00565994">
        <w:t>:</w:t>
      </w:r>
    </w:p>
    <w:p w:rsidR="00565994" w:rsidRDefault="00565994" w:rsidP="0050638A">
      <w:pPr>
        <w:pStyle w:val="DecisionParagraphs"/>
      </w:pPr>
    </w:p>
    <w:p w:rsidR="0050638A" w:rsidRDefault="00565994" w:rsidP="00653C88">
      <w:pPr>
        <w:pStyle w:val="DecisionParagraphs"/>
        <w:tabs>
          <w:tab w:val="left" w:pos="5954"/>
        </w:tabs>
      </w:pPr>
      <w:r>
        <w:tab/>
        <w:t>(a)</w:t>
      </w:r>
      <w:r>
        <w:tab/>
      </w:r>
      <w:r w:rsidR="00AB6E5A" w:rsidRPr="00653C88">
        <w:t>consider document UPOV/EXN/CAN/2</w:t>
      </w:r>
      <w:r w:rsidR="00653C88" w:rsidRPr="00653C88">
        <w:t> Draft </w:t>
      </w:r>
      <w:r w:rsidR="00AB6E5A" w:rsidRPr="00653C88">
        <w:t xml:space="preserve">3 </w:t>
      </w:r>
      <w:r w:rsidR="00AB6E5A">
        <w:t xml:space="preserve">as the basis for </w:t>
      </w:r>
      <w:r w:rsidR="0050638A" w:rsidRPr="0050638A">
        <w:t>the revision of the “Explanatory Notes on Cancellation of the Breeder's Right under the UPOV Convention” (Revision) (document UPOV/EXN/CAN</w:t>
      </w:r>
      <w:r w:rsidR="00653017">
        <w:t>/1</w:t>
      </w:r>
      <w:r w:rsidR="0050638A" w:rsidRPr="0050638A">
        <w:t xml:space="preserve">), </w:t>
      </w:r>
      <w:r w:rsidR="00AB6E5A" w:rsidRPr="00AB6E5A">
        <w:t>by the Council at its forty-ninth ordinary session, to be held on October 29, 2015</w:t>
      </w:r>
      <w:r w:rsidR="00AB6E5A">
        <w:t xml:space="preserve">; </w:t>
      </w:r>
      <w:r>
        <w:t>and</w:t>
      </w:r>
    </w:p>
    <w:p w:rsidR="00565994" w:rsidRDefault="00565994" w:rsidP="00653C88">
      <w:pPr>
        <w:pStyle w:val="DecisionParagraphs"/>
        <w:tabs>
          <w:tab w:val="left" w:pos="5954"/>
        </w:tabs>
      </w:pPr>
    </w:p>
    <w:p w:rsidR="00565994" w:rsidRPr="008F1D00" w:rsidRDefault="00653C88" w:rsidP="00653C88">
      <w:pPr>
        <w:pStyle w:val="DecisionParagraphs"/>
        <w:tabs>
          <w:tab w:val="left" w:pos="5954"/>
        </w:tabs>
      </w:pPr>
      <w:r>
        <w:tab/>
        <w:t>(b)</w:t>
      </w:r>
      <w:r>
        <w:tab/>
      </w:r>
      <w:r w:rsidR="00565994">
        <w:t xml:space="preserve">note that </w:t>
      </w:r>
      <w:r w:rsidR="00565994" w:rsidRPr="00464ABE">
        <w:t>the CAJ</w:t>
      </w:r>
      <w:r w:rsidR="00565994">
        <w:t>,</w:t>
      </w:r>
      <w:r w:rsidR="00A6466B" w:rsidRPr="00A6466B">
        <w:rPr>
          <w:rFonts w:cs="Arial"/>
        </w:rPr>
        <w:t xml:space="preserve"> </w:t>
      </w:r>
      <w:r w:rsidR="00A6466B" w:rsidRPr="0022331F">
        <w:rPr>
          <w:rFonts w:cs="Arial"/>
        </w:rPr>
        <w:t>at its sixty-ninth session</w:t>
      </w:r>
      <w:r w:rsidR="00A6466B">
        <w:rPr>
          <w:rFonts w:cs="Arial"/>
        </w:rPr>
        <w:t xml:space="preserve">, </w:t>
      </w:r>
      <w:r w:rsidR="00565994">
        <w:t xml:space="preserve"> </w:t>
      </w:r>
      <w:r w:rsidR="00A6466B">
        <w:t xml:space="preserve">had </w:t>
      </w:r>
      <w:r w:rsidR="00A6466B" w:rsidRPr="0022331F">
        <w:rPr>
          <w:rFonts w:cs="Arial"/>
        </w:rPr>
        <w:t>agreed to invite the TC to consider the development of guidance on certain matters concerning variety descriptions</w:t>
      </w:r>
      <w:r w:rsidR="00A6466B">
        <w:rPr>
          <w:rFonts w:cs="Arial"/>
        </w:rPr>
        <w:t xml:space="preserve">, </w:t>
      </w:r>
      <w:r w:rsidR="00A6466B" w:rsidRPr="00464ABE">
        <w:t xml:space="preserve">as </w:t>
      </w:r>
      <w:r w:rsidR="00A6466B">
        <w:t xml:space="preserve">set out in </w:t>
      </w:r>
      <w:r w:rsidR="00A6466B" w:rsidRPr="00653C88">
        <w:t>paragraph 26.</w:t>
      </w:r>
    </w:p>
    <w:p w:rsidR="0050638A" w:rsidRDefault="0050638A" w:rsidP="0050638A"/>
    <w:p w:rsidR="008A1D4E" w:rsidRDefault="008A1D4E" w:rsidP="00E2596B"/>
    <w:p w:rsidR="003B2467" w:rsidRPr="00184EDD" w:rsidRDefault="00072AD8" w:rsidP="00E831EC">
      <w:pPr>
        <w:pStyle w:val="Heading2"/>
      </w:pPr>
      <w:bookmarkStart w:id="12" w:name="_Toc413059223"/>
      <w:r w:rsidRPr="00016155">
        <w:t>Explanatory Notes on the Nullity of the Breeder's Right under the UPOV Convention (Revision) (document UPOV/EXN/NUL/2 Draft 3)</w:t>
      </w:r>
      <w:bookmarkEnd w:id="12"/>
    </w:p>
    <w:p w:rsidR="003B2467" w:rsidRDefault="003B2467" w:rsidP="00827F80"/>
    <w:p w:rsidR="004967C5" w:rsidRDefault="004967C5" w:rsidP="004967C5">
      <w:pPr>
        <w:rPr>
          <w:rFonts w:cs="Arial"/>
          <w:szCs w:val="26"/>
        </w:rPr>
      </w:pPr>
      <w:r>
        <w:fldChar w:fldCharType="begin"/>
      </w:r>
      <w:r>
        <w:instrText xml:space="preserve"> AUTONUM  </w:instrText>
      </w:r>
      <w:r>
        <w:fldChar w:fldCharType="end"/>
      </w:r>
      <w:r>
        <w:tab/>
      </w:r>
      <w:r w:rsidRPr="00131904">
        <w:rPr>
          <w:rFonts w:cs="Arial"/>
        </w:rPr>
        <w:t>The CAJ­AG</w:t>
      </w:r>
      <w:r w:rsidRPr="00131904">
        <w:rPr>
          <w:rStyle w:val="FootnoteReference"/>
          <w:rFonts w:cs="Arial"/>
        </w:rPr>
        <w:footnoteReference w:id="22"/>
      </w:r>
      <w:r w:rsidRPr="00131904">
        <w:rPr>
          <w:rFonts w:cs="Arial"/>
        </w:rPr>
        <w:t xml:space="preserve"> considered document </w:t>
      </w:r>
      <w:r w:rsidR="00FD12E1">
        <w:t xml:space="preserve">UPOV/EXN/NUL/2 </w:t>
      </w:r>
      <w:r w:rsidRPr="00131904">
        <w:t xml:space="preserve">Draft 2 </w:t>
      </w:r>
      <w:r w:rsidRPr="00131904">
        <w:rPr>
          <w:rFonts w:cs="Arial"/>
        </w:rPr>
        <w:t xml:space="preserve">and the </w:t>
      </w:r>
      <w:r w:rsidRPr="00131904">
        <w:t xml:space="preserve">views expressed by </w:t>
      </w:r>
      <w:r w:rsidRPr="00131904">
        <w:rPr>
          <w:rFonts w:cs="Arial"/>
          <w:szCs w:val="26"/>
        </w:rPr>
        <w:t>ESA.</w:t>
      </w:r>
      <w:r w:rsidRPr="00131904">
        <w:rPr>
          <w:rStyle w:val="FootnoteReference"/>
          <w:rFonts w:cs="Arial"/>
          <w:szCs w:val="26"/>
        </w:rPr>
        <w:footnoteReference w:id="23"/>
      </w:r>
    </w:p>
    <w:p w:rsidR="004967C5" w:rsidRDefault="004967C5" w:rsidP="004967C5"/>
    <w:p w:rsidR="004967C5" w:rsidRDefault="004967C5" w:rsidP="004967C5">
      <w:pPr>
        <w:keepNext/>
        <w:rPr>
          <w:rFonts w:cs="Arial"/>
        </w:rPr>
      </w:pPr>
      <w:r>
        <w:fldChar w:fldCharType="begin"/>
      </w:r>
      <w:r>
        <w:instrText xml:space="preserve"> AUTONUM  </w:instrText>
      </w:r>
      <w:r>
        <w:fldChar w:fldCharType="end"/>
      </w:r>
      <w:r>
        <w:tab/>
      </w:r>
      <w:r w:rsidRPr="0022331F">
        <w:rPr>
          <w:rFonts w:cs="Arial"/>
        </w:rPr>
        <w:t xml:space="preserve">The CAJ­AG agreed the following changes to document </w:t>
      </w:r>
      <w:r w:rsidRPr="0022331F">
        <w:t>UPOV/EXN/NUL/2 Draft 2</w:t>
      </w:r>
      <w:r w:rsidRPr="0022331F">
        <w:rPr>
          <w:rFonts w:cs="Arial"/>
        </w:rPr>
        <w:t>:</w:t>
      </w:r>
    </w:p>
    <w:p w:rsidR="004967C5" w:rsidRDefault="004967C5" w:rsidP="004967C5">
      <w:pPr>
        <w:keepNext/>
        <w:rPr>
          <w:rFonts w:cs="Arial"/>
        </w:rPr>
      </w:pPr>
    </w:p>
    <w:tbl>
      <w:tblPr>
        <w:tblW w:w="9180"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113" w:type="dxa"/>
        </w:tblCellMar>
        <w:tblLook w:val="0000" w:firstRow="0" w:lastRow="0" w:firstColumn="0" w:lastColumn="0" w:noHBand="0" w:noVBand="0"/>
      </w:tblPr>
      <w:tblGrid>
        <w:gridCol w:w="1391"/>
        <w:gridCol w:w="7789"/>
      </w:tblGrid>
      <w:tr w:rsidR="004967C5" w:rsidRPr="00482F75" w:rsidTr="004224C1">
        <w:trPr>
          <w:cantSplit/>
        </w:trPr>
        <w:tc>
          <w:tcPr>
            <w:tcW w:w="1391" w:type="dxa"/>
          </w:tcPr>
          <w:p w:rsidR="004967C5" w:rsidRPr="00482F75" w:rsidRDefault="004967C5" w:rsidP="001C7E73">
            <w:pPr>
              <w:spacing w:before="40" w:after="40"/>
              <w:rPr>
                <w:rFonts w:cs="Arial"/>
              </w:rPr>
            </w:pPr>
            <w:r>
              <w:rPr>
                <w:rFonts w:cs="Arial"/>
              </w:rPr>
              <w:t>Paragraph 9</w:t>
            </w:r>
          </w:p>
        </w:tc>
        <w:tc>
          <w:tcPr>
            <w:tcW w:w="7789" w:type="dxa"/>
          </w:tcPr>
          <w:p w:rsidR="004967C5" w:rsidRPr="00BE1F8B" w:rsidRDefault="004967C5" w:rsidP="004224C1">
            <w:pPr>
              <w:rPr>
                <w:rFonts w:cs="Arial"/>
                <w:u w:val="single"/>
              </w:rPr>
            </w:pPr>
            <w:r>
              <w:rPr>
                <w:highlight w:val="lightGray"/>
                <w:u w:val="single"/>
              </w:rPr>
              <w:t>9.  T</w:t>
            </w:r>
            <w:r w:rsidRPr="009754C1">
              <w:rPr>
                <w:highlight w:val="lightGray"/>
                <w:u w:val="single"/>
              </w:rPr>
              <w:t xml:space="preserve">he decision to declare </w:t>
            </w:r>
            <w:r w:rsidRPr="009754C1">
              <w:rPr>
                <w:rFonts w:cs="Arial"/>
                <w:highlight w:val="lightGray"/>
                <w:u w:val="single"/>
              </w:rPr>
              <w:t>a breeder’s right null and void</w:t>
            </w:r>
            <w:r w:rsidRPr="009754C1">
              <w:rPr>
                <w:highlight w:val="lightGray"/>
                <w:u w:val="single"/>
              </w:rPr>
              <w:t xml:space="preserve"> invalidates the right from the date of grant, </w:t>
            </w:r>
            <w:r>
              <w:rPr>
                <w:highlight w:val="lightGray"/>
                <w:u w:val="single"/>
              </w:rPr>
              <w:t xml:space="preserve">although </w:t>
            </w:r>
            <w:r w:rsidRPr="009754C1">
              <w:rPr>
                <w:rFonts w:cs="Arial"/>
                <w:highlight w:val="lightGray"/>
                <w:u w:val="single"/>
              </w:rPr>
              <w:t xml:space="preserve">the decision of nullity by the competent authority </w:t>
            </w:r>
            <w:r>
              <w:rPr>
                <w:rFonts w:cs="Arial"/>
                <w:highlight w:val="lightGray"/>
                <w:u w:val="single"/>
              </w:rPr>
              <w:t>will occur</w:t>
            </w:r>
            <w:r w:rsidRPr="009754C1">
              <w:rPr>
                <w:rFonts w:cs="Arial"/>
                <w:highlight w:val="lightGray"/>
                <w:u w:val="single"/>
              </w:rPr>
              <w:t xml:space="preserve"> at a later date.  Therefore, nullity has</w:t>
            </w:r>
            <w:r>
              <w:rPr>
                <w:rFonts w:cs="Arial"/>
                <w:highlight w:val="lightGray"/>
                <w:u w:val="single"/>
              </w:rPr>
              <w:t>,</w:t>
            </w:r>
            <w:r w:rsidRPr="009754C1">
              <w:rPr>
                <w:rFonts w:cs="Arial"/>
                <w:highlight w:val="lightGray"/>
                <w:u w:val="single"/>
              </w:rPr>
              <w:t xml:space="preserve"> in principle</w:t>
            </w:r>
            <w:r>
              <w:rPr>
                <w:rFonts w:cs="Arial"/>
                <w:highlight w:val="lightGray"/>
                <w:u w:val="single"/>
              </w:rPr>
              <w:t>,</w:t>
            </w:r>
            <w:r w:rsidRPr="009754C1">
              <w:rPr>
                <w:rFonts w:cs="Arial"/>
                <w:highlight w:val="lightGray"/>
                <w:u w:val="single"/>
              </w:rPr>
              <w:t xml:space="preserve"> retroactive effects.</w:t>
            </w:r>
            <w:r>
              <w:rPr>
                <w:rFonts w:cs="Arial"/>
                <w:u w:val="single"/>
              </w:rPr>
              <w:t xml:space="preserve"> </w:t>
            </w:r>
            <w:r w:rsidRPr="008E438F">
              <w:rPr>
                <w:rFonts w:cs="Arial"/>
              </w:rPr>
              <w:t xml:space="preserve">The </w:t>
            </w:r>
            <w:r w:rsidRPr="003912FE">
              <w:rPr>
                <w:rFonts w:cs="Arial"/>
              </w:rPr>
              <w:t xml:space="preserve">retroactive effects of nullity may vary in practice </w:t>
            </w:r>
            <w:r w:rsidRPr="003912FE">
              <w:rPr>
                <w:rFonts w:cs="Arial"/>
                <w:strike/>
                <w:highlight w:val="lightGray"/>
              </w:rPr>
              <w:t>[and will depend on the relevant legislation of the member of the Union concerned]. [</w:t>
            </w:r>
            <w:r w:rsidRPr="003912FE">
              <w:rPr>
                <w:rFonts w:cs="Arial"/>
              </w:rPr>
              <w:t xml:space="preserve">The </w:t>
            </w:r>
            <w:r w:rsidRPr="003912FE">
              <w:rPr>
                <w:rFonts w:cs="Arial"/>
                <w:highlight w:val="lightGray"/>
                <w:u w:val="single"/>
              </w:rPr>
              <w:t>remedie</w:t>
            </w:r>
            <w:r w:rsidRPr="00382ED1">
              <w:rPr>
                <w:rFonts w:cs="Arial"/>
                <w:highlight w:val="lightGray"/>
                <w:u w:val="single"/>
              </w:rPr>
              <w:t>s concerning the</w:t>
            </w:r>
            <w:r>
              <w:rPr>
                <w:rFonts w:cs="Arial"/>
                <w:u w:val="single"/>
              </w:rPr>
              <w:t xml:space="preserve"> </w:t>
            </w:r>
            <w:r>
              <w:rPr>
                <w:rFonts w:cs="Arial"/>
              </w:rPr>
              <w:t>r</w:t>
            </w:r>
            <w:r w:rsidRPr="003912FE">
              <w:rPr>
                <w:rFonts w:cs="Arial"/>
              </w:rPr>
              <w:t xml:space="preserve">etroactive effects of nullity </w:t>
            </w:r>
            <w:r w:rsidRPr="00382ED1">
              <w:rPr>
                <w:rFonts w:cs="Arial"/>
                <w:strike/>
                <w:highlight w:val="lightGray"/>
              </w:rPr>
              <w:t xml:space="preserve">may also </w:t>
            </w:r>
            <w:r>
              <w:rPr>
                <w:rFonts w:cs="Arial"/>
                <w:highlight w:val="lightGray"/>
                <w:u w:val="single"/>
              </w:rPr>
              <w:t>will</w:t>
            </w:r>
            <w:r w:rsidRPr="009754C1">
              <w:rPr>
                <w:rFonts w:cs="Arial"/>
                <w:highlight w:val="lightGray"/>
                <w:u w:val="single"/>
              </w:rPr>
              <w:t xml:space="preserve"> depend on the relevant legislation of the member of the Union concerned and</w:t>
            </w:r>
            <w:r>
              <w:rPr>
                <w:rFonts w:cs="Arial"/>
              </w:rPr>
              <w:t xml:space="preserve"> may also depend on </w:t>
            </w:r>
            <w:r w:rsidRPr="003912FE">
              <w:rPr>
                <w:rFonts w:cs="Arial"/>
              </w:rPr>
              <w:t>contractual arrangements</w:t>
            </w:r>
            <w:r w:rsidRPr="00382ED1">
              <w:rPr>
                <w:rFonts w:cs="Arial"/>
                <w:strike/>
                <w:highlight w:val="lightGray"/>
              </w:rPr>
              <w:t>]</w:t>
            </w:r>
            <w:r w:rsidRPr="003912FE">
              <w:rPr>
                <w:rFonts w:cs="Arial"/>
              </w:rPr>
              <w:t>.   In some cases, such as in cases of fraud or wilful abusive acts by the holder of the breeder’s right, reimbursement of royalties paid and/or other remedies may apply.  In some other cases, reimbursement of royalties received by the holder of the breeder’s right may not be applicable.</w:t>
            </w:r>
          </w:p>
        </w:tc>
      </w:tr>
    </w:tbl>
    <w:p w:rsidR="008F1D00" w:rsidRDefault="008F1D00" w:rsidP="004967C5"/>
    <w:p w:rsidR="0050638A" w:rsidRDefault="0050638A" w:rsidP="00653C88">
      <w:pPr>
        <w:pStyle w:val="DecisionParagraphs"/>
        <w:keepLines/>
      </w:pPr>
      <w:r w:rsidRPr="0050638A">
        <w:fldChar w:fldCharType="begin"/>
      </w:r>
      <w:r w:rsidRPr="0050638A">
        <w:instrText xml:space="preserve"> AUTONUM  </w:instrText>
      </w:r>
      <w:r w:rsidRPr="0050638A">
        <w:fldChar w:fldCharType="end"/>
      </w:r>
      <w:r w:rsidRPr="0050638A">
        <w:tab/>
        <w:t xml:space="preserve">The CAJ is invited to consider </w:t>
      </w:r>
      <w:r w:rsidR="00AB6E5A" w:rsidRPr="0050638A">
        <w:t>documen</w:t>
      </w:r>
      <w:r w:rsidR="00653C88">
        <w:t>t </w:t>
      </w:r>
      <w:r w:rsidR="00AB6E5A" w:rsidRPr="0050638A">
        <w:t>UPOV/EXN/NUL/2 Draft 3</w:t>
      </w:r>
      <w:r w:rsidR="00AB6E5A">
        <w:t xml:space="preserve"> as the basis for </w:t>
      </w:r>
      <w:r w:rsidRPr="0050638A">
        <w:t xml:space="preserve">the revision of the </w:t>
      </w:r>
      <w:r w:rsidR="00653017">
        <w:t>“</w:t>
      </w:r>
      <w:r w:rsidRPr="0050638A">
        <w:t>Explanatory Notes on the Nullity of the Breeder's Right under the UPOV Convention</w:t>
      </w:r>
      <w:r w:rsidR="00653017">
        <w:t>”</w:t>
      </w:r>
      <w:r w:rsidRPr="0050638A">
        <w:t xml:space="preserve"> (Revision) </w:t>
      </w:r>
      <w:r>
        <w:t>(document UPOV/EXN/NUL</w:t>
      </w:r>
      <w:r w:rsidR="00653017">
        <w:t>/1</w:t>
      </w:r>
      <w:r w:rsidRPr="0050638A">
        <w:t>)</w:t>
      </w:r>
      <w:r>
        <w:t xml:space="preserve">, </w:t>
      </w:r>
      <w:r w:rsidR="00AB6E5A" w:rsidRPr="00AB6E5A">
        <w:t>by the Council at its forty-ninth ordinary session, to be held on October 29, 2015</w:t>
      </w:r>
      <w:r w:rsidRPr="0050638A">
        <w:t>.</w:t>
      </w:r>
    </w:p>
    <w:p w:rsidR="0050638A" w:rsidRDefault="0050638A" w:rsidP="0050638A"/>
    <w:p w:rsidR="00072AD8" w:rsidRPr="00016155" w:rsidRDefault="00072AD8" w:rsidP="00E831EC">
      <w:pPr>
        <w:pStyle w:val="Heading2"/>
      </w:pPr>
      <w:bookmarkStart w:id="13" w:name="_Toc413059224"/>
      <w:r w:rsidRPr="00016155">
        <w:lastRenderedPageBreak/>
        <w:t>Explanatory Notes on Provisional Protection under the UPOV Convention (Revision) (document UPOV/EXN/PRP/2 Draft 3)</w:t>
      </w:r>
      <w:bookmarkEnd w:id="13"/>
    </w:p>
    <w:p w:rsidR="00072AD8" w:rsidRDefault="00072AD8" w:rsidP="00827F80"/>
    <w:p w:rsidR="00072AD8" w:rsidRDefault="00072AD8" w:rsidP="00072AD8">
      <w:r>
        <w:fldChar w:fldCharType="begin"/>
      </w:r>
      <w:r>
        <w:instrText xml:space="preserve"> AUTONUM  </w:instrText>
      </w:r>
      <w:r>
        <w:fldChar w:fldCharType="end"/>
      </w:r>
      <w:r>
        <w:tab/>
      </w:r>
      <w:r w:rsidRPr="00131904">
        <w:rPr>
          <w:rFonts w:cs="Arial"/>
        </w:rPr>
        <w:t>The CAJ­AG</w:t>
      </w:r>
      <w:r w:rsidRPr="00131904">
        <w:rPr>
          <w:rStyle w:val="FootnoteReference"/>
        </w:rPr>
        <w:footnoteReference w:id="24"/>
      </w:r>
      <w:r w:rsidRPr="00131904">
        <w:rPr>
          <w:rFonts w:cs="Arial"/>
        </w:rPr>
        <w:t xml:space="preserve"> considered document </w:t>
      </w:r>
      <w:r w:rsidRPr="00131904">
        <w:t xml:space="preserve">UPOV/EXN/PRP/2 Draft 2 </w:t>
      </w:r>
      <w:r w:rsidRPr="00131904">
        <w:rPr>
          <w:rFonts w:cs="Arial"/>
        </w:rPr>
        <w:t xml:space="preserve">and the </w:t>
      </w:r>
      <w:r w:rsidRPr="00131904">
        <w:t xml:space="preserve">views expressed by </w:t>
      </w:r>
      <w:r w:rsidRPr="00131904">
        <w:rPr>
          <w:szCs w:val="26"/>
        </w:rPr>
        <w:t>CropLife International</w:t>
      </w:r>
      <w:r w:rsidRPr="00131904">
        <w:rPr>
          <w:rFonts w:cs="Arial"/>
          <w:szCs w:val="26"/>
        </w:rPr>
        <w:t>.</w:t>
      </w:r>
      <w:r w:rsidRPr="00131904">
        <w:rPr>
          <w:rStyle w:val="FootnoteReference"/>
        </w:rPr>
        <w:footnoteReference w:id="25"/>
      </w:r>
    </w:p>
    <w:p w:rsidR="00072AD8" w:rsidRDefault="00072AD8" w:rsidP="00827F80"/>
    <w:p w:rsidR="00072AD8" w:rsidRDefault="00072AD8" w:rsidP="00072AD8">
      <w:pPr>
        <w:keepNext/>
        <w:rPr>
          <w:rFonts w:cs="Arial"/>
        </w:rPr>
      </w:pPr>
      <w:r w:rsidRPr="0022331F">
        <w:fldChar w:fldCharType="begin"/>
      </w:r>
      <w:r w:rsidRPr="0022331F">
        <w:instrText xml:space="preserve"> AUTONUM  </w:instrText>
      </w:r>
      <w:r w:rsidRPr="0022331F">
        <w:fldChar w:fldCharType="end"/>
      </w:r>
      <w:r w:rsidRPr="0022331F">
        <w:tab/>
      </w:r>
      <w:r w:rsidRPr="0022331F">
        <w:rPr>
          <w:rFonts w:cs="Arial"/>
        </w:rPr>
        <w:t xml:space="preserve">The CAJ­AG agreed to propose to the </w:t>
      </w:r>
      <w:r>
        <w:rPr>
          <w:rFonts w:cs="Arial"/>
        </w:rPr>
        <w:t xml:space="preserve">CAJ </w:t>
      </w:r>
      <w:r w:rsidRPr="0022331F">
        <w:rPr>
          <w:rFonts w:cs="Arial"/>
        </w:rPr>
        <w:t xml:space="preserve">a revision of document </w:t>
      </w:r>
      <w:r w:rsidRPr="0022331F">
        <w:t>UPOV/EXN/PRP</w:t>
      </w:r>
      <w:r w:rsidRPr="0022331F">
        <w:rPr>
          <w:rFonts w:cs="Arial"/>
        </w:rPr>
        <w:t xml:space="preserve">, as set out in document </w:t>
      </w:r>
      <w:r>
        <w:t>UPOV/EXN/PRP/2 Draft 2</w:t>
      </w:r>
      <w:r w:rsidRPr="0022331F">
        <w:rPr>
          <w:rFonts w:cs="Arial"/>
        </w:rPr>
        <w:t>.</w:t>
      </w:r>
      <w:r w:rsidRPr="00AA420B">
        <w:rPr>
          <w:rStyle w:val="FootnoteReference"/>
          <w:highlight w:val="yellow"/>
        </w:rPr>
        <w:t xml:space="preserve"> </w:t>
      </w:r>
    </w:p>
    <w:p w:rsidR="00072AD8" w:rsidRDefault="00072AD8" w:rsidP="00827F80"/>
    <w:p w:rsidR="00AB6E5A" w:rsidRPr="008F1D00" w:rsidRDefault="0050638A" w:rsidP="00AB6E5A">
      <w:pPr>
        <w:pStyle w:val="DecisionParagraphs"/>
        <w:rPr>
          <w:lang w:eastAsia="zh-CN"/>
        </w:rPr>
      </w:pPr>
      <w:r w:rsidRPr="0050638A">
        <w:fldChar w:fldCharType="begin"/>
      </w:r>
      <w:r w:rsidRPr="0050638A">
        <w:instrText xml:space="preserve"> AUTONUM  </w:instrText>
      </w:r>
      <w:r w:rsidRPr="0050638A">
        <w:fldChar w:fldCharType="end"/>
      </w:r>
      <w:r w:rsidRPr="0050638A">
        <w:tab/>
        <w:t xml:space="preserve">The CAJ is invited to consider </w:t>
      </w:r>
      <w:r w:rsidR="00AB6E5A" w:rsidRPr="0050638A">
        <w:t>document UPOV/EXN/PRP/2 Draft 3</w:t>
      </w:r>
      <w:r w:rsidR="00AB6E5A">
        <w:t xml:space="preserve"> as the basis for </w:t>
      </w:r>
      <w:r w:rsidRPr="0050638A">
        <w:t xml:space="preserve">the revision of the </w:t>
      </w:r>
      <w:r w:rsidR="00653017">
        <w:t>“</w:t>
      </w:r>
      <w:r w:rsidRPr="0050638A">
        <w:t>Explanatory Notes on Provisional Protec</w:t>
      </w:r>
      <w:r>
        <w:t>tion under the UPOV Convention</w:t>
      </w:r>
      <w:r w:rsidR="00653017">
        <w:t>”</w:t>
      </w:r>
      <w:r>
        <w:t xml:space="preserve"> (document </w:t>
      </w:r>
      <w:r w:rsidRPr="0050638A">
        <w:t>UPOV/EXN/PRP</w:t>
      </w:r>
      <w:r w:rsidR="00653017">
        <w:t>/1</w:t>
      </w:r>
      <w:r>
        <w:t xml:space="preserve">), </w:t>
      </w:r>
      <w:r w:rsidR="00AB6E5A" w:rsidRPr="00AB6E5A">
        <w:t>by the Council at its forty-ninth ordinary session, to be held on October 29, 2015</w:t>
      </w:r>
      <w:r w:rsidR="00AB6E5A" w:rsidRPr="0050638A">
        <w:t>.</w:t>
      </w:r>
    </w:p>
    <w:p w:rsidR="0050638A" w:rsidRDefault="0050638A" w:rsidP="0050638A">
      <w:pPr>
        <w:pStyle w:val="DecisionParagraphs"/>
      </w:pPr>
    </w:p>
    <w:p w:rsidR="00AB6E5A" w:rsidRDefault="00AB6E5A" w:rsidP="002A2583"/>
    <w:p w:rsidR="00072AD8" w:rsidRPr="003E2FBD" w:rsidRDefault="00072AD8" w:rsidP="00E831EC">
      <w:pPr>
        <w:pStyle w:val="Heading2"/>
        <w:rPr>
          <w:kern w:val="28"/>
        </w:rPr>
      </w:pPr>
      <w:bookmarkStart w:id="14" w:name="_Toc413059225"/>
      <w:r w:rsidRPr="00016155">
        <w:t xml:space="preserve">Matters concerning variety descriptions </w:t>
      </w:r>
      <w:r w:rsidR="00A6466B">
        <w:t>considered by the CA</w:t>
      </w:r>
      <w:r w:rsidR="00280480">
        <w:t xml:space="preserve">J-AG </w:t>
      </w:r>
      <w:r w:rsidRPr="00016155">
        <w:rPr>
          <w:kern w:val="28"/>
        </w:rPr>
        <w:t>(document CAJ/71/2)</w:t>
      </w:r>
      <w:bookmarkEnd w:id="14"/>
      <w:r w:rsidR="00827F80">
        <w:rPr>
          <w:kern w:val="28"/>
        </w:rPr>
        <w:t xml:space="preserve"> </w:t>
      </w:r>
    </w:p>
    <w:p w:rsidR="00E831EC" w:rsidRDefault="00E831EC" w:rsidP="00E831EC">
      <w:pPr>
        <w:rPr>
          <w:snapToGrid w:val="0"/>
        </w:rPr>
      </w:pPr>
    </w:p>
    <w:p w:rsidR="00E831EC" w:rsidRDefault="00E831EC" w:rsidP="00E831EC">
      <w:r>
        <w:rPr>
          <w:iCs/>
        </w:rPr>
        <w:fldChar w:fldCharType="begin"/>
      </w:r>
      <w:r>
        <w:rPr>
          <w:iCs/>
        </w:rPr>
        <w:instrText xml:space="preserve"> AUTONUM  </w:instrText>
      </w:r>
      <w:r>
        <w:rPr>
          <w:iCs/>
        </w:rPr>
        <w:fldChar w:fldCharType="end"/>
      </w:r>
      <w:r>
        <w:rPr>
          <w:iCs/>
        </w:rPr>
        <w:tab/>
      </w:r>
      <w:r w:rsidRPr="00384E73">
        <w:rPr>
          <w:snapToGrid w:val="0"/>
        </w:rPr>
        <w:t xml:space="preserve">At its </w:t>
      </w:r>
      <w:r>
        <w:rPr>
          <w:snapToGrid w:val="0"/>
        </w:rPr>
        <w:t>eighth</w:t>
      </w:r>
      <w:r w:rsidRPr="00384E73">
        <w:rPr>
          <w:snapToGrid w:val="0"/>
        </w:rPr>
        <w:t xml:space="preserve"> session, the</w:t>
      </w:r>
      <w:r>
        <w:rPr>
          <w:snapToGrid w:val="0"/>
        </w:rPr>
        <w:t xml:space="preserve"> CAJ-AG</w:t>
      </w:r>
      <w:r>
        <w:rPr>
          <w:rStyle w:val="FootnoteReference"/>
          <w:snapToGrid w:val="0"/>
        </w:rPr>
        <w:footnoteReference w:id="26"/>
      </w:r>
      <w:r>
        <w:rPr>
          <w:snapToGrid w:val="0"/>
        </w:rPr>
        <w:t xml:space="preserve"> considered document CAJ</w:t>
      </w:r>
      <w:r>
        <w:rPr>
          <w:snapToGrid w:val="0"/>
        </w:rPr>
        <w:noBreakHyphen/>
        <w:t>AG/13/8/7 “Matters concerning variety descriptions” and the following matters for further guidance</w:t>
      </w:r>
      <w:r>
        <w:rPr>
          <w:rStyle w:val="FootnoteReference"/>
          <w:snapToGrid w:val="0"/>
        </w:rPr>
        <w:footnoteReference w:id="27"/>
      </w:r>
      <w:r>
        <w:rPr>
          <w:snapToGrid w:val="0"/>
        </w:rPr>
        <w:t>,</w:t>
      </w:r>
      <w:r>
        <w:rPr>
          <w:iCs/>
        </w:rPr>
        <w:t xml:space="preserve"> </w:t>
      </w:r>
      <w:r>
        <w:t>with particular reference to document TGP/5 “Experience and Cooperation in DUS Testing”, Section 6: “UPOV Report on Technical Examination and UPOV Variety Description”:</w:t>
      </w:r>
    </w:p>
    <w:p w:rsidR="00E831EC" w:rsidRDefault="00E831EC" w:rsidP="00E831EC"/>
    <w:p w:rsidR="00E831EC" w:rsidRDefault="00E831EC" w:rsidP="00E831EC">
      <w:pPr>
        <w:ind w:left="567"/>
      </w:pPr>
      <w:r>
        <w:t>(a)</w:t>
      </w:r>
      <w:r>
        <w:tab/>
        <w:t>the purpose(s) of the variety description developed at the time of grant of the right (original variety description),</w:t>
      </w:r>
    </w:p>
    <w:p w:rsidR="00E831EC" w:rsidRDefault="00E831EC" w:rsidP="00E831EC">
      <w:pPr>
        <w:ind w:left="567"/>
      </w:pPr>
    </w:p>
    <w:p w:rsidR="00E831EC" w:rsidRDefault="00E831EC" w:rsidP="00E831EC">
      <w:pPr>
        <w:ind w:left="567"/>
      </w:pPr>
      <w:r>
        <w:t>(b)</w:t>
      </w:r>
      <w:r>
        <w:tab/>
        <w:t>the status of the original variety description in relation to the verification of the conformity of plant material to a protected variety for the purposes of:</w:t>
      </w:r>
    </w:p>
    <w:p w:rsidR="00E831EC" w:rsidRDefault="00E831EC" w:rsidP="00E831EC">
      <w:pPr>
        <w:ind w:left="567"/>
      </w:pPr>
    </w:p>
    <w:p w:rsidR="00E831EC" w:rsidRDefault="00E831EC" w:rsidP="00E831EC">
      <w:pPr>
        <w:ind w:left="1134"/>
      </w:pPr>
      <w:r>
        <w:t>(i)</w:t>
      </w:r>
      <w:r>
        <w:tab/>
      </w:r>
      <w:r w:rsidRPr="00C653D5">
        <w:t>verifying the maintenance of the variety</w:t>
      </w:r>
      <w:r>
        <w:t xml:space="preserve"> (Article 22 of the 1991 Act, Article 10 of the 1978 Act);</w:t>
      </w:r>
    </w:p>
    <w:p w:rsidR="00E831EC" w:rsidRDefault="00E831EC" w:rsidP="00E831EC">
      <w:pPr>
        <w:ind w:left="1134"/>
      </w:pPr>
    </w:p>
    <w:p w:rsidR="00E831EC" w:rsidRDefault="00E831EC" w:rsidP="00E831EC">
      <w:pPr>
        <w:ind w:left="1134"/>
      </w:pPr>
      <w:r>
        <w:t>(ii)</w:t>
      </w:r>
      <w:r>
        <w:tab/>
        <w:t>the examination of distinctness, uniformity and stability (“DUS”) of candidate varieties;  and</w:t>
      </w:r>
    </w:p>
    <w:p w:rsidR="00E831EC" w:rsidRDefault="00E831EC" w:rsidP="00E831EC">
      <w:pPr>
        <w:ind w:left="1134"/>
      </w:pPr>
    </w:p>
    <w:p w:rsidR="00E831EC" w:rsidRDefault="00E831EC" w:rsidP="00E831EC">
      <w:pPr>
        <w:ind w:left="1134"/>
      </w:pPr>
      <w:r>
        <w:t>(iii)</w:t>
      </w:r>
      <w:r>
        <w:tab/>
        <w:t>the enforcement of the right.</w:t>
      </w:r>
    </w:p>
    <w:p w:rsidR="00E831EC" w:rsidRDefault="00E831EC" w:rsidP="00E831EC">
      <w:pPr>
        <w:ind w:left="567"/>
      </w:pPr>
    </w:p>
    <w:p w:rsidR="00E831EC" w:rsidRDefault="00E831EC" w:rsidP="00E831EC">
      <w:pPr>
        <w:ind w:left="567"/>
      </w:pPr>
      <w:r>
        <w:t>(c)</w:t>
      </w:r>
      <w:r>
        <w:tab/>
        <w:t>the status of a modified variety description in relation to (a) and (b) above produced, for example, as a result of:</w:t>
      </w:r>
    </w:p>
    <w:p w:rsidR="00E831EC" w:rsidRDefault="00E831EC" w:rsidP="00E831EC">
      <w:pPr>
        <w:ind w:left="567"/>
      </w:pPr>
    </w:p>
    <w:p w:rsidR="00E831EC" w:rsidRPr="00384E73" w:rsidRDefault="00E831EC" w:rsidP="00E831EC">
      <w:pPr>
        <w:spacing w:after="60"/>
        <w:ind w:left="1701" w:right="566" w:hanging="567"/>
      </w:pPr>
      <w:r w:rsidRPr="00384E73">
        <w:t>(i)</w:t>
      </w:r>
      <w:r w:rsidRPr="00384E73">
        <w:tab/>
        <w:t>a recalibration of the scale in the test guidelines (particularly for non</w:t>
      </w:r>
      <w:r w:rsidRPr="00384E73">
        <w:noBreakHyphen/>
        <w:t>asterisked characteristics</w:t>
      </w:r>
      <w:r>
        <w:rPr>
          <w:vertAlign w:val="superscript"/>
        </w:rPr>
        <w:t>1</w:t>
      </w:r>
      <w:r w:rsidRPr="00384E73">
        <w:t>);</w:t>
      </w:r>
    </w:p>
    <w:p w:rsidR="00E831EC" w:rsidRPr="00384E73" w:rsidRDefault="00E831EC" w:rsidP="00E831EC">
      <w:pPr>
        <w:spacing w:after="60"/>
        <w:ind w:left="1701" w:right="566" w:hanging="567"/>
      </w:pPr>
      <w:r w:rsidRPr="00384E73">
        <w:t>(ii)</w:t>
      </w:r>
      <w:r w:rsidRPr="00384E73">
        <w:tab/>
        <w:t>variation due to the environmental conditions of the years of testing for characteristics that are influenced by the environment;</w:t>
      </w:r>
    </w:p>
    <w:p w:rsidR="00E831EC" w:rsidRPr="00384E73" w:rsidRDefault="00E831EC" w:rsidP="00E831EC">
      <w:pPr>
        <w:spacing w:after="60"/>
        <w:ind w:left="1701" w:right="566" w:hanging="567"/>
      </w:pPr>
      <w:r w:rsidRPr="00384E73">
        <w:t>(iii)</w:t>
      </w:r>
      <w:r w:rsidRPr="00384E73">
        <w:tab/>
        <w:t>variation due to observation by different experts;</w:t>
      </w:r>
      <w:r>
        <w:t xml:space="preserve">  or</w:t>
      </w:r>
    </w:p>
    <w:p w:rsidR="00E831EC" w:rsidRPr="00384E73" w:rsidRDefault="00E831EC" w:rsidP="00E831EC">
      <w:pPr>
        <w:ind w:left="1701" w:right="566" w:hanging="567"/>
      </w:pPr>
      <w:r w:rsidRPr="00384E73">
        <w:t>(iv)</w:t>
      </w:r>
      <w:r w:rsidRPr="00384E73">
        <w:tab/>
        <w:t>the use of different versions of scales (e.g. different versions of the RHS Colour Chart).</w:t>
      </w:r>
    </w:p>
    <w:p w:rsidR="00E831EC" w:rsidRDefault="00E831EC" w:rsidP="00E831EC">
      <w:pPr>
        <w:ind w:left="567"/>
      </w:pPr>
    </w:p>
    <w:p w:rsidR="00E831EC" w:rsidRDefault="00E831EC" w:rsidP="00E831EC">
      <w:pPr>
        <w:ind w:left="567"/>
      </w:pPr>
      <w:r>
        <w:t>(d)</w:t>
      </w:r>
      <w:r>
        <w:tab/>
        <w:t>situations where an error is subsequently discovered in the initial variety description.</w:t>
      </w:r>
    </w:p>
    <w:p w:rsidR="006D15FD" w:rsidRDefault="006D15FD" w:rsidP="006D15FD"/>
    <w:p w:rsidR="006D15FD" w:rsidRDefault="006D15FD" w:rsidP="006D15FD">
      <w:pPr>
        <w:rPr>
          <w:i/>
        </w:rPr>
      </w:pPr>
    </w:p>
    <w:p w:rsidR="006D15FD" w:rsidRPr="00E831EC" w:rsidRDefault="006D15FD" w:rsidP="002A2583">
      <w:pPr>
        <w:keepNext/>
        <w:rPr>
          <w:i/>
        </w:rPr>
      </w:pPr>
      <w:r w:rsidRPr="00E831EC">
        <w:rPr>
          <w:i/>
        </w:rPr>
        <w:lastRenderedPageBreak/>
        <w:t>Purpose(s) of the variety description developed at the time of the grant of the breeder’s right (original variety description)</w:t>
      </w:r>
    </w:p>
    <w:p w:rsidR="00E831EC" w:rsidRDefault="00E831EC" w:rsidP="002A2583">
      <w:pPr>
        <w:keepNext/>
      </w:pPr>
    </w:p>
    <w:p w:rsidR="00E831EC" w:rsidRDefault="00E831EC" w:rsidP="00E831EC">
      <w:r>
        <w:fldChar w:fldCharType="begin"/>
      </w:r>
      <w:r>
        <w:instrText xml:space="preserve"> AUTONUM  </w:instrText>
      </w:r>
      <w:r>
        <w:fldChar w:fldCharType="end"/>
      </w:r>
      <w:r>
        <w:tab/>
      </w:r>
      <w:r>
        <w:rPr>
          <w:snapToGrid w:val="0"/>
        </w:rPr>
        <w:t>At its sixty-ninth session,</w:t>
      </w:r>
      <w:r w:rsidR="00280480">
        <w:rPr>
          <w:rStyle w:val="FootnoteReference"/>
          <w:snapToGrid w:val="0"/>
        </w:rPr>
        <w:footnoteReference w:id="28"/>
      </w:r>
      <w:r>
        <w:rPr>
          <w:snapToGrid w:val="0"/>
        </w:rPr>
        <w:t xml:space="preserve"> t</w:t>
      </w:r>
      <w:r>
        <w:t xml:space="preserve">he CAJ noted the matters concerning variety descriptions to be considered by the CAJ-AG in the first instance, as </w:t>
      </w:r>
      <w:r w:rsidR="006D15FD">
        <w:t>fol</w:t>
      </w:r>
      <w:r w:rsidR="00653C88">
        <w:t>l</w:t>
      </w:r>
      <w:r w:rsidR="006D15FD">
        <w:t>ows</w:t>
      </w:r>
      <w:r>
        <w:rPr>
          <w:rStyle w:val="FootnoteReference"/>
        </w:rPr>
        <w:footnoteReference w:id="29"/>
      </w:r>
      <w:r w:rsidR="00280480">
        <w:t>:</w:t>
      </w:r>
    </w:p>
    <w:p w:rsidR="00E831EC" w:rsidRDefault="00E831EC" w:rsidP="00E831EC"/>
    <w:p w:rsidR="00E831EC" w:rsidRPr="00230328" w:rsidRDefault="00E831EC" w:rsidP="00E831EC">
      <w:pPr>
        <w:ind w:left="567" w:right="567"/>
        <w:rPr>
          <w:sz w:val="18"/>
          <w:szCs w:val="18"/>
        </w:rPr>
      </w:pPr>
      <w:r>
        <w:rPr>
          <w:sz w:val="18"/>
          <w:szCs w:val="18"/>
        </w:rPr>
        <w:t>“</w:t>
      </w:r>
      <w:r w:rsidRPr="00230328">
        <w:rPr>
          <w:sz w:val="18"/>
          <w:szCs w:val="18"/>
        </w:rPr>
        <w:t>(a)</w:t>
      </w:r>
      <w:r w:rsidRPr="00230328">
        <w:rPr>
          <w:sz w:val="18"/>
          <w:szCs w:val="18"/>
        </w:rPr>
        <w:tab/>
        <w:t>the purpose(s) of the variety description developed at the time of grant of the right (original variety description);</w:t>
      </w:r>
    </w:p>
    <w:p w:rsidR="00E831EC" w:rsidRPr="00230328" w:rsidRDefault="00E831EC" w:rsidP="00E831EC">
      <w:pPr>
        <w:ind w:left="567" w:right="567"/>
        <w:rPr>
          <w:sz w:val="18"/>
          <w:szCs w:val="18"/>
        </w:rPr>
      </w:pPr>
    </w:p>
    <w:p w:rsidR="00E831EC" w:rsidRPr="00230328" w:rsidRDefault="00E831EC" w:rsidP="00E831EC">
      <w:pPr>
        <w:ind w:left="567" w:right="567"/>
        <w:rPr>
          <w:sz w:val="18"/>
          <w:szCs w:val="18"/>
        </w:rPr>
      </w:pPr>
      <w:r>
        <w:rPr>
          <w:sz w:val="18"/>
          <w:szCs w:val="18"/>
        </w:rPr>
        <w:t>“</w:t>
      </w:r>
      <w:r w:rsidRPr="00230328">
        <w:rPr>
          <w:sz w:val="18"/>
          <w:szCs w:val="18"/>
        </w:rPr>
        <w:t>(b)</w:t>
      </w:r>
      <w:r w:rsidRPr="00230328">
        <w:rPr>
          <w:sz w:val="18"/>
          <w:szCs w:val="18"/>
        </w:rPr>
        <w:tab/>
        <w:t>the status of the original variety description in relation to the verification of the conformity of plant material to a protected variety for the purposes of:</w:t>
      </w:r>
    </w:p>
    <w:p w:rsidR="00E831EC" w:rsidRPr="00230328" w:rsidRDefault="00E831EC" w:rsidP="00E831EC">
      <w:pPr>
        <w:ind w:left="567" w:right="567"/>
        <w:rPr>
          <w:sz w:val="18"/>
          <w:szCs w:val="18"/>
        </w:rPr>
      </w:pPr>
    </w:p>
    <w:p w:rsidR="00E831EC" w:rsidRPr="00230328" w:rsidRDefault="00E831EC" w:rsidP="00E831EC">
      <w:pPr>
        <w:ind w:left="567" w:right="567" w:firstLine="567"/>
        <w:rPr>
          <w:sz w:val="18"/>
          <w:szCs w:val="18"/>
        </w:rPr>
      </w:pPr>
      <w:r>
        <w:rPr>
          <w:sz w:val="18"/>
          <w:szCs w:val="18"/>
        </w:rPr>
        <w:t>“</w:t>
      </w:r>
      <w:r w:rsidRPr="00230328">
        <w:rPr>
          <w:sz w:val="18"/>
          <w:szCs w:val="18"/>
        </w:rPr>
        <w:t>[…]</w:t>
      </w:r>
    </w:p>
    <w:p w:rsidR="00E831EC" w:rsidRDefault="00E831EC" w:rsidP="00E831EC">
      <w:pPr>
        <w:ind w:left="567" w:right="567" w:firstLine="567"/>
        <w:rPr>
          <w:sz w:val="18"/>
          <w:szCs w:val="18"/>
        </w:rPr>
      </w:pPr>
      <w:r>
        <w:rPr>
          <w:sz w:val="18"/>
          <w:szCs w:val="18"/>
        </w:rPr>
        <w:t>“</w:t>
      </w:r>
      <w:r w:rsidRPr="00230328">
        <w:rPr>
          <w:sz w:val="18"/>
          <w:szCs w:val="18"/>
        </w:rPr>
        <w:t>(iii)</w:t>
      </w:r>
      <w:r w:rsidRPr="00230328">
        <w:rPr>
          <w:sz w:val="18"/>
          <w:szCs w:val="18"/>
        </w:rPr>
        <w:tab/>
        <w:t>the enforcement of the right.</w:t>
      </w:r>
      <w:r>
        <w:rPr>
          <w:sz w:val="18"/>
          <w:szCs w:val="18"/>
        </w:rPr>
        <w:t>”</w:t>
      </w:r>
    </w:p>
    <w:p w:rsidR="00E831EC" w:rsidRPr="00230328" w:rsidRDefault="00E831EC" w:rsidP="00E831EC">
      <w:pPr>
        <w:ind w:left="567" w:right="567" w:firstLine="567"/>
        <w:rPr>
          <w:sz w:val="18"/>
          <w:szCs w:val="18"/>
        </w:rPr>
      </w:pPr>
    </w:p>
    <w:p w:rsidR="00E831EC" w:rsidRDefault="00E831EC" w:rsidP="002A2583"/>
    <w:p w:rsidR="00E831EC" w:rsidRPr="00C841DF" w:rsidRDefault="00E831EC" w:rsidP="00E831EC">
      <w:pPr>
        <w:keepNext/>
      </w:pPr>
      <w:r>
        <w:fldChar w:fldCharType="begin"/>
      </w:r>
      <w:r>
        <w:instrText xml:space="preserve"> AUTONUM  </w:instrText>
      </w:r>
      <w:r>
        <w:fldChar w:fldCharType="end"/>
      </w:r>
      <w:r>
        <w:tab/>
      </w:r>
      <w:r w:rsidRPr="00E831EC">
        <w:t>The CAJ-AG</w:t>
      </w:r>
      <w:r w:rsidRPr="00E831EC">
        <w:rPr>
          <w:rStyle w:val="FootnoteReference"/>
        </w:rPr>
        <w:footnoteReference w:id="30"/>
      </w:r>
      <w:r w:rsidRPr="00E831EC">
        <w:t xml:space="preserve"> considered document CAJ-AG/14/9/4 “Matters concerning variety descriptions”.</w:t>
      </w:r>
      <w:r w:rsidRPr="00E831EC">
        <w:rPr>
          <w:rStyle w:val="FootnoteReference"/>
        </w:rPr>
        <w:footnoteReference w:id="31"/>
      </w:r>
    </w:p>
    <w:p w:rsidR="00E831EC" w:rsidRPr="00C841DF" w:rsidRDefault="00E831EC" w:rsidP="00E831EC">
      <w:pPr>
        <w:keepNext/>
      </w:pPr>
    </w:p>
    <w:p w:rsidR="00E831EC" w:rsidRPr="00C841DF" w:rsidRDefault="00E831EC" w:rsidP="00E831EC">
      <w:pPr>
        <w:keepNext/>
      </w:pPr>
      <w:r w:rsidRPr="00C841DF">
        <w:fldChar w:fldCharType="begin"/>
      </w:r>
      <w:r w:rsidRPr="00C841DF">
        <w:instrText xml:space="preserve"> AUTONUM  </w:instrText>
      </w:r>
      <w:r w:rsidRPr="00C841DF">
        <w:fldChar w:fldCharType="end"/>
      </w:r>
      <w:r w:rsidRPr="00C841DF">
        <w:tab/>
        <w:t>The CAJ-AG agreed that</w:t>
      </w:r>
      <w:r w:rsidR="006D15FD">
        <w:t>,</w:t>
      </w:r>
      <w:r w:rsidRPr="00C841DF">
        <w:t xml:space="preserve"> on the basis of document TGP/5 “Experience and Cooperation in DUS Testing”, Section 6 “UPOV Report on Technical Examination and UPOV Variety Description”, the purpose of the variety description developed at the time of the grant of the breeder’s right (original variety descr</w:t>
      </w:r>
      <w:r w:rsidR="00280480">
        <w:t xml:space="preserve">iption) might be summarized </w:t>
      </w:r>
      <w:r>
        <w:t>as</w:t>
      </w:r>
      <w:r w:rsidR="00280480">
        <w:t xml:space="preserve"> follows</w:t>
      </w:r>
      <w:r>
        <w:t>:</w:t>
      </w:r>
    </w:p>
    <w:p w:rsidR="00E831EC" w:rsidRPr="00C841DF" w:rsidRDefault="00E831EC" w:rsidP="00E831EC"/>
    <w:p w:rsidR="00E831EC" w:rsidRPr="00C841DF" w:rsidRDefault="00E831EC" w:rsidP="00E831EC">
      <w:pPr>
        <w:pStyle w:val="ListParagraph"/>
        <w:keepNext/>
        <w:numPr>
          <w:ilvl w:val="0"/>
          <w:numId w:val="7"/>
        </w:numPr>
        <w:ind w:left="993" w:hanging="426"/>
        <w:rPr>
          <w:snapToGrid w:val="0"/>
          <w:lang w:val="en"/>
        </w:rPr>
      </w:pPr>
      <w:r w:rsidRPr="00C841DF">
        <w:rPr>
          <w:snapToGrid w:val="0"/>
          <w:lang w:val="en"/>
        </w:rPr>
        <w:t>to describe the characteristics of the variety; and</w:t>
      </w:r>
    </w:p>
    <w:p w:rsidR="00E831EC" w:rsidRPr="00C841DF" w:rsidRDefault="00E831EC" w:rsidP="00E831EC">
      <w:pPr>
        <w:pStyle w:val="ListParagraph"/>
        <w:numPr>
          <w:ilvl w:val="0"/>
          <w:numId w:val="7"/>
        </w:numPr>
        <w:ind w:left="993" w:hanging="426"/>
        <w:rPr>
          <w:snapToGrid w:val="0"/>
          <w:lang w:val="en"/>
        </w:rPr>
      </w:pPr>
      <w:r w:rsidRPr="00C841DF">
        <w:rPr>
          <w:snapToGrid w:val="0"/>
          <w:lang w:val="en"/>
        </w:rPr>
        <w:t xml:space="preserve">to identify and list similar varieties and differences from these varieties; </w:t>
      </w:r>
    </w:p>
    <w:p w:rsidR="00E831EC" w:rsidRPr="00C841DF" w:rsidRDefault="00E831EC" w:rsidP="00E831EC">
      <w:pPr>
        <w:ind w:left="1419" w:hanging="426"/>
        <w:rPr>
          <w:snapToGrid w:val="0"/>
          <w:lang w:val="en"/>
        </w:rPr>
      </w:pPr>
      <w:r w:rsidRPr="00C841DF">
        <w:rPr>
          <w:snapToGrid w:val="0"/>
          <w:lang w:val="en"/>
        </w:rPr>
        <w:t>combined with the information on the basis for (a) and (b), namely:</w:t>
      </w:r>
    </w:p>
    <w:p w:rsidR="00E831EC" w:rsidRPr="00C841DF" w:rsidRDefault="00E831EC" w:rsidP="00E831EC">
      <w:pPr>
        <w:pStyle w:val="ListParagraph"/>
        <w:numPr>
          <w:ilvl w:val="2"/>
          <w:numId w:val="6"/>
        </w:numPr>
        <w:tabs>
          <w:tab w:val="left" w:pos="567"/>
          <w:tab w:val="left" w:pos="1560"/>
        </w:tabs>
        <w:spacing w:line="276" w:lineRule="auto"/>
        <w:ind w:left="1701" w:hanging="567"/>
      </w:pPr>
      <w:r w:rsidRPr="00C841DF">
        <w:t>Date and document number of UPOV Test Guidelines</w:t>
      </w:r>
      <w:r w:rsidRPr="00C841DF">
        <w:rPr>
          <w:snapToGrid w:val="0"/>
          <w:lang w:val="en"/>
        </w:rPr>
        <w:t>;</w:t>
      </w:r>
    </w:p>
    <w:p w:rsidR="00E831EC" w:rsidRPr="00C841DF" w:rsidRDefault="00E831EC" w:rsidP="00E831EC">
      <w:pPr>
        <w:pStyle w:val="ListParagraph"/>
        <w:numPr>
          <w:ilvl w:val="2"/>
          <w:numId w:val="6"/>
        </w:numPr>
        <w:tabs>
          <w:tab w:val="left" w:pos="567"/>
          <w:tab w:val="left" w:pos="1560"/>
          <w:tab w:val="left" w:pos="5103"/>
        </w:tabs>
        <w:spacing w:line="276" w:lineRule="auto"/>
        <w:ind w:left="1701" w:hanging="567"/>
      </w:pPr>
      <w:r w:rsidRPr="00C841DF">
        <w:t>Date and/or document number of Reporting Authority’s test guidelines</w:t>
      </w:r>
      <w:r w:rsidRPr="00C841DF">
        <w:rPr>
          <w:snapToGrid w:val="0"/>
          <w:lang w:val="en"/>
        </w:rPr>
        <w:t>;</w:t>
      </w:r>
    </w:p>
    <w:p w:rsidR="00E831EC" w:rsidRPr="00C841DF" w:rsidRDefault="00E831EC" w:rsidP="00E831EC">
      <w:pPr>
        <w:pStyle w:val="ListParagraph"/>
        <w:numPr>
          <w:ilvl w:val="2"/>
          <w:numId w:val="6"/>
        </w:numPr>
        <w:tabs>
          <w:tab w:val="left" w:pos="567"/>
          <w:tab w:val="left" w:pos="1560"/>
          <w:tab w:val="left" w:pos="5103"/>
        </w:tabs>
        <w:spacing w:line="276" w:lineRule="auto"/>
        <w:ind w:left="1701" w:hanging="567"/>
      </w:pPr>
      <w:r w:rsidRPr="00C841DF">
        <w:t>Reporting Authority</w:t>
      </w:r>
      <w:r w:rsidRPr="00C841DF">
        <w:rPr>
          <w:snapToGrid w:val="0"/>
          <w:lang w:val="en"/>
        </w:rPr>
        <w:t>;</w:t>
      </w:r>
    </w:p>
    <w:p w:rsidR="00E831EC" w:rsidRPr="00C841DF" w:rsidRDefault="00E831EC" w:rsidP="00E831EC">
      <w:pPr>
        <w:pStyle w:val="ListParagraph"/>
        <w:numPr>
          <w:ilvl w:val="2"/>
          <w:numId w:val="6"/>
        </w:numPr>
        <w:tabs>
          <w:tab w:val="left" w:pos="567"/>
          <w:tab w:val="left" w:pos="1560"/>
          <w:tab w:val="left" w:pos="5103"/>
        </w:tabs>
        <w:spacing w:line="276" w:lineRule="auto"/>
        <w:ind w:left="1701" w:hanging="567"/>
      </w:pPr>
      <w:r w:rsidRPr="00C841DF">
        <w:t>Testing station(s) and place(s)</w:t>
      </w:r>
      <w:r w:rsidRPr="00C841DF">
        <w:rPr>
          <w:snapToGrid w:val="0"/>
          <w:lang w:val="en"/>
        </w:rPr>
        <w:t>;</w:t>
      </w:r>
    </w:p>
    <w:p w:rsidR="00E831EC" w:rsidRPr="00C841DF" w:rsidRDefault="00E831EC" w:rsidP="00E831EC">
      <w:pPr>
        <w:pStyle w:val="ListParagraph"/>
        <w:numPr>
          <w:ilvl w:val="2"/>
          <w:numId w:val="6"/>
        </w:numPr>
        <w:tabs>
          <w:tab w:val="left" w:pos="567"/>
          <w:tab w:val="left" w:pos="1560"/>
          <w:tab w:val="left" w:pos="5103"/>
        </w:tabs>
        <w:spacing w:line="276" w:lineRule="auto"/>
        <w:ind w:left="1701" w:hanging="567"/>
      </w:pPr>
      <w:r w:rsidRPr="00C841DF">
        <w:t>Period of testing;</w:t>
      </w:r>
    </w:p>
    <w:p w:rsidR="00E831EC" w:rsidRPr="00C841DF" w:rsidRDefault="00E831EC" w:rsidP="00E831EC">
      <w:pPr>
        <w:pStyle w:val="ListParagraph"/>
        <w:numPr>
          <w:ilvl w:val="2"/>
          <w:numId w:val="6"/>
        </w:numPr>
        <w:tabs>
          <w:tab w:val="left" w:pos="567"/>
          <w:tab w:val="left" w:pos="1560"/>
          <w:tab w:val="left" w:pos="5103"/>
        </w:tabs>
        <w:spacing w:line="276" w:lineRule="auto"/>
        <w:ind w:left="1701" w:hanging="567"/>
      </w:pPr>
      <w:r w:rsidRPr="00C841DF">
        <w:t>Date and place of issue of document</w:t>
      </w:r>
      <w:r w:rsidRPr="00C841DF">
        <w:rPr>
          <w:snapToGrid w:val="0"/>
          <w:lang w:val="en"/>
        </w:rPr>
        <w:t>;</w:t>
      </w:r>
    </w:p>
    <w:p w:rsidR="00E831EC" w:rsidRPr="00C841DF" w:rsidRDefault="00E831EC" w:rsidP="00E831EC">
      <w:pPr>
        <w:pStyle w:val="ListParagraph"/>
        <w:numPr>
          <w:ilvl w:val="2"/>
          <w:numId w:val="6"/>
        </w:numPr>
        <w:tabs>
          <w:tab w:val="left" w:pos="1276"/>
          <w:tab w:val="left" w:pos="1560"/>
        </w:tabs>
        <w:spacing w:line="276" w:lineRule="auto"/>
        <w:ind w:left="1560" w:hanging="426"/>
      </w:pPr>
      <w:r w:rsidRPr="00C841DF">
        <w:t xml:space="preserve">     Group: (Table: Characteristics; States of Expression; Note; Remarks)</w:t>
      </w:r>
      <w:r w:rsidRPr="00C841DF">
        <w:rPr>
          <w:snapToGrid w:val="0"/>
          <w:lang w:val="en"/>
        </w:rPr>
        <w:t>;</w:t>
      </w:r>
    </w:p>
    <w:p w:rsidR="00E831EC" w:rsidRPr="00C841DF" w:rsidRDefault="00E831EC" w:rsidP="00E831EC">
      <w:pPr>
        <w:pStyle w:val="ListParagraph"/>
        <w:numPr>
          <w:ilvl w:val="2"/>
          <w:numId w:val="6"/>
        </w:numPr>
        <w:tabs>
          <w:tab w:val="left" w:pos="1560"/>
        </w:tabs>
        <w:spacing w:line="276" w:lineRule="auto"/>
        <w:ind w:left="1701" w:hanging="567"/>
      </w:pPr>
      <w:r w:rsidRPr="00C841DF">
        <w:t>Additional Information</w:t>
      </w:r>
      <w:r w:rsidRPr="00C841DF">
        <w:rPr>
          <w:snapToGrid w:val="0"/>
          <w:lang w:val="en"/>
        </w:rPr>
        <w:t>;</w:t>
      </w:r>
    </w:p>
    <w:p w:rsidR="00E831EC" w:rsidRPr="00C841DF" w:rsidRDefault="00E831EC" w:rsidP="00E831EC">
      <w:pPr>
        <w:spacing w:line="276" w:lineRule="auto"/>
        <w:ind w:left="1134"/>
      </w:pPr>
      <w:r w:rsidRPr="00C841DF">
        <w:tab/>
        <w:t>(a)</w:t>
      </w:r>
      <w:r w:rsidRPr="00C841DF">
        <w:tab/>
        <w:t>Additional Data</w:t>
      </w:r>
    </w:p>
    <w:p w:rsidR="00E831EC" w:rsidRPr="00C841DF" w:rsidRDefault="00E831EC" w:rsidP="00E831EC">
      <w:pPr>
        <w:spacing w:line="276" w:lineRule="auto"/>
        <w:ind w:left="1134"/>
        <w:rPr>
          <w:color w:val="000000"/>
        </w:rPr>
      </w:pPr>
      <w:r w:rsidRPr="00C841DF">
        <w:tab/>
      </w:r>
      <w:r w:rsidRPr="00C841DF">
        <w:rPr>
          <w:color w:val="000000"/>
        </w:rPr>
        <w:t>(b)</w:t>
      </w:r>
      <w:r w:rsidRPr="00C841DF">
        <w:rPr>
          <w:color w:val="000000"/>
        </w:rPr>
        <w:tab/>
        <w:t>Photograph (if appropriate)</w:t>
      </w:r>
    </w:p>
    <w:p w:rsidR="00E831EC" w:rsidRPr="00C841DF" w:rsidRDefault="00E831EC" w:rsidP="00E831EC">
      <w:pPr>
        <w:spacing w:line="276" w:lineRule="auto"/>
        <w:ind w:left="1134"/>
        <w:rPr>
          <w:color w:val="000000"/>
        </w:rPr>
      </w:pPr>
      <w:r w:rsidRPr="00C841DF">
        <w:tab/>
      </w:r>
      <w:r w:rsidRPr="00C841DF">
        <w:rPr>
          <w:color w:val="000000"/>
        </w:rPr>
        <w:t>(c)</w:t>
      </w:r>
      <w:r w:rsidRPr="00C841DF">
        <w:rPr>
          <w:color w:val="000000"/>
        </w:rPr>
        <w:tab/>
        <w:t>RHS Colour Chart version used (if appropriate)</w:t>
      </w:r>
    </w:p>
    <w:p w:rsidR="00E831EC" w:rsidRPr="00C841DF" w:rsidRDefault="00E831EC" w:rsidP="00E831EC">
      <w:pPr>
        <w:tabs>
          <w:tab w:val="left" w:pos="284"/>
        </w:tabs>
        <w:spacing w:line="276" w:lineRule="auto"/>
        <w:ind w:left="1134"/>
      </w:pPr>
      <w:r w:rsidRPr="00C841DF">
        <w:tab/>
        <w:t>(d)</w:t>
      </w:r>
      <w:r w:rsidRPr="00C841DF">
        <w:tab/>
        <w:t>Remarks</w:t>
      </w:r>
    </w:p>
    <w:p w:rsidR="00E831EC" w:rsidRDefault="00E831EC" w:rsidP="00E831EC">
      <w:pPr>
        <w:rPr>
          <w:snapToGrid w:val="0"/>
        </w:rPr>
      </w:pPr>
    </w:p>
    <w:p w:rsidR="00E831EC" w:rsidRDefault="00E831EC" w:rsidP="00E831EC">
      <w:pPr>
        <w:rPr>
          <w:snapToGrid w:val="0"/>
        </w:rPr>
      </w:pPr>
    </w:p>
    <w:p w:rsidR="00E831EC" w:rsidRPr="00E831EC" w:rsidRDefault="00E831EC" w:rsidP="002A2583">
      <w:pPr>
        <w:keepNext/>
        <w:rPr>
          <w:i/>
          <w:snapToGrid w:val="0"/>
        </w:rPr>
      </w:pPr>
      <w:r w:rsidRPr="00E831EC">
        <w:rPr>
          <w:i/>
          <w:snapToGrid w:val="0"/>
        </w:rPr>
        <w:t>Status of the original variety description in relation to the verification of the conformity of plant material to a protected variety for enforcement of the breeder’s right</w:t>
      </w:r>
    </w:p>
    <w:p w:rsidR="00E831EC" w:rsidRDefault="00E831EC" w:rsidP="002A2583">
      <w:pPr>
        <w:keepNext/>
        <w:rPr>
          <w:snapToGrid w:val="0"/>
        </w:rPr>
      </w:pPr>
    </w:p>
    <w:p w:rsidR="00E831EC" w:rsidRPr="00137CB4" w:rsidRDefault="00E831EC" w:rsidP="00E831EC">
      <w:pPr>
        <w:rPr>
          <w:snapToGrid w:val="0"/>
          <w:spacing w:val="-2"/>
        </w:rPr>
      </w:pPr>
      <w:r w:rsidRPr="00137CB4">
        <w:rPr>
          <w:snapToGrid w:val="0"/>
          <w:spacing w:val="-2"/>
        </w:rPr>
        <w:fldChar w:fldCharType="begin"/>
      </w:r>
      <w:r w:rsidRPr="00137CB4">
        <w:rPr>
          <w:snapToGrid w:val="0"/>
          <w:spacing w:val="-2"/>
        </w:rPr>
        <w:instrText xml:space="preserve"> AUTONUM  </w:instrText>
      </w:r>
      <w:r w:rsidRPr="00137CB4">
        <w:rPr>
          <w:snapToGrid w:val="0"/>
          <w:spacing w:val="-2"/>
        </w:rPr>
        <w:fldChar w:fldCharType="end"/>
      </w:r>
      <w:r w:rsidRPr="00137CB4">
        <w:rPr>
          <w:snapToGrid w:val="0"/>
          <w:spacing w:val="-2"/>
        </w:rPr>
        <w:tab/>
        <w:t>The CAJ-AG</w:t>
      </w:r>
      <w:r w:rsidRPr="00137CB4">
        <w:rPr>
          <w:rStyle w:val="FootnoteReference"/>
          <w:spacing w:val="-2"/>
        </w:rPr>
        <w:footnoteReference w:id="32"/>
      </w:r>
      <w:r w:rsidRPr="00137CB4">
        <w:rPr>
          <w:spacing w:val="-2"/>
        </w:rPr>
        <w:t xml:space="preserve"> </w:t>
      </w:r>
      <w:r w:rsidRPr="00137CB4">
        <w:rPr>
          <w:snapToGrid w:val="0"/>
          <w:spacing w:val="-2"/>
        </w:rPr>
        <w:t>considered the status of the original variety description in relation to the verification of plant material of a protected variety for the purposes of enforcement of the breeder’s right and noted that UPOV guidance on the enforcement of breeders’ rights contained in document UPOV/EXN/ENF/1 “Explanatory notes on the enforcement of breeders’ rights under the UPOV Convention” explains as follows</w:t>
      </w:r>
      <w:r w:rsidRPr="00137CB4">
        <w:rPr>
          <w:rStyle w:val="FootnoteReference"/>
          <w:snapToGrid w:val="0"/>
          <w:spacing w:val="-2"/>
        </w:rPr>
        <w:footnoteReference w:id="33"/>
      </w:r>
      <w:r w:rsidRPr="00137CB4">
        <w:rPr>
          <w:snapToGrid w:val="0"/>
          <w:spacing w:val="-2"/>
        </w:rPr>
        <w:t xml:space="preserve">: </w:t>
      </w:r>
    </w:p>
    <w:p w:rsidR="00E831EC" w:rsidRPr="00C841DF" w:rsidRDefault="00E831EC" w:rsidP="00E831EC">
      <w:pPr>
        <w:pStyle w:val="ListParagraph"/>
        <w:rPr>
          <w:snapToGrid w:val="0"/>
        </w:rPr>
      </w:pPr>
    </w:p>
    <w:p w:rsidR="00E831EC" w:rsidRPr="00C841DF" w:rsidRDefault="00E831EC" w:rsidP="00E831EC">
      <w:pPr>
        <w:pStyle w:val="ListParagraph"/>
        <w:ind w:left="567"/>
        <w:rPr>
          <w:snapToGrid w:val="0"/>
          <w:sz w:val="18"/>
        </w:rPr>
      </w:pPr>
      <w:r w:rsidRPr="00C841DF">
        <w:rPr>
          <w:snapToGrid w:val="0"/>
          <w:sz w:val="18"/>
        </w:rPr>
        <w:t xml:space="preserve">“SECTION II: Some possible measures for the enforcement of breeders’ rights </w:t>
      </w:r>
    </w:p>
    <w:p w:rsidR="00E831EC" w:rsidRPr="00C841DF" w:rsidRDefault="00E831EC" w:rsidP="00E831EC">
      <w:pPr>
        <w:pStyle w:val="ListParagraph"/>
        <w:ind w:left="567"/>
        <w:rPr>
          <w:snapToGrid w:val="0"/>
          <w:sz w:val="18"/>
        </w:rPr>
      </w:pPr>
    </w:p>
    <w:p w:rsidR="00E831EC" w:rsidRPr="00C841DF" w:rsidRDefault="00E831EC" w:rsidP="00E831EC">
      <w:pPr>
        <w:pStyle w:val="ListParagraph"/>
        <w:ind w:left="567" w:right="567"/>
        <w:rPr>
          <w:snapToGrid w:val="0"/>
          <w:sz w:val="18"/>
        </w:rPr>
      </w:pPr>
      <w:r w:rsidRPr="00C841DF">
        <w:rPr>
          <w:snapToGrid w:val="0"/>
          <w:sz w:val="18"/>
        </w:rPr>
        <w:t>“While the UPOV Convention requires members of the Union to provide for appropriate legal remedies for the effective enforcement of breeders’ rights, it is a matter for breeders to enforce their rights.”</w:t>
      </w:r>
    </w:p>
    <w:p w:rsidR="00E831EC" w:rsidRPr="00C841DF" w:rsidRDefault="00E831EC" w:rsidP="00E831EC">
      <w:pPr>
        <w:pStyle w:val="ListParagraph"/>
        <w:ind w:left="567" w:right="567"/>
        <w:rPr>
          <w:snapToGrid w:val="0"/>
          <w:sz w:val="18"/>
        </w:rPr>
      </w:pPr>
      <w:r w:rsidRPr="00C841DF">
        <w:rPr>
          <w:snapToGrid w:val="0"/>
          <w:sz w:val="18"/>
        </w:rPr>
        <w:t>[…]</w:t>
      </w:r>
    </w:p>
    <w:p w:rsidR="00E831EC" w:rsidRPr="00C841DF" w:rsidRDefault="00E831EC" w:rsidP="00E831EC">
      <w:pPr>
        <w:rPr>
          <w:snapToGrid w:val="0"/>
        </w:rPr>
      </w:pPr>
      <w:r w:rsidRPr="00C841DF">
        <w:rPr>
          <w:snapToGrid w:val="0"/>
        </w:rPr>
        <w:lastRenderedPageBreak/>
        <w:fldChar w:fldCharType="begin"/>
      </w:r>
      <w:r w:rsidRPr="00C841DF">
        <w:rPr>
          <w:snapToGrid w:val="0"/>
        </w:rPr>
        <w:instrText xml:space="preserve"> AUTONUM  </w:instrText>
      </w:r>
      <w:r w:rsidRPr="00C841DF">
        <w:rPr>
          <w:snapToGrid w:val="0"/>
        </w:rPr>
        <w:fldChar w:fldCharType="end"/>
      </w:r>
      <w:r w:rsidRPr="00C841DF">
        <w:rPr>
          <w:snapToGrid w:val="0"/>
        </w:rPr>
        <w:tab/>
        <w:t>The CAJ-AG agreed that, in relation to the use of the original variety description, it should be recalled that the description of the variety characteristics and the basis for distinctness from the most similar variety are linked to the circumstances of the DUS examination, as set out in paragraph 10 (c) of this document, namely</w:t>
      </w:r>
      <w:r>
        <w:rPr>
          <w:rStyle w:val="FootnoteReference"/>
          <w:snapToGrid w:val="0"/>
        </w:rPr>
        <w:footnoteReference w:id="34"/>
      </w:r>
      <w:r w:rsidRPr="00C841DF">
        <w:rPr>
          <w:snapToGrid w:val="0"/>
        </w:rPr>
        <w:t>:</w:t>
      </w:r>
    </w:p>
    <w:p w:rsidR="00E831EC" w:rsidRPr="00C841DF" w:rsidRDefault="00E831EC" w:rsidP="00E831EC">
      <w:pPr>
        <w:rPr>
          <w:snapToGrid w:val="0"/>
        </w:rPr>
      </w:pPr>
    </w:p>
    <w:p w:rsidR="00E831EC" w:rsidRPr="00C841DF" w:rsidRDefault="00E831EC" w:rsidP="00E831EC">
      <w:pPr>
        <w:pStyle w:val="ListParagraph"/>
        <w:keepNext/>
        <w:numPr>
          <w:ilvl w:val="2"/>
          <w:numId w:val="6"/>
        </w:numPr>
        <w:tabs>
          <w:tab w:val="left" w:pos="567"/>
          <w:tab w:val="left" w:pos="1560"/>
        </w:tabs>
        <w:spacing w:line="276" w:lineRule="auto"/>
        <w:ind w:left="1701" w:hanging="567"/>
      </w:pPr>
      <w:r w:rsidRPr="00C841DF">
        <w:t>Date and document number of UPOV Test Guidelines</w:t>
      </w:r>
      <w:r w:rsidRPr="00C841DF">
        <w:rPr>
          <w:snapToGrid w:val="0"/>
          <w:lang w:val="en"/>
        </w:rPr>
        <w:t>;</w:t>
      </w:r>
    </w:p>
    <w:p w:rsidR="00E831EC" w:rsidRPr="00C841DF" w:rsidRDefault="00E831EC" w:rsidP="00E831EC">
      <w:pPr>
        <w:pStyle w:val="ListParagraph"/>
        <w:numPr>
          <w:ilvl w:val="2"/>
          <w:numId w:val="6"/>
        </w:numPr>
        <w:tabs>
          <w:tab w:val="left" w:pos="567"/>
          <w:tab w:val="left" w:pos="1560"/>
          <w:tab w:val="left" w:pos="5103"/>
        </w:tabs>
        <w:spacing w:line="276" w:lineRule="auto"/>
        <w:ind w:left="1701" w:hanging="567"/>
      </w:pPr>
      <w:r w:rsidRPr="00C841DF">
        <w:t>Date and/or document number of Reporting Authority’s test guidelines</w:t>
      </w:r>
      <w:r w:rsidRPr="00C841DF">
        <w:rPr>
          <w:snapToGrid w:val="0"/>
          <w:lang w:val="en"/>
        </w:rPr>
        <w:t>;</w:t>
      </w:r>
    </w:p>
    <w:p w:rsidR="00E831EC" w:rsidRPr="00C841DF" w:rsidRDefault="00E831EC" w:rsidP="00E831EC">
      <w:pPr>
        <w:pStyle w:val="ListParagraph"/>
        <w:numPr>
          <w:ilvl w:val="2"/>
          <w:numId w:val="6"/>
        </w:numPr>
        <w:tabs>
          <w:tab w:val="left" w:pos="567"/>
          <w:tab w:val="left" w:pos="1560"/>
          <w:tab w:val="left" w:pos="5103"/>
        </w:tabs>
        <w:spacing w:line="276" w:lineRule="auto"/>
        <w:ind w:left="1701" w:hanging="567"/>
      </w:pPr>
      <w:r w:rsidRPr="00C841DF">
        <w:t>Reporting Authority</w:t>
      </w:r>
      <w:r w:rsidRPr="00C841DF">
        <w:rPr>
          <w:snapToGrid w:val="0"/>
          <w:lang w:val="en"/>
        </w:rPr>
        <w:t>;</w:t>
      </w:r>
    </w:p>
    <w:p w:rsidR="00E831EC" w:rsidRPr="00C841DF" w:rsidRDefault="00E831EC" w:rsidP="00E831EC">
      <w:pPr>
        <w:pStyle w:val="ListParagraph"/>
        <w:numPr>
          <w:ilvl w:val="2"/>
          <w:numId w:val="6"/>
        </w:numPr>
        <w:tabs>
          <w:tab w:val="left" w:pos="567"/>
          <w:tab w:val="left" w:pos="1560"/>
          <w:tab w:val="left" w:pos="5103"/>
        </w:tabs>
        <w:spacing w:line="276" w:lineRule="auto"/>
        <w:ind w:left="1701" w:hanging="567"/>
      </w:pPr>
      <w:r w:rsidRPr="00C841DF">
        <w:t>Testing station(s) and place(s)</w:t>
      </w:r>
      <w:r w:rsidRPr="00C841DF">
        <w:rPr>
          <w:snapToGrid w:val="0"/>
          <w:lang w:val="en"/>
        </w:rPr>
        <w:t>;</w:t>
      </w:r>
    </w:p>
    <w:p w:rsidR="00E831EC" w:rsidRPr="00C841DF" w:rsidRDefault="00E831EC" w:rsidP="00E831EC">
      <w:pPr>
        <w:pStyle w:val="ListParagraph"/>
        <w:numPr>
          <w:ilvl w:val="2"/>
          <w:numId w:val="6"/>
        </w:numPr>
        <w:tabs>
          <w:tab w:val="left" w:pos="567"/>
          <w:tab w:val="left" w:pos="1560"/>
          <w:tab w:val="left" w:pos="5103"/>
        </w:tabs>
        <w:spacing w:line="276" w:lineRule="auto"/>
        <w:ind w:left="1701" w:hanging="567"/>
      </w:pPr>
      <w:r w:rsidRPr="00C841DF">
        <w:t>Period of testing</w:t>
      </w:r>
      <w:r w:rsidRPr="00C841DF">
        <w:rPr>
          <w:snapToGrid w:val="0"/>
          <w:lang w:val="en"/>
        </w:rPr>
        <w:t>;</w:t>
      </w:r>
    </w:p>
    <w:p w:rsidR="00E831EC" w:rsidRPr="00C841DF" w:rsidRDefault="00E831EC" w:rsidP="00E831EC">
      <w:pPr>
        <w:pStyle w:val="ListParagraph"/>
        <w:numPr>
          <w:ilvl w:val="2"/>
          <w:numId w:val="6"/>
        </w:numPr>
        <w:tabs>
          <w:tab w:val="left" w:pos="567"/>
          <w:tab w:val="left" w:pos="1560"/>
          <w:tab w:val="left" w:pos="5103"/>
        </w:tabs>
        <w:spacing w:line="276" w:lineRule="auto"/>
        <w:ind w:left="1701" w:hanging="567"/>
      </w:pPr>
      <w:r w:rsidRPr="00C841DF">
        <w:t>Date and place of issue of document</w:t>
      </w:r>
      <w:r w:rsidRPr="00C841DF">
        <w:rPr>
          <w:snapToGrid w:val="0"/>
          <w:lang w:val="en"/>
        </w:rPr>
        <w:t>;</w:t>
      </w:r>
    </w:p>
    <w:p w:rsidR="00E831EC" w:rsidRPr="00C841DF" w:rsidRDefault="00E831EC" w:rsidP="00E831EC">
      <w:pPr>
        <w:pStyle w:val="ListParagraph"/>
        <w:numPr>
          <w:ilvl w:val="2"/>
          <w:numId w:val="6"/>
        </w:numPr>
        <w:tabs>
          <w:tab w:val="left" w:pos="1560"/>
        </w:tabs>
        <w:spacing w:line="276" w:lineRule="auto"/>
        <w:ind w:left="1560" w:hanging="426"/>
      </w:pPr>
      <w:r w:rsidRPr="00C841DF">
        <w:t>Group: (Table: Characteristics; States of Expression; Note; Remarks)</w:t>
      </w:r>
      <w:r w:rsidRPr="00C841DF">
        <w:rPr>
          <w:snapToGrid w:val="0"/>
          <w:lang w:val="en"/>
        </w:rPr>
        <w:t>;</w:t>
      </w:r>
    </w:p>
    <w:p w:rsidR="00E831EC" w:rsidRPr="00C841DF" w:rsidRDefault="00E831EC" w:rsidP="00E831EC">
      <w:pPr>
        <w:pStyle w:val="ListParagraph"/>
        <w:numPr>
          <w:ilvl w:val="2"/>
          <w:numId w:val="6"/>
        </w:numPr>
        <w:tabs>
          <w:tab w:val="left" w:pos="1560"/>
        </w:tabs>
        <w:spacing w:line="276" w:lineRule="auto"/>
        <w:ind w:left="1701" w:hanging="567"/>
      </w:pPr>
      <w:r w:rsidRPr="00C841DF">
        <w:t>Additional Information;</w:t>
      </w:r>
    </w:p>
    <w:p w:rsidR="00E831EC" w:rsidRPr="00C841DF" w:rsidRDefault="00E831EC" w:rsidP="00E831EC">
      <w:pPr>
        <w:spacing w:line="276" w:lineRule="auto"/>
        <w:ind w:left="1134"/>
      </w:pPr>
      <w:r w:rsidRPr="00C841DF">
        <w:tab/>
        <w:t>(a)</w:t>
      </w:r>
      <w:r w:rsidRPr="00C841DF">
        <w:tab/>
        <w:t>Additional Data</w:t>
      </w:r>
    </w:p>
    <w:p w:rsidR="00E831EC" w:rsidRPr="00C841DF" w:rsidRDefault="00E831EC" w:rsidP="00E831EC">
      <w:pPr>
        <w:spacing w:line="276" w:lineRule="auto"/>
        <w:ind w:left="1134"/>
        <w:rPr>
          <w:color w:val="000000"/>
        </w:rPr>
      </w:pPr>
      <w:r w:rsidRPr="00C841DF">
        <w:tab/>
      </w:r>
      <w:r w:rsidRPr="00C841DF">
        <w:rPr>
          <w:color w:val="000000"/>
        </w:rPr>
        <w:t>(b)</w:t>
      </w:r>
      <w:r w:rsidRPr="00C841DF">
        <w:rPr>
          <w:color w:val="000000"/>
        </w:rPr>
        <w:tab/>
        <w:t>Photograph (if appropriate)</w:t>
      </w:r>
    </w:p>
    <w:p w:rsidR="00E831EC" w:rsidRPr="00C841DF" w:rsidRDefault="00E831EC" w:rsidP="00E831EC">
      <w:pPr>
        <w:spacing w:line="276" w:lineRule="auto"/>
        <w:ind w:left="1134"/>
        <w:rPr>
          <w:color w:val="000000"/>
        </w:rPr>
      </w:pPr>
      <w:r w:rsidRPr="00C841DF">
        <w:tab/>
      </w:r>
      <w:r w:rsidRPr="00C841DF">
        <w:rPr>
          <w:color w:val="000000"/>
        </w:rPr>
        <w:t>(c)</w:t>
      </w:r>
      <w:r w:rsidRPr="00C841DF">
        <w:rPr>
          <w:color w:val="000000"/>
        </w:rPr>
        <w:tab/>
        <w:t>RHS Colour Chart version used (if appropriate)</w:t>
      </w:r>
    </w:p>
    <w:p w:rsidR="00E831EC" w:rsidRDefault="00E831EC" w:rsidP="00E831EC">
      <w:pPr>
        <w:tabs>
          <w:tab w:val="left" w:pos="284"/>
        </w:tabs>
        <w:spacing w:line="276" w:lineRule="auto"/>
        <w:ind w:left="1134"/>
      </w:pPr>
      <w:r w:rsidRPr="00C841DF">
        <w:tab/>
        <w:t>(d)</w:t>
      </w:r>
      <w:r w:rsidRPr="00C841DF">
        <w:tab/>
        <w:t>Remarks</w:t>
      </w:r>
    </w:p>
    <w:p w:rsidR="00E831EC" w:rsidRDefault="00E831EC" w:rsidP="00E831EC">
      <w:pPr>
        <w:tabs>
          <w:tab w:val="left" w:pos="284"/>
        </w:tabs>
        <w:spacing w:line="276" w:lineRule="auto"/>
        <w:ind w:left="1134"/>
      </w:pPr>
    </w:p>
    <w:p w:rsidR="00280480" w:rsidRDefault="00280480" w:rsidP="00280480">
      <w:pPr>
        <w:pStyle w:val="DecisionParagraphs"/>
      </w:pPr>
      <w:r w:rsidRPr="0050638A">
        <w:fldChar w:fldCharType="begin"/>
      </w:r>
      <w:r w:rsidRPr="0050638A">
        <w:instrText xml:space="preserve"> AUTONUM  </w:instrText>
      </w:r>
      <w:r w:rsidRPr="0050638A">
        <w:fldChar w:fldCharType="end"/>
      </w:r>
      <w:r w:rsidRPr="0050638A">
        <w:tab/>
        <w:t>The CAJ is invited to</w:t>
      </w:r>
      <w:r w:rsidRPr="00131904">
        <w:t xml:space="preserve"> </w:t>
      </w:r>
      <w:r>
        <w:t>consider the conclusions of the CAJ-AG</w:t>
      </w:r>
      <w:r w:rsidR="004C4C27">
        <w:t xml:space="preserve"> on</w:t>
      </w:r>
      <w:r>
        <w:t>:</w:t>
      </w:r>
    </w:p>
    <w:p w:rsidR="00280480" w:rsidRDefault="00280480" w:rsidP="00280480">
      <w:pPr>
        <w:pStyle w:val="DecisionParagraphs"/>
      </w:pPr>
    </w:p>
    <w:p w:rsidR="004C4C27" w:rsidRPr="00653C88" w:rsidRDefault="004C4C27" w:rsidP="00653C88">
      <w:pPr>
        <w:pStyle w:val="DecisionParagraphs"/>
        <w:tabs>
          <w:tab w:val="left" w:pos="5954"/>
        </w:tabs>
      </w:pPr>
      <w:r>
        <w:tab/>
      </w:r>
      <w:r w:rsidR="00280480">
        <w:t>(a)</w:t>
      </w:r>
      <w:r w:rsidR="00280480">
        <w:tab/>
      </w:r>
      <w:r>
        <w:t>the p</w:t>
      </w:r>
      <w:r w:rsidR="00280480" w:rsidRPr="00280480">
        <w:t xml:space="preserve">urpose(s) of the variety description developed at the time of the grant of the breeder’s </w:t>
      </w:r>
      <w:r w:rsidR="00280480" w:rsidRPr="00653C88">
        <w:t>right (original variety description)</w:t>
      </w:r>
      <w:r w:rsidRPr="00653C88">
        <w:t xml:space="preserve">, as set out in paragraph 37; and </w:t>
      </w:r>
    </w:p>
    <w:p w:rsidR="004C4C27" w:rsidRPr="00653C88" w:rsidRDefault="004C4C27" w:rsidP="00653C88">
      <w:pPr>
        <w:pStyle w:val="DecisionParagraphs"/>
        <w:tabs>
          <w:tab w:val="left" w:pos="5954"/>
        </w:tabs>
      </w:pPr>
    </w:p>
    <w:p w:rsidR="00280480" w:rsidRDefault="004C4C27" w:rsidP="00653C88">
      <w:pPr>
        <w:pStyle w:val="DecisionParagraphs"/>
        <w:tabs>
          <w:tab w:val="left" w:pos="5954"/>
        </w:tabs>
      </w:pPr>
      <w:r w:rsidRPr="00653C88">
        <w:tab/>
        <w:t xml:space="preserve">(b) </w:t>
      </w:r>
      <w:r w:rsidR="006D15FD" w:rsidRPr="00653C88">
        <w:tab/>
        <w:t>the s</w:t>
      </w:r>
      <w:r w:rsidRPr="00653C88">
        <w:t>tatus of the original variety description in relation to the verification of the conformity of plant material to a protected variety for enforcement of the breeder’s right, as set out in paragraphs 38 and 39.</w:t>
      </w:r>
    </w:p>
    <w:p w:rsidR="00280480" w:rsidRDefault="00280480" w:rsidP="002A2583"/>
    <w:p w:rsidR="00280480" w:rsidRPr="00280480" w:rsidRDefault="00280480" w:rsidP="00280480"/>
    <w:p w:rsidR="003B2467" w:rsidRPr="00E831EC" w:rsidRDefault="003B2467" w:rsidP="00E831EC">
      <w:pPr>
        <w:pStyle w:val="Heading2"/>
      </w:pPr>
      <w:bookmarkStart w:id="15" w:name="_Toc413059226"/>
      <w:r w:rsidRPr="00E831EC">
        <w:t>Variety denominations (document CAJ/71/3)</w:t>
      </w:r>
      <w:bookmarkEnd w:id="15"/>
    </w:p>
    <w:p w:rsidR="003B2467" w:rsidRDefault="003B2467" w:rsidP="00AA420B">
      <w:pPr>
        <w:keepNext/>
      </w:pPr>
    </w:p>
    <w:p w:rsidR="00075BFC" w:rsidRDefault="00075BFC" w:rsidP="00075BFC">
      <w:pPr>
        <w:rPr>
          <w:kern w:val="28"/>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00131904">
        <w:rPr>
          <w:rFonts w:cs="Arial"/>
          <w:snapToGrid w:val="0"/>
        </w:rPr>
        <w:t xml:space="preserve">A </w:t>
      </w:r>
      <w:r w:rsidRPr="00075BFC">
        <w:rPr>
          <w:rFonts w:cs="Arial"/>
          <w:snapToGrid w:val="0"/>
        </w:rPr>
        <w:t xml:space="preserve">report on the work concerning </w:t>
      </w:r>
      <w:r w:rsidRPr="00075BFC">
        <w:rPr>
          <w:rFonts w:cs="Arial"/>
          <w:snapToGrid w:val="0"/>
          <w:lang w:eastAsia="ja-JP"/>
        </w:rPr>
        <w:t xml:space="preserve">the </w:t>
      </w:r>
      <w:r w:rsidRPr="00075BFC">
        <w:rPr>
          <w:rFonts w:cs="Arial" w:hint="eastAsia"/>
          <w:snapToGrid w:val="0"/>
          <w:lang w:eastAsia="ja-JP"/>
        </w:rPr>
        <w:t>development of a UPOV similarity search tool for variety denomination purposes and</w:t>
      </w:r>
      <w:r w:rsidRPr="00075BFC">
        <w:t xml:space="preserve"> proposals concerning </w:t>
      </w:r>
      <w:r w:rsidRPr="00075BFC">
        <w:rPr>
          <w:rFonts w:cs="Arial"/>
          <w:snapToGrid w:val="0"/>
          <w:lang w:eastAsia="ja-JP"/>
        </w:rPr>
        <w:t xml:space="preserve">a possible revision </w:t>
      </w:r>
      <w:r w:rsidRPr="00075BFC">
        <w:rPr>
          <w:rFonts w:cs="Arial"/>
        </w:rPr>
        <w:t>of the “Explanatory Notes on Variety Denominations under the UPOV Convention” (document UPOV/INF/12/4)</w:t>
      </w:r>
      <w:r w:rsidRPr="00075BFC">
        <w:rPr>
          <w:rFonts w:cs="Arial"/>
          <w:snapToGrid w:val="0"/>
        </w:rPr>
        <w:t xml:space="preserve"> </w:t>
      </w:r>
      <w:r>
        <w:rPr>
          <w:rFonts w:cs="Arial"/>
          <w:snapToGrid w:val="0"/>
        </w:rPr>
        <w:t>is provided</w:t>
      </w:r>
      <w:r w:rsidRPr="00075BFC">
        <w:rPr>
          <w:rFonts w:cs="Arial"/>
          <w:snapToGrid w:val="0"/>
        </w:rPr>
        <w:t xml:space="preserve"> in </w:t>
      </w:r>
      <w:r w:rsidRPr="00075BFC">
        <w:rPr>
          <w:kern w:val="28"/>
        </w:rPr>
        <w:t>document CAJ/71/3</w:t>
      </w:r>
      <w:r>
        <w:rPr>
          <w:kern w:val="28"/>
        </w:rPr>
        <w:t xml:space="preserve"> “Variety denominations”.</w:t>
      </w:r>
    </w:p>
    <w:p w:rsidR="00131904" w:rsidRDefault="00131904" w:rsidP="00131904">
      <w:pPr>
        <w:tabs>
          <w:tab w:val="left" w:pos="567"/>
        </w:tabs>
      </w:pPr>
    </w:p>
    <w:p w:rsidR="00131904" w:rsidRDefault="00131904" w:rsidP="00131904">
      <w:pPr>
        <w:pStyle w:val="DecisionParagraphs"/>
      </w:pPr>
      <w:r w:rsidRPr="0050638A">
        <w:fldChar w:fldCharType="begin"/>
      </w:r>
      <w:r w:rsidRPr="0050638A">
        <w:instrText xml:space="preserve"> AUTONUM  </w:instrText>
      </w:r>
      <w:r w:rsidRPr="0050638A">
        <w:fldChar w:fldCharType="end"/>
      </w:r>
      <w:r w:rsidRPr="0050638A">
        <w:tab/>
        <w:t>The CAJ is invited to</w:t>
      </w:r>
      <w:r w:rsidRPr="00131904">
        <w:t xml:space="preserve"> </w:t>
      </w:r>
      <w:r>
        <w:t xml:space="preserve">note that a </w:t>
      </w:r>
      <w:r w:rsidRPr="00131904">
        <w:t xml:space="preserve">report on work concerning the possible development of a UPOV similarity search tool for variety denomination purposes and </w:t>
      </w:r>
      <w:r>
        <w:t>proposals concerning a</w:t>
      </w:r>
      <w:r w:rsidRPr="00131904">
        <w:t xml:space="preserve"> possible revision of document UPOV/INF/12/4 “Explanatory Notes on Variety Denominations under the UPOV Convention” </w:t>
      </w:r>
      <w:r>
        <w:t>are</w:t>
      </w:r>
      <w:r w:rsidRPr="00131904">
        <w:t xml:space="preserve"> provided in document CAJ/71/3 “Variety denominations</w:t>
      </w:r>
      <w:r w:rsidR="00137CB4">
        <w:t>”.</w:t>
      </w:r>
    </w:p>
    <w:p w:rsidR="00075BFC" w:rsidRPr="00822A3B" w:rsidRDefault="00075BFC" w:rsidP="00075BFC"/>
    <w:p w:rsidR="00891783" w:rsidRDefault="00891783" w:rsidP="003B2467"/>
    <w:p w:rsidR="002A2583" w:rsidRDefault="002A2583" w:rsidP="003B2467"/>
    <w:p w:rsidR="00137CB4" w:rsidRDefault="00137CB4">
      <w:pPr>
        <w:jc w:val="left"/>
        <w:rPr>
          <w:caps/>
        </w:rPr>
      </w:pPr>
      <w:bookmarkStart w:id="16" w:name="_Toc413059227"/>
      <w:r>
        <w:br w:type="page"/>
      </w:r>
    </w:p>
    <w:p w:rsidR="00891783" w:rsidRPr="00030239" w:rsidRDefault="00891783" w:rsidP="006D15FD">
      <w:pPr>
        <w:pStyle w:val="Heading1"/>
      </w:pPr>
      <w:bookmarkStart w:id="17" w:name="_GoBack"/>
      <w:bookmarkEnd w:id="17"/>
      <w:r w:rsidRPr="00030239">
        <w:lastRenderedPageBreak/>
        <w:t>Matters concerning observers in the CAJ-AG</w:t>
      </w:r>
      <w:bookmarkEnd w:id="16"/>
    </w:p>
    <w:p w:rsidR="00891783" w:rsidRPr="00030239" w:rsidRDefault="00891783" w:rsidP="00891783">
      <w:pPr>
        <w:keepNext/>
      </w:pPr>
    </w:p>
    <w:p w:rsidR="00891783" w:rsidRDefault="00891783" w:rsidP="00891783">
      <w:pPr>
        <w:rPr>
          <w:rFonts w:cs="Arial"/>
        </w:rPr>
      </w:pPr>
      <w:r w:rsidRPr="00030239">
        <w:fldChar w:fldCharType="begin"/>
      </w:r>
      <w:r w:rsidRPr="00030239">
        <w:instrText xml:space="preserve"> AUTONUM  </w:instrText>
      </w:r>
      <w:r w:rsidRPr="00030239">
        <w:fldChar w:fldCharType="end"/>
      </w:r>
      <w:r w:rsidRPr="00030239">
        <w:tab/>
      </w:r>
      <w:r w:rsidRPr="00030239">
        <w:rPr>
          <w:rFonts w:cs="Arial"/>
        </w:rPr>
        <w:t>The CAJ</w:t>
      </w:r>
      <w:r>
        <w:rPr>
          <w:rFonts w:cs="Arial"/>
        </w:rPr>
        <w:t>-</w:t>
      </w:r>
      <w:r w:rsidRPr="00030239">
        <w:rPr>
          <w:rFonts w:cs="Arial"/>
        </w:rPr>
        <w:t>AG</w:t>
      </w:r>
      <w:r w:rsidR="00F4074C">
        <w:rPr>
          <w:rStyle w:val="FootnoteReference"/>
          <w:rFonts w:cs="Arial"/>
        </w:rPr>
        <w:footnoteReference w:id="35"/>
      </w:r>
      <w:r w:rsidR="00B20B9F">
        <w:rPr>
          <w:rFonts w:cs="Arial"/>
        </w:rPr>
        <w:t xml:space="preserve"> </w:t>
      </w:r>
      <w:r w:rsidRPr="00030239">
        <w:rPr>
          <w:rFonts w:cs="Arial"/>
        </w:rPr>
        <w:t>considered document CAJ-AG/14/9/5</w:t>
      </w:r>
      <w:r w:rsidR="00F32866">
        <w:rPr>
          <w:rFonts w:cs="Arial"/>
        </w:rPr>
        <w:t xml:space="preserve"> “</w:t>
      </w:r>
      <w:r w:rsidR="00F32866" w:rsidRPr="00030239">
        <w:t>Matters concerning observers in the CAJ-AG</w:t>
      </w:r>
      <w:r w:rsidR="00F32866">
        <w:t>”</w:t>
      </w:r>
      <w:r w:rsidRPr="00030239">
        <w:rPr>
          <w:rFonts w:cs="Arial"/>
        </w:rPr>
        <w:t xml:space="preserve"> and </w:t>
      </w:r>
      <w:r>
        <w:rPr>
          <w:rFonts w:cs="Arial"/>
        </w:rPr>
        <w:t xml:space="preserve">agreed </w:t>
      </w:r>
      <w:r w:rsidRPr="00030239">
        <w:rPr>
          <w:rFonts w:cs="Arial"/>
        </w:rPr>
        <w:t xml:space="preserve">that </w:t>
      </w:r>
      <w:r>
        <w:rPr>
          <w:rFonts w:cs="Arial"/>
        </w:rPr>
        <w:t xml:space="preserve">the matter </w:t>
      </w:r>
      <w:r w:rsidRPr="00030239">
        <w:rPr>
          <w:rFonts w:cs="Arial"/>
        </w:rPr>
        <w:t>should be considered by the CAJ at the appropriate time.</w:t>
      </w:r>
      <w:r w:rsidR="00B20B9F">
        <w:rPr>
          <w:rStyle w:val="FootnoteReference"/>
          <w:rFonts w:cs="Arial"/>
        </w:rPr>
        <w:footnoteReference w:id="36"/>
      </w:r>
    </w:p>
    <w:p w:rsidR="00653017" w:rsidRDefault="00653017" w:rsidP="00653017"/>
    <w:p w:rsidR="00653017" w:rsidRPr="00131904" w:rsidRDefault="00653017" w:rsidP="00653017">
      <w:pPr>
        <w:tabs>
          <w:tab w:val="left" w:pos="567"/>
        </w:tabs>
      </w:pPr>
      <w:r>
        <w:fldChar w:fldCharType="begin"/>
      </w:r>
      <w:r>
        <w:instrText xml:space="preserve"> AUTONUM  </w:instrText>
      </w:r>
      <w:r>
        <w:fldChar w:fldCharType="end"/>
      </w:r>
      <w:r>
        <w:tab/>
      </w:r>
      <w:r w:rsidR="006D15FD">
        <w:t xml:space="preserve">On the above basis, </w:t>
      </w:r>
      <w:r w:rsidRPr="00131904">
        <w:t xml:space="preserve">it is proposed to consider matters concerning observers in the CAJ-AG </w:t>
      </w:r>
      <w:r w:rsidR="006D15FD">
        <w:t>in the event that a session of the CAJ-AG is convened by the CAJ.</w:t>
      </w:r>
      <w:r w:rsidRPr="00131904">
        <w:rPr>
          <w:rStyle w:val="FootnoteReference"/>
        </w:rPr>
        <w:footnoteReference w:id="37"/>
      </w:r>
      <w:r w:rsidRPr="00131904">
        <w:t xml:space="preserve">  </w:t>
      </w:r>
    </w:p>
    <w:p w:rsidR="00891783" w:rsidRPr="00131904" w:rsidRDefault="00891783" w:rsidP="00891783">
      <w:pPr>
        <w:rPr>
          <w:rFonts w:cs="Arial"/>
        </w:rPr>
      </w:pPr>
    </w:p>
    <w:p w:rsidR="00653017" w:rsidRDefault="00891783" w:rsidP="00891783">
      <w:r w:rsidRPr="00131904">
        <w:fldChar w:fldCharType="begin"/>
      </w:r>
      <w:r w:rsidRPr="00131904">
        <w:instrText xml:space="preserve"> AUTONUM  </w:instrText>
      </w:r>
      <w:r w:rsidRPr="00131904">
        <w:fldChar w:fldCharType="end"/>
      </w:r>
      <w:r w:rsidRPr="00131904">
        <w:tab/>
        <w:t>The CAJ-AG suggested to the CAJ to consider the merits of inviting written comments from members and observers on relevant CAJ documents before the CAJ sessions.</w:t>
      </w:r>
      <w:r w:rsidR="006D15FD" w:rsidRPr="006D15FD">
        <w:rPr>
          <w:rStyle w:val="FootnoteReference"/>
          <w:rFonts w:cs="Arial"/>
        </w:rPr>
        <w:t xml:space="preserve"> </w:t>
      </w:r>
      <w:r w:rsidR="006D15FD">
        <w:rPr>
          <w:rStyle w:val="FootnoteReference"/>
          <w:rFonts w:cs="Arial"/>
        </w:rPr>
        <w:footnoteReference w:id="38"/>
      </w:r>
    </w:p>
    <w:p w:rsidR="00653017" w:rsidRDefault="00653017" w:rsidP="00653017">
      <w:pPr>
        <w:tabs>
          <w:tab w:val="left" w:pos="567"/>
        </w:tabs>
      </w:pPr>
    </w:p>
    <w:p w:rsidR="00F32866" w:rsidRDefault="00653017" w:rsidP="00653017">
      <w:pPr>
        <w:pStyle w:val="DecisionParagraphs"/>
      </w:pPr>
      <w:r w:rsidRPr="0050638A">
        <w:fldChar w:fldCharType="begin"/>
      </w:r>
      <w:r w:rsidRPr="0050638A">
        <w:instrText xml:space="preserve"> AUTONUM  </w:instrText>
      </w:r>
      <w:r w:rsidRPr="0050638A">
        <w:fldChar w:fldCharType="end"/>
      </w:r>
      <w:r w:rsidRPr="0050638A">
        <w:tab/>
        <w:t>The CAJ is invited to</w:t>
      </w:r>
      <w:r w:rsidR="00F32866">
        <w:t>:</w:t>
      </w:r>
    </w:p>
    <w:p w:rsidR="00F32866" w:rsidRDefault="00F32866" w:rsidP="00653017">
      <w:pPr>
        <w:pStyle w:val="DecisionParagraphs"/>
      </w:pPr>
    </w:p>
    <w:p w:rsidR="00F32866" w:rsidRDefault="00F32866" w:rsidP="00827F80">
      <w:pPr>
        <w:pStyle w:val="DecisionParagraphs"/>
        <w:tabs>
          <w:tab w:val="left" w:pos="5954"/>
        </w:tabs>
      </w:pPr>
      <w:r>
        <w:tab/>
        <w:t>(a)</w:t>
      </w:r>
      <w:r w:rsidR="00827F80">
        <w:tab/>
      </w:r>
      <w:r w:rsidR="00131904">
        <w:t xml:space="preserve">consider </w:t>
      </w:r>
      <w:r w:rsidR="00131904" w:rsidRPr="00F32866">
        <w:t>matters concerning observers in the</w:t>
      </w:r>
      <w:r w:rsidR="00131904">
        <w:t xml:space="preserve"> CAJ</w:t>
      </w:r>
      <w:r w:rsidR="00131904">
        <w:noBreakHyphen/>
        <w:t xml:space="preserve">AG </w:t>
      </w:r>
      <w:r w:rsidR="006D15FD">
        <w:t>in the event that a session of the CAJ</w:t>
      </w:r>
      <w:r w:rsidR="00A776DE">
        <w:t>-AG is convened by the CAJ</w:t>
      </w:r>
      <w:r>
        <w:t>; and</w:t>
      </w:r>
    </w:p>
    <w:p w:rsidR="00F32866" w:rsidRDefault="00F32866" w:rsidP="00F32866">
      <w:pPr>
        <w:pStyle w:val="DecisionParagraphs"/>
      </w:pPr>
    </w:p>
    <w:p w:rsidR="00F32866" w:rsidRDefault="00F32866" w:rsidP="00827F80">
      <w:pPr>
        <w:pStyle w:val="DecisionParagraphs"/>
        <w:tabs>
          <w:tab w:val="left" w:pos="5954"/>
        </w:tabs>
      </w:pPr>
      <w:r>
        <w:tab/>
        <w:t>(b)</w:t>
      </w:r>
      <w:r w:rsidR="00827F80">
        <w:tab/>
      </w:r>
      <w:r w:rsidR="006D15FD">
        <w:t xml:space="preserve">consider </w:t>
      </w:r>
      <w:r w:rsidR="00FD12E1">
        <w:t xml:space="preserve">the </w:t>
      </w:r>
      <w:r w:rsidRPr="00F32866">
        <w:t>merits of inviting written comments from members and observers on relevant CAJ documents before the CAJ sessions.</w:t>
      </w:r>
      <w:r>
        <w:t xml:space="preserve"> </w:t>
      </w:r>
    </w:p>
    <w:p w:rsidR="0024570C" w:rsidRDefault="0024570C" w:rsidP="00891783"/>
    <w:p w:rsidR="002A2583" w:rsidRDefault="002A2583" w:rsidP="00891783"/>
    <w:p w:rsidR="002A2583" w:rsidRDefault="002A2583" w:rsidP="00891783"/>
    <w:p w:rsidR="00B520F2" w:rsidRPr="008F1D00" w:rsidRDefault="008F1D00" w:rsidP="00827F80">
      <w:pPr>
        <w:pStyle w:val="Heading1"/>
      </w:pPr>
      <w:bookmarkStart w:id="18" w:name="_Toc413059228"/>
      <w:r w:rsidRPr="008F1D00">
        <w:t>MATTER REFERRED BY THE CAJ TO THE CONSULTATIVE COMMITTEE AND THE COUNCIL</w:t>
      </w:r>
      <w:bookmarkEnd w:id="18"/>
    </w:p>
    <w:p w:rsidR="0024570C" w:rsidRDefault="0024570C" w:rsidP="00827F80">
      <w:pPr>
        <w:keepNext/>
      </w:pPr>
    </w:p>
    <w:p w:rsidR="00B520F2" w:rsidRDefault="00B520F2" w:rsidP="00B520F2">
      <w:r>
        <w:fldChar w:fldCharType="begin"/>
      </w:r>
      <w:r>
        <w:instrText xml:space="preserve"> AUTONUM  </w:instrText>
      </w:r>
      <w:r>
        <w:fldChar w:fldCharType="end"/>
      </w:r>
      <w:r>
        <w:tab/>
        <w:t>The CAJ</w:t>
      </w:r>
      <w:r w:rsidR="00461396">
        <w:t>, at its seventieth session</w:t>
      </w:r>
      <w:r w:rsidR="00461396">
        <w:rPr>
          <w:rStyle w:val="FootnoteReference"/>
        </w:rPr>
        <w:footnoteReference w:id="39"/>
      </w:r>
      <w:r>
        <w:t>noted the interest to discuss the relationship and effects of the implementation of the “Nagoya Protocol on Access to Genetic Resources and the Fair and Equitable Sharing of Benefits Arising from their Utilization to the Convention on Biological Diversity” for the breeder’s exemption.  The CAJ noted that this interest would be reported to the Consultative Committee and the Council.</w:t>
      </w:r>
    </w:p>
    <w:p w:rsidR="00B520F2" w:rsidRDefault="00B520F2" w:rsidP="00B520F2"/>
    <w:p w:rsidR="00B520F2" w:rsidRDefault="00B520F2" w:rsidP="00B520F2">
      <w:r>
        <w:fldChar w:fldCharType="begin"/>
      </w:r>
      <w:r>
        <w:instrText xml:space="preserve"> AUTONUM  </w:instrText>
      </w:r>
      <w:r>
        <w:fldChar w:fldCharType="end"/>
      </w:r>
      <w:r>
        <w:tab/>
        <w:t>T</w:t>
      </w:r>
      <w:r w:rsidRPr="005E28EC">
        <w:t>he Council</w:t>
      </w:r>
      <w:r w:rsidR="00461396">
        <w:t xml:space="preserve">, at its </w:t>
      </w:r>
      <w:r w:rsidR="00461396" w:rsidRPr="0095258E">
        <w:t>forty-</w:t>
      </w:r>
      <w:r w:rsidR="00461396">
        <w:t>eighth</w:t>
      </w:r>
      <w:r w:rsidR="00461396" w:rsidRPr="0095258E">
        <w:t xml:space="preserve"> ordinary session</w:t>
      </w:r>
      <w:r w:rsidR="00461396">
        <w:t xml:space="preserve">, </w:t>
      </w:r>
      <w:r w:rsidR="004C4C27">
        <w:rPr>
          <w:rStyle w:val="FootnoteReference"/>
        </w:rPr>
        <w:footnoteReference w:id="40"/>
      </w:r>
      <w:r w:rsidRPr="005E28EC">
        <w:t xml:space="preserve"> note</w:t>
      </w:r>
      <w:r>
        <w:t>d</w:t>
      </w:r>
      <w:r w:rsidRPr="005E28EC">
        <w:t xml:space="preserve"> the work of the Consultative Committee at its eighty-eighth session,</w:t>
      </w:r>
      <w:r w:rsidR="00461396" w:rsidRPr="00461396">
        <w:rPr>
          <w:rStyle w:val="FootnoteReference"/>
        </w:rPr>
        <w:t xml:space="preserve"> </w:t>
      </w:r>
      <w:r w:rsidR="00461396">
        <w:rPr>
          <w:rStyle w:val="FootnoteReference"/>
        </w:rPr>
        <w:footnoteReference w:id="41"/>
      </w:r>
      <w:r w:rsidRPr="005E28EC">
        <w:t xml:space="preserve"> as reported in document C/48/</w:t>
      </w:r>
      <w:r w:rsidRPr="00B520F2">
        <w:t>19 “Report by the President on the work of the eighty-eighth session of the Consultative Committee; adoption of recommendations, if any, prepared by that Committee”, which provided as follows:</w:t>
      </w:r>
      <w:r w:rsidR="00461396" w:rsidRPr="00461396">
        <w:rPr>
          <w:rStyle w:val="FootnoteReference"/>
        </w:rPr>
        <w:t xml:space="preserve"> </w:t>
      </w:r>
      <w:r w:rsidR="00461396">
        <w:rPr>
          <w:rStyle w:val="FootnoteReference"/>
        </w:rPr>
        <w:footnoteReference w:id="42"/>
      </w:r>
    </w:p>
    <w:p w:rsidR="00B520F2" w:rsidRDefault="00B520F2" w:rsidP="00B520F2"/>
    <w:p w:rsidR="00B520F2" w:rsidRPr="0024570C" w:rsidRDefault="00B520F2" w:rsidP="0024570C">
      <w:pPr>
        <w:ind w:left="567" w:right="567"/>
        <w:rPr>
          <w:sz w:val="18"/>
          <w:szCs w:val="18"/>
        </w:rPr>
      </w:pPr>
      <w:r w:rsidRPr="0024570C">
        <w:rPr>
          <w:sz w:val="18"/>
          <w:szCs w:val="18"/>
        </w:rPr>
        <w:t>“</w:t>
      </w:r>
      <w:r w:rsidR="0024570C" w:rsidRPr="0024570C">
        <w:rPr>
          <w:sz w:val="18"/>
          <w:szCs w:val="18"/>
        </w:rPr>
        <w:t>61.</w:t>
      </w:r>
      <w:r w:rsidRPr="0024570C">
        <w:rPr>
          <w:sz w:val="18"/>
          <w:szCs w:val="18"/>
        </w:rPr>
        <w:tab/>
        <w:t xml:space="preserve">The Consultative Committee noted that, at the seventieth session of the </w:t>
      </w:r>
      <w:r w:rsidRPr="0024570C">
        <w:rPr>
          <w:color w:val="000000"/>
          <w:sz w:val="18"/>
          <w:szCs w:val="18"/>
        </w:rPr>
        <w:t>Administrative and Legal Committee (CAJ)</w:t>
      </w:r>
      <w:r w:rsidRPr="0024570C">
        <w:rPr>
          <w:sz w:val="18"/>
          <w:szCs w:val="18"/>
        </w:rPr>
        <w:t>, held in Geneva on October 13, 2014, the CAJ had noted the interest to discuss the relationship and effects of the implementation of the “Nagoya Protocol on Access to Genetic Resources and the Fair and Equitable Sharing of Benefits Arising from their Utilization to the Convention on Biological Diversity” for the breeder’s exemption (see document CAJ/70/10 “Report on the Conclusions”, paragraph 40).</w:t>
      </w:r>
      <w:r w:rsidR="0024570C">
        <w:rPr>
          <w:sz w:val="18"/>
          <w:szCs w:val="18"/>
        </w:rPr>
        <w:t>”</w:t>
      </w:r>
    </w:p>
    <w:p w:rsidR="00B520F2" w:rsidRDefault="00B520F2" w:rsidP="00891783"/>
    <w:p w:rsidR="008A03AB" w:rsidRDefault="008A03AB" w:rsidP="008A03AB">
      <w:pPr>
        <w:pStyle w:val="DecisionParagraphs"/>
      </w:pPr>
      <w:r w:rsidRPr="0050638A">
        <w:fldChar w:fldCharType="begin"/>
      </w:r>
      <w:r w:rsidRPr="0050638A">
        <w:instrText xml:space="preserve"> AUTONUM  </w:instrText>
      </w:r>
      <w:r w:rsidRPr="0050638A">
        <w:fldChar w:fldCharType="end"/>
      </w:r>
      <w:r w:rsidRPr="0050638A">
        <w:tab/>
        <w:t>The CAJ is invited to</w:t>
      </w:r>
      <w:r w:rsidRPr="008A03AB">
        <w:t xml:space="preserve"> </w:t>
      </w:r>
      <w:r>
        <w:t xml:space="preserve">note that </w:t>
      </w:r>
      <w:r w:rsidRPr="008A03AB">
        <w:t>the interest to discuss the relationship and effects of the implementation of the “Nagoya Protocol on Access to Genetic Resources and the Fair and Equitable Sharing of Benefits Arising from their Utilization to the Convention on Biological Diversity” for the breeder’s exemption</w:t>
      </w:r>
      <w:r>
        <w:t xml:space="preserve"> was </w:t>
      </w:r>
      <w:r w:rsidRPr="008A03AB">
        <w:t>reported to the Consult</w:t>
      </w:r>
      <w:r>
        <w:t xml:space="preserve">ative Committee and the Council, as set out in </w:t>
      </w:r>
      <w:r w:rsidRPr="00300EE2">
        <w:t>paragraph 4</w:t>
      </w:r>
      <w:r w:rsidR="00461396" w:rsidRPr="00300EE2">
        <w:t>8</w:t>
      </w:r>
      <w:r w:rsidRPr="00300EE2">
        <w:t>.</w:t>
      </w:r>
    </w:p>
    <w:p w:rsidR="00281AC7" w:rsidRPr="008B2004" w:rsidRDefault="00281AC7" w:rsidP="00300EE2">
      <w:pPr>
        <w:pStyle w:val="Heading1"/>
        <w:rPr>
          <w:rFonts w:cs="Arial"/>
        </w:rPr>
      </w:pPr>
      <w:bookmarkStart w:id="19" w:name="_Toc413059229"/>
      <w:r>
        <w:lastRenderedPageBreak/>
        <w:t>T</w:t>
      </w:r>
      <w:r w:rsidRPr="00BC54C4">
        <w:t xml:space="preserve">ENTATIVE PROGRAM FOR THE </w:t>
      </w:r>
      <w:r>
        <w:t>DEVELOPMENT OF INFORMATION MATERIALS</w:t>
      </w:r>
      <w:bookmarkEnd w:id="19"/>
      <w:r w:rsidR="00DC173A">
        <w:t xml:space="preserve"> </w:t>
      </w:r>
    </w:p>
    <w:p w:rsidR="008A03AB" w:rsidRDefault="008A03AB" w:rsidP="00300EE2">
      <w:pPr>
        <w:keepNext/>
      </w:pPr>
    </w:p>
    <w:p w:rsidR="008A03AB" w:rsidRPr="00DC173A" w:rsidRDefault="00B93B31" w:rsidP="000571C2">
      <w:pPr>
        <w:tabs>
          <w:tab w:val="left" w:pos="567"/>
        </w:tabs>
        <w:spacing w:after="240"/>
      </w:pPr>
      <w:r>
        <w:fldChar w:fldCharType="begin"/>
      </w:r>
      <w:r>
        <w:instrText xml:space="preserve"> AUTONUM  </w:instrText>
      </w:r>
      <w:r>
        <w:fldChar w:fldCharType="end"/>
      </w:r>
      <w:r>
        <w:tab/>
      </w:r>
      <w:r w:rsidR="008A03AB">
        <w:t>Subject to progress</w:t>
      </w:r>
      <w:r w:rsidR="00461396">
        <w:t xml:space="preserve"> </w:t>
      </w:r>
      <w:r w:rsidR="008A03AB">
        <w:t>at the seventy-first session of the </w:t>
      </w:r>
      <w:r w:rsidR="008A03AB" w:rsidRPr="00293035">
        <w:t>CAJ</w:t>
      </w:r>
      <w:r w:rsidR="008A03AB">
        <w:t xml:space="preserve">, </w:t>
      </w:r>
      <w:r w:rsidR="000571C2">
        <w:t xml:space="preserve">it </w:t>
      </w:r>
      <w:r w:rsidR="008A03AB">
        <w:t xml:space="preserve">is proposed </w:t>
      </w:r>
      <w:r w:rsidR="000571C2">
        <w:t xml:space="preserve">to discuss the following </w:t>
      </w:r>
      <w:r w:rsidR="008A03AB">
        <w:t>information materi</w:t>
      </w:r>
      <w:r w:rsidR="00461396">
        <w:t>als</w:t>
      </w:r>
      <w:r w:rsidR="00DC173A">
        <w:t xml:space="preserve"> </w:t>
      </w:r>
      <w:r w:rsidR="00461396">
        <w:t xml:space="preserve">at </w:t>
      </w:r>
      <w:r w:rsidR="001C20A6">
        <w:t>the seventy-second session of the </w:t>
      </w:r>
      <w:r w:rsidR="001C20A6" w:rsidRPr="00293035">
        <w:t>CAJ</w:t>
      </w:r>
      <w:r w:rsidR="00461396">
        <w:t>:</w:t>
      </w:r>
      <w:r w:rsidR="000571C2">
        <w:t xml:space="preserve"> </w:t>
      </w:r>
    </w:p>
    <w:p w:rsidR="001C20A6" w:rsidRPr="00DC173A" w:rsidRDefault="008A03AB" w:rsidP="00E773CC">
      <w:pPr>
        <w:ind w:left="567" w:right="567"/>
      </w:pPr>
      <w:r w:rsidRPr="00DC173A">
        <w:t>Explanatory Notes on Essentially Derived Varieties under the 1991 Act of the UPOV Convention (Revision) (</w:t>
      </w:r>
      <w:r w:rsidR="001C20A6" w:rsidRPr="00DC173A">
        <w:rPr>
          <w:kern w:val="28"/>
        </w:rPr>
        <w:t>document CAJ/72</w:t>
      </w:r>
      <w:r w:rsidRPr="00DC173A">
        <w:rPr>
          <w:kern w:val="28"/>
        </w:rPr>
        <w:t>/2</w:t>
      </w:r>
      <w:r w:rsidR="000571C2">
        <w:rPr>
          <w:kern w:val="28"/>
        </w:rPr>
        <w:t xml:space="preserve"> “</w:t>
      </w:r>
      <w:r w:rsidR="000571C2" w:rsidRPr="00DC173A">
        <w:rPr>
          <w:kern w:val="28"/>
        </w:rPr>
        <w:t>Development of information materials concerning the UPOV Convention</w:t>
      </w:r>
      <w:r w:rsidR="000571C2">
        <w:rPr>
          <w:kern w:val="28"/>
        </w:rPr>
        <w:t>”</w:t>
      </w:r>
      <w:r w:rsidR="001C20A6" w:rsidRPr="00DC173A">
        <w:t xml:space="preserve"> and </w:t>
      </w:r>
      <w:r w:rsidR="001C20A6" w:rsidRPr="00DC173A">
        <w:rPr>
          <w:rFonts w:cs="Arial"/>
        </w:rPr>
        <w:t xml:space="preserve">document </w:t>
      </w:r>
      <w:r w:rsidR="00461396" w:rsidRPr="00DC173A">
        <w:t xml:space="preserve">UPOV/EXN/EDV/2 </w:t>
      </w:r>
      <w:r w:rsidR="000571C2">
        <w:t> </w:t>
      </w:r>
      <w:r w:rsidR="00461396" w:rsidRPr="00DC173A">
        <w:t>Draft 6)</w:t>
      </w:r>
    </w:p>
    <w:p w:rsidR="008A03AB" w:rsidRPr="00DC173A" w:rsidRDefault="008A03AB" w:rsidP="008A03AB">
      <w:pPr>
        <w:ind w:left="1134" w:right="567" w:hanging="567"/>
        <w:rPr>
          <w:strike/>
        </w:rPr>
      </w:pPr>
    </w:p>
    <w:p w:rsidR="008A03AB" w:rsidRDefault="008A03AB" w:rsidP="00E773CC">
      <w:pPr>
        <w:ind w:left="567" w:right="567"/>
      </w:pPr>
      <w:r w:rsidRPr="00DC173A">
        <w:t>Explanatory Notes on Variety Denominations under the UPOV Convention (Revision) (</w:t>
      </w:r>
      <w:r w:rsidR="00461396" w:rsidRPr="00DC173A">
        <w:rPr>
          <w:kern w:val="28"/>
        </w:rPr>
        <w:t xml:space="preserve">document </w:t>
      </w:r>
      <w:r w:rsidRPr="00DC173A">
        <w:rPr>
          <w:kern w:val="28"/>
        </w:rPr>
        <w:t>CAJ</w:t>
      </w:r>
      <w:r w:rsidR="00461396" w:rsidRPr="00DC173A">
        <w:rPr>
          <w:kern w:val="28"/>
        </w:rPr>
        <w:t>/72/3</w:t>
      </w:r>
      <w:r w:rsidR="00B5113F">
        <w:rPr>
          <w:kern w:val="28"/>
        </w:rPr>
        <w:t xml:space="preserve"> “Variety denominations”)</w:t>
      </w:r>
    </w:p>
    <w:p w:rsidR="00B93B31" w:rsidRDefault="00B93B31" w:rsidP="00E773CC">
      <w:pPr>
        <w:ind w:left="567" w:right="567"/>
      </w:pPr>
    </w:p>
    <w:p w:rsidR="008A03AB" w:rsidRDefault="00B93B31" w:rsidP="00B93B31">
      <w:pPr>
        <w:ind w:left="567"/>
      </w:pPr>
      <w:r w:rsidRPr="00E8177B">
        <w:t>UPOV Model Plant Breeders’ Rights Gazette”</w:t>
      </w:r>
      <w:r>
        <w:t xml:space="preserve"> </w:t>
      </w:r>
      <w:r w:rsidRPr="00DC173A">
        <w:t>(Revision)</w:t>
      </w:r>
      <w:r w:rsidRPr="00E8177B">
        <w:t xml:space="preserve"> (</w:t>
      </w:r>
      <w:r w:rsidRPr="00DC173A">
        <w:rPr>
          <w:kern w:val="28"/>
        </w:rPr>
        <w:t>document CAJ/72/2</w:t>
      </w:r>
      <w:r>
        <w:rPr>
          <w:kern w:val="28"/>
        </w:rPr>
        <w:t xml:space="preserve"> “</w:t>
      </w:r>
      <w:r w:rsidRPr="00DC173A">
        <w:rPr>
          <w:kern w:val="28"/>
        </w:rPr>
        <w:t>Development of information materials concerning the UPOV Convention</w:t>
      </w:r>
      <w:r>
        <w:rPr>
          <w:kern w:val="28"/>
        </w:rPr>
        <w:t>”</w:t>
      </w:r>
      <w:r w:rsidR="00B5113F">
        <w:t>)</w:t>
      </w:r>
    </w:p>
    <w:p w:rsidR="008A03AB" w:rsidRDefault="008A03AB" w:rsidP="003B2467"/>
    <w:p w:rsidR="00300EE2" w:rsidRDefault="00300EE2" w:rsidP="00300EE2">
      <w:r>
        <w:fldChar w:fldCharType="begin"/>
      </w:r>
      <w:r>
        <w:instrText xml:space="preserve"> AUTONUM  </w:instrText>
      </w:r>
      <w:r>
        <w:fldChar w:fldCharType="end"/>
      </w:r>
      <w:r>
        <w:tab/>
      </w:r>
      <w:r w:rsidRPr="00E8177B">
        <w:t>The CAJ</w:t>
      </w:r>
      <w:r>
        <w:t xml:space="preserve">, at its </w:t>
      </w:r>
      <w:r w:rsidRPr="00CF15C3">
        <w:t>seventieth session</w:t>
      </w:r>
      <w:r>
        <w:t>,</w:t>
      </w:r>
      <w:r>
        <w:rPr>
          <w:rStyle w:val="FootnoteReference"/>
        </w:rPr>
        <w:footnoteReference w:id="43"/>
      </w:r>
      <w:r w:rsidRPr="00E8177B">
        <w:t xml:space="preserve"> agreed that the Office of the Union should prepare a draft revision of document UPOV/INF/5 “UPOV Model Plant Breeders’ Rights Gazette” (document UPOV/INF/5/1 </w:t>
      </w:r>
      <w:r>
        <w:t> </w:t>
      </w:r>
      <w:r w:rsidRPr="00E8177B">
        <w:t>Draft 1) for consideration by the CAJ at its seventy-second session</w:t>
      </w:r>
      <w:r>
        <w:t>,</w:t>
      </w:r>
      <w:r w:rsidRPr="00E8177B">
        <w:t xml:space="preserve"> to be held in October</w:t>
      </w:r>
      <w:r>
        <w:t> 2015, subject to its consideration of the program for the development of information materials.</w:t>
      </w:r>
      <w:r>
        <w:rPr>
          <w:rStyle w:val="FootnoteReference"/>
        </w:rPr>
        <w:footnoteReference w:id="44"/>
      </w:r>
      <w:r>
        <w:t xml:space="preserve">  It is suggested to defer the preparation of a draft revision of document UPOV/INF/</w:t>
      </w:r>
      <w:r w:rsidR="00B5113F">
        <w:t>5/1 Draft 1, pending developments in relation to the development of a prototype electronic form (see document CAJ/71/4).</w:t>
      </w:r>
    </w:p>
    <w:p w:rsidR="00300EE2" w:rsidRDefault="00300EE2" w:rsidP="00300EE2"/>
    <w:p w:rsidR="00E773CC" w:rsidRDefault="00DC173A" w:rsidP="00E773CC">
      <w:r>
        <w:fldChar w:fldCharType="begin"/>
      </w:r>
      <w:r>
        <w:instrText xml:space="preserve"> AUTONUM  </w:instrText>
      </w:r>
      <w:r>
        <w:fldChar w:fldCharType="end"/>
      </w:r>
      <w:r>
        <w:tab/>
      </w:r>
      <w:r w:rsidR="000571C2">
        <w:t xml:space="preserve">Subject to the approval of the CAJ at its seventy-first session, </w:t>
      </w:r>
      <w:r w:rsidR="00E773CC">
        <w:t xml:space="preserve">the Council, </w:t>
      </w:r>
      <w:r w:rsidR="00E773CC" w:rsidRPr="00973A6F">
        <w:t>at its forty-ninth ordinary s</w:t>
      </w:r>
      <w:r w:rsidR="00E773CC">
        <w:t>ession, to be held on October 29</w:t>
      </w:r>
      <w:r w:rsidR="00E773CC" w:rsidRPr="00973A6F">
        <w:t>, 2015</w:t>
      </w:r>
      <w:r w:rsidR="00E773CC">
        <w:t>, will be invited to adopt the following explanatory notes:</w:t>
      </w:r>
    </w:p>
    <w:p w:rsidR="00E773CC" w:rsidRPr="00171C6B" w:rsidRDefault="00E773CC" w:rsidP="00E773CC"/>
    <w:p w:rsidR="00E773CC" w:rsidRPr="00171C6B" w:rsidRDefault="00E773CC" w:rsidP="00E773CC">
      <w:pPr>
        <w:ind w:left="567" w:right="567"/>
      </w:pPr>
      <w:r w:rsidRPr="00171C6B">
        <w:t xml:space="preserve">Explanatory Notes on Propagating Material </w:t>
      </w:r>
      <w:r w:rsidRPr="00171C6B">
        <w:rPr>
          <w:spacing w:val="-2"/>
        </w:rPr>
        <w:t xml:space="preserve">under the 1991 Act of the </w:t>
      </w:r>
      <w:r w:rsidRPr="00171C6B">
        <w:t>UPOV Convention (document UPOV/EXN/PPM/1)</w:t>
      </w:r>
    </w:p>
    <w:p w:rsidR="00E773CC" w:rsidRPr="00171C6B" w:rsidRDefault="00E773CC" w:rsidP="00E773CC">
      <w:pPr>
        <w:ind w:right="567"/>
        <w:rPr>
          <w:kern w:val="28"/>
        </w:rPr>
      </w:pPr>
    </w:p>
    <w:p w:rsidR="00E773CC" w:rsidRPr="00171C6B" w:rsidRDefault="00E773CC" w:rsidP="00E773CC">
      <w:pPr>
        <w:ind w:left="567" w:right="567"/>
      </w:pPr>
      <w:r w:rsidRPr="00171C6B">
        <w:t>Explanatory Notes on Cancellation of the Breeder's Right under the UPOV Convention (Revision) (document UPOV/EXN/CAN/2)</w:t>
      </w:r>
      <w:r w:rsidRPr="00171C6B">
        <w:rPr>
          <w:kern w:val="28"/>
        </w:rPr>
        <w:t xml:space="preserve">  </w:t>
      </w:r>
    </w:p>
    <w:p w:rsidR="00E773CC" w:rsidRPr="00171C6B" w:rsidRDefault="00E773CC" w:rsidP="00E773CC">
      <w:pPr>
        <w:ind w:left="1134" w:right="567" w:hanging="567"/>
      </w:pPr>
    </w:p>
    <w:p w:rsidR="00E773CC" w:rsidRPr="00171C6B" w:rsidRDefault="00E773CC" w:rsidP="00E773CC">
      <w:pPr>
        <w:ind w:left="567" w:right="567"/>
      </w:pPr>
      <w:r w:rsidRPr="00171C6B">
        <w:t xml:space="preserve">Explanatory Notes on the Nullity of the Breeder's Right under the UPOV Convention (Revision) (document UPOV/EXN/NUL/2) </w:t>
      </w:r>
      <w:r w:rsidRPr="00171C6B">
        <w:rPr>
          <w:kern w:val="28"/>
        </w:rPr>
        <w:t xml:space="preserve"> </w:t>
      </w:r>
    </w:p>
    <w:p w:rsidR="00E773CC" w:rsidRPr="00171C6B" w:rsidRDefault="00E773CC" w:rsidP="00E773CC">
      <w:pPr>
        <w:ind w:right="567"/>
        <w:rPr>
          <w:kern w:val="28"/>
        </w:rPr>
      </w:pPr>
    </w:p>
    <w:p w:rsidR="00E773CC" w:rsidRPr="00171C6B" w:rsidRDefault="00E773CC" w:rsidP="00E773CC">
      <w:pPr>
        <w:ind w:left="567" w:right="567"/>
      </w:pPr>
      <w:r w:rsidRPr="00171C6B">
        <w:t xml:space="preserve">Explanatory Notes on Provisional Protection under the UPOV Convention (Revision) (document UPOV/EXN/PRP/2) </w:t>
      </w:r>
    </w:p>
    <w:p w:rsidR="000571C2" w:rsidRPr="00171C6B" w:rsidRDefault="000571C2" w:rsidP="00E773CC"/>
    <w:p w:rsidR="00DC173A" w:rsidRPr="00FD604F" w:rsidRDefault="00DC173A" w:rsidP="00DC173A">
      <w:pPr>
        <w:rPr>
          <w:spacing w:val="-2"/>
        </w:rPr>
      </w:pPr>
      <w:r>
        <w:rPr>
          <w:spacing w:val="-2"/>
        </w:rPr>
        <w:t xml:space="preserve">In conjunction </w:t>
      </w:r>
      <w:r w:rsidRPr="00DC68DC">
        <w:rPr>
          <w:spacing w:val="-2"/>
        </w:rPr>
        <w:t xml:space="preserve">with the </w:t>
      </w:r>
      <w:r>
        <w:rPr>
          <w:spacing w:val="-2"/>
        </w:rPr>
        <w:t xml:space="preserve">explanatory notes </w:t>
      </w:r>
      <w:r w:rsidRPr="00DC68DC">
        <w:rPr>
          <w:spacing w:val="-2"/>
        </w:rPr>
        <w:t xml:space="preserve">that the Council </w:t>
      </w:r>
      <w:r w:rsidR="004C152A">
        <w:rPr>
          <w:spacing w:val="-2"/>
        </w:rPr>
        <w:t>will</w:t>
      </w:r>
      <w:r>
        <w:rPr>
          <w:spacing w:val="-2"/>
        </w:rPr>
        <w:t xml:space="preserve"> </w:t>
      </w:r>
      <w:r w:rsidRPr="00DC68DC">
        <w:rPr>
          <w:spacing w:val="-2"/>
        </w:rPr>
        <w:t xml:space="preserve">be invited to adopt </w:t>
      </w:r>
      <w:r w:rsidR="004C152A" w:rsidRPr="00973A6F">
        <w:t>at its forty-ninth ordinary s</w:t>
      </w:r>
      <w:r w:rsidR="00E773CC">
        <w:t>ession</w:t>
      </w:r>
      <w:r w:rsidRPr="00DC68DC">
        <w:rPr>
          <w:spacing w:val="-2"/>
        </w:rPr>
        <w:t xml:space="preserve">, it is proposed </w:t>
      </w:r>
      <w:r>
        <w:rPr>
          <w:spacing w:val="-2"/>
        </w:rPr>
        <w:t>to adopt a r</w:t>
      </w:r>
      <w:r w:rsidR="004C152A">
        <w:rPr>
          <w:spacing w:val="-2"/>
        </w:rPr>
        <w:t>evision of document UPOV/INF/6/3</w:t>
      </w:r>
      <w:r w:rsidRPr="00FD604F">
        <w:rPr>
          <w:spacing w:val="-2"/>
        </w:rPr>
        <w:t xml:space="preserve"> “Guidance for the preparation of laws based on the 1991 Act of the UPOV Convention”</w:t>
      </w:r>
      <w:r>
        <w:rPr>
          <w:spacing w:val="-2"/>
        </w:rPr>
        <w:t xml:space="preserve"> (</w:t>
      </w:r>
      <w:r w:rsidR="004C152A">
        <w:rPr>
          <w:rFonts w:cs="Arial"/>
        </w:rPr>
        <w:t>document UPOV/INF/6/4</w:t>
      </w:r>
      <w:r>
        <w:rPr>
          <w:rFonts w:cs="Arial"/>
        </w:rPr>
        <w:t>).</w:t>
      </w:r>
    </w:p>
    <w:p w:rsidR="00DC173A" w:rsidRPr="00B16D19" w:rsidRDefault="00DC173A" w:rsidP="00DC173A">
      <w:pPr>
        <w:rPr>
          <w:rFonts w:eastAsia="MS Mincho"/>
          <w:highlight w:val="yellow"/>
        </w:rPr>
      </w:pPr>
    </w:p>
    <w:p w:rsidR="004C152A" w:rsidRDefault="00DC173A" w:rsidP="00DC173A">
      <w:pPr>
        <w:pStyle w:val="DecisionParagraphs"/>
        <w:rPr>
          <w:spacing w:val="-2"/>
        </w:rPr>
      </w:pPr>
      <w:r w:rsidRPr="00F41101">
        <w:fldChar w:fldCharType="begin"/>
      </w:r>
      <w:r w:rsidRPr="00F41101">
        <w:instrText xml:space="preserve"> AUTONUM  </w:instrText>
      </w:r>
      <w:r w:rsidRPr="00F41101">
        <w:fldChar w:fldCharType="end"/>
      </w:r>
      <w:r w:rsidRPr="00F41101">
        <w:tab/>
        <w:t xml:space="preserve">The CAJ is invited </w:t>
      </w:r>
      <w:r w:rsidRPr="00F41101">
        <w:rPr>
          <w:spacing w:val="-2"/>
        </w:rPr>
        <w:t>to</w:t>
      </w:r>
      <w:r w:rsidR="004C152A">
        <w:rPr>
          <w:spacing w:val="-2"/>
        </w:rPr>
        <w:t>:</w:t>
      </w:r>
    </w:p>
    <w:p w:rsidR="004C152A" w:rsidRDefault="004C152A" w:rsidP="00DC173A">
      <w:pPr>
        <w:pStyle w:val="DecisionParagraphs"/>
        <w:rPr>
          <w:spacing w:val="-2"/>
        </w:rPr>
      </w:pPr>
    </w:p>
    <w:p w:rsidR="004C152A" w:rsidRDefault="004C152A" w:rsidP="00171C6B">
      <w:pPr>
        <w:pStyle w:val="DecisionParagraphs"/>
        <w:tabs>
          <w:tab w:val="left" w:pos="5954"/>
          <w:tab w:val="left" w:pos="6521"/>
        </w:tabs>
        <w:rPr>
          <w:spacing w:val="-2"/>
        </w:rPr>
      </w:pPr>
      <w:r>
        <w:rPr>
          <w:spacing w:val="-2"/>
        </w:rPr>
        <w:tab/>
        <w:t>(a)</w:t>
      </w:r>
      <w:r>
        <w:rPr>
          <w:spacing w:val="-2"/>
        </w:rPr>
        <w:tab/>
      </w:r>
      <w:r>
        <w:t>subject to progress at the seventy-first session of the </w:t>
      </w:r>
      <w:r w:rsidRPr="00293035">
        <w:t>CAJ</w:t>
      </w:r>
      <w:r>
        <w:rPr>
          <w:spacing w:val="-2"/>
        </w:rPr>
        <w:t xml:space="preserve">, consider the tentative </w:t>
      </w:r>
      <w:r>
        <w:t>program for the development of information materials</w:t>
      </w:r>
      <w:r w:rsidR="00DF2A30">
        <w:t xml:space="preserve">, as set </w:t>
      </w:r>
      <w:r w:rsidR="00A776DE">
        <w:t>out in</w:t>
      </w:r>
      <w:r w:rsidR="00DF2A30">
        <w:t xml:space="preserve"> </w:t>
      </w:r>
      <w:r w:rsidR="00DF2A30" w:rsidRPr="00171C6B">
        <w:t>paragraph</w:t>
      </w:r>
      <w:r w:rsidR="00171C6B">
        <w:t>s</w:t>
      </w:r>
      <w:r w:rsidR="00DF2A30" w:rsidRPr="00171C6B">
        <w:t xml:space="preserve"> 5</w:t>
      </w:r>
      <w:r w:rsidR="00171C6B">
        <w:t>0 to 52</w:t>
      </w:r>
      <w:r w:rsidR="00E773CC" w:rsidRPr="00171C6B">
        <w:t>; and</w:t>
      </w:r>
    </w:p>
    <w:p w:rsidR="004C152A" w:rsidRDefault="004C152A" w:rsidP="00171C6B">
      <w:pPr>
        <w:pStyle w:val="DecisionParagraphs"/>
        <w:tabs>
          <w:tab w:val="left" w:pos="5954"/>
          <w:tab w:val="left" w:pos="6521"/>
        </w:tabs>
        <w:rPr>
          <w:spacing w:val="-2"/>
        </w:rPr>
      </w:pPr>
    </w:p>
    <w:p w:rsidR="00E773CC" w:rsidRDefault="004C152A" w:rsidP="00171C6B">
      <w:pPr>
        <w:pStyle w:val="DecisionParagraphs"/>
        <w:tabs>
          <w:tab w:val="left" w:pos="5954"/>
          <w:tab w:val="left" w:pos="6521"/>
        </w:tabs>
        <w:rPr>
          <w:spacing w:val="-2"/>
        </w:rPr>
      </w:pPr>
      <w:r>
        <w:rPr>
          <w:spacing w:val="-2"/>
        </w:rPr>
        <w:tab/>
      </w:r>
      <w:r w:rsidRPr="004C152A">
        <w:rPr>
          <w:spacing w:val="-2"/>
        </w:rPr>
        <w:t>(b)</w:t>
      </w:r>
      <w:r w:rsidRPr="004C152A">
        <w:rPr>
          <w:spacing w:val="-2"/>
        </w:rPr>
        <w:tab/>
      </w:r>
      <w:r w:rsidR="00171C6B">
        <w:rPr>
          <w:spacing w:val="-2"/>
        </w:rPr>
        <w:t xml:space="preserve">note that, </w:t>
      </w:r>
      <w:r w:rsidR="00E773CC">
        <w:rPr>
          <w:spacing w:val="-2"/>
        </w:rPr>
        <w:t>s</w:t>
      </w:r>
      <w:r w:rsidR="00E773CC" w:rsidRPr="00E773CC">
        <w:rPr>
          <w:spacing w:val="-2"/>
        </w:rPr>
        <w:t>ubject to the approval of the CAJ at its seve</w:t>
      </w:r>
      <w:r w:rsidR="00E773CC">
        <w:rPr>
          <w:spacing w:val="-2"/>
        </w:rPr>
        <w:t xml:space="preserve">nty-first session, the Council, </w:t>
      </w:r>
      <w:r w:rsidR="00171C6B">
        <w:t>at its forty</w:t>
      </w:r>
      <w:r w:rsidR="00171C6B">
        <w:noBreakHyphen/>
      </w:r>
      <w:r w:rsidR="00E773CC" w:rsidRPr="00973A6F">
        <w:t>ninth ordinary s</w:t>
      </w:r>
      <w:r w:rsidR="00E773CC">
        <w:t>ession</w:t>
      </w:r>
      <w:r w:rsidR="00E773CC">
        <w:rPr>
          <w:spacing w:val="-2"/>
        </w:rPr>
        <w:t>, will be invited to adopt:</w:t>
      </w:r>
    </w:p>
    <w:p w:rsidR="00E773CC" w:rsidRDefault="00E773CC" w:rsidP="00171C6B">
      <w:pPr>
        <w:pStyle w:val="DecisionParagraphs"/>
        <w:tabs>
          <w:tab w:val="left" w:pos="5954"/>
          <w:tab w:val="left" w:pos="6521"/>
        </w:tabs>
        <w:rPr>
          <w:spacing w:val="-2"/>
        </w:rPr>
      </w:pPr>
    </w:p>
    <w:p w:rsidR="00E773CC" w:rsidRPr="00E773CC" w:rsidRDefault="00E773CC" w:rsidP="00171C6B">
      <w:pPr>
        <w:pStyle w:val="DecisionParagraphs"/>
        <w:tabs>
          <w:tab w:val="left" w:pos="5954"/>
          <w:tab w:val="left" w:pos="6521"/>
        </w:tabs>
        <w:rPr>
          <w:spacing w:val="-2"/>
        </w:rPr>
      </w:pPr>
      <w:r>
        <w:rPr>
          <w:spacing w:val="-2"/>
        </w:rPr>
        <w:tab/>
        <w:t>(i)</w:t>
      </w:r>
      <w:r>
        <w:rPr>
          <w:spacing w:val="-2"/>
        </w:rPr>
        <w:tab/>
      </w:r>
      <w:r w:rsidR="00DF2A30">
        <w:rPr>
          <w:spacing w:val="-2"/>
        </w:rPr>
        <w:t>the “</w:t>
      </w:r>
      <w:r w:rsidRPr="00E773CC">
        <w:rPr>
          <w:spacing w:val="-2"/>
        </w:rPr>
        <w:t>Explanatory Notes on Propagating Material under the 1991 Act of the UPOV Convention</w:t>
      </w:r>
      <w:r w:rsidR="00DF2A30">
        <w:rPr>
          <w:spacing w:val="-2"/>
        </w:rPr>
        <w:t>”</w:t>
      </w:r>
      <w:r w:rsidRPr="00E773CC">
        <w:rPr>
          <w:spacing w:val="-2"/>
        </w:rPr>
        <w:t xml:space="preserve"> (document UPOV/EXN/PPM/1)</w:t>
      </w:r>
      <w:r>
        <w:rPr>
          <w:spacing w:val="-2"/>
        </w:rPr>
        <w:t>;</w:t>
      </w:r>
      <w:r w:rsidRPr="00E773CC">
        <w:rPr>
          <w:spacing w:val="-2"/>
        </w:rPr>
        <w:t xml:space="preserve">  </w:t>
      </w:r>
    </w:p>
    <w:p w:rsidR="00E773CC" w:rsidRPr="00E773CC" w:rsidRDefault="00E773CC" w:rsidP="00171C6B">
      <w:pPr>
        <w:pStyle w:val="DecisionParagraphs"/>
        <w:tabs>
          <w:tab w:val="left" w:pos="5954"/>
          <w:tab w:val="left" w:pos="6521"/>
        </w:tabs>
        <w:rPr>
          <w:spacing w:val="-2"/>
        </w:rPr>
      </w:pPr>
    </w:p>
    <w:p w:rsidR="00E773CC" w:rsidRPr="00E773CC" w:rsidRDefault="00E773CC" w:rsidP="00171C6B">
      <w:pPr>
        <w:pStyle w:val="DecisionParagraphs"/>
        <w:tabs>
          <w:tab w:val="left" w:pos="5954"/>
          <w:tab w:val="left" w:pos="6521"/>
        </w:tabs>
        <w:rPr>
          <w:spacing w:val="-2"/>
        </w:rPr>
      </w:pPr>
      <w:r>
        <w:rPr>
          <w:spacing w:val="-2"/>
        </w:rPr>
        <w:lastRenderedPageBreak/>
        <w:tab/>
        <w:t>(ii)</w:t>
      </w:r>
      <w:r>
        <w:rPr>
          <w:spacing w:val="-2"/>
        </w:rPr>
        <w:tab/>
      </w:r>
      <w:r w:rsidR="00DF2A30">
        <w:rPr>
          <w:spacing w:val="-2"/>
        </w:rPr>
        <w:t>the “</w:t>
      </w:r>
      <w:r w:rsidRPr="00E773CC">
        <w:rPr>
          <w:spacing w:val="-2"/>
        </w:rPr>
        <w:t>Explanatory Notes on Cancellation of the Breeder's Right under the UPOV Convention</w:t>
      </w:r>
      <w:r w:rsidR="00DF2A30">
        <w:rPr>
          <w:spacing w:val="-2"/>
        </w:rPr>
        <w:t>”</w:t>
      </w:r>
      <w:r w:rsidRPr="00E773CC">
        <w:rPr>
          <w:spacing w:val="-2"/>
        </w:rPr>
        <w:t xml:space="preserve"> (Revision) (document UPOV/EXN/CAN/2)</w:t>
      </w:r>
      <w:r>
        <w:rPr>
          <w:spacing w:val="-2"/>
        </w:rPr>
        <w:t>;</w:t>
      </w:r>
      <w:r w:rsidRPr="00E773CC">
        <w:rPr>
          <w:spacing w:val="-2"/>
        </w:rPr>
        <w:t xml:space="preserve">  </w:t>
      </w:r>
    </w:p>
    <w:p w:rsidR="00E773CC" w:rsidRPr="00E773CC" w:rsidRDefault="00E773CC" w:rsidP="00171C6B">
      <w:pPr>
        <w:pStyle w:val="DecisionParagraphs"/>
        <w:tabs>
          <w:tab w:val="left" w:pos="5954"/>
          <w:tab w:val="left" w:pos="6521"/>
        </w:tabs>
        <w:rPr>
          <w:spacing w:val="-2"/>
        </w:rPr>
      </w:pPr>
    </w:p>
    <w:p w:rsidR="00E773CC" w:rsidRPr="00E773CC" w:rsidRDefault="00E773CC" w:rsidP="00171C6B">
      <w:pPr>
        <w:pStyle w:val="DecisionParagraphs"/>
        <w:tabs>
          <w:tab w:val="left" w:pos="5954"/>
          <w:tab w:val="left" w:pos="6521"/>
        </w:tabs>
        <w:rPr>
          <w:spacing w:val="-2"/>
        </w:rPr>
      </w:pPr>
      <w:r>
        <w:rPr>
          <w:spacing w:val="-2"/>
        </w:rPr>
        <w:tab/>
        <w:t>(iii)</w:t>
      </w:r>
      <w:r>
        <w:rPr>
          <w:spacing w:val="-2"/>
        </w:rPr>
        <w:tab/>
      </w:r>
      <w:r w:rsidR="00171C6B">
        <w:rPr>
          <w:spacing w:val="-2"/>
        </w:rPr>
        <w:t xml:space="preserve">the </w:t>
      </w:r>
      <w:r w:rsidRPr="00E773CC">
        <w:rPr>
          <w:spacing w:val="-2"/>
        </w:rPr>
        <w:t>Explanatory Notes on the Nullity of the Breeder's Right under the UPOV Convention (Revis</w:t>
      </w:r>
      <w:r>
        <w:rPr>
          <w:spacing w:val="-2"/>
        </w:rPr>
        <w:t>ion) (document UPOV/EXN/NUL/2);</w:t>
      </w:r>
    </w:p>
    <w:p w:rsidR="00E773CC" w:rsidRPr="00E773CC" w:rsidRDefault="00E773CC" w:rsidP="00171C6B">
      <w:pPr>
        <w:pStyle w:val="DecisionParagraphs"/>
        <w:tabs>
          <w:tab w:val="left" w:pos="5954"/>
          <w:tab w:val="left" w:pos="6521"/>
        </w:tabs>
        <w:rPr>
          <w:spacing w:val="-2"/>
        </w:rPr>
      </w:pPr>
    </w:p>
    <w:p w:rsidR="00E773CC" w:rsidRDefault="00E773CC" w:rsidP="00171C6B">
      <w:pPr>
        <w:pStyle w:val="DecisionParagraphs"/>
        <w:tabs>
          <w:tab w:val="left" w:pos="5954"/>
          <w:tab w:val="left" w:pos="6521"/>
        </w:tabs>
        <w:rPr>
          <w:spacing w:val="-2"/>
        </w:rPr>
      </w:pPr>
      <w:r>
        <w:rPr>
          <w:spacing w:val="-2"/>
        </w:rPr>
        <w:tab/>
        <w:t>(iv)</w:t>
      </w:r>
      <w:r w:rsidR="002A2583">
        <w:rPr>
          <w:spacing w:val="-2"/>
        </w:rPr>
        <w:tab/>
      </w:r>
      <w:r w:rsidR="00DF2A30">
        <w:rPr>
          <w:spacing w:val="-2"/>
        </w:rPr>
        <w:t>the “</w:t>
      </w:r>
      <w:r w:rsidRPr="00E773CC">
        <w:rPr>
          <w:spacing w:val="-2"/>
        </w:rPr>
        <w:t>Explanatory Notes on Provisional Protection under the UPOV Convention</w:t>
      </w:r>
      <w:r w:rsidR="00DF2A30">
        <w:rPr>
          <w:spacing w:val="-2"/>
        </w:rPr>
        <w:t>”</w:t>
      </w:r>
      <w:r w:rsidRPr="00E773CC">
        <w:rPr>
          <w:spacing w:val="-2"/>
        </w:rPr>
        <w:t xml:space="preserve"> (Revision) (document UPOV/EXN/PRP/2)</w:t>
      </w:r>
      <w:r>
        <w:rPr>
          <w:spacing w:val="-2"/>
        </w:rPr>
        <w:t>;</w:t>
      </w:r>
      <w:r w:rsidR="00171C6B">
        <w:rPr>
          <w:spacing w:val="-2"/>
        </w:rPr>
        <w:t xml:space="preserve"> and</w:t>
      </w:r>
    </w:p>
    <w:p w:rsidR="00E773CC" w:rsidRDefault="00E773CC" w:rsidP="00171C6B">
      <w:pPr>
        <w:pStyle w:val="DecisionParagraphs"/>
        <w:tabs>
          <w:tab w:val="left" w:pos="5954"/>
          <w:tab w:val="left" w:pos="6521"/>
        </w:tabs>
        <w:rPr>
          <w:spacing w:val="-2"/>
        </w:rPr>
      </w:pPr>
    </w:p>
    <w:p w:rsidR="00DC173A" w:rsidRPr="004C152A" w:rsidRDefault="00E773CC" w:rsidP="00171C6B">
      <w:pPr>
        <w:pStyle w:val="DecisionParagraphs"/>
        <w:tabs>
          <w:tab w:val="left" w:pos="5954"/>
          <w:tab w:val="left" w:pos="6521"/>
        </w:tabs>
      </w:pPr>
      <w:r>
        <w:rPr>
          <w:spacing w:val="-2"/>
        </w:rPr>
        <w:tab/>
      </w:r>
      <w:r w:rsidR="00DF2A30">
        <w:rPr>
          <w:spacing w:val="-2"/>
        </w:rPr>
        <w:t>(v</w:t>
      </w:r>
      <w:r>
        <w:rPr>
          <w:spacing w:val="-2"/>
        </w:rPr>
        <w:t>)</w:t>
      </w:r>
      <w:r w:rsidR="002A2583">
        <w:rPr>
          <w:spacing w:val="-2"/>
        </w:rPr>
        <w:tab/>
      </w:r>
      <w:r w:rsidR="00DF2A30">
        <w:rPr>
          <w:spacing w:val="-2"/>
        </w:rPr>
        <w:t xml:space="preserve">in conjunction with the above explanatory notes, </w:t>
      </w:r>
      <w:r w:rsidR="00DC173A" w:rsidRPr="004C152A">
        <w:rPr>
          <w:spacing w:val="-2"/>
        </w:rPr>
        <w:t>a revision of document UPOV</w:t>
      </w:r>
      <w:r w:rsidR="004C152A" w:rsidRPr="004C152A">
        <w:rPr>
          <w:spacing w:val="-2"/>
        </w:rPr>
        <w:t>/INF/6/3</w:t>
      </w:r>
      <w:r w:rsidR="00DC173A" w:rsidRPr="004C152A">
        <w:rPr>
          <w:spacing w:val="-2"/>
        </w:rPr>
        <w:t xml:space="preserve"> “Guidance for the preparation of laws based on the 1991 Act of the UPOV Convention” (</w:t>
      </w:r>
      <w:r w:rsidR="00171C6B">
        <w:rPr>
          <w:rFonts w:cs="Arial"/>
        </w:rPr>
        <w:t>document </w:t>
      </w:r>
      <w:r w:rsidR="004C152A" w:rsidRPr="004C152A">
        <w:rPr>
          <w:rFonts w:cs="Arial"/>
        </w:rPr>
        <w:t>UPOV/INF/6/4</w:t>
      </w:r>
      <w:r w:rsidR="00DC173A" w:rsidRPr="004C152A">
        <w:rPr>
          <w:rFonts w:cs="Arial"/>
        </w:rPr>
        <w:t>).</w:t>
      </w:r>
    </w:p>
    <w:p w:rsidR="009612F3" w:rsidRDefault="009612F3" w:rsidP="009612F3"/>
    <w:p w:rsidR="00171C6B" w:rsidRDefault="00171C6B" w:rsidP="009612F3"/>
    <w:p w:rsidR="009612F3" w:rsidRDefault="009612F3" w:rsidP="009612F3"/>
    <w:p w:rsidR="009612F3" w:rsidRDefault="009612F3" w:rsidP="009612F3">
      <w:pPr>
        <w:jc w:val="right"/>
        <w:rPr>
          <w:snapToGrid w:val="0"/>
        </w:rPr>
      </w:pPr>
      <w:r w:rsidRPr="00FA161B">
        <w:rPr>
          <w:snapToGrid w:val="0"/>
        </w:rPr>
        <w:t>[Annex follows]</w:t>
      </w:r>
    </w:p>
    <w:p w:rsidR="009612F3" w:rsidRPr="00CC07EF" w:rsidRDefault="009612F3" w:rsidP="009612F3">
      <w:pPr>
        <w:jc w:val="left"/>
        <w:sectPr w:rsidR="009612F3" w:rsidRPr="00CC07EF" w:rsidSect="009612F3">
          <w:headerReference w:type="default" r:id="rId10"/>
          <w:endnotePr>
            <w:numFmt w:val="lowerLetter"/>
          </w:endnotePr>
          <w:pgSz w:w="11907" w:h="16840" w:code="9"/>
          <w:pgMar w:top="510" w:right="1134" w:bottom="1134" w:left="1134" w:header="510" w:footer="624" w:gutter="0"/>
          <w:cols w:space="720"/>
          <w:titlePg/>
        </w:sectPr>
      </w:pPr>
    </w:p>
    <w:p w:rsidR="009612F3" w:rsidRPr="00C57332" w:rsidRDefault="009612F3" w:rsidP="009612F3">
      <w:pPr>
        <w:jc w:val="center"/>
      </w:pPr>
      <w:r>
        <w:lastRenderedPageBreak/>
        <w:t>CAJ/</w:t>
      </w:r>
      <w:r w:rsidR="009C44BE">
        <w:t>71</w:t>
      </w:r>
      <w:r>
        <w:t>/2</w:t>
      </w:r>
    </w:p>
    <w:p w:rsidR="009612F3" w:rsidRPr="00C57332" w:rsidRDefault="009612F3" w:rsidP="009612F3">
      <w:pPr>
        <w:jc w:val="center"/>
      </w:pPr>
    </w:p>
    <w:p w:rsidR="009612F3" w:rsidRPr="00C57332" w:rsidRDefault="009612F3" w:rsidP="009612F3">
      <w:pPr>
        <w:jc w:val="center"/>
      </w:pPr>
      <w:r w:rsidRPr="00C57332">
        <w:t>ANNEX</w:t>
      </w:r>
    </w:p>
    <w:p w:rsidR="009612F3" w:rsidRDefault="009612F3" w:rsidP="009612F3">
      <w:pPr>
        <w:jc w:val="center"/>
        <w:rPr>
          <w:sz w:val="16"/>
          <w:szCs w:val="16"/>
        </w:rPr>
      </w:pPr>
    </w:p>
    <w:p w:rsidR="009612F3" w:rsidRPr="00A67697" w:rsidRDefault="009612F3" w:rsidP="009612F3">
      <w:pPr>
        <w:jc w:val="center"/>
        <w:rPr>
          <w:sz w:val="16"/>
          <w:szCs w:val="16"/>
        </w:rPr>
      </w:pPr>
    </w:p>
    <w:p w:rsidR="009612F3" w:rsidRPr="00DD6655" w:rsidRDefault="009612F3" w:rsidP="009612F3">
      <w:pPr>
        <w:jc w:val="center"/>
      </w:pPr>
      <w:r w:rsidRPr="00DD6655">
        <w:t>OVERVIEW OF THE DEVELOPMENT OF INFORMATION MATERIALS</w:t>
      </w:r>
    </w:p>
    <w:p w:rsidR="009612F3" w:rsidRDefault="009612F3" w:rsidP="009612F3">
      <w:pPr>
        <w:jc w:val="center"/>
        <w:rPr>
          <w:sz w:val="16"/>
          <w:szCs w:val="16"/>
        </w:rPr>
      </w:pPr>
    </w:p>
    <w:p w:rsidR="009612F3" w:rsidRPr="00DD6655" w:rsidRDefault="009612F3" w:rsidP="009612F3">
      <w:pPr>
        <w:jc w:val="center"/>
        <w:rPr>
          <w:sz w:val="16"/>
          <w:szCs w:val="16"/>
        </w:rPr>
      </w:pPr>
    </w:p>
    <w:p w:rsidR="009612F3" w:rsidRPr="000022C4" w:rsidRDefault="009612F3" w:rsidP="009612F3">
      <w:pPr>
        <w:jc w:val="left"/>
      </w:pPr>
      <w:r w:rsidRPr="000022C4">
        <w:t>EXPLANATORY NOTES</w:t>
      </w:r>
    </w:p>
    <w:p w:rsidR="009612F3" w:rsidRPr="000022C4" w:rsidRDefault="009612F3" w:rsidP="009612F3">
      <w:pPr>
        <w:jc w:val="left"/>
        <w:rPr>
          <w:sz w:val="16"/>
          <w:szCs w:val="16"/>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41"/>
        <w:gridCol w:w="4717"/>
        <w:gridCol w:w="3912"/>
      </w:tblGrid>
      <w:tr w:rsidR="009612F3" w:rsidRPr="000022C4" w:rsidTr="00891783">
        <w:trPr>
          <w:cantSplit/>
          <w:jc w:val="center"/>
        </w:trPr>
        <w:tc>
          <w:tcPr>
            <w:tcW w:w="1741" w:type="dxa"/>
            <w:shd w:val="clear" w:color="auto" w:fill="D9D9D9"/>
          </w:tcPr>
          <w:p w:rsidR="009612F3" w:rsidRPr="000022C4" w:rsidRDefault="009612F3" w:rsidP="00197FE8">
            <w:pPr>
              <w:jc w:val="left"/>
              <w:rPr>
                <w:rFonts w:cs="Arial"/>
                <w:sz w:val="18"/>
                <w:szCs w:val="18"/>
              </w:rPr>
            </w:pPr>
            <w:r w:rsidRPr="000022C4">
              <w:rPr>
                <w:rFonts w:cs="Arial"/>
                <w:sz w:val="18"/>
                <w:szCs w:val="18"/>
              </w:rPr>
              <w:t>Reference</w:t>
            </w:r>
          </w:p>
        </w:tc>
        <w:tc>
          <w:tcPr>
            <w:tcW w:w="4717" w:type="dxa"/>
            <w:shd w:val="clear" w:color="auto" w:fill="D9D9D9"/>
          </w:tcPr>
          <w:p w:rsidR="009612F3" w:rsidRPr="000022C4" w:rsidRDefault="009612F3" w:rsidP="00197FE8">
            <w:pPr>
              <w:jc w:val="left"/>
              <w:rPr>
                <w:rFonts w:cs="Arial"/>
                <w:sz w:val="18"/>
                <w:szCs w:val="18"/>
              </w:rPr>
            </w:pPr>
            <w:r w:rsidRPr="000022C4">
              <w:rPr>
                <w:rFonts w:cs="Arial"/>
                <w:sz w:val="18"/>
                <w:szCs w:val="18"/>
              </w:rPr>
              <w:t>Explanatory Notes on:</w:t>
            </w:r>
          </w:p>
        </w:tc>
        <w:tc>
          <w:tcPr>
            <w:tcW w:w="3912" w:type="dxa"/>
            <w:shd w:val="clear" w:color="auto" w:fill="D9D9D9"/>
          </w:tcPr>
          <w:p w:rsidR="009612F3" w:rsidRPr="000022C4" w:rsidRDefault="009612F3" w:rsidP="00197FE8">
            <w:pPr>
              <w:jc w:val="left"/>
              <w:rPr>
                <w:rFonts w:cs="Arial"/>
                <w:sz w:val="18"/>
                <w:szCs w:val="18"/>
              </w:rPr>
            </w:pPr>
            <w:r w:rsidRPr="000022C4">
              <w:rPr>
                <w:rFonts w:cs="Arial"/>
                <w:sz w:val="18"/>
                <w:szCs w:val="18"/>
              </w:rPr>
              <w:t>Status</w:t>
            </w: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sidRPr="000022C4">
              <w:rPr>
                <w:rFonts w:cs="Arial"/>
                <w:sz w:val="18"/>
                <w:szCs w:val="18"/>
              </w:rPr>
              <w:t>UPOV/EXN/BRD</w:t>
            </w:r>
          </w:p>
        </w:tc>
        <w:tc>
          <w:tcPr>
            <w:tcW w:w="4717" w:type="dxa"/>
          </w:tcPr>
          <w:p w:rsidR="009612F3" w:rsidRPr="000022C4" w:rsidRDefault="009612F3" w:rsidP="00197FE8">
            <w:pPr>
              <w:jc w:val="left"/>
              <w:rPr>
                <w:rFonts w:cs="Arial"/>
                <w:sz w:val="18"/>
                <w:szCs w:val="18"/>
              </w:rPr>
            </w:pPr>
            <w:r w:rsidRPr="000022C4">
              <w:rPr>
                <w:rFonts w:cs="Arial"/>
                <w:sz w:val="18"/>
                <w:szCs w:val="18"/>
              </w:rPr>
              <w:t>Definition of Breeder under the 1991 Act of the UPOV Convention</w:t>
            </w:r>
          </w:p>
        </w:tc>
        <w:tc>
          <w:tcPr>
            <w:tcW w:w="3912" w:type="dxa"/>
          </w:tcPr>
          <w:p w:rsidR="009612F3" w:rsidRPr="000022C4" w:rsidRDefault="009612F3" w:rsidP="00197FE8">
            <w:pPr>
              <w:jc w:val="left"/>
              <w:rPr>
                <w:rFonts w:cs="Arial"/>
                <w:strike/>
                <w:sz w:val="18"/>
                <w:szCs w:val="18"/>
              </w:rPr>
            </w:pPr>
            <w:r w:rsidRPr="000022C4">
              <w:rPr>
                <w:rFonts w:cs="Arial"/>
                <w:iCs/>
                <w:sz w:val="18"/>
                <w:szCs w:val="18"/>
              </w:rPr>
              <w:t>UPOV/EXN/BRD/1 adopted in October 2013</w:t>
            </w: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sidRPr="000022C4">
              <w:rPr>
                <w:rFonts w:cs="Arial"/>
                <w:sz w:val="18"/>
                <w:szCs w:val="18"/>
              </w:rPr>
              <w:t>UPOV/EXN/CAL</w:t>
            </w:r>
          </w:p>
        </w:tc>
        <w:tc>
          <w:tcPr>
            <w:tcW w:w="4717" w:type="dxa"/>
          </w:tcPr>
          <w:p w:rsidR="009612F3" w:rsidRPr="000022C4" w:rsidRDefault="009612F3" w:rsidP="00197FE8">
            <w:pPr>
              <w:jc w:val="left"/>
              <w:rPr>
                <w:rFonts w:cs="Arial"/>
                <w:sz w:val="18"/>
                <w:szCs w:val="18"/>
              </w:rPr>
            </w:pPr>
            <w:r w:rsidRPr="000022C4">
              <w:rPr>
                <w:rFonts w:cs="Arial"/>
                <w:sz w:val="18"/>
                <w:szCs w:val="18"/>
              </w:rPr>
              <w:t>Conditions and Limitations Concerning the Breeder’s Authorization in Respect of Propagating Material under the UPOV Convention</w:t>
            </w:r>
          </w:p>
        </w:tc>
        <w:tc>
          <w:tcPr>
            <w:tcW w:w="3912" w:type="dxa"/>
          </w:tcPr>
          <w:p w:rsidR="009612F3" w:rsidRPr="000022C4" w:rsidRDefault="009612F3" w:rsidP="00197FE8">
            <w:pPr>
              <w:jc w:val="left"/>
              <w:rPr>
                <w:rFonts w:cs="Arial"/>
                <w:sz w:val="18"/>
                <w:szCs w:val="18"/>
              </w:rPr>
            </w:pPr>
            <w:r w:rsidRPr="000022C4">
              <w:rPr>
                <w:rFonts w:cs="Arial"/>
                <w:sz w:val="18"/>
                <w:szCs w:val="18"/>
              </w:rPr>
              <w:t>UPOV/EXN/CAL/1 adopted in October</w:t>
            </w:r>
            <w:r w:rsidRPr="000022C4">
              <w:rPr>
                <w:rFonts w:cs="Arial"/>
                <w:iCs/>
                <w:sz w:val="18"/>
                <w:szCs w:val="18"/>
              </w:rPr>
              <w:t xml:space="preserve"> 2010</w:t>
            </w: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sidRPr="000022C4">
              <w:rPr>
                <w:rFonts w:cs="Arial"/>
                <w:sz w:val="18"/>
                <w:szCs w:val="18"/>
              </w:rPr>
              <w:t>UPOV/EXN/CAN</w:t>
            </w:r>
          </w:p>
        </w:tc>
        <w:tc>
          <w:tcPr>
            <w:tcW w:w="4717" w:type="dxa"/>
          </w:tcPr>
          <w:p w:rsidR="009612F3" w:rsidRPr="000022C4" w:rsidRDefault="009612F3" w:rsidP="00197FE8">
            <w:pPr>
              <w:jc w:val="left"/>
              <w:rPr>
                <w:rFonts w:cs="Arial"/>
                <w:sz w:val="18"/>
                <w:szCs w:val="18"/>
              </w:rPr>
            </w:pPr>
            <w:r w:rsidRPr="000022C4">
              <w:rPr>
                <w:rFonts w:cs="Arial"/>
                <w:sz w:val="18"/>
                <w:szCs w:val="18"/>
              </w:rPr>
              <w:t>Cancellation of the Breeder’s Right under the UPOV Convention</w:t>
            </w:r>
          </w:p>
        </w:tc>
        <w:tc>
          <w:tcPr>
            <w:tcW w:w="3912" w:type="dxa"/>
          </w:tcPr>
          <w:p w:rsidR="009612F3" w:rsidRPr="00DF2A30" w:rsidRDefault="009612F3" w:rsidP="00197FE8">
            <w:pPr>
              <w:jc w:val="left"/>
              <w:rPr>
                <w:rFonts w:cs="Arial"/>
                <w:sz w:val="18"/>
                <w:szCs w:val="18"/>
              </w:rPr>
            </w:pPr>
            <w:r w:rsidRPr="00DF2A30">
              <w:rPr>
                <w:rFonts w:cs="Arial"/>
                <w:sz w:val="18"/>
                <w:szCs w:val="18"/>
              </w:rPr>
              <w:t>UPOV/EXN/CAN/1 adopted in October 2009</w:t>
            </w:r>
          </w:p>
          <w:p w:rsidR="00826164" w:rsidRPr="000022C4" w:rsidRDefault="00826164" w:rsidP="00DF2A30">
            <w:pPr>
              <w:jc w:val="left"/>
              <w:rPr>
                <w:rFonts w:cs="Arial"/>
                <w:sz w:val="18"/>
                <w:szCs w:val="18"/>
              </w:rPr>
            </w:pPr>
            <w:r w:rsidRPr="00DF2A30">
              <w:rPr>
                <w:rFonts w:cs="Arial"/>
                <w:spacing w:val="-2"/>
                <w:sz w:val="18"/>
                <w:szCs w:val="18"/>
              </w:rPr>
              <w:t>UPOV/EXN/CAN/2 Draft 3 to be considered by the CAJ in March 2015</w:t>
            </w: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sidRPr="000022C4">
              <w:rPr>
                <w:rFonts w:cs="Arial"/>
                <w:color w:val="000000"/>
                <w:sz w:val="18"/>
                <w:szCs w:val="18"/>
              </w:rPr>
              <w:t>UPOV/EXN/EDV</w:t>
            </w:r>
          </w:p>
        </w:tc>
        <w:tc>
          <w:tcPr>
            <w:tcW w:w="4717" w:type="dxa"/>
          </w:tcPr>
          <w:p w:rsidR="009612F3" w:rsidRPr="000022C4" w:rsidRDefault="009612F3" w:rsidP="00197FE8">
            <w:pPr>
              <w:jc w:val="left"/>
              <w:rPr>
                <w:rFonts w:cs="Arial"/>
                <w:color w:val="000000"/>
                <w:sz w:val="18"/>
                <w:szCs w:val="18"/>
              </w:rPr>
            </w:pPr>
            <w:r w:rsidRPr="000022C4">
              <w:rPr>
                <w:rFonts w:cs="Arial"/>
                <w:color w:val="000000"/>
                <w:sz w:val="18"/>
                <w:szCs w:val="18"/>
              </w:rPr>
              <w:t xml:space="preserve">Essentially Derived Varieties under the </w:t>
            </w:r>
            <w:r w:rsidRPr="000022C4">
              <w:rPr>
                <w:rFonts w:cs="Arial"/>
                <w:sz w:val="18"/>
                <w:szCs w:val="18"/>
              </w:rPr>
              <w:t xml:space="preserve">1991 Act of the </w:t>
            </w:r>
            <w:r w:rsidRPr="000022C4">
              <w:rPr>
                <w:rFonts w:cs="Arial"/>
                <w:color w:val="000000"/>
                <w:sz w:val="18"/>
                <w:szCs w:val="18"/>
              </w:rPr>
              <w:t>UPOV Convention</w:t>
            </w:r>
          </w:p>
        </w:tc>
        <w:tc>
          <w:tcPr>
            <w:tcW w:w="3912" w:type="dxa"/>
          </w:tcPr>
          <w:p w:rsidR="009612F3" w:rsidRPr="000022C4" w:rsidRDefault="009612F3" w:rsidP="00197FE8">
            <w:pPr>
              <w:jc w:val="left"/>
              <w:rPr>
                <w:rFonts w:cs="Arial"/>
                <w:sz w:val="18"/>
                <w:szCs w:val="18"/>
              </w:rPr>
            </w:pPr>
            <w:r w:rsidRPr="000022C4">
              <w:rPr>
                <w:rFonts w:cs="Arial"/>
                <w:color w:val="000000"/>
                <w:sz w:val="18"/>
                <w:szCs w:val="18"/>
              </w:rPr>
              <w:t>UPOV/EXN/EDV/1 a</w:t>
            </w:r>
            <w:r w:rsidRPr="000022C4">
              <w:rPr>
                <w:rFonts w:cs="Arial"/>
                <w:sz w:val="18"/>
                <w:szCs w:val="18"/>
              </w:rPr>
              <w:t>dopted in October 2009</w:t>
            </w:r>
          </w:p>
          <w:p w:rsidR="009612F3" w:rsidRPr="000022C4" w:rsidRDefault="009612F3" w:rsidP="00DF2A30">
            <w:pPr>
              <w:jc w:val="left"/>
              <w:rPr>
                <w:rFonts w:cs="Arial"/>
                <w:sz w:val="18"/>
                <w:szCs w:val="18"/>
              </w:rPr>
            </w:pPr>
            <w:r w:rsidRPr="000022C4">
              <w:rPr>
                <w:rFonts w:cs="Arial"/>
                <w:color w:val="000000"/>
                <w:sz w:val="18"/>
                <w:szCs w:val="18"/>
              </w:rPr>
              <w:t>U</w:t>
            </w:r>
            <w:r w:rsidR="00DF2A30">
              <w:rPr>
                <w:rFonts w:cs="Arial"/>
                <w:color w:val="000000"/>
                <w:sz w:val="18"/>
                <w:szCs w:val="18"/>
              </w:rPr>
              <w:t>POV/EXN/EDV/2 Draft 6</w:t>
            </w:r>
            <w:r w:rsidRPr="000022C4">
              <w:rPr>
                <w:rFonts w:cs="Arial"/>
                <w:iCs/>
                <w:sz w:val="18"/>
                <w:szCs w:val="18"/>
              </w:rPr>
              <w:t xml:space="preserve"> </w:t>
            </w:r>
            <w:r w:rsidR="00DF2A30">
              <w:rPr>
                <w:rFonts w:cs="Arial"/>
                <w:spacing w:val="-2"/>
                <w:sz w:val="18"/>
                <w:szCs w:val="18"/>
              </w:rPr>
              <w:t xml:space="preserve">to be </w:t>
            </w:r>
            <w:r w:rsidRPr="000022C4">
              <w:rPr>
                <w:rFonts w:cs="Arial"/>
                <w:spacing w:val="-2"/>
                <w:sz w:val="18"/>
                <w:szCs w:val="18"/>
              </w:rPr>
              <w:t>considered by the CAJ</w:t>
            </w:r>
            <w:r w:rsidR="00DF2A30">
              <w:rPr>
                <w:rFonts w:cs="Arial"/>
                <w:spacing w:val="-2"/>
                <w:sz w:val="18"/>
                <w:szCs w:val="18"/>
              </w:rPr>
              <w:t xml:space="preserve"> in October 2015</w:t>
            </w: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sidRPr="000022C4">
              <w:rPr>
                <w:rFonts w:cs="Arial"/>
                <w:color w:val="000000"/>
                <w:sz w:val="18"/>
                <w:szCs w:val="18"/>
              </w:rPr>
              <w:t>UPOV/EXN/ENF</w:t>
            </w:r>
          </w:p>
        </w:tc>
        <w:tc>
          <w:tcPr>
            <w:tcW w:w="4717" w:type="dxa"/>
          </w:tcPr>
          <w:p w:rsidR="009612F3" w:rsidRPr="000022C4" w:rsidRDefault="009612F3" w:rsidP="00197FE8">
            <w:pPr>
              <w:jc w:val="left"/>
              <w:rPr>
                <w:rFonts w:cs="Arial"/>
                <w:sz w:val="18"/>
                <w:szCs w:val="18"/>
              </w:rPr>
            </w:pPr>
            <w:r w:rsidRPr="000022C4">
              <w:rPr>
                <w:rFonts w:cs="Arial"/>
                <w:sz w:val="18"/>
                <w:szCs w:val="18"/>
              </w:rPr>
              <w:t>Enforcement of Breeders’ Rights under the UPOV Convention</w:t>
            </w:r>
          </w:p>
        </w:tc>
        <w:tc>
          <w:tcPr>
            <w:tcW w:w="3912" w:type="dxa"/>
          </w:tcPr>
          <w:p w:rsidR="009612F3" w:rsidRPr="000022C4" w:rsidRDefault="009612F3" w:rsidP="00197FE8">
            <w:pPr>
              <w:jc w:val="left"/>
              <w:rPr>
                <w:rFonts w:cs="Arial"/>
                <w:sz w:val="18"/>
                <w:szCs w:val="18"/>
              </w:rPr>
            </w:pPr>
            <w:r w:rsidRPr="000022C4">
              <w:rPr>
                <w:rFonts w:cs="Arial"/>
                <w:color w:val="000000"/>
                <w:sz w:val="18"/>
                <w:szCs w:val="18"/>
              </w:rPr>
              <w:t>UPOV/EXN/ENF/1 a</w:t>
            </w:r>
            <w:r w:rsidRPr="000022C4">
              <w:rPr>
                <w:rFonts w:cs="Arial"/>
                <w:sz w:val="18"/>
                <w:szCs w:val="18"/>
              </w:rPr>
              <w:t>dopted in October 2009</w:t>
            </w:r>
          </w:p>
        </w:tc>
      </w:tr>
      <w:tr w:rsidR="009612F3" w:rsidRPr="000022C4" w:rsidTr="00891783">
        <w:trPr>
          <w:cantSplit/>
          <w:jc w:val="center"/>
        </w:trPr>
        <w:tc>
          <w:tcPr>
            <w:tcW w:w="1741" w:type="dxa"/>
          </w:tcPr>
          <w:p w:rsidR="009612F3" w:rsidRPr="000022C4" w:rsidRDefault="009612F3" w:rsidP="00197FE8">
            <w:pPr>
              <w:jc w:val="left"/>
              <w:rPr>
                <w:rFonts w:cs="Arial"/>
                <w:color w:val="000000"/>
                <w:sz w:val="18"/>
                <w:szCs w:val="18"/>
              </w:rPr>
            </w:pPr>
            <w:r w:rsidRPr="000022C4">
              <w:rPr>
                <w:rFonts w:cs="Arial"/>
                <w:color w:val="000000"/>
                <w:sz w:val="18"/>
                <w:szCs w:val="18"/>
              </w:rPr>
              <w:t>UPOV/EXN/EXC</w:t>
            </w:r>
          </w:p>
        </w:tc>
        <w:tc>
          <w:tcPr>
            <w:tcW w:w="4717" w:type="dxa"/>
          </w:tcPr>
          <w:p w:rsidR="009612F3" w:rsidRPr="000022C4" w:rsidRDefault="009612F3" w:rsidP="00197FE8">
            <w:pPr>
              <w:jc w:val="left"/>
              <w:rPr>
                <w:rFonts w:cs="Arial"/>
                <w:color w:val="000000"/>
                <w:sz w:val="18"/>
                <w:szCs w:val="18"/>
              </w:rPr>
            </w:pPr>
            <w:r w:rsidRPr="000022C4">
              <w:rPr>
                <w:rFonts w:cs="Arial"/>
                <w:color w:val="000000"/>
                <w:sz w:val="18"/>
                <w:szCs w:val="18"/>
              </w:rPr>
              <w:t xml:space="preserve">Exceptions to the Breeder’s Right under the </w:t>
            </w:r>
            <w:r w:rsidRPr="000022C4">
              <w:rPr>
                <w:rFonts w:cs="Arial"/>
                <w:sz w:val="18"/>
                <w:szCs w:val="18"/>
              </w:rPr>
              <w:t xml:space="preserve">1991 Act of the </w:t>
            </w:r>
            <w:r w:rsidRPr="000022C4">
              <w:rPr>
                <w:rFonts w:cs="Arial"/>
                <w:color w:val="000000"/>
                <w:sz w:val="18"/>
                <w:szCs w:val="18"/>
              </w:rPr>
              <w:t>UPOV Convention</w:t>
            </w:r>
          </w:p>
        </w:tc>
        <w:tc>
          <w:tcPr>
            <w:tcW w:w="3912" w:type="dxa"/>
          </w:tcPr>
          <w:p w:rsidR="009612F3" w:rsidRPr="000022C4" w:rsidRDefault="009612F3" w:rsidP="00197FE8">
            <w:pPr>
              <w:jc w:val="left"/>
              <w:rPr>
                <w:rFonts w:cs="Arial"/>
                <w:sz w:val="18"/>
                <w:szCs w:val="18"/>
              </w:rPr>
            </w:pPr>
            <w:r w:rsidRPr="000022C4">
              <w:rPr>
                <w:rFonts w:cs="Arial"/>
                <w:color w:val="000000"/>
                <w:sz w:val="18"/>
                <w:szCs w:val="18"/>
              </w:rPr>
              <w:t>UPOV/EXN/EXC/1 a</w:t>
            </w:r>
            <w:r w:rsidRPr="000022C4">
              <w:rPr>
                <w:rFonts w:cs="Arial"/>
                <w:sz w:val="18"/>
                <w:szCs w:val="18"/>
              </w:rPr>
              <w:t>dopted in October 2009</w:t>
            </w: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sidRPr="000022C4">
              <w:rPr>
                <w:rFonts w:cs="Arial"/>
                <w:sz w:val="18"/>
                <w:szCs w:val="18"/>
              </w:rPr>
              <w:t>UPOV/EXN/GEN</w:t>
            </w:r>
          </w:p>
        </w:tc>
        <w:tc>
          <w:tcPr>
            <w:tcW w:w="4717" w:type="dxa"/>
          </w:tcPr>
          <w:p w:rsidR="009612F3" w:rsidRPr="000022C4" w:rsidRDefault="009612F3" w:rsidP="00197FE8">
            <w:pPr>
              <w:jc w:val="left"/>
              <w:rPr>
                <w:rFonts w:cs="Arial"/>
                <w:sz w:val="18"/>
                <w:szCs w:val="18"/>
              </w:rPr>
            </w:pPr>
            <w:r w:rsidRPr="000022C4">
              <w:rPr>
                <w:rFonts w:cs="Arial"/>
                <w:sz w:val="18"/>
                <w:szCs w:val="18"/>
              </w:rPr>
              <w:t>Genera and Species to be Protected under the 1991 Act of the UPOV Convention</w:t>
            </w:r>
          </w:p>
        </w:tc>
        <w:tc>
          <w:tcPr>
            <w:tcW w:w="3912" w:type="dxa"/>
          </w:tcPr>
          <w:p w:rsidR="009612F3" w:rsidRPr="000022C4" w:rsidRDefault="009612F3" w:rsidP="00197FE8">
            <w:pPr>
              <w:jc w:val="left"/>
              <w:rPr>
                <w:rFonts w:cs="Arial"/>
                <w:sz w:val="18"/>
                <w:szCs w:val="18"/>
              </w:rPr>
            </w:pPr>
            <w:r w:rsidRPr="000022C4">
              <w:rPr>
                <w:rFonts w:cs="Arial"/>
                <w:sz w:val="18"/>
                <w:szCs w:val="18"/>
              </w:rPr>
              <w:t>UPOV/EXN/GEN/1 adopted in October 2009</w:t>
            </w: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sidRPr="000022C4">
              <w:rPr>
                <w:rFonts w:cs="Arial"/>
                <w:sz w:val="18"/>
                <w:szCs w:val="18"/>
              </w:rPr>
              <w:t>UPOV/EXN/HRV</w:t>
            </w:r>
          </w:p>
        </w:tc>
        <w:tc>
          <w:tcPr>
            <w:tcW w:w="4717" w:type="dxa"/>
          </w:tcPr>
          <w:p w:rsidR="009612F3" w:rsidRPr="000022C4" w:rsidRDefault="009612F3" w:rsidP="00197FE8">
            <w:pPr>
              <w:jc w:val="left"/>
              <w:rPr>
                <w:rFonts w:cs="Arial"/>
                <w:sz w:val="18"/>
                <w:szCs w:val="18"/>
              </w:rPr>
            </w:pPr>
            <w:r w:rsidRPr="000022C4">
              <w:rPr>
                <w:rFonts w:cs="Arial"/>
                <w:sz w:val="18"/>
                <w:szCs w:val="18"/>
              </w:rPr>
              <w:t>Acts in Respect of Harvested Material under the 1991 Act of the UPOV Convention</w:t>
            </w:r>
          </w:p>
        </w:tc>
        <w:tc>
          <w:tcPr>
            <w:tcW w:w="3912" w:type="dxa"/>
          </w:tcPr>
          <w:p w:rsidR="009612F3" w:rsidRPr="000022C4" w:rsidRDefault="009612F3" w:rsidP="00197FE8">
            <w:pPr>
              <w:jc w:val="left"/>
              <w:rPr>
                <w:rFonts w:cs="Arial"/>
                <w:iCs/>
                <w:sz w:val="18"/>
                <w:szCs w:val="18"/>
              </w:rPr>
            </w:pPr>
            <w:r w:rsidRPr="000022C4">
              <w:rPr>
                <w:rFonts w:cs="Arial"/>
                <w:iCs/>
                <w:sz w:val="18"/>
                <w:szCs w:val="18"/>
              </w:rPr>
              <w:t>UPOV/EXN/HRV/1 adopted in October 2013</w:t>
            </w:r>
          </w:p>
          <w:p w:rsidR="009612F3" w:rsidRPr="000022C4" w:rsidRDefault="009612F3" w:rsidP="00197FE8">
            <w:pPr>
              <w:jc w:val="left"/>
              <w:rPr>
                <w:rFonts w:cs="Arial"/>
                <w:color w:val="000000"/>
                <w:sz w:val="18"/>
                <w:szCs w:val="18"/>
              </w:rPr>
            </w:pP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sidRPr="000022C4">
              <w:rPr>
                <w:rFonts w:cs="Arial"/>
                <w:sz w:val="18"/>
                <w:szCs w:val="18"/>
              </w:rPr>
              <w:t>UPOV/EXN/NAT</w:t>
            </w:r>
          </w:p>
        </w:tc>
        <w:tc>
          <w:tcPr>
            <w:tcW w:w="4717" w:type="dxa"/>
          </w:tcPr>
          <w:p w:rsidR="009612F3" w:rsidRPr="000022C4" w:rsidRDefault="009612F3" w:rsidP="00197FE8">
            <w:pPr>
              <w:jc w:val="left"/>
              <w:rPr>
                <w:rFonts w:cs="Arial"/>
                <w:sz w:val="18"/>
                <w:szCs w:val="18"/>
              </w:rPr>
            </w:pPr>
            <w:r w:rsidRPr="000022C4">
              <w:rPr>
                <w:rFonts w:cs="Arial"/>
                <w:sz w:val="18"/>
                <w:szCs w:val="18"/>
              </w:rPr>
              <w:t>National Treatment under the 1991 Act of the UPOV Convention</w:t>
            </w:r>
          </w:p>
        </w:tc>
        <w:tc>
          <w:tcPr>
            <w:tcW w:w="3912" w:type="dxa"/>
          </w:tcPr>
          <w:p w:rsidR="009612F3" w:rsidRPr="000022C4" w:rsidRDefault="009612F3" w:rsidP="00197FE8">
            <w:pPr>
              <w:jc w:val="left"/>
              <w:rPr>
                <w:rFonts w:cs="Arial"/>
                <w:sz w:val="18"/>
                <w:szCs w:val="18"/>
              </w:rPr>
            </w:pPr>
            <w:r w:rsidRPr="000022C4">
              <w:rPr>
                <w:rFonts w:cs="Arial"/>
                <w:sz w:val="18"/>
                <w:szCs w:val="18"/>
              </w:rPr>
              <w:t>UPOV/EXN/NAT/1 adopted in October 2009</w:t>
            </w: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sidRPr="000022C4">
              <w:rPr>
                <w:rFonts w:cs="Arial"/>
                <w:sz w:val="18"/>
                <w:szCs w:val="18"/>
              </w:rPr>
              <w:t>UPOV/EXN/NOV</w:t>
            </w:r>
          </w:p>
        </w:tc>
        <w:tc>
          <w:tcPr>
            <w:tcW w:w="4717" w:type="dxa"/>
          </w:tcPr>
          <w:p w:rsidR="009612F3" w:rsidRPr="000022C4" w:rsidRDefault="009612F3" w:rsidP="00197FE8">
            <w:pPr>
              <w:jc w:val="left"/>
              <w:rPr>
                <w:rFonts w:cs="Arial"/>
                <w:sz w:val="18"/>
                <w:szCs w:val="18"/>
              </w:rPr>
            </w:pPr>
            <w:r w:rsidRPr="000022C4">
              <w:rPr>
                <w:rFonts w:cs="Arial"/>
                <w:sz w:val="18"/>
                <w:szCs w:val="18"/>
              </w:rPr>
              <w:t>Novelty under the UPOV Convention</w:t>
            </w:r>
          </w:p>
        </w:tc>
        <w:tc>
          <w:tcPr>
            <w:tcW w:w="3912" w:type="dxa"/>
          </w:tcPr>
          <w:p w:rsidR="009612F3" w:rsidRPr="000022C4" w:rsidRDefault="009612F3" w:rsidP="00197FE8">
            <w:pPr>
              <w:jc w:val="left"/>
              <w:rPr>
                <w:rFonts w:cs="Arial"/>
                <w:sz w:val="18"/>
                <w:szCs w:val="18"/>
              </w:rPr>
            </w:pPr>
            <w:r w:rsidRPr="000022C4">
              <w:rPr>
                <w:rFonts w:cs="Arial"/>
                <w:sz w:val="18"/>
                <w:szCs w:val="18"/>
              </w:rPr>
              <w:t>UPOV/EXN/NOV/1 adopted in October 2009</w:t>
            </w:r>
          </w:p>
        </w:tc>
      </w:tr>
      <w:tr w:rsidR="009612F3" w:rsidRPr="000022C4" w:rsidTr="00891783">
        <w:trPr>
          <w:cantSplit/>
          <w:jc w:val="center"/>
        </w:trPr>
        <w:tc>
          <w:tcPr>
            <w:tcW w:w="1741" w:type="dxa"/>
          </w:tcPr>
          <w:p w:rsidR="009612F3" w:rsidRPr="000022C4" w:rsidRDefault="009612F3" w:rsidP="00197FE8">
            <w:pPr>
              <w:jc w:val="left"/>
              <w:rPr>
                <w:rFonts w:cs="Arial"/>
                <w:color w:val="000000"/>
                <w:sz w:val="18"/>
                <w:szCs w:val="18"/>
              </w:rPr>
            </w:pPr>
            <w:r w:rsidRPr="000022C4">
              <w:rPr>
                <w:rFonts w:cs="Arial"/>
                <w:color w:val="000000"/>
                <w:sz w:val="18"/>
                <w:szCs w:val="18"/>
              </w:rPr>
              <w:t>UPOV/EXN/NUL</w:t>
            </w:r>
          </w:p>
        </w:tc>
        <w:tc>
          <w:tcPr>
            <w:tcW w:w="4717" w:type="dxa"/>
          </w:tcPr>
          <w:p w:rsidR="009612F3" w:rsidRPr="000022C4" w:rsidRDefault="009612F3" w:rsidP="00197FE8">
            <w:pPr>
              <w:jc w:val="left"/>
              <w:rPr>
                <w:rFonts w:cs="Arial"/>
                <w:sz w:val="18"/>
                <w:szCs w:val="18"/>
              </w:rPr>
            </w:pPr>
            <w:r w:rsidRPr="000022C4">
              <w:rPr>
                <w:rFonts w:cs="Arial"/>
                <w:sz w:val="18"/>
                <w:szCs w:val="18"/>
              </w:rPr>
              <w:t>Nullity of the Breeder’s Right under the UPOV Convention</w:t>
            </w:r>
          </w:p>
        </w:tc>
        <w:tc>
          <w:tcPr>
            <w:tcW w:w="3912" w:type="dxa"/>
          </w:tcPr>
          <w:p w:rsidR="009612F3" w:rsidRPr="000022C4" w:rsidRDefault="009612F3" w:rsidP="00197FE8">
            <w:pPr>
              <w:jc w:val="left"/>
              <w:rPr>
                <w:rFonts w:cs="Arial"/>
                <w:sz w:val="18"/>
                <w:szCs w:val="18"/>
              </w:rPr>
            </w:pPr>
            <w:r w:rsidRPr="000022C4">
              <w:rPr>
                <w:rFonts w:cs="Arial"/>
                <w:color w:val="000000"/>
                <w:sz w:val="18"/>
                <w:szCs w:val="18"/>
              </w:rPr>
              <w:t xml:space="preserve">UPOV/EXN/NUL/1 </w:t>
            </w:r>
            <w:r w:rsidRPr="000022C4">
              <w:rPr>
                <w:rFonts w:cs="Arial"/>
                <w:sz w:val="18"/>
                <w:szCs w:val="18"/>
              </w:rPr>
              <w:t>adopted in October 2009</w:t>
            </w:r>
          </w:p>
          <w:p w:rsidR="00826164" w:rsidRPr="000022C4" w:rsidRDefault="00826164" w:rsidP="00197FE8">
            <w:pPr>
              <w:jc w:val="left"/>
              <w:rPr>
                <w:rFonts w:cs="Arial"/>
                <w:sz w:val="18"/>
                <w:szCs w:val="18"/>
              </w:rPr>
            </w:pPr>
            <w:r w:rsidRPr="00DF2A30">
              <w:rPr>
                <w:rFonts w:cs="Arial"/>
                <w:spacing w:val="-2"/>
                <w:sz w:val="18"/>
                <w:szCs w:val="18"/>
              </w:rPr>
              <w:t>UPOV/EXN/NUL/2 Draft 3 to be considered by the CAJ in March 2015</w:t>
            </w:r>
          </w:p>
        </w:tc>
      </w:tr>
      <w:tr w:rsidR="009612F3" w:rsidRPr="000022C4" w:rsidTr="00891783">
        <w:trPr>
          <w:cantSplit/>
          <w:jc w:val="center"/>
        </w:trPr>
        <w:tc>
          <w:tcPr>
            <w:tcW w:w="1741" w:type="dxa"/>
            <w:tcBorders>
              <w:bottom w:val="single" w:sz="2" w:space="0" w:color="auto"/>
            </w:tcBorders>
          </w:tcPr>
          <w:p w:rsidR="009612F3" w:rsidRPr="000022C4" w:rsidRDefault="009612F3" w:rsidP="00197FE8">
            <w:pPr>
              <w:jc w:val="left"/>
              <w:rPr>
                <w:rFonts w:cs="Arial"/>
                <w:sz w:val="18"/>
                <w:szCs w:val="18"/>
              </w:rPr>
            </w:pPr>
            <w:r w:rsidRPr="000022C4">
              <w:rPr>
                <w:rFonts w:cs="Arial"/>
                <w:sz w:val="18"/>
                <w:szCs w:val="18"/>
              </w:rPr>
              <w:t>UPOV/EXN/PPM</w:t>
            </w:r>
          </w:p>
        </w:tc>
        <w:tc>
          <w:tcPr>
            <w:tcW w:w="4717" w:type="dxa"/>
            <w:tcBorders>
              <w:bottom w:val="single" w:sz="2" w:space="0" w:color="auto"/>
            </w:tcBorders>
          </w:tcPr>
          <w:p w:rsidR="009612F3" w:rsidRPr="000022C4" w:rsidRDefault="009612F3" w:rsidP="00197FE8">
            <w:pPr>
              <w:jc w:val="left"/>
              <w:rPr>
                <w:rFonts w:cs="Arial"/>
                <w:sz w:val="18"/>
                <w:szCs w:val="18"/>
              </w:rPr>
            </w:pPr>
            <w:r w:rsidRPr="000022C4">
              <w:rPr>
                <w:rFonts w:cs="Arial"/>
                <w:sz w:val="18"/>
                <w:szCs w:val="18"/>
              </w:rPr>
              <w:t xml:space="preserve">Propagating Material under the </w:t>
            </w:r>
            <w:r w:rsidR="004C152A">
              <w:rPr>
                <w:rFonts w:cs="Arial"/>
                <w:sz w:val="18"/>
                <w:szCs w:val="18"/>
              </w:rPr>
              <w:t xml:space="preserve">1991 Act of the </w:t>
            </w:r>
            <w:r w:rsidRPr="000022C4">
              <w:rPr>
                <w:rFonts w:cs="Arial"/>
                <w:sz w:val="18"/>
                <w:szCs w:val="18"/>
              </w:rPr>
              <w:t>UPOV Convention</w:t>
            </w:r>
          </w:p>
        </w:tc>
        <w:tc>
          <w:tcPr>
            <w:tcW w:w="3912" w:type="dxa"/>
            <w:tcBorders>
              <w:bottom w:val="single" w:sz="2" w:space="0" w:color="auto"/>
            </w:tcBorders>
          </w:tcPr>
          <w:p w:rsidR="00826164" w:rsidRPr="000022C4" w:rsidRDefault="00826164" w:rsidP="00197FE8">
            <w:pPr>
              <w:jc w:val="left"/>
              <w:rPr>
                <w:rFonts w:cs="Arial"/>
                <w:spacing w:val="-2"/>
                <w:sz w:val="18"/>
                <w:szCs w:val="18"/>
              </w:rPr>
            </w:pPr>
            <w:r w:rsidRPr="00DF2A30">
              <w:rPr>
                <w:rFonts w:cs="Arial"/>
                <w:spacing w:val="-2"/>
                <w:sz w:val="18"/>
                <w:szCs w:val="18"/>
              </w:rPr>
              <w:t>UPOV/EXN/PPM/1 Draft 4 to be considered by the CAJ in March 2015</w:t>
            </w: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sidRPr="000022C4">
              <w:rPr>
                <w:rFonts w:cs="Arial"/>
                <w:sz w:val="18"/>
                <w:szCs w:val="18"/>
              </w:rPr>
              <w:t>UPOV/EXN/PRI</w:t>
            </w:r>
          </w:p>
        </w:tc>
        <w:tc>
          <w:tcPr>
            <w:tcW w:w="4717" w:type="dxa"/>
          </w:tcPr>
          <w:p w:rsidR="009612F3" w:rsidRPr="000022C4" w:rsidRDefault="009612F3" w:rsidP="00197FE8">
            <w:pPr>
              <w:jc w:val="left"/>
              <w:rPr>
                <w:rFonts w:cs="Arial"/>
                <w:sz w:val="18"/>
                <w:szCs w:val="18"/>
              </w:rPr>
            </w:pPr>
            <w:r w:rsidRPr="000022C4">
              <w:rPr>
                <w:rFonts w:cs="Arial"/>
                <w:sz w:val="18"/>
                <w:szCs w:val="18"/>
              </w:rPr>
              <w:t>Right of Priority under the UPOV Convention</w:t>
            </w:r>
          </w:p>
        </w:tc>
        <w:tc>
          <w:tcPr>
            <w:tcW w:w="3912" w:type="dxa"/>
          </w:tcPr>
          <w:p w:rsidR="009612F3" w:rsidRPr="000022C4" w:rsidRDefault="009612F3" w:rsidP="00197FE8">
            <w:pPr>
              <w:jc w:val="left"/>
              <w:rPr>
                <w:rFonts w:cs="Arial"/>
                <w:sz w:val="18"/>
                <w:szCs w:val="18"/>
              </w:rPr>
            </w:pPr>
            <w:r w:rsidRPr="000022C4">
              <w:rPr>
                <w:rFonts w:cs="Arial"/>
                <w:sz w:val="18"/>
                <w:szCs w:val="18"/>
              </w:rPr>
              <w:t>UPOV/EXN/PRI/1 adopted in October 2009</w:t>
            </w:r>
          </w:p>
        </w:tc>
      </w:tr>
      <w:tr w:rsidR="009612F3" w:rsidRPr="000022C4" w:rsidTr="00891783">
        <w:trPr>
          <w:cantSplit/>
          <w:jc w:val="center"/>
        </w:trPr>
        <w:tc>
          <w:tcPr>
            <w:tcW w:w="1741" w:type="dxa"/>
          </w:tcPr>
          <w:p w:rsidR="009612F3" w:rsidRPr="000022C4" w:rsidRDefault="009612F3" w:rsidP="00197FE8">
            <w:pPr>
              <w:jc w:val="left"/>
              <w:rPr>
                <w:rFonts w:cs="Arial"/>
                <w:sz w:val="18"/>
                <w:szCs w:val="18"/>
              </w:rPr>
            </w:pPr>
            <w:r w:rsidRPr="000022C4">
              <w:rPr>
                <w:rFonts w:cs="Arial"/>
                <w:sz w:val="18"/>
                <w:szCs w:val="18"/>
              </w:rPr>
              <w:t>UPOV/EXN/PRP</w:t>
            </w:r>
          </w:p>
        </w:tc>
        <w:tc>
          <w:tcPr>
            <w:tcW w:w="4717" w:type="dxa"/>
          </w:tcPr>
          <w:p w:rsidR="009612F3" w:rsidRPr="000022C4" w:rsidRDefault="009612F3" w:rsidP="00197FE8">
            <w:pPr>
              <w:jc w:val="left"/>
              <w:rPr>
                <w:rFonts w:cs="Arial"/>
                <w:sz w:val="18"/>
                <w:szCs w:val="18"/>
              </w:rPr>
            </w:pPr>
            <w:r w:rsidRPr="000022C4">
              <w:rPr>
                <w:rFonts w:cs="Arial"/>
                <w:sz w:val="18"/>
                <w:szCs w:val="18"/>
              </w:rPr>
              <w:t>Provisional Protection under the UPOV Convention</w:t>
            </w:r>
          </w:p>
        </w:tc>
        <w:tc>
          <w:tcPr>
            <w:tcW w:w="3912" w:type="dxa"/>
          </w:tcPr>
          <w:p w:rsidR="00826164" w:rsidRPr="000022C4" w:rsidRDefault="009612F3" w:rsidP="00DF2A30">
            <w:pPr>
              <w:jc w:val="left"/>
              <w:rPr>
                <w:rFonts w:cs="Arial"/>
                <w:spacing w:val="-2"/>
                <w:sz w:val="18"/>
                <w:szCs w:val="18"/>
              </w:rPr>
            </w:pPr>
            <w:r w:rsidRPr="000022C4">
              <w:rPr>
                <w:rFonts w:cs="Arial"/>
                <w:sz w:val="18"/>
                <w:szCs w:val="18"/>
              </w:rPr>
              <w:t>UPOV/EXN/PRP/1 adopted in October 2009</w:t>
            </w:r>
            <w:r w:rsidRPr="000022C4">
              <w:rPr>
                <w:rFonts w:cs="Arial"/>
                <w:sz w:val="18"/>
                <w:szCs w:val="18"/>
              </w:rPr>
              <w:br/>
            </w:r>
            <w:r w:rsidR="00826164" w:rsidRPr="00DF2A30">
              <w:rPr>
                <w:rFonts w:cs="Arial"/>
                <w:spacing w:val="-2"/>
                <w:sz w:val="18"/>
                <w:szCs w:val="18"/>
              </w:rPr>
              <w:t>UPOV/EXN/PRP/2 Draft 3 to be considered by the CAJ in March 2015</w:t>
            </w:r>
          </w:p>
        </w:tc>
      </w:tr>
      <w:tr w:rsidR="009612F3" w:rsidRPr="00913032" w:rsidTr="00891783">
        <w:trPr>
          <w:cantSplit/>
          <w:jc w:val="center"/>
        </w:trPr>
        <w:tc>
          <w:tcPr>
            <w:tcW w:w="1741" w:type="dxa"/>
            <w:tcBorders>
              <w:bottom w:val="single" w:sz="2" w:space="0" w:color="auto"/>
            </w:tcBorders>
          </w:tcPr>
          <w:p w:rsidR="009612F3" w:rsidRPr="000022C4" w:rsidRDefault="009612F3" w:rsidP="00197FE8">
            <w:pPr>
              <w:jc w:val="left"/>
              <w:rPr>
                <w:rFonts w:cs="Arial"/>
                <w:sz w:val="18"/>
                <w:szCs w:val="18"/>
              </w:rPr>
            </w:pPr>
            <w:r w:rsidRPr="000022C4">
              <w:rPr>
                <w:rFonts w:cs="Arial"/>
                <w:sz w:val="18"/>
                <w:szCs w:val="18"/>
              </w:rPr>
              <w:t>UPOV/EXN/VAR</w:t>
            </w:r>
          </w:p>
        </w:tc>
        <w:tc>
          <w:tcPr>
            <w:tcW w:w="4717" w:type="dxa"/>
            <w:tcBorders>
              <w:bottom w:val="single" w:sz="2" w:space="0" w:color="auto"/>
            </w:tcBorders>
          </w:tcPr>
          <w:p w:rsidR="009612F3" w:rsidRPr="000022C4" w:rsidRDefault="009612F3" w:rsidP="00197FE8">
            <w:pPr>
              <w:jc w:val="left"/>
              <w:rPr>
                <w:rFonts w:cs="Arial"/>
                <w:sz w:val="18"/>
                <w:szCs w:val="18"/>
              </w:rPr>
            </w:pPr>
            <w:r w:rsidRPr="000022C4">
              <w:rPr>
                <w:rFonts w:cs="Arial"/>
                <w:sz w:val="18"/>
                <w:szCs w:val="18"/>
              </w:rPr>
              <w:t>Definition of Variety under the 1991 Act of the UPOV Convention</w:t>
            </w:r>
          </w:p>
        </w:tc>
        <w:tc>
          <w:tcPr>
            <w:tcW w:w="3912" w:type="dxa"/>
            <w:tcBorders>
              <w:bottom w:val="single" w:sz="2" w:space="0" w:color="auto"/>
            </w:tcBorders>
          </w:tcPr>
          <w:p w:rsidR="009612F3" w:rsidRPr="00913032" w:rsidRDefault="009612F3" w:rsidP="00197FE8">
            <w:pPr>
              <w:jc w:val="left"/>
              <w:rPr>
                <w:rFonts w:cs="Arial"/>
                <w:sz w:val="18"/>
                <w:szCs w:val="18"/>
              </w:rPr>
            </w:pPr>
            <w:r w:rsidRPr="000022C4">
              <w:rPr>
                <w:rFonts w:cs="Arial"/>
                <w:sz w:val="18"/>
                <w:szCs w:val="18"/>
              </w:rPr>
              <w:t>UPOV/EXN/VAR/1 adopted in October 2010</w:t>
            </w:r>
          </w:p>
        </w:tc>
      </w:tr>
    </w:tbl>
    <w:p w:rsidR="009612F3" w:rsidRPr="000022C4" w:rsidRDefault="009612F3" w:rsidP="009612F3">
      <w:r w:rsidRPr="00913032">
        <w:rPr>
          <w:sz w:val="18"/>
          <w:szCs w:val="18"/>
        </w:rPr>
        <w:br w:type="page"/>
      </w:r>
      <w:r w:rsidRPr="000022C4">
        <w:lastRenderedPageBreak/>
        <w:t>INFORMATION DOCUMENTS</w:t>
      </w:r>
    </w:p>
    <w:p w:rsidR="009612F3" w:rsidRPr="000022C4" w:rsidRDefault="009612F3" w:rsidP="009612F3"/>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58"/>
        <w:gridCol w:w="4807"/>
        <w:gridCol w:w="3920"/>
      </w:tblGrid>
      <w:tr w:rsidR="009612F3" w:rsidRPr="000022C4" w:rsidTr="00891783">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9612F3" w:rsidRPr="000022C4" w:rsidRDefault="009612F3" w:rsidP="00891783">
            <w:pPr>
              <w:jc w:val="left"/>
              <w:rPr>
                <w:rFonts w:cs="Arial"/>
                <w:sz w:val="18"/>
                <w:szCs w:val="18"/>
              </w:rPr>
            </w:pPr>
            <w:r w:rsidRPr="000022C4">
              <w:rPr>
                <w:rFonts w:cs="Arial"/>
                <w:sz w:val="18"/>
                <w:szCs w:val="18"/>
              </w:rPr>
              <w:t>Latest reference</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9612F3" w:rsidRPr="000022C4" w:rsidRDefault="009612F3" w:rsidP="00891783">
            <w:pPr>
              <w:jc w:val="center"/>
              <w:rPr>
                <w:rFonts w:cs="Arial"/>
                <w:sz w:val="18"/>
                <w:szCs w:val="18"/>
              </w:rPr>
            </w:pPr>
            <w:r w:rsidRPr="000022C4">
              <w:rPr>
                <w:rFonts w:cs="Arial"/>
                <w:sz w:val="18"/>
                <w:szCs w:val="18"/>
              </w:rPr>
              <w:t>INF documents</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9612F3" w:rsidRPr="000022C4" w:rsidRDefault="009612F3" w:rsidP="00891783">
            <w:pPr>
              <w:jc w:val="left"/>
              <w:rPr>
                <w:rFonts w:cs="Arial"/>
                <w:sz w:val="18"/>
                <w:szCs w:val="18"/>
              </w:rPr>
            </w:pPr>
            <w:r w:rsidRPr="000022C4">
              <w:rPr>
                <w:rFonts w:cs="Arial"/>
                <w:sz w:val="18"/>
                <w:szCs w:val="18"/>
              </w:rPr>
              <w:t>Status</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sidRPr="000022C4">
              <w:rPr>
                <w:rFonts w:cs="Arial"/>
                <w:sz w:val="18"/>
                <w:szCs w:val="18"/>
              </w:rPr>
              <w:t>UPOV/INF-EXN</w:t>
            </w:r>
          </w:p>
        </w:tc>
        <w:tc>
          <w:tcPr>
            <w:tcW w:w="4807" w:type="dxa"/>
          </w:tcPr>
          <w:p w:rsidR="009612F3" w:rsidRPr="000022C4" w:rsidRDefault="009612F3" w:rsidP="00891783">
            <w:pPr>
              <w:jc w:val="left"/>
              <w:rPr>
                <w:rFonts w:cs="Arial"/>
                <w:sz w:val="18"/>
                <w:szCs w:val="18"/>
              </w:rPr>
            </w:pPr>
            <w:r w:rsidRPr="000022C4">
              <w:rPr>
                <w:rFonts w:cs="Arial"/>
                <w:sz w:val="18"/>
                <w:szCs w:val="18"/>
              </w:rPr>
              <w:t>List of UPOV/INF-EXN Documents and Latest Issue Dates</w:t>
            </w:r>
          </w:p>
        </w:tc>
        <w:tc>
          <w:tcPr>
            <w:tcW w:w="3920" w:type="dxa"/>
          </w:tcPr>
          <w:p w:rsidR="009612F3" w:rsidRPr="000022C4" w:rsidRDefault="009612F3" w:rsidP="009612F3">
            <w:pPr>
              <w:jc w:val="left"/>
              <w:rPr>
                <w:rFonts w:cs="Arial"/>
                <w:sz w:val="18"/>
                <w:szCs w:val="18"/>
              </w:rPr>
            </w:pPr>
            <w:r w:rsidRPr="00DF2A30">
              <w:rPr>
                <w:rFonts w:cs="Arial"/>
                <w:sz w:val="18"/>
                <w:szCs w:val="18"/>
              </w:rPr>
              <w:t>UPOV/INF-EXN/6 adopted in October 2014</w:t>
            </w:r>
            <w:r w:rsidRPr="00DF2A30">
              <w:rPr>
                <w:rFonts w:cs="Arial"/>
                <w:sz w:val="18"/>
                <w:szCs w:val="18"/>
              </w:rPr>
              <w:br/>
              <w:t>UPOV/INF-EXN/7 Draft 1 to be considered by the Council in March 2015</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sidRPr="000022C4">
              <w:rPr>
                <w:rFonts w:cs="Arial"/>
                <w:sz w:val="18"/>
                <w:szCs w:val="18"/>
              </w:rPr>
              <w:t>UPOV/INF/4</w:t>
            </w:r>
          </w:p>
        </w:tc>
        <w:tc>
          <w:tcPr>
            <w:tcW w:w="4807" w:type="dxa"/>
          </w:tcPr>
          <w:p w:rsidR="009612F3" w:rsidRPr="000022C4" w:rsidRDefault="009612F3" w:rsidP="00891783">
            <w:pPr>
              <w:jc w:val="left"/>
              <w:rPr>
                <w:rFonts w:cs="Arial"/>
                <w:sz w:val="18"/>
                <w:szCs w:val="18"/>
              </w:rPr>
            </w:pPr>
            <w:r w:rsidRPr="000022C4">
              <w:rPr>
                <w:rFonts w:cs="Arial"/>
                <w:sz w:val="18"/>
                <w:szCs w:val="18"/>
              </w:rPr>
              <w:t>Financial Regulations and Rules of UPOV</w:t>
            </w:r>
          </w:p>
        </w:tc>
        <w:tc>
          <w:tcPr>
            <w:tcW w:w="3920" w:type="dxa"/>
          </w:tcPr>
          <w:p w:rsidR="009612F3" w:rsidRDefault="009612F3" w:rsidP="00891783">
            <w:pPr>
              <w:jc w:val="left"/>
              <w:rPr>
                <w:rFonts w:cs="Arial"/>
                <w:sz w:val="18"/>
                <w:szCs w:val="18"/>
              </w:rPr>
            </w:pPr>
            <w:r w:rsidRPr="000022C4">
              <w:rPr>
                <w:rFonts w:cs="Arial"/>
                <w:sz w:val="18"/>
                <w:szCs w:val="18"/>
              </w:rPr>
              <w:t>UPOV/INF/4/3 adopted in March 2013</w:t>
            </w:r>
          </w:p>
          <w:p w:rsidR="00AB6E5A" w:rsidRPr="000022C4" w:rsidRDefault="00AB6E5A" w:rsidP="00AB6E5A">
            <w:pPr>
              <w:jc w:val="left"/>
              <w:rPr>
                <w:rFonts w:cs="Arial"/>
                <w:sz w:val="18"/>
                <w:szCs w:val="18"/>
              </w:rPr>
            </w:pPr>
            <w:r>
              <w:rPr>
                <w:rFonts w:cs="Arial"/>
                <w:sz w:val="18"/>
                <w:szCs w:val="18"/>
              </w:rPr>
              <w:t xml:space="preserve">Proposed revision of </w:t>
            </w:r>
            <w:r w:rsidRPr="000022C4">
              <w:rPr>
                <w:rFonts w:cs="Arial"/>
                <w:sz w:val="18"/>
                <w:szCs w:val="18"/>
              </w:rPr>
              <w:t>U</w:t>
            </w:r>
            <w:r>
              <w:rPr>
                <w:rFonts w:cs="Arial"/>
                <w:sz w:val="18"/>
                <w:szCs w:val="18"/>
              </w:rPr>
              <w:t>POV/INF/4 to be considered by</w:t>
            </w:r>
            <w:r w:rsidRPr="000022C4">
              <w:rPr>
                <w:rFonts w:cs="Arial"/>
                <w:spacing w:val="-2"/>
                <w:sz w:val="18"/>
                <w:szCs w:val="18"/>
              </w:rPr>
              <w:t xml:space="preserve"> the C</w:t>
            </w:r>
            <w:r>
              <w:rPr>
                <w:rFonts w:cs="Arial"/>
                <w:spacing w:val="-2"/>
                <w:sz w:val="18"/>
                <w:szCs w:val="18"/>
              </w:rPr>
              <w:t>ouncil in March 2015</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sidRPr="000022C4">
              <w:rPr>
                <w:rFonts w:cs="Arial"/>
                <w:sz w:val="18"/>
                <w:szCs w:val="18"/>
              </w:rPr>
              <w:t>UPOV/INF/5</w:t>
            </w:r>
          </w:p>
        </w:tc>
        <w:tc>
          <w:tcPr>
            <w:tcW w:w="4807" w:type="dxa"/>
          </w:tcPr>
          <w:p w:rsidR="009612F3" w:rsidRPr="000022C4" w:rsidRDefault="009612F3" w:rsidP="00891783">
            <w:pPr>
              <w:jc w:val="left"/>
              <w:rPr>
                <w:rFonts w:cs="Arial"/>
                <w:sz w:val="18"/>
                <w:szCs w:val="18"/>
              </w:rPr>
            </w:pPr>
            <w:r w:rsidRPr="000022C4">
              <w:rPr>
                <w:rFonts w:cs="Arial"/>
                <w:sz w:val="18"/>
                <w:szCs w:val="18"/>
              </w:rPr>
              <w:t>UPOV model plant breeders' rights gazette</w:t>
            </w:r>
          </w:p>
        </w:tc>
        <w:tc>
          <w:tcPr>
            <w:tcW w:w="3920" w:type="dxa"/>
          </w:tcPr>
          <w:p w:rsidR="009612F3" w:rsidRPr="000022C4" w:rsidRDefault="009612F3" w:rsidP="00891783">
            <w:pPr>
              <w:jc w:val="left"/>
              <w:rPr>
                <w:rFonts w:cs="Arial"/>
                <w:sz w:val="18"/>
                <w:szCs w:val="18"/>
              </w:rPr>
            </w:pPr>
            <w:r w:rsidRPr="000022C4">
              <w:rPr>
                <w:rFonts w:cs="Arial"/>
                <w:sz w:val="18"/>
                <w:szCs w:val="18"/>
              </w:rPr>
              <w:t>UPOV/INF/5 adopted in October 1979</w:t>
            </w:r>
          </w:p>
          <w:p w:rsidR="009612F3" w:rsidRPr="000022C4" w:rsidRDefault="00AB6E5A" w:rsidP="00AB6E5A">
            <w:pPr>
              <w:jc w:val="left"/>
              <w:rPr>
                <w:rFonts w:cs="Arial"/>
                <w:sz w:val="18"/>
                <w:szCs w:val="18"/>
              </w:rPr>
            </w:pPr>
            <w:r>
              <w:rPr>
                <w:rFonts w:cs="Arial"/>
                <w:sz w:val="18"/>
                <w:szCs w:val="18"/>
              </w:rPr>
              <w:t xml:space="preserve">Proposed revision  of </w:t>
            </w:r>
            <w:r w:rsidRPr="000022C4">
              <w:rPr>
                <w:rFonts w:cs="Arial"/>
                <w:sz w:val="18"/>
                <w:szCs w:val="18"/>
              </w:rPr>
              <w:t>U</w:t>
            </w:r>
            <w:r>
              <w:rPr>
                <w:rFonts w:cs="Arial"/>
                <w:sz w:val="18"/>
                <w:szCs w:val="18"/>
              </w:rPr>
              <w:t>POV/INF/5  to be considered by</w:t>
            </w:r>
            <w:r w:rsidRPr="000022C4">
              <w:rPr>
                <w:rFonts w:cs="Arial"/>
                <w:spacing w:val="-2"/>
                <w:sz w:val="18"/>
                <w:szCs w:val="18"/>
              </w:rPr>
              <w:t xml:space="preserve"> the CAJ</w:t>
            </w:r>
            <w:r>
              <w:rPr>
                <w:rFonts w:cs="Arial"/>
                <w:spacing w:val="-2"/>
                <w:sz w:val="18"/>
                <w:szCs w:val="18"/>
              </w:rPr>
              <w:t xml:space="preserve"> in October 2015</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sidRPr="000022C4">
              <w:rPr>
                <w:rFonts w:cs="Arial"/>
                <w:sz w:val="18"/>
                <w:szCs w:val="18"/>
              </w:rPr>
              <w:t>UPOV/INF/6</w:t>
            </w:r>
          </w:p>
        </w:tc>
        <w:tc>
          <w:tcPr>
            <w:tcW w:w="4807" w:type="dxa"/>
          </w:tcPr>
          <w:p w:rsidR="009612F3" w:rsidRPr="000022C4" w:rsidRDefault="009612F3" w:rsidP="00891783">
            <w:pPr>
              <w:jc w:val="left"/>
              <w:rPr>
                <w:rFonts w:cs="Arial"/>
                <w:sz w:val="18"/>
                <w:szCs w:val="18"/>
              </w:rPr>
            </w:pPr>
            <w:r w:rsidRPr="000022C4">
              <w:rPr>
                <w:rFonts w:cs="Arial"/>
                <w:sz w:val="18"/>
                <w:szCs w:val="18"/>
              </w:rPr>
              <w:t>Guidance for the preparation of laws based on the 1991 Act of the UPOV Convention</w:t>
            </w:r>
          </w:p>
        </w:tc>
        <w:tc>
          <w:tcPr>
            <w:tcW w:w="3920" w:type="dxa"/>
          </w:tcPr>
          <w:p w:rsidR="009612F3" w:rsidRPr="000022C4" w:rsidRDefault="009612F3" w:rsidP="00891783">
            <w:pPr>
              <w:jc w:val="left"/>
              <w:rPr>
                <w:rFonts w:cs="Arial"/>
                <w:sz w:val="18"/>
                <w:szCs w:val="18"/>
              </w:rPr>
            </w:pPr>
            <w:r w:rsidRPr="000022C4">
              <w:rPr>
                <w:rFonts w:cs="Arial"/>
                <w:sz w:val="18"/>
                <w:szCs w:val="18"/>
              </w:rPr>
              <w:t>UPOV/INF/6/3 adopted in October 2013</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sidRPr="000022C4">
              <w:rPr>
                <w:rFonts w:cs="Arial"/>
                <w:sz w:val="18"/>
                <w:szCs w:val="18"/>
              </w:rPr>
              <w:t>UPOV/INF/7</w:t>
            </w:r>
          </w:p>
        </w:tc>
        <w:tc>
          <w:tcPr>
            <w:tcW w:w="4807" w:type="dxa"/>
          </w:tcPr>
          <w:p w:rsidR="009612F3" w:rsidRPr="000022C4" w:rsidRDefault="009612F3" w:rsidP="00891783">
            <w:pPr>
              <w:jc w:val="left"/>
              <w:rPr>
                <w:rFonts w:cs="Arial"/>
                <w:sz w:val="18"/>
                <w:szCs w:val="18"/>
              </w:rPr>
            </w:pPr>
            <w:r w:rsidRPr="000022C4">
              <w:rPr>
                <w:rFonts w:cs="Arial"/>
                <w:sz w:val="18"/>
                <w:szCs w:val="18"/>
              </w:rPr>
              <w:t>Rules of Procedure of the Council</w:t>
            </w:r>
          </w:p>
        </w:tc>
        <w:tc>
          <w:tcPr>
            <w:tcW w:w="3920" w:type="dxa"/>
          </w:tcPr>
          <w:p w:rsidR="009612F3" w:rsidRPr="000022C4" w:rsidRDefault="009612F3" w:rsidP="00891783">
            <w:pPr>
              <w:jc w:val="left"/>
              <w:rPr>
                <w:rFonts w:cs="Arial"/>
                <w:sz w:val="18"/>
                <w:szCs w:val="18"/>
              </w:rPr>
            </w:pPr>
            <w:r w:rsidRPr="000022C4">
              <w:rPr>
                <w:rFonts w:cs="Arial"/>
                <w:sz w:val="18"/>
                <w:szCs w:val="18"/>
              </w:rPr>
              <w:t>UPOV/INF/7 adopted in October 1982</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sidRPr="000022C4">
              <w:rPr>
                <w:rFonts w:cs="Arial"/>
                <w:sz w:val="18"/>
                <w:szCs w:val="18"/>
              </w:rPr>
              <w:t>UPOV/INF/8</w:t>
            </w:r>
          </w:p>
        </w:tc>
        <w:tc>
          <w:tcPr>
            <w:tcW w:w="4807" w:type="dxa"/>
          </w:tcPr>
          <w:p w:rsidR="009612F3" w:rsidRPr="000022C4" w:rsidRDefault="009612F3" w:rsidP="00891783">
            <w:pPr>
              <w:jc w:val="left"/>
              <w:rPr>
                <w:rFonts w:cs="Arial"/>
                <w:sz w:val="18"/>
                <w:szCs w:val="18"/>
              </w:rPr>
            </w:pPr>
            <w:r w:rsidRPr="000022C4">
              <w:rPr>
                <w:rFonts w:cs="Arial"/>
                <w:sz w:val="18"/>
                <w:szCs w:val="18"/>
              </w:rPr>
              <w:t>Agreement between the World Intellectual Property Organization and the International Union for the Protection of New Varieties of Plants</w:t>
            </w:r>
          </w:p>
        </w:tc>
        <w:tc>
          <w:tcPr>
            <w:tcW w:w="3920" w:type="dxa"/>
          </w:tcPr>
          <w:p w:rsidR="009612F3" w:rsidRPr="000022C4" w:rsidRDefault="009612F3" w:rsidP="00891783">
            <w:pPr>
              <w:jc w:val="left"/>
              <w:rPr>
                <w:rFonts w:cs="Arial"/>
                <w:sz w:val="18"/>
                <w:szCs w:val="18"/>
              </w:rPr>
            </w:pPr>
            <w:r w:rsidRPr="000022C4">
              <w:rPr>
                <w:rFonts w:cs="Arial"/>
                <w:sz w:val="18"/>
                <w:szCs w:val="18"/>
              </w:rPr>
              <w:t>UPOV/INF/8 signed in November 1982</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sidRPr="000022C4">
              <w:rPr>
                <w:rFonts w:cs="Arial"/>
                <w:sz w:val="18"/>
                <w:szCs w:val="18"/>
              </w:rPr>
              <w:t>UPOV/INF/9</w:t>
            </w:r>
          </w:p>
        </w:tc>
        <w:tc>
          <w:tcPr>
            <w:tcW w:w="4807" w:type="dxa"/>
          </w:tcPr>
          <w:p w:rsidR="009612F3" w:rsidRPr="000022C4" w:rsidRDefault="009612F3" w:rsidP="00891783">
            <w:pPr>
              <w:jc w:val="left"/>
              <w:rPr>
                <w:rFonts w:cs="Arial"/>
                <w:sz w:val="18"/>
                <w:szCs w:val="18"/>
              </w:rPr>
            </w:pPr>
            <w:r w:rsidRPr="000022C4">
              <w:rPr>
                <w:rFonts w:cs="Arial"/>
                <w:sz w:val="18"/>
                <w:szCs w:val="18"/>
              </w:rPr>
              <w:t>Agreement between the International Union for the Protection of New Varieties of Plants and the Swiss Federal Council to Determine the Legal Status in Switzerland of that Union (Headquarters Agreement)</w:t>
            </w:r>
          </w:p>
        </w:tc>
        <w:tc>
          <w:tcPr>
            <w:tcW w:w="3920" w:type="dxa"/>
          </w:tcPr>
          <w:p w:rsidR="009612F3" w:rsidRPr="000022C4" w:rsidRDefault="009612F3" w:rsidP="00891783">
            <w:pPr>
              <w:jc w:val="left"/>
              <w:rPr>
                <w:rFonts w:cs="Arial"/>
                <w:sz w:val="18"/>
                <w:szCs w:val="18"/>
              </w:rPr>
            </w:pPr>
            <w:r w:rsidRPr="000022C4">
              <w:rPr>
                <w:rFonts w:cs="Arial"/>
                <w:sz w:val="18"/>
                <w:szCs w:val="18"/>
              </w:rPr>
              <w:t>UPOV/INF/9 signed in November 1983</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sidRPr="000022C4">
              <w:rPr>
                <w:rFonts w:cs="Arial"/>
                <w:sz w:val="18"/>
                <w:szCs w:val="18"/>
              </w:rPr>
              <w:t>UPOV/INF/10</w:t>
            </w:r>
          </w:p>
        </w:tc>
        <w:tc>
          <w:tcPr>
            <w:tcW w:w="4807" w:type="dxa"/>
          </w:tcPr>
          <w:p w:rsidR="009612F3" w:rsidRPr="000022C4" w:rsidRDefault="009612F3" w:rsidP="00891783">
            <w:pPr>
              <w:jc w:val="left"/>
              <w:rPr>
                <w:rFonts w:cs="Arial"/>
                <w:sz w:val="18"/>
                <w:szCs w:val="18"/>
              </w:rPr>
            </w:pPr>
            <w:r w:rsidRPr="000022C4">
              <w:rPr>
                <w:rFonts w:cs="Arial"/>
                <w:sz w:val="18"/>
                <w:szCs w:val="18"/>
              </w:rPr>
              <w:t>Internal Audit</w:t>
            </w:r>
          </w:p>
        </w:tc>
        <w:tc>
          <w:tcPr>
            <w:tcW w:w="3920" w:type="dxa"/>
          </w:tcPr>
          <w:p w:rsidR="009612F3" w:rsidRPr="000022C4" w:rsidRDefault="009612F3" w:rsidP="00891783">
            <w:pPr>
              <w:jc w:val="left"/>
              <w:rPr>
                <w:rFonts w:cs="Arial"/>
                <w:sz w:val="18"/>
                <w:szCs w:val="18"/>
              </w:rPr>
            </w:pPr>
            <w:r w:rsidRPr="000022C4">
              <w:rPr>
                <w:rFonts w:cs="Arial"/>
                <w:sz w:val="18"/>
                <w:szCs w:val="18"/>
              </w:rPr>
              <w:t>UPOV/INF/10/1 adopted in October 2010</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sidRPr="000022C4">
              <w:rPr>
                <w:rFonts w:cs="Arial"/>
                <w:sz w:val="18"/>
                <w:szCs w:val="18"/>
              </w:rPr>
              <w:t>UPOV/INF/12</w:t>
            </w:r>
          </w:p>
        </w:tc>
        <w:tc>
          <w:tcPr>
            <w:tcW w:w="4807" w:type="dxa"/>
          </w:tcPr>
          <w:p w:rsidR="009612F3" w:rsidRPr="000022C4" w:rsidRDefault="009612F3" w:rsidP="00891783">
            <w:pPr>
              <w:jc w:val="left"/>
              <w:rPr>
                <w:rFonts w:cs="Arial"/>
                <w:sz w:val="18"/>
                <w:szCs w:val="18"/>
              </w:rPr>
            </w:pPr>
            <w:r w:rsidRPr="000022C4">
              <w:rPr>
                <w:rFonts w:cs="Arial"/>
                <w:sz w:val="18"/>
                <w:szCs w:val="18"/>
              </w:rPr>
              <w:t>Explanatory Notes on Variety Denominations under the UPOV Convention</w:t>
            </w:r>
          </w:p>
        </w:tc>
        <w:tc>
          <w:tcPr>
            <w:tcW w:w="3920" w:type="dxa"/>
          </w:tcPr>
          <w:p w:rsidR="009612F3" w:rsidRPr="000022C4" w:rsidRDefault="009612F3" w:rsidP="00891783">
            <w:pPr>
              <w:jc w:val="left"/>
              <w:rPr>
                <w:rFonts w:cs="Arial"/>
                <w:sz w:val="18"/>
                <w:szCs w:val="18"/>
              </w:rPr>
            </w:pPr>
            <w:r w:rsidRPr="000022C4">
              <w:rPr>
                <w:rFonts w:cs="Arial"/>
                <w:sz w:val="18"/>
                <w:szCs w:val="18"/>
              </w:rPr>
              <w:t>UPOV/INF/12/4 adopted in November 2012</w:t>
            </w:r>
          </w:p>
          <w:p w:rsidR="00DF2A30" w:rsidRPr="00CF15C3" w:rsidRDefault="00CF15C3" w:rsidP="00CF15C3">
            <w:pPr>
              <w:jc w:val="left"/>
              <w:rPr>
                <w:rFonts w:cs="Arial"/>
                <w:spacing w:val="-2"/>
                <w:sz w:val="18"/>
                <w:szCs w:val="18"/>
              </w:rPr>
            </w:pPr>
            <w:r>
              <w:rPr>
                <w:rFonts w:cs="Arial"/>
                <w:sz w:val="18"/>
                <w:szCs w:val="18"/>
              </w:rPr>
              <w:t xml:space="preserve">Proposed revision  of </w:t>
            </w:r>
            <w:r w:rsidR="009612F3" w:rsidRPr="000022C4">
              <w:rPr>
                <w:rFonts w:cs="Arial"/>
                <w:sz w:val="18"/>
                <w:szCs w:val="18"/>
              </w:rPr>
              <w:t>U</w:t>
            </w:r>
            <w:r>
              <w:rPr>
                <w:rFonts w:cs="Arial"/>
                <w:sz w:val="18"/>
                <w:szCs w:val="18"/>
              </w:rPr>
              <w:t>POV/INF/12</w:t>
            </w:r>
            <w:r w:rsidR="00DF2A30">
              <w:rPr>
                <w:rFonts w:cs="Arial"/>
                <w:sz w:val="18"/>
                <w:szCs w:val="18"/>
              </w:rPr>
              <w:t xml:space="preserve"> </w:t>
            </w:r>
            <w:r>
              <w:rPr>
                <w:rFonts w:cs="Arial"/>
                <w:sz w:val="18"/>
                <w:szCs w:val="18"/>
              </w:rPr>
              <w:t>to be considered by</w:t>
            </w:r>
            <w:r w:rsidR="00DF2A30" w:rsidRPr="000022C4">
              <w:rPr>
                <w:rFonts w:cs="Arial"/>
                <w:spacing w:val="-2"/>
                <w:sz w:val="18"/>
                <w:szCs w:val="18"/>
              </w:rPr>
              <w:t xml:space="preserve"> the CAJ</w:t>
            </w:r>
            <w:r w:rsidR="00DF2A30">
              <w:rPr>
                <w:rFonts w:cs="Arial"/>
                <w:spacing w:val="-2"/>
                <w:sz w:val="18"/>
                <w:szCs w:val="18"/>
              </w:rPr>
              <w:t xml:space="preserve"> in </w:t>
            </w:r>
            <w:r>
              <w:rPr>
                <w:rFonts w:cs="Arial"/>
                <w:spacing w:val="-2"/>
                <w:sz w:val="18"/>
                <w:szCs w:val="18"/>
              </w:rPr>
              <w:t xml:space="preserve">March </w:t>
            </w:r>
            <w:r w:rsidR="00DF2A30">
              <w:rPr>
                <w:rFonts w:cs="Arial"/>
                <w:spacing w:val="-2"/>
                <w:sz w:val="18"/>
                <w:szCs w:val="18"/>
              </w:rPr>
              <w:t>2015</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sidRPr="000022C4">
              <w:rPr>
                <w:rFonts w:cs="Arial"/>
                <w:sz w:val="18"/>
                <w:szCs w:val="18"/>
              </w:rPr>
              <w:t>UPOV/INF/13</w:t>
            </w:r>
          </w:p>
        </w:tc>
        <w:tc>
          <w:tcPr>
            <w:tcW w:w="4807" w:type="dxa"/>
          </w:tcPr>
          <w:p w:rsidR="009612F3" w:rsidRPr="000022C4" w:rsidRDefault="009612F3" w:rsidP="00891783">
            <w:pPr>
              <w:jc w:val="left"/>
              <w:rPr>
                <w:rFonts w:cs="Arial"/>
                <w:sz w:val="18"/>
                <w:szCs w:val="18"/>
              </w:rPr>
            </w:pPr>
            <w:r w:rsidRPr="000022C4">
              <w:rPr>
                <w:rFonts w:cs="Arial"/>
                <w:sz w:val="18"/>
                <w:szCs w:val="18"/>
              </w:rPr>
              <w:t>Guidance on how to become a member of UPOV</w:t>
            </w:r>
          </w:p>
        </w:tc>
        <w:tc>
          <w:tcPr>
            <w:tcW w:w="3920" w:type="dxa"/>
          </w:tcPr>
          <w:p w:rsidR="009612F3" w:rsidRPr="000022C4" w:rsidRDefault="009612F3" w:rsidP="00891783">
            <w:pPr>
              <w:jc w:val="left"/>
              <w:rPr>
                <w:rFonts w:cs="Arial"/>
                <w:sz w:val="18"/>
                <w:szCs w:val="18"/>
              </w:rPr>
            </w:pPr>
            <w:r w:rsidRPr="000022C4">
              <w:rPr>
                <w:rFonts w:cs="Arial"/>
                <w:sz w:val="18"/>
                <w:szCs w:val="18"/>
              </w:rPr>
              <w:t>UPOV/INF/13/1 adopted in October 2009</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sidRPr="000022C4">
              <w:rPr>
                <w:rFonts w:cs="Arial"/>
                <w:sz w:val="18"/>
                <w:szCs w:val="18"/>
              </w:rPr>
              <w:t>UPOV/INF/14</w:t>
            </w:r>
          </w:p>
        </w:tc>
        <w:tc>
          <w:tcPr>
            <w:tcW w:w="4807" w:type="dxa"/>
          </w:tcPr>
          <w:p w:rsidR="009612F3" w:rsidRPr="000022C4" w:rsidRDefault="009612F3" w:rsidP="00891783">
            <w:pPr>
              <w:jc w:val="left"/>
              <w:rPr>
                <w:rFonts w:cs="Arial"/>
                <w:sz w:val="18"/>
                <w:szCs w:val="18"/>
              </w:rPr>
            </w:pPr>
            <w:r w:rsidRPr="000022C4">
              <w:rPr>
                <w:rFonts w:cs="Arial"/>
                <w:sz w:val="18"/>
                <w:szCs w:val="18"/>
              </w:rPr>
              <w:t>Guidance for members of UPOV on how to ratify, or accede to, the 1991 Act of the UPOV Convention</w:t>
            </w:r>
          </w:p>
        </w:tc>
        <w:tc>
          <w:tcPr>
            <w:tcW w:w="3920" w:type="dxa"/>
          </w:tcPr>
          <w:p w:rsidR="009612F3" w:rsidRPr="000022C4" w:rsidRDefault="009612F3" w:rsidP="00891783">
            <w:pPr>
              <w:jc w:val="left"/>
              <w:rPr>
                <w:rFonts w:cs="Arial"/>
                <w:sz w:val="18"/>
                <w:szCs w:val="18"/>
              </w:rPr>
            </w:pPr>
            <w:r w:rsidRPr="000022C4">
              <w:rPr>
                <w:rFonts w:cs="Arial"/>
                <w:sz w:val="18"/>
                <w:szCs w:val="18"/>
              </w:rPr>
              <w:t>UPOV/INF/14/1 adopted in October 2009</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sidRPr="000022C4">
              <w:rPr>
                <w:rFonts w:cs="Arial"/>
                <w:sz w:val="18"/>
                <w:szCs w:val="18"/>
              </w:rPr>
              <w:t>UPOV/INF/15</w:t>
            </w:r>
          </w:p>
        </w:tc>
        <w:tc>
          <w:tcPr>
            <w:tcW w:w="4807" w:type="dxa"/>
          </w:tcPr>
          <w:p w:rsidR="009612F3" w:rsidRPr="000022C4" w:rsidRDefault="009612F3" w:rsidP="00891783">
            <w:pPr>
              <w:jc w:val="left"/>
              <w:rPr>
                <w:rFonts w:cs="Arial"/>
                <w:sz w:val="18"/>
                <w:szCs w:val="18"/>
              </w:rPr>
            </w:pPr>
            <w:r w:rsidRPr="000022C4">
              <w:rPr>
                <w:rFonts w:cs="Arial"/>
                <w:sz w:val="18"/>
                <w:szCs w:val="18"/>
              </w:rPr>
              <w:t>Guidance for Members of UPOV on Ongoing Obligations and Related Notifications</w:t>
            </w:r>
          </w:p>
        </w:tc>
        <w:tc>
          <w:tcPr>
            <w:tcW w:w="3920" w:type="dxa"/>
          </w:tcPr>
          <w:p w:rsidR="009612F3" w:rsidRPr="00DF2A30" w:rsidRDefault="009612F3" w:rsidP="00891783">
            <w:pPr>
              <w:jc w:val="left"/>
              <w:rPr>
                <w:rFonts w:cs="Arial"/>
                <w:sz w:val="18"/>
                <w:szCs w:val="18"/>
              </w:rPr>
            </w:pPr>
            <w:r w:rsidRPr="00DF2A30">
              <w:rPr>
                <w:rFonts w:cs="Arial"/>
                <w:sz w:val="18"/>
                <w:szCs w:val="18"/>
              </w:rPr>
              <w:t>UPOV/INF/15/2 adopted in March 2013</w:t>
            </w:r>
          </w:p>
          <w:p w:rsidR="009612F3" w:rsidRPr="00DF2A30" w:rsidRDefault="00DF2A30" w:rsidP="00DF2A30">
            <w:pPr>
              <w:jc w:val="left"/>
              <w:rPr>
                <w:rFonts w:cs="Arial"/>
                <w:sz w:val="18"/>
                <w:szCs w:val="18"/>
              </w:rPr>
            </w:pPr>
            <w:r w:rsidRPr="00DF2A30">
              <w:rPr>
                <w:rFonts w:cs="Arial"/>
                <w:sz w:val="18"/>
                <w:szCs w:val="18"/>
              </w:rPr>
              <w:t>U</w:t>
            </w:r>
            <w:r w:rsidR="009612F3" w:rsidRPr="00DF2A30">
              <w:rPr>
                <w:rFonts w:cs="Arial"/>
                <w:sz w:val="18"/>
                <w:szCs w:val="18"/>
              </w:rPr>
              <w:t>POV/INF/15/3 Draft 2 to be considered by the Council in March 2015</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sidRPr="000022C4">
              <w:rPr>
                <w:rFonts w:cs="Arial"/>
                <w:sz w:val="18"/>
                <w:szCs w:val="18"/>
              </w:rPr>
              <w:t>UPOV/INF/16</w:t>
            </w:r>
          </w:p>
        </w:tc>
        <w:tc>
          <w:tcPr>
            <w:tcW w:w="4807" w:type="dxa"/>
          </w:tcPr>
          <w:p w:rsidR="009612F3" w:rsidRPr="000022C4" w:rsidRDefault="009612F3" w:rsidP="00891783">
            <w:pPr>
              <w:jc w:val="left"/>
              <w:rPr>
                <w:rFonts w:cs="Arial"/>
                <w:sz w:val="18"/>
                <w:szCs w:val="18"/>
              </w:rPr>
            </w:pPr>
            <w:r w:rsidRPr="000022C4">
              <w:rPr>
                <w:rFonts w:cs="Arial"/>
                <w:sz w:val="18"/>
                <w:szCs w:val="18"/>
              </w:rPr>
              <w:t>Exchangeable Software</w:t>
            </w:r>
          </w:p>
        </w:tc>
        <w:tc>
          <w:tcPr>
            <w:tcW w:w="3920" w:type="dxa"/>
          </w:tcPr>
          <w:p w:rsidR="009612F3" w:rsidRDefault="009612F3" w:rsidP="009612F3">
            <w:pPr>
              <w:jc w:val="left"/>
              <w:rPr>
                <w:rFonts w:cs="Arial"/>
                <w:sz w:val="18"/>
                <w:szCs w:val="18"/>
              </w:rPr>
            </w:pPr>
            <w:r w:rsidRPr="00DF2A30">
              <w:rPr>
                <w:rFonts w:cs="Arial"/>
                <w:sz w:val="18"/>
                <w:szCs w:val="18"/>
              </w:rPr>
              <w:t>UPOV/INF/16/4 adopted in October 2014</w:t>
            </w:r>
          </w:p>
          <w:p w:rsidR="007F0390" w:rsidRPr="000022C4" w:rsidRDefault="007F0390" w:rsidP="007F0390">
            <w:pPr>
              <w:jc w:val="left"/>
              <w:rPr>
                <w:rFonts w:cs="Arial"/>
                <w:strike/>
                <w:sz w:val="18"/>
                <w:szCs w:val="18"/>
              </w:rPr>
            </w:pPr>
            <w:r>
              <w:rPr>
                <w:rFonts w:cs="Arial"/>
                <w:sz w:val="18"/>
                <w:szCs w:val="18"/>
              </w:rPr>
              <w:t xml:space="preserve">Proposed revision of </w:t>
            </w:r>
            <w:r w:rsidRPr="000022C4">
              <w:rPr>
                <w:rFonts w:cs="Arial"/>
                <w:sz w:val="18"/>
                <w:szCs w:val="18"/>
              </w:rPr>
              <w:t>U</w:t>
            </w:r>
            <w:r>
              <w:rPr>
                <w:rFonts w:cs="Arial"/>
                <w:sz w:val="18"/>
                <w:szCs w:val="18"/>
              </w:rPr>
              <w:t>POV/INF/16 to be considered by</w:t>
            </w:r>
            <w:r w:rsidRPr="000022C4">
              <w:rPr>
                <w:rFonts w:cs="Arial"/>
                <w:spacing w:val="-2"/>
                <w:sz w:val="18"/>
                <w:szCs w:val="18"/>
              </w:rPr>
              <w:t xml:space="preserve"> the C</w:t>
            </w:r>
            <w:r>
              <w:rPr>
                <w:rFonts w:cs="Arial"/>
                <w:spacing w:val="-2"/>
                <w:sz w:val="18"/>
                <w:szCs w:val="18"/>
              </w:rPr>
              <w:t>AJ in March 2015</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sidRPr="000022C4">
              <w:rPr>
                <w:rFonts w:cs="Arial"/>
                <w:sz w:val="18"/>
                <w:szCs w:val="18"/>
              </w:rPr>
              <w:t>UPOV/INF/17</w:t>
            </w:r>
          </w:p>
        </w:tc>
        <w:tc>
          <w:tcPr>
            <w:tcW w:w="4807" w:type="dxa"/>
          </w:tcPr>
          <w:p w:rsidR="009612F3" w:rsidRPr="000022C4" w:rsidRDefault="009612F3" w:rsidP="00891783">
            <w:pPr>
              <w:jc w:val="left"/>
              <w:rPr>
                <w:rFonts w:cs="Arial"/>
                <w:sz w:val="18"/>
                <w:szCs w:val="18"/>
              </w:rPr>
            </w:pPr>
            <w:r w:rsidRPr="000022C4">
              <w:rPr>
                <w:rFonts w:cs="Arial"/>
                <w:sz w:val="18"/>
                <w:szCs w:val="18"/>
              </w:rPr>
              <w:t>Guidelines for DNA-Profiling: Molecular Marker Selection and Database Construction (“BMT Guidelines”)</w:t>
            </w:r>
          </w:p>
        </w:tc>
        <w:tc>
          <w:tcPr>
            <w:tcW w:w="3920" w:type="dxa"/>
          </w:tcPr>
          <w:p w:rsidR="009612F3" w:rsidRPr="000022C4" w:rsidRDefault="009612F3" w:rsidP="00891783">
            <w:pPr>
              <w:jc w:val="left"/>
              <w:rPr>
                <w:rFonts w:cs="Arial"/>
                <w:sz w:val="18"/>
                <w:szCs w:val="18"/>
              </w:rPr>
            </w:pPr>
            <w:r w:rsidRPr="000022C4">
              <w:rPr>
                <w:rFonts w:cs="Arial"/>
                <w:sz w:val="18"/>
                <w:szCs w:val="18"/>
              </w:rPr>
              <w:t>UPOV/INF/17/1 adopted in October 2010</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sidRPr="000022C4">
              <w:rPr>
                <w:rFonts w:cs="Arial"/>
                <w:sz w:val="18"/>
                <w:szCs w:val="18"/>
              </w:rPr>
              <w:t>UPOV/INF/18</w:t>
            </w:r>
          </w:p>
        </w:tc>
        <w:tc>
          <w:tcPr>
            <w:tcW w:w="4807" w:type="dxa"/>
          </w:tcPr>
          <w:p w:rsidR="009612F3" w:rsidRPr="000022C4" w:rsidRDefault="009612F3" w:rsidP="00891783">
            <w:pPr>
              <w:jc w:val="left"/>
              <w:rPr>
                <w:rFonts w:cs="Arial"/>
                <w:sz w:val="18"/>
                <w:szCs w:val="18"/>
              </w:rPr>
            </w:pPr>
            <w:r w:rsidRPr="000022C4">
              <w:rPr>
                <w:rFonts w:cs="Arial"/>
                <w:sz w:val="18"/>
                <w:szCs w:val="18"/>
              </w:rPr>
              <w:t>Possible use of Molecular Markers in the Examination of Distinctness, Uniformity and Stability (DUS)</w:t>
            </w:r>
          </w:p>
        </w:tc>
        <w:tc>
          <w:tcPr>
            <w:tcW w:w="3920" w:type="dxa"/>
          </w:tcPr>
          <w:p w:rsidR="009612F3" w:rsidRPr="000022C4" w:rsidRDefault="009612F3" w:rsidP="00891783">
            <w:pPr>
              <w:jc w:val="left"/>
              <w:rPr>
                <w:rFonts w:cs="Arial"/>
                <w:sz w:val="18"/>
                <w:szCs w:val="18"/>
              </w:rPr>
            </w:pPr>
            <w:r w:rsidRPr="000022C4">
              <w:rPr>
                <w:rFonts w:cs="Arial"/>
                <w:sz w:val="18"/>
                <w:szCs w:val="18"/>
              </w:rPr>
              <w:t>UPOV/INF/18/1 adopted in October 2011</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sidRPr="000022C4">
              <w:rPr>
                <w:rFonts w:cs="Arial"/>
                <w:sz w:val="18"/>
                <w:szCs w:val="18"/>
              </w:rPr>
              <w:t>UPOV/INF/19</w:t>
            </w:r>
          </w:p>
        </w:tc>
        <w:tc>
          <w:tcPr>
            <w:tcW w:w="4807" w:type="dxa"/>
          </w:tcPr>
          <w:p w:rsidR="009612F3" w:rsidRPr="000022C4" w:rsidRDefault="009612F3" w:rsidP="00891783">
            <w:pPr>
              <w:jc w:val="left"/>
              <w:rPr>
                <w:rFonts w:cs="Arial"/>
                <w:sz w:val="18"/>
                <w:szCs w:val="18"/>
              </w:rPr>
            </w:pPr>
            <w:r w:rsidRPr="000022C4">
              <w:rPr>
                <w:rFonts w:cs="Arial"/>
                <w:sz w:val="18"/>
                <w:szCs w:val="18"/>
              </w:rPr>
              <w:t>Rules governing the granting of observer status to States, intergovernmental organizations and international non-governmental organizations in UPOV bodies</w:t>
            </w:r>
          </w:p>
        </w:tc>
        <w:tc>
          <w:tcPr>
            <w:tcW w:w="3920" w:type="dxa"/>
          </w:tcPr>
          <w:p w:rsidR="009612F3" w:rsidRPr="000022C4" w:rsidRDefault="009612F3" w:rsidP="00891783">
            <w:pPr>
              <w:jc w:val="left"/>
              <w:rPr>
                <w:rFonts w:cs="Arial"/>
                <w:iCs/>
                <w:sz w:val="18"/>
                <w:szCs w:val="18"/>
              </w:rPr>
            </w:pPr>
            <w:r w:rsidRPr="000022C4">
              <w:rPr>
                <w:rFonts w:cs="Arial"/>
                <w:sz w:val="18"/>
                <w:szCs w:val="18"/>
              </w:rPr>
              <w:t xml:space="preserve">UPOV/INF/19/1 </w:t>
            </w:r>
            <w:r w:rsidRPr="000022C4">
              <w:rPr>
                <w:rFonts w:cs="Arial"/>
                <w:iCs/>
                <w:sz w:val="18"/>
                <w:szCs w:val="18"/>
              </w:rPr>
              <w:t>adopted in November 2012</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sidRPr="000022C4">
              <w:rPr>
                <w:rFonts w:cs="Arial"/>
                <w:sz w:val="18"/>
                <w:szCs w:val="18"/>
              </w:rPr>
              <w:t>UPOV/INF/20</w:t>
            </w:r>
          </w:p>
        </w:tc>
        <w:tc>
          <w:tcPr>
            <w:tcW w:w="4807" w:type="dxa"/>
          </w:tcPr>
          <w:p w:rsidR="009612F3" w:rsidRPr="000022C4" w:rsidRDefault="009612F3" w:rsidP="00891783">
            <w:pPr>
              <w:jc w:val="left"/>
              <w:rPr>
                <w:rFonts w:cs="Arial"/>
                <w:sz w:val="18"/>
                <w:szCs w:val="18"/>
              </w:rPr>
            </w:pPr>
            <w:r w:rsidRPr="000022C4">
              <w:rPr>
                <w:rFonts w:cs="Arial"/>
                <w:sz w:val="18"/>
                <w:szCs w:val="18"/>
              </w:rPr>
              <w:t>Rules governing access to UPOV documents</w:t>
            </w:r>
          </w:p>
        </w:tc>
        <w:tc>
          <w:tcPr>
            <w:tcW w:w="3920" w:type="dxa"/>
          </w:tcPr>
          <w:p w:rsidR="009612F3" w:rsidRPr="000022C4" w:rsidRDefault="009612F3" w:rsidP="00891783">
            <w:pPr>
              <w:jc w:val="left"/>
              <w:rPr>
                <w:rFonts w:cs="Arial"/>
                <w:iCs/>
                <w:sz w:val="18"/>
                <w:szCs w:val="18"/>
              </w:rPr>
            </w:pPr>
            <w:r w:rsidRPr="000022C4">
              <w:rPr>
                <w:rFonts w:cs="Arial"/>
                <w:sz w:val="18"/>
                <w:szCs w:val="18"/>
              </w:rPr>
              <w:t xml:space="preserve">UPOV/INF/20/1 </w:t>
            </w:r>
            <w:r w:rsidRPr="000022C4">
              <w:rPr>
                <w:rFonts w:cs="Arial"/>
                <w:iCs/>
                <w:sz w:val="18"/>
                <w:szCs w:val="18"/>
              </w:rPr>
              <w:t>adopted in November 2012</w:t>
            </w:r>
          </w:p>
        </w:tc>
      </w:tr>
      <w:tr w:rsidR="009612F3" w:rsidRPr="000022C4" w:rsidTr="00891783">
        <w:trPr>
          <w:cantSplit/>
          <w:jc w:val="center"/>
        </w:trPr>
        <w:tc>
          <w:tcPr>
            <w:tcW w:w="1758" w:type="dxa"/>
          </w:tcPr>
          <w:p w:rsidR="009612F3" w:rsidRPr="000022C4" w:rsidRDefault="009612F3" w:rsidP="00891783">
            <w:pPr>
              <w:jc w:val="left"/>
              <w:rPr>
                <w:rFonts w:cs="Arial"/>
                <w:sz w:val="18"/>
                <w:szCs w:val="18"/>
              </w:rPr>
            </w:pPr>
            <w:r w:rsidRPr="000022C4">
              <w:rPr>
                <w:rFonts w:cs="Arial"/>
                <w:sz w:val="18"/>
                <w:szCs w:val="18"/>
              </w:rPr>
              <w:t>UPOV/INF/21</w:t>
            </w:r>
          </w:p>
        </w:tc>
        <w:tc>
          <w:tcPr>
            <w:tcW w:w="4807" w:type="dxa"/>
          </w:tcPr>
          <w:p w:rsidR="009612F3" w:rsidRPr="000022C4" w:rsidRDefault="009612F3" w:rsidP="00891783">
            <w:pPr>
              <w:jc w:val="left"/>
              <w:rPr>
                <w:rFonts w:cs="Arial"/>
                <w:sz w:val="18"/>
                <w:szCs w:val="18"/>
              </w:rPr>
            </w:pPr>
            <w:r w:rsidRPr="000022C4">
              <w:rPr>
                <w:rFonts w:cs="Arial"/>
                <w:sz w:val="18"/>
                <w:szCs w:val="18"/>
              </w:rPr>
              <w:t>Alternative Dispute Settlement Mechanisms</w:t>
            </w:r>
          </w:p>
        </w:tc>
        <w:tc>
          <w:tcPr>
            <w:tcW w:w="3920" w:type="dxa"/>
          </w:tcPr>
          <w:p w:rsidR="009612F3" w:rsidRPr="000022C4" w:rsidRDefault="009612F3" w:rsidP="00891783">
            <w:pPr>
              <w:jc w:val="left"/>
              <w:rPr>
                <w:rFonts w:cs="Arial"/>
                <w:sz w:val="18"/>
                <w:szCs w:val="18"/>
              </w:rPr>
            </w:pPr>
            <w:r w:rsidRPr="000022C4">
              <w:rPr>
                <w:rFonts w:cs="Arial"/>
                <w:sz w:val="18"/>
                <w:szCs w:val="18"/>
              </w:rPr>
              <w:t xml:space="preserve">UPOV/INF/21/1 adopted </w:t>
            </w:r>
            <w:r w:rsidRPr="000022C4">
              <w:rPr>
                <w:rFonts w:cs="Arial"/>
                <w:iCs/>
                <w:sz w:val="18"/>
                <w:szCs w:val="18"/>
              </w:rPr>
              <w:t>in November 2012</w:t>
            </w:r>
          </w:p>
        </w:tc>
      </w:tr>
      <w:tr w:rsidR="009612F3" w:rsidRPr="000022C4" w:rsidTr="00891783">
        <w:trPr>
          <w:cantSplit/>
          <w:jc w:val="center"/>
        </w:trPr>
        <w:tc>
          <w:tcPr>
            <w:tcW w:w="1758" w:type="dxa"/>
          </w:tcPr>
          <w:p w:rsidR="009612F3" w:rsidRPr="000022C4" w:rsidRDefault="009612F3" w:rsidP="00891783">
            <w:pPr>
              <w:rPr>
                <w:sz w:val="18"/>
                <w:szCs w:val="18"/>
              </w:rPr>
            </w:pPr>
            <w:r w:rsidRPr="000022C4">
              <w:rPr>
                <w:sz w:val="18"/>
                <w:szCs w:val="18"/>
              </w:rPr>
              <w:t>UPOV/INF/22</w:t>
            </w:r>
          </w:p>
        </w:tc>
        <w:tc>
          <w:tcPr>
            <w:tcW w:w="4807" w:type="dxa"/>
          </w:tcPr>
          <w:p w:rsidR="009612F3" w:rsidRPr="000022C4" w:rsidRDefault="009612F3" w:rsidP="00891783">
            <w:pPr>
              <w:rPr>
                <w:sz w:val="18"/>
                <w:szCs w:val="18"/>
              </w:rPr>
            </w:pPr>
            <w:r w:rsidRPr="000022C4">
              <w:rPr>
                <w:sz w:val="18"/>
                <w:szCs w:val="18"/>
              </w:rPr>
              <w:t xml:space="preserve">Software and Equipment Used by Members of the Union </w:t>
            </w:r>
          </w:p>
        </w:tc>
        <w:tc>
          <w:tcPr>
            <w:tcW w:w="3920" w:type="dxa"/>
          </w:tcPr>
          <w:p w:rsidR="009612F3" w:rsidRDefault="009612F3" w:rsidP="009612F3">
            <w:pPr>
              <w:jc w:val="left"/>
              <w:rPr>
                <w:sz w:val="18"/>
                <w:szCs w:val="18"/>
              </w:rPr>
            </w:pPr>
            <w:r w:rsidRPr="00DF2A30">
              <w:rPr>
                <w:sz w:val="18"/>
                <w:szCs w:val="18"/>
              </w:rPr>
              <w:t>UPOV/INF/22/1 adopted in October 2014</w:t>
            </w:r>
          </w:p>
          <w:p w:rsidR="007F0390" w:rsidRPr="009612F3" w:rsidRDefault="007F0390" w:rsidP="007F0390">
            <w:pPr>
              <w:jc w:val="left"/>
              <w:rPr>
                <w:sz w:val="18"/>
                <w:szCs w:val="18"/>
                <w:highlight w:val="yellow"/>
              </w:rPr>
            </w:pPr>
            <w:r>
              <w:rPr>
                <w:rFonts w:cs="Arial"/>
                <w:sz w:val="18"/>
                <w:szCs w:val="18"/>
              </w:rPr>
              <w:t xml:space="preserve">Proposed revision of </w:t>
            </w:r>
            <w:r w:rsidRPr="000022C4">
              <w:rPr>
                <w:rFonts w:cs="Arial"/>
                <w:sz w:val="18"/>
                <w:szCs w:val="18"/>
              </w:rPr>
              <w:t>U</w:t>
            </w:r>
            <w:r>
              <w:rPr>
                <w:rFonts w:cs="Arial"/>
                <w:sz w:val="18"/>
                <w:szCs w:val="18"/>
              </w:rPr>
              <w:t>POV/INF/22 to be considered by</w:t>
            </w:r>
            <w:r w:rsidRPr="000022C4">
              <w:rPr>
                <w:rFonts w:cs="Arial"/>
                <w:spacing w:val="-2"/>
                <w:sz w:val="18"/>
                <w:szCs w:val="18"/>
              </w:rPr>
              <w:t xml:space="preserve"> the C</w:t>
            </w:r>
            <w:r>
              <w:rPr>
                <w:rFonts w:cs="Arial"/>
                <w:spacing w:val="-2"/>
                <w:sz w:val="18"/>
                <w:szCs w:val="18"/>
              </w:rPr>
              <w:t>AJ in March 2015</w:t>
            </w:r>
          </w:p>
        </w:tc>
      </w:tr>
    </w:tbl>
    <w:p w:rsidR="009612F3" w:rsidRDefault="009612F3" w:rsidP="009612F3"/>
    <w:p w:rsidR="00171C6B" w:rsidRDefault="00171C6B" w:rsidP="009612F3"/>
    <w:p w:rsidR="00171C6B" w:rsidRDefault="00171C6B" w:rsidP="009612F3"/>
    <w:p w:rsidR="00171C6B" w:rsidRPr="000022C4" w:rsidRDefault="00171C6B" w:rsidP="00171C6B">
      <w:pPr>
        <w:jc w:val="right"/>
      </w:pPr>
      <w:r>
        <w:t>[End of the Annex and of the document]</w:t>
      </w:r>
    </w:p>
    <w:sectPr w:rsidR="00171C6B" w:rsidRPr="000022C4" w:rsidSect="009C44BE">
      <w:headerReference w:type="default" r:id="rId11"/>
      <w:foot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C2F" w:rsidRDefault="00232C2F" w:rsidP="009C44BE">
      <w:pPr>
        <w:spacing w:before="120"/>
      </w:pPr>
      <w:r>
        <w:separator/>
      </w:r>
    </w:p>
  </w:endnote>
  <w:endnote w:type="continuationSeparator" w:id="0">
    <w:p w:rsidR="00232C2F" w:rsidRDefault="00232C2F">
      <w:r>
        <w:separator/>
      </w:r>
    </w:p>
    <w:p w:rsidR="00232C2F" w:rsidRPr="00664515" w:rsidRDefault="00232C2F">
      <w:pPr>
        <w:pStyle w:val="Footer"/>
        <w:spacing w:after="60"/>
        <w:rPr>
          <w:sz w:val="18"/>
          <w:lang w:val="fr-CH"/>
        </w:rPr>
      </w:pPr>
      <w:r w:rsidRPr="00664515">
        <w:rPr>
          <w:sz w:val="18"/>
          <w:lang w:val="fr-CH"/>
        </w:rPr>
        <w:t>[Suite de la note de la page précédente]</w:t>
      </w:r>
    </w:p>
    <w:p w:rsidR="00232C2F" w:rsidRPr="00664515" w:rsidRDefault="00232C2F">
      <w:pPr>
        <w:rPr>
          <w:lang w:val="fr-CH"/>
        </w:rPr>
      </w:pPr>
    </w:p>
    <w:p w:rsidR="00232C2F" w:rsidRPr="00664515" w:rsidRDefault="00232C2F">
      <w:pPr>
        <w:rPr>
          <w:lang w:val="fr-CH"/>
        </w:rPr>
      </w:pPr>
    </w:p>
  </w:endnote>
  <w:endnote w:type="continuationNotice" w:id="1">
    <w:p w:rsidR="00232C2F" w:rsidRPr="00664515" w:rsidRDefault="00232C2F">
      <w:pPr>
        <w:spacing w:before="60"/>
        <w:jc w:val="right"/>
        <w:rPr>
          <w:sz w:val="18"/>
          <w:lang w:val="fr-CH"/>
        </w:rPr>
      </w:pPr>
      <w:r w:rsidRPr="00664515">
        <w:rPr>
          <w:sz w:val="18"/>
          <w:lang w:val="fr-CH"/>
        </w:rPr>
        <w:t>[Suite de la note page suivante]</w:t>
      </w:r>
    </w:p>
    <w:p w:rsidR="00232C2F" w:rsidRPr="00664515" w:rsidRDefault="00232C2F">
      <w:pPr>
        <w:rPr>
          <w:lang w:val="fr-CH"/>
        </w:rPr>
      </w:pPr>
    </w:p>
    <w:p w:rsidR="00232C2F" w:rsidRPr="00664515" w:rsidRDefault="00232C2F">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C2F" w:rsidRPr="00987A0D" w:rsidRDefault="00232C2F" w:rsidP="00987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C2F" w:rsidRDefault="00232C2F" w:rsidP="009D690D">
      <w:pPr>
        <w:spacing w:before="120"/>
      </w:pPr>
      <w:r>
        <w:separator/>
      </w:r>
    </w:p>
  </w:footnote>
  <w:footnote w:type="continuationSeparator" w:id="0">
    <w:p w:rsidR="00232C2F" w:rsidRDefault="00232C2F" w:rsidP="00520297">
      <w:pPr>
        <w:spacing w:before="120"/>
        <w:jc w:val="left"/>
      </w:pPr>
      <w:r>
        <w:separator/>
      </w:r>
    </w:p>
  </w:footnote>
  <w:footnote w:type="continuationNotice" w:id="1">
    <w:p w:rsidR="00232C2F" w:rsidRDefault="00232C2F"/>
  </w:footnote>
  <w:footnote w:id="2">
    <w:p w:rsidR="00232C2F" w:rsidRDefault="00232C2F" w:rsidP="009612F3">
      <w:pPr>
        <w:pStyle w:val="FootnoteText"/>
      </w:pPr>
      <w:r>
        <w:rPr>
          <w:rStyle w:val="FootnoteReference"/>
        </w:rPr>
        <w:footnoteRef/>
      </w:r>
      <w:r>
        <w:t xml:space="preserve"> </w:t>
      </w:r>
      <w:r>
        <w:tab/>
        <w:t>H</w:t>
      </w:r>
      <w:r w:rsidRPr="00AB23F9">
        <w:t>el</w:t>
      </w:r>
      <w:r>
        <w:t>d in Geneva on October 24, 2005.</w:t>
      </w:r>
    </w:p>
  </w:footnote>
  <w:footnote w:id="3">
    <w:p w:rsidR="00232C2F" w:rsidRDefault="00232C2F" w:rsidP="009612F3">
      <w:pPr>
        <w:pStyle w:val="FootnoteText"/>
      </w:pPr>
      <w:r>
        <w:rPr>
          <w:rStyle w:val="FootnoteReference"/>
        </w:rPr>
        <w:footnoteRef/>
      </w:r>
      <w:r>
        <w:t xml:space="preserve"> </w:t>
      </w:r>
      <w:r>
        <w:tab/>
        <w:t xml:space="preserve">See </w:t>
      </w:r>
      <w:r w:rsidRPr="001C522C">
        <w:t>document CAJ/52/4</w:t>
      </w:r>
      <w:r>
        <w:t>”</w:t>
      </w:r>
      <w:r w:rsidRPr="00DD0067">
        <w:t xml:space="preserve"> </w:t>
      </w:r>
      <w:r>
        <w:t>Approach for the d</w:t>
      </w:r>
      <w:r w:rsidRPr="00DD0067">
        <w:t>evelopment of information materials concerning the UPOV Convention</w:t>
      </w:r>
      <w:r>
        <w:t>”, paragraphs 8 to 10</w:t>
      </w:r>
      <w:r w:rsidRPr="001C522C">
        <w:t>.</w:t>
      </w:r>
    </w:p>
  </w:footnote>
  <w:footnote w:id="4">
    <w:p w:rsidR="00232C2F" w:rsidRDefault="00232C2F" w:rsidP="009612F3">
      <w:pPr>
        <w:pStyle w:val="FootnoteText"/>
      </w:pPr>
      <w:r>
        <w:rPr>
          <w:rStyle w:val="FootnoteReference"/>
        </w:rPr>
        <w:footnoteRef/>
      </w:r>
      <w:r>
        <w:t xml:space="preserve"> </w:t>
      </w:r>
      <w:r>
        <w:tab/>
        <w:t>See</w:t>
      </w:r>
      <w:r w:rsidRPr="001C522C">
        <w:t xml:space="preserve"> document CAJ/52/4</w:t>
      </w:r>
      <w:r>
        <w:t>,</w:t>
      </w:r>
      <w:r w:rsidRPr="00B31869">
        <w:t xml:space="preserve"> </w:t>
      </w:r>
      <w:r>
        <w:t>paragraphs 11 to 14</w:t>
      </w:r>
      <w:r w:rsidRPr="001C522C">
        <w:t xml:space="preserve"> </w:t>
      </w:r>
      <w:r>
        <w:t>and document CAJ/52/5</w:t>
      </w:r>
      <w:r w:rsidRPr="001C522C">
        <w:t xml:space="preserve"> </w:t>
      </w:r>
      <w:r>
        <w:t>“</w:t>
      </w:r>
      <w:r w:rsidRPr="001C522C">
        <w:t>Report</w:t>
      </w:r>
      <w:r>
        <w:t>”, paragraph 67</w:t>
      </w:r>
      <w:r w:rsidRPr="001C522C">
        <w:t>.</w:t>
      </w:r>
    </w:p>
  </w:footnote>
  <w:footnote w:id="5">
    <w:p w:rsidR="00232C2F" w:rsidRDefault="00232C2F" w:rsidP="00CA0D73">
      <w:pPr>
        <w:pStyle w:val="FootnoteText"/>
      </w:pPr>
      <w:r>
        <w:rPr>
          <w:rStyle w:val="FootnoteReference"/>
        </w:rPr>
        <w:footnoteRef/>
      </w:r>
      <w:r>
        <w:t xml:space="preserve"> </w:t>
      </w:r>
      <w:r>
        <w:tab/>
        <w:t>Held in Geneva on October 13, 2014</w:t>
      </w:r>
    </w:p>
  </w:footnote>
  <w:footnote w:id="6">
    <w:p w:rsidR="00232C2F" w:rsidRDefault="00232C2F">
      <w:pPr>
        <w:pStyle w:val="FootnoteText"/>
      </w:pPr>
      <w:r>
        <w:rPr>
          <w:rStyle w:val="FootnoteReference"/>
        </w:rPr>
        <w:footnoteRef/>
      </w:r>
      <w:r>
        <w:t xml:space="preserve"> </w:t>
      </w:r>
      <w:r>
        <w:tab/>
        <w:t>Held in Geneva on October 14 and 17, 2014.</w:t>
      </w:r>
    </w:p>
  </w:footnote>
  <w:footnote w:id="7">
    <w:p w:rsidR="00232C2F" w:rsidRDefault="00232C2F" w:rsidP="00CA0D73">
      <w:pPr>
        <w:pStyle w:val="FootnoteText"/>
      </w:pPr>
      <w:r>
        <w:rPr>
          <w:rStyle w:val="FootnoteReference"/>
        </w:rPr>
        <w:footnoteRef/>
      </w:r>
      <w:r>
        <w:t xml:space="preserve"> </w:t>
      </w:r>
      <w:r>
        <w:tab/>
      </w:r>
      <w:r w:rsidRPr="0055142A">
        <w:t>See document CAJ/70/10 “Report on the Conclusions”, paragraphs 38 to 41.</w:t>
      </w:r>
    </w:p>
  </w:footnote>
  <w:footnote w:id="8">
    <w:p w:rsidR="00232C2F" w:rsidRPr="0055142A" w:rsidRDefault="00232C2F">
      <w:pPr>
        <w:pStyle w:val="FootnoteText"/>
      </w:pPr>
      <w:r>
        <w:rPr>
          <w:rStyle w:val="FootnoteReference"/>
        </w:rPr>
        <w:footnoteRef/>
      </w:r>
      <w:r>
        <w:t xml:space="preserve"> </w:t>
      </w:r>
      <w:r>
        <w:tab/>
      </w:r>
      <w:r w:rsidRPr="0055142A">
        <w:t>See document CAJ/70/10 “Report on the Conclusions”, paragraph 39.</w:t>
      </w:r>
    </w:p>
  </w:footnote>
  <w:footnote w:id="9">
    <w:p w:rsidR="00232C2F" w:rsidRPr="0055142A" w:rsidRDefault="00232C2F" w:rsidP="0055142A">
      <w:pPr>
        <w:pStyle w:val="FootnoteText"/>
      </w:pPr>
      <w:r w:rsidRPr="0055142A">
        <w:rPr>
          <w:rStyle w:val="FootnoteReference"/>
        </w:rPr>
        <w:footnoteRef/>
      </w:r>
      <w:r w:rsidRPr="0055142A">
        <w:t xml:space="preserve"> </w:t>
      </w:r>
      <w:r w:rsidRPr="0055142A">
        <w:tab/>
        <w:t xml:space="preserve">See document CAJ-AG/14/9/6 “Report on the Conclusions”, paragraphs </w:t>
      </w:r>
      <w:r>
        <w:t>34</w:t>
      </w:r>
      <w:r w:rsidRPr="0055142A">
        <w:t xml:space="preserve"> and 3</w:t>
      </w:r>
      <w:r>
        <w:t>5</w:t>
      </w:r>
      <w:r w:rsidRPr="0055142A">
        <w:t>.</w:t>
      </w:r>
    </w:p>
  </w:footnote>
  <w:footnote w:id="10">
    <w:p w:rsidR="00232C2F" w:rsidRPr="0055142A" w:rsidRDefault="00232C2F">
      <w:pPr>
        <w:pStyle w:val="FootnoteText"/>
      </w:pPr>
      <w:r w:rsidRPr="0055142A">
        <w:rPr>
          <w:rStyle w:val="FootnoteReference"/>
        </w:rPr>
        <w:footnoteRef/>
      </w:r>
      <w:r w:rsidRPr="0055142A">
        <w:t xml:space="preserve"> </w:t>
      </w:r>
      <w:r w:rsidRPr="0055142A">
        <w:tab/>
        <w:t>At its ninth session.</w:t>
      </w:r>
    </w:p>
  </w:footnote>
  <w:footnote w:id="11">
    <w:p w:rsidR="00232C2F" w:rsidRDefault="00232C2F">
      <w:pPr>
        <w:pStyle w:val="FootnoteText"/>
      </w:pPr>
      <w:r w:rsidRPr="0055142A">
        <w:rPr>
          <w:rStyle w:val="FootnoteReference"/>
        </w:rPr>
        <w:footnoteRef/>
      </w:r>
      <w:r w:rsidRPr="0055142A">
        <w:t xml:space="preserve"> </w:t>
      </w:r>
      <w:r w:rsidRPr="0055142A">
        <w:tab/>
        <w:t>See document CAJ-AG/14/9/6 “Report on the Conclusions”, paragraphs 26 and 31.</w:t>
      </w:r>
    </w:p>
  </w:footnote>
  <w:footnote w:id="12">
    <w:p w:rsidR="00232C2F" w:rsidRDefault="00232C2F" w:rsidP="009642CF">
      <w:pPr>
        <w:pStyle w:val="FootnoteText"/>
      </w:pPr>
      <w:r>
        <w:rPr>
          <w:rStyle w:val="FootnoteReference"/>
        </w:rPr>
        <w:footnoteRef/>
      </w:r>
      <w:r>
        <w:t xml:space="preserve"> </w:t>
      </w:r>
      <w:r>
        <w:rPr>
          <w:rFonts w:hint="eastAsia"/>
          <w:lang w:eastAsia="ja-JP"/>
        </w:rPr>
        <w:tab/>
      </w:r>
      <w:r>
        <w:rPr>
          <w:lang w:eastAsia="ja-JP"/>
        </w:rPr>
        <w:t>T</w:t>
      </w:r>
      <w:r>
        <w:rPr>
          <w:rFonts w:hint="eastAsia"/>
          <w:lang w:eastAsia="ja-JP"/>
        </w:rPr>
        <w:t>o be held in Geneva on October 26 and 27, 2015</w:t>
      </w:r>
      <w:r>
        <w:rPr>
          <w:lang w:eastAsia="ja-JP"/>
        </w:rPr>
        <w:t>.</w:t>
      </w:r>
    </w:p>
  </w:footnote>
  <w:footnote w:id="13">
    <w:p w:rsidR="00232C2F" w:rsidRPr="00131904" w:rsidRDefault="00232C2F">
      <w:pPr>
        <w:pStyle w:val="FootnoteText"/>
      </w:pPr>
      <w:r w:rsidRPr="00131904">
        <w:rPr>
          <w:rStyle w:val="FootnoteReference"/>
        </w:rPr>
        <w:footnoteRef/>
      </w:r>
      <w:r w:rsidRPr="00131904">
        <w:t xml:space="preserve"> </w:t>
      </w:r>
      <w:r w:rsidRPr="00131904">
        <w:tab/>
        <w:t>At its ninth session.</w:t>
      </w:r>
    </w:p>
  </w:footnote>
  <w:footnote w:id="14">
    <w:p w:rsidR="00232C2F" w:rsidRPr="00FE7F6B" w:rsidRDefault="00232C2F">
      <w:pPr>
        <w:pStyle w:val="FootnoteText"/>
        <w:rPr>
          <w:highlight w:val="yellow"/>
        </w:rPr>
      </w:pPr>
      <w:r w:rsidRPr="00131904">
        <w:rPr>
          <w:rStyle w:val="FootnoteReference"/>
        </w:rPr>
        <w:footnoteRef/>
      </w:r>
      <w:r w:rsidRPr="00131904">
        <w:t xml:space="preserve"> </w:t>
      </w:r>
      <w:r w:rsidRPr="00131904">
        <w:tab/>
        <w:t>See document CAJ-AG/14/9/6 “Repor</w:t>
      </w:r>
      <w:r>
        <w:t>t on the C</w:t>
      </w:r>
      <w:r w:rsidRPr="00131904">
        <w:t>onclusions”, paragraphs 7 and 8.</w:t>
      </w:r>
    </w:p>
  </w:footnote>
  <w:footnote w:id="15">
    <w:p w:rsidR="00232C2F" w:rsidRPr="00131904" w:rsidRDefault="00232C2F">
      <w:pPr>
        <w:pStyle w:val="FootnoteText"/>
      </w:pPr>
      <w:r w:rsidRPr="00131904">
        <w:rPr>
          <w:rStyle w:val="FootnoteReference"/>
        </w:rPr>
        <w:footnoteRef/>
      </w:r>
      <w:r w:rsidRPr="00131904">
        <w:t xml:space="preserve"> </w:t>
      </w:r>
      <w:r w:rsidRPr="00131904">
        <w:tab/>
        <w:t>At its ninth session.</w:t>
      </w:r>
    </w:p>
  </w:footnote>
  <w:footnote w:id="16">
    <w:p w:rsidR="00232C2F" w:rsidRPr="00131904" w:rsidRDefault="00232C2F">
      <w:pPr>
        <w:pStyle w:val="FootnoteText"/>
      </w:pPr>
      <w:r w:rsidRPr="00131904">
        <w:rPr>
          <w:rStyle w:val="FootnoteReference"/>
        </w:rPr>
        <w:footnoteRef/>
      </w:r>
      <w:r w:rsidRPr="00131904">
        <w:t xml:space="preserve"> </w:t>
      </w:r>
      <w:r w:rsidRPr="00131904">
        <w:tab/>
        <w:t>See document CAJ-AG/14/9/6 “Report on the Conclusions”, paragraphs 9 and 10.</w:t>
      </w:r>
    </w:p>
  </w:footnote>
  <w:footnote w:id="17">
    <w:p w:rsidR="00232C2F" w:rsidRPr="00131904" w:rsidRDefault="00232C2F">
      <w:pPr>
        <w:pStyle w:val="FootnoteText"/>
      </w:pPr>
      <w:r w:rsidRPr="00131904">
        <w:rPr>
          <w:rStyle w:val="FootnoteReference"/>
        </w:rPr>
        <w:footnoteRef/>
      </w:r>
      <w:r w:rsidRPr="00131904">
        <w:t xml:space="preserve"> </w:t>
      </w:r>
      <w:r w:rsidRPr="00131904">
        <w:tab/>
        <w:t>At its ninth session</w:t>
      </w:r>
    </w:p>
  </w:footnote>
  <w:footnote w:id="18">
    <w:p w:rsidR="00232C2F" w:rsidRDefault="00232C2F">
      <w:pPr>
        <w:pStyle w:val="FootnoteText"/>
      </w:pPr>
      <w:r w:rsidRPr="00131904">
        <w:rPr>
          <w:rStyle w:val="FootnoteReference"/>
        </w:rPr>
        <w:footnoteRef/>
      </w:r>
      <w:r w:rsidRPr="00131904">
        <w:t xml:space="preserve"> </w:t>
      </w:r>
      <w:r w:rsidRPr="00131904">
        <w:tab/>
        <w:t>See document CAJ-AG/14/9/6 “Report on the Conclusions”, paragraphs 11 and 12.</w:t>
      </w:r>
    </w:p>
  </w:footnote>
  <w:footnote w:id="19">
    <w:p w:rsidR="00653C88" w:rsidRDefault="00653C88" w:rsidP="00653C88">
      <w:pPr>
        <w:pStyle w:val="FootnoteText"/>
      </w:pPr>
      <w:r>
        <w:rPr>
          <w:rStyle w:val="FootnoteReference"/>
        </w:rPr>
        <w:footnoteRef/>
      </w:r>
      <w:r>
        <w:t xml:space="preserve"> </w:t>
      </w:r>
      <w:r>
        <w:tab/>
      </w:r>
      <w:r w:rsidRPr="0022331F">
        <w:rPr>
          <w:rFonts w:cs="Arial"/>
        </w:rPr>
        <w:t>h</w:t>
      </w:r>
      <w:r>
        <w:rPr>
          <w:rFonts w:cs="Arial"/>
        </w:rPr>
        <w:t>eld in Geneva on April 10, 2014.</w:t>
      </w:r>
    </w:p>
  </w:footnote>
  <w:footnote w:id="20">
    <w:p w:rsidR="00232C2F" w:rsidRDefault="00232C2F">
      <w:pPr>
        <w:pStyle w:val="FootnoteText"/>
      </w:pPr>
      <w:r>
        <w:rPr>
          <w:rStyle w:val="FootnoteReference"/>
        </w:rPr>
        <w:footnoteRef/>
      </w:r>
      <w:r>
        <w:t xml:space="preserve"> </w:t>
      </w:r>
      <w:r>
        <w:tab/>
      </w:r>
      <w:r w:rsidRPr="0022331F">
        <w:rPr>
          <w:rFonts w:cs="Arial"/>
        </w:rPr>
        <w:t xml:space="preserve">see document </w:t>
      </w:r>
      <w:r>
        <w:rPr>
          <w:rFonts w:cs="Arial"/>
        </w:rPr>
        <w:t>CAJ/69/13 “Report”, paragraph19</w:t>
      </w:r>
      <w:r w:rsidRPr="0022331F">
        <w:rPr>
          <w:rFonts w:cs="Arial"/>
        </w:rPr>
        <w:t>.</w:t>
      </w:r>
    </w:p>
  </w:footnote>
  <w:footnote w:id="21">
    <w:p w:rsidR="00232C2F" w:rsidRPr="0097065B" w:rsidRDefault="00232C2F" w:rsidP="00565994">
      <w:pPr>
        <w:pStyle w:val="FootnoteText"/>
      </w:pPr>
      <w:r w:rsidRPr="0097065B">
        <w:rPr>
          <w:rStyle w:val="FootnoteReference"/>
        </w:rPr>
        <w:footnoteRef/>
      </w:r>
      <w:r>
        <w:tab/>
      </w:r>
      <w:r w:rsidRPr="0097065B">
        <w:t>“[I]f a characteristic is important for the international harmonization of variety descriptions (asterisked characteristics) and is influenced by the environment (most quantitative and pseudo</w:t>
      </w:r>
      <w:r w:rsidRPr="0097065B">
        <w:noBreakHyphen/>
        <w:t xml:space="preserve">qualitative </w:t>
      </w:r>
      <w:r w:rsidRPr="0097065B">
        <w:rPr>
          <w:lang w:val="en-GB"/>
        </w:rPr>
        <w:t>characteristics</w:t>
      </w:r>
      <w:r w:rsidRPr="0097065B">
        <w:t>) […..] it is necessary to provide example varieties” in the Test Guidelines (see document TGP/7, Annex 3, Guidance Note GN 28 “Example varieties”, section 3.3 (iii))</w:t>
      </w:r>
      <w:r>
        <w:t>.</w:t>
      </w:r>
    </w:p>
    <w:p w:rsidR="00232C2F" w:rsidRPr="0097065B" w:rsidRDefault="00232C2F" w:rsidP="00565994">
      <w:pPr>
        <w:pStyle w:val="FootnoteText"/>
      </w:pPr>
      <w:r>
        <w:tab/>
      </w:r>
      <w:r w:rsidRPr="0097065B">
        <w:t>“1.2.3</w:t>
      </w:r>
      <w:r w:rsidRPr="0097065B">
        <w:tab/>
        <w:t xml:space="preserve">Example varieties are important to adjust the description of the </w:t>
      </w:r>
      <w:r w:rsidRPr="0097065B">
        <w:rPr>
          <w:snapToGrid w:val="0"/>
        </w:rPr>
        <w:t xml:space="preserve">characteristics </w:t>
      </w:r>
      <w:r w:rsidRPr="0097065B">
        <w:t>for the year and location effects, as far as possible</w:t>
      </w:r>
      <w:r>
        <w:t xml:space="preserve">.  </w:t>
      </w:r>
      <w:r w:rsidRPr="0097065B">
        <w:t>[…] ” (see document TGP/7, Annex 3, Guidance Note GN 28 “Example varieties”, section 1.2.3)</w:t>
      </w:r>
    </w:p>
  </w:footnote>
  <w:footnote w:id="22">
    <w:p w:rsidR="00232C2F" w:rsidRPr="00FD12E1" w:rsidRDefault="00232C2F">
      <w:pPr>
        <w:pStyle w:val="FootnoteText"/>
      </w:pPr>
      <w:r w:rsidRPr="00FD12E1">
        <w:rPr>
          <w:rStyle w:val="FootnoteReference"/>
        </w:rPr>
        <w:footnoteRef/>
      </w:r>
      <w:r w:rsidRPr="00FD12E1">
        <w:t xml:space="preserve"> </w:t>
      </w:r>
      <w:r w:rsidRPr="00FD12E1">
        <w:tab/>
        <w:t>At its ninth session</w:t>
      </w:r>
    </w:p>
  </w:footnote>
  <w:footnote w:id="23">
    <w:p w:rsidR="00232C2F" w:rsidRDefault="00232C2F">
      <w:pPr>
        <w:pStyle w:val="FootnoteText"/>
      </w:pPr>
      <w:r w:rsidRPr="00FD12E1">
        <w:rPr>
          <w:rStyle w:val="FootnoteReference"/>
        </w:rPr>
        <w:footnoteRef/>
      </w:r>
      <w:r w:rsidRPr="00FD12E1">
        <w:t xml:space="preserve"> </w:t>
      </w:r>
      <w:r w:rsidRPr="00FD12E1">
        <w:tab/>
        <w:t>See document CAJ-AG/14/9/6 “Report on the Conclusions”, paragraphs 13 and 14.</w:t>
      </w:r>
    </w:p>
  </w:footnote>
  <w:footnote w:id="24">
    <w:p w:rsidR="00232C2F" w:rsidRPr="00131904" w:rsidRDefault="00232C2F" w:rsidP="00072AD8">
      <w:pPr>
        <w:pStyle w:val="FootnoteText"/>
      </w:pPr>
      <w:r w:rsidRPr="00131904">
        <w:rPr>
          <w:rStyle w:val="FootnoteReference"/>
        </w:rPr>
        <w:footnoteRef/>
      </w:r>
      <w:r w:rsidRPr="00131904">
        <w:t xml:space="preserve"> </w:t>
      </w:r>
      <w:r w:rsidRPr="00131904">
        <w:tab/>
        <w:t>At its ninth session.</w:t>
      </w:r>
    </w:p>
  </w:footnote>
  <w:footnote w:id="25">
    <w:p w:rsidR="00232C2F" w:rsidRPr="00131904" w:rsidRDefault="00232C2F" w:rsidP="00072AD8">
      <w:pPr>
        <w:pStyle w:val="FootnoteText"/>
      </w:pPr>
      <w:r w:rsidRPr="00131904">
        <w:rPr>
          <w:rStyle w:val="FootnoteReference"/>
        </w:rPr>
        <w:footnoteRef/>
      </w:r>
      <w:r w:rsidRPr="00131904">
        <w:t xml:space="preserve"> </w:t>
      </w:r>
      <w:r w:rsidRPr="00131904">
        <w:tab/>
        <w:t>See documen</w:t>
      </w:r>
      <w:r>
        <w:t>t CAJ-AG/14/9/6 “Report on the C</w:t>
      </w:r>
      <w:r w:rsidRPr="00131904">
        <w:t>onclusions”, paragraphs 24 and 25.</w:t>
      </w:r>
    </w:p>
  </w:footnote>
  <w:footnote w:id="26">
    <w:p w:rsidR="00232C2F" w:rsidRDefault="00232C2F">
      <w:pPr>
        <w:pStyle w:val="FootnoteText"/>
      </w:pPr>
      <w:r>
        <w:rPr>
          <w:rStyle w:val="FootnoteReference"/>
        </w:rPr>
        <w:footnoteRef/>
      </w:r>
      <w:r>
        <w:t xml:space="preserve"> </w:t>
      </w:r>
      <w:r>
        <w:tab/>
      </w:r>
      <w:r>
        <w:rPr>
          <w:snapToGrid w:val="0"/>
        </w:rPr>
        <w:t>H</w:t>
      </w:r>
      <w:r w:rsidRPr="00384E73">
        <w:rPr>
          <w:snapToGrid w:val="0"/>
        </w:rPr>
        <w:t>eld in Geneva on October</w:t>
      </w:r>
      <w:r>
        <w:rPr>
          <w:snapToGrid w:val="0"/>
        </w:rPr>
        <w:t xml:space="preserve"> 21 and</w:t>
      </w:r>
      <w:r w:rsidRPr="00384E73">
        <w:rPr>
          <w:snapToGrid w:val="0"/>
        </w:rPr>
        <w:t xml:space="preserve"> </w:t>
      </w:r>
      <w:r>
        <w:rPr>
          <w:snapToGrid w:val="0"/>
        </w:rPr>
        <w:t>25</w:t>
      </w:r>
      <w:r w:rsidRPr="00384E73">
        <w:rPr>
          <w:snapToGrid w:val="0"/>
        </w:rPr>
        <w:t>, 201</w:t>
      </w:r>
      <w:r>
        <w:rPr>
          <w:snapToGrid w:val="0"/>
        </w:rPr>
        <w:t>3</w:t>
      </w:r>
      <w:r w:rsidRPr="00384E73">
        <w:rPr>
          <w:snapToGrid w:val="0"/>
        </w:rPr>
        <w:t>,</w:t>
      </w:r>
    </w:p>
  </w:footnote>
  <w:footnote w:id="27">
    <w:p w:rsidR="00232C2F" w:rsidRDefault="00232C2F" w:rsidP="00E831EC">
      <w:pPr>
        <w:pStyle w:val="FootnoteText"/>
      </w:pPr>
      <w:r>
        <w:rPr>
          <w:rStyle w:val="FootnoteReference"/>
        </w:rPr>
        <w:footnoteRef/>
      </w:r>
      <w:r w:rsidR="00137CB4">
        <w:tab/>
      </w:r>
      <w:r>
        <w:t>O</w:t>
      </w:r>
      <w:r>
        <w:rPr>
          <w:iCs/>
        </w:rPr>
        <w:t>n the basis o</w:t>
      </w:r>
      <w:r w:rsidRPr="00D168C4">
        <w:rPr>
          <w:iCs/>
        </w:rPr>
        <w:t>f</w:t>
      </w:r>
      <w:r w:rsidRPr="00D168C4">
        <w:t xml:space="preserve"> Cases 3 and 4 presented in Appendix 1 of Annex I to document </w:t>
      </w:r>
      <w:r w:rsidRPr="00D168C4">
        <w:rPr>
          <w:snapToGrid w:val="0"/>
        </w:rPr>
        <w:t xml:space="preserve">CAJ-AG/11/6/4 </w:t>
      </w:r>
      <w:r w:rsidRPr="00D168C4">
        <w:t>and of paragraphs 9</w:t>
      </w:r>
      <w:r w:rsidRPr="00384E73">
        <w:t xml:space="preserve"> and 10 of document CAJ/60/8</w:t>
      </w:r>
      <w:r>
        <w:t>.</w:t>
      </w:r>
    </w:p>
  </w:footnote>
  <w:footnote w:id="28">
    <w:p w:rsidR="00232C2F" w:rsidRDefault="00232C2F">
      <w:pPr>
        <w:pStyle w:val="FootnoteText"/>
      </w:pPr>
      <w:r>
        <w:rPr>
          <w:rStyle w:val="FootnoteReference"/>
        </w:rPr>
        <w:footnoteRef/>
      </w:r>
      <w:r>
        <w:t xml:space="preserve">  </w:t>
      </w:r>
      <w:r>
        <w:tab/>
      </w:r>
      <w:r>
        <w:rPr>
          <w:snapToGrid w:val="0"/>
        </w:rPr>
        <w:t>Held in Geneva on April 10, 2014.</w:t>
      </w:r>
    </w:p>
  </w:footnote>
  <w:footnote w:id="29">
    <w:p w:rsidR="00232C2F" w:rsidRDefault="00232C2F" w:rsidP="00E831EC">
      <w:pPr>
        <w:pStyle w:val="FootnoteText"/>
      </w:pPr>
      <w:r>
        <w:rPr>
          <w:rStyle w:val="FootnoteReference"/>
        </w:rPr>
        <w:footnoteRef/>
      </w:r>
      <w:r>
        <w:t xml:space="preserve">  </w:t>
      </w:r>
      <w:r>
        <w:tab/>
        <w:t>See document CAJ/69/13 “Report”, paragraph 18.</w:t>
      </w:r>
    </w:p>
  </w:footnote>
  <w:footnote w:id="30">
    <w:p w:rsidR="00232C2F" w:rsidRPr="00E831EC" w:rsidRDefault="00232C2F" w:rsidP="00E831EC">
      <w:pPr>
        <w:pStyle w:val="FootnoteText"/>
      </w:pPr>
      <w:r w:rsidRPr="00E831EC">
        <w:rPr>
          <w:rStyle w:val="FootnoteReference"/>
        </w:rPr>
        <w:footnoteRef/>
      </w:r>
      <w:r w:rsidRPr="00E831EC">
        <w:t xml:space="preserve"> </w:t>
      </w:r>
      <w:r w:rsidRPr="00E831EC">
        <w:tab/>
        <w:t>At its ninth session.</w:t>
      </w:r>
    </w:p>
  </w:footnote>
  <w:footnote w:id="31">
    <w:p w:rsidR="00232C2F" w:rsidRDefault="00232C2F" w:rsidP="00E831EC">
      <w:pPr>
        <w:pStyle w:val="FootnoteText"/>
      </w:pPr>
      <w:r w:rsidRPr="00E831EC">
        <w:rPr>
          <w:rStyle w:val="FootnoteReference"/>
        </w:rPr>
        <w:footnoteRef/>
      </w:r>
      <w:r w:rsidRPr="00E831EC">
        <w:t xml:space="preserve"> </w:t>
      </w:r>
      <w:r w:rsidRPr="00E831EC">
        <w:tab/>
        <w:t>See document CAJ-AG/14/9/6 “Report on the Conclusions”, paragraphs 19 and 20.</w:t>
      </w:r>
    </w:p>
  </w:footnote>
  <w:footnote w:id="32">
    <w:p w:rsidR="00232C2F" w:rsidRPr="00E831EC" w:rsidRDefault="00232C2F" w:rsidP="00E831EC">
      <w:pPr>
        <w:pStyle w:val="FootnoteText"/>
      </w:pPr>
      <w:r w:rsidRPr="00E831EC">
        <w:rPr>
          <w:rStyle w:val="FootnoteReference"/>
        </w:rPr>
        <w:footnoteRef/>
      </w:r>
      <w:r>
        <w:t xml:space="preserve"> </w:t>
      </w:r>
      <w:r>
        <w:tab/>
      </w:r>
      <w:r w:rsidRPr="00E831EC">
        <w:t>At its ninth session.</w:t>
      </w:r>
    </w:p>
  </w:footnote>
  <w:footnote w:id="33">
    <w:p w:rsidR="00232C2F" w:rsidRPr="00E831EC" w:rsidRDefault="00232C2F" w:rsidP="006D15FD">
      <w:pPr>
        <w:pStyle w:val="FootnoteText"/>
        <w:ind w:firstLine="0"/>
      </w:pPr>
      <w:r>
        <w:rPr>
          <w:rStyle w:val="FootnoteReference"/>
        </w:rPr>
        <w:footnoteRef/>
      </w:r>
      <w:r>
        <w:t xml:space="preserve"> </w:t>
      </w:r>
      <w:r w:rsidRPr="00E831EC">
        <w:t>See document CAJ-AG/14/9/6 “Report on the Conclusions”, paragraph 21.</w:t>
      </w:r>
    </w:p>
  </w:footnote>
  <w:footnote w:id="34">
    <w:p w:rsidR="00232C2F" w:rsidRDefault="00232C2F" w:rsidP="00E831EC">
      <w:pPr>
        <w:pStyle w:val="FootnoteText"/>
      </w:pPr>
      <w:r w:rsidRPr="00E831EC">
        <w:rPr>
          <w:rStyle w:val="FootnoteReference"/>
        </w:rPr>
        <w:footnoteRef/>
      </w:r>
      <w:r w:rsidRPr="00E831EC">
        <w:t xml:space="preserve"> </w:t>
      </w:r>
      <w:r>
        <w:tab/>
      </w:r>
      <w:r w:rsidRPr="00E831EC">
        <w:t>See document CAJ-AG/14/9/6 “Report on the Conclusions”, paragraph 22.</w:t>
      </w:r>
    </w:p>
  </w:footnote>
  <w:footnote w:id="35">
    <w:p w:rsidR="00232C2F" w:rsidRPr="00131904" w:rsidRDefault="00232C2F">
      <w:pPr>
        <w:pStyle w:val="FootnoteText"/>
      </w:pPr>
      <w:r w:rsidRPr="00131904">
        <w:rPr>
          <w:rStyle w:val="FootnoteReference"/>
        </w:rPr>
        <w:footnoteRef/>
      </w:r>
      <w:r w:rsidRPr="00131904">
        <w:t xml:space="preserve"> </w:t>
      </w:r>
      <w:r w:rsidRPr="00131904">
        <w:tab/>
        <w:t>A</w:t>
      </w:r>
      <w:r w:rsidRPr="00131904">
        <w:rPr>
          <w:rFonts w:cs="Arial"/>
        </w:rPr>
        <w:t>t its ninth session.</w:t>
      </w:r>
    </w:p>
  </w:footnote>
  <w:footnote w:id="36">
    <w:p w:rsidR="00232C2F" w:rsidRPr="00131904" w:rsidRDefault="00232C2F">
      <w:pPr>
        <w:pStyle w:val="FootnoteText"/>
      </w:pPr>
      <w:r w:rsidRPr="00131904">
        <w:rPr>
          <w:rStyle w:val="FootnoteReference"/>
        </w:rPr>
        <w:footnoteRef/>
      </w:r>
      <w:r w:rsidRPr="00131904">
        <w:t xml:space="preserve"> </w:t>
      </w:r>
      <w:r w:rsidRPr="00131904">
        <w:tab/>
        <w:t>See document CAJ-AG/14/9/6 “Report</w:t>
      </w:r>
      <w:r>
        <w:t xml:space="preserve"> on the Conclusions”, paragraph</w:t>
      </w:r>
      <w:r w:rsidRPr="00131904">
        <w:t xml:space="preserve"> 32.</w:t>
      </w:r>
    </w:p>
  </w:footnote>
  <w:footnote w:id="37">
    <w:p w:rsidR="00232C2F" w:rsidRDefault="00232C2F" w:rsidP="00653017">
      <w:pPr>
        <w:pStyle w:val="FootnoteText"/>
      </w:pPr>
      <w:r w:rsidRPr="00131904">
        <w:rPr>
          <w:rStyle w:val="FootnoteReference"/>
        </w:rPr>
        <w:footnoteRef/>
      </w:r>
      <w:r w:rsidRPr="00131904">
        <w:t xml:space="preserve"> </w:t>
      </w:r>
      <w:r w:rsidRPr="00131904">
        <w:tab/>
        <w:t>See document CAJ/70/10 “Report on the Conclusions”, paragraphs 38 to 41.</w:t>
      </w:r>
    </w:p>
  </w:footnote>
  <w:footnote w:id="38">
    <w:p w:rsidR="00232C2F" w:rsidRPr="00131904" w:rsidRDefault="00232C2F" w:rsidP="006D15FD">
      <w:pPr>
        <w:pStyle w:val="FootnoteText"/>
      </w:pPr>
      <w:r w:rsidRPr="00131904">
        <w:rPr>
          <w:rStyle w:val="FootnoteReference"/>
        </w:rPr>
        <w:footnoteRef/>
      </w:r>
      <w:r w:rsidRPr="00131904">
        <w:t xml:space="preserve"> </w:t>
      </w:r>
      <w:r w:rsidRPr="00131904">
        <w:tab/>
        <w:t xml:space="preserve">See document CAJ-AG/14/9/6 “Report on the </w:t>
      </w:r>
      <w:r>
        <w:t xml:space="preserve">Conclusions”, paragraph </w:t>
      </w:r>
      <w:r w:rsidRPr="00131904">
        <w:t>33.</w:t>
      </w:r>
    </w:p>
  </w:footnote>
  <w:footnote w:id="39">
    <w:p w:rsidR="00232C2F" w:rsidRDefault="00232C2F">
      <w:pPr>
        <w:pStyle w:val="FootnoteText"/>
      </w:pPr>
      <w:r>
        <w:rPr>
          <w:rStyle w:val="FootnoteReference"/>
        </w:rPr>
        <w:footnoteRef/>
      </w:r>
      <w:r>
        <w:t xml:space="preserve"> </w:t>
      </w:r>
      <w:r>
        <w:tab/>
        <w:t xml:space="preserve">Held </w:t>
      </w:r>
      <w:r w:rsidRPr="004B56C9">
        <w:t>in Geneva on October 13, 2014</w:t>
      </w:r>
      <w:r>
        <w:t>.</w:t>
      </w:r>
    </w:p>
  </w:footnote>
  <w:footnote w:id="40">
    <w:p w:rsidR="00232C2F" w:rsidRDefault="00232C2F">
      <w:pPr>
        <w:pStyle w:val="FootnoteText"/>
      </w:pPr>
      <w:r>
        <w:rPr>
          <w:rStyle w:val="FootnoteReference"/>
        </w:rPr>
        <w:footnoteRef/>
      </w:r>
      <w:r>
        <w:t xml:space="preserve"> </w:t>
      </w:r>
      <w:r>
        <w:tab/>
        <w:t xml:space="preserve">Held </w:t>
      </w:r>
      <w:r w:rsidRPr="0095258E">
        <w:t xml:space="preserve"> in Geneva on </w:t>
      </w:r>
      <w:r>
        <w:t>October 16</w:t>
      </w:r>
      <w:r w:rsidRPr="0095258E">
        <w:t>, 201</w:t>
      </w:r>
      <w:r>
        <w:t>4.</w:t>
      </w:r>
    </w:p>
  </w:footnote>
  <w:footnote w:id="41">
    <w:p w:rsidR="00232C2F" w:rsidRDefault="00232C2F" w:rsidP="00461396">
      <w:pPr>
        <w:pStyle w:val="FootnoteText"/>
      </w:pPr>
      <w:r>
        <w:rPr>
          <w:rStyle w:val="FootnoteReference"/>
        </w:rPr>
        <w:footnoteRef/>
      </w:r>
      <w:r>
        <w:t xml:space="preserve"> </w:t>
      </w:r>
      <w:r>
        <w:tab/>
        <w:t xml:space="preserve">Held </w:t>
      </w:r>
      <w:r w:rsidRPr="00247710">
        <w:t xml:space="preserve">in Geneva on October </w:t>
      </w:r>
      <w:r>
        <w:t>15</w:t>
      </w:r>
      <w:r w:rsidRPr="00247710">
        <w:t xml:space="preserve"> and </w:t>
      </w:r>
      <w:r>
        <w:t>16, 2014.</w:t>
      </w:r>
    </w:p>
  </w:footnote>
  <w:footnote w:id="42">
    <w:p w:rsidR="00232C2F" w:rsidRDefault="00232C2F" w:rsidP="00461396">
      <w:pPr>
        <w:pStyle w:val="FootnoteText"/>
      </w:pPr>
      <w:r>
        <w:rPr>
          <w:rStyle w:val="FootnoteReference"/>
        </w:rPr>
        <w:footnoteRef/>
      </w:r>
      <w:r>
        <w:t xml:space="preserve"> </w:t>
      </w:r>
      <w:r>
        <w:tab/>
        <w:t>See document C/48/19, paragraph 61.</w:t>
      </w:r>
    </w:p>
  </w:footnote>
  <w:footnote w:id="43">
    <w:p w:rsidR="00300EE2" w:rsidRDefault="00300EE2" w:rsidP="00300EE2">
      <w:pPr>
        <w:pStyle w:val="FootnoteText"/>
      </w:pPr>
      <w:r>
        <w:rPr>
          <w:rStyle w:val="FootnoteReference"/>
        </w:rPr>
        <w:footnoteRef/>
      </w:r>
      <w:r>
        <w:t xml:space="preserve"> </w:t>
      </w:r>
      <w:r>
        <w:tab/>
        <w:t>Hel on October 13, 2014.</w:t>
      </w:r>
    </w:p>
  </w:footnote>
  <w:footnote w:id="44">
    <w:p w:rsidR="00300EE2" w:rsidRDefault="00300EE2" w:rsidP="00300EE2">
      <w:pPr>
        <w:pStyle w:val="FootnoteText"/>
      </w:pPr>
      <w:r>
        <w:rPr>
          <w:rStyle w:val="FootnoteReference"/>
        </w:rPr>
        <w:footnoteRef/>
      </w:r>
      <w:r>
        <w:t xml:space="preserve"> </w:t>
      </w:r>
      <w:r>
        <w:tab/>
        <w:t>See document CAJ/70/10 “Report on the Conclusions”, paragraph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C2F" w:rsidRDefault="00232C2F">
    <w:pPr>
      <w:jc w:val="center"/>
    </w:pPr>
    <w:r>
      <w:t>CAJ/71/2</w:t>
    </w:r>
  </w:p>
  <w:p w:rsidR="00232C2F" w:rsidRDefault="00232C2F">
    <w:pPr>
      <w:jc w:val="center"/>
    </w:pPr>
    <w:r>
      <w:t xml:space="preserve">page </w:t>
    </w:r>
    <w:r>
      <w:fldChar w:fldCharType="begin"/>
    </w:r>
    <w:r>
      <w:instrText xml:space="preserve"> PAGE  \* MERGEFORMAT </w:instrText>
    </w:r>
    <w:r>
      <w:fldChar w:fldCharType="separate"/>
    </w:r>
    <w:r w:rsidR="00F17514">
      <w:rPr>
        <w:noProof/>
      </w:rPr>
      <w:t>17</w:t>
    </w:r>
    <w:r>
      <w:fldChar w:fldCharType="end"/>
    </w:r>
  </w:p>
  <w:p w:rsidR="00232C2F" w:rsidRDefault="00232C2F">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C2F" w:rsidRPr="00997029" w:rsidRDefault="00232C2F" w:rsidP="00E23920">
    <w:pPr>
      <w:jc w:val="center"/>
      <w:rPr>
        <w:rStyle w:val="PageNumber"/>
      </w:rPr>
    </w:pPr>
    <w:r>
      <w:rPr>
        <w:rStyle w:val="PageNumber"/>
      </w:rPr>
      <w:t>CAJ/71/2</w:t>
    </w:r>
  </w:p>
  <w:p w:rsidR="00232C2F" w:rsidRPr="00997029" w:rsidRDefault="00232C2F" w:rsidP="00E23920">
    <w:pPr>
      <w:jc w:val="center"/>
    </w:pPr>
    <w:r>
      <w:t xml:space="preserve">Annex,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F17514">
      <w:rPr>
        <w:rStyle w:val="PageNumber"/>
        <w:noProof/>
      </w:rPr>
      <w:t>2</w:t>
    </w:r>
    <w:r w:rsidRPr="00997029">
      <w:rPr>
        <w:rStyle w:val="PageNumber"/>
      </w:rPr>
      <w:fldChar w:fldCharType="end"/>
    </w:r>
  </w:p>
  <w:p w:rsidR="00232C2F" w:rsidRPr="00997029" w:rsidRDefault="00232C2F"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03FE"/>
    <w:multiLevelType w:val="hybridMultilevel"/>
    <w:tmpl w:val="C0D2B172"/>
    <w:lvl w:ilvl="0" w:tplc="72628AC2">
      <w:start w:val="1"/>
      <w:numFmt w:val="lowerLetter"/>
      <w:lvlText w:val="(%1)"/>
      <w:lvlJc w:val="left"/>
      <w:pPr>
        <w:ind w:left="6877" w:hanging="360"/>
      </w:pPr>
      <w:rPr>
        <w:rFonts w:hint="default"/>
      </w:rPr>
    </w:lvl>
    <w:lvl w:ilvl="1" w:tplc="04090019">
      <w:start w:val="1"/>
      <w:numFmt w:val="lowerLetter"/>
      <w:lvlText w:val="%2."/>
      <w:lvlJc w:val="left"/>
      <w:pPr>
        <w:ind w:left="7597" w:hanging="360"/>
      </w:pPr>
    </w:lvl>
    <w:lvl w:ilvl="2" w:tplc="0409001B" w:tentative="1">
      <w:start w:val="1"/>
      <w:numFmt w:val="lowerRoman"/>
      <w:lvlText w:val="%3."/>
      <w:lvlJc w:val="right"/>
      <w:pPr>
        <w:ind w:left="8317" w:hanging="180"/>
      </w:pPr>
    </w:lvl>
    <w:lvl w:ilvl="3" w:tplc="0409000F" w:tentative="1">
      <w:start w:val="1"/>
      <w:numFmt w:val="decimal"/>
      <w:lvlText w:val="%4."/>
      <w:lvlJc w:val="left"/>
      <w:pPr>
        <w:ind w:left="9037" w:hanging="360"/>
      </w:pPr>
    </w:lvl>
    <w:lvl w:ilvl="4" w:tplc="04090019" w:tentative="1">
      <w:start w:val="1"/>
      <w:numFmt w:val="lowerLetter"/>
      <w:lvlText w:val="%5."/>
      <w:lvlJc w:val="left"/>
      <w:pPr>
        <w:ind w:left="9757" w:hanging="360"/>
      </w:pPr>
    </w:lvl>
    <w:lvl w:ilvl="5" w:tplc="0409001B" w:tentative="1">
      <w:start w:val="1"/>
      <w:numFmt w:val="lowerRoman"/>
      <w:lvlText w:val="%6."/>
      <w:lvlJc w:val="right"/>
      <w:pPr>
        <w:ind w:left="10477" w:hanging="180"/>
      </w:pPr>
    </w:lvl>
    <w:lvl w:ilvl="6" w:tplc="0409000F" w:tentative="1">
      <w:start w:val="1"/>
      <w:numFmt w:val="decimal"/>
      <w:lvlText w:val="%7."/>
      <w:lvlJc w:val="left"/>
      <w:pPr>
        <w:ind w:left="11197" w:hanging="360"/>
      </w:pPr>
    </w:lvl>
    <w:lvl w:ilvl="7" w:tplc="04090019" w:tentative="1">
      <w:start w:val="1"/>
      <w:numFmt w:val="lowerLetter"/>
      <w:lvlText w:val="%8."/>
      <w:lvlJc w:val="left"/>
      <w:pPr>
        <w:ind w:left="11917" w:hanging="360"/>
      </w:pPr>
    </w:lvl>
    <w:lvl w:ilvl="8" w:tplc="0409001B" w:tentative="1">
      <w:start w:val="1"/>
      <w:numFmt w:val="lowerRoman"/>
      <w:lvlText w:val="%9."/>
      <w:lvlJc w:val="right"/>
      <w:pPr>
        <w:ind w:left="12637" w:hanging="180"/>
      </w:pPr>
    </w:lvl>
  </w:abstractNum>
  <w:abstractNum w:abstractNumId="1">
    <w:nsid w:val="18FE102A"/>
    <w:multiLevelType w:val="hybridMultilevel"/>
    <w:tmpl w:val="1DDE27F2"/>
    <w:lvl w:ilvl="0" w:tplc="6250EDE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CAD79CE"/>
    <w:multiLevelType w:val="hybridMultilevel"/>
    <w:tmpl w:val="F32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D3268D"/>
    <w:multiLevelType w:val="hybridMultilevel"/>
    <w:tmpl w:val="7528F7DA"/>
    <w:lvl w:ilvl="0" w:tplc="F31C057A">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92F8B"/>
    <w:multiLevelType w:val="hybridMultilevel"/>
    <w:tmpl w:val="9C668BE2"/>
    <w:lvl w:ilvl="0" w:tplc="D158AF32">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lowerLette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4B"/>
    <w:rsid w:val="00001380"/>
    <w:rsid w:val="00001D48"/>
    <w:rsid w:val="00006A57"/>
    <w:rsid w:val="00010CF3"/>
    <w:rsid w:val="00011E27"/>
    <w:rsid w:val="00014285"/>
    <w:rsid w:val="000148BC"/>
    <w:rsid w:val="00016155"/>
    <w:rsid w:val="0001630D"/>
    <w:rsid w:val="00024AB8"/>
    <w:rsid w:val="00036028"/>
    <w:rsid w:val="000446B9"/>
    <w:rsid w:val="00047E21"/>
    <w:rsid w:val="000571C2"/>
    <w:rsid w:val="0006472C"/>
    <w:rsid w:val="00072AD8"/>
    <w:rsid w:val="000758CE"/>
    <w:rsid w:val="00075BFC"/>
    <w:rsid w:val="00085505"/>
    <w:rsid w:val="00094E86"/>
    <w:rsid w:val="000C38DC"/>
    <w:rsid w:val="000C7021"/>
    <w:rsid w:val="000D492E"/>
    <w:rsid w:val="000D6BBC"/>
    <w:rsid w:val="000D7780"/>
    <w:rsid w:val="00105929"/>
    <w:rsid w:val="00110481"/>
    <w:rsid w:val="001131D5"/>
    <w:rsid w:val="00131904"/>
    <w:rsid w:val="00137CB4"/>
    <w:rsid w:val="00141DB8"/>
    <w:rsid w:val="00155F6F"/>
    <w:rsid w:val="00171C6B"/>
    <w:rsid w:val="0017474A"/>
    <w:rsid w:val="001758C6"/>
    <w:rsid w:val="00197FE8"/>
    <w:rsid w:val="001C20A6"/>
    <w:rsid w:val="001C3DF3"/>
    <w:rsid w:val="001C7E73"/>
    <w:rsid w:val="001F1F2A"/>
    <w:rsid w:val="0021332C"/>
    <w:rsid w:val="00213982"/>
    <w:rsid w:val="00232C2F"/>
    <w:rsid w:val="00237C7D"/>
    <w:rsid w:val="0024416D"/>
    <w:rsid w:val="0024570C"/>
    <w:rsid w:val="0027309C"/>
    <w:rsid w:val="002800A0"/>
    <w:rsid w:val="00280209"/>
    <w:rsid w:val="00280480"/>
    <w:rsid w:val="00281060"/>
    <w:rsid w:val="00281AC7"/>
    <w:rsid w:val="0029439F"/>
    <w:rsid w:val="002A2583"/>
    <w:rsid w:val="002A4B49"/>
    <w:rsid w:val="002A6E50"/>
    <w:rsid w:val="002C256A"/>
    <w:rsid w:val="002E7BA1"/>
    <w:rsid w:val="002F78FA"/>
    <w:rsid w:val="00300EE2"/>
    <w:rsid w:val="00301B66"/>
    <w:rsid w:val="00305A7F"/>
    <w:rsid w:val="003152FE"/>
    <w:rsid w:val="00327436"/>
    <w:rsid w:val="00344BD6"/>
    <w:rsid w:val="0035528D"/>
    <w:rsid w:val="00361821"/>
    <w:rsid w:val="003A17C8"/>
    <w:rsid w:val="003B2467"/>
    <w:rsid w:val="003C563E"/>
    <w:rsid w:val="003D227C"/>
    <w:rsid w:val="003D2B4D"/>
    <w:rsid w:val="003F6136"/>
    <w:rsid w:val="0041524B"/>
    <w:rsid w:val="004224C1"/>
    <w:rsid w:val="00427139"/>
    <w:rsid w:val="00444A88"/>
    <w:rsid w:val="00461396"/>
    <w:rsid w:val="00474DA4"/>
    <w:rsid w:val="0049520C"/>
    <w:rsid w:val="004967C5"/>
    <w:rsid w:val="004C152A"/>
    <w:rsid w:val="004C4C27"/>
    <w:rsid w:val="004D047D"/>
    <w:rsid w:val="004D7B6E"/>
    <w:rsid w:val="004F305A"/>
    <w:rsid w:val="0050638A"/>
    <w:rsid w:val="00507A1B"/>
    <w:rsid w:val="00512164"/>
    <w:rsid w:val="00520297"/>
    <w:rsid w:val="005338F9"/>
    <w:rsid w:val="0054281C"/>
    <w:rsid w:val="0055142A"/>
    <w:rsid w:val="00551E76"/>
    <w:rsid w:val="0055268D"/>
    <w:rsid w:val="00565994"/>
    <w:rsid w:val="00572E44"/>
    <w:rsid w:val="00576BE4"/>
    <w:rsid w:val="005A400A"/>
    <w:rsid w:val="005B11B9"/>
    <w:rsid w:val="00612379"/>
    <w:rsid w:val="0061555F"/>
    <w:rsid w:val="00641200"/>
    <w:rsid w:val="00642940"/>
    <w:rsid w:val="00645F46"/>
    <w:rsid w:val="00653017"/>
    <w:rsid w:val="00653C88"/>
    <w:rsid w:val="00663ED8"/>
    <w:rsid w:val="00664515"/>
    <w:rsid w:val="00687EB4"/>
    <w:rsid w:val="006B17D2"/>
    <w:rsid w:val="006B45FA"/>
    <w:rsid w:val="006C224E"/>
    <w:rsid w:val="006D15FD"/>
    <w:rsid w:val="006F4AC2"/>
    <w:rsid w:val="00732DEC"/>
    <w:rsid w:val="00735BD5"/>
    <w:rsid w:val="0073787A"/>
    <w:rsid w:val="0075117E"/>
    <w:rsid w:val="007556F6"/>
    <w:rsid w:val="00760EEF"/>
    <w:rsid w:val="00777EE5"/>
    <w:rsid w:val="00784836"/>
    <w:rsid w:val="0079023E"/>
    <w:rsid w:val="007B6894"/>
    <w:rsid w:val="007C6639"/>
    <w:rsid w:val="007D0B9D"/>
    <w:rsid w:val="007D19B0"/>
    <w:rsid w:val="007F0390"/>
    <w:rsid w:val="007F498F"/>
    <w:rsid w:val="0080410A"/>
    <w:rsid w:val="0080679D"/>
    <w:rsid w:val="008108B0"/>
    <w:rsid w:val="00811B20"/>
    <w:rsid w:val="0082296E"/>
    <w:rsid w:val="00824099"/>
    <w:rsid w:val="00826164"/>
    <w:rsid w:val="00827F80"/>
    <w:rsid w:val="00836E88"/>
    <w:rsid w:val="00855DBD"/>
    <w:rsid w:val="008668E7"/>
    <w:rsid w:val="00867AC1"/>
    <w:rsid w:val="00871677"/>
    <w:rsid w:val="00890BA2"/>
    <w:rsid w:val="00891783"/>
    <w:rsid w:val="008A03AB"/>
    <w:rsid w:val="008A1D4E"/>
    <w:rsid w:val="008A395B"/>
    <w:rsid w:val="008A743F"/>
    <w:rsid w:val="008B51D0"/>
    <w:rsid w:val="008C0970"/>
    <w:rsid w:val="008D2CF7"/>
    <w:rsid w:val="008E620D"/>
    <w:rsid w:val="008E793E"/>
    <w:rsid w:val="008F1D00"/>
    <w:rsid w:val="00900C26"/>
    <w:rsid w:val="0090197F"/>
    <w:rsid w:val="00906DDC"/>
    <w:rsid w:val="00934E09"/>
    <w:rsid w:val="00936253"/>
    <w:rsid w:val="009612F3"/>
    <w:rsid w:val="009642CF"/>
    <w:rsid w:val="00970FED"/>
    <w:rsid w:val="00987A0D"/>
    <w:rsid w:val="00996234"/>
    <w:rsid w:val="00997029"/>
    <w:rsid w:val="009C44BE"/>
    <w:rsid w:val="009D0DE5"/>
    <w:rsid w:val="009D690D"/>
    <w:rsid w:val="009E65B6"/>
    <w:rsid w:val="00A42AC3"/>
    <w:rsid w:val="00A430CF"/>
    <w:rsid w:val="00A54309"/>
    <w:rsid w:val="00A6466B"/>
    <w:rsid w:val="00A776DE"/>
    <w:rsid w:val="00AA420B"/>
    <w:rsid w:val="00AB2B93"/>
    <w:rsid w:val="00AB6E5A"/>
    <w:rsid w:val="00AE0EF1"/>
    <w:rsid w:val="00B07301"/>
    <w:rsid w:val="00B20B9F"/>
    <w:rsid w:val="00B224DE"/>
    <w:rsid w:val="00B5113F"/>
    <w:rsid w:val="00B520F2"/>
    <w:rsid w:val="00B84BBD"/>
    <w:rsid w:val="00B93B31"/>
    <w:rsid w:val="00BA43FB"/>
    <w:rsid w:val="00BC127D"/>
    <w:rsid w:val="00BC1FE6"/>
    <w:rsid w:val="00BD4C24"/>
    <w:rsid w:val="00BE53FD"/>
    <w:rsid w:val="00BF62AE"/>
    <w:rsid w:val="00C061B6"/>
    <w:rsid w:val="00C21DBF"/>
    <w:rsid w:val="00C2446C"/>
    <w:rsid w:val="00C36AE5"/>
    <w:rsid w:val="00C41F17"/>
    <w:rsid w:val="00C54BF4"/>
    <w:rsid w:val="00C5791C"/>
    <w:rsid w:val="00C66290"/>
    <w:rsid w:val="00C72B7A"/>
    <w:rsid w:val="00C973F2"/>
    <w:rsid w:val="00CA0D73"/>
    <w:rsid w:val="00CA29F7"/>
    <w:rsid w:val="00CA774A"/>
    <w:rsid w:val="00CC11B0"/>
    <w:rsid w:val="00CF15C3"/>
    <w:rsid w:val="00CF689E"/>
    <w:rsid w:val="00CF7E36"/>
    <w:rsid w:val="00D21C53"/>
    <w:rsid w:val="00D233D8"/>
    <w:rsid w:val="00D24210"/>
    <w:rsid w:val="00D3708D"/>
    <w:rsid w:val="00D40426"/>
    <w:rsid w:val="00D56ED3"/>
    <w:rsid w:val="00D57C96"/>
    <w:rsid w:val="00D82782"/>
    <w:rsid w:val="00D91203"/>
    <w:rsid w:val="00D95174"/>
    <w:rsid w:val="00D95A5C"/>
    <w:rsid w:val="00DA6F36"/>
    <w:rsid w:val="00DB09CA"/>
    <w:rsid w:val="00DC00EA"/>
    <w:rsid w:val="00DC173A"/>
    <w:rsid w:val="00DF2A30"/>
    <w:rsid w:val="00E0473C"/>
    <w:rsid w:val="00E23920"/>
    <w:rsid w:val="00E2596B"/>
    <w:rsid w:val="00E42E66"/>
    <w:rsid w:val="00E60612"/>
    <w:rsid w:val="00E6094F"/>
    <w:rsid w:val="00E72D49"/>
    <w:rsid w:val="00E7593C"/>
    <w:rsid w:val="00E7678A"/>
    <w:rsid w:val="00E773CC"/>
    <w:rsid w:val="00E831EC"/>
    <w:rsid w:val="00E935F1"/>
    <w:rsid w:val="00E94A81"/>
    <w:rsid w:val="00EA1FFB"/>
    <w:rsid w:val="00EB048E"/>
    <w:rsid w:val="00EB3EFA"/>
    <w:rsid w:val="00EF2F89"/>
    <w:rsid w:val="00F04DEB"/>
    <w:rsid w:val="00F1237A"/>
    <w:rsid w:val="00F17514"/>
    <w:rsid w:val="00F22CBD"/>
    <w:rsid w:val="00F32866"/>
    <w:rsid w:val="00F37961"/>
    <w:rsid w:val="00F4074C"/>
    <w:rsid w:val="00F6334D"/>
    <w:rsid w:val="00F753A6"/>
    <w:rsid w:val="00FA49AB"/>
    <w:rsid w:val="00FB0D37"/>
    <w:rsid w:val="00FD12E1"/>
    <w:rsid w:val="00FD2F4F"/>
    <w:rsid w:val="00FE39C7"/>
    <w:rsid w:val="00FE4AF3"/>
    <w:rsid w:val="00FE7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E831EC"/>
    <w:pPr>
      <w:keepNext/>
      <w:jc w:val="both"/>
      <w:outlineLvl w:val="1"/>
    </w:pPr>
    <w:rPr>
      <w:rFonts w:ascii="Arial" w:hAnsi="Arial"/>
      <w:snapToGrid w:val="0"/>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232C2F"/>
    <w:pPr>
      <w:tabs>
        <w:tab w:val="right" w:leader="dot" w:pos="9639"/>
      </w:tabs>
      <w:spacing w:after="60"/>
      <w:ind w:left="284" w:right="851"/>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507A1B"/>
    <w:pPr>
      <w:tabs>
        <w:tab w:val="right" w:leader="dot" w:pos="9639"/>
      </w:tabs>
      <w:spacing w:after="120"/>
      <w:ind w:right="992"/>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9612F3"/>
    <w:rPr>
      <w:rFonts w:ascii="Arial" w:hAnsi="Arial"/>
      <w:i/>
    </w:rPr>
  </w:style>
  <w:style w:type="character" w:customStyle="1" w:styleId="FootnoteTextChar">
    <w:name w:val="Footnote Text Char"/>
    <w:link w:val="FootnoteText"/>
    <w:rsid w:val="009612F3"/>
    <w:rPr>
      <w:rFonts w:ascii="Arial" w:hAnsi="Arial"/>
      <w:sz w:val="16"/>
    </w:rPr>
  </w:style>
  <w:style w:type="character" w:customStyle="1" w:styleId="Heading1Char">
    <w:name w:val="Heading 1 Char"/>
    <w:basedOn w:val="DefaultParagraphFont"/>
    <w:link w:val="Heading1"/>
    <w:rsid w:val="009612F3"/>
    <w:rPr>
      <w:rFonts w:ascii="Arial" w:hAnsi="Arial"/>
      <w:caps/>
    </w:rPr>
  </w:style>
  <w:style w:type="paragraph" w:styleId="ListParagraph">
    <w:name w:val="List Paragraph"/>
    <w:basedOn w:val="Normal"/>
    <w:uiPriority w:val="34"/>
    <w:qFormat/>
    <w:rsid w:val="009612F3"/>
    <w:pPr>
      <w:ind w:left="720"/>
      <w:contextualSpacing/>
    </w:pPr>
  </w:style>
  <w:style w:type="character" w:customStyle="1" w:styleId="Heading2Char">
    <w:name w:val="Heading 2 Char"/>
    <w:link w:val="Heading2"/>
    <w:rsid w:val="00E831EC"/>
    <w:rPr>
      <w:rFonts w:ascii="Arial" w:hAnsi="Arial"/>
      <w:snapToGrid w:val="0"/>
      <w:u w:val="single"/>
    </w:rPr>
  </w:style>
  <w:style w:type="paragraph" w:customStyle="1" w:styleId="Style1">
    <w:name w:val="Style1"/>
    <w:basedOn w:val="Normal"/>
    <w:rsid w:val="00E2596B"/>
    <w:pPr>
      <w:tabs>
        <w:tab w:val="decimal" w:pos="907"/>
        <w:tab w:val="left" w:pos="1077"/>
      </w:tabs>
    </w:pPr>
    <w:rPr>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E831EC"/>
    <w:pPr>
      <w:keepNext/>
      <w:jc w:val="both"/>
      <w:outlineLvl w:val="1"/>
    </w:pPr>
    <w:rPr>
      <w:rFonts w:ascii="Arial" w:hAnsi="Arial"/>
      <w:snapToGrid w:val="0"/>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232C2F"/>
    <w:pPr>
      <w:tabs>
        <w:tab w:val="right" w:leader="dot" w:pos="9639"/>
      </w:tabs>
      <w:spacing w:after="60"/>
      <w:ind w:left="284" w:right="851"/>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507A1B"/>
    <w:pPr>
      <w:tabs>
        <w:tab w:val="right" w:leader="dot" w:pos="9639"/>
      </w:tabs>
      <w:spacing w:after="120"/>
      <w:ind w:right="992"/>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9612F3"/>
    <w:rPr>
      <w:rFonts w:ascii="Arial" w:hAnsi="Arial"/>
      <w:i/>
    </w:rPr>
  </w:style>
  <w:style w:type="character" w:customStyle="1" w:styleId="FootnoteTextChar">
    <w:name w:val="Footnote Text Char"/>
    <w:link w:val="FootnoteText"/>
    <w:rsid w:val="009612F3"/>
    <w:rPr>
      <w:rFonts w:ascii="Arial" w:hAnsi="Arial"/>
      <w:sz w:val="16"/>
    </w:rPr>
  </w:style>
  <w:style w:type="character" w:customStyle="1" w:styleId="Heading1Char">
    <w:name w:val="Heading 1 Char"/>
    <w:basedOn w:val="DefaultParagraphFont"/>
    <w:link w:val="Heading1"/>
    <w:rsid w:val="009612F3"/>
    <w:rPr>
      <w:rFonts w:ascii="Arial" w:hAnsi="Arial"/>
      <w:caps/>
    </w:rPr>
  </w:style>
  <w:style w:type="paragraph" w:styleId="ListParagraph">
    <w:name w:val="List Paragraph"/>
    <w:basedOn w:val="Normal"/>
    <w:uiPriority w:val="34"/>
    <w:qFormat/>
    <w:rsid w:val="009612F3"/>
    <w:pPr>
      <w:ind w:left="720"/>
      <w:contextualSpacing/>
    </w:pPr>
  </w:style>
  <w:style w:type="character" w:customStyle="1" w:styleId="Heading2Char">
    <w:name w:val="Heading 2 Char"/>
    <w:link w:val="Heading2"/>
    <w:rsid w:val="00E831EC"/>
    <w:rPr>
      <w:rFonts w:ascii="Arial" w:hAnsi="Arial"/>
      <w:snapToGrid w:val="0"/>
      <w:u w:val="single"/>
    </w:rPr>
  </w:style>
  <w:style w:type="paragraph" w:customStyle="1" w:styleId="Style1">
    <w:name w:val="Style1"/>
    <w:basedOn w:val="Normal"/>
    <w:rsid w:val="00E2596B"/>
    <w:pPr>
      <w:tabs>
        <w:tab w:val="decimal" w:pos="907"/>
        <w:tab w:val="left" w:pos="1077"/>
      </w:tabs>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71\templates\CAJ_7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C6E74-0ACC-472B-8343-8BBAA2F5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CAJ_71_EN.dotx</Template>
  <TotalTime>389</TotalTime>
  <Pages>19</Pages>
  <Words>7421</Words>
  <Characters>42549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49871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lastModifiedBy>BESSE Ariane</cp:lastModifiedBy>
  <cp:revision>18</cp:revision>
  <cp:lastPrinted>2015-03-02T16:54:00Z</cp:lastPrinted>
  <dcterms:created xsi:type="dcterms:W3CDTF">2015-02-26T08:40:00Z</dcterms:created>
  <dcterms:modified xsi:type="dcterms:W3CDTF">2015-03-02T16:55:00Z</dcterms:modified>
</cp:coreProperties>
</file>