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4230D9" w:rsidP="007D0B9D">
            <w:pPr>
              <w:rPr>
                <w:lang w:eastAsia="ja-JP"/>
              </w:rPr>
            </w:pPr>
            <w:r>
              <w:rPr>
                <w:rFonts w:hint="eastAsia"/>
                <w:lang w:eastAsia="ja-JP"/>
              </w:rPr>
              <w:t xml:space="preserve"> </w:t>
            </w:r>
          </w:p>
        </w:tc>
        <w:tc>
          <w:tcPr>
            <w:tcW w:w="1646" w:type="dxa"/>
            <w:vAlign w:val="center"/>
          </w:tcPr>
          <w:p w:rsidR="000D7780" w:rsidRPr="00576BE4" w:rsidRDefault="00110481" w:rsidP="00576BE4">
            <w:pPr>
              <w:pStyle w:val="LogoUPOV"/>
            </w:pPr>
            <w:r>
              <w:rPr>
                <w:noProof/>
              </w:rPr>
              <w:drawing>
                <wp:inline distT="0" distB="0" distL="0" distR="0" wp14:anchorId="3F643CAB" wp14:editId="03783B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184441" w:rsidRDefault="0024416D" w:rsidP="00576BE4">
            <w:pPr>
              <w:pStyle w:val="Lettrine"/>
            </w:pPr>
            <w:r w:rsidRPr="00184441">
              <w:t>E</w:t>
            </w:r>
          </w:p>
          <w:p w:rsidR="000D7780" w:rsidRPr="00184441" w:rsidRDefault="0083091D" w:rsidP="00474DA4">
            <w:pPr>
              <w:pStyle w:val="Docoriginal"/>
              <w:jc w:val="left"/>
            </w:pPr>
            <w:r>
              <w:t>CAJ/70</w:t>
            </w:r>
            <w:r w:rsidR="00EB3EFA" w:rsidRPr="00184441">
              <w:t>/</w:t>
            </w:r>
            <w:bookmarkStart w:id="0" w:name="Code"/>
            <w:bookmarkEnd w:id="0"/>
            <w:r w:rsidR="00BB3070">
              <w:t>6</w:t>
            </w:r>
          </w:p>
          <w:p w:rsidR="000D7780" w:rsidRPr="00184441" w:rsidRDefault="0061555F" w:rsidP="00474DA4">
            <w:pPr>
              <w:pStyle w:val="Docoriginal"/>
              <w:jc w:val="left"/>
            </w:pPr>
            <w:r w:rsidRPr="00184441">
              <w:rPr>
                <w:rStyle w:val="StyleDoclangBold"/>
                <w:b/>
                <w:bCs/>
                <w:spacing w:val="0"/>
              </w:rPr>
              <w:t>ORIGINAL</w:t>
            </w:r>
            <w:r w:rsidR="000D7780" w:rsidRPr="00184441">
              <w:rPr>
                <w:rStyle w:val="StyleDoclangBold"/>
                <w:b/>
                <w:bCs/>
                <w:spacing w:val="0"/>
              </w:rPr>
              <w:t>:</w:t>
            </w:r>
            <w:r w:rsidRPr="00184441">
              <w:rPr>
                <w:rStyle w:val="StyleDocoriginalNotBold1"/>
                <w:spacing w:val="0"/>
              </w:rPr>
              <w:t xml:space="preserve"> </w:t>
            </w:r>
            <w:r w:rsidR="000D7780" w:rsidRPr="00184441">
              <w:rPr>
                <w:rStyle w:val="StyleDocoriginalNotBold1"/>
                <w:spacing w:val="0"/>
              </w:rPr>
              <w:t xml:space="preserve"> </w:t>
            </w:r>
            <w:bookmarkStart w:id="1" w:name="Original"/>
            <w:bookmarkEnd w:id="1"/>
            <w:r w:rsidR="0024416D" w:rsidRPr="00184441">
              <w:rPr>
                <w:b w:val="0"/>
                <w:spacing w:val="0"/>
              </w:rPr>
              <w:t>English</w:t>
            </w:r>
          </w:p>
          <w:p w:rsidR="000D7780" w:rsidRPr="00EB3EFA" w:rsidRDefault="000D7780" w:rsidP="0052048F">
            <w:pPr>
              <w:pStyle w:val="Docoriginal"/>
              <w:jc w:val="left"/>
              <w:rPr>
                <w:b w:val="0"/>
                <w:spacing w:val="0"/>
                <w:highlight w:val="cyan"/>
              </w:rPr>
            </w:pPr>
            <w:r w:rsidRPr="00184441">
              <w:rPr>
                <w:spacing w:val="0"/>
              </w:rPr>
              <w:t>DATE:</w:t>
            </w:r>
            <w:r w:rsidR="0061555F" w:rsidRPr="00184441">
              <w:rPr>
                <w:b w:val="0"/>
                <w:spacing w:val="0"/>
              </w:rPr>
              <w:t xml:space="preserve"> </w:t>
            </w:r>
            <w:r w:rsidRPr="00184441">
              <w:rPr>
                <w:rStyle w:val="StyleDocoriginalNotBold1"/>
                <w:spacing w:val="0"/>
              </w:rPr>
              <w:t xml:space="preserve"> </w:t>
            </w:r>
            <w:bookmarkStart w:id="2" w:name="Date"/>
            <w:bookmarkEnd w:id="2"/>
            <w:r w:rsidR="0052048F">
              <w:rPr>
                <w:rStyle w:val="StyleDocoriginalNotBold1"/>
                <w:spacing w:val="0"/>
                <w:lang w:eastAsia="ja-JP"/>
              </w:rPr>
              <w:t>August</w:t>
            </w:r>
            <w:r w:rsidR="000F1B08">
              <w:rPr>
                <w:rStyle w:val="StyleDocoriginalNotBold1"/>
                <w:rFonts w:hint="eastAsia"/>
                <w:spacing w:val="0"/>
                <w:lang w:eastAsia="ja-JP"/>
              </w:rPr>
              <w:t xml:space="preserve"> </w:t>
            </w:r>
            <w:r w:rsidR="0052048F">
              <w:rPr>
                <w:rStyle w:val="StyleDocoriginalNotBold1"/>
                <w:spacing w:val="0"/>
                <w:lang w:eastAsia="ja-JP"/>
              </w:rPr>
              <w:t>6</w:t>
            </w:r>
            <w:bookmarkStart w:id="3" w:name="_GoBack"/>
            <w:bookmarkEnd w:id="3"/>
            <w:r w:rsidR="0024416D" w:rsidRPr="00184441">
              <w:rPr>
                <w:b w:val="0"/>
                <w:spacing w:val="0"/>
              </w:rPr>
              <w:t xml:space="preserve">, </w:t>
            </w:r>
            <w:r w:rsidR="001131D5" w:rsidRPr="00184441">
              <w:rPr>
                <w:b w:val="0"/>
                <w:spacing w:val="0"/>
              </w:rPr>
              <w:t>201</w:t>
            </w:r>
            <w:r w:rsidR="0042336E" w:rsidRPr="00184441">
              <w:rPr>
                <w:b w:val="0"/>
                <w:spacing w:val="0"/>
              </w:rPr>
              <w:t>4</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B24781" w:rsidRPr="00997029" w:rsidRDefault="00B24781" w:rsidP="00B24781">
      <w:pPr>
        <w:pStyle w:val="Sessiontcplacedate"/>
      </w:pPr>
      <w:bookmarkStart w:id="4" w:name="TitleOfDoc"/>
      <w:bookmarkEnd w:id="4"/>
      <w:r>
        <w:t>Seventieth Session</w:t>
      </w:r>
      <w:r w:rsidRPr="00997029">
        <w:br/>
      </w:r>
      <w:r>
        <w:t>Geneva, October 13, 2014</w:t>
      </w:r>
    </w:p>
    <w:p w:rsidR="000D7780" w:rsidRPr="00997029" w:rsidRDefault="00377348" w:rsidP="0080679D">
      <w:pPr>
        <w:pStyle w:val="Titleofdoc0"/>
      </w:pPr>
      <w:r w:rsidRPr="0042336E">
        <w:rPr>
          <w:kern w:val="28"/>
        </w:rPr>
        <w:t>Molecular techniques</w:t>
      </w:r>
    </w:p>
    <w:p w:rsidR="000D7780" w:rsidRPr="00997029" w:rsidRDefault="00AE0EF1" w:rsidP="0080679D">
      <w:pPr>
        <w:pStyle w:val="preparedby1"/>
      </w:pPr>
      <w:bookmarkStart w:id="5" w:name="Prepared"/>
      <w:bookmarkEnd w:id="5"/>
      <w:r w:rsidRPr="0042336E">
        <w:t xml:space="preserve">Document </w:t>
      </w:r>
      <w:r w:rsidR="0061555F" w:rsidRPr="0042336E">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bookmarkStart w:id="6" w:name="_Toc374716168"/>
    <w:p w:rsidR="0042336E" w:rsidRPr="0042336E" w:rsidRDefault="0042336E" w:rsidP="00536B92">
      <w:r w:rsidRPr="0042336E">
        <w:fldChar w:fldCharType="begin"/>
      </w:r>
      <w:r w:rsidRPr="0042336E">
        <w:instrText xml:space="preserve"> AUTONUM  </w:instrText>
      </w:r>
      <w:r w:rsidRPr="0042336E">
        <w:fldChar w:fldCharType="end"/>
      </w:r>
      <w:r w:rsidRPr="0042336E">
        <w:tab/>
        <w:t>The purpose of this document is to report on developments concerning the</w:t>
      </w:r>
      <w:r w:rsidR="00536B92">
        <w:rPr>
          <w:rFonts w:hint="eastAsia"/>
          <w:lang w:eastAsia="ja-JP"/>
        </w:rPr>
        <w:t xml:space="preserve"> </w:t>
      </w:r>
      <w:r w:rsidRPr="0042336E">
        <w:t>presentation of information on the situation in UPOV with regard to the use of molecular</w:t>
      </w:r>
      <w:r w:rsidR="00536B92">
        <w:rPr>
          <w:rFonts w:hint="eastAsia"/>
          <w:lang w:eastAsia="ja-JP"/>
        </w:rPr>
        <w:t xml:space="preserve"> </w:t>
      </w:r>
      <w:r w:rsidRPr="0042336E">
        <w:t>techniques to a wider audience, including breeders and the public in general.</w:t>
      </w:r>
      <w:bookmarkEnd w:id="6"/>
    </w:p>
    <w:p w:rsidR="0042336E" w:rsidRPr="0042336E" w:rsidRDefault="0042336E" w:rsidP="0042336E"/>
    <w:p w:rsidR="0042336E" w:rsidRPr="0042336E" w:rsidRDefault="0042336E" w:rsidP="0042336E">
      <w:pPr>
        <w:keepNext/>
        <w:rPr>
          <w:color w:val="000000"/>
        </w:rPr>
      </w:pPr>
      <w:r w:rsidRPr="0042336E">
        <w:fldChar w:fldCharType="begin"/>
      </w:r>
      <w:r w:rsidRPr="0042336E">
        <w:instrText xml:space="preserve"> AUTONUM  </w:instrText>
      </w:r>
      <w:r w:rsidRPr="0042336E">
        <w:fldChar w:fldCharType="end"/>
      </w:r>
      <w:r w:rsidRPr="0042336E">
        <w:tab/>
      </w:r>
      <w:r w:rsidRPr="0042336E">
        <w:rPr>
          <w:color w:val="000000"/>
        </w:rPr>
        <w:t>The following abbreviations are used in this document:</w:t>
      </w:r>
    </w:p>
    <w:p w:rsidR="0042336E" w:rsidRPr="0042336E" w:rsidRDefault="0042336E" w:rsidP="0042336E">
      <w:pPr>
        <w:keepNext/>
        <w:ind w:left="1692" w:hanging="1125"/>
        <w:jc w:val="left"/>
        <w:rPr>
          <w:color w:val="000000"/>
        </w:rPr>
      </w:pPr>
    </w:p>
    <w:p w:rsidR="0042336E" w:rsidRDefault="0042336E" w:rsidP="0042336E">
      <w:pPr>
        <w:keepNext/>
        <w:tabs>
          <w:tab w:val="left" w:pos="567"/>
          <w:tab w:val="left" w:pos="1701"/>
        </w:tabs>
        <w:ind w:firstLine="567"/>
      </w:pPr>
      <w:r w:rsidRPr="0042336E">
        <w:t>CAJ:</w:t>
      </w:r>
      <w:r w:rsidRPr="0042336E">
        <w:tab/>
        <w:t>Administrative and Legal Committee</w:t>
      </w:r>
    </w:p>
    <w:p w:rsidR="005718B2" w:rsidRDefault="0042336E" w:rsidP="00E5341B">
      <w:pPr>
        <w:keepNext/>
        <w:tabs>
          <w:tab w:val="left" w:pos="567"/>
          <w:tab w:val="left" w:pos="1701"/>
        </w:tabs>
        <w:ind w:firstLine="567"/>
        <w:rPr>
          <w:snapToGrid w:val="0"/>
          <w:lang w:eastAsia="ja-JP"/>
        </w:rPr>
      </w:pPr>
      <w:r w:rsidRPr="0042336E">
        <w:t>TC:</w:t>
      </w:r>
      <w:r w:rsidRPr="0042336E">
        <w:tab/>
        <w:t>Technical Committee</w:t>
      </w:r>
    </w:p>
    <w:p w:rsidR="005718B2" w:rsidRDefault="005718B2" w:rsidP="00392142">
      <w:pPr>
        <w:rPr>
          <w:snapToGrid w:val="0"/>
          <w:lang w:eastAsia="ja-JP"/>
        </w:rPr>
      </w:pPr>
    </w:p>
    <w:p w:rsidR="0042336E" w:rsidRPr="00A95CB2" w:rsidRDefault="0042336E" w:rsidP="00474443">
      <w:pPr>
        <w:rPr>
          <w:spacing w:val="-2"/>
          <w:lang w:eastAsia="ja-JP"/>
        </w:rPr>
      </w:pPr>
    </w:p>
    <w:p w:rsidR="0042336E" w:rsidRPr="00A95CB2" w:rsidRDefault="0042336E" w:rsidP="0042336E">
      <w:pPr>
        <w:keepNext/>
        <w:outlineLvl w:val="0"/>
        <w:rPr>
          <w:caps/>
          <w:spacing w:val="2"/>
        </w:rPr>
      </w:pPr>
      <w:r w:rsidRPr="00A95CB2">
        <w:rPr>
          <w:caps/>
          <w:spacing w:val="2"/>
        </w:rPr>
        <w:t>Presentation of information on the situation in UPOV with regard to the use of molecular techniques to a wider audience, including breeders and the public in general</w:t>
      </w:r>
    </w:p>
    <w:p w:rsidR="0042336E" w:rsidRPr="0042336E" w:rsidRDefault="0042336E" w:rsidP="00392142">
      <w:pPr>
        <w:keepNext/>
      </w:pPr>
    </w:p>
    <w:p w:rsidR="0042336E" w:rsidRPr="0042336E" w:rsidRDefault="0042336E" w:rsidP="0042336E">
      <w:r w:rsidRPr="0042336E">
        <w:fldChar w:fldCharType="begin"/>
      </w:r>
      <w:r w:rsidRPr="0042336E">
        <w:instrText xml:space="preserve"> AUTONUM  </w:instrText>
      </w:r>
      <w:r w:rsidRPr="0042336E">
        <w:fldChar w:fldCharType="end"/>
      </w:r>
      <w:r w:rsidRPr="0042336E">
        <w:tab/>
        <w:t>The TC, at its forty-ninth session, held in Geneva from March 18 to 20, 2013, 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 (see document TC/49/41 “Report on the Conclusions”, paragraph 136).</w:t>
      </w:r>
    </w:p>
    <w:p w:rsidR="0042336E" w:rsidRPr="0042336E" w:rsidRDefault="0042336E" w:rsidP="0042336E"/>
    <w:p w:rsidR="007F7E40" w:rsidRDefault="0042336E" w:rsidP="0042336E">
      <w:r w:rsidRPr="0042336E">
        <w:fldChar w:fldCharType="begin"/>
      </w:r>
      <w:r w:rsidRPr="0042336E">
        <w:instrText xml:space="preserve"> AUTONUM  </w:instrText>
      </w:r>
      <w:r w:rsidRPr="0042336E">
        <w:fldChar w:fldCharType="end"/>
      </w:r>
      <w:r w:rsidRPr="0042336E">
        <w:tab/>
        <w:t xml:space="preserve">The </w:t>
      </w:r>
      <w:r w:rsidR="005718B2">
        <w:t>Consultative Committee</w:t>
      </w:r>
      <w:r w:rsidRPr="0042336E">
        <w:t xml:space="preserve">, at its eighty-sixth session, held in Geneva on October 23 and 24, 2013, considered a series of answers to frequently asked questions. One of the questions included was “does UPOV allow molecular techniques (DNA profiles) in the DUS examination?” In that regard the </w:t>
      </w:r>
      <w:r w:rsidR="005718B2">
        <w:t>Consultative Committee</w:t>
      </w:r>
      <w:r w:rsidR="005718B2" w:rsidRPr="0042336E">
        <w:t xml:space="preserve"> </w:t>
      </w:r>
      <w:r w:rsidRPr="0042336E">
        <w:t>agreed that the answer should be developed via the TC.</w:t>
      </w:r>
    </w:p>
    <w:p w:rsidR="00C04569" w:rsidRDefault="00C04569" w:rsidP="0042336E">
      <w:pPr>
        <w:rPr>
          <w:lang w:eastAsia="ja-JP"/>
        </w:rPr>
      </w:pPr>
    </w:p>
    <w:p w:rsidR="00E5341B" w:rsidRDefault="00E5341B" w:rsidP="00E5341B">
      <w:r w:rsidRPr="00A52651">
        <w:fldChar w:fldCharType="begin"/>
      </w:r>
      <w:r w:rsidRPr="00A52651">
        <w:instrText xml:space="preserve"> AUTONUM  </w:instrText>
      </w:r>
      <w:r w:rsidRPr="00A52651">
        <w:fldChar w:fldCharType="end"/>
      </w:r>
      <w:r w:rsidRPr="00A52651">
        <w:tab/>
        <w:t>The TC</w:t>
      </w:r>
      <w:r>
        <w:rPr>
          <w:rFonts w:hint="eastAsia"/>
          <w:lang w:eastAsia="ja-JP"/>
        </w:rPr>
        <w:t>, at its fiftieth session, held in Geneva from April</w:t>
      </w:r>
      <w:r w:rsidR="003462B1">
        <w:rPr>
          <w:lang w:eastAsia="ja-JP"/>
        </w:rPr>
        <w:t xml:space="preserve"> </w:t>
      </w:r>
      <w:r>
        <w:rPr>
          <w:rFonts w:hint="eastAsia"/>
          <w:lang w:eastAsia="ja-JP"/>
        </w:rPr>
        <w:t>7 to 9, 2014,</w:t>
      </w:r>
      <w:r w:rsidRPr="00A52651">
        <w:t xml:space="preserve"> agreed that the </w:t>
      </w:r>
      <w:r>
        <w:rPr>
          <w:rFonts w:hint="eastAsia"/>
          <w:lang w:eastAsia="ja-JP"/>
        </w:rPr>
        <w:t xml:space="preserve">following </w:t>
      </w:r>
      <w:r w:rsidRPr="00A52651">
        <w:t>explanation provided suitable information on the situation in UPOV with regard to the use of molecular techniques for breeders</w:t>
      </w:r>
      <w:r>
        <w:t xml:space="preserve"> and persons with knowledge of DUS testing</w:t>
      </w:r>
      <w:r w:rsidR="0009558E">
        <w:rPr>
          <w:rFonts w:hint="eastAsia"/>
          <w:lang w:eastAsia="ja-JP"/>
        </w:rPr>
        <w:t xml:space="preserve"> (see document TC/50/36 </w:t>
      </w:r>
      <w:r w:rsidR="0009558E">
        <w:rPr>
          <w:lang w:eastAsia="ja-JP"/>
        </w:rPr>
        <w:t>“</w:t>
      </w:r>
      <w:r w:rsidR="0009558E">
        <w:rPr>
          <w:rFonts w:hint="eastAsia"/>
          <w:lang w:eastAsia="ja-JP"/>
        </w:rPr>
        <w:t>report on the Conclusions</w:t>
      </w:r>
      <w:r w:rsidR="0009558E">
        <w:rPr>
          <w:lang w:eastAsia="ja-JP"/>
        </w:rPr>
        <w:t>”</w:t>
      </w:r>
      <w:r w:rsidR="0009558E">
        <w:rPr>
          <w:rFonts w:hint="eastAsia"/>
          <w:lang w:eastAsia="ja-JP"/>
        </w:rPr>
        <w:t>, paragraph 84)</w:t>
      </w:r>
      <w:r w:rsidRPr="00A52651">
        <w:t>:</w:t>
      </w:r>
    </w:p>
    <w:p w:rsidR="00262ED3" w:rsidRDefault="00262ED3" w:rsidP="00E5341B">
      <w:pPr>
        <w:rPr>
          <w:lang w:eastAsia="ja-JP"/>
        </w:rPr>
      </w:pPr>
    </w:p>
    <w:p w:rsidR="00E5341B" w:rsidRPr="007C25BD" w:rsidRDefault="00E5341B" w:rsidP="00E5341B">
      <w:pPr>
        <w:ind w:left="567" w:right="567"/>
      </w:pPr>
      <w:r w:rsidRPr="007C25BD">
        <w:rPr>
          <w:rFonts w:cs="Arial"/>
        </w:rPr>
        <w:t xml:space="preserve">Question: </w:t>
      </w:r>
      <w:r>
        <w:rPr>
          <w:rFonts w:cs="Arial"/>
        </w:rPr>
        <w:t xml:space="preserve"> </w:t>
      </w:r>
      <w:r w:rsidRPr="007C25BD">
        <w:rPr>
          <w:rFonts w:cs="Arial"/>
        </w:rPr>
        <w:t>Does UPOV allow molecular techniques (DNA profiles) in the DUS examination?</w:t>
      </w:r>
    </w:p>
    <w:p w:rsidR="00E5341B" w:rsidRPr="007C25BD" w:rsidRDefault="00E5341B" w:rsidP="00E5341B">
      <w:pPr>
        <w:ind w:left="567" w:right="567"/>
      </w:pPr>
    </w:p>
    <w:p w:rsidR="00E5341B" w:rsidRPr="004E36C9" w:rsidRDefault="00E5341B" w:rsidP="004E36C9">
      <w:pPr>
        <w:spacing w:after="240"/>
        <w:ind w:left="567" w:right="567"/>
        <w:rPr>
          <w:snapToGrid w:val="0"/>
          <w:spacing w:val="-2"/>
        </w:rPr>
      </w:pPr>
      <w:r w:rsidRPr="004E36C9">
        <w:rPr>
          <w:spacing w:val="-2"/>
        </w:rPr>
        <w:t>Answer:  “I</w:t>
      </w:r>
      <w:r w:rsidRPr="004E36C9">
        <w:rPr>
          <w:snapToGrid w:val="0"/>
          <w:spacing w:val="-2"/>
        </w:rPr>
        <w:t>t is important to note that, in some cases, varieties may have a different DNA profile but be</w:t>
      </w:r>
      <w:r w:rsidRPr="004E36C9">
        <w:rPr>
          <w:rFonts w:hint="eastAsia"/>
          <w:snapToGrid w:val="0"/>
          <w:spacing w:val="-2"/>
          <w:lang w:eastAsia="ja-JP"/>
        </w:rPr>
        <w:t xml:space="preserve"> </w:t>
      </w:r>
      <w:r w:rsidRPr="004E36C9">
        <w:rPr>
          <w:snapToGrid w:val="0"/>
          <w:spacing w:val="-2"/>
        </w:rPr>
        <w:t>phenotypically</w:t>
      </w:r>
      <w:r w:rsidRPr="004E36C9" w:rsidDel="00A76B44">
        <w:rPr>
          <w:snapToGrid w:val="0"/>
          <w:spacing w:val="-2"/>
        </w:rPr>
        <w:t xml:space="preserve"> </w:t>
      </w:r>
      <w:r w:rsidRPr="004E36C9">
        <w:rPr>
          <w:snapToGrid w:val="0"/>
          <w:spacing w:val="-2"/>
        </w:rPr>
        <w:t>identical, whilst, in other cases, varieties which have a large phenotypic difference may have the same DNA profile for a particular set of molecular markers (e.g. some mutations).</w:t>
      </w:r>
    </w:p>
    <w:p w:rsidR="00E5341B" w:rsidRPr="00E5341B" w:rsidRDefault="00E5341B" w:rsidP="00E5341B">
      <w:pPr>
        <w:ind w:left="567" w:right="567"/>
        <w:rPr>
          <w:snapToGrid w:val="0"/>
        </w:rPr>
      </w:pPr>
      <w:r w:rsidRPr="007C25BD">
        <w:rPr>
          <w:snapToGrid w:val="0"/>
        </w:rPr>
        <w:lastRenderedPageBreak/>
        <w:t xml:space="preserve">“In relation to the </w:t>
      </w:r>
      <w:r w:rsidRPr="00E5341B">
        <w:rPr>
          <w:snapToGrid w:val="0"/>
        </w:rPr>
        <w:t>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E5341B" w:rsidRPr="00E5341B" w:rsidRDefault="00E5341B" w:rsidP="00E5341B">
      <w:pPr>
        <w:ind w:left="567" w:right="567"/>
        <w:rPr>
          <w:snapToGrid w:val="0"/>
        </w:rPr>
      </w:pPr>
    </w:p>
    <w:p w:rsidR="00E5341B" w:rsidRPr="007C25BD" w:rsidRDefault="00E5341B" w:rsidP="00E5341B">
      <w:pPr>
        <w:ind w:left="567" w:right="567"/>
        <w:rPr>
          <w:snapToGrid w:val="0"/>
        </w:rPr>
      </w:pPr>
      <w:r w:rsidRPr="007C25BD">
        <w:rPr>
          <w:snapToGrid w:val="0"/>
        </w:rPr>
        <w:t xml:space="preserve">“On the above basis, UPOV has agreed the following uses of molecular markers in relation to DUS examination: </w:t>
      </w:r>
    </w:p>
    <w:p w:rsidR="00E5341B" w:rsidRPr="007C25BD" w:rsidRDefault="00E5341B" w:rsidP="00E5341B">
      <w:pPr>
        <w:ind w:left="567" w:right="567"/>
        <w:rPr>
          <w:snapToGrid w:val="0"/>
        </w:rPr>
      </w:pPr>
    </w:p>
    <w:p w:rsidR="00E5341B" w:rsidRPr="00E5341B" w:rsidRDefault="00E5341B" w:rsidP="00E5341B">
      <w:pPr>
        <w:ind w:left="567" w:right="567"/>
        <w:rPr>
          <w:snapToGrid w:val="0"/>
        </w:rPr>
      </w:pPr>
      <w:r w:rsidRPr="00E5341B">
        <w:rPr>
          <w:snapToGrid w:val="0"/>
        </w:rPr>
        <w:t>“(</w:t>
      </w:r>
      <w:proofErr w:type="gramStart"/>
      <w:r w:rsidRPr="00E5341B">
        <w:rPr>
          <w:snapToGrid w:val="0"/>
        </w:rPr>
        <w:t>a</w:t>
      </w:r>
      <w:proofErr w:type="gramEnd"/>
      <w:r w:rsidRPr="00E5341B">
        <w:rPr>
          <w:snapToGrid w:val="0"/>
        </w:rPr>
        <w:t>)</w:t>
      </w:r>
      <w:r w:rsidRPr="00E5341B">
        <w:rPr>
          <w:snapToGrid w:val="0"/>
        </w:rPr>
        <w:tab/>
        <w:t xml:space="preserve">Molecular markers can be used as a method of examining DUS characteristics that satisfy the criteria for characteristics set out in the General Introduction if there is a reliable link between the marker and the characteristic. </w:t>
      </w:r>
    </w:p>
    <w:p w:rsidR="00E5341B" w:rsidRPr="00E5341B" w:rsidRDefault="00E5341B" w:rsidP="00E5341B">
      <w:pPr>
        <w:ind w:left="567" w:right="567"/>
        <w:rPr>
          <w:snapToGrid w:val="0"/>
        </w:rPr>
      </w:pPr>
    </w:p>
    <w:p w:rsidR="00E5341B" w:rsidRPr="007C25BD" w:rsidRDefault="00E5341B" w:rsidP="00E5341B">
      <w:pPr>
        <w:ind w:left="567" w:right="567"/>
        <w:rPr>
          <w:snapToGrid w:val="0"/>
        </w:rPr>
      </w:pPr>
      <w:r w:rsidRPr="00E5341B">
        <w:rPr>
          <w:snapToGrid w:val="0"/>
        </w:rPr>
        <w:t>“(b)</w:t>
      </w:r>
      <w:r w:rsidRPr="00E5341B">
        <w:rPr>
          <w:snapToGrid w:val="0"/>
        </w:rPr>
        <w:tab/>
        <w:t>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
    <w:p w:rsidR="00E5341B" w:rsidRPr="007C25BD" w:rsidRDefault="00E5341B" w:rsidP="00E5341B">
      <w:pPr>
        <w:ind w:left="567" w:right="567"/>
        <w:rPr>
          <w:snapToGrid w:val="0"/>
        </w:rPr>
      </w:pPr>
    </w:p>
    <w:p w:rsidR="00E5341B" w:rsidRPr="007C25BD" w:rsidRDefault="00E5341B" w:rsidP="00E5341B">
      <w:pPr>
        <w:ind w:left="567" w:right="567"/>
        <w:rPr>
          <w:snapToGrid w:val="0"/>
        </w:rPr>
      </w:pPr>
      <w:r w:rsidRPr="007C25BD">
        <w:rPr>
          <w:snapToGrid w:val="0"/>
        </w:rPr>
        <w:t xml:space="preserve">“The situation in UPOV is explained in documents </w:t>
      </w:r>
      <w:r w:rsidRPr="007C25BD">
        <w:rPr>
          <w:rFonts w:cs="Arial"/>
        </w:rPr>
        <w:t xml:space="preserve">TGP/15 </w:t>
      </w:r>
      <w:r>
        <w:rPr>
          <w:rFonts w:cs="Arial"/>
        </w:rPr>
        <w:t>‘</w:t>
      </w:r>
      <w:r w:rsidRPr="007C25BD">
        <w:t>Guidance on the Use of Biochemical and Molecular Markers in the Examination of Distinctness,</w:t>
      </w:r>
      <w:r>
        <w:t xml:space="preserve"> Uniformity and Stability (DUS)’</w:t>
      </w:r>
      <w:r w:rsidRPr="007C25BD">
        <w:t xml:space="preserve"> and UPOV/INF/18 </w:t>
      </w:r>
      <w:r>
        <w:t>‘</w:t>
      </w:r>
      <w:r w:rsidRPr="007C25BD">
        <w:t>Possible use of Molecular Markers in the Examination of Distinctness, Uniformity and Stability (DUS)</w:t>
      </w:r>
      <w:r>
        <w:t>’”</w:t>
      </w:r>
      <w:r w:rsidRPr="007C25BD">
        <w:t>.</w:t>
      </w:r>
      <w:r w:rsidRPr="007C25BD">
        <w:rPr>
          <w:rFonts w:cs="Arial"/>
        </w:rPr>
        <w:t xml:space="preserve"> </w:t>
      </w:r>
    </w:p>
    <w:p w:rsidR="00E5341B" w:rsidRDefault="00E5341B" w:rsidP="00E5341B"/>
    <w:p w:rsidR="00E5341B" w:rsidRPr="00A52651" w:rsidRDefault="00E5341B" w:rsidP="00E5341B">
      <w:r w:rsidRPr="00A52651">
        <w:fldChar w:fldCharType="begin"/>
      </w:r>
      <w:r w:rsidRPr="00A52651">
        <w:instrText xml:space="preserve"> AUTONUM  </w:instrText>
      </w:r>
      <w:r w:rsidRPr="00A52651">
        <w:fldChar w:fldCharType="end"/>
      </w:r>
      <w:r w:rsidRPr="00A52651">
        <w:tab/>
        <w:t>With regard to a wider audience, the TC agreed that the question was not framed in an appropriate way and, therefore, it would not be appropriate to seek to develop an answer to that question. The TC agreed that the question should be rephrased after clarification of the issues of interest to a wider audience</w:t>
      </w:r>
      <w:r w:rsidR="0009558E">
        <w:rPr>
          <w:rFonts w:hint="eastAsia"/>
          <w:lang w:eastAsia="ja-JP"/>
        </w:rPr>
        <w:t xml:space="preserve"> (see document TC/50/36 </w:t>
      </w:r>
      <w:r w:rsidR="0009558E">
        <w:rPr>
          <w:lang w:eastAsia="ja-JP"/>
        </w:rPr>
        <w:t>“</w:t>
      </w:r>
      <w:r w:rsidR="000F1B08">
        <w:rPr>
          <w:rFonts w:hint="eastAsia"/>
          <w:lang w:eastAsia="ja-JP"/>
        </w:rPr>
        <w:t>R</w:t>
      </w:r>
      <w:r w:rsidR="0009558E">
        <w:rPr>
          <w:rFonts w:hint="eastAsia"/>
          <w:lang w:eastAsia="ja-JP"/>
        </w:rPr>
        <w:t>eport on the Conclusions</w:t>
      </w:r>
      <w:r w:rsidR="0009558E">
        <w:rPr>
          <w:lang w:eastAsia="ja-JP"/>
        </w:rPr>
        <w:t>”</w:t>
      </w:r>
      <w:r w:rsidR="0009558E">
        <w:rPr>
          <w:rFonts w:hint="eastAsia"/>
          <w:lang w:eastAsia="ja-JP"/>
        </w:rPr>
        <w:t>, paragraph 85)</w:t>
      </w:r>
      <w:r w:rsidRPr="00A52651">
        <w:t>.</w:t>
      </w:r>
    </w:p>
    <w:p w:rsidR="001D21BA" w:rsidRDefault="001D21BA" w:rsidP="0042336E">
      <w:pPr>
        <w:rPr>
          <w:lang w:eastAsia="ja-JP"/>
        </w:rPr>
      </w:pPr>
    </w:p>
    <w:p w:rsidR="00E5341B" w:rsidRPr="00652577" w:rsidRDefault="00233C01" w:rsidP="0042336E">
      <w:pPr>
        <w:rPr>
          <w:lang w:eastAsia="ja-JP"/>
        </w:rPr>
      </w:pPr>
      <w:r w:rsidRPr="00652577">
        <w:fldChar w:fldCharType="begin"/>
      </w:r>
      <w:r w:rsidRPr="00652577">
        <w:instrText xml:space="preserve"> AUTONUM  </w:instrText>
      </w:r>
      <w:r w:rsidRPr="00652577">
        <w:fldChar w:fldCharType="end"/>
      </w:r>
      <w:r w:rsidRPr="00652577">
        <w:tab/>
      </w:r>
      <w:r w:rsidRPr="00652577">
        <w:rPr>
          <w:rFonts w:hint="eastAsia"/>
          <w:lang w:eastAsia="ja-JP"/>
        </w:rPr>
        <w:t xml:space="preserve">At its sixty-ninth session, </w:t>
      </w:r>
      <w:r w:rsidR="00652577" w:rsidRPr="00652577">
        <w:rPr>
          <w:rFonts w:hint="eastAsia"/>
          <w:lang w:eastAsia="ja-JP"/>
        </w:rPr>
        <w:t xml:space="preserve">held in </w:t>
      </w:r>
      <w:r w:rsidR="00652577" w:rsidRPr="00652577">
        <w:t>Geneva on April 1</w:t>
      </w:r>
      <w:r w:rsidR="00652577" w:rsidRPr="00652577">
        <w:rPr>
          <w:rFonts w:hint="eastAsia"/>
          <w:lang w:eastAsia="ja-JP"/>
        </w:rPr>
        <w:t>0</w:t>
      </w:r>
      <w:r w:rsidR="00652577" w:rsidRPr="00652577">
        <w:t xml:space="preserve">, 2014, </w:t>
      </w:r>
      <w:r w:rsidRPr="00652577">
        <w:rPr>
          <w:rFonts w:hint="eastAsia"/>
          <w:lang w:eastAsia="ja-JP"/>
        </w:rPr>
        <w:t>the CAJ noted the explanation proposed by the TC at its fiftieth session</w:t>
      </w:r>
      <w:r w:rsidR="001D21BA" w:rsidRPr="00652577">
        <w:rPr>
          <w:rFonts w:hint="eastAsia"/>
          <w:lang w:eastAsia="ja-JP"/>
        </w:rPr>
        <w:t>.</w:t>
      </w:r>
    </w:p>
    <w:p w:rsidR="00E5341B" w:rsidRPr="00652577" w:rsidRDefault="00E5341B" w:rsidP="00C04569">
      <w:pPr>
        <w:rPr>
          <w:lang w:eastAsia="ja-JP"/>
        </w:rPr>
      </w:pPr>
    </w:p>
    <w:p w:rsidR="00146185" w:rsidRDefault="00146185" w:rsidP="00146185">
      <w:pPr>
        <w:rPr>
          <w:rFonts w:cs="Arial"/>
          <w:sz w:val="19"/>
          <w:szCs w:val="19"/>
          <w:lang w:eastAsia="ja-JP"/>
        </w:rPr>
      </w:pPr>
      <w:r>
        <w:fldChar w:fldCharType="begin"/>
      </w:r>
      <w:r>
        <w:instrText xml:space="preserve"> AUTONUM  </w:instrText>
      </w:r>
      <w:r>
        <w:fldChar w:fldCharType="end"/>
      </w:r>
      <w:r w:rsidR="00536B92">
        <w:tab/>
        <w:t>T</w:t>
      </w:r>
      <w:r>
        <w:rPr>
          <w:rFonts w:cs="Arial"/>
          <w:sz w:val="19"/>
          <w:szCs w:val="19"/>
        </w:rPr>
        <w:t>he Council</w:t>
      </w:r>
      <w:r>
        <w:t xml:space="preserve">, at its thirty-first extraordinary session, held in Geneva on April 11, 2014, </w:t>
      </w:r>
      <w:r>
        <w:rPr>
          <w:rFonts w:cs="Arial"/>
          <w:sz w:val="19"/>
          <w:szCs w:val="19"/>
        </w:rPr>
        <w:t>adopted the answer to the frequently asked question</w:t>
      </w:r>
      <w:r w:rsidR="004230D9">
        <w:rPr>
          <w:rFonts w:cs="Arial" w:hint="eastAsia"/>
          <w:sz w:val="19"/>
          <w:szCs w:val="19"/>
          <w:lang w:eastAsia="ja-JP"/>
        </w:rPr>
        <w:t xml:space="preserve"> </w:t>
      </w:r>
      <w:r w:rsidR="00E5341B">
        <w:rPr>
          <w:rFonts w:cs="Arial" w:hint="eastAsia"/>
          <w:sz w:val="19"/>
          <w:szCs w:val="19"/>
          <w:lang w:eastAsia="ja-JP"/>
        </w:rPr>
        <w:t xml:space="preserve">proposed by the TC at its fiftieth session </w:t>
      </w:r>
      <w:r w:rsidR="004230D9">
        <w:rPr>
          <w:rFonts w:cs="Arial" w:hint="eastAsia"/>
          <w:sz w:val="19"/>
          <w:szCs w:val="19"/>
          <w:lang w:eastAsia="ja-JP"/>
        </w:rPr>
        <w:t>(see document</w:t>
      </w:r>
      <w:r w:rsidR="00652577">
        <w:rPr>
          <w:rFonts w:cs="Arial" w:hint="eastAsia"/>
          <w:sz w:val="19"/>
          <w:szCs w:val="19"/>
          <w:lang w:eastAsia="ja-JP"/>
        </w:rPr>
        <w:t>s</w:t>
      </w:r>
      <w:r w:rsidR="004230D9">
        <w:rPr>
          <w:rFonts w:cs="Arial" w:hint="eastAsia"/>
          <w:sz w:val="19"/>
          <w:szCs w:val="19"/>
          <w:lang w:eastAsia="ja-JP"/>
        </w:rPr>
        <w:t xml:space="preserve"> </w:t>
      </w:r>
      <w:r w:rsidR="005718B2" w:rsidRPr="005718B2">
        <w:rPr>
          <w:rFonts w:cs="Arial"/>
          <w:sz w:val="19"/>
          <w:szCs w:val="19"/>
          <w:lang w:eastAsia="ja-JP"/>
        </w:rPr>
        <w:t xml:space="preserve">Annex to document </w:t>
      </w:r>
      <w:proofErr w:type="gramStart"/>
      <w:r w:rsidR="005718B2" w:rsidRPr="005718B2">
        <w:rPr>
          <w:rFonts w:cs="Arial"/>
          <w:sz w:val="19"/>
          <w:szCs w:val="19"/>
          <w:lang w:eastAsia="ja-JP"/>
        </w:rPr>
        <w:t>C(</w:t>
      </w:r>
      <w:proofErr w:type="spellStart"/>
      <w:proofErr w:type="gramEnd"/>
      <w:r w:rsidR="005718B2" w:rsidRPr="005718B2">
        <w:rPr>
          <w:rFonts w:cs="Arial"/>
          <w:sz w:val="19"/>
          <w:szCs w:val="19"/>
          <w:lang w:eastAsia="ja-JP"/>
        </w:rPr>
        <w:t>Extr</w:t>
      </w:r>
      <w:proofErr w:type="spellEnd"/>
      <w:r w:rsidR="005718B2" w:rsidRPr="005718B2">
        <w:rPr>
          <w:rFonts w:cs="Arial"/>
          <w:sz w:val="19"/>
          <w:szCs w:val="19"/>
          <w:lang w:eastAsia="ja-JP"/>
        </w:rPr>
        <w:t>.)/31/3</w:t>
      </w:r>
      <w:r w:rsidR="005718B2">
        <w:rPr>
          <w:rFonts w:cs="Arial" w:hint="eastAsia"/>
          <w:sz w:val="19"/>
          <w:szCs w:val="19"/>
          <w:lang w:eastAsia="ja-JP"/>
        </w:rPr>
        <w:t xml:space="preserve"> </w:t>
      </w:r>
      <w:r w:rsidR="005718B2">
        <w:rPr>
          <w:rFonts w:cs="Arial"/>
          <w:sz w:val="19"/>
          <w:szCs w:val="19"/>
          <w:lang w:eastAsia="ja-JP"/>
        </w:rPr>
        <w:t>“</w:t>
      </w:r>
      <w:r w:rsidR="004E36C9" w:rsidRPr="004D65EE">
        <w:t>Report by the President on the work of the eighty-seventh session of the Consultative</w:t>
      </w:r>
      <w:r w:rsidR="004E36C9">
        <w:t xml:space="preserve"> </w:t>
      </w:r>
      <w:r w:rsidR="004E36C9" w:rsidRPr="004D65EE">
        <w:t>Committee</w:t>
      </w:r>
      <w:proofErr w:type="gramStart"/>
      <w:r w:rsidR="004E36C9" w:rsidRPr="004D65EE">
        <w:t>;  adoption</w:t>
      </w:r>
      <w:proofErr w:type="gramEnd"/>
      <w:r w:rsidR="004E36C9" w:rsidRPr="004D65EE">
        <w:t xml:space="preserve"> of recommendations, if any, prepared by that Committee</w:t>
      </w:r>
      <w:r w:rsidR="005718B2">
        <w:rPr>
          <w:rFonts w:cs="Arial"/>
          <w:sz w:val="19"/>
          <w:szCs w:val="19"/>
          <w:lang w:eastAsia="ja-JP"/>
        </w:rPr>
        <w:t>”</w:t>
      </w:r>
      <w:r w:rsidR="005718B2">
        <w:rPr>
          <w:rFonts w:cs="Arial" w:hint="eastAsia"/>
          <w:sz w:val="19"/>
          <w:szCs w:val="19"/>
          <w:lang w:eastAsia="ja-JP"/>
        </w:rPr>
        <w:t xml:space="preserve"> and </w:t>
      </w:r>
      <w:r w:rsidR="004230D9">
        <w:rPr>
          <w:rFonts w:cs="Arial" w:hint="eastAsia"/>
          <w:sz w:val="19"/>
          <w:szCs w:val="19"/>
          <w:lang w:eastAsia="ja-JP"/>
        </w:rPr>
        <w:t>C(</w:t>
      </w:r>
      <w:proofErr w:type="spellStart"/>
      <w:r w:rsidR="004230D9">
        <w:rPr>
          <w:rFonts w:cs="Arial" w:hint="eastAsia"/>
          <w:sz w:val="19"/>
          <w:szCs w:val="19"/>
          <w:lang w:eastAsia="ja-JP"/>
        </w:rPr>
        <w:t>Extr</w:t>
      </w:r>
      <w:proofErr w:type="spellEnd"/>
      <w:r w:rsidR="004230D9">
        <w:rPr>
          <w:rFonts w:cs="Arial" w:hint="eastAsia"/>
          <w:sz w:val="19"/>
          <w:szCs w:val="19"/>
          <w:lang w:eastAsia="ja-JP"/>
        </w:rPr>
        <w:t>.)/31/5</w:t>
      </w:r>
      <w:r w:rsidR="00536B92">
        <w:rPr>
          <w:rFonts w:cs="Arial" w:hint="eastAsia"/>
          <w:sz w:val="19"/>
          <w:szCs w:val="19"/>
          <w:lang w:eastAsia="ja-JP"/>
        </w:rPr>
        <w:t xml:space="preserve"> </w:t>
      </w:r>
      <w:r w:rsidR="00536B92">
        <w:rPr>
          <w:rFonts w:cs="Arial"/>
          <w:sz w:val="19"/>
          <w:szCs w:val="19"/>
          <w:lang w:eastAsia="ja-JP"/>
        </w:rPr>
        <w:t>“</w:t>
      </w:r>
      <w:r w:rsidR="00536B92">
        <w:rPr>
          <w:rFonts w:cs="Arial" w:hint="eastAsia"/>
          <w:sz w:val="19"/>
          <w:szCs w:val="19"/>
          <w:lang w:eastAsia="ja-JP"/>
        </w:rPr>
        <w:t>Report</w:t>
      </w:r>
      <w:r w:rsidR="005718B2">
        <w:rPr>
          <w:rFonts w:cs="Arial" w:hint="eastAsia"/>
          <w:sz w:val="19"/>
          <w:szCs w:val="19"/>
          <w:lang w:eastAsia="ja-JP"/>
        </w:rPr>
        <w:t xml:space="preserve"> on the Decision</w:t>
      </w:r>
      <w:r w:rsidR="000F1B08">
        <w:rPr>
          <w:rFonts w:cs="Arial" w:hint="eastAsia"/>
          <w:sz w:val="19"/>
          <w:szCs w:val="19"/>
          <w:lang w:eastAsia="ja-JP"/>
        </w:rPr>
        <w:t>s</w:t>
      </w:r>
      <w:r w:rsidR="00536B92">
        <w:rPr>
          <w:rFonts w:cs="Arial"/>
          <w:sz w:val="19"/>
          <w:szCs w:val="19"/>
          <w:lang w:eastAsia="ja-JP"/>
        </w:rPr>
        <w:t>”</w:t>
      </w:r>
      <w:r w:rsidR="004230D9">
        <w:rPr>
          <w:rFonts w:cs="Arial" w:hint="eastAsia"/>
          <w:sz w:val="19"/>
          <w:szCs w:val="19"/>
          <w:lang w:eastAsia="ja-JP"/>
        </w:rPr>
        <w:t>, paragraph 15)</w:t>
      </w:r>
      <w:r>
        <w:rPr>
          <w:rFonts w:cs="Arial"/>
          <w:sz w:val="19"/>
          <w:szCs w:val="19"/>
        </w:rPr>
        <w:t>.</w:t>
      </w:r>
    </w:p>
    <w:p w:rsidR="00536B92" w:rsidRDefault="00536B92" w:rsidP="00146185">
      <w:pPr>
        <w:rPr>
          <w:rFonts w:cs="Arial"/>
          <w:sz w:val="19"/>
          <w:szCs w:val="19"/>
          <w:lang w:eastAsia="ja-JP"/>
        </w:rPr>
      </w:pPr>
    </w:p>
    <w:p w:rsidR="005207BC" w:rsidRDefault="005207BC" w:rsidP="005207BC">
      <w:pPr>
        <w:rPr>
          <w:lang w:eastAsia="ja-JP"/>
        </w:rPr>
      </w:pPr>
      <w:r>
        <w:fldChar w:fldCharType="begin"/>
      </w:r>
      <w:r>
        <w:instrText xml:space="preserve"> AUTONUM  </w:instrText>
      </w:r>
      <w:r>
        <w:fldChar w:fldCharType="end"/>
      </w:r>
      <w:r>
        <w:tab/>
        <w:t xml:space="preserve">The </w:t>
      </w:r>
      <w:r w:rsidR="00BA53E3">
        <w:t>Consultative Committee</w:t>
      </w:r>
      <w:r w:rsidR="00E5341B">
        <w:rPr>
          <w:rFonts w:hint="eastAsia"/>
          <w:lang w:eastAsia="ja-JP"/>
        </w:rPr>
        <w:t xml:space="preserve">, at its eighty-seventh session, held in </w:t>
      </w:r>
      <w:r w:rsidR="00E5341B">
        <w:t>Geneva on April 11, 2014,</w:t>
      </w:r>
      <w:r w:rsidR="00BA53E3">
        <w:t xml:space="preserve"> </w:t>
      </w:r>
      <w:r>
        <w:t xml:space="preserve">requested the </w:t>
      </w:r>
      <w:r w:rsidRPr="00F41032">
        <w:t>Office of the Union</w:t>
      </w:r>
      <w:r w:rsidR="00262ED3">
        <w:t xml:space="preserve"> </w:t>
      </w:r>
      <w:r>
        <w:t xml:space="preserve">to prepare </w:t>
      </w:r>
      <w:r w:rsidR="00652577">
        <w:rPr>
          <w:rFonts w:hint="eastAsia"/>
          <w:lang w:eastAsia="ja-JP"/>
        </w:rPr>
        <w:t xml:space="preserve">a </w:t>
      </w:r>
      <w:r>
        <w:t>draft question and answer</w:t>
      </w:r>
      <w:r w:rsidR="000F1B08">
        <w:rPr>
          <w:rFonts w:hint="eastAsia"/>
          <w:lang w:eastAsia="ja-JP"/>
        </w:rPr>
        <w:t xml:space="preserve"> </w:t>
      </w:r>
      <w:r w:rsidR="004E36C9">
        <w:rPr>
          <w:lang w:eastAsia="ja-JP"/>
        </w:rPr>
        <w:t>w</w:t>
      </w:r>
      <w:r>
        <w:t xml:space="preserve">ith regard to the </w:t>
      </w:r>
      <w:r w:rsidRPr="00233FA7">
        <w:t xml:space="preserve">information on the situation in UPOV with regard to the use of molecular techniques </w:t>
      </w:r>
      <w:r>
        <w:t>for</w:t>
      </w:r>
      <w:r w:rsidRPr="00233FA7">
        <w:t xml:space="preserve"> a wider audience, including</w:t>
      </w:r>
      <w:r>
        <w:t xml:space="preserve"> </w:t>
      </w:r>
      <w:r w:rsidRPr="00233FA7">
        <w:t>the public in general</w:t>
      </w:r>
      <w:r>
        <w:t>, on the basis of contributions from the members of the Union</w:t>
      </w:r>
      <w:r>
        <w:rPr>
          <w:rFonts w:hint="eastAsia"/>
          <w:lang w:eastAsia="ja-JP"/>
        </w:rPr>
        <w:t>.</w:t>
      </w:r>
      <w:r w:rsidR="00652577">
        <w:rPr>
          <w:rFonts w:hint="eastAsia"/>
          <w:lang w:eastAsia="ja-JP"/>
        </w:rPr>
        <w:t xml:space="preserve">  The draft question and answer will be considered by the Consultative Committee, at its eighty-eighth session, to be held in Geneva on October 15, 2014.</w:t>
      </w:r>
    </w:p>
    <w:p w:rsidR="00146185" w:rsidRDefault="00146185" w:rsidP="00146185"/>
    <w:p w:rsidR="001D21BA" w:rsidRPr="00262ED3" w:rsidRDefault="0042336E" w:rsidP="00341FDE">
      <w:pPr>
        <w:tabs>
          <w:tab w:val="left" w:pos="5387"/>
          <w:tab w:val="left" w:pos="5954"/>
        </w:tabs>
        <w:ind w:left="4820"/>
        <w:rPr>
          <w:i/>
          <w:lang w:eastAsia="ja-JP"/>
        </w:rPr>
      </w:pPr>
      <w:r w:rsidRPr="00292027">
        <w:rPr>
          <w:i/>
          <w:iCs/>
        </w:rPr>
        <w:fldChar w:fldCharType="begin"/>
      </w:r>
      <w:r w:rsidRPr="00292027">
        <w:rPr>
          <w:i/>
          <w:iCs/>
        </w:rPr>
        <w:instrText xml:space="preserve"> AUTONUM  </w:instrText>
      </w:r>
      <w:r w:rsidRPr="00292027">
        <w:rPr>
          <w:i/>
          <w:iCs/>
        </w:rPr>
        <w:fldChar w:fldCharType="end"/>
      </w:r>
      <w:r w:rsidRPr="00292027">
        <w:rPr>
          <w:i/>
          <w:iCs/>
        </w:rPr>
        <w:tab/>
      </w:r>
      <w:r w:rsidR="00AF508B" w:rsidRPr="00292027">
        <w:rPr>
          <w:i/>
        </w:rPr>
        <w:t>The CAJ</w:t>
      </w:r>
      <w:r w:rsidRPr="00292027">
        <w:rPr>
          <w:i/>
        </w:rPr>
        <w:t xml:space="preserve"> is invited to</w:t>
      </w:r>
      <w:r w:rsidR="00474443">
        <w:rPr>
          <w:i/>
        </w:rPr>
        <w:t xml:space="preserve"> </w:t>
      </w:r>
      <w:r w:rsidR="00146185">
        <w:rPr>
          <w:i/>
        </w:rPr>
        <w:t>note</w:t>
      </w:r>
      <w:r w:rsidR="00652577">
        <w:rPr>
          <w:rFonts w:hint="eastAsia"/>
          <w:i/>
          <w:lang w:eastAsia="ja-JP"/>
        </w:rPr>
        <w:t xml:space="preserve"> that </w:t>
      </w:r>
      <w:r w:rsidR="001D21BA">
        <w:rPr>
          <w:rFonts w:hint="eastAsia"/>
          <w:i/>
          <w:lang w:eastAsia="ja-JP"/>
        </w:rPr>
        <w:t>the Consultati</w:t>
      </w:r>
      <w:r w:rsidR="001D21BA" w:rsidRPr="00262ED3">
        <w:rPr>
          <w:rFonts w:hint="eastAsia"/>
          <w:i/>
          <w:lang w:eastAsia="ja-JP"/>
        </w:rPr>
        <w:t>ve Committee</w:t>
      </w:r>
      <w:r w:rsidR="00262ED3" w:rsidRPr="00262ED3">
        <w:rPr>
          <w:rFonts w:hint="eastAsia"/>
          <w:i/>
          <w:lang w:eastAsia="ja-JP"/>
        </w:rPr>
        <w:t xml:space="preserve"> </w:t>
      </w:r>
      <w:r w:rsidR="00652577">
        <w:rPr>
          <w:rFonts w:hint="eastAsia"/>
          <w:i/>
          <w:lang w:eastAsia="ja-JP"/>
        </w:rPr>
        <w:t xml:space="preserve">has </w:t>
      </w:r>
      <w:r w:rsidR="00262ED3" w:rsidRPr="00262ED3">
        <w:rPr>
          <w:rFonts w:hint="eastAsia"/>
          <w:i/>
          <w:lang w:eastAsia="ja-JP"/>
        </w:rPr>
        <w:t>requested the Office of the Union</w:t>
      </w:r>
      <w:r w:rsidR="00262ED3" w:rsidRPr="00262ED3">
        <w:rPr>
          <w:i/>
        </w:rPr>
        <w:t xml:space="preserve"> to prepare </w:t>
      </w:r>
      <w:r w:rsidR="00652577">
        <w:rPr>
          <w:rFonts w:hint="eastAsia"/>
          <w:i/>
          <w:lang w:eastAsia="ja-JP"/>
        </w:rPr>
        <w:t xml:space="preserve">a </w:t>
      </w:r>
      <w:r w:rsidR="00262ED3" w:rsidRPr="00262ED3">
        <w:rPr>
          <w:i/>
        </w:rPr>
        <w:t>draft question and answer with regard to the information on the situation in UPOV with regard to the use of molecular techniques for a wider audience, including the public in general</w:t>
      </w:r>
      <w:r w:rsidR="00652577">
        <w:rPr>
          <w:rFonts w:hint="eastAsia"/>
          <w:i/>
          <w:lang w:eastAsia="ja-JP"/>
        </w:rPr>
        <w:t>, on the basis of contributions from the members of the Union</w:t>
      </w:r>
      <w:r w:rsidR="00262ED3" w:rsidRPr="00262ED3">
        <w:rPr>
          <w:rFonts w:hint="eastAsia"/>
          <w:i/>
          <w:lang w:eastAsia="ja-JP"/>
        </w:rPr>
        <w:t>.</w:t>
      </w:r>
    </w:p>
    <w:p w:rsidR="005207BC" w:rsidRDefault="005207BC" w:rsidP="00474443">
      <w:pPr>
        <w:tabs>
          <w:tab w:val="left" w:pos="5387"/>
          <w:tab w:val="left" w:pos="5670"/>
        </w:tabs>
        <w:ind w:left="4820"/>
        <w:rPr>
          <w:i/>
          <w:lang w:eastAsia="ja-JP"/>
        </w:rPr>
      </w:pPr>
    </w:p>
    <w:p w:rsidR="005207BC" w:rsidRDefault="005207BC" w:rsidP="00474443">
      <w:pPr>
        <w:tabs>
          <w:tab w:val="left" w:pos="5387"/>
          <w:tab w:val="left" w:pos="5670"/>
        </w:tabs>
        <w:ind w:left="4820"/>
        <w:rPr>
          <w:i/>
          <w:lang w:eastAsia="ja-JP"/>
        </w:rPr>
      </w:pPr>
    </w:p>
    <w:p w:rsidR="005207BC" w:rsidRPr="005207BC" w:rsidRDefault="005207BC" w:rsidP="005207BC">
      <w:pPr>
        <w:tabs>
          <w:tab w:val="left" w:pos="5387"/>
          <w:tab w:val="left" w:pos="5670"/>
        </w:tabs>
        <w:ind w:left="4820"/>
        <w:jc w:val="right"/>
        <w:rPr>
          <w:lang w:eastAsia="ja-JP"/>
        </w:rPr>
      </w:pPr>
      <w:r w:rsidRPr="005207BC">
        <w:rPr>
          <w:rFonts w:hint="eastAsia"/>
          <w:lang w:eastAsia="ja-JP"/>
        </w:rPr>
        <w:t>[End of document</w:t>
      </w:r>
      <w:r w:rsidRPr="005207BC">
        <w:rPr>
          <w:lang w:eastAsia="ja-JP"/>
        </w:rPr>
        <w:t>]</w:t>
      </w:r>
    </w:p>
    <w:sectPr w:rsidR="005207BC" w:rsidRPr="005207BC" w:rsidSect="005207B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A07" w:rsidRDefault="00951A07">
      <w:r>
        <w:separator/>
      </w:r>
    </w:p>
    <w:p w:rsidR="00951A07" w:rsidRDefault="00951A07"/>
    <w:p w:rsidR="00951A07" w:rsidRDefault="00951A07"/>
  </w:endnote>
  <w:endnote w:type="continuationSeparator" w:id="0">
    <w:p w:rsidR="00951A07" w:rsidRDefault="00951A07">
      <w:r>
        <w:separator/>
      </w:r>
    </w:p>
    <w:p w:rsidR="00951A07" w:rsidRPr="00664515" w:rsidRDefault="00951A07">
      <w:pPr>
        <w:pStyle w:val="Footer"/>
        <w:spacing w:after="60"/>
        <w:rPr>
          <w:sz w:val="18"/>
          <w:lang w:val="fr-CH"/>
        </w:rPr>
      </w:pPr>
      <w:r w:rsidRPr="00664515">
        <w:rPr>
          <w:sz w:val="18"/>
          <w:lang w:val="fr-CH"/>
        </w:rPr>
        <w:t>[Suite de la note de la page précédente]</w:t>
      </w:r>
    </w:p>
    <w:p w:rsidR="00951A07" w:rsidRPr="00664515" w:rsidRDefault="00951A07">
      <w:pPr>
        <w:rPr>
          <w:lang w:val="fr-CH"/>
        </w:rPr>
      </w:pPr>
    </w:p>
    <w:p w:rsidR="00951A07" w:rsidRPr="00664515" w:rsidRDefault="00951A07">
      <w:pPr>
        <w:rPr>
          <w:lang w:val="fr-CH"/>
        </w:rPr>
      </w:pPr>
    </w:p>
  </w:endnote>
  <w:endnote w:type="continuationNotice" w:id="1">
    <w:p w:rsidR="00951A07" w:rsidRPr="00664515" w:rsidRDefault="00951A07">
      <w:pPr>
        <w:spacing w:before="60"/>
        <w:jc w:val="right"/>
        <w:rPr>
          <w:sz w:val="18"/>
          <w:lang w:val="fr-CH"/>
        </w:rPr>
      </w:pPr>
      <w:r w:rsidRPr="00664515">
        <w:rPr>
          <w:sz w:val="18"/>
          <w:lang w:val="fr-CH"/>
        </w:rPr>
        <w:t>[Suite de la note page suivante]</w:t>
      </w:r>
    </w:p>
    <w:p w:rsidR="00951A07" w:rsidRPr="00664515" w:rsidRDefault="00951A07">
      <w:pPr>
        <w:rPr>
          <w:lang w:val="fr-CH"/>
        </w:rPr>
      </w:pPr>
    </w:p>
    <w:p w:rsidR="00951A07" w:rsidRPr="00664515" w:rsidRDefault="00951A07">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A07" w:rsidRDefault="00951A07" w:rsidP="009D690D">
      <w:pPr>
        <w:spacing w:before="120"/>
      </w:pPr>
      <w:r>
        <w:separator/>
      </w:r>
    </w:p>
  </w:footnote>
  <w:footnote w:type="continuationSeparator" w:id="0">
    <w:p w:rsidR="00951A07" w:rsidRDefault="00951A07" w:rsidP="00520297">
      <w:pPr>
        <w:spacing w:before="120"/>
        <w:jc w:val="left"/>
      </w:pPr>
      <w:r>
        <w:separator/>
      </w:r>
    </w:p>
  </w:footnote>
  <w:footnote w:type="continuationNotice" w:id="1">
    <w:p w:rsidR="00951A07" w:rsidRDefault="00951A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07" w:rsidRPr="00997029" w:rsidRDefault="00853212" w:rsidP="00E23920">
    <w:pPr>
      <w:jc w:val="center"/>
      <w:rPr>
        <w:rStyle w:val="PageNumber"/>
        <w:lang w:eastAsia="ja-JP"/>
      </w:rPr>
    </w:pPr>
    <w:r>
      <w:rPr>
        <w:rStyle w:val="PageNumber"/>
      </w:rPr>
      <w:t>CAJ/</w:t>
    </w:r>
    <w:r>
      <w:rPr>
        <w:rStyle w:val="PageNumber"/>
        <w:rFonts w:hint="eastAsia"/>
        <w:lang w:eastAsia="ja-JP"/>
      </w:rPr>
      <w:t>70</w:t>
    </w:r>
    <w:r>
      <w:rPr>
        <w:rStyle w:val="PageNumber"/>
      </w:rPr>
      <w:t>/</w:t>
    </w:r>
    <w:r>
      <w:rPr>
        <w:rStyle w:val="PageNumber"/>
        <w:rFonts w:hint="eastAsia"/>
        <w:lang w:eastAsia="ja-JP"/>
      </w:rPr>
      <w:t>6</w:t>
    </w:r>
  </w:p>
  <w:p w:rsidR="00951A07" w:rsidRPr="00997029" w:rsidRDefault="00951A07"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52048F">
      <w:rPr>
        <w:rStyle w:val="PageNumber"/>
        <w:noProof/>
      </w:rPr>
      <w:t>2</w:t>
    </w:r>
    <w:r w:rsidRPr="00997029">
      <w:rPr>
        <w:rStyle w:val="PageNumber"/>
      </w:rPr>
      <w:fldChar w:fldCharType="end"/>
    </w:r>
  </w:p>
  <w:p w:rsidR="00951A07" w:rsidRPr="00997029" w:rsidRDefault="00951A07"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0A17"/>
    <w:multiLevelType w:val="hybridMultilevel"/>
    <w:tmpl w:val="809453F4"/>
    <w:lvl w:ilvl="0" w:tplc="AF9A242E">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E27"/>
    <w:rsid w:val="000148BC"/>
    <w:rsid w:val="00024AB8"/>
    <w:rsid w:val="00036028"/>
    <w:rsid w:val="000446B9"/>
    <w:rsid w:val="00047E21"/>
    <w:rsid w:val="00085505"/>
    <w:rsid w:val="0009558E"/>
    <w:rsid w:val="000C7021"/>
    <w:rsid w:val="000D492E"/>
    <w:rsid w:val="000D6BBC"/>
    <w:rsid w:val="000D7780"/>
    <w:rsid w:val="000F1B08"/>
    <w:rsid w:val="00105929"/>
    <w:rsid w:val="00110481"/>
    <w:rsid w:val="001131D5"/>
    <w:rsid w:val="00141DB8"/>
    <w:rsid w:val="00146185"/>
    <w:rsid w:val="00163925"/>
    <w:rsid w:val="0017436E"/>
    <w:rsid w:val="0017474A"/>
    <w:rsid w:val="001758C6"/>
    <w:rsid w:val="00184441"/>
    <w:rsid w:val="001C3DF3"/>
    <w:rsid w:val="001D21BA"/>
    <w:rsid w:val="001F1F2A"/>
    <w:rsid w:val="00210DAA"/>
    <w:rsid w:val="0021332C"/>
    <w:rsid w:val="00213982"/>
    <w:rsid w:val="002330DA"/>
    <w:rsid w:val="00233C01"/>
    <w:rsid w:val="00237C7D"/>
    <w:rsid w:val="0024416D"/>
    <w:rsid w:val="00262ED3"/>
    <w:rsid w:val="002700A0"/>
    <w:rsid w:val="00270135"/>
    <w:rsid w:val="0027309C"/>
    <w:rsid w:val="002800A0"/>
    <w:rsid w:val="00281060"/>
    <w:rsid w:val="00292027"/>
    <w:rsid w:val="0029439F"/>
    <w:rsid w:val="002A6E50"/>
    <w:rsid w:val="002C256A"/>
    <w:rsid w:val="002E5398"/>
    <w:rsid w:val="002E7BA1"/>
    <w:rsid w:val="002F325F"/>
    <w:rsid w:val="002F78FA"/>
    <w:rsid w:val="00305A7F"/>
    <w:rsid w:val="003125FF"/>
    <w:rsid w:val="003152FE"/>
    <w:rsid w:val="00327436"/>
    <w:rsid w:val="00341FDE"/>
    <w:rsid w:val="00344BD6"/>
    <w:rsid w:val="003462B1"/>
    <w:rsid w:val="00351467"/>
    <w:rsid w:val="0035528D"/>
    <w:rsid w:val="003560C4"/>
    <w:rsid w:val="00361821"/>
    <w:rsid w:val="00377348"/>
    <w:rsid w:val="0038590D"/>
    <w:rsid w:val="00392142"/>
    <w:rsid w:val="003A17C8"/>
    <w:rsid w:val="003C563E"/>
    <w:rsid w:val="003D227C"/>
    <w:rsid w:val="003D2B4D"/>
    <w:rsid w:val="003F6136"/>
    <w:rsid w:val="004230D9"/>
    <w:rsid w:val="0042336E"/>
    <w:rsid w:val="00427139"/>
    <w:rsid w:val="00444A88"/>
    <w:rsid w:val="00460F47"/>
    <w:rsid w:val="00474443"/>
    <w:rsid w:val="00474DA4"/>
    <w:rsid w:val="00484416"/>
    <w:rsid w:val="004D047D"/>
    <w:rsid w:val="004E36C9"/>
    <w:rsid w:val="004E7264"/>
    <w:rsid w:val="004F305A"/>
    <w:rsid w:val="00512164"/>
    <w:rsid w:val="00520297"/>
    <w:rsid w:val="0052048F"/>
    <w:rsid w:val="005207BC"/>
    <w:rsid w:val="005326C0"/>
    <w:rsid w:val="005338F9"/>
    <w:rsid w:val="00536B92"/>
    <w:rsid w:val="0054281C"/>
    <w:rsid w:val="0055268D"/>
    <w:rsid w:val="005718B2"/>
    <w:rsid w:val="00572E44"/>
    <w:rsid w:val="00576BE4"/>
    <w:rsid w:val="005939E7"/>
    <w:rsid w:val="005A400A"/>
    <w:rsid w:val="00612379"/>
    <w:rsid w:val="0061555F"/>
    <w:rsid w:val="00641200"/>
    <w:rsid w:val="00645735"/>
    <w:rsid w:val="00652577"/>
    <w:rsid w:val="00663ED8"/>
    <w:rsid w:val="00664515"/>
    <w:rsid w:val="00687EB4"/>
    <w:rsid w:val="006B17D2"/>
    <w:rsid w:val="006B45FA"/>
    <w:rsid w:val="006C224E"/>
    <w:rsid w:val="006C6A8F"/>
    <w:rsid w:val="006F11CE"/>
    <w:rsid w:val="00732DEC"/>
    <w:rsid w:val="00735BD5"/>
    <w:rsid w:val="0075117E"/>
    <w:rsid w:val="007556F6"/>
    <w:rsid w:val="00760EEF"/>
    <w:rsid w:val="00777EE5"/>
    <w:rsid w:val="00780453"/>
    <w:rsid w:val="00784836"/>
    <w:rsid w:val="0079023E"/>
    <w:rsid w:val="007A42D1"/>
    <w:rsid w:val="007B6894"/>
    <w:rsid w:val="007C6639"/>
    <w:rsid w:val="007D0B9D"/>
    <w:rsid w:val="007D19B0"/>
    <w:rsid w:val="007E6E50"/>
    <w:rsid w:val="007F498F"/>
    <w:rsid w:val="007F7E40"/>
    <w:rsid w:val="0080679D"/>
    <w:rsid w:val="008108B0"/>
    <w:rsid w:val="00811B20"/>
    <w:rsid w:val="0082296E"/>
    <w:rsid w:val="00824099"/>
    <w:rsid w:val="0083091D"/>
    <w:rsid w:val="00836E88"/>
    <w:rsid w:val="00853212"/>
    <w:rsid w:val="00855DBD"/>
    <w:rsid w:val="00867AC1"/>
    <w:rsid w:val="008A395B"/>
    <w:rsid w:val="008A743F"/>
    <w:rsid w:val="008B51D0"/>
    <w:rsid w:val="008C0970"/>
    <w:rsid w:val="008D2CF7"/>
    <w:rsid w:val="008E69ED"/>
    <w:rsid w:val="008E793E"/>
    <w:rsid w:val="008F140B"/>
    <w:rsid w:val="00900C26"/>
    <w:rsid w:val="0090197F"/>
    <w:rsid w:val="00906DDC"/>
    <w:rsid w:val="009145E3"/>
    <w:rsid w:val="00934E09"/>
    <w:rsid w:val="00936253"/>
    <w:rsid w:val="00951A07"/>
    <w:rsid w:val="00970FED"/>
    <w:rsid w:val="00986B73"/>
    <w:rsid w:val="00997029"/>
    <w:rsid w:val="009A1510"/>
    <w:rsid w:val="009D0DE5"/>
    <w:rsid w:val="009D690D"/>
    <w:rsid w:val="009E65B6"/>
    <w:rsid w:val="009F0E5F"/>
    <w:rsid w:val="00A32423"/>
    <w:rsid w:val="00A34360"/>
    <w:rsid w:val="00A361D3"/>
    <w:rsid w:val="00A42AC3"/>
    <w:rsid w:val="00A430CF"/>
    <w:rsid w:val="00A4551F"/>
    <w:rsid w:val="00A54309"/>
    <w:rsid w:val="00A67009"/>
    <w:rsid w:val="00A95CB2"/>
    <w:rsid w:val="00AA2EF4"/>
    <w:rsid w:val="00AB2B93"/>
    <w:rsid w:val="00AE0EF1"/>
    <w:rsid w:val="00AF508B"/>
    <w:rsid w:val="00B07301"/>
    <w:rsid w:val="00B224DE"/>
    <w:rsid w:val="00B24781"/>
    <w:rsid w:val="00B30F5D"/>
    <w:rsid w:val="00B54406"/>
    <w:rsid w:val="00B84BBD"/>
    <w:rsid w:val="00B924A3"/>
    <w:rsid w:val="00BA369F"/>
    <w:rsid w:val="00BA43FB"/>
    <w:rsid w:val="00BA53E3"/>
    <w:rsid w:val="00BA7739"/>
    <w:rsid w:val="00BB3070"/>
    <w:rsid w:val="00BC127D"/>
    <w:rsid w:val="00BC1FE6"/>
    <w:rsid w:val="00BD4C24"/>
    <w:rsid w:val="00BE2B3A"/>
    <w:rsid w:val="00BE66D7"/>
    <w:rsid w:val="00BE69DC"/>
    <w:rsid w:val="00C04569"/>
    <w:rsid w:val="00C061B6"/>
    <w:rsid w:val="00C21C88"/>
    <w:rsid w:val="00C21DBF"/>
    <w:rsid w:val="00C2446C"/>
    <w:rsid w:val="00C36AE5"/>
    <w:rsid w:val="00C41F17"/>
    <w:rsid w:val="00C54BF4"/>
    <w:rsid w:val="00C5791C"/>
    <w:rsid w:val="00C66290"/>
    <w:rsid w:val="00C72B7A"/>
    <w:rsid w:val="00C82839"/>
    <w:rsid w:val="00C91D04"/>
    <w:rsid w:val="00C973F2"/>
    <w:rsid w:val="00CA26FC"/>
    <w:rsid w:val="00CA774A"/>
    <w:rsid w:val="00CB4153"/>
    <w:rsid w:val="00CB5220"/>
    <w:rsid w:val="00CC11B0"/>
    <w:rsid w:val="00CC28D8"/>
    <w:rsid w:val="00CF53D2"/>
    <w:rsid w:val="00CF7E36"/>
    <w:rsid w:val="00D233D8"/>
    <w:rsid w:val="00D24210"/>
    <w:rsid w:val="00D3708D"/>
    <w:rsid w:val="00D40426"/>
    <w:rsid w:val="00D57C96"/>
    <w:rsid w:val="00D91203"/>
    <w:rsid w:val="00D95174"/>
    <w:rsid w:val="00D95A5C"/>
    <w:rsid w:val="00D95CC6"/>
    <w:rsid w:val="00DA6F36"/>
    <w:rsid w:val="00DC00EA"/>
    <w:rsid w:val="00DF67EC"/>
    <w:rsid w:val="00E23920"/>
    <w:rsid w:val="00E5341B"/>
    <w:rsid w:val="00E553D6"/>
    <w:rsid w:val="00E72D49"/>
    <w:rsid w:val="00E74D7D"/>
    <w:rsid w:val="00E7593C"/>
    <w:rsid w:val="00E7678A"/>
    <w:rsid w:val="00E935F1"/>
    <w:rsid w:val="00E94A81"/>
    <w:rsid w:val="00EA1FFB"/>
    <w:rsid w:val="00EB048E"/>
    <w:rsid w:val="00EB3EFA"/>
    <w:rsid w:val="00EE40BB"/>
    <w:rsid w:val="00EF2F89"/>
    <w:rsid w:val="00F03AF7"/>
    <w:rsid w:val="00F0491B"/>
    <w:rsid w:val="00F04DEB"/>
    <w:rsid w:val="00F1237A"/>
    <w:rsid w:val="00F22CBD"/>
    <w:rsid w:val="00F37961"/>
    <w:rsid w:val="00F6334D"/>
    <w:rsid w:val="00F6761A"/>
    <w:rsid w:val="00FA49AB"/>
    <w:rsid w:val="00FB0D37"/>
    <w:rsid w:val="00FB39A0"/>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42336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40BB"/>
    <w:pPr>
      <w:ind w:left="720"/>
      <w:contextualSpacing/>
    </w:pPr>
  </w:style>
  <w:style w:type="character" w:customStyle="1" w:styleId="Heading2Char">
    <w:name w:val="Heading 2 Char"/>
    <w:basedOn w:val="DefaultParagraphFont"/>
    <w:link w:val="Heading2"/>
    <w:rsid w:val="00C04569"/>
    <w:rPr>
      <w:rFonts w:ascii="Arial" w:hAnsi="Arial"/>
      <w:u w:val="single"/>
    </w:rPr>
  </w:style>
  <w:style w:type="character" w:styleId="CommentReference">
    <w:name w:val="annotation reference"/>
    <w:basedOn w:val="DefaultParagraphFont"/>
    <w:rsid w:val="00210DAA"/>
    <w:rPr>
      <w:sz w:val="16"/>
      <w:szCs w:val="16"/>
    </w:rPr>
  </w:style>
  <w:style w:type="paragraph" w:styleId="CommentText">
    <w:name w:val="annotation text"/>
    <w:basedOn w:val="Normal"/>
    <w:link w:val="CommentTextChar"/>
    <w:rsid w:val="00210DAA"/>
  </w:style>
  <w:style w:type="character" w:customStyle="1" w:styleId="CommentTextChar">
    <w:name w:val="Comment Text Char"/>
    <w:basedOn w:val="DefaultParagraphFont"/>
    <w:link w:val="CommentText"/>
    <w:rsid w:val="00210DAA"/>
    <w:rPr>
      <w:rFonts w:ascii="Arial" w:hAnsi="Arial"/>
    </w:rPr>
  </w:style>
  <w:style w:type="paragraph" w:styleId="CommentSubject">
    <w:name w:val="annotation subject"/>
    <w:basedOn w:val="CommentText"/>
    <w:next w:val="CommentText"/>
    <w:link w:val="CommentSubjectChar"/>
    <w:rsid w:val="00210DAA"/>
    <w:rPr>
      <w:b/>
      <w:bCs/>
    </w:rPr>
  </w:style>
  <w:style w:type="character" w:customStyle="1" w:styleId="CommentSubjectChar">
    <w:name w:val="Comment Subject Char"/>
    <w:basedOn w:val="CommentTextChar"/>
    <w:link w:val="CommentSubject"/>
    <w:rsid w:val="00210DAA"/>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42336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40BB"/>
    <w:pPr>
      <w:ind w:left="720"/>
      <w:contextualSpacing/>
    </w:pPr>
  </w:style>
  <w:style w:type="character" w:customStyle="1" w:styleId="Heading2Char">
    <w:name w:val="Heading 2 Char"/>
    <w:basedOn w:val="DefaultParagraphFont"/>
    <w:link w:val="Heading2"/>
    <w:rsid w:val="00C04569"/>
    <w:rPr>
      <w:rFonts w:ascii="Arial" w:hAnsi="Arial"/>
      <w:u w:val="single"/>
    </w:rPr>
  </w:style>
  <w:style w:type="character" w:styleId="CommentReference">
    <w:name w:val="annotation reference"/>
    <w:basedOn w:val="DefaultParagraphFont"/>
    <w:rsid w:val="00210DAA"/>
    <w:rPr>
      <w:sz w:val="16"/>
      <w:szCs w:val="16"/>
    </w:rPr>
  </w:style>
  <w:style w:type="paragraph" w:styleId="CommentText">
    <w:name w:val="annotation text"/>
    <w:basedOn w:val="Normal"/>
    <w:link w:val="CommentTextChar"/>
    <w:rsid w:val="00210DAA"/>
  </w:style>
  <w:style w:type="character" w:customStyle="1" w:styleId="CommentTextChar">
    <w:name w:val="Comment Text Char"/>
    <w:basedOn w:val="DefaultParagraphFont"/>
    <w:link w:val="CommentText"/>
    <w:rsid w:val="00210DAA"/>
    <w:rPr>
      <w:rFonts w:ascii="Arial" w:hAnsi="Arial"/>
    </w:rPr>
  </w:style>
  <w:style w:type="paragraph" w:styleId="CommentSubject">
    <w:name w:val="annotation subject"/>
    <w:basedOn w:val="CommentText"/>
    <w:next w:val="CommentText"/>
    <w:link w:val="CommentSubjectChar"/>
    <w:rsid w:val="00210DAA"/>
    <w:rPr>
      <w:b/>
      <w:bCs/>
    </w:rPr>
  </w:style>
  <w:style w:type="character" w:customStyle="1" w:styleId="CommentSubjectChar">
    <w:name w:val="Comment Subject Char"/>
    <w:basedOn w:val="CommentTextChar"/>
    <w:link w:val="CommentSubject"/>
    <w:rsid w:val="00210DA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48168">
      <w:bodyDiv w:val="1"/>
      <w:marLeft w:val="0"/>
      <w:marRight w:val="0"/>
      <w:marTop w:val="0"/>
      <w:marBottom w:val="0"/>
      <w:divBdr>
        <w:top w:val="none" w:sz="0" w:space="0" w:color="auto"/>
        <w:left w:val="none" w:sz="0" w:space="0" w:color="auto"/>
        <w:bottom w:val="none" w:sz="0" w:space="0" w:color="auto"/>
        <w:right w:val="none" w:sz="0" w:space="0" w:color="auto"/>
      </w:divBdr>
    </w:div>
    <w:div w:id="1779904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57B9C-6EFB-43CD-B9CB-7133E0C1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Template>
  <TotalTime>412</TotalTime>
  <Pages>2</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MAY Jessica</cp:lastModifiedBy>
  <cp:revision>15</cp:revision>
  <cp:lastPrinted>2014-03-13T09:26:00Z</cp:lastPrinted>
  <dcterms:created xsi:type="dcterms:W3CDTF">2014-06-24T18:28:00Z</dcterms:created>
  <dcterms:modified xsi:type="dcterms:W3CDTF">2014-08-28T14:16:00Z</dcterms:modified>
</cp:coreProperties>
</file>