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31E9" w:rsidRPr="00977033">
        <w:trPr>
          <w:trHeight w:val="1760"/>
        </w:trPr>
        <w:tc>
          <w:tcPr>
            <w:tcW w:w="4243" w:type="dxa"/>
          </w:tcPr>
          <w:p w:rsidR="000731E9" w:rsidRPr="0035317C" w:rsidRDefault="00B64E72" w:rsidP="000731E9">
            <w:r>
              <w:t xml:space="preserve"> </w:t>
            </w:r>
          </w:p>
        </w:tc>
        <w:tc>
          <w:tcPr>
            <w:tcW w:w="1646" w:type="dxa"/>
            <w:vAlign w:val="center"/>
          </w:tcPr>
          <w:p w:rsidR="000731E9" w:rsidRPr="00977033" w:rsidRDefault="00D9036E" w:rsidP="00D9036E">
            <w:pPr>
              <w:pStyle w:val="LogoUPOV"/>
              <w:ind w:left="57"/>
            </w:pPr>
            <w:r>
              <w:rPr>
                <w:noProof/>
              </w:rPr>
              <w:drawing>
                <wp:inline distT="0" distB="0" distL="0" distR="0" wp14:anchorId="7AC14F38" wp14:editId="65090B8E">
                  <wp:extent cx="101219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0731E9" w:rsidRPr="00977033" w:rsidRDefault="000731E9" w:rsidP="000731E9">
            <w:pPr>
              <w:pStyle w:val="Lettrine"/>
              <w:rPr>
                <w:lang w:val="en-US"/>
              </w:rPr>
            </w:pPr>
            <w:r w:rsidRPr="00977033">
              <w:rPr>
                <w:lang w:val="en-US"/>
              </w:rPr>
              <w:t>E</w:t>
            </w:r>
          </w:p>
          <w:p w:rsidR="000731E9" w:rsidRPr="00977033" w:rsidRDefault="00DD7CCB" w:rsidP="000731E9">
            <w:pPr>
              <w:pStyle w:val="Docoriginal"/>
              <w:jc w:val="left"/>
            </w:pPr>
            <w:r>
              <w:t>UPOV/INF/15/3 Draft 2</w:t>
            </w:r>
          </w:p>
          <w:p w:rsidR="000731E9" w:rsidRPr="00977033" w:rsidRDefault="000731E9" w:rsidP="000731E9">
            <w:pPr>
              <w:pStyle w:val="Docoriginal"/>
              <w:jc w:val="left"/>
            </w:pPr>
            <w:r w:rsidRPr="00977033">
              <w:rPr>
                <w:rStyle w:val="StyleDoclangBold"/>
                <w:b/>
                <w:bCs/>
                <w:spacing w:val="0"/>
              </w:rPr>
              <w:t>ORIGINAL:</w:t>
            </w:r>
            <w:r w:rsidRPr="00977033">
              <w:rPr>
                <w:rStyle w:val="StyleDocoriginalNotBold1"/>
                <w:spacing w:val="0"/>
              </w:rPr>
              <w:t xml:space="preserve">  </w:t>
            </w:r>
            <w:bookmarkStart w:id="0" w:name="Original"/>
            <w:bookmarkEnd w:id="0"/>
            <w:r w:rsidRPr="00977033">
              <w:rPr>
                <w:b w:val="0"/>
                <w:spacing w:val="0"/>
              </w:rPr>
              <w:t>English</w:t>
            </w:r>
          </w:p>
          <w:p w:rsidR="000731E9" w:rsidRPr="00977033" w:rsidRDefault="000731E9" w:rsidP="005A1A0C">
            <w:pPr>
              <w:pStyle w:val="Docoriginal"/>
              <w:jc w:val="left"/>
            </w:pPr>
            <w:r w:rsidRPr="00C001B1">
              <w:rPr>
                <w:spacing w:val="0"/>
              </w:rPr>
              <w:t>DATE:</w:t>
            </w:r>
            <w:r w:rsidRPr="00C001B1">
              <w:rPr>
                <w:b w:val="0"/>
                <w:spacing w:val="0"/>
              </w:rPr>
              <w:t xml:space="preserve"> </w:t>
            </w:r>
            <w:r w:rsidR="00FC1575">
              <w:rPr>
                <w:b w:val="0"/>
                <w:spacing w:val="0"/>
              </w:rPr>
              <w:t xml:space="preserve"> </w:t>
            </w:r>
            <w:r w:rsidR="005B19E0">
              <w:rPr>
                <w:b w:val="0"/>
                <w:spacing w:val="0"/>
              </w:rPr>
              <w:t>February 11</w:t>
            </w:r>
            <w:r w:rsidR="00010597" w:rsidRPr="002E6194">
              <w:rPr>
                <w:b w:val="0"/>
                <w:spacing w:val="0"/>
              </w:rPr>
              <w:t>, 201</w:t>
            </w:r>
            <w:r w:rsidR="005A1A0C">
              <w:rPr>
                <w:b w:val="0"/>
                <w:spacing w:val="0"/>
              </w:rPr>
              <w:t>5</w:t>
            </w:r>
          </w:p>
        </w:tc>
      </w:tr>
      <w:tr w:rsidR="000731E9" w:rsidRPr="00977033">
        <w:tc>
          <w:tcPr>
            <w:tcW w:w="10131" w:type="dxa"/>
            <w:gridSpan w:val="3"/>
          </w:tcPr>
          <w:p w:rsidR="000731E9" w:rsidRPr="00977033" w:rsidRDefault="000731E9" w:rsidP="000731E9">
            <w:pPr>
              <w:pStyle w:val="upove"/>
              <w:rPr>
                <w:sz w:val="28"/>
              </w:rPr>
            </w:pPr>
            <w:r w:rsidRPr="00977033">
              <w:rPr>
                <w:snapToGrid w:val="0"/>
              </w:rPr>
              <w:t xml:space="preserve">INTERNATIONAL UNION FOR THE PROTECTION OF NEW VARIETIES OF PLANTS </w:t>
            </w:r>
          </w:p>
        </w:tc>
      </w:tr>
      <w:tr w:rsidR="000731E9" w:rsidRPr="00977033">
        <w:tc>
          <w:tcPr>
            <w:tcW w:w="10131" w:type="dxa"/>
            <w:gridSpan w:val="3"/>
          </w:tcPr>
          <w:p w:rsidR="000731E9" w:rsidRPr="00977033" w:rsidRDefault="000731E9" w:rsidP="000731E9">
            <w:pPr>
              <w:pStyle w:val="Country"/>
            </w:pPr>
            <w:r w:rsidRPr="00977033">
              <w:t>Geneva</w:t>
            </w:r>
          </w:p>
        </w:tc>
      </w:tr>
    </w:tbl>
    <w:p w:rsidR="000C2196" w:rsidRDefault="00F117F1" w:rsidP="00AD7BA5">
      <w:pPr>
        <w:spacing w:before="1440" w:after="240"/>
        <w:jc w:val="center"/>
        <w:rPr>
          <w:rFonts w:cs="Arial"/>
          <w:i/>
        </w:rPr>
      </w:pPr>
      <w:r w:rsidRPr="009F4FC4">
        <w:t xml:space="preserve">GUIDANCE FOR MEMBERS OF UPOV </w:t>
      </w:r>
      <w:r w:rsidRPr="00B42262">
        <w:rPr>
          <w:strike/>
          <w:highlight w:val="lightGray"/>
        </w:rPr>
        <w:t>ON ONGOING OBLIGATIONS</w:t>
      </w:r>
      <w:r w:rsidRPr="00B42262">
        <w:rPr>
          <w:strike/>
          <w:highlight w:val="lightGray"/>
        </w:rPr>
        <w:br/>
        <w:t>AND RELATED NOTIFICATIONS</w:t>
      </w:r>
      <w:r w:rsidRPr="00B42262">
        <w:rPr>
          <w:strike/>
          <w:highlight w:val="lightGray"/>
        </w:rPr>
        <w:br/>
        <w:t>AND ON THE PROVISION OF INFORMATION TO FACILITATE COOPERATION</w:t>
      </w:r>
      <w:r w:rsidR="00B42262" w:rsidRPr="00B42262">
        <w:t xml:space="preserve"> </w:t>
      </w:r>
    </w:p>
    <w:p w:rsidR="00010597" w:rsidRPr="002B25C7" w:rsidRDefault="00010597" w:rsidP="00010597">
      <w:pPr>
        <w:pStyle w:val="preparedby0"/>
        <w:spacing w:after="960"/>
        <w:rPr>
          <w:rFonts w:cs="Arial"/>
          <w:lang w:val="en-US"/>
        </w:rPr>
      </w:pPr>
      <w:r w:rsidRPr="002B25C7">
        <w:rPr>
          <w:rFonts w:cs="Arial"/>
          <w:lang w:val="en-US"/>
        </w:rPr>
        <w:t>Document prepared by the Office of the Union</w:t>
      </w:r>
      <w:r w:rsidRPr="002B25C7">
        <w:rPr>
          <w:rFonts w:cs="Arial"/>
          <w:lang w:val="en-US"/>
        </w:rPr>
        <w:br/>
      </w:r>
      <w:r w:rsidRPr="002B25C7">
        <w:rPr>
          <w:rFonts w:cs="Arial"/>
          <w:lang w:val="en-US"/>
        </w:rPr>
        <w:br/>
        <w:t>to be considered by the</w:t>
      </w:r>
      <w:r w:rsidR="00B64E72">
        <w:rPr>
          <w:rFonts w:cs="Arial"/>
          <w:lang w:val="en-US"/>
        </w:rPr>
        <w:t xml:space="preserve"> </w:t>
      </w:r>
      <w:r w:rsidR="00DD7CCB">
        <w:rPr>
          <w:rFonts w:cs="Arial"/>
          <w:lang w:val="en-US"/>
        </w:rPr>
        <w:t>Council,</w:t>
      </w:r>
      <w:r w:rsidR="00DD7CCB">
        <w:rPr>
          <w:rFonts w:cs="Arial"/>
          <w:lang w:val="en-US"/>
        </w:rPr>
        <w:br/>
      </w:r>
      <w:r w:rsidRPr="002B25C7">
        <w:rPr>
          <w:rFonts w:cs="Arial"/>
          <w:lang w:val="en-US"/>
        </w:rPr>
        <w:t xml:space="preserve">at its </w:t>
      </w:r>
      <w:r w:rsidR="00DD7CCB">
        <w:rPr>
          <w:rFonts w:cs="Arial"/>
          <w:lang w:val="en-US"/>
        </w:rPr>
        <w:t xml:space="preserve">thirty-second extraordinary </w:t>
      </w:r>
      <w:r w:rsidRPr="002B25C7">
        <w:rPr>
          <w:rFonts w:cs="Arial"/>
          <w:lang w:val="en-US"/>
        </w:rPr>
        <w:t xml:space="preserve">session, to be held in Geneva on </w:t>
      </w:r>
      <w:r w:rsidR="00DD7CCB">
        <w:rPr>
          <w:rFonts w:cs="Arial"/>
          <w:lang w:val="en-US"/>
        </w:rPr>
        <w:t>March 27, 2015</w:t>
      </w:r>
      <w:r w:rsidRPr="002B25C7">
        <w:rPr>
          <w:rFonts w:cs="Arial"/>
          <w:lang w:val="en-US"/>
        </w:rPr>
        <w:br/>
      </w:r>
      <w:r w:rsidRPr="002B25C7">
        <w:rPr>
          <w:rFonts w:cs="Arial"/>
          <w:lang w:val="en-US"/>
        </w:rPr>
        <w:br/>
      </w:r>
      <w:r w:rsidRPr="002B25C7">
        <w:rPr>
          <w:color w:val="A6A6A6" w:themeColor="background1" w:themeShade="A6"/>
          <w:lang w:val="en-US"/>
        </w:rPr>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302"/>
      </w:tblGrid>
      <w:tr w:rsidR="00010597" w:rsidRPr="005C424F" w:rsidTr="00AD7BA5">
        <w:trPr>
          <w:cantSplit/>
          <w:jc w:val="center"/>
        </w:trPr>
        <w:tc>
          <w:tcPr>
            <w:tcW w:w="7302" w:type="dxa"/>
            <w:shd w:val="clear" w:color="auto" w:fill="E6E6E6"/>
          </w:tcPr>
          <w:p w:rsidR="00010597" w:rsidRDefault="00010597" w:rsidP="00F40A45">
            <w:pPr>
              <w:jc w:val="center"/>
              <w:rPr>
                <w:sz w:val="18"/>
                <w:szCs w:val="18"/>
                <w:u w:val="single"/>
              </w:rPr>
            </w:pPr>
            <w:r w:rsidRPr="00DD7CCB">
              <w:rPr>
                <w:sz w:val="18"/>
                <w:szCs w:val="18"/>
                <w:u w:val="single"/>
              </w:rPr>
              <w:t>Note for Draft version</w:t>
            </w:r>
          </w:p>
          <w:p w:rsidR="00C33C1A" w:rsidRPr="00DD7CCB" w:rsidRDefault="00C33C1A" w:rsidP="00F40A45">
            <w:pPr>
              <w:jc w:val="center"/>
              <w:rPr>
                <w:sz w:val="18"/>
                <w:szCs w:val="18"/>
                <w:u w:val="single"/>
              </w:rPr>
            </w:pPr>
          </w:p>
          <w:p w:rsidR="007F7FAA" w:rsidRPr="00DD7CCB" w:rsidRDefault="007F7FAA" w:rsidP="00F40A45">
            <w:pPr>
              <w:rPr>
                <w:rFonts w:cs="Arial"/>
                <w:b/>
                <w:sz w:val="18"/>
                <w:szCs w:val="18"/>
              </w:rPr>
            </w:pPr>
            <w:r w:rsidRPr="00DD7CCB">
              <w:rPr>
                <w:rFonts w:cs="Arial"/>
                <w:b/>
                <w:sz w:val="18"/>
                <w:szCs w:val="18"/>
              </w:rPr>
              <w:t>PREAMBLE/PART I</w:t>
            </w:r>
          </w:p>
          <w:p w:rsidR="007F7FAA" w:rsidRPr="00DD7CCB" w:rsidRDefault="007F7FAA" w:rsidP="00F40A45">
            <w:pPr>
              <w:rPr>
                <w:rFonts w:cs="Arial"/>
                <w:b/>
                <w:strike/>
                <w:sz w:val="18"/>
                <w:szCs w:val="18"/>
              </w:rPr>
            </w:pPr>
          </w:p>
          <w:p w:rsidR="00010597" w:rsidRPr="00DD7CCB" w:rsidRDefault="00010597" w:rsidP="00F40A45">
            <w:pPr>
              <w:rPr>
                <w:rFonts w:cs="Arial"/>
                <w:sz w:val="18"/>
                <w:szCs w:val="18"/>
              </w:rPr>
            </w:pPr>
            <w:r w:rsidRPr="00DD7CCB">
              <w:rPr>
                <w:rFonts w:cs="Arial"/>
                <w:b/>
                <w:strike/>
                <w:sz w:val="18"/>
                <w:szCs w:val="18"/>
              </w:rPr>
              <w:t>Strikethrough</w:t>
            </w:r>
            <w:r w:rsidRPr="00DD7CCB">
              <w:rPr>
                <w:rFonts w:cs="Arial"/>
                <w:b/>
                <w:sz w:val="18"/>
                <w:szCs w:val="18"/>
              </w:rPr>
              <w:t xml:space="preserve"> (highlighted)</w:t>
            </w:r>
            <w:r w:rsidRPr="00DD7CCB">
              <w:rPr>
                <w:rFonts w:cs="Arial"/>
                <w:sz w:val="18"/>
                <w:szCs w:val="18"/>
              </w:rPr>
              <w:t xml:space="preserve"> indicates deletion from the text of document UPOV/INF/15/2</w:t>
            </w:r>
            <w:r w:rsidR="00DD7CCB" w:rsidRPr="00DD7CCB">
              <w:rPr>
                <w:rFonts w:cs="Arial"/>
                <w:sz w:val="18"/>
                <w:szCs w:val="18"/>
              </w:rPr>
              <w:t xml:space="preserve"> agreed by the </w:t>
            </w:r>
            <w:r w:rsidR="00DD7CCB" w:rsidRPr="00DD7CCB">
              <w:rPr>
                <w:rFonts w:cs="Arial"/>
                <w:color w:val="000000"/>
                <w:sz w:val="18"/>
                <w:szCs w:val="18"/>
              </w:rPr>
              <w:t>Administrative and Legal Committee (CAJ)</w:t>
            </w:r>
            <w:r w:rsidRPr="00DD7CCB">
              <w:rPr>
                <w:rFonts w:cs="Arial"/>
                <w:sz w:val="18"/>
                <w:szCs w:val="18"/>
              </w:rPr>
              <w:t>.</w:t>
            </w:r>
          </w:p>
          <w:p w:rsidR="00010597" w:rsidRPr="00DD7CCB" w:rsidRDefault="00010597" w:rsidP="00F40A45">
            <w:pPr>
              <w:rPr>
                <w:rFonts w:cs="Arial"/>
                <w:sz w:val="18"/>
                <w:szCs w:val="18"/>
              </w:rPr>
            </w:pPr>
          </w:p>
          <w:p w:rsidR="00010597" w:rsidRPr="00DD7CCB" w:rsidRDefault="00010597" w:rsidP="00F40A45">
            <w:pPr>
              <w:rPr>
                <w:rFonts w:cs="Arial"/>
                <w:sz w:val="18"/>
                <w:szCs w:val="18"/>
              </w:rPr>
            </w:pPr>
            <w:r w:rsidRPr="00DD7CCB">
              <w:rPr>
                <w:rFonts w:cs="Arial"/>
                <w:b/>
                <w:sz w:val="18"/>
                <w:szCs w:val="18"/>
                <w:u w:val="single"/>
              </w:rPr>
              <w:t>Underlining</w:t>
            </w:r>
            <w:r w:rsidRPr="00DD7CCB">
              <w:rPr>
                <w:rFonts w:cs="Arial"/>
                <w:b/>
                <w:sz w:val="18"/>
                <w:szCs w:val="18"/>
              </w:rPr>
              <w:t xml:space="preserve"> (highlighted)</w:t>
            </w:r>
            <w:r w:rsidRPr="00DD7CCB">
              <w:rPr>
                <w:rFonts w:cs="Arial"/>
                <w:sz w:val="18"/>
                <w:szCs w:val="18"/>
              </w:rPr>
              <w:t xml:space="preserve"> indicates insertion to the text of document UPOV/INF/15/2</w:t>
            </w:r>
            <w:r w:rsidR="00DD7CCB" w:rsidRPr="00DD7CCB">
              <w:rPr>
                <w:rFonts w:cs="Arial"/>
                <w:sz w:val="18"/>
                <w:szCs w:val="18"/>
              </w:rPr>
              <w:t xml:space="preserve"> agreed by the CAJ</w:t>
            </w:r>
            <w:r w:rsidRPr="00DD7CCB">
              <w:rPr>
                <w:rFonts w:cs="Arial"/>
                <w:sz w:val="18"/>
                <w:szCs w:val="18"/>
              </w:rPr>
              <w:t>.</w:t>
            </w:r>
          </w:p>
          <w:p w:rsidR="00010597" w:rsidRPr="00DD7CCB" w:rsidRDefault="00010597" w:rsidP="00C33C1A">
            <w:pPr>
              <w:spacing w:line="480" w:lineRule="auto"/>
              <w:rPr>
                <w:sz w:val="18"/>
                <w:szCs w:val="18"/>
              </w:rPr>
            </w:pPr>
          </w:p>
          <w:p w:rsidR="007F7FAA" w:rsidRPr="00DD7CCB" w:rsidRDefault="007F7FAA" w:rsidP="00F40A45">
            <w:pPr>
              <w:rPr>
                <w:b/>
                <w:sz w:val="18"/>
                <w:szCs w:val="18"/>
              </w:rPr>
            </w:pPr>
            <w:r w:rsidRPr="00DD7CCB">
              <w:rPr>
                <w:b/>
                <w:sz w:val="18"/>
                <w:szCs w:val="18"/>
              </w:rPr>
              <w:t>PART II</w:t>
            </w:r>
          </w:p>
          <w:p w:rsidR="007F7FAA" w:rsidRPr="00DD7CCB" w:rsidRDefault="007F7FAA" w:rsidP="00F40A45">
            <w:pPr>
              <w:rPr>
                <w:sz w:val="18"/>
                <w:szCs w:val="18"/>
              </w:rPr>
            </w:pPr>
          </w:p>
          <w:p w:rsidR="007F7FAA" w:rsidRPr="00DD7CCB" w:rsidRDefault="00DD7CCB" w:rsidP="007F7FAA">
            <w:pPr>
              <w:rPr>
                <w:rFonts w:cs="Arial"/>
                <w:sz w:val="18"/>
                <w:szCs w:val="18"/>
              </w:rPr>
            </w:pPr>
            <w:r w:rsidRPr="00DD7CCB">
              <w:rPr>
                <w:rFonts w:cs="Arial"/>
                <w:b/>
                <w:sz w:val="18"/>
                <w:szCs w:val="18"/>
              </w:rPr>
              <w:t>Highlighted</w:t>
            </w:r>
            <w:r w:rsidR="003B2932" w:rsidRPr="00DD7CCB">
              <w:rPr>
                <w:rFonts w:cs="Arial"/>
                <w:sz w:val="18"/>
                <w:szCs w:val="18"/>
              </w:rPr>
              <w:t xml:space="preserve"> </w:t>
            </w:r>
            <w:r w:rsidR="007F7FAA" w:rsidRPr="00DD7CCB">
              <w:rPr>
                <w:rFonts w:cs="Arial"/>
                <w:sz w:val="18"/>
                <w:szCs w:val="18"/>
              </w:rPr>
              <w:t xml:space="preserve">indicates insertion to the text of </w:t>
            </w:r>
            <w:r w:rsidRPr="00DD7CCB">
              <w:rPr>
                <w:rFonts w:cs="Arial"/>
                <w:sz w:val="18"/>
                <w:szCs w:val="18"/>
              </w:rPr>
              <w:t>document UPOV/INF/15/2 agreed by the CAJ.</w:t>
            </w:r>
          </w:p>
          <w:p w:rsidR="007F7FAA" w:rsidRPr="00DD7CCB" w:rsidRDefault="007F7FAA" w:rsidP="007F7FAA">
            <w:pPr>
              <w:rPr>
                <w:rFonts w:cs="Arial"/>
                <w:sz w:val="18"/>
                <w:szCs w:val="18"/>
              </w:rPr>
            </w:pPr>
          </w:p>
          <w:p w:rsidR="007F7FAA" w:rsidRPr="00DD7CCB" w:rsidRDefault="007F7FAA" w:rsidP="007F7FAA">
            <w:pPr>
              <w:rPr>
                <w:rFonts w:cs="Arial"/>
                <w:b/>
                <w:sz w:val="18"/>
                <w:szCs w:val="18"/>
              </w:rPr>
            </w:pPr>
            <w:r w:rsidRPr="00DD7CCB">
              <w:rPr>
                <w:rFonts w:cs="Arial"/>
                <w:b/>
                <w:sz w:val="18"/>
                <w:szCs w:val="18"/>
              </w:rPr>
              <w:t>GENERAL</w:t>
            </w:r>
          </w:p>
          <w:p w:rsidR="007F7FAA" w:rsidRPr="00DD7CCB" w:rsidRDefault="007F7FAA" w:rsidP="00F40A45">
            <w:pPr>
              <w:rPr>
                <w:sz w:val="18"/>
                <w:szCs w:val="18"/>
              </w:rPr>
            </w:pPr>
          </w:p>
          <w:p w:rsidR="00010597" w:rsidRPr="00DD7CCB" w:rsidRDefault="00010597" w:rsidP="00F40A45">
            <w:pPr>
              <w:rPr>
                <w:b/>
                <w:sz w:val="18"/>
                <w:szCs w:val="18"/>
              </w:rPr>
            </w:pPr>
            <w:r w:rsidRPr="00DD7CCB">
              <w:rPr>
                <w:b/>
                <w:sz w:val="18"/>
                <w:szCs w:val="18"/>
              </w:rPr>
              <w:t xml:space="preserve">Endnotes </w:t>
            </w:r>
            <w:r w:rsidRPr="00DD7CCB">
              <w:rPr>
                <w:sz w:val="18"/>
                <w:szCs w:val="18"/>
              </w:rPr>
              <w:t>provide background information when considering the draft version, not to be retained in the approved version of the document.</w:t>
            </w:r>
          </w:p>
          <w:p w:rsidR="00010597" w:rsidRPr="00DD7CCB" w:rsidRDefault="00010597" w:rsidP="00F40A45">
            <w:pPr>
              <w:rPr>
                <w:sz w:val="18"/>
                <w:szCs w:val="18"/>
              </w:rPr>
            </w:pPr>
          </w:p>
          <w:p w:rsidR="007F7FAA" w:rsidRPr="00DD7CCB" w:rsidRDefault="00010597" w:rsidP="0029660D">
            <w:pPr>
              <w:rPr>
                <w:sz w:val="18"/>
                <w:szCs w:val="18"/>
              </w:rPr>
            </w:pPr>
            <w:r w:rsidRPr="00DD7CCB">
              <w:rPr>
                <w:b/>
                <w:sz w:val="18"/>
                <w:szCs w:val="18"/>
              </w:rPr>
              <w:t>Footnotes</w:t>
            </w:r>
            <w:r w:rsidRPr="00DD7CCB">
              <w:rPr>
                <w:sz w:val="18"/>
                <w:szCs w:val="18"/>
              </w:rPr>
              <w:t xml:space="preserve"> to be retained in the published version of the document.</w:t>
            </w:r>
            <w:r w:rsidR="007F7FAA" w:rsidRPr="00DD7CCB">
              <w:rPr>
                <w:sz w:val="18"/>
                <w:szCs w:val="18"/>
              </w:rPr>
              <w:t xml:space="preserve"> </w:t>
            </w:r>
          </w:p>
        </w:tc>
      </w:tr>
    </w:tbl>
    <w:p w:rsidR="000731E9" w:rsidRDefault="000731E9" w:rsidP="000731E9">
      <w:r w:rsidRPr="00977033">
        <w:br w:type="page"/>
      </w:r>
    </w:p>
    <w:p w:rsidR="00C33C1A" w:rsidRDefault="00C33C1A" w:rsidP="000731E9">
      <w:pPr>
        <w:jc w:val="center"/>
      </w:pPr>
    </w:p>
    <w:p w:rsidR="000731E9" w:rsidRDefault="000731E9" w:rsidP="000731E9">
      <w:pPr>
        <w:jc w:val="center"/>
      </w:pPr>
      <w:r>
        <w:t>TABLE OF CONTENTS</w:t>
      </w:r>
    </w:p>
    <w:p w:rsidR="000731E9" w:rsidRDefault="000731E9" w:rsidP="000731E9"/>
    <w:p w:rsidR="005174CD" w:rsidRDefault="000731E9">
      <w:pPr>
        <w:pStyle w:val="TOC1"/>
        <w:rPr>
          <w:rFonts w:asciiTheme="minorHAnsi" w:eastAsiaTheme="minorEastAsia" w:hAnsiTheme="minorHAnsi" w:cstheme="minorBidi"/>
          <w:bCs w:val="0"/>
          <w:caps w:val="0"/>
          <w:noProof/>
          <w:sz w:val="22"/>
          <w:szCs w:val="22"/>
        </w:rPr>
      </w:pPr>
      <w:r>
        <w:fldChar w:fldCharType="begin"/>
      </w:r>
      <w:r>
        <w:instrText xml:space="preserve"> TOC \o "3-3" \h \z \t "Heading 1,1,Heading 2,2" </w:instrText>
      </w:r>
      <w:r>
        <w:fldChar w:fldCharType="separate"/>
      </w:r>
      <w:hyperlink w:anchor="_Toc412041242" w:history="1">
        <w:r w:rsidR="005174CD" w:rsidRPr="00267121">
          <w:rPr>
            <w:rStyle w:val="Hyperlink"/>
            <w:noProof/>
          </w:rPr>
          <w:t>Preamble</w:t>
        </w:r>
        <w:r w:rsidR="005174CD">
          <w:rPr>
            <w:noProof/>
            <w:webHidden/>
          </w:rPr>
          <w:tab/>
        </w:r>
        <w:r w:rsidR="005174CD">
          <w:rPr>
            <w:noProof/>
            <w:webHidden/>
          </w:rPr>
          <w:fldChar w:fldCharType="begin"/>
        </w:r>
        <w:r w:rsidR="005174CD">
          <w:rPr>
            <w:noProof/>
            <w:webHidden/>
          </w:rPr>
          <w:instrText xml:space="preserve"> PAGEREF _Toc412041242 \h </w:instrText>
        </w:r>
        <w:r w:rsidR="005174CD">
          <w:rPr>
            <w:noProof/>
            <w:webHidden/>
          </w:rPr>
        </w:r>
        <w:r w:rsidR="005174CD">
          <w:rPr>
            <w:noProof/>
            <w:webHidden/>
          </w:rPr>
          <w:fldChar w:fldCharType="separate"/>
        </w:r>
        <w:r w:rsidR="00171B99">
          <w:rPr>
            <w:noProof/>
            <w:webHidden/>
          </w:rPr>
          <w:t>3</w:t>
        </w:r>
        <w:r w:rsidR="005174CD">
          <w:rPr>
            <w:noProof/>
            <w:webHidden/>
          </w:rPr>
          <w:fldChar w:fldCharType="end"/>
        </w:r>
      </w:hyperlink>
    </w:p>
    <w:p w:rsidR="005174CD" w:rsidRDefault="00171B99">
      <w:pPr>
        <w:pStyle w:val="TOC1"/>
        <w:rPr>
          <w:rFonts w:asciiTheme="minorHAnsi" w:eastAsiaTheme="minorEastAsia" w:hAnsiTheme="minorHAnsi" w:cstheme="minorBidi"/>
          <w:bCs w:val="0"/>
          <w:caps w:val="0"/>
          <w:noProof/>
          <w:sz w:val="22"/>
          <w:szCs w:val="22"/>
        </w:rPr>
      </w:pPr>
      <w:hyperlink w:anchor="_Toc412041243" w:history="1">
        <w:r w:rsidR="005174CD" w:rsidRPr="00267121">
          <w:rPr>
            <w:rStyle w:val="Hyperlink"/>
            <w:noProof/>
          </w:rPr>
          <w:t xml:space="preserve">PART I. </w:t>
        </w:r>
        <w:r w:rsidR="005174CD">
          <w:rPr>
            <w:rFonts w:asciiTheme="minorHAnsi" w:eastAsiaTheme="minorEastAsia" w:hAnsiTheme="minorHAnsi" w:cstheme="minorBidi"/>
            <w:bCs w:val="0"/>
            <w:caps w:val="0"/>
            <w:noProof/>
            <w:sz w:val="22"/>
            <w:szCs w:val="22"/>
          </w:rPr>
          <w:tab/>
        </w:r>
        <w:r w:rsidR="005174CD" w:rsidRPr="00267121">
          <w:rPr>
            <w:rStyle w:val="Hyperlink"/>
            <w:noProof/>
          </w:rPr>
          <w:t>Responsibilities as a UPOV member</w:t>
        </w:r>
        <w:r w:rsidR="005174CD">
          <w:rPr>
            <w:noProof/>
            <w:webHidden/>
          </w:rPr>
          <w:tab/>
        </w:r>
        <w:r w:rsidR="005174CD">
          <w:rPr>
            <w:noProof/>
            <w:webHidden/>
          </w:rPr>
          <w:fldChar w:fldCharType="begin"/>
        </w:r>
        <w:r w:rsidR="005174CD">
          <w:rPr>
            <w:noProof/>
            <w:webHidden/>
          </w:rPr>
          <w:instrText xml:space="preserve"> PAGEREF _Toc412041243 \h </w:instrText>
        </w:r>
        <w:r w:rsidR="005174CD">
          <w:rPr>
            <w:noProof/>
            <w:webHidden/>
          </w:rPr>
        </w:r>
        <w:r w:rsidR="005174CD">
          <w:rPr>
            <w:noProof/>
            <w:webHidden/>
          </w:rPr>
          <w:fldChar w:fldCharType="separate"/>
        </w:r>
        <w:r>
          <w:rPr>
            <w:noProof/>
            <w:webHidden/>
          </w:rPr>
          <w:t>4</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44" w:history="1">
        <w:r w:rsidR="005174CD" w:rsidRPr="00267121">
          <w:rPr>
            <w:rStyle w:val="Hyperlink"/>
            <w:noProof/>
          </w:rPr>
          <w:t>Section 1. Notifications concerning the representatives and alternates to the Council</w:t>
        </w:r>
        <w:r w:rsidR="005174CD">
          <w:rPr>
            <w:noProof/>
            <w:webHidden/>
          </w:rPr>
          <w:tab/>
        </w:r>
        <w:r w:rsidR="005174CD">
          <w:rPr>
            <w:noProof/>
            <w:webHidden/>
          </w:rPr>
          <w:fldChar w:fldCharType="begin"/>
        </w:r>
        <w:r w:rsidR="005174CD">
          <w:rPr>
            <w:noProof/>
            <w:webHidden/>
          </w:rPr>
          <w:instrText xml:space="preserve"> PAGEREF _Toc412041244 \h </w:instrText>
        </w:r>
        <w:r w:rsidR="005174CD">
          <w:rPr>
            <w:noProof/>
            <w:webHidden/>
          </w:rPr>
        </w:r>
        <w:r w:rsidR="005174CD">
          <w:rPr>
            <w:noProof/>
            <w:webHidden/>
          </w:rPr>
          <w:fldChar w:fldCharType="separate"/>
        </w:r>
        <w:r>
          <w:rPr>
            <w:noProof/>
            <w:webHidden/>
          </w:rPr>
          <w:t>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45" w:history="1">
        <w:r w:rsidR="005174CD" w:rsidRPr="00267121">
          <w:rPr>
            <w:rStyle w:val="Hyperlink"/>
            <w:noProof/>
          </w:rPr>
          <w:t>Initial notification of the representative</w:t>
        </w:r>
        <w:r w:rsidR="005174CD">
          <w:rPr>
            <w:noProof/>
            <w:webHidden/>
          </w:rPr>
          <w:tab/>
        </w:r>
        <w:r w:rsidR="005174CD">
          <w:rPr>
            <w:noProof/>
            <w:webHidden/>
          </w:rPr>
          <w:fldChar w:fldCharType="begin"/>
        </w:r>
        <w:r w:rsidR="005174CD">
          <w:rPr>
            <w:noProof/>
            <w:webHidden/>
          </w:rPr>
          <w:instrText xml:space="preserve"> PAGEREF _Toc412041245 \h </w:instrText>
        </w:r>
        <w:r w:rsidR="005174CD">
          <w:rPr>
            <w:noProof/>
            <w:webHidden/>
          </w:rPr>
        </w:r>
        <w:r w:rsidR="005174CD">
          <w:rPr>
            <w:noProof/>
            <w:webHidden/>
          </w:rPr>
          <w:fldChar w:fldCharType="separate"/>
        </w:r>
        <w:r>
          <w:rPr>
            <w:noProof/>
            <w:webHidden/>
          </w:rPr>
          <w:t>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46" w:history="1">
        <w:r w:rsidR="005174CD" w:rsidRPr="00267121">
          <w:rPr>
            <w:rStyle w:val="Hyperlink"/>
            <w:noProof/>
          </w:rPr>
          <w:t>Subsequent notifications of any changes concerning the representative</w:t>
        </w:r>
        <w:r w:rsidR="005174CD">
          <w:rPr>
            <w:noProof/>
            <w:webHidden/>
          </w:rPr>
          <w:tab/>
        </w:r>
        <w:r w:rsidR="005174CD">
          <w:rPr>
            <w:noProof/>
            <w:webHidden/>
          </w:rPr>
          <w:fldChar w:fldCharType="begin"/>
        </w:r>
        <w:r w:rsidR="005174CD">
          <w:rPr>
            <w:noProof/>
            <w:webHidden/>
          </w:rPr>
          <w:instrText xml:space="preserve"> PAGEREF _Toc412041246 \h </w:instrText>
        </w:r>
        <w:r w:rsidR="005174CD">
          <w:rPr>
            <w:noProof/>
            <w:webHidden/>
          </w:rPr>
        </w:r>
        <w:r w:rsidR="005174CD">
          <w:rPr>
            <w:noProof/>
            <w:webHidden/>
          </w:rPr>
          <w:fldChar w:fldCharType="separate"/>
        </w:r>
        <w:r>
          <w:rPr>
            <w:noProof/>
            <w:webHidden/>
          </w:rPr>
          <w:t>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47" w:history="1">
        <w:r w:rsidR="005174CD" w:rsidRPr="00267121">
          <w:rPr>
            <w:rStyle w:val="Hyperlink"/>
            <w:noProof/>
          </w:rPr>
          <w:t>Responsibilities of the representative</w:t>
        </w:r>
        <w:r w:rsidR="005174CD">
          <w:rPr>
            <w:noProof/>
            <w:webHidden/>
          </w:rPr>
          <w:tab/>
        </w:r>
        <w:r w:rsidR="005174CD">
          <w:rPr>
            <w:noProof/>
            <w:webHidden/>
          </w:rPr>
          <w:fldChar w:fldCharType="begin"/>
        </w:r>
        <w:r w:rsidR="005174CD">
          <w:rPr>
            <w:noProof/>
            <w:webHidden/>
          </w:rPr>
          <w:instrText xml:space="preserve"> PAGEREF _Toc412041247 \h </w:instrText>
        </w:r>
        <w:r w:rsidR="005174CD">
          <w:rPr>
            <w:noProof/>
            <w:webHidden/>
          </w:rPr>
        </w:r>
        <w:r w:rsidR="005174CD">
          <w:rPr>
            <w:noProof/>
            <w:webHidden/>
          </w:rPr>
          <w:fldChar w:fldCharType="separate"/>
        </w:r>
        <w:r>
          <w:rPr>
            <w:noProof/>
            <w:webHidden/>
          </w:rPr>
          <w:t>4</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48" w:history="1">
        <w:r w:rsidR="005174CD" w:rsidRPr="00267121">
          <w:rPr>
            <w:rStyle w:val="Hyperlink"/>
            <w:noProof/>
          </w:rPr>
          <w:t>Section 2. Notifications concerning the legislation governing breeders’ rights and, if appropriate, any extension of the application of the Convention to additional plant genera and species</w:t>
        </w:r>
        <w:r w:rsidR="005174CD">
          <w:rPr>
            <w:noProof/>
            <w:webHidden/>
          </w:rPr>
          <w:tab/>
        </w:r>
        <w:r w:rsidR="005174CD">
          <w:rPr>
            <w:noProof/>
            <w:webHidden/>
          </w:rPr>
          <w:fldChar w:fldCharType="begin"/>
        </w:r>
        <w:r w:rsidR="005174CD">
          <w:rPr>
            <w:noProof/>
            <w:webHidden/>
          </w:rPr>
          <w:instrText xml:space="preserve"> PAGEREF _Toc412041248 \h </w:instrText>
        </w:r>
        <w:r w:rsidR="005174CD">
          <w:rPr>
            <w:noProof/>
            <w:webHidden/>
          </w:rPr>
        </w:r>
        <w:r w:rsidR="005174CD">
          <w:rPr>
            <w:noProof/>
            <w:webHidden/>
          </w:rPr>
          <w:fldChar w:fldCharType="separate"/>
        </w:r>
        <w:r>
          <w:rPr>
            <w:noProof/>
            <w:webHidden/>
          </w:rPr>
          <w:t>5</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49" w:history="1">
        <w:r w:rsidR="005174CD" w:rsidRPr="00267121">
          <w:rPr>
            <w:rStyle w:val="Hyperlink"/>
            <w:noProof/>
          </w:rPr>
          <w:t>Notifications concerning changes in the legislation governing breeders’ rights</w:t>
        </w:r>
        <w:r w:rsidR="005174CD">
          <w:rPr>
            <w:noProof/>
            <w:webHidden/>
          </w:rPr>
          <w:tab/>
        </w:r>
        <w:r w:rsidR="005174CD">
          <w:rPr>
            <w:noProof/>
            <w:webHidden/>
          </w:rPr>
          <w:fldChar w:fldCharType="begin"/>
        </w:r>
        <w:r w:rsidR="005174CD">
          <w:rPr>
            <w:noProof/>
            <w:webHidden/>
          </w:rPr>
          <w:instrText xml:space="preserve"> PAGEREF _Toc412041249 \h </w:instrText>
        </w:r>
        <w:r w:rsidR="005174CD">
          <w:rPr>
            <w:noProof/>
            <w:webHidden/>
          </w:rPr>
        </w:r>
        <w:r w:rsidR="005174CD">
          <w:rPr>
            <w:noProof/>
            <w:webHidden/>
          </w:rPr>
          <w:fldChar w:fldCharType="separate"/>
        </w:r>
        <w:r>
          <w:rPr>
            <w:noProof/>
            <w:webHidden/>
          </w:rPr>
          <w:t>5</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0" w:history="1">
        <w:r w:rsidR="005174CD" w:rsidRPr="00267121">
          <w:rPr>
            <w:rStyle w:val="Hyperlink"/>
            <w:noProof/>
          </w:rPr>
          <w:t>Notification of any extension of the application of the UPOV Convention to additional plant genera and species</w:t>
        </w:r>
        <w:r w:rsidR="005174CD">
          <w:rPr>
            <w:noProof/>
            <w:webHidden/>
          </w:rPr>
          <w:tab/>
        </w:r>
        <w:r w:rsidR="005174CD">
          <w:rPr>
            <w:noProof/>
            <w:webHidden/>
          </w:rPr>
          <w:fldChar w:fldCharType="begin"/>
        </w:r>
        <w:r w:rsidR="005174CD">
          <w:rPr>
            <w:noProof/>
            <w:webHidden/>
          </w:rPr>
          <w:instrText xml:space="preserve"> PAGEREF _Toc412041250 \h </w:instrText>
        </w:r>
        <w:r w:rsidR="005174CD">
          <w:rPr>
            <w:noProof/>
            <w:webHidden/>
          </w:rPr>
        </w:r>
        <w:r w:rsidR="005174CD">
          <w:rPr>
            <w:noProof/>
            <w:webHidden/>
          </w:rPr>
          <w:fldChar w:fldCharType="separate"/>
        </w:r>
        <w:r>
          <w:rPr>
            <w:noProof/>
            <w:webHidden/>
          </w:rPr>
          <w:t>6</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51" w:history="1">
        <w:r w:rsidR="005174CD" w:rsidRPr="00267121">
          <w:rPr>
            <w:rStyle w:val="Hyperlink"/>
            <w:noProof/>
          </w:rPr>
          <w:t>Section 3. Financial obligations concerning the payment of contributions</w:t>
        </w:r>
        <w:r w:rsidR="005174CD">
          <w:rPr>
            <w:noProof/>
            <w:webHidden/>
          </w:rPr>
          <w:tab/>
        </w:r>
        <w:r w:rsidR="005174CD">
          <w:rPr>
            <w:noProof/>
            <w:webHidden/>
          </w:rPr>
          <w:fldChar w:fldCharType="begin"/>
        </w:r>
        <w:r w:rsidR="005174CD">
          <w:rPr>
            <w:noProof/>
            <w:webHidden/>
          </w:rPr>
          <w:instrText xml:space="preserve"> PAGEREF _Toc412041251 \h </w:instrText>
        </w:r>
        <w:r w:rsidR="005174CD">
          <w:rPr>
            <w:noProof/>
            <w:webHidden/>
          </w:rPr>
        </w:r>
        <w:r w:rsidR="005174CD">
          <w:rPr>
            <w:noProof/>
            <w:webHidden/>
          </w:rPr>
          <w:fldChar w:fldCharType="separate"/>
        </w:r>
        <w:r>
          <w:rPr>
            <w:noProof/>
            <w:webHidden/>
          </w:rPr>
          <w:t>7</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52" w:history="1">
        <w:r w:rsidR="005174CD" w:rsidRPr="00267121">
          <w:rPr>
            <w:rStyle w:val="Hyperlink"/>
            <w:noProof/>
          </w:rPr>
          <w:t>Section 4. Information to facilitate cooperation</w:t>
        </w:r>
        <w:r w:rsidR="005174CD">
          <w:rPr>
            <w:noProof/>
            <w:webHidden/>
          </w:rPr>
          <w:tab/>
        </w:r>
        <w:r w:rsidR="005174CD">
          <w:rPr>
            <w:noProof/>
            <w:webHidden/>
          </w:rPr>
          <w:fldChar w:fldCharType="begin"/>
        </w:r>
        <w:r w:rsidR="005174CD">
          <w:rPr>
            <w:noProof/>
            <w:webHidden/>
          </w:rPr>
          <w:instrText xml:space="preserve"> PAGEREF _Toc412041252 \h </w:instrText>
        </w:r>
        <w:r w:rsidR="005174CD">
          <w:rPr>
            <w:noProof/>
            <w:webHidden/>
          </w:rPr>
        </w:r>
        <w:r w:rsidR="005174CD">
          <w:rPr>
            <w:noProof/>
            <w:webHidden/>
          </w:rPr>
          <w:fldChar w:fldCharType="separate"/>
        </w:r>
        <w:r>
          <w:rPr>
            <w:noProof/>
            <w:webHidden/>
          </w:rPr>
          <w:t>7</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3" w:history="1">
        <w:r w:rsidR="005174CD" w:rsidRPr="00267121">
          <w:rPr>
            <w:rStyle w:val="Hyperlink"/>
            <w:noProof/>
          </w:rPr>
          <w:t>DUS Examination (GENIE database)</w:t>
        </w:r>
        <w:r w:rsidR="005174CD">
          <w:rPr>
            <w:noProof/>
            <w:webHidden/>
          </w:rPr>
          <w:tab/>
        </w:r>
        <w:r w:rsidR="005174CD">
          <w:rPr>
            <w:noProof/>
            <w:webHidden/>
          </w:rPr>
          <w:fldChar w:fldCharType="begin"/>
        </w:r>
        <w:r w:rsidR="005174CD">
          <w:rPr>
            <w:noProof/>
            <w:webHidden/>
          </w:rPr>
          <w:instrText xml:space="preserve"> PAGEREF _Toc412041253 \h </w:instrText>
        </w:r>
        <w:r w:rsidR="005174CD">
          <w:rPr>
            <w:noProof/>
            <w:webHidden/>
          </w:rPr>
        </w:r>
        <w:r w:rsidR="005174CD">
          <w:rPr>
            <w:noProof/>
            <w:webHidden/>
          </w:rPr>
          <w:fldChar w:fldCharType="separate"/>
        </w:r>
        <w:r>
          <w:rPr>
            <w:noProof/>
            <w:webHidden/>
          </w:rPr>
          <w:t>7</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4" w:history="1">
        <w:r w:rsidR="005174CD" w:rsidRPr="00267121">
          <w:rPr>
            <w:rStyle w:val="Hyperlink"/>
            <w:noProof/>
          </w:rPr>
          <w:t>Variety Denominations (PLUTO database)</w:t>
        </w:r>
        <w:r w:rsidR="005174CD">
          <w:rPr>
            <w:noProof/>
            <w:webHidden/>
          </w:rPr>
          <w:tab/>
        </w:r>
        <w:r w:rsidR="005174CD">
          <w:rPr>
            <w:noProof/>
            <w:webHidden/>
          </w:rPr>
          <w:fldChar w:fldCharType="begin"/>
        </w:r>
        <w:r w:rsidR="005174CD">
          <w:rPr>
            <w:noProof/>
            <w:webHidden/>
          </w:rPr>
          <w:instrText xml:space="preserve"> PAGEREF _Toc412041254 \h </w:instrText>
        </w:r>
        <w:r w:rsidR="005174CD">
          <w:rPr>
            <w:noProof/>
            <w:webHidden/>
          </w:rPr>
        </w:r>
        <w:r w:rsidR="005174CD">
          <w:rPr>
            <w:noProof/>
            <w:webHidden/>
          </w:rPr>
          <w:fldChar w:fldCharType="separate"/>
        </w:r>
        <w:r>
          <w:rPr>
            <w:noProof/>
            <w:webHidden/>
          </w:rPr>
          <w:t>8</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5" w:history="1">
        <w:r w:rsidR="005174CD" w:rsidRPr="00267121">
          <w:rPr>
            <w:rStyle w:val="Hyperlink"/>
            <w:strike/>
            <w:noProof/>
            <w:highlight w:val="lightGray"/>
          </w:rPr>
          <w:t>Exchangeable Software</w:t>
        </w:r>
        <w:r w:rsidR="005174CD" w:rsidRPr="00267121">
          <w:rPr>
            <w:rStyle w:val="Hyperlink"/>
            <w:noProof/>
          </w:rPr>
          <w:t xml:space="preserve"> </w:t>
        </w:r>
        <w:r w:rsidR="005174CD" w:rsidRPr="00267121">
          <w:rPr>
            <w:rStyle w:val="Hyperlink"/>
            <w:noProof/>
            <w:highlight w:val="lightGray"/>
          </w:rPr>
          <w:t xml:space="preserve">Exchange and use of software and equipment </w:t>
        </w:r>
        <w:r w:rsidR="005174CD">
          <w:rPr>
            <w:noProof/>
            <w:webHidden/>
          </w:rPr>
          <w:tab/>
        </w:r>
        <w:r w:rsidR="005174CD">
          <w:rPr>
            <w:noProof/>
            <w:webHidden/>
          </w:rPr>
          <w:fldChar w:fldCharType="begin"/>
        </w:r>
        <w:r w:rsidR="005174CD">
          <w:rPr>
            <w:noProof/>
            <w:webHidden/>
          </w:rPr>
          <w:instrText xml:space="preserve"> PAGEREF _Toc412041255 \h </w:instrText>
        </w:r>
        <w:r w:rsidR="005174CD">
          <w:rPr>
            <w:noProof/>
            <w:webHidden/>
          </w:rPr>
        </w:r>
        <w:r w:rsidR="005174CD">
          <w:rPr>
            <w:noProof/>
            <w:webHidden/>
          </w:rPr>
          <w:fldChar w:fldCharType="separate"/>
        </w:r>
        <w:r>
          <w:rPr>
            <w:noProof/>
            <w:webHidden/>
          </w:rPr>
          <w:t>8</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6" w:history="1">
        <w:r w:rsidR="005174CD" w:rsidRPr="00267121">
          <w:rPr>
            <w:rStyle w:val="Hyperlink"/>
            <w:noProof/>
          </w:rPr>
          <w:t>Plant Variety Protection Statistics</w:t>
        </w:r>
        <w:r w:rsidR="005174CD">
          <w:rPr>
            <w:noProof/>
            <w:webHidden/>
          </w:rPr>
          <w:tab/>
        </w:r>
        <w:r w:rsidR="005174CD">
          <w:rPr>
            <w:noProof/>
            <w:webHidden/>
          </w:rPr>
          <w:fldChar w:fldCharType="begin"/>
        </w:r>
        <w:r w:rsidR="005174CD">
          <w:rPr>
            <w:noProof/>
            <w:webHidden/>
          </w:rPr>
          <w:instrText xml:space="preserve"> PAGEREF _Toc412041256 \h </w:instrText>
        </w:r>
        <w:r w:rsidR="005174CD">
          <w:rPr>
            <w:noProof/>
            <w:webHidden/>
          </w:rPr>
        </w:r>
        <w:r w:rsidR="005174CD">
          <w:rPr>
            <w:noProof/>
            <w:webHidden/>
          </w:rPr>
          <w:fldChar w:fldCharType="separate"/>
        </w:r>
        <w:r>
          <w:rPr>
            <w:noProof/>
            <w:webHidden/>
          </w:rPr>
          <w:t>8</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57" w:history="1">
        <w:r w:rsidR="005174CD" w:rsidRPr="00267121">
          <w:rPr>
            <w:rStyle w:val="Hyperlink"/>
            <w:noProof/>
          </w:rPr>
          <w:t>Other Developments in members of the Union</w:t>
        </w:r>
        <w:r w:rsidR="005174CD">
          <w:rPr>
            <w:noProof/>
            <w:webHidden/>
          </w:rPr>
          <w:tab/>
        </w:r>
        <w:r w:rsidR="005174CD">
          <w:rPr>
            <w:noProof/>
            <w:webHidden/>
          </w:rPr>
          <w:fldChar w:fldCharType="begin"/>
        </w:r>
        <w:r w:rsidR="005174CD">
          <w:rPr>
            <w:noProof/>
            <w:webHidden/>
          </w:rPr>
          <w:instrText xml:space="preserve"> PAGEREF _Toc412041257 \h </w:instrText>
        </w:r>
        <w:r w:rsidR="005174CD">
          <w:rPr>
            <w:noProof/>
            <w:webHidden/>
          </w:rPr>
        </w:r>
        <w:r w:rsidR="005174CD">
          <w:rPr>
            <w:noProof/>
            <w:webHidden/>
          </w:rPr>
          <w:fldChar w:fldCharType="separate"/>
        </w:r>
        <w:r>
          <w:rPr>
            <w:noProof/>
            <w:webHidden/>
          </w:rPr>
          <w:t>8</w:t>
        </w:r>
        <w:r w:rsidR="005174CD">
          <w:rPr>
            <w:noProof/>
            <w:webHidden/>
          </w:rPr>
          <w:fldChar w:fldCharType="end"/>
        </w:r>
      </w:hyperlink>
    </w:p>
    <w:p w:rsidR="005174CD" w:rsidRDefault="00171B99">
      <w:pPr>
        <w:pStyle w:val="TOC1"/>
        <w:rPr>
          <w:rFonts w:asciiTheme="minorHAnsi" w:eastAsiaTheme="minorEastAsia" w:hAnsiTheme="minorHAnsi" w:cstheme="minorBidi"/>
          <w:bCs w:val="0"/>
          <w:caps w:val="0"/>
          <w:noProof/>
          <w:sz w:val="22"/>
          <w:szCs w:val="22"/>
        </w:rPr>
      </w:pPr>
      <w:hyperlink w:anchor="_Toc412041258" w:history="1">
        <w:r w:rsidR="005174CD" w:rsidRPr="00267121">
          <w:rPr>
            <w:rStyle w:val="Hyperlink"/>
            <w:noProof/>
            <w:highlight w:val="lightGray"/>
          </w:rPr>
          <w:t>PART II.  OPERATIng the UPOV PLANT VARIETY PROTECTION SYSTEM</w:t>
        </w:r>
        <w:r w:rsidR="005174CD">
          <w:rPr>
            <w:noProof/>
            <w:webHidden/>
          </w:rPr>
          <w:tab/>
        </w:r>
        <w:r w:rsidR="005174CD">
          <w:rPr>
            <w:noProof/>
            <w:webHidden/>
          </w:rPr>
          <w:fldChar w:fldCharType="begin"/>
        </w:r>
        <w:r w:rsidR="005174CD">
          <w:rPr>
            <w:noProof/>
            <w:webHidden/>
          </w:rPr>
          <w:instrText xml:space="preserve"> PAGEREF _Toc412041258 \h </w:instrText>
        </w:r>
        <w:r w:rsidR="005174CD">
          <w:rPr>
            <w:noProof/>
            <w:webHidden/>
          </w:rPr>
        </w:r>
        <w:r w:rsidR="005174CD">
          <w:rPr>
            <w:noProof/>
            <w:webHidden/>
          </w:rPr>
          <w:fldChar w:fldCharType="separate"/>
        </w:r>
        <w:r>
          <w:rPr>
            <w:noProof/>
            <w:webHidden/>
          </w:rPr>
          <w:t>9</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59" w:history="1">
        <w:r w:rsidR="005174CD" w:rsidRPr="00267121">
          <w:rPr>
            <w:rStyle w:val="Hyperlink"/>
            <w:noProof/>
            <w:highlight w:val="lightGray"/>
          </w:rPr>
          <w:t>Section 1.  The Plant Breeders’ Rights Office</w:t>
        </w:r>
        <w:r w:rsidR="005174CD">
          <w:rPr>
            <w:noProof/>
            <w:webHidden/>
          </w:rPr>
          <w:tab/>
        </w:r>
        <w:r w:rsidR="005174CD">
          <w:rPr>
            <w:noProof/>
            <w:webHidden/>
          </w:rPr>
          <w:fldChar w:fldCharType="begin"/>
        </w:r>
        <w:r w:rsidR="005174CD">
          <w:rPr>
            <w:noProof/>
            <w:webHidden/>
          </w:rPr>
          <w:instrText xml:space="preserve"> PAGEREF _Toc412041259 \h </w:instrText>
        </w:r>
        <w:r w:rsidR="005174CD">
          <w:rPr>
            <w:noProof/>
            <w:webHidden/>
          </w:rPr>
        </w:r>
        <w:r w:rsidR="005174CD">
          <w:rPr>
            <w:noProof/>
            <w:webHidden/>
          </w:rPr>
          <w:fldChar w:fldCharType="separate"/>
        </w:r>
        <w:r>
          <w:rPr>
            <w:noProof/>
            <w:webHidden/>
          </w:rPr>
          <w:t>9</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0" w:history="1">
        <w:r w:rsidR="005174CD" w:rsidRPr="00267121">
          <w:rPr>
            <w:rStyle w:val="Hyperlink"/>
            <w:noProof/>
            <w:highlight w:val="lightGray"/>
          </w:rPr>
          <w:t>Introduction</w:t>
        </w:r>
        <w:r w:rsidR="005174CD">
          <w:rPr>
            <w:noProof/>
            <w:webHidden/>
          </w:rPr>
          <w:tab/>
        </w:r>
        <w:r w:rsidR="005174CD">
          <w:rPr>
            <w:noProof/>
            <w:webHidden/>
          </w:rPr>
          <w:fldChar w:fldCharType="begin"/>
        </w:r>
        <w:r w:rsidR="005174CD">
          <w:rPr>
            <w:noProof/>
            <w:webHidden/>
          </w:rPr>
          <w:instrText xml:space="preserve"> PAGEREF _Toc412041260 \h </w:instrText>
        </w:r>
        <w:r w:rsidR="005174CD">
          <w:rPr>
            <w:noProof/>
            <w:webHidden/>
          </w:rPr>
        </w:r>
        <w:r w:rsidR="005174CD">
          <w:rPr>
            <w:noProof/>
            <w:webHidden/>
          </w:rPr>
          <w:fldChar w:fldCharType="separate"/>
        </w:r>
        <w:r>
          <w:rPr>
            <w:noProof/>
            <w:webHidden/>
          </w:rPr>
          <w:t>9</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1" w:history="1">
        <w:r w:rsidR="005174CD" w:rsidRPr="00267121">
          <w:rPr>
            <w:rStyle w:val="Hyperlink"/>
            <w:noProof/>
            <w:highlight w:val="lightGray"/>
            <w:lang w:val="en"/>
          </w:rPr>
          <w:t>Table of Contents of the UPOV Collection</w:t>
        </w:r>
        <w:r w:rsidR="005174CD">
          <w:rPr>
            <w:noProof/>
            <w:webHidden/>
          </w:rPr>
          <w:tab/>
        </w:r>
        <w:r w:rsidR="005174CD">
          <w:rPr>
            <w:noProof/>
            <w:webHidden/>
          </w:rPr>
          <w:fldChar w:fldCharType="begin"/>
        </w:r>
        <w:r w:rsidR="005174CD">
          <w:rPr>
            <w:noProof/>
            <w:webHidden/>
          </w:rPr>
          <w:instrText xml:space="preserve"> PAGEREF _Toc412041261 \h </w:instrText>
        </w:r>
        <w:r w:rsidR="005174CD">
          <w:rPr>
            <w:noProof/>
            <w:webHidden/>
          </w:rPr>
        </w:r>
        <w:r w:rsidR="005174CD">
          <w:rPr>
            <w:noProof/>
            <w:webHidden/>
          </w:rPr>
          <w:fldChar w:fldCharType="separate"/>
        </w:r>
        <w:r>
          <w:rPr>
            <w:noProof/>
            <w:webHidden/>
          </w:rPr>
          <w:t>10</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2" w:history="1">
        <w:r w:rsidR="005174CD" w:rsidRPr="00267121">
          <w:rPr>
            <w:rStyle w:val="Hyperlink"/>
            <w:noProof/>
            <w:highlight w:val="lightGray"/>
          </w:rPr>
          <w:t>Establishment of a PBR Office</w:t>
        </w:r>
        <w:r w:rsidR="005174CD">
          <w:rPr>
            <w:noProof/>
            <w:webHidden/>
          </w:rPr>
          <w:tab/>
        </w:r>
        <w:r w:rsidR="005174CD">
          <w:rPr>
            <w:noProof/>
            <w:webHidden/>
          </w:rPr>
          <w:fldChar w:fldCharType="begin"/>
        </w:r>
        <w:r w:rsidR="005174CD">
          <w:rPr>
            <w:noProof/>
            <w:webHidden/>
          </w:rPr>
          <w:instrText xml:space="preserve"> PAGEREF _Toc412041262 \h </w:instrText>
        </w:r>
        <w:r w:rsidR="005174CD">
          <w:rPr>
            <w:noProof/>
            <w:webHidden/>
          </w:rPr>
        </w:r>
        <w:r w:rsidR="005174CD">
          <w:rPr>
            <w:noProof/>
            <w:webHidden/>
          </w:rPr>
          <w:fldChar w:fldCharType="separate"/>
        </w:r>
        <w:r>
          <w:rPr>
            <w:noProof/>
            <w:webHidden/>
          </w:rPr>
          <w:t>10</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3" w:history="1">
        <w:r w:rsidR="005174CD" w:rsidRPr="00267121">
          <w:rPr>
            <w:rStyle w:val="Hyperlink"/>
            <w:noProof/>
            <w:highlight w:val="lightGray"/>
          </w:rPr>
          <w:t>Functions and structure of a PBR Office</w:t>
        </w:r>
        <w:r w:rsidR="005174CD">
          <w:rPr>
            <w:noProof/>
            <w:webHidden/>
          </w:rPr>
          <w:tab/>
        </w:r>
        <w:r w:rsidR="005174CD">
          <w:rPr>
            <w:noProof/>
            <w:webHidden/>
          </w:rPr>
          <w:fldChar w:fldCharType="begin"/>
        </w:r>
        <w:r w:rsidR="005174CD">
          <w:rPr>
            <w:noProof/>
            <w:webHidden/>
          </w:rPr>
          <w:instrText xml:space="preserve"> PAGEREF _Toc412041263 \h </w:instrText>
        </w:r>
        <w:r w:rsidR="005174CD">
          <w:rPr>
            <w:noProof/>
            <w:webHidden/>
          </w:rPr>
        </w:r>
        <w:r w:rsidR="005174CD">
          <w:rPr>
            <w:noProof/>
            <w:webHidden/>
          </w:rPr>
          <w:fldChar w:fldCharType="separate"/>
        </w:r>
        <w:r>
          <w:rPr>
            <w:noProof/>
            <w:webHidden/>
          </w:rPr>
          <w:t>10</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4" w:history="1">
        <w:r w:rsidR="005174CD" w:rsidRPr="00267121">
          <w:rPr>
            <w:rStyle w:val="Hyperlink"/>
            <w:noProof/>
            <w:highlight w:val="lightGray"/>
          </w:rPr>
          <w:t>Flow diagram 1: Basic tasks within the PBR Office</w:t>
        </w:r>
        <w:r w:rsidR="005174CD">
          <w:rPr>
            <w:noProof/>
            <w:webHidden/>
          </w:rPr>
          <w:tab/>
        </w:r>
        <w:r w:rsidR="005174CD">
          <w:rPr>
            <w:noProof/>
            <w:webHidden/>
          </w:rPr>
          <w:fldChar w:fldCharType="begin"/>
        </w:r>
        <w:r w:rsidR="005174CD">
          <w:rPr>
            <w:noProof/>
            <w:webHidden/>
          </w:rPr>
          <w:instrText xml:space="preserve"> PAGEREF _Toc412041264 \h </w:instrText>
        </w:r>
        <w:r w:rsidR="005174CD">
          <w:rPr>
            <w:noProof/>
            <w:webHidden/>
          </w:rPr>
        </w:r>
        <w:r w:rsidR="005174CD">
          <w:rPr>
            <w:noProof/>
            <w:webHidden/>
          </w:rPr>
          <w:fldChar w:fldCharType="separate"/>
        </w:r>
        <w:r>
          <w:rPr>
            <w:noProof/>
            <w:webHidden/>
          </w:rPr>
          <w:t>11</w:t>
        </w:r>
        <w:r w:rsidR="005174CD">
          <w:rPr>
            <w:noProof/>
            <w:webHidden/>
          </w:rPr>
          <w:fldChar w:fldCharType="end"/>
        </w:r>
      </w:hyperlink>
    </w:p>
    <w:p w:rsidR="005174CD" w:rsidRDefault="00171B99">
      <w:pPr>
        <w:pStyle w:val="TOC2"/>
        <w:rPr>
          <w:rFonts w:asciiTheme="minorHAnsi" w:eastAsiaTheme="minorEastAsia" w:hAnsiTheme="minorHAnsi" w:cstheme="minorBidi"/>
          <w:noProof/>
          <w:sz w:val="22"/>
          <w:szCs w:val="22"/>
        </w:rPr>
      </w:pPr>
      <w:hyperlink w:anchor="_Toc412041265" w:history="1">
        <w:r w:rsidR="005174CD" w:rsidRPr="00267121">
          <w:rPr>
            <w:rStyle w:val="Hyperlink"/>
            <w:noProof/>
            <w:highlight w:val="lightGray"/>
          </w:rPr>
          <w:t>Section 2. Administration of applications</w:t>
        </w:r>
        <w:r w:rsidR="005174CD">
          <w:rPr>
            <w:noProof/>
            <w:webHidden/>
          </w:rPr>
          <w:tab/>
        </w:r>
        <w:r w:rsidR="005174CD">
          <w:rPr>
            <w:noProof/>
            <w:webHidden/>
          </w:rPr>
          <w:fldChar w:fldCharType="begin"/>
        </w:r>
        <w:r w:rsidR="005174CD">
          <w:rPr>
            <w:noProof/>
            <w:webHidden/>
          </w:rPr>
          <w:instrText xml:space="preserve"> PAGEREF _Toc412041265 \h </w:instrText>
        </w:r>
        <w:r w:rsidR="005174CD">
          <w:rPr>
            <w:noProof/>
            <w:webHidden/>
          </w:rPr>
        </w:r>
        <w:r w:rsidR="005174CD">
          <w:rPr>
            <w:noProof/>
            <w:webHidden/>
          </w:rPr>
          <w:fldChar w:fldCharType="separate"/>
        </w:r>
        <w:r>
          <w:rPr>
            <w:noProof/>
            <w:webHidden/>
          </w:rPr>
          <w:t>11</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6" w:history="1">
        <w:r w:rsidR="005174CD" w:rsidRPr="00267121">
          <w:rPr>
            <w:rStyle w:val="Hyperlink"/>
            <w:noProof/>
            <w:highlight w:val="lightGray"/>
          </w:rPr>
          <w:t>Application for plant breeders’ rights (see note (a) in the flow diagram in Section 1)</w:t>
        </w:r>
        <w:r w:rsidR="005174CD">
          <w:rPr>
            <w:noProof/>
            <w:webHidden/>
          </w:rPr>
          <w:tab/>
        </w:r>
        <w:r w:rsidR="005174CD">
          <w:rPr>
            <w:noProof/>
            <w:webHidden/>
          </w:rPr>
          <w:fldChar w:fldCharType="begin"/>
        </w:r>
        <w:r w:rsidR="005174CD">
          <w:rPr>
            <w:noProof/>
            <w:webHidden/>
          </w:rPr>
          <w:instrText xml:space="preserve"> PAGEREF _Toc412041266 \h </w:instrText>
        </w:r>
        <w:r w:rsidR="005174CD">
          <w:rPr>
            <w:noProof/>
            <w:webHidden/>
          </w:rPr>
        </w:r>
        <w:r w:rsidR="005174CD">
          <w:rPr>
            <w:noProof/>
            <w:webHidden/>
          </w:rPr>
          <w:fldChar w:fldCharType="separate"/>
        </w:r>
        <w:r>
          <w:rPr>
            <w:noProof/>
            <w:webHidden/>
          </w:rPr>
          <w:t>11</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7" w:history="1">
        <w:r w:rsidR="005174CD" w:rsidRPr="00267121">
          <w:rPr>
            <w:rStyle w:val="Hyperlink"/>
            <w:noProof/>
            <w:highlight w:val="lightGray"/>
          </w:rPr>
          <w:t>Development of forms</w:t>
        </w:r>
        <w:r w:rsidR="005174CD">
          <w:rPr>
            <w:noProof/>
            <w:webHidden/>
          </w:rPr>
          <w:tab/>
        </w:r>
        <w:r w:rsidR="005174CD">
          <w:rPr>
            <w:noProof/>
            <w:webHidden/>
          </w:rPr>
          <w:fldChar w:fldCharType="begin"/>
        </w:r>
        <w:r w:rsidR="005174CD">
          <w:rPr>
            <w:noProof/>
            <w:webHidden/>
          </w:rPr>
          <w:instrText xml:space="preserve"> PAGEREF _Toc412041267 \h </w:instrText>
        </w:r>
        <w:r w:rsidR="005174CD">
          <w:rPr>
            <w:noProof/>
            <w:webHidden/>
          </w:rPr>
        </w:r>
        <w:r w:rsidR="005174CD">
          <w:rPr>
            <w:noProof/>
            <w:webHidden/>
          </w:rPr>
          <w:fldChar w:fldCharType="separate"/>
        </w:r>
        <w:r>
          <w:rPr>
            <w:noProof/>
            <w:webHidden/>
          </w:rPr>
          <w:t>12</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8" w:history="1">
        <w:r w:rsidR="005174CD" w:rsidRPr="00267121">
          <w:rPr>
            <w:rStyle w:val="Hyperlink"/>
            <w:noProof/>
            <w:highlight w:val="lightGray"/>
          </w:rPr>
          <w:t>Assigning filing date</w:t>
        </w:r>
        <w:r w:rsidR="005174CD">
          <w:rPr>
            <w:noProof/>
            <w:webHidden/>
          </w:rPr>
          <w:tab/>
        </w:r>
        <w:r w:rsidR="005174CD">
          <w:rPr>
            <w:noProof/>
            <w:webHidden/>
          </w:rPr>
          <w:fldChar w:fldCharType="begin"/>
        </w:r>
        <w:r w:rsidR="005174CD">
          <w:rPr>
            <w:noProof/>
            <w:webHidden/>
          </w:rPr>
          <w:instrText xml:space="preserve"> PAGEREF _Toc412041268 \h </w:instrText>
        </w:r>
        <w:r w:rsidR="005174CD">
          <w:rPr>
            <w:noProof/>
            <w:webHidden/>
          </w:rPr>
        </w:r>
        <w:r w:rsidR="005174CD">
          <w:rPr>
            <w:noProof/>
            <w:webHidden/>
          </w:rPr>
          <w:fldChar w:fldCharType="separate"/>
        </w:r>
        <w:r>
          <w:rPr>
            <w:noProof/>
            <w:webHidden/>
          </w:rPr>
          <w:t>14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69" w:history="1">
        <w:r w:rsidR="005174CD" w:rsidRPr="00267121">
          <w:rPr>
            <w:rStyle w:val="Hyperlink"/>
            <w:noProof/>
            <w:highlight w:val="lightGray"/>
          </w:rPr>
          <w:t>Application duly filed (see note (b) in the flow diagram in Section 1)</w:t>
        </w:r>
        <w:r w:rsidR="005174CD">
          <w:rPr>
            <w:noProof/>
            <w:webHidden/>
          </w:rPr>
          <w:tab/>
        </w:r>
        <w:r w:rsidR="005174CD">
          <w:rPr>
            <w:noProof/>
            <w:webHidden/>
          </w:rPr>
          <w:fldChar w:fldCharType="begin"/>
        </w:r>
        <w:r w:rsidR="005174CD">
          <w:rPr>
            <w:noProof/>
            <w:webHidden/>
          </w:rPr>
          <w:instrText xml:space="preserve"> PAGEREF _Toc412041269 \h </w:instrText>
        </w:r>
        <w:r w:rsidR="005174CD">
          <w:rPr>
            <w:noProof/>
            <w:webHidden/>
          </w:rPr>
        </w:r>
        <w:r w:rsidR="005174CD">
          <w:rPr>
            <w:noProof/>
            <w:webHidden/>
          </w:rPr>
          <w:fldChar w:fldCharType="separate"/>
        </w:r>
        <w:r>
          <w:rPr>
            <w:noProof/>
            <w:webHidden/>
          </w:rPr>
          <w:t>14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0" w:history="1">
        <w:r w:rsidR="005174CD" w:rsidRPr="00267121">
          <w:rPr>
            <w:rStyle w:val="Hyperlink"/>
            <w:noProof/>
            <w:highlight w:val="lightGray"/>
          </w:rPr>
          <w:t>Publication (see note (c) in the flow diagram in Section 1)</w:t>
        </w:r>
        <w:r w:rsidR="005174CD">
          <w:rPr>
            <w:noProof/>
            <w:webHidden/>
          </w:rPr>
          <w:tab/>
        </w:r>
        <w:r w:rsidR="005174CD">
          <w:rPr>
            <w:noProof/>
            <w:webHidden/>
          </w:rPr>
          <w:fldChar w:fldCharType="begin"/>
        </w:r>
        <w:r w:rsidR="005174CD">
          <w:rPr>
            <w:noProof/>
            <w:webHidden/>
          </w:rPr>
          <w:instrText xml:space="preserve"> PAGEREF _Toc412041270 \h </w:instrText>
        </w:r>
        <w:r w:rsidR="005174CD">
          <w:rPr>
            <w:noProof/>
            <w:webHidden/>
          </w:rPr>
        </w:r>
        <w:r w:rsidR="005174CD">
          <w:rPr>
            <w:noProof/>
            <w:webHidden/>
          </w:rPr>
          <w:fldChar w:fldCharType="separate"/>
        </w:r>
        <w:r>
          <w:rPr>
            <w:noProof/>
            <w:webHidden/>
          </w:rPr>
          <w:t>14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1" w:history="1">
        <w:r w:rsidR="005174CD" w:rsidRPr="00267121">
          <w:rPr>
            <w:rStyle w:val="Hyperlink"/>
            <w:noProof/>
            <w:highlight w:val="lightGray"/>
          </w:rPr>
          <w:t>Examination of requirements (see note (d) in the flow diagram in Section 1)</w:t>
        </w:r>
        <w:r w:rsidR="005174CD">
          <w:rPr>
            <w:noProof/>
            <w:webHidden/>
          </w:rPr>
          <w:tab/>
        </w:r>
        <w:r w:rsidR="005174CD">
          <w:rPr>
            <w:noProof/>
            <w:webHidden/>
          </w:rPr>
          <w:fldChar w:fldCharType="begin"/>
        </w:r>
        <w:r w:rsidR="005174CD">
          <w:rPr>
            <w:noProof/>
            <w:webHidden/>
          </w:rPr>
          <w:instrText xml:space="preserve"> PAGEREF _Toc412041271 \h </w:instrText>
        </w:r>
        <w:r w:rsidR="005174CD">
          <w:rPr>
            <w:noProof/>
            <w:webHidden/>
          </w:rPr>
        </w:r>
        <w:r w:rsidR="005174CD">
          <w:rPr>
            <w:noProof/>
            <w:webHidden/>
          </w:rPr>
          <w:fldChar w:fldCharType="separate"/>
        </w:r>
        <w:r>
          <w:rPr>
            <w:noProof/>
            <w:webHidden/>
          </w:rPr>
          <w:t>14</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2" w:history="1">
        <w:r w:rsidR="005174CD" w:rsidRPr="00267121">
          <w:rPr>
            <w:rStyle w:val="Hyperlink"/>
            <w:noProof/>
            <w:highlight w:val="lightGray"/>
          </w:rPr>
          <w:t>DUS examination (see note (e) in the flow diagram in Section 1)</w:t>
        </w:r>
        <w:r w:rsidR="005174CD">
          <w:rPr>
            <w:noProof/>
            <w:webHidden/>
          </w:rPr>
          <w:tab/>
        </w:r>
        <w:r w:rsidR="005174CD">
          <w:rPr>
            <w:noProof/>
            <w:webHidden/>
          </w:rPr>
          <w:fldChar w:fldCharType="begin"/>
        </w:r>
        <w:r w:rsidR="005174CD">
          <w:rPr>
            <w:noProof/>
            <w:webHidden/>
          </w:rPr>
          <w:instrText xml:space="preserve"> PAGEREF _Toc412041272 \h </w:instrText>
        </w:r>
        <w:r w:rsidR="005174CD">
          <w:rPr>
            <w:noProof/>
            <w:webHidden/>
          </w:rPr>
        </w:r>
        <w:r w:rsidR="005174CD">
          <w:rPr>
            <w:noProof/>
            <w:webHidden/>
          </w:rPr>
          <w:fldChar w:fldCharType="separate"/>
        </w:r>
        <w:r>
          <w:rPr>
            <w:noProof/>
            <w:webHidden/>
          </w:rPr>
          <w:t>15</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3" w:history="1">
        <w:r w:rsidR="005174CD" w:rsidRPr="00267121">
          <w:rPr>
            <w:rStyle w:val="Hyperlink"/>
            <w:noProof/>
            <w:highlight w:val="lightGray"/>
          </w:rPr>
          <w:t>Proposed decision (see note (f) in the flow diagram in Section 1)</w:t>
        </w:r>
        <w:r w:rsidR="005174CD">
          <w:rPr>
            <w:noProof/>
            <w:webHidden/>
          </w:rPr>
          <w:tab/>
        </w:r>
        <w:r w:rsidR="005174CD">
          <w:rPr>
            <w:noProof/>
            <w:webHidden/>
          </w:rPr>
          <w:fldChar w:fldCharType="begin"/>
        </w:r>
        <w:r w:rsidR="005174CD">
          <w:rPr>
            <w:noProof/>
            <w:webHidden/>
          </w:rPr>
          <w:instrText xml:space="preserve"> PAGEREF _Toc412041273 \h </w:instrText>
        </w:r>
        <w:r w:rsidR="005174CD">
          <w:rPr>
            <w:noProof/>
            <w:webHidden/>
          </w:rPr>
        </w:r>
        <w:r w:rsidR="005174CD">
          <w:rPr>
            <w:noProof/>
            <w:webHidden/>
          </w:rPr>
          <w:fldChar w:fldCharType="separate"/>
        </w:r>
        <w:r>
          <w:rPr>
            <w:noProof/>
            <w:webHidden/>
          </w:rPr>
          <w:t>15</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4" w:history="1">
        <w:r w:rsidR="005174CD" w:rsidRPr="00267121">
          <w:rPr>
            <w:rStyle w:val="Hyperlink"/>
            <w:noProof/>
            <w:highlight w:val="lightGray"/>
          </w:rPr>
          <w:t>Objections (see note (g) in the flow diagram in Section 1)</w:t>
        </w:r>
        <w:r w:rsidR="005174CD">
          <w:rPr>
            <w:noProof/>
            <w:webHidden/>
          </w:rPr>
          <w:tab/>
        </w:r>
        <w:r w:rsidR="005174CD">
          <w:rPr>
            <w:noProof/>
            <w:webHidden/>
          </w:rPr>
          <w:fldChar w:fldCharType="begin"/>
        </w:r>
        <w:r w:rsidR="005174CD">
          <w:rPr>
            <w:noProof/>
            <w:webHidden/>
          </w:rPr>
          <w:instrText xml:space="preserve"> PAGEREF _Toc412041274 \h </w:instrText>
        </w:r>
        <w:r w:rsidR="005174CD">
          <w:rPr>
            <w:noProof/>
            <w:webHidden/>
          </w:rPr>
        </w:r>
        <w:r w:rsidR="005174CD">
          <w:rPr>
            <w:noProof/>
            <w:webHidden/>
          </w:rPr>
          <w:fldChar w:fldCharType="separate"/>
        </w:r>
        <w:r>
          <w:rPr>
            <w:noProof/>
            <w:webHidden/>
          </w:rPr>
          <w:t>15</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5" w:history="1">
        <w:r w:rsidR="005174CD" w:rsidRPr="00267121">
          <w:rPr>
            <w:rStyle w:val="Hyperlink"/>
            <w:noProof/>
            <w:highlight w:val="lightGray"/>
          </w:rPr>
          <w:t>Title grant (see note (h) in the flow diagram in Section 1)</w:t>
        </w:r>
        <w:r w:rsidR="005174CD">
          <w:rPr>
            <w:noProof/>
            <w:webHidden/>
          </w:rPr>
          <w:tab/>
        </w:r>
        <w:r w:rsidR="005174CD">
          <w:rPr>
            <w:noProof/>
            <w:webHidden/>
          </w:rPr>
          <w:fldChar w:fldCharType="begin"/>
        </w:r>
        <w:r w:rsidR="005174CD">
          <w:rPr>
            <w:noProof/>
            <w:webHidden/>
          </w:rPr>
          <w:instrText xml:space="preserve"> PAGEREF _Toc412041275 \h </w:instrText>
        </w:r>
        <w:r w:rsidR="005174CD">
          <w:rPr>
            <w:noProof/>
            <w:webHidden/>
          </w:rPr>
        </w:r>
        <w:r w:rsidR="005174CD">
          <w:rPr>
            <w:noProof/>
            <w:webHidden/>
          </w:rPr>
          <w:fldChar w:fldCharType="separate"/>
        </w:r>
        <w:r>
          <w:rPr>
            <w:noProof/>
            <w:webHidden/>
          </w:rPr>
          <w:t>16</w:t>
        </w:r>
        <w:r w:rsidR="005174CD">
          <w:rPr>
            <w:noProof/>
            <w:webHidden/>
          </w:rPr>
          <w:fldChar w:fldCharType="end"/>
        </w:r>
      </w:hyperlink>
    </w:p>
    <w:p w:rsidR="005174CD" w:rsidRDefault="00171B99">
      <w:pPr>
        <w:pStyle w:val="TOC3"/>
        <w:rPr>
          <w:rFonts w:asciiTheme="minorHAnsi" w:eastAsiaTheme="minorEastAsia" w:hAnsiTheme="minorHAnsi" w:cstheme="minorBidi"/>
          <w:noProof/>
          <w:sz w:val="22"/>
          <w:szCs w:val="22"/>
          <w:lang w:val="en-US"/>
        </w:rPr>
      </w:pPr>
      <w:hyperlink w:anchor="_Toc412041276" w:history="1">
        <w:r w:rsidR="005174CD" w:rsidRPr="00267121">
          <w:rPr>
            <w:rStyle w:val="Hyperlink"/>
            <w:noProof/>
            <w:highlight w:val="lightGray"/>
          </w:rPr>
          <w:t>Matters after the grant (see note (i) in the flow diagram in Section 1)</w:t>
        </w:r>
        <w:r w:rsidR="005174CD">
          <w:rPr>
            <w:noProof/>
            <w:webHidden/>
          </w:rPr>
          <w:tab/>
        </w:r>
        <w:r w:rsidR="005174CD">
          <w:rPr>
            <w:noProof/>
            <w:webHidden/>
          </w:rPr>
          <w:fldChar w:fldCharType="begin"/>
        </w:r>
        <w:r w:rsidR="005174CD">
          <w:rPr>
            <w:noProof/>
            <w:webHidden/>
          </w:rPr>
          <w:instrText xml:space="preserve"> PAGEREF _Toc412041276 \h </w:instrText>
        </w:r>
        <w:r w:rsidR="005174CD">
          <w:rPr>
            <w:noProof/>
            <w:webHidden/>
          </w:rPr>
        </w:r>
        <w:r w:rsidR="005174CD">
          <w:rPr>
            <w:noProof/>
            <w:webHidden/>
          </w:rPr>
          <w:fldChar w:fldCharType="separate"/>
        </w:r>
        <w:r>
          <w:rPr>
            <w:noProof/>
            <w:webHidden/>
          </w:rPr>
          <w:t>16</w:t>
        </w:r>
        <w:r w:rsidR="005174CD">
          <w:rPr>
            <w:noProof/>
            <w:webHidden/>
          </w:rPr>
          <w:fldChar w:fldCharType="end"/>
        </w:r>
      </w:hyperlink>
    </w:p>
    <w:p w:rsidR="000731E9" w:rsidRDefault="000731E9" w:rsidP="000731E9">
      <w:r>
        <w:rPr>
          <w:caps/>
        </w:rPr>
        <w:fldChar w:fldCharType="end"/>
      </w:r>
    </w:p>
    <w:p w:rsidR="000731E9" w:rsidRDefault="000731E9" w:rsidP="000731E9"/>
    <w:p w:rsidR="000731E9" w:rsidRDefault="000731E9" w:rsidP="000731E9"/>
    <w:p w:rsidR="000731E9" w:rsidRDefault="000731E9" w:rsidP="000731E9">
      <w:pPr>
        <w:jc w:val="center"/>
      </w:pPr>
      <w:r w:rsidRPr="00915294">
        <w:br w:type="page"/>
      </w:r>
      <w:bookmarkStart w:id="1" w:name="_Toc259183051"/>
      <w:bookmarkStart w:id="2" w:name="_Toc267302725"/>
    </w:p>
    <w:p w:rsidR="000731E9" w:rsidRDefault="00B42262" w:rsidP="00B42262">
      <w:pPr>
        <w:jc w:val="center"/>
      </w:pPr>
      <w:r w:rsidRPr="009F4FC4">
        <w:lastRenderedPageBreak/>
        <w:t>GUIDANCE FOR MEMBERS OF UPOV</w:t>
      </w:r>
      <w:r w:rsidRPr="009F4FC4">
        <w:rPr>
          <w:strike/>
        </w:rPr>
        <w:t xml:space="preserve"> </w:t>
      </w:r>
      <w:r w:rsidRPr="00B42262">
        <w:rPr>
          <w:strike/>
          <w:highlight w:val="lightGray"/>
        </w:rPr>
        <w:t>ON ONGOING OBLIGATIONS</w:t>
      </w:r>
      <w:r w:rsidRPr="00B42262">
        <w:rPr>
          <w:strike/>
          <w:highlight w:val="lightGray"/>
        </w:rPr>
        <w:br/>
        <w:t>AND RELATED NOTIFICATIONS</w:t>
      </w:r>
      <w:r w:rsidRPr="00B42262">
        <w:rPr>
          <w:strike/>
          <w:highlight w:val="lightGray"/>
        </w:rPr>
        <w:br/>
        <w:t>AND ON THE PROVISION OF INFORMATION TO FACILITATE COOPERATION</w:t>
      </w:r>
      <w:r w:rsidRPr="00B42262">
        <w:t xml:space="preserve"> </w:t>
      </w:r>
    </w:p>
    <w:p w:rsidR="000731E9" w:rsidRDefault="000731E9" w:rsidP="000731E9"/>
    <w:p w:rsidR="007A38B7" w:rsidRDefault="007A38B7" w:rsidP="000731E9"/>
    <w:p w:rsidR="000731E9" w:rsidRPr="00706120" w:rsidRDefault="000731E9" w:rsidP="000731E9"/>
    <w:p w:rsidR="000731E9" w:rsidRDefault="000731E9" w:rsidP="007C367F">
      <w:pPr>
        <w:pStyle w:val="Heading1"/>
      </w:pPr>
      <w:bookmarkStart w:id="3" w:name="_Toc412041242"/>
      <w:r w:rsidRPr="00244CB6">
        <w:t>Preamble</w:t>
      </w:r>
      <w:bookmarkEnd w:id="1"/>
      <w:bookmarkEnd w:id="2"/>
      <w:bookmarkEnd w:id="3"/>
    </w:p>
    <w:p w:rsidR="000731E9" w:rsidRDefault="000731E9" w:rsidP="000731E9"/>
    <w:p w:rsidR="00EE3FD7" w:rsidRDefault="008F23A4" w:rsidP="00F713A9">
      <w:pPr>
        <w:rPr>
          <w:u w:val="single"/>
        </w:rPr>
      </w:pPr>
      <w:r w:rsidRPr="008F23A4">
        <w:rPr>
          <w:lang w:val="en-GB"/>
        </w:rPr>
        <w:fldChar w:fldCharType="begin"/>
      </w:r>
      <w:r w:rsidRPr="008F23A4">
        <w:rPr>
          <w:lang w:val="en-GB"/>
        </w:rPr>
        <w:instrText xml:space="preserve"> AUTONUM  </w:instrText>
      </w:r>
      <w:r w:rsidRPr="008F23A4">
        <w:rPr>
          <w:lang w:val="en-GB"/>
        </w:rPr>
        <w:fldChar w:fldCharType="end"/>
      </w:r>
      <w:r w:rsidRPr="00DD7CCB">
        <w:rPr>
          <w:lang w:val="en-GB"/>
        </w:rPr>
        <w:tab/>
      </w:r>
      <w:r w:rsidR="000731E9" w:rsidRPr="00D3222E">
        <w:rPr>
          <w:strike/>
          <w:highlight w:val="lightGray"/>
          <w:lang w:val="en-GB"/>
        </w:rPr>
        <w:t xml:space="preserve">The purpose of this document is to provide guidance </w:t>
      </w:r>
      <w:r w:rsidR="000731E9" w:rsidRPr="00D3222E">
        <w:rPr>
          <w:strike/>
          <w:szCs w:val="24"/>
          <w:highlight w:val="lightGray"/>
        </w:rPr>
        <w:t xml:space="preserve">for members of </w:t>
      </w:r>
      <w:r w:rsidR="000731E9" w:rsidRPr="00D3222E">
        <w:rPr>
          <w:strike/>
          <w:highlight w:val="lightGray"/>
        </w:rPr>
        <w:t>the International Union for the Protection of New Varieties of Plants (members of the Union)</w:t>
      </w:r>
      <w:r w:rsidR="000731E9" w:rsidRPr="00D3222E">
        <w:rPr>
          <w:strike/>
          <w:szCs w:val="24"/>
          <w:highlight w:val="lightGray"/>
        </w:rPr>
        <w:t xml:space="preserve"> </w:t>
      </w:r>
      <w:r w:rsidR="000731E9" w:rsidRPr="00D3222E">
        <w:rPr>
          <w:strike/>
          <w:highlight w:val="lightGray"/>
          <w:lang w:val="en-GB"/>
        </w:rPr>
        <w:t xml:space="preserve">on </w:t>
      </w:r>
      <w:r w:rsidR="000731E9" w:rsidRPr="00D3222E">
        <w:rPr>
          <w:strike/>
          <w:szCs w:val="24"/>
          <w:highlight w:val="lightGray"/>
        </w:rPr>
        <w:t>ongoing obligations and related notifications</w:t>
      </w:r>
      <w:r w:rsidR="000731E9" w:rsidRPr="00D3222E">
        <w:rPr>
          <w:strike/>
          <w:highlight w:val="lightGray"/>
        </w:rPr>
        <w:t xml:space="preserve"> </w:t>
      </w:r>
      <w:r w:rsidR="000731E9" w:rsidRPr="00D3222E">
        <w:rPr>
          <w:strike/>
          <w:szCs w:val="24"/>
          <w:highlight w:val="lightGray"/>
        </w:rPr>
        <w:t>and</w:t>
      </w:r>
      <w:r w:rsidR="00F713A9" w:rsidRPr="00D3222E">
        <w:rPr>
          <w:strike/>
          <w:szCs w:val="24"/>
          <w:highlight w:val="lightGray"/>
        </w:rPr>
        <w:t xml:space="preserve"> </w:t>
      </w:r>
      <w:r w:rsidR="000731E9" w:rsidRPr="00D3222E">
        <w:rPr>
          <w:strike/>
          <w:szCs w:val="24"/>
          <w:highlight w:val="lightGray"/>
        </w:rPr>
        <w:t>on the provision of information to facilitate cooperation</w:t>
      </w:r>
      <w:r w:rsidR="00F713A9" w:rsidRPr="00D3222E">
        <w:rPr>
          <w:strike/>
          <w:szCs w:val="24"/>
          <w:highlight w:val="lightGray"/>
        </w:rPr>
        <w:t>.</w:t>
      </w:r>
      <w:r w:rsidR="003D2303">
        <w:rPr>
          <w:szCs w:val="24"/>
        </w:rPr>
        <w:t xml:space="preserve"> </w:t>
      </w:r>
      <w:r w:rsidR="000834B1">
        <w:rPr>
          <w:szCs w:val="24"/>
        </w:rPr>
        <w:t xml:space="preserve"> </w:t>
      </w:r>
      <w:r w:rsidR="00F713A9" w:rsidRPr="003D2303">
        <w:rPr>
          <w:szCs w:val="24"/>
          <w:highlight w:val="lightGray"/>
          <w:u w:val="single"/>
        </w:rPr>
        <w:t xml:space="preserve">The purpose of this document is to provide </w:t>
      </w:r>
      <w:r w:rsidR="002B424B">
        <w:rPr>
          <w:szCs w:val="24"/>
          <w:highlight w:val="lightGray"/>
          <w:u w:val="single"/>
        </w:rPr>
        <w:t xml:space="preserve">members of UPOV with </w:t>
      </w:r>
      <w:r w:rsidR="00820D23">
        <w:rPr>
          <w:szCs w:val="24"/>
          <w:highlight w:val="lightGray"/>
          <w:u w:val="single"/>
        </w:rPr>
        <w:t xml:space="preserve">guidance on responsibilities </w:t>
      </w:r>
      <w:r w:rsidR="002B424B">
        <w:rPr>
          <w:szCs w:val="24"/>
          <w:highlight w:val="lightGray"/>
          <w:u w:val="single"/>
        </w:rPr>
        <w:t xml:space="preserve">of </w:t>
      </w:r>
      <w:r w:rsidR="00820D23">
        <w:rPr>
          <w:szCs w:val="24"/>
          <w:highlight w:val="lightGray"/>
          <w:u w:val="single"/>
        </w:rPr>
        <w:t>member</w:t>
      </w:r>
      <w:r w:rsidR="002B424B">
        <w:rPr>
          <w:szCs w:val="24"/>
          <w:highlight w:val="lightGray"/>
          <w:u w:val="single"/>
        </w:rPr>
        <w:t>s</w:t>
      </w:r>
      <w:r w:rsidR="00820D23">
        <w:rPr>
          <w:szCs w:val="24"/>
          <w:highlight w:val="lightGray"/>
          <w:u w:val="single"/>
        </w:rPr>
        <w:t xml:space="preserve"> of UPOV and </w:t>
      </w:r>
      <w:r w:rsidR="002B424B">
        <w:rPr>
          <w:szCs w:val="24"/>
          <w:highlight w:val="lightGray"/>
          <w:u w:val="single"/>
        </w:rPr>
        <w:t xml:space="preserve">to provide an introduction to </w:t>
      </w:r>
      <w:r>
        <w:rPr>
          <w:highlight w:val="lightGray"/>
          <w:u w:val="single"/>
        </w:rPr>
        <w:t xml:space="preserve">the operation of the UPOV system of </w:t>
      </w:r>
      <w:r w:rsidR="00F713A9" w:rsidRPr="003D2303">
        <w:rPr>
          <w:highlight w:val="lightGray"/>
          <w:u w:val="single"/>
        </w:rPr>
        <w:t xml:space="preserve">plant variety protection, with </w:t>
      </w:r>
      <w:r w:rsidR="002B424B">
        <w:rPr>
          <w:highlight w:val="lightGray"/>
          <w:u w:val="single"/>
        </w:rPr>
        <w:t xml:space="preserve">information on sources of further, </w:t>
      </w:r>
      <w:r w:rsidR="00F713A9" w:rsidRPr="003D2303">
        <w:rPr>
          <w:highlight w:val="lightGray"/>
          <w:u w:val="single"/>
        </w:rPr>
        <w:t>detailed guidance</w:t>
      </w:r>
      <w:r w:rsidR="00820D23">
        <w:rPr>
          <w:u w:val="single"/>
        </w:rPr>
        <w:t>.</w:t>
      </w:r>
    </w:p>
    <w:p w:rsidR="00820D23" w:rsidRDefault="00820D23" w:rsidP="00F713A9">
      <w:pPr>
        <w:rPr>
          <w:u w:val="single"/>
        </w:rPr>
      </w:pPr>
    </w:p>
    <w:p w:rsidR="00C369ED" w:rsidRPr="00D96094" w:rsidRDefault="008F23A4" w:rsidP="00FA0743">
      <w:pPr>
        <w:rPr>
          <w:b/>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EE3FD7" w:rsidRPr="00FA0743">
        <w:rPr>
          <w:highlight w:val="lightGray"/>
          <w:u w:val="single"/>
        </w:rPr>
        <w:t xml:space="preserve">The UPOV Convention requires members of the Union to adopt all measures necessary for the implementation of </w:t>
      </w:r>
      <w:r w:rsidR="00FA0743">
        <w:rPr>
          <w:highlight w:val="lightGray"/>
          <w:u w:val="single"/>
        </w:rPr>
        <w:t xml:space="preserve">the UPOV </w:t>
      </w:r>
      <w:r w:rsidR="00EE3FD7" w:rsidRPr="00FA0743">
        <w:rPr>
          <w:highlight w:val="lightGray"/>
          <w:u w:val="single"/>
        </w:rPr>
        <w:t>Convention.</w:t>
      </w:r>
      <w:r w:rsidR="00C369ED" w:rsidRPr="00C369ED">
        <w:rPr>
          <w:rStyle w:val="FootnoteReference"/>
          <w:b/>
          <w:highlight w:val="lightGray"/>
          <w:u w:val="single"/>
        </w:rPr>
        <w:t xml:space="preserve"> </w:t>
      </w:r>
      <w:r w:rsidR="00820D23">
        <w:rPr>
          <w:b/>
          <w:highlight w:val="lightGray"/>
          <w:u w:val="single"/>
        </w:rPr>
        <w:t xml:space="preserve"> </w:t>
      </w:r>
      <w:r w:rsidR="00FA0743" w:rsidRPr="00FA0743">
        <w:rPr>
          <w:highlight w:val="lightGray"/>
          <w:u w:val="single"/>
        </w:rPr>
        <w:t xml:space="preserve">Members of the Union must be in a position, under </w:t>
      </w:r>
      <w:r w:rsidR="002B424B">
        <w:rPr>
          <w:highlight w:val="lightGray"/>
          <w:u w:val="single"/>
        </w:rPr>
        <w:t>their</w:t>
      </w:r>
      <w:r w:rsidR="00FA0743" w:rsidRPr="00FA0743">
        <w:rPr>
          <w:highlight w:val="lightGray"/>
          <w:u w:val="single"/>
        </w:rPr>
        <w:t xml:space="preserve"> laws, to give effect to the provisions of the UPOV Convention.</w:t>
      </w:r>
      <w:r w:rsidR="00C369ED" w:rsidRPr="00D96094">
        <w:rPr>
          <w:rStyle w:val="FootnoteReference"/>
          <w:highlight w:val="lightGray"/>
          <w:u w:val="single"/>
        </w:rPr>
        <w:footnoteReference w:id="1"/>
      </w:r>
    </w:p>
    <w:p w:rsidR="00FA0743" w:rsidRDefault="00FA0743" w:rsidP="00FA0743">
      <w:pPr>
        <w:rPr>
          <w:szCs w:val="24"/>
        </w:rPr>
      </w:pPr>
    </w:p>
    <w:p w:rsidR="00FA0743" w:rsidRPr="00915294" w:rsidRDefault="008F23A4" w:rsidP="00FA0743">
      <w:r>
        <w:fldChar w:fldCharType="begin"/>
      </w:r>
      <w:r>
        <w:instrText xml:space="preserve"> AUTONUM  </w:instrText>
      </w:r>
      <w:r>
        <w:fldChar w:fldCharType="end"/>
      </w:r>
      <w:r>
        <w:tab/>
      </w:r>
      <w:r w:rsidR="00FA0743" w:rsidRPr="00380AD8">
        <w:t>The only binding obligations on members of the Union are those contained in the text of the UPOV Convention itself, and these guidance notes must not be interpreted in a way that is inconsistent with the relevant Act for the member of the Union concerned.</w:t>
      </w:r>
      <w:r w:rsidR="00FA0743" w:rsidRPr="00915294">
        <w:t xml:space="preserve">  </w:t>
      </w:r>
    </w:p>
    <w:p w:rsidR="00FA0743" w:rsidRPr="00915294" w:rsidRDefault="00FA0743" w:rsidP="00FA0743">
      <w:pPr>
        <w:tabs>
          <w:tab w:val="left" w:pos="567"/>
        </w:tabs>
        <w:rPr>
          <w:szCs w:val="24"/>
        </w:rPr>
      </w:pPr>
    </w:p>
    <w:p w:rsidR="00FA0743" w:rsidRDefault="008F23A4" w:rsidP="00FA0743">
      <w:pPr>
        <w:tabs>
          <w:tab w:val="left" w:pos="567"/>
        </w:tabs>
      </w:pPr>
      <w:r>
        <w:fldChar w:fldCharType="begin"/>
      </w:r>
      <w:r>
        <w:instrText xml:space="preserve"> AUTONUM  </w:instrText>
      </w:r>
      <w:r>
        <w:fldChar w:fldCharType="end"/>
      </w:r>
      <w:r>
        <w:tab/>
      </w:r>
      <w:r w:rsidR="00FA0743" w:rsidRPr="00915294">
        <w:t>While guidance notes in this document relate to certain provisions of the 1991 Act of the UPOV Convention, they are also relevant for the corresponding provisions of the 1978 Act of the UPOV Convention, unless indicated otherwise.</w:t>
      </w:r>
    </w:p>
    <w:p w:rsidR="00820D23" w:rsidRDefault="00820D23" w:rsidP="00FA0743">
      <w:pPr>
        <w:tabs>
          <w:tab w:val="left" w:pos="567"/>
        </w:tabs>
      </w:pPr>
    </w:p>
    <w:p w:rsidR="00820D23" w:rsidRPr="008F23A4" w:rsidRDefault="008F23A4" w:rsidP="00FA0743">
      <w:pPr>
        <w:tabs>
          <w:tab w:val="left" w:pos="567"/>
        </w:tabs>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820D23" w:rsidRPr="008F23A4">
        <w:rPr>
          <w:highlight w:val="lightGray"/>
          <w:u w:val="single"/>
        </w:rPr>
        <w:t>The structure of the document is as follows:</w:t>
      </w:r>
    </w:p>
    <w:p w:rsidR="00820D23" w:rsidRPr="008F23A4" w:rsidRDefault="00820D23" w:rsidP="00FA0743">
      <w:pPr>
        <w:tabs>
          <w:tab w:val="left" w:pos="567"/>
        </w:tabs>
        <w:rPr>
          <w:highlight w:val="lightGray"/>
          <w:u w:val="single"/>
        </w:rPr>
      </w:pPr>
    </w:p>
    <w:p w:rsidR="00820D23" w:rsidRPr="002B424B" w:rsidRDefault="002B424B" w:rsidP="002B424B">
      <w:pPr>
        <w:tabs>
          <w:tab w:val="left" w:pos="567"/>
        </w:tabs>
        <w:ind w:left="567"/>
        <w:rPr>
          <w:highlight w:val="lightGray"/>
          <w:u w:val="single"/>
        </w:rPr>
      </w:pPr>
      <w:r w:rsidRPr="002B424B">
        <w:rPr>
          <w:highlight w:val="lightGray"/>
          <w:u w:val="single"/>
        </w:rPr>
        <w:t>PART I. RESPONSIBILITIES AS A UPOV MEMBER</w:t>
      </w:r>
    </w:p>
    <w:p w:rsidR="00820D23" w:rsidRPr="002B424B" w:rsidRDefault="00820D23" w:rsidP="002B424B">
      <w:pPr>
        <w:tabs>
          <w:tab w:val="left" w:pos="567"/>
        </w:tabs>
        <w:ind w:left="567"/>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1. </w:t>
      </w:r>
      <w:r w:rsidR="007C367F" w:rsidRPr="002B424B">
        <w:rPr>
          <w:highlight w:val="lightGray"/>
          <w:u w:val="single"/>
        </w:rPr>
        <w:t>Notifications concerning the representatives and alternates to the Council</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2. </w:t>
      </w:r>
      <w:r w:rsidR="007C367F" w:rsidRPr="002B424B">
        <w:rPr>
          <w:highlight w:val="lightGray"/>
          <w:u w:val="single"/>
        </w:rPr>
        <w:t>Notifications concerning the legislation governing breeders’ rights and, if appropriate, any extension of the application of the convention to additional plant genera and species</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 xml:space="preserve">Section 3. </w:t>
      </w:r>
      <w:r w:rsidR="007C367F" w:rsidRPr="002B424B">
        <w:rPr>
          <w:highlight w:val="lightGray"/>
          <w:u w:val="single"/>
        </w:rPr>
        <w:t>Financial obligations concerning the payment of contributions</w:t>
      </w:r>
    </w:p>
    <w:p w:rsidR="00820D23" w:rsidRPr="002B424B" w:rsidRDefault="00820D23" w:rsidP="00584304">
      <w:pPr>
        <w:tabs>
          <w:tab w:val="left" w:pos="567"/>
        </w:tabs>
        <w:ind w:left="851"/>
        <w:rPr>
          <w:highlight w:val="lightGray"/>
          <w:u w:val="single"/>
        </w:rPr>
      </w:pPr>
    </w:p>
    <w:p w:rsidR="00820D23" w:rsidRPr="002B424B" w:rsidRDefault="0030034C" w:rsidP="00584304">
      <w:pPr>
        <w:tabs>
          <w:tab w:val="left" w:pos="567"/>
        </w:tabs>
        <w:ind w:left="851"/>
        <w:rPr>
          <w:highlight w:val="lightGray"/>
          <w:u w:val="single"/>
        </w:rPr>
      </w:pPr>
      <w:r w:rsidRPr="002B424B">
        <w:rPr>
          <w:highlight w:val="lightGray"/>
          <w:u w:val="single"/>
        </w:rPr>
        <w:t>Section 4.</w:t>
      </w:r>
      <w:r w:rsidR="00983967" w:rsidRPr="002B424B">
        <w:rPr>
          <w:highlight w:val="lightGray"/>
          <w:u w:val="single"/>
        </w:rPr>
        <w:t xml:space="preserve"> </w:t>
      </w:r>
      <w:r w:rsidR="007C367F" w:rsidRPr="002B424B">
        <w:rPr>
          <w:highlight w:val="lightGray"/>
          <w:u w:val="single"/>
        </w:rPr>
        <w:t>Information to facilitate cooperation</w:t>
      </w:r>
    </w:p>
    <w:p w:rsidR="00820D23" w:rsidRPr="002B424B" w:rsidRDefault="00820D23" w:rsidP="002B424B">
      <w:pPr>
        <w:tabs>
          <w:tab w:val="left" w:pos="567"/>
        </w:tabs>
        <w:ind w:left="567"/>
        <w:rPr>
          <w:highlight w:val="lightGray"/>
          <w:u w:val="single"/>
        </w:rPr>
      </w:pPr>
    </w:p>
    <w:p w:rsidR="00820D23" w:rsidRPr="002B424B" w:rsidRDefault="002B424B" w:rsidP="002B424B">
      <w:pPr>
        <w:tabs>
          <w:tab w:val="left" w:pos="567"/>
        </w:tabs>
        <w:ind w:left="567"/>
        <w:rPr>
          <w:highlight w:val="lightGray"/>
          <w:u w:val="single"/>
        </w:rPr>
      </w:pPr>
      <w:r w:rsidRPr="002B424B">
        <w:rPr>
          <w:highlight w:val="lightGray"/>
          <w:u w:val="single"/>
        </w:rPr>
        <w:t xml:space="preserve">PART II. OPERATING THE UPOV PLANT VARIETY PROTECTION SYSTEM </w:t>
      </w:r>
    </w:p>
    <w:p w:rsidR="007C367F" w:rsidRPr="002B424B" w:rsidRDefault="007C367F" w:rsidP="002B424B">
      <w:pPr>
        <w:tabs>
          <w:tab w:val="left" w:pos="567"/>
        </w:tabs>
        <w:ind w:left="567"/>
        <w:rPr>
          <w:highlight w:val="lightGray"/>
          <w:u w:val="single"/>
        </w:rPr>
      </w:pPr>
    </w:p>
    <w:p w:rsidR="007C367F" w:rsidRPr="002B424B" w:rsidRDefault="0030034C" w:rsidP="00584304">
      <w:pPr>
        <w:tabs>
          <w:tab w:val="left" w:pos="567"/>
        </w:tabs>
        <w:ind w:left="851"/>
        <w:rPr>
          <w:highlight w:val="lightGray"/>
          <w:u w:val="single"/>
        </w:rPr>
      </w:pPr>
      <w:r w:rsidRPr="002B424B">
        <w:rPr>
          <w:highlight w:val="lightGray"/>
          <w:u w:val="single"/>
        </w:rPr>
        <w:t xml:space="preserve">Section 1. </w:t>
      </w:r>
      <w:r w:rsidR="007C367F" w:rsidRPr="002B424B">
        <w:rPr>
          <w:highlight w:val="lightGray"/>
          <w:u w:val="single"/>
        </w:rPr>
        <w:t>Plant breeders’ rights office</w:t>
      </w:r>
    </w:p>
    <w:p w:rsidR="007C367F" w:rsidRPr="002B424B" w:rsidRDefault="007C367F" w:rsidP="00584304">
      <w:pPr>
        <w:tabs>
          <w:tab w:val="left" w:pos="567"/>
        </w:tabs>
        <w:ind w:left="851"/>
        <w:rPr>
          <w:highlight w:val="lightGray"/>
          <w:u w:val="single"/>
        </w:rPr>
      </w:pPr>
    </w:p>
    <w:p w:rsidR="007C367F" w:rsidRPr="002B424B" w:rsidRDefault="0030034C" w:rsidP="00584304">
      <w:pPr>
        <w:tabs>
          <w:tab w:val="left" w:pos="567"/>
        </w:tabs>
        <w:ind w:left="851"/>
        <w:rPr>
          <w:u w:val="single"/>
        </w:rPr>
      </w:pPr>
      <w:r w:rsidRPr="002B424B">
        <w:rPr>
          <w:highlight w:val="lightGray"/>
          <w:u w:val="single"/>
        </w:rPr>
        <w:t xml:space="preserve">Section 2. </w:t>
      </w:r>
      <w:r w:rsidR="007C367F" w:rsidRPr="002B424B">
        <w:rPr>
          <w:highlight w:val="lightGray"/>
          <w:u w:val="single"/>
        </w:rPr>
        <w:t>Administration of applications</w:t>
      </w:r>
    </w:p>
    <w:p w:rsidR="00820D23" w:rsidRDefault="00820D23" w:rsidP="00FA0743">
      <w:pPr>
        <w:tabs>
          <w:tab w:val="left" w:pos="567"/>
        </w:tabs>
      </w:pPr>
    </w:p>
    <w:p w:rsidR="00820D23" w:rsidRPr="00915294" w:rsidRDefault="00820D23" w:rsidP="00FA0743">
      <w:pPr>
        <w:tabs>
          <w:tab w:val="left" w:pos="567"/>
        </w:tabs>
      </w:pPr>
    </w:p>
    <w:p w:rsidR="00FA0743" w:rsidRDefault="00FA0743" w:rsidP="00FA0743"/>
    <w:p w:rsidR="003D2303" w:rsidRDefault="003D2303" w:rsidP="003D2303"/>
    <w:p w:rsidR="000731E9" w:rsidRPr="00915294" w:rsidRDefault="000731E9" w:rsidP="000731E9"/>
    <w:p w:rsidR="000731E9" w:rsidRDefault="000731E9" w:rsidP="000731E9"/>
    <w:p w:rsidR="007C367F" w:rsidRDefault="000731E9" w:rsidP="007C367F">
      <w:pPr>
        <w:pStyle w:val="Heading1"/>
      </w:pPr>
      <w:r>
        <w:br w:type="page"/>
      </w:r>
      <w:bookmarkStart w:id="4" w:name="_Toc412041243"/>
      <w:bookmarkStart w:id="5" w:name="_Toc267302726"/>
      <w:r>
        <w:lastRenderedPageBreak/>
        <w:t xml:space="preserve">PART I. </w:t>
      </w:r>
      <w:r>
        <w:tab/>
      </w:r>
      <w:r w:rsidR="007C367F">
        <w:t>Responsibilities as a UPOV member</w:t>
      </w:r>
      <w:bookmarkEnd w:id="4"/>
    </w:p>
    <w:p w:rsidR="007C367F" w:rsidRDefault="007C367F" w:rsidP="007C367F">
      <w:pPr>
        <w:pStyle w:val="Heading1"/>
      </w:pPr>
    </w:p>
    <w:p w:rsidR="000731E9" w:rsidRPr="007C367F" w:rsidRDefault="009D1C26" w:rsidP="007C367F">
      <w:pPr>
        <w:pStyle w:val="Heading2"/>
      </w:pPr>
      <w:bookmarkStart w:id="6" w:name="_Toc412041244"/>
      <w:r>
        <w:t xml:space="preserve">Section 1. </w:t>
      </w:r>
      <w:r w:rsidR="007C367F" w:rsidRPr="007C367F">
        <w:t>Notifications concerning the representatives and alternates to the Council</w:t>
      </w:r>
      <w:bookmarkEnd w:id="5"/>
      <w:bookmarkEnd w:id="6"/>
    </w:p>
    <w:p w:rsidR="000731E9" w:rsidRDefault="000731E9" w:rsidP="000731E9"/>
    <w:p w:rsidR="000731E9" w:rsidRPr="00BE4B15" w:rsidRDefault="000731E9" w:rsidP="000A32D0">
      <w:pPr>
        <w:pStyle w:val="Heading4"/>
        <w:rPr>
          <w:lang w:val="en-US"/>
        </w:rPr>
      </w:pPr>
      <w:r w:rsidRPr="00BE4B15">
        <w:rPr>
          <w:lang w:val="en-US"/>
        </w:rPr>
        <w:t>Relevant article</w:t>
      </w:r>
      <w:r>
        <w:rPr>
          <w:rStyle w:val="FootnoteReference"/>
          <w:b/>
        </w:rPr>
        <w:footnoteReference w:id="2"/>
      </w:r>
    </w:p>
    <w:p w:rsidR="000731E9" w:rsidRPr="00915294" w:rsidRDefault="000731E9" w:rsidP="000731E9">
      <w:pPr>
        <w:keepNext/>
        <w:spacing w:before="120" w:line="360" w:lineRule="auto"/>
        <w:jc w:val="center"/>
        <w:rPr>
          <w:b/>
        </w:rPr>
      </w:pPr>
      <w:r w:rsidRPr="00915294">
        <w:rPr>
          <w:b/>
        </w:rPr>
        <w:t>Article 26</w:t>
      </w:r>
    </w:p>
    <w:p w:rsidR="000731E9" w:rsidRPr="00915294" w:rsidRDefault="000731E9" w:rsidP="000731E9">
      <w:pPr>
        <w:keepNext/>
        <w:jc w:val="center"/>
        <w:rPr>
          <w:b/>
        </w:rPr>
      </w:pPr>
      <w:r w:rsidRPr="00915294">
        <w:rPr>
          <w:b/>
        </w:rPr>
        <w:t>The Council</w:t>
      </w:r>
    </w:p>
    <w:p w:rsidR="000731E9" w:rsidRPr="00915294" w:rsidRDefault="000731E9" w:rsidP="000731E9">
      <w:pPr>
        <w:keepNext/>
      </w:pPr>
    </w:p>
    <w:p w:rsidR="000731E9" w:rsidRPr="00915294" w:rsidRDefault="000731E9" w:rsidP="000731E9">
      <w:pPr>
        <w:rPr>
          <w:b/>
        </w:rPr>
      </w:pPr>
      <w:r w:rsidRPr="00915294">
        <w:rPr>
          <w:b/>
        </w:rPr>
        <w:tab/>
        <w:t>(1)</w:t>
      </w:r>
      <w:r w:rsidRPr="00915294">
        <w:rPr>
          <w:b/>
        </w:rPr>
        <w:tab/>
        <w:t>[</w:t>
      </w:r>
      <w:r w:rsidRPr="00915294">
        <w:rPr>
          <w:b/>
          <w:i/>
        </w:rPr>
        <w:t>Composition</w:t>
      </w:r>
      <w:r w:rsidRPr="00915294">
        <w:rPr>
          <w:b/>
        </w:rPr>
        <w:t>]  The Council shall consist of the representatives of the members of the Union.  Each member of the Union shall appoint one representative to the Council and one alternate.  Representatives or alternates may be accompanied by assistants or advisers.</w:t>
      </w:r>
    </w:p>
    <w:p w:rsidR="000731E9" w:rsidRPr="00915294" w:rsidRDefault="000731E9" w:rsidP="002F19B7">
      <w:pPr>
        <w:spacing w:line="360" w:lineRule="auto"/>
      </w:pPr>
    </w:p>
    <w:p w:rsidR="000731E9" w:rsidRPr="00117C68" w:rsidRDefault="000731E9" w:rsidP="002F19B7">
      <w:pPr>
        <w:pStyle w:val="Heading3"/>
      </w:pPr>
      <w:bookmarkStart w:id="7" w:name="_Toc267302727"/>
      <w:bookmarkStart w:id="8" w:name="_Toc412041245"/>
      <w:r w:rsidRPr="00D17418">
        <w:t>Initial notification of the representative</w:t>
      </w:r>
      <w:bookmarkEnd w:id="7"/>
      <w:bookmarkEnd w:id="8"/>
      <w:r w:rsidRPr="00D17418">
        <w:t xml:space="preserve"> </w:t>
      </w:r>
    </w:p>
    <w:p w:rsidR="000731E9" w:rsidRPr="00915294" w:rsidRDefault="000731E9" w:rsidP="000731E9">
      <w:pPr>
        <w:spacing w:line="360" w:lineRule="auto"/>
      </w:pPr>
    </w:p>
    <w:p w:rsidR="000731E9" w:rsidRPr="00915294" w:rsidRDefault="000731E9" w:rsidP="000731E9">
      <w:r>
        <w:fldChar w:fldCharType="begin"/>
      </w:r>
      <w:r w:rsidRPr="00915294">
        <w:instrText xml:space="preserve"> AUTONUM  </w:instrText>
      </w:r>
      <w:r>
        <w:fldChar w:fldCharType="end"/>
      </w:r>
      <w:r w:rsidR="008F23A4">
        <w:tab/>
      </w:r>
      <w:r w:rsidRPr="00915294">
        <w:t xml:space="preserve">Members of the Union are required to notify the Office of the Union of the names, titles and contact details of the representative and alternate to the Council.  </w:t>
      </w:r>
    </w:p>
    <w:p w:rsidR="000731E9" w:rsidRPr="00915294" w:rsidRDefault="000731E9" w:rsidP="000731E9"/>
    <w:p w:rsidR="000731E9" w:rsidRPr="00915294" w:rsidRDefault="000731E9" w:rsidP="000731E9">
      <w:r>
        <w:fldChar w:fldCharType="begin"/>
      </w:r>
      <w:r w:rsidRPr="00915294">
        <w:instrText xml:space="preserve"> AUTONUM  </w:instrText>
      </w:r>
      <w:r>
        <w:fldChar w:fldCharType="end"/>
      </w:r>
      <w:r w:rsidRPr="00915294">
        <w:tab/>
        <w:t xml:space="preserve">On becoming a UPOV member, that notification can be made either by a letter from the Minister for Foreign Affairs, a Note from the Ministry of Foreign Affairs, a letter from the Permanent Representative or a Note from the Permanent Mission in Geneva or from the competent authority(ies) for external relations of intergovernmental organizations (example text for the above notification is available upon request).  </w:t>
      </w:r>
    </w:p>
    <w:p w:rsidR="000731E9" w:rsidRPr="00915294" w:rsidRDefault="000731E9" w:rsidP="002F19B7">
      <w:pPr>
        <w:spacing w:line="360" w:lineRule="auto"/>
      </w:pPr>
    </w:p>
    <w:p w:rsidR="000731E9" w:rsidRDefault="000731E9" w:rsidP="002F19B7">
      <w:pPr>
        <w:pStyle w:val="Heading3"/>
      </w:pPr>
      <w:bookmarkStart w:id="9" w:name="_Toc267302728"/>
      <w:bookmarkStart w:id="10" w:name="_Toc412041246"/>
      <w:r>
        <w:t>Subsequent notifications of any changes concerning the representative</w:t>
      </w:r>
      <w:bookmarkEnd w:id="9"/>
      <w:bookmarkEnd w:id="10"/>
    </w:p>
    <w:p w:rsidR="000731E9" w:rsidRPr="00915294" w:rsidRDefault="000731E9" w:rsidP="000731E9">
      <w:pPr>
        <w:rPr>
          <w:u w:val="single"/>
        </w:rPr>
      </w:pPr>
    </w:p>
    <w:p w:rsidR="000731E9" w:rsidRPr="00915294" w:rsidRDefault="000731E9" w:rsidP="000731E9">
      <w:r>
        <w:fldChar w:fldCharType="begin"/>
      </w:r>
      <w:r w:rsidRPr="00915294">
        <w:instrText xml:space="preserve"> AUTONUM  </w:instrText>
      </w:r>
      <w:r>
        <w:fldChar w:fldCharType="end"/>
      </w:r>
      <w:r w:rsidRPr="00915294">
        <w:tab/>
        <w:t>Members of the Union are requested to communicate to the Office of the Union, as soon as possible, any changes concerning the representative.</w:t>
      </w:r>
    </w:p>
    <w:p w:rsidR="000731E9" w:rsidRPr="00915294" w:rsidRDefault="000731E9" w:rsidP="000731E9"/>
    <w:p w:rsidR="000731E9" w:rsidRPr="00915294" w:rsidRDefault="000731E9" w:rsidP="000731E9">
      <w:r>
        <w:fldChar w:fldCharType="begin"/>
      </w:r>
      <w:r w:rsidRPr="00915294">
        <w:instrText xml:space="preserve"> AUTONUM  </w:instrText>
      </w:r>
      <w:r>
        <w:fldChar w:fldCharType="end"/>
      </w:r>
      <w:r w:rsidRPr="00915294">
        <w:tab/>
        <w:t>After the initial notification, subsequent changes of the representative do not require a notification via the Ministry for Foreign Affairs.  If the new representative holds the same title as the predecessor, a communication to the Office of the Union from the new representative or the supervisor will be sufficient.  In exceptional cases (e.g. different communications from the same Government), the Office of the Union will request the Permanent Mission of the member of the Union concerned to coordinate the communication concerning the appointment of the new representative.</w:t>
      </w:r>
    </w:p>
    <w:p w:rsidR="000731E9" w:rsidRPr="00915294" w:rsidRDefault="000731E9" w:rsidP="002F19B7">
      <w:pPr>
        <w:spacing w:line="360" w:lineRule="auto"/>
      </w:pPr>
    </w:p>
    <w:p w:rsidR="000731E9" w:rsidRDefault="000731E9" w:rsidP="002F19B7">
      <w:pPr>
        <w:pStyle w:val="Heading3"/>
      </w:pPr>
      <w:bookmarkStart w:id="11" w:name="_Toc267302729"/>
      <w:bookmarkStart w:id="12" w:name="_Toc412041247"/>
      <w:r w:rsidRPr="002C1E6B">
        <w:t>Responsibilities of the representative</w:t>
      </w:r>
      <w:bookmarkEnd w:id="11"/>
      <w:bookmarkEnd w:id="12"/>
    </w:p>
    <w:p w:rsidR="000731E9" w:rsidRPr="00915294" w:rsidRDefault="000731E9" w:rsidP="000731E9">
      <w:pPr>
        <w:keepNext/>
        <w:rPr>
          <w:u w:val="single"/>
        </w:rPr>
      </w:pPr>
    </w:p>
    <w:p w:rsidR="000731E9" w:rsidRPr="00915294" w:rsidRDefault="000731E9" w:rsidP="000731E9">
      <w:pPr>
        <w:rPr>
          <w:szCs w:val="24"/>
        </w:rPr>
      </w:pPr>
      <w:r>
        <w:fldChar w:fldCharType="begin"/>
      </w:r>
      <w:r w:rsidRPr="00915294">
        <w:instrText xml:space="preserve"> AUTONUM  </w:instrText>
      </w:r>
      <w:r>
        <w:fldChar w:fldCharType="end"/>
      </w:r>
      <w:r w:rsidRPr="00915294">
        <w:tab/>
        <w:t xml:space="preserve">One of the responsibilities of the representative to the Council is to appoint persons to </w:t>
      </w:r>
      <w:r>
        <w:br/>
      </w:r>
      <w:r w:rsidRPr="00915294">
        <w:t xml:space="preserve">the relevant UPOV bodies and to decide on persons to be given access to UPOV documents in </w:t>
      </w:r>
      <w:r>
        <w:br/>
      </w:r>
      <w:r w:rsidRPr="00915294">
        <w:t xml:space="preserve">the restricted area of the UPOV website (see Rules Governing Access to UPOV Documents:  </w:t>
      </w:r>
      <w:hyperlink r:id="rId10" w:history="1">
        <w:r w:rsidR="00E1666A" w:rsidRPr="00064B64">
          <w:rPr>
            <w:rStyle w:val="Hyperlink"/>
          </w:rPr>
          <w:t>http://www.upov.int/edocs/infdocs/en/upov_inf_20_1.pdf</w:t>
        </w:r>
      </w:hyperlink>
      <w:r w:rsidRPr="00915294">
        <w:rPr>
          <w:szCs w:val="24"/>
        </w:rPr>
        <w:t>)</w:t>
      </w:r>
      <w:r w:rsidRPr="00E00934">
        <w:rPr>
          <w:szCs w:val="24"/>
        </w:rPr>
        <w:t>.</w:t>
      </w:r>
    </w:p>
    <w:p w:rsidR="000731E9" w:rsidRPr="00915294" w:rsidRDefault="000731E9" w:rsidP="000731E9">
      <w:pPr>
        <w:rPr>
          <w:szCs w:val="24"/>
        </w:rPr>
      </w:pPr>
    </w:p>
    <w:p w:rsidR="000731E9" w:rsidRPr="00915294" w:rsidRDefault="000731E9" w:rsidP="000731E9">
      <w:r w:rsidRPr="007264D3">
        <w:fldChar w:fldCharType="begin"/>
      </w:r>
      <w:r w:rsidRPr="007264D3">
        <w:instrText xml:space="preserve"> AUTONUM  </w:instrText>
      </w:r>
      <w:r w:rsidRPr="007264D3">
        <w:fldChar w:fldCharType="end"/>
      </w:r>
      <w:r w:rsidRPr="007264D3">
        <w:tab/>
        <w:t>Upon receipt of the notification, the Office of the Union will:</w:t>
      </w:r>
    </w:p>
    <w:p w:rsidR="000731E9" w:rsidRPr="00915294" w:rsidRDefault="000731E9" w:rsidP="000731E9"/>
    <w:p w:rsidR="000731E9" w:rsidRPr="00915294" w:rsidRDefault="000731E9" w:rsidP="000731E9">
      <w:r w:rsidRPr="00915294">
        <w:tab/>
        <w:t>(a)</w:t>
      </w:r>
      <w:r w:rsidRPr="00915294">
        <w:tab/>
        <w:t xml:space="preserve">communicate to the representative that has been </w:t>
      </w:r>
      <w:r w:rsidRPr="00915294">
        <w:rPr>
          <w:snapToGrid w:val="0"/>
          <w:color w:val="000000"/>
        </w:rPr>
        <w:t xml:space="preserve">officially appointed </w:t>
      </w:r>
      <w:r w:rsidRPr="00915294">
        <w:t>the User Id and password corresponding to that member of the Union.  The User Id and password will enable access to the restricted area of the UPOV website in order to download documents (</w:t>
      </w:r>
      <w:hyperlink r:id="rId11" w:history="1">
        <w:r w:rsidRPr="000F368F">
          <w:rPr>
            <w:rStyle w:val="Hyperlink"/>
          </w:rPr>
          <w:t>http://www.upov.int/restrict/meetings/en/</w:t>
        </w:r>
      </w:hyperlink>
      <w:r w:rsidRPr="00915294">
        <w:t>);</w:t>
      </w:r>
    </w:p>
    <w:p w:rsidR="000731E9" w:rsidRPr="00915294" w:rsidRDefault="000731E9" w:rsidP="000731E9"/>
    <w:p w:rsidR="000731E9" w:rsidRPr="00915294" w:rsidRDefault="000731E9" w:rsidP="00D23622">
      <w:pPr>
        <w:spacing w:after="240"/>
      </w:pPr>
      <w:r w:rsidRPr="00915294">
        <w:tab/>
        <w:t>(b)</w:t>
      </w:r>
      <w:r w:rsidRPr="00915294">
        <w:tab/>
        <w:t>draw the attention to the UPOV structure diagram of the UPOV bodies (</w:t>
      </w:r>
      <w:hyperlink r:id="rId12" w:history="1">
        <w:r w:rsidRPr="000F368F">
          <w:rPr>
            <w:rStyle w:val="Hyperlink"/>
          </w:rPr>
          <w:t>http://www.upov.int/about/en/organigram.html</w:t>
        </w:r>
      </w:hyperlink>
      <w:r w:rsidRPr="00915294">
        <w:t>) and will ask the representative to provide the names and contact details of the “designated persons” to the Council, the Consultative Committee, the Administrative and Legal Committee (CAJ), Technical Committee (TC) and Technical Working Parties (TWPs).  The Office of the Union will, if appropriate, attach the existing list for the relevant member of the Union, for confirmation or updating.  The designated persons by the representative will receive copies of the invitations to the sessions of the relevant UPOV bodies and the corresponding notifications of the posting of documents for those sessions;</w:t>
      </w:r>
    </w:p>
    <w:p w:rsidR="000731E9" w:rsidRPr="00584C34" w:rsidRDefault="000731E9" w:rsidP="000731E9">
      <w:pPr>
        <w:rPr>
          <w:rFonts w:cs="Arial"/>
        </w:rPr>
      </w:pPr>
      <w:r w:rsidRPr="00915294">
        <w:lastRenderedPageBreak/>
        <w:tab/>
        <w:t>(c)</w:t>
      </w:r>
      <w:r w:rsidRPr="00915294">
        <w:tab/>
        <w:t xml:space="preserve">send a copy of the Rules Governing Access to UPOV Documents </w:t>
      </w:r>
      <w:r w:rsidR="00750725">
        <w:t>(</w:t>
      </w:r>
      <w:hyperlink r:id="rId13" w:history="1">
        <w:r w:rsidR="00750725" w:rsidRPr="00FA277B">
          <w:rPr>
            <w:rStyle w:val="Hyperlink"/>
            <w:szCs w:val="24"/>
          </w:rPr>
          <w:t>http://www.upov.int/edocs/infdocs/en/upov_inf_20_1.pdf</w:t>
        </w:r>
      </w:hyperlink>
      <w:r w:rsidR="00750725">
        <w:rPr>
          <w:szCs w:val="24"/>
        </w:rPr>
        <w:t xml:space="preserve">) </w:t>
      </w:r>
      <w:r w:rsidRPr="00915294">
        <w:t>to guide the representative in the distribution of the User Id and password.  Any person from the member of the Union making a request to the Office of the Union for access to documents in the restricted area of the UPOV website will be invited to contact the representative;  and</w:t>
      </w:r>
    </w:p>
    <w:p w:rsidR="000731E9" w:rsidRPr="00915294" w:rsidRDefault="000731E9" w:rsidP="000731E9"/>
    <w:p w:rsidR="000731E9" w:rsidRPr="00EA0845" w:rsidRDefault="000731E9" w:rsidP="000731E9">
      <w:r w:rsidRPr="00915294">
        <w:tab/>
        <w:t>(d)</w:t>
      </w:r>
      <w:r w:rsidRPr="00915294">
        <w:tab/>
        <w:t>request the representative to provide the contact details of the authority entrusted with the task of granting breeders’ rights in accordance with Article 30(1)(i</w:t>
      </w:r>
      <w:r w:rsidRPr="00380AD8">
        <w:t>i</w:t>
      </w:r>
      <w:r w:rsidRPr="00915294">
        <w:t>) of the 1991 Act of the UPOV Convention, for publication under the section “</w:t>
      </w:r>
      <w:r w:rsidRPr="00380AD8">
        <w:t>Directory of</w:t>
      </w:r>
      <w:r>
        <w:t xml:space="preserve"> </w:t>
      </w:r>
      <w:r w:rsidRPr="00915294">
        <w:t>PVP Offices” of the UPOV website</w:t>
      </w:r>
      <w:r w:rsidRPr="00EA0845">
        <w:rPr>
          <w:highlight w:val="lightGray"/>
        </w:rPr>
        <w:t xml:space="preserve"> </w:t>
      </w:r>
      <w:r w:rsidRPr="00491252">
        <w:t>(</w:t>
      </w:r>
      <w:hyperlink r:id="rId14" w:history="1">
        <w:r w:rsidRPr="000F368F">
          <w:rPr>
            <w:rStyle w:val="Hyperlink"/>
          </w:rPr>
          <w:t>http://www.upov.int/members/en/pvp_offices.html</w:t>
        </w:r>
      </w:hyperlink>
      <w:r w:rsidRPr="00491252">
        <w:t>)</w:t>
      </w:r>
      <w:r>
        <w:t>.</w:t>
      </w:r>
    </w:p>
    <w:p w:rsidR="000731E9" w:rsidRPr="00915294" w:rsidRDefault="000731E9" w:rsidP="000731E9">
      <w:pPr>
        <w:rPr>
          <w:szCs w:val="24"/>
        </w:rPr>
      </w:pPr>
    </w:p>
    <w:p w:rsidR="000731E9" w:rsidRPr="00915294" w:rsidRDefault="000731E9" w:rsidP="000731E9">
      <w:pPr>
        <w:rPr>
          <w:u w:val="single"/>
        </w:rPr>
      </w:pPr>
      <w:r>
        <w:fldChar w:fldCharType="begin"/>
      </w:r>
      <w:r w:rsidRPr="00915294">
        <w:instrText xml:space="preserve"> AUTONUM  </w:instrText>
      </w:r>
      <w:r>
        <w:fldChar w:fldCharType="end"/>
      </w:r>
      <w:r w:rsidRPr="00915294">
        <w:tab/>
        <w:t>Another important role of the representative is in relation to the approval by correspondence of UPOV policy and guidance.  Members of the Union agreed that, unless otherwise agreed by the Council, documents which set out UPOV policies or guidance, once approved by the relevant UPOV Committees, as appropriate, must be adopted by the Council.  In cases where a rapid presentation of a UPOV policy or guidance is required, such that adoption could not be achieved by presentation of a document to the Council, approval would be sought by correspondence from the representatives to the Council of the members of the Union (see document C/43/17 “Report”, paragraph 13(i)).</w:t>
      </w:r>
    </w:p>
    <w:p w:rsidR="000731E9" w:rsidRPr="00915294" w:rsidRDefault="000731E9" w:rsidP="000731E9"/>
    <w:p w:rsidR="000731E9" w:rsidRPr="00915294" w:rsidRDefault="000731E9" w:rsidP="000731E9">
      <w:r w:rsidRPr="00BD3A8E">
        <w:fldChar w:fldCharType="begin"/>
      </w:r>
      <w:r w:rsidRPr="00915294">
        <w:instrText xml:space="preserve"> AUTONUM  </w:instrText>
      </w:r>
      <w:r w:rsidRPr="00BD3A8E">
        <w:fldChar w:fldCharType="end"/>
      </w:r>
      <w:r w:rsidRPr="00915294">
        <w:tab/>
        <w:t xml:space="preserve">The representative is also responsible of the notifications concerning changes in the legislation governing breeders’ rights and, if appropriate, any extension of the application of the UPOV Convention to additional plant genera and species (see </w:t>
      </w:r>
      <w:r w:rsidRPr="00983967">
        <w:rPr>
          <w:strike/>
          <w:highlight w:val="lightGray"/>
        </w:rPr>
        <w:t>Part II</w:t>
      </w:r>
      <w:r w:rsidRPr="00915294">
        <w:t xml:space="preserve"> </w:t>
      </w:r>
      <w:r w:rsidR="00983967" w:rsidRPr="00983967">
        <w:rPr>
          <w:highlight w:val="lightGray"/>
          <w:u w:val="single"/>
        </w:rPr>
        <w:t>Section 2, below</w:t>
      </w:r>
      <w:r w:rsidR="00983967">
        <w:t xml:space="preserve"> </w:t>
      </w:r>
      <w:r w:rsidRPr="00983967">
        <w:rPr>
          <w:strike/>
          <w:highlight w:val="lightGray"/>
        </w:rPr>
        <w:t>of</w:t>
      </w:r>
      <w:r w:rsidRPr="00983967">
        <w:rPr>
          <w:strike/>
        </w:rPr>
        <w:t xml:space="preserve"> </w:t>
      </w:r>
      <w:r w:rsidRPr="00983967">
        <w:rPr>
          <w:strike/>
          <w:highlight w:val="lightGray"/>
        </w:rPr>
        <w:t>this documen</w:t>
      </w:r>
      <w:r w:rsidR="00983967">
        <w:rPr>
          <w:strike/>
        </w:rPr>
        <w:t>t</w:t>
      </w:r>
      <w:r w:rsidRPr="00915294">
        <w:t>).</w:t>
      </w:r>
    </w:p>
    <w:p w:rsidR="00B4093E" w:rsidRDefault="00B4093E" w:rsidP="000731E9"/>
    <w:p w:rsidR="00B4093E" w:rsidRPr="00915294" w:rsidRDefault="00B4093E" w:rsidP="000731E9"/>
    <w:p w:rsidR="000731E9" w:rsidRDefault="009D1C26" w:rsidP="002F19B7">
      <w:pPr>
        <w:pStyle w:val="Heading2"/>
      </w:pPr>
      <w:bookmarkStart w:id="13" w:name="_Toc267302730"/>
      <w:bookmarkStart w:id="14" w:name="_Toc412041248"/>
      <w:r>
        <w:t xml:space="preserve">Section 2. </w:t>
      </w:r>
      <w:r w:rsidR="007C367F">
        <w:t>N</w:t>
      </w:r>
      <w:r w:rsidR="007C367F" w:rsidRPr="004C0E89">
        <w:t>otifications concerning the legislation governing breeders’ rights and</w:t>
      </w:r>
      <w:r w:rsidR="007C367F">
        <w:t xml:space="preserve">, if </w:t>
      </w:r>
      <w:r w:rsidR="007C367F" w:rsidRPr="004C0E89">
        <w:t xml:space="preserve">appropriate, any extension of the application of the </w:t>
      </w:r>
      <w:r w:rsidR="007C367F">
        <w:t>Convention</w:t>
      </w:r>
      <w:r w:rsidR="007C367F" w:rsidRPr="004C0E89">
        <w:t xml:space="preserve"> to additional plant genera and species</w:t>
      </w:r>
      <w:bookmarkEnd w:id="13"/>
      <w:bookmarkEnd w:id="14"/>
    </w:p>
    <w:p w:rsidR="000731E9" w:rsidRDefault="000731E9" w:rsidP="000731E9"/>
    <w:p w:rsidR="000731E9" w:rsidRPr="000E334A" w:rsidRDefault="000731E9" w:rsidP="002F19B7">
      <w:pPr>
        <w:pStyle w:val="Heading3"/>
      </w:pPr>
      <w:bookmarkStart w:id="15" w:name="_Toc267302731"/>
      <w:bookmarkStart w:id="16" w:name="_Toc412041249"/>
      <w:r w:rsidRPr="006F3120">
        <w:t>Notifications concerning changes in the legislation governing breeders’ rights</w:t>
      </w:r>
      <w:bookmarkEnd w:id="15"/>
      <w:bookmarkEnd w:id="16"/>
    </w:p>
    <w:p w:rsidR="000731E9" w:rsidRPr="00915294" w:rsidRDefault="000731E9" w:rsidP="000731E9">
      <w:pPr>
        <w:keepNext/>
      </w:pPr>
    </w:p>
    <w:p w:rsidR="000731E9" w:rsidRPr="00BE4B15" w:rsidRDefault="000731E9" w:rsidP="002F19B7">
      <w:pPr>
        <w:pStyle w:val="Heading4"/>
        <w:rPr>
          <w:lang w:val="en-US"/>
        </w:rPr>
      </w:pPr>
      <w:r w:rsidRPr="00BE4B15">
        <w:rPr>
          <w:lang w:val="en-US"/>
        </w:rPr>
        <w:t>Relevant article</w:t>
      </w:r>
      <w:r>
        <w:rPr>
          <w:rStyle w:val="FootnoteReference"/>
          <w:i/>
        </w:rPr>
        <w:footnoteReference w:id="3"/>
      </w:r>
    </w:p>
    <w:p w:rsidR="000731E9" w:rsidRPr="00915294" w:rsidRDefault="000731E9" w:rsidP="000731E9">
      <w:pPr>
        <w:spacing w:before="120" w:line="360" w:lineRule="auto"/>
        <w:jc w:val="center"/>
        <w:rPr>
          <w:b/>
        </w:rPr>
      </w:pPr>
      <w:r w:rsidRPr="00915294">
        <w:rPr>
          <w:b/>
        </w:rPr>
        <w:t>Article 36</w:t>
      </w:r>
    </w:p>
    <w:p w:rsidR="000731E9" w:rsidRPr="00915294" w:rsidRDefault="000731E9" w:rsidP="000731E9">
      <w:pPr>
        <w:jc w:val="center"/>
      </w:pPr>
      <w:r w:rsidRPr="00915294">
        <w:rPr>
          <w:b/>
        </w:rPr>
        <w:t>Communications Concerning Legislation and the Genera</w:t>
      </w:r>
      <w:r w:rsidRPr="00915294">
        <w:rPr>
          <w:b/>
        </w:rPr>
        <w:br/>
        <w:t>and Species Protected;  Information to be Published</w:t>
      </w:r>
    </w:p>
    <w:p w:rsidR="000731E9" w:rsidRPr="00915294" w:rsidRDefault="000731E9" w:rsidP="000731E9">
      <w:pPr>
        <w:rPr>
          <w:b/>
        </w:rPr>
      </w:pPr>
      <w:r w:rsidRPr="00915294">
        <w:rPr>
          <w:b/>
        </w:rPr>
        <w:t>[…]</w:t>
      </w:r>
    </w:p>
    <w:p w:rsidR="000731E9" w:rsidRPr="00915294" w:rsidRDefault="000731E9" w:rsidP="000731E9">
      <w:pPr>
        <w:rPr>
          <w:b/>
        </w:rPr>
      </w:pPr>
      <w:r w:rsidRPr="00915294">
        <w:rPr>
          <w:b/>
        </w:rPr>
        <w:tab/>
        <w:t>(2)</w:t>
      </w:r>
      <w:r w:rsidRPr="00915294">
        <w:rPr>
          <w:b/>
        </w:rPr>
        <w:tab/>
        <w:t>[</w:t>
      </w:r>
      <w:r w:rsidRPr="00915294">
        <w:rPr>
          <w:b/>
          <w:i/>
        </w:rPr>
        <w:t>Notification of changes</w:t>
      </w:r>
      <w:r w:rsidRPr="00915294">
        <w:rPr>
          <w:b/>
        </w:rPr>
        <w:t>]  Each Contracting Party shall promptly notify the Secretary-General of</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any changes in its legislation governing breeders’ rights and</w:t>
      </w:r>
    </w:p>
    <w:p w:rsidR="000731E9" w:rsidRPr="00915294" w:rsidRDefault="000731E9" w:rsidP="000731E9">
      <w:pPr>
        <w:rPr>
          <w:b/>
        </w:rPr>
      </w:pPr>
      <w:r w:rsidRPr="00915294">
        <w:rPr>
          <w:b/>
        </w:rPr>
        <w:tab/>
        <w:t>[…]</w:t>
      </w:r>
    </w:p>
    <w:p w:rsidR="000731E9" w:rsidRPr="00915294" w:rsidRDefault="000731E9" w:rsidP="000731E9"/>
    <w:p w:rsidR="000731E9" w:rsidRPr="00915294" w:rsidRDefault="000731E9" w:rsidP="000731E9">
      <w:pPr>
        <w:rPr>
          <w:b/>
        </w:rPr>
      </w:pPr>
      <w:r w:rsidRPr="00915294">
        <w:tab/>
      </w:r>
      <w:r w:rsidRPr="00915294">
        <w:rPr>
          <w:b/>
        </w:rPr>
        <w:t>(3)</w:t>
      </w:r>
      <w:r w:rsidRPr="00915294">
        <w:rPr>
          <w:b/>
        </w:rPr>
        <w:tab/>
        <w:t>[</w:t>
      </w:r>
      <w:r w:rsidRPr="00915294">
        <w:rPr>
          <w:b/>
          <w:i/>
        </w:rPr>
        <w:t>Publication of the information</w:t>
      </w:r>
      <w:r w:rsidRPr="00915294">
        <w:rPr>
          <w:b/>
        </w:rPr>
        <w:t>]  The Secretary-General shall, on the basis of communications received from each Contracting Party concerned, publish information 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the legislation governing breeders’ rights and any changes in that legislation, and</w:t>
      </w:r>
    </w:p>
    <w:p w:rsidR="000731E9" w:rsidRPr="00915294" w:rsidRDefault="000731E9" w:rsidP="000731E9">
      <w:pPr>
        <w:rPr>
          <w:b/>
        </w:rPr>
      </w:pPr>
      <w:r w:rsidRPr="00915294">
        <w:rPr>
          <w:b/>
        </w:rPr>
        <w:tab/>
        <w:t>[…]</w:t>
      </w:r>
    </w:p>
    <w:p w:rsidR="000731E9" w:rsidRPr="00915294" w:rsidRDefault="000731E9" w:rsidP="000731E9">
      <w:pPr>
        <w:rPr>
          <w:b/>
        </w:rPr>
      </w:pPr>
    </w:p>
    <w:p w:rsidR="000731E9" w:rsidRPr="00380AD8" w:rsidRDefault="000731E9" w:rsidP="000731E9">
      <w:pPr>
        <w:tabs>
          <w:tab w:val="left" w:pos="0"/>
        </w:tabs>
        <w:rPr>
          <w:spacing w:val="-2"/>
        </w:rPr>
      </w:pPr>
      <w:r w:rsidRPr="00380AD8">
        <w:rPr>
          <w:spacing w:val="-2"/>
        </w:rPr>
        <w:fldChar w:fldCharType="begin"/>
      </w:r>
      <w:r w:rsidRPr="00380AD8">
        <w:rPr>
          <w:spacing w:val="-2"/>
        </w:rPr>
        <w:instrText xml:space="preserve"> AUTONUM  </w:instrText>
      </w:r>
      <w:r w:rsidRPr="00380AD8">
        <w:rPr>
          <w:spacing w:val="-2"/>
        </w:rPr>
        <w:fldChar w:fldCharType="end"/>
      </w:r>
      <w:r w:rsidRPr="00380AD8">
        <w:rPr>
          <w:spacing w:val="-2"/>
        </w:rPr>
        <w:tab/>
        <w:t>The adopted law governing breeders’ rights giving effect to the provisions of the UPOV Convention is notified at the time of the deposit of the instrument of ratification or accession.</w:t>
      </w:r>
      <w:r w:rsidRPr="00380AD8">
        <w:rPr>
          <w:rStyle w:val="FootnoteReference"/>
          <w:spacing w:val="-2"/>
        </w:rPr>
        <w:footnoteReference w:id="4"/>
      </w:r>
      <w:r w:rsidRPr="00380AD8">
        <w:rPr>
          <w:spacing w:val="-2"/>
        </w:rPr>
        <w:t xml:space="preserve">  Any changes to that legislation governing breeders’ rights shall be notified promptly to the Secretary-General in one of the UPOV languages (English, French, German or Spanish) and published accordingly.  The English version of those changes in the legislation and/or the relevant consolidated text will also be published in the UPOV Gazette and Newsletter </w:t>
      </w:r>
      <w:r w:rsidRPr="008275D0">
        <w:rPr>
          <w:spacing w:val="-2"/>
        </w:rPr>
        <w:t>(</w:t>
      </w:r>
      <w:hyperlink r:id="rId15" w:history="1">
        <w:r w:rsidRPr="008275D0">
          <w:rPr>
            <w:rStyle w:val="Hyperlink"/>
            <w:spacing w:val="-2"/>
          </w:rPr>
          <w:t>http://www.upov.int/news/en/gazette_newsletter.html</w:t>
        </w:r>
      </w:hyperlink>
      <w:r w:rsidRPr="008275D0">
        <w:rPr>
          <w:spacing w:val="-2"/>
        </w:rPr>
        <w:t xml:space="preserve">) and in UPOV Lex </w:t>
      </w:r>
      <w:r w:rsidRPr="00D04779">
        <w:rPr>
          <w:spacing w:val="-2"/>
        </w:rPr>
        <w:t>(</w:t>
      </w:r>
      <w:hyperlink r:id="rId16" w:history="1">
        <w:r w:rsidRPr="008275D0">
          <w:rPr>
            <w:rStyle w:val="Hyperlink"/>
            <w:spacing w:val="-2"/>
          </w:rPr>
          <w:t>http://www.upov.int/upovlex/en/</w:t>
        </w:r>
      </w:hyperlink>
      <w:r w:rsidRPr="00D04779">
        <w:rPr>
          <w:spacing w:val="-2"/>
        </w:rPr>
        <w:t>)</w:t>
      </w:r>
      <w:r w:rsidRPr="008275D0">
        <w:rPr>
          <w:spacing w:val="-2"/>
        </w:rPr>
        <w:t xml:space="preserve"> at</w:t>
      </w:r>
      <w:r w:rsidRPr="00380AD8">
        <w:rPr>
          <w:spacing w:val="-2"/>
        </w:rPr>
        <w:t xml:space="preserve"> the earliest opportunity.</w:t>
      </w:r>
    </w:p>
    <w:p w:rsidR="000731E9" w:rsidRPr="00915294" w:rsidRDefault="000731E9" w:rsidP="000731E9">
      <w:pPr>
        <w:tabs>
          <w:tab w:val="left" w:pos="0"/>
        </w:tabs>
      </w:pPr>
    </w:p>
    <w:p w:rsidR="000731E9" w:rsidRPr="00915294" w:rsidRDefault="000731E9" w:rsidP="002F19B7">
      <w:pPr>
        <w:tabs>
          <w:tab w:val="left" w:pos="0"/>
        </w:tabs>
        <w:spacing w:after="360"/>
      </w:pPr>
      <w:r>
        <w:fldChar w:fldCharType="begin"/>
      </w:r>
      <w:r w:rsidRPr="00915294">
        <w:instrText xml:space="preserve"> AUTONUM  </w:instrText>
      </w:r>
      <w:r>
        <w:fldChar w:fldCharType="end"/>
      </w:r>
      <w:r w:rsidRPr="00915294">
        <w:tab/>
        <w:t>Members of the Union are invited to contact the Office of the Union if they require assistance in the translation into English of the changes in their legislation governing breeders’ rights.</w:t>
      </w:r>
    </w:p>
    <w:p w:rsidR="000731E9" w:rsidRPr="00DD7CCB" w:rsidRDefault="000731E9" w:rsidP="002F19B7">
      <w:pPr>
        <w:pStyle w:val="Heading3"/>
      </w:pPr>
      <w:bookmarkStart w:id="17" w:name="_Toc267302732"/>
      <w:bookmarkStart w:id="18" w:name="_Toc412041250"/>
      <w:r w:rsidRPr="00DD7CCB">
        <w:lastRenderedPageBreak/>
        <w:t>Notification of any extension of the application of the UPOV Convention to additional plant genera and species</w:t>
      </w:r>
      <w:bookmarkEnd w:id="17"/>
      <w:bookmarkEnd w:id="18"/>
    </w:p>
    <w:p w:rsidR="000731E9" w:rsidRPr="00915294" w:rsidRDefault="000731E9" w:rsidP="000731E9">
      <w:pPr>
        <w:keepNext/>
        <w:rPr>
          <w:i/>
          <w:u w:val="single"/>
        </w:rPr>
      </w:pPr>
    </w:p>
    <w:p w:rsidR="000731E9" w:rsidRPr="00BE4B15" w:rsidRDefault="000731E9" w:rsidP="000A32D0">
      <w:pPr>
        <w:pStyle w:val="Heading4"/>
        <w:rPr>
          <w:lang w:val="en-US"/>
        </w:rPr>
      </w:pPr>
      <w:r w:rsidRPr="00BE4B15">
        <w:rPr>
          <w:lang w:val="en-US"/>
        </w:rPr>
        <w:t>Relevant articles</w:t>
      </w:r>
      <w:r w:rsidRPr="00AD7BA5">
        <w:rPr>
          <w:rStyle w:val="FootnoteReference"/>
        </w:rPr>
        <w:footnoteReference w:id="5"/>
      </w:r>
      <w:r w:rsidRPr="00BE4B15">
        <w:rPr>
          <w:lang w:val="en-US"/>
        </w:rPr>
        <w:t xml:space="preserve"> </w:t>
      </w:r>
    </w:p>
    <w:p w:rsidR="000731E9" w:rsidRPr="00915294" w:rsidRDefault="000731E9" w:rsidP="00347BF6">
      <w:pPr>
        <w:spacing w:before="120" w:line="360" w:lineRule="auto"/>
        <w:jc w:val="center"/>
        <w:rPr>
          <w:b/>
        </w:rPr>
      </w:pPr>
      <w:r w:rsidRPr="00915294">
        <w:rPr>
          <w:b/>
        </w:rPr>
        <w:t>Article 36</w:t>
      </w:r>
    </w:p>
    <w:p w:rsidR="000731E9" w:rsidRPr="00915294" w:rsidRDefault="000731E9" w:rsidP="000731E9">
      <w:pPr>
        <w:jc w:val="center"/>
        <w:rPr>
          <w:b/>
        </w:rPr>
      </w:pPr>
      <w:r w:rsidRPr="00915294">
        <w:rPr>
          <w:b/>
        </w:rPr>
        <w:t>Communications Concerning Legislation and the Genera</w:t>
      </w:r>
      <w:r w:rsidRPr="00915294">
        <w:rPr>
          <w:b/>
        </w:rPr>
        <w:br/>
        <w:t>and Species Protected;  Information to be Published</w:t>
      </w:r>
    </w:p>
    <w:p w:rsidR="000731E9" w:rsidRPr="00915294" w:rsidRDefault="000731E9" w:rsidP="000731E9"/>
    <w:p w:rsidR="000731E9" w:rsidRPr="00915294" w:rsidRDefault="000731E9" w:rsidP="000731E9">
      <w:pPr>
        <w:rPr>
          <w:b/>
        </w:rPr>
      </w:pPr>
      <w:r w:rsidRPr="00915294">
        <w:rPr>
          <w:b/>
        </w:rPr>
        <w:t>[…]</w:t>
      </w:r>
    </w:p>
    <w:p w:rsidR="000731E9" w:rsidRPr="00915294" w:rsidRDefault="000731E9" w:rsidP="000731E9">
      <w:pPr>
        <w:rPr>
          <w:b/>
        </w:rPr>
      </w:pPr>
      <w:r w:rsidRPr="00915294">
        <w:rPr>
          <w:b/>
        </w:rPr>
        <w:tab/>
        <w:t>(2)</w:t>
      </w:r>
      <w:r w:rsidRPr="00915294">
        <w:rPr>
          <w:b/>
        </w:rPr>
        <w:tab/>
        <w:t>[</w:t>
      </w:r>
      <w:r w:rsidRPr="00915294">
        <w:rPr>
          <w:b/>
          <w:i/>
        </w:rPr>
        <w:t>Notification of changes</w:t>
      </w:r>
      <w:r w:rsidRPr="00915294">
        <w:rPr>
          <w:b/>
        </w:rPr>
        <w:t>]  Each Contracting Party shall promptly notify the Secretary-General of</w:t>
      </w:r>
    </w:p>
    <w:p w:rsidR="000731E9" w:rsidRPr="00915294" w:rsidRDefault="000731E9" w:rsidP="000731E9">
      <w:pPr>
        <w:rPr>
          <w:b/>
        </w:rPr>
      </w:pPr>
    </w:p>
    <w:p w:rsidR="000731E9" w:rsidRPr="00915294" w:rsidRDefault="000731E9" w:rsidP="000731E9">
      <w:pPr>
        <w:rPr>
          <w:b/>
        </w:rPr>
      </w:pPr>
      <w:r w:rsidRPr="00915294">
        <w:rPr>
          <w:b/>
        </w:rPr>
        <w:tab/>
        <w:t>[…]</w:t>
      </w:r>
    </w:p>
    <w:p w:rsidR="000731E9" w:rsidRPr="00915294" w:rsidRDefault="000731E9" w:rsidP="000731E9">
      <w:pPr>
        <w:pStyle w:val="Style1"/>
        <w:rPr>
          <w:b/>
          <w:lang w:val="en-US"/>
        </w:rPr>
      </w:pPr>
      <w:r w:rsidRPr="00915294">
        <w:rPr>
          <w:b/>
          <w:lang w:val="en-US"/>
        </w:rPr>
        <w:tab/>
        <w:t>(ii)</w:t>
      </w:r>
      <w:r w:rsidRPr="00915294">
        <w:rPr>
          <w:b/>
          <w:lang w:val="en-US"/>
        </w:rPr>
        <w:tab/>
        <w:t xml:space="preserve">any extension of the application of this Convention to additional plant genera and species. </w:t>
      </w:r>
    </w:p>
    <w:p w:rsidR="000731E9" w:rsidRPr="00915294" w:rsidRDefault="000731E9" w:rsidP="000731E9">
      <w:pPr>
        <w:rPr>
          <w:b/>
        </w:rPr>
      </w:pPr>
    </w:p>
    <w:p w:rsidR="000731E9" w:rsidRPr="00915294" w:rsidRDefault="000731E9" w:rsidP="00D7220E">
      <w:pPr>
        <w:keepNext/>
        <w:rPr>
          <w:b/>
        </w:rPr>
      </w:pPr>
      <w:r w:rsidRPr="00915294">
        <w:rPr>
          <w:b/>
        </w:rPr>
        <w:tab/>
        <w:t>(3)</w:t>
      </w:r>
      <w:r w:rsidRPr="00915294">
        <w:rPr>
          <w:b/>
        </w:rPr>
        <w:tab/>
        <w:t>[</w:t>
      </w:r>
      <w:r w:rsidRPr="00915294">
        <w:rPr>
          <w:b/>
          <w:i/>
        </w:rPr>
        <w:t>Publication of the information</w:t>
      </w:r>
      <w:r w:rsidRPr="00915294">
        <w:rPr>
          <w:b/>
        </w:rPr>
        <w:t>]  The Secretary-General shall, on the basis of communications received from each Contracting Party concerned, publish information on</w:t>
      </w:r>
    </w:p>
    <w:p w:rsidR="000731E9" w:rsidRPr="00915294" w:rsidRDefault="000731E9" w:rsidP="00D7220E">
      <w:pPr>
        <w:pStyle w:val="Style1"/>
        <w:keepNext/>
        <w:rPr>
          <w:b/>
          <w:lang w:val="en-US"/>
        </w:rPr>
      </w:pPr>
    </w:p>
    <w:p w:rsidR="000731E9" w:rsidRPr="00915294" w:rsidRDefault="000731E9" w:rsidP="000731E9">
      <w:pPr>
        <w:pStyle w:val="Style1"/>
        <w:rPr>
          <w:b/>
          <w:lang w:val="en-US"/>
        </w:rPr>
      </w:pPr>
      <w:r w:rsidRPr="00915294">
        <w:rPr>
          <w:b/>
          <w:lang w:val="en-US"/>
        </w:rPr>
        <w:tab/>
        <w:t>[…]</w:t>
      </w:r>
    </w:p>
    <w:p w:rsidR="000731E9" w:rsidRPr="00915294" w:rsidRDefault="000731E9" w:rsidP="000731E9">
      <w:pPr>
        <w:pStyle w:val="Style1"/>
        <w:rPr>
          <w:b/>
          <w:lang w:val="en-US"/>
        </w:rPr>
      </w:pPr>
      <w:r w:rsidRPr="00915294">
        <w:rPr>
          <w:b/>
          <w:lang w:val="en-US"/>
        </w:rPr>
        <w:tab/>
        <w:t>(ii)</w:t>
      </w:r>
      <w:r w:rsidRPr="00915294">
        <w:rPr>
          <w:b/>
          <w:lang w:val="en-US"/>
        </w:rPr>
        <w:tab/>
        <w:t>the list of plant genera and species referred to in paragraph (1)(ii) and any extension referred to in paragraph (2)(ii).</w:t>
      </w:r>
    </w:p>
    <w:p w:rsidR="000731E9" w:rsidRPr="00915294" w:rsidRDefault="000731E9" w:rsidP="000731E9"/>
    <w:p w:rsidR="000731E9" w:rsidRPr="00915294" w:rsidRDefault="000731E9" w:rsidP="000731E9"/>
    <w:p w:rsidR="000731E9" w:rsidRPr="00915294" w:rsidRDefault="000731E9" w:rsidP="000731E9">
      <w:pPr>
        <w:spacing w:line="360" w:lineRule="auto"/>
        <w:jc w:val="center"/>
        <w:rPr>
          <w:b/>
        </w:rPr>
      </w:pPr>
      <w:r w:rsidRPr="00915294">
        <w:rPr>
          <w:b/>
        </w:rPr>
        <w:t>Article 3</w:t>
      </w:r>
    </w:p>
    <w:p w:rsidR="000731E9" w:rsidRPr="00915294" w:rsidRDefault="000731E9" w:rsidP="000731E9">
      <w:pPr>
        <w:spacing w:line="360" w:lineRule="auto"/>
        <w:jc w:val="center"/>
        <w:rPr>
          <w:b/>
        </w:rPr>
      </w:pPr>
      <w:r w:rsidRPr="00915294">
        <w:rPr>
          <w:b/>
        </w:rPr>
        <w:t>Genera and Species to be Protected</w:t>
      </w:r>
    </w:p>
    <w:p w:rsidR="000731E9" w:rsidRPr="00915294" w:rsidRDefault="000731E9" w:rsidP="000731E9">
      <w:pPr>
        <w:rPr>
          <w:b/>
        </w:rPr>
      </w:pPr>
      <w:r w:rsidRPr="00915294">
        <w:rPr>
          <w:b/>
        </w:rPr>
        <w:tab/>
        <w:t>(1)</w:t>
      </w:r>
      <w:r w:rsidRPr="00915294">
        <w:rPr>
          <w:b/>
        </w:rPr>
        <w:tab/>
        <w:t>[</w:t>
      </w:r>
      <w:r w:rsidRPr="00915294">
        <w:rPr>
          <w:b/>
          <w:i/>
        </w:rPr>
        <w:t>States already members of the Union</w:t>
      </w:r>
      <w:r w:rsidRPr="00915294">
        <w:rPr>
          <w:b/>
        </w:rPr>
        <w:t>]  Each Contracting Party which is bound by the Act of 1961/1972 or the Act of 1978 shall apply the provisions of this Convention,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at the date on which it becomes bound by this Convention, to all plant genera and species to which it applies, on the said date, the provisions of the Act of 1961/1972 or the Act of 1978 and,</w:t>
      </w:r>
    </w:p>
    <w:p w:rsidR="000731E9" w:rsidRPr="00915294" w:rsidRDefault="000731E9" w:rsidP="000731E9">
      <w:pPr>
        <w:pStyle w:val="Style1"/>
        <w:rPr>
          <w:b/>
          <w:lang w:val="en-US"/>
        </w:rPr>
      </w:pPr>
    </w:p>
    <w:p w:rsidR="000731E9" w:rsidRPr="00915294" w:rsidRDefault="000731E9" w:rsidP="000731E9">
      <w:pPr>
        <w:pStyle w:val="Style1"/>
        <w:rPr>
          <w:b/>
          <w:lang w:val="en-US"/>
        </w:rPr>
      </w:pPr>
      <w:r w:rsidRPr="00915294">
        <w:rPr>
          <w:b/>
          <w:lang w:val="en-US"/>
        </w:rPr>
        <w:tab/>
        <w:t>(ii)</w:t>
      </w:r>
      <w:r w:rsidRPr="00915294">
        <w:rPr>
          <w:b/>
          <w:lang w:val="en-US"/>
        </w:rPr>
        <w:tab/>
        <w:t>at the latest by the expiration of a period of five years after the said date, to all plant genera and species.</w:t>
      </w:r>
    </w:p>
    <w:p w:rsidR="000731E9" w:rsidRPr="00915294" w:rsidRDefault="000731E9" w:rsidP="000731E9">
      <w:pPr>
        <w:rPr>
          <w:b/>
        </w:rPr>
      </w:pPr>
    </w:p>
    <w:p w:rsidR="000731E9" w:rsidRPr="00915294" w:rsidRDefault="000731E9" w:rsidP="000731E9">
      <w:pPr>
        <w:rPr>
          <w:b/>
        </w:rPr>
      </w:pPr>
      <w:r w:rsidRPr="00915294">
        <w:rPr>
          <w:b/>
        </w:rPr>
        <w:tab/>
        <w:t>(2)</w:t>
      </w:r>
      <w:r w:rsidRPr="00915294">
        <w:rPr>
          <w:b/>
        </w:rPr>
        <w:tab/>
        <w:t>[</w:t>
      </w:r>
      <w:r w:rsidRPr="00915294">
        <w:rPr>
          <w:b/>
          <w:i/>
        </w:rPr>
        <w:t>New members of the Union</w:t>
      </w:r>
      <w:r w:rsidRPr="00915294">
        <w:rPr>
          <w:b/>
        </w:rPr>
        <w:t>]  Each Contracting Party which is not bound by the Act of 1961/1972 or the Act of 1978 shall apply the provisions of this Convention,</w:t>
      </w:r>
    </w:p>
    <w:p w:rsidR="000731E9" w:rsidRPr="00915294" w:rsidRDefault="000731E9" w:rsidP="000731E9">
      <w:pPr>
        <w:rPr>
          <w:b/>
        </w:rPr>
      </w:pPr>
    </w:p>
    <w:p w:rsidR="000731E9" w:rsidRPr="00915294" w:rsidRDefault="000731E9" w:rsidP="000731E9">
      <w:pPr>
        <w:pStyle w:val="Style1"/>
        <w:rPr>
          <w:b/>
          <w:lang w:val="en-US"/>
        </w:rPr>
      </w:pPr>
      <w:r w:rsidRPr="00915294">
        <w:rPr>
          <w:b/>
          <w:lang w:val="en-US"/>
        </w:rPr>
        <w:tab/>
        <w:t>(i)</w:t>
      </w:r>
      <w:r w:rsidRPr="00915294">
        <w:rPr>
          <w:b/>
          <w:lang w:val="en-US"/>
        </w:rPr>
        <w:tab/>
        <w:t>at the date on which it becomes bound by this Convention, to at least 15 plant genera or species and,</w:t>
      </w:r>
    </w:p>
    <w:p w:rsidR="000731E9" w:rsidRPr="00915294" w:rsidRDefault="000731E9" w:rsidP="000731E9">
      <w:pPr>
        <w:pStyle w:val="Style1"/>
        <w:rPr>
          <w:b/>
          <w:lang w:val="en-US"/>
        </w:rPr>
      </w:pPr>
    </w:p>
    <w:p w:rsidR="000731E9" w:rsidRPr="00915294" w:rsidRDefault="000731E9" w:rsidP="000731E9">
      <w:pPr>
        <w:pStyle w:val="Style1"/>
        <w:rPr>
          <w:lang w:val="en-US"/>
        </w:rPr>
      </w:pPr>
      <w:r w:rsidRPr="00915294">
        <w:rPr>
          <w:b/>
          <w:lang w:val="en-US"/>
        </w:rPr>
        <w:tab/>
        <w:t>(ii)</w:t>
      </w:r>
      <w:r w:rsidRPr="00915294">
        <w:rPr>
          <w:b/>
          <w:lang w:val="en-US"/>
        </w:rPr>
        <w:tab/>
        <w:t>at the latest by the expiration of a period of 10 years from the said date, to all plant genera and species.</w:t>
      </w:r>
    </w:p>
    <w:p w:rsidR="000731E9" w:rsidRPr="00915294" w:rsidRDefault="000731E9" w:rsidP="000731E9">
      <w:pPr>
        <w:tabs>
          <w:tab w:val="left" w:pos="0"/>
        </w:tabs>
      </w:pPr>
    </w:p>
    <w:p w:rsidR="000731E9" w:rsidRPr="00915294" w:rsidRDefault="000731E9" w:rsidP="00B4093E">
      <w:pPr>
        <w:tabs>
          <w:tab w:val="left" w:pos="0"/>
        </w:tabs>
        <w:spacing w:after="240"/>
      </w:pPr>
      <w:r>
        <w:fldChar w:fldCharType="begin"/>
      </w:r>
      <w:r w:rsidRPr="00915294">
        <w:instrText xml:space="preserve"> AUTONUM  </w:instrText>
      </w:r>
      <w:r>
        <w:fldChar w:fldCharType="end"/>
      </w:r>
      <w:r w:rsidRPr="00915294">
        <w:tab/>
      </w:r>
      <w:r w:rsidRPr="00915294">
        <w:rPr>
          <w:szCs w:val="24"/>
        </w:rPr>
        <w:t xml:space="preserve">Where the </w:t>
      </w:r>
      <w:r w:rsidRPr="00915294">
        <w:t>State or Intergovernmental Organization</w:t>
      </w:r>
      <w:r w:rsidRPr="00915294">
        <w:rPr>
          <w:szCs w:val="24"/>
        </w:rPr>
        <w:t xml:space="preserve"> concerned does no</w:t>
      </w:r>
      <w:r>
        <w:rPr>
          <w:szCs w:val="24"/>
        </w:rPr>
        <w:t>t, in the first instance, apply</w:t>
      </w:r>
      <w:r>
        <w:rPr>
          <w:szCs w:val="24"/>
        </w:rPr>
        <w:br/>
      </w:r>
      <w:r w:rsidRPr="00915294">
        <w:rPr>
          <w:szCs w:val="24"/>
        </w:rPr>
        <w:t>the UPOV Convention to all plant genera and species, a</w:t>
      </w:r>
      <w:r w:rsidRPr="00915294">
        <w:t>ny exte</w:t>
      </w:r>
      <w:r>
        <w:t>nsion of the application of the</w:t>
      </w:r>
      <w:r>
        <w:br/>
      </w:r>
      <w:r w:rsidRPr="00915294">
        <w:t>UPOV Convention to additional plant genera and species shall be notified to the Secretary-General</w:t>
      </w:r>
      <w:r>
        <w:t>.</w:t>
      </w:r>
      <w:r w:rsidRPr="00F212F9">
        <w:rPr>
          <w:rStyle w:val="FootnoteReference"/>
        </w:rPr>
        <w:footnoteReference w:id="6"/>
      </w:r>
      <w:r>
        <w:t xml:space="preserve">  </w:t>
      </w:r>
      <w:r>
        <w:br/>
      </w:r>
      <w:r w:rsidRPr="00915294">
        <w:t xml:space="preserve">That notification shall be made promptly to the Office of the Union and should include the relevant legal source for such an extension (Regulations, decision </w:t>
      </w:r>
      <w:r>
        <w:t>of the Minister, etc.</w:t>
      </w:r>
      <w:r w:rsidRPr="00915294">
        <w:t>).  The notification will then be published in the UPOV Gazette and Newsletter (</w:t>
      </w:r>
      <w:hyperlink r:id="rId17" w:history="1">
        <w:r w:rsidRPr="000F368F">
          <w:rPr>
            <w:rStyle w:val="Hyperlink"/>
          </w:rPr>
          <w:t>http://www.upov.int/news/en/gazette_newsletter.html</w:t>
        </w:r>
      </w:hyperlink>
      <w:r w:rsidRPr="00915294">
        <w:t xml:space="preserve">) </w:t>
      </w:r>
      <w:r w:rsidRPr="00380AD8">
        <w:t xml:space="preserve">and in </w:t>
      </w:r>
      <w:r>
        <w:t>UPOV </w:t>
      </w:r>
      <w:r w:rsidRPr="00380AD8">
        <w:t xml:space="preserve">Lex </w:t>
      </w:r>
      <w:r w:rsidRPr="00607DE4">
        <w:t>(</w:t>
      </w:r>
      <w:hyperlink r:id="rId18" w:history="1">
        <w:r w:rsidRPr="00380AD8">
          <w:rPr>
            <w:rStyle w:val="Hyperlink"/>
          </w:rPr>
          <w:t>http://www.upov.int/upovlex/en/</w:t>
        </w:r>
      </w:hyperlink>
      <w:r w:rsidRPr="00607DE4">
        <w:t>)</w:t>
      </w:r>
      <w:r>
        <w:t xml:space="preserve"> </w:t>
      </w:r>
      <w:r w:rsidRPr="00915294">
        <w:t>at the earliest opportunity.</w:t>
      </w:r>
    </w:p>
    <w:p w:rsidR="000731E9" w:rsidRPr="00915294" w:rsidRDefault="000731E9" w:rsidP="00DD7CCB">
      <w:pPr>
        <w:spacing w:after="240"/>
        <w:rPr>
          <w:szCs w:val="24"/>
        </w:rPr>
      </w:pPr>
      <w:r>
        <w:fldChar w:fldCharType="begin"/>
      </w:r>
      <w:r w:rsidRPr="00915294">
        <w:instrText xml:space="preserve"> AUTONUM  </w:instrText>
      </w:r>
      <w:r>
        <w:fldChar w:fldCharType="end"/>
      </w:r>
      <w:r w:rsidRPr="00915294">
        <w:tab/>
        <w:t xml:space="preserve">In the preparation of the notification concerning the extension of the application of the UPOV Convention to additional plant genera and species, members of the Union are invited to consult the </w:t>
      </w:r>
      <w:r w:rsidRPr="00915294">
        <w:lastRenderedPageBreak/>
        <w:t xml:space="preserve">“Explanatory Notes on Genera and Species to be </w:t>
      </w:r>
      <w:r w:rsidRPr="00915294">
        <w:rPr>
          <w:szCs w:val="24"/>
        </w:rPr>
        <w:t xml:space="preserve">Protected under the 1991 Act of the UPOV Convention” (document </w:t>
      </w:r>
      <w:hyperlink r:id="rId19" w:history="1">
        <w:r w:rsidRPr="000F368F">
          <w:rPr>
            <w:rStyle w:val="Hyperlink"/>
            <w:szCs w:val="24"/>
          </w:rPr>
          <w:t>UPOV/EXN/GEN/1</w:t>
        </w:r>
      </w:hyperlink>
      <w:r w:rsidRPr="00915294">
        <w:rPr>
          <w:szCs w:val="24"/>
        </w:rPr>
        <w:t>) and the GENIE database (</w:t>
      </w:r>
      <w:hyperlink r:id="rId20" w:history="1">
        <w:r w:rsidRPr="000F368F">
          <w:rPr>
            <w:rStyle w:val="Hyperlink"/>
            <w:szCs w:val="24"/>
          </w:rPr>
          <w:t>http://www.upov.int/genie/en/</w:t>
        </w:r>
      </w:hyperlink>
      <w:r w:rsidRPr="00915294">
        <w:rPr>
          <w:szCs w:val="24"/>
        </w:rPr>
        <w:t>).</w:t>
      </w:r>
    </w:p>
    <w:p w:rsidR="000731E9" w:rsidRPr="00915294" w:rsidRDefault="000731E9" w:rsidP="000731E9">
      <w:pPr>
        <w:rPr>
          <w:u w:val="single"/>
        </w:rPr>
      </w:pPr>
      <w:r>
        <w:fldChar w:fldCharType="begin"/>
      </w:r>
      <w:r w:rsidRPr="00915294">
        <w:instrText xml:space="preserve"> AUTONUM  </w:instrText>
      </w:r>
      <w:r>
        <w:fldChar w:fldCharType="end"/>
      </w:r>
      <w:r w:rsidRPr="00915294">
        <w:tab/>
        <w:t>The above notifications, on changes in the legislation governing breeders’ rights and on any extension of the application of the UPOV Convention to additional plant genera and species should be made by the representative.</w:t>
      </w:r>
    </w:p>
    <w:p w:rsidR="000731E9" w:rsidRPr="00915294" w:rsidRDefault="000731E9" w:rsidP="000731E9"/>
    <w:p w:rsidR="00347BF6" w:rsidRDefault="00347BF6" w:rsidP="00B4093E">
      <w:bookmarkStart w:id="19" w:name="_Toc267302733"/>
    </w:p>
    <w:p w:rsidR="000731E9" w:rsidRDefault="009D1C26" w:rsidP="007C367F">
      <w:pPr>
        <w:pStyle w:val="Heading2"/>
      </w:pPr>
      <w:bookmarkStart w:id="20" w:name="_Toc412041251"/>
      <w:r>
        <w:t xml:space="preserve">Section 3. </w:t>
      </w:r>
      <w:r w:rsidR="007C367F">
        <w:t>F</w:t>
      </w:r>
      <w:r w:rsidR="007C367F" w:rsidRPr="004C0E89">
        <w:t>inancial obligations concerning the payment of contributions</w:t>
      </w:r>
      <w:bookmarkEnd w:id="19"/>
      <w:bookmarkEnd w:id="20"/>
    </w:p>
    <w:p w:rsidR="000731E9" w:rsidRPr="00915294" w:rsidRDefault="000731E9" w:rsidP="000731E9"/>
    <w:p w:rsidR="000731E9" w:rsidRPr="00915294" w:rsidRDefault="000731E9" w:rsidP="000731E9">
      <w:pPr>
        <w:rPr>
          <w:spacing w:val="8"/>
        </w:rPr>
      </w:pPr>
      <w:r>
        <w:fldChar w:fldCharType="begin"/>
      </w:r>
      <w:r w:rsidRPr="00915294">
        <w:instrText xml:space="preserve"> AUTONUM  </w:instrText>
      </w:r>
      <w:r>
        <w:fldChar w:fldCharType="end"/>
      </w:r>
      <w:r w:rsidRPr="00915294">
        <w:tab/>
        <w:t>In accordance with the UPOV Convention,</w:t>
      </w:r>
      <w:r>
        <w:rPr>
          <w:rStyle w:val="FootnoteReference"/>
          <w:szCs w:val="24"/>
        </w:rPr>
        <w:footnoteReference w:id="7"/>
      </w:r>
      <w:r w:rsidRPr="00915294">
        <w:t xml:space="preserve"> the Secretary</w:t>
      </w:r>
      <w:r w:rsidRPr="00915294">
        <w:noBreakHyphen/>
        <w:t>General shall communicate, each year, to the members of the Union the amount of their annual contributions for the forthcoming year on the basis of the applicable number of contribution units</w:t>
      </w:r>
      <w:r w:rsidRPr="00915294">
        <w:rPr>
          <w:spacing w:val="8"/>
        </w:rPr>
        <w:t xml:space="preserve">.  </w:t>
      </w:r>
      <w:r w:rsidRPr="00915294">
        <w:t xml:space="preserve">The amount corresponding to the annual contribution is due in January (document </w:t>
      </w:r>
      <w:hyperlink r:id="rId21" w:history="1">
        <w:r w:rsidRPr="000F368F">
          <w:rPr>
            <w:rStyle w:val="Hyperlink"/>
          </w:rPr>
          <w:t>UPOV/INF/4</w:t>
        </w:r>
      </w:hyperlink>
      <w:r w:rsidRPr="00915294">
        <w:t xml:space="preserve"> “Financial Regulations and Rules of UPOV”).  The communication by the Secretary-General is addressed to the Ministry of Foreign Affairs with copy to the authority entrusted with the task of granting breeders’ rights, in accordance with Article 30(1)(i) of the 1991 Act of the UPOV Convention (see information provided by the representative under paragraph 9(d) above), and the Permanent Mission in Geneva. </w:t>
      </w:r>
    </w:p>
    <w:p w:rsidR="000731E9" w:rsidRPr="00915294" w:rsidRDefault="000731E9" w:rsidP="000731E9">
      <w:pPr>
        <w:rPr>
          <w:szCs w:val="24"/>
        </w:rPr>
      </w:pPr>
    </w:p>
    <w:p w:rsidR="000731E9" w:rsidRPr="00915294" w:rsidRDefault="000731E9" w:rsidP="000731E9">
      <w:r>
        <w:fldChar w:fldCharType="begin"/>
      </w:r>
      <w:r w:rsidRPr="00915294">
        <w:instrText xml:space="preserve"> AUTONUM  </w:instrText>
      </w:r>
      <w:r>
        <w:fldChar w:fldCharType="end"/>
      </w:r>
      <w:r w:rsidRPr="00915294">
        <w:tab/>
        <w:t>More information on financial matters can be found in d</w:t>
      </w:r>
      <w:r w:rsidRPr="00915294">
        <w:rPr>
          <w:szCs w:val="24"/>
        </w:rPr>
        <w:t xml:space="preserve">ocument </w:t>
      </w:r>
      <w:hyperlink r:id="rId22" w:history="1">
        <w:r w:rsidRPr="000F368F">
          <w:rPr>
            <w:rStyle w:val="Hyperlink"/>
            <w:szCs w:val="24"/>
          </w:rPr>
          <w:t>UPOV/INF/13</w:t>
        </w:r>
      </w:hyperlink>
      <w:r w:rsidRPr="00915294">
        <w:rPr>
          <w:szCs w:val="24"/>
        </w:rPr>
        <w:t xml:space="preserve"> “Guidance on How to Become a Member of UPOV”</w:t>
      </w:r>
      <w:r>
        <w:t xml:space="preserve"> </w:t>
      </w:r>
      <w:r w:rsidRPr="00915294">
        <w:rPr>
          <w:szCs w:val="24"/>
        </w:rPr>
        <w:t xml:space="preserve">and in document </w:t>
      </w:r>
      <w:hyperlink r:id="rId23" w:history="1">
        <w:r w:rsidRPr="000F368F">
          <w:rPr>
            <w:rStyle w:val="Hyperlink"/>
            <w:szCs w:val="24"/>
          </w:rPr>
          <w:t>UPOV/INF/14</w:t>
        </w:r>
      </w:hyperlink>
      <w:r w:rsidRPr="00915294">
        <w:rPr>
          <w:szCs w:val="24"/>
        </w:rPr>
        <w:t xml:space="preserve"> “</w:t>
      </w:r>
      <w:r w:rsidRPr="00915294">
        <w:t>Guidance for Members of UPOV on How to Ratify, or Accede to, the 1991 Act of the UPOV Convention”</w:t>
      </w:r>
      <w:r w:rsidRPr="00915294">
        <w:rPr>
          <w:szCs w:val="24"/>
        </w:rPr>
        <w:t>.</w:t>
      </w:r>
    </w:p>
    <w:p w:rsidR="000731E9" w:rsidRDefault="000731E9" w:rsidP="000731E9"/>
    <w:p w:rsidR="000731E9" w:rsidRDefault="000731E9" w:rsidP="000731E9"/>
    <w:p w:rsidR="000731E9" w:rsidRPr="00380AD8" w:rsidRDefault="009D1C26" w:rsidP="00C2348B">
      <w:pPr>
        <w:pStyle w:val="Heading2"/>
      </w:pPr>
      <w:bookmarkStart w:id="21" w:name="_Toc412041252"/>
      <w:r>
        <w:t xml:space="preserve">Section 4. </w:t>
      </w:r>
      <w:r w:rsidR="00C2348B">
        <w:t>I</w:t>
      </w:r>
      <w:r w:rsidR="00C2348B" w:rsidRPr="00380AD8">
        <w:t>nformation to facilitate cooperation</w:t>
      </w:r>
      <w:bookmarkEnd w:id="21"/>
      <w:r w:rsidR="00C2348B" w:rsidRPr="00380AD8">
        <w:t xml:space="preserve"> </w:t>
      </w:r>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 xml:space="preserve">Cooperation between members of the Union is an important benefit of the UPOV system and supports an efficient system covering all plant genera and species. Such efficiency is an important means of ensuring that the UPOV system is accessible and affordable for all types of breeders.  Information about developments in </w:t>
      </w:r>
      <w:r w:rsidRPr="00380AD8">
        <w:rPr>
          <w:snapToGrid w:val="0"/>
        </w:rPr>
        <w:t>members of the Union is also an important means of sharing experience within UPOV.  This Part explains the information that is provided by members of the Union and the procedures by which that information is collected.</w:t>
      </w:r>
    </w:p>
    <w:p w:rsidR="000731E9" w:rsidRPr="00380AD8" w:rsidRDefault="000731E9" w:rsidP="002F19B7">
      <w:pPr>
        <w:spacing w:line="360" w:lineRule="auto"/>
      </w:pPr>
    </w:p>
    <w:p w:rsidR="000731E9" w:rsidRPr="00380AD8" w:rsidRDefault="000731E9" w:rsidP="002F19B7">
      <w:pPr>
        <w:pStyle w:val="Heading3"/>
      </w:pPr>
      <w:bookmarkStart w:id="22" w:name="_Toc412041253"/>
      <w:r w:rsidRPr="00380AD8">
        <w:t>DUS Examination (GENIE database)</w:t>
      </w:r>
      <w:bookmarkEnd w:id="22"/>
    </w:p>
    <w:p w:rsidR="000731E9" w:rsidRPr="00380AD8" w:rsidRDefault="000731E9" w:rsidP="002F19B7">
      <w:pPr>
        <w:pStyle w:val="Heading3"/>
      </w:pPr>
    </w:p>
    <w:p w:rsidR="000731E9" w:rsidRPr="00380AD8" w:rsidRDefault="000731E9" w:rsidP="000731E9">
      <w:r w:rsidRPr="00380AD8">
        <w:fldChar w:fldCharType="begin"/>
      </w:r>
      <w:r w:rsidRPr="00380AD8">
        <w:instrText xml:space="preserve"> AUTONUM  </w:instrText>
      </w:r>
      <w:r w:rsidRPr="00380AD8">
        <w:fldChar w:fldCharType="end"/>
      </w:r>
      <w:r w:rsidRPr="00380AD8">
        <w:tab/>
        <w:t>The cooperation within UPOV relies to a major extent on the input of members of the Union. In particular, cooperation in the examination of Distinctness, Uniformity and Stability (“DUS”) relies on experts from members of the Union in the development of Test Guidelines (</w:t>
      </w:r>
      <w:hyperlink r:id="rId24" w:history="1">
        <w:r w:rsidRPr="00380AD8">
          <w:rPr>
            <w:rStyle w:val="Hyperlink"/>
          </w:rPr>
          <w:t>http://www.upov.int/test_guidelines/en/</w:t>
        </w:r>
      </w:hyperlink>
      <w:r w:rsidRPr="00380AD8">
        <w:t>) and on the willingness of members of the Union to share their practical experience with particular plant genera and species and to cooperate in DUS examination.  Information on this cooperation is provided in the GENIE database (</w:t>
      </w:r>
      <w:hyperlink r:id="rId25" w:history="1">
        <w:r w:rsidRPr="00380AD8">
          <w:rPr>
            <w:rStyle w:val="Hyperlink"/>
          </w:rPr>
          <w:t>http://www.upov.int/genie/en/</w:t>
        </w:r>
      </w:hyperlink>
      <w:r w:rsidRPr="00380AD8">
        <w:t xml:space="preserve">). </w:t>
      </w:r>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The procedures for members of the Union to provide the information that is included in the GENIE database are as follows:</w:t>
      </w:r>
    </w:p>
    <w:p w:rsidR="000731E9" w:rsidRPr="00380AD8" w:rsidRDefault="000731E9" w:rsidP="000731E9"/>
    <w:p w:rsidR="000731E9" w:rsidRPr="00380AD8" w:rsidRDefault="000731E9" w:rsidP="00AD7BA5">
      <w:pPr>
        <w:ind w:left="1134" w:hanging="567"/>
        <w:rPr>
          <w:i/>
        </w:rPr>
      </w:pPr>
      <w:r w:rsidRPr="00380AD8">
        <w:rPr>
          <w:i/>
        </w:rPr>
        <w:t>(a)</w:t>
      </w:r>
      <w:r w:rsidRPr="00380AD8">
        <w:rPr>
          <w:i/>
        </w:rPr>
        <w:tab/>
        <w:t xml:space="preserve">Genera and Species for which Authorities have Practical Experience in the DUS Examination </w:t>
      </w:r>
    </w:p>
    <w:p w:rsidR="000731E9" w:rsidRPr="00380AD8" w:rsidRDefault="000731E9" w:rsidP="00AD7BA5">
      <w:pPr>
        <w:ind w:left="2268" w:hanging="567"/>
      </w:pPr>
    </w:p>
    <w:p w:rsidR="000731E9" w:rsidRPr="00380AD8" w:rsidRDefault="000731E9" w:rsidP="00AD7BA5">
      <w:pPr>
        <w:ind w:left="1134"/>
        <w:rPr>
          <w:i/>
        </w:rPr>
      </w:pPr>
      <w:r w:rsidRPr="00380AD8">
        <w:rPr>
          <w:i/>
        </w:rPr>
        <w:t>Members of the Union receive a Technical Committee (TC) circular inviting them to provide information for the updating of document TC/[session]/4 “List of Genera and Species for which Authorities have Practical Experience in the Examination of Distinctness, Uniformity and Stability”.  The information provided is used to update the GENIE database.</w:t>
      </w:r>
    </w:p>
    <w:p w:rsidR="000731E9" w:rsidRPr="00380AD8" w:rsidRDefault="000731E9" w:rsidP="00AD7BA5">
      <w:pPr>
        <w:ind w:left="1701"/>
        <w:rPr>
          <w:i/>
        </w:rPr>
      </w:pPr>
    </w:p>
    <w:p w:rsidR="000731E9" w:rsidRPr="00380AD8" w:rsidRDefault="000731E9" w:rsidP="00772A58">
      <w:pPr>
        <w:keepNext/>
        <w:numPr>
          <w:ilvl w:val="0"/>
          <w:numId w:val="1"/>
        </w:numPr>
        <w:rPr>
          <w:i/>
        </w:rPr>
      </w:pPr>
      <w:r w:rsidRPr="00380AD8">
        <w:rPr>
          <w:i/>
        </w:rPr>
        <w:t>Cooperation in DUS Examination</w:t>
      </w:r>
    </w:p>
    <w:p w:rsidR="000731E9" w:rsidRPr="00380AD8" w:rsidRDefault="000731E9" w:rsidP="00772A58">
      <w:pPr>
        <w:keepNext/>
        <w:ind w:left="567"/>
      </w:pPr>
    </w:p>
    <w:p w:rsidR="000731E9" w:rsidRPr="002F19B7" w:rsidRDefault="000731E9" w:rsidP="002F19B7">
      <w:pPr>
        <w:spacing w:after="360"/>
        <w:ind w:left="1134"/>
        <w:rPr>
          <w:i/>
        </w:rPr>
      </w:pPr>
      <w:r w:rsidRPr="002F19B7">
        <w:rPr>
          <w:i/>
        </w:rPr>
        <w:t>Members of the Union receive a Council circular inviting them to provide information for the updating of document C/[session]/5 “Cooperation in Examination”.  Information is invited on agreements between members of the Union for cooperation in DUS examination and on the utilization of existing DUS reports.  The information provided is used to update the GENIE database.</w:t>
      </w:r>
    </w:p>
    <w:p w:rsidR="000731E9" w:rsidRPr="00380AD8" w:rsidRDefault="000731E9" w:rsidP="002F19B7">
      <w:pPr>
        <w:pStyle w:val="Heading3"/>
      </w:pPr>
      <w:bookmarkStart w:id="23" w:name="_Toc412041254"/>
      <w:r w:rsidRPr="00380AD8">
        <w:lastRenderedPageBreak/>
        <w:t>Variety Denominations (PLUTO database)</w:t>
      </w:r>
      <w:bookmarkEnd w:id="23"/>
    </w:p>
    <w:p w:rsidR="000731E9" w:rsidRPr="00380AD8" w:rsidRDefault="000731E9" w:rsidP="000731E9">
      <w:pPr>
        <w:keepNext/>
      </w:pPr>
    </w:p>
    <w:p w:rsidR="000731E9" w:rsidRPr="00380AD8" w:rsidRDefault="000731E9" w:rsidP="002F19B7">
      <w:r w:rsidRPr="00380AD8">
        <w:fldChar w:fldCharType="begin"/>
      </w:r>
      <w:r w:rsidRPr="00380AD8">
        <w:instrText xml:space="preserve"> AUTONUM  </w:instrText>
      </w:r>
      <w:r w:rsidRPr="00380AD8">
        <w:fldChar w:fldCharType="end"/>
      </w:r>
      <w:r w:rsidRPr="00380AD8">
        <w:tab/>
        <w:t xml:space="preserve">The contribution of data by members of the Union to the </w:t>
      </w:r>
      <w:hyperlink r:id="rId26" w:history="1">
        <w:r w:rsidRPr="00380AD8">
          <w:rPr>
            <w:rStyle w:val="Hyperlink"/>
          </w:rPr>
          <w:t>PLUTO Plant Variety Database</w:t>
        </w:r>
      </w:hyperlink>
      <w:r w:rsidRPr="00380AD8">
        <w:t xml:space="preserve"> provides support in particular for the examination of variety denominations. </w:t>
      </w:r>
    </w:p>
    <w:p w:rsidR="000731E9" w:rsidRPr="00380AD8" w:rsidRDefault="000731E9" w:rsidP="000731E9"/>
    <w:p w:rsidR="005F5666" w:rsidRDefault="000731E9" w:rsidP="002B424B">
      <w:pPr>
        <w:rPr>
          <w:u w:val="single"/>
        </w:rPr>
      </w:pPr>
      <w:r w:rsidRPr="00380AD8">
        <w:fldChar w:fldCharType="begin"/>
      </w:r>
      <w:r w:rsidRPr="00380AD8">
        <w:instrText xml:space="preserve"> AUTONUM  </w:instrText>
      </w:r>
      <w:r w:rsidRPr="00380AD8">
        <w:fldChar w:fldCharType="end"/>
      </w:r>
      <w:r w:rsidRPr="00380AD8">
        <w:tab/>
      </w:r>
      <w:r w:rsidRPr="00772A58">
        <w:t xml:space="preserve">Members of the Union are </w:t>
      </w:r>
      <w:r w:rsidRPr="002B424B">
        <w:rPr>
          <w:strike/>
          <w:shd w:val="clear" w:color="auto" w:fill="D9D9D9" w:themeFill="background1" w:themeFillShade="D9"/>
        </w:rPr>
        <w:t xml:space="preserve">invited to contribute data for each new update of the PLUTO </w:t>
      </w:r>
      <w:r w:rsidRPr="002B424B">
        <w:rPr>
          <w:strike/>
          <w:color w:val="000000"/>
          <w:shd w:val="clear" w:color="auto" w:fill="D9D9D9" w:themeFill="background1" w:themeFillShade="D9"/>
        </w:rPr>
        <w:t xml:space="preserve">Plant Variety Database </w:t>
      </w:r>
      <w:r w:rsidRPr="002B424B">
        <w:rPr>
          <w:strike/>
          <w:color w:val="000000"/>
          <w:highlight w:val="lightGray"/>
          <w:shd w:val="clear" w:color="auto" w:fill="D9D9D9" w:themeFill="background1" w:themeFillShade="D9"/>
        </w:rPr>
        <w:t>[currently 6 updates per annum</w:t>
      </w:r>
      <w:r w:rsidR="002B424B" w:rsidRPr="00772A58">
        <w:rPr>
          <w:strike/>
          <w:color w:val="000000"/>
          <w:shd w:val="clear" w:color="auto" w:fill="D9D9D9" w:themeFill="background1" w:themeFillShade="D9"/>
        </w:rPr>
        <w:t xml:space="preserve">]. </w:t>
      </w:r>
      <w:r w:rsidR="005F5666" w:rsidRPr="002B424B">
        <w:rPr>
          <w:highlight w:val="lightGray"/>
          <w:u w:val="single"/>
        </w:rPr>
        <w:t>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w:t>
      </w:r>
      <w:r w:rsidR="002B424B" w:rsidRPr="002B424B">
        <w:rPr>
          <w:highlight w:val="lightGray"/>
          <w:u w:val="single"/>
        </w:rPr>
        <w:t xml:space="preserve"> with the uploading procedure.</w:t>
      </w:r>
    </w:p>
    <w:p w:rsidR="002F19B7" w:rsidRPr="005F5666" w:rsidRDefault="002F19B7" w:rsidP="002F19B7">
      <w:pPr>
        <w:spacing w:line="360" w:lineRule="auto"/>
      </w:pPr>
    </w:p>
    <w:p w:rsidR="000731E9" w:rsidRPr="002F19B7" w:rsidRDefault="000731E9" w:rsidP="002F19B7">
      <w:pPr>
        <w:pStyle w:val="Heading3"/>
      </w:pPr>
      <w:bookmarkStart w:id="24" w:name="_Toc412041255"/>
      <w:r w:rsidRPr="002F19B7">
        <w:rPr>
          <w:strike/>
          <w:highlight w:val="lightGray"/>
        </w:rPr>
        <w:t>Exchangeable Software</w:t>
      </w:r>
      <w:r w:rsidR="002F19B7" w:rsidRPr="002F19B7">
        <w:t xml:space="preserve"> </w:t>
      </w:r>
      <w:r w:rsidR="002F19B7" w:rsidRPr="002F19B7">
        <w:rPr>
          <w:highlight w:val="lightGray"/>
          <w:u w:val="single"/>
        </w:rPr>
        <w:t>Exchange and use of software and equipment</w:t>
      </w:r>
      <w:r w:rsidR="001402D6">
        <w:rPr>
          <w:highlight w:val="lightGray"/>
          <w:u w:val="single"/>
        </w:rPr>
        <w:t xml:space="preserve"> </w:t>
      </w:r>
      <w:r w:rsidR="002F19B7" w:rsidRPr="0046680F">
        <w:rPr>
          <w:rStyle w:val="EndnoteReference"/>
          <w:b/>
        </w:rPr>
        <w:endnoteReference w:id="1"/>
      </w:r>
      <w:bookmarkEnd w:id="24"/>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 xml:space="preserve">The </w:t>
      </w:r>
      <w:r w:rsidRPr="00BE4B15">
        <w:rPr>
          <w:strike/>
          <w:highlight w:val="lightGray"/>
        </w:rPr>
        <w:t>sharing of software applications</w:t>
      </w:r>
      <w:r w:rsidRPr="00380AD8">
        <w:t xml:space="preserve"> </w:t>
      </w:r>
      <w:r w:rsidR="00BE4B15">
        <w:rPr>
          <w:highlight w:val="lightGray"/>
          <w:u w:val="single"/>
        </w:rPr>
        <w:t>e</w:t>
      </w:r>
      <w:r w:rsidR="00BE4B15" w:rsidRPr="002F19B7">
        <w:rPr>
          <w:highlight w:val="lightGray"/>
          <w:u w:val="single"/>
        </w:rPr>
        <w:t>xchange and use of software and equipment</w:t>
      </w:r>
      <w:r w:rsidR="00BE4B15" w:rsidRPr="00380AD8">
        <w:t xml:space="preserve"> </w:t>
      </w:r>
      <w:r w:rsidRPr="00380AD8">
        <w:t xml:space="preserve">by members of the Union provides an important means of support for the examination of varieties.  Information on the </w:t>
      </w:r>
      <w:r w:rsidRPr="00BE4B15">
        <w:rPr>
          <w:strike/>
          <w:highlight w:val="lightGray"/>
        </w:rPr>
        <w:t xml:space="preserve">sharing of software </w:t>
      </w:r>
      <w:r w:rsidR="00BE4B15" w:rsidRPr="006F12B9">
        <w:rPr>
          <w:highlight w:val="lightGray"/>
          <w:u w:val="single"/>
        </w:rPr>
        <w:t>exchange and use of software and equipment</w:t>
      </w:r>
      <w:r w:rsidR="00BE4B15">
        <w:t xml:space="preserve"> </w:t>
      </w:r>
      <w:r w:rsidR="001402D6">
        <w:t xml:space="preserve">is </w:t>
      </w:r>
      <w:r w:rsidRPr="00380AD8">
        <w:t>provided in document</w:t>
      </w:r>
      <w:r w:rsidR="006F12B9" w:rsidRPr="006F12B9">
        <w:rPr>
          <w:highlight w:val="lightGray"/>
          <w:u w:val="single"/>
        </w:rPr>
        <w:t>s</w:t>
      </w:r>
      <w:r w:rsidRPr="00380AD8">
        <w:t> </w:t>
      </w:r>
      <w:hyperlink r:id="rId27" w:history="1">
        <w:r w:rsidRPr="00380AD8">
          <w:rPr>
            <w:rStyle w:val="Hyperlink"/>
          </w:rPr>
          <w:t>UPOV/INF/16</w:t>
        </w:r>
      </w:hyperlink>
      <w:r w:rsidR="006F12B9">
        <w:t xml:space="preserve"> “Exchangeable Software” </w:t>
      </w:r>
      <w:r w:rsidR="006F12B9" w:rsidRPr="00BC35DB">
        <w:rPr>
          <w:highlight w:val="lightGray"/>
          <w:u w:val="single"/>
        </w:rPr>
        <w:t xml:space="preserve">and  </w:t>
      </w:r>
      <w:hyperlink r:id="rId28" w:history="1">
        <w:r w:rsidR="006F12B9" w:rsidRPr="005316AC">
          <w:rPr>
            <w:rStyle w:val="Hyperlink"/>
            <w:highlight w:val="lightGray"/>
          </w:rPr>
          <w:t>UPOV/INF/22</w:t>
        </w:r>
      </w:hyperlink>
      <w:r w:rsidR="006F12B9" w:rsidRPr="00BC35DB">
        <w:rPr>
          <w:highlight w:val="lightGray"/>
          <w:u w:val="single"/>
        </w:rPr>
        <w:t xml:space="preserve"> “</w:t>
      </w:r>
      <w:r w:rsidR="006F12B9" w:rsidRPr="006F12B9">
        <w:rPr>
          <w:highlight w:val="lightGray"/>
          <w:u w:val="single"/>
        </w:rPr>
        <w:t>Software and equipment used by members of the Union”.</w:t>
      </w:r>
      <w:r w:rsidR="006F12B9">
        <w:t xml:space="preserve"> </w:t>
      </w:r>
    </w:p>
    <w:p w:rsidR="006F2D79" w:rsidRDefault="006F2D79" w:rsidP="006F2D79">
      <w:pPr>
        <w:jc w:val="left"/>
        <w:rPr>
          <w:iCs/>
          <w:color w:val="000000"/>
        </w:rPr>
      </w:pPr>
    </w:p>
    <w:p w:rsidR="005A1A0C" w:rsidRPr="00380AD8" w:rsidRDefault="005A1A0C" w:rsidP="005A1A0C">
      <w:pPr>
        <w:spacing w:after="240"/>
      </w:pPr>
      <w:r w:rsidRPr="00380AD8">
        <w:fldChar w:fldCharType="begin"/>
      </w:r>
      <w:r w:rsidRPr="00380AD8">
        <w:instrText xml:space="preserve"> AUTONUM  </w:instrText>
      </w:r>
      <w:r w:rsidRPr="00380AD8">
        <w:fldChar w:fldCharType="end"/>
      </w:r>
      <w:r w:rsidRPr="00380AD8">
        <w:tab/>
        <w:t xml:space="preserve">Software proposed for inclusion in document UPOV/INF/16 by members of the Union is, in the first instance, presented for review by the Technical Working Party on Automation and Computer Programs (TWC). </w:t>
      </w:r>
      <w:r>
        <w:t xml:space="preserve"> </w:t>
      </w:r>
      <w:r w:rsidRPr="00380AD8">
        <w:t>On the basis of such presentations and the experience of members of the Union, the TWC makes a recommendation to the TC on whether to include that software in document UPOV/INF/16</w:t>
      </w:r>
      <w:r>
        <w:t xml:space="preserve">. </w:t>
      </w:r>
      <w:r w:rsidRPr="00380AD8">
        <w:t xml:space="preserve"> In the case of a positive recommendation by the TC and by the CAJ, the software will be listed in </w:t>
      </w:r>
      <w:r w:rsidRPr="00AD5332">
        <w:t>a</w:t>
      </w:r>
      <w:r>
        <w:t xml:space="preserve"> </w:t>
      </w:r>
      <w:r w:rsidRPr="00380AD8">
        <w:t xml:space="preserve">draft of document </w:t>
      </w:r>
      <w:r w:rsidRPr="002B358F">
        <w:t>UPOV/INF/16</w:t>
      </w:r>
      <w:r w:rsidRPr="00380AD8">
        <w:t xml:space="preserve"> </w:t>
      </w:r>
      <w:r w:rsidRPr="005A1A0C">
        <w:t xml:space="preserve">to be </w:t>
      </w:r>
      <w:r w:rsidR="00AD5332" w:rsidRPr="00AD5332">
        <w:rPr>
          <w:strike/>
          <w:highlight w:val="lightGray"/>
        </w:rPr>
        <w:t>adopted</w:t>
      </w:r>
      <w:r w:rsidR="00AD5332" w:rsidRPr="00AD5332">
        <w:rPr>
          <w:highlight w:val="lightGray"/>
        </w:rPr>
        <w:t xml:space="preserve"> </w:t>
      </w:r>
      <w:r w:rsidRPr="00AD5332">
        <w:rPr>
          <w:highlight w:val="lightGray"/>
          <w:u w:val="single"/>
        </w:rPr>
        <w:t>considered for adoption</w:t>
      </w:r>
      <w:r w:rsidRPr="005A1A0C">
        <w:t xml:space="preserve"> </w:t>
      </w:r>
      <w:r w:rsidRPr="00380AD8">
        <w:t xml:space="preserve">by the Council. </w:t>
      </w:r>
    </w:p>
    <w:p w:rsidR="006F2D79" w:rsidRDefault="006F2D79" w:rsidP="006F2D79">
      <w:pPr>
        <w:pStyle w:val="ListParagraph"/>
        <w:autoSpaceDE w:val="0"/>
        <w:autoSpaceDN w:val="0"/>
        <w:adjustRightInd w:val="0"/>
        <w:ind w:left="34"/>
        <w:rPr>
          <w:rFonts w:cs="Arial"/>
          <w:highlight w:val="lightGray"/>
          <w:u w:val="single"/>
        </w:rPr>
      </w:pPr>
      <w:r w:rsidRPr="006F2D79">
        <w:rPr>
          <w:snapToGrid w:val="0"/>
          <w:highlight w:val="lightGray"/>
          <w:u w:val="single"/>
        </w:rPr>
        <w:fldChar w:fldCharType="begin"/>
      </w:r>
      <w:r w:rsidRPr="006F2D79">
        <w:rPr>
          <w:snapToGrid w:val="0"/>
          <w:highlight w:val="lightGray"/>
          <w:u w:val="single"/>
        </w:rPr>
        <w:instrText xml:space="preserve"> AUTONUM  </w:instrText>
      </w:r>
      <w:r w:rsidRPr="006F2D79">
        <w:rPr>
          <w:snapToGrid w:val="0"/>
          <w:highlight w:val="lightGray"/>
          <w:u w:val="single"/>
        </w:rPr>
        <w:fldChar w:fldCharType="end"/>
      </w:r>
      <w:r w:rsidRPr="006F2D79">
        <w:rPr>
          <w:snapToGrid w:val="0"/>
          <w:highlight w:val="lightGray"/>
          <w:u w:val="single"/>
        </w:rPr>
        <w:tab/>
      </w:r>
      <w:r w:rsidRPr="006F2D79">
        <w:rPr>
          <w:rFonts w:cs="Arial"/>
          <w:highlight w:val="lightGray"/>
          <w:u w:val="single"/>
        </w:rPr>
        <w:t>Software/equipment proposed for inclusion in document UPOV/INF/22 by members of the Union is, in the first instance, presented to the TC.</w:t>
      </w:r>
      <w:r w:rsidR="002B358F">
        <w:rPr>
          <w:rFonts w:cs="Arial"/>
          <w:highlight w:val="lightGray"/>
          <w:u w:val="single"/>
        </w:rPr>
        <w:t xml:space="preserve">  </w:t>
      </w:r>
      <w:r w:rsidRPr="006F2D79">
        <w:rPr>
          <w:rFonts w:cs="Arial"/>
          <w:highlight w:val="lightGray"/>
          <w:u w:val="single"/>
        </w:rPr>
        <w:t>The TC will decide whether to:</w:t>
      </w:r>
      <w:r w:rsidR="002B358F">
        <w:rPr>
          <w:rFonts w:cs="Arial"/>
          <w:highlight w:val="lightGray"/>
          <w:u w:val="single"/>
        </w:rPr>
        <w:t xml:space="preserve"> </w:t>
      </w:r>
    </w:p>
    <w:p w:rsidR="002B358F" w:rsidRPr="006F2D79" w:rsidRDefault="002B358F" w:rsidP="006F2D79">
      <w:pPr>
        <w:pStyle w:val="ListParagraph"/>
        <w:autoSpaceDE w:val="0"/>
        <w:autoSpaceDN w:val="0"/>
        <w:adjustRightInd w:val="0"/>
        <w:ind w:left="34"/>
        <w:rPr>
          <w:rFonts w:eastAsiaTheme="minorEastAsia" w:cs="Arial"/>
          <w:highlight w:val="lightGray"/>
          <w:u w:val="single"/>
          <w:lang w:eastAsia="ja-JP"/>
        </w:rPr>
      </w:pPr>
    </w:p>
    <w:p w:rsidR="006F2D79" w:rsidRPr="006F2D79" w:rsidRDefault="006F2D79" w:rsidP="006F2D79">
      <w:pPr>
        <w:pStyle w:val="ListParagraph"/>
        <w:numPr>
          <w:ilvl w:val="0"/>
          <w:numId w:val="10"/>
        </w:numPr>
        <w:autoSpaceDE w:val="0"/>
        <w:autoSpaceDN w:val="0"/>
        <w:adjustRightInd w:val="0"/>
        <w:ind w:left="1134" w:hanging="594"/>
        <w:rPr>
          <w:rFonts w:cs="Arial"/>
          <w:highlight w:val="lightGray"/>
          <w:u w:val="single"/>
        </w:rPr>
      </w:pPr>
      <w:r w:rsidRPr="006F2D79">
        <w:rPr>
          <w:rFonts w:cs="Arial"/>
          <w:highlight w:val="lightGray"/>
          <w:u w:val="single"/>
        </w:rPr>
        <w:t>propose to include the information in the document;</w:t>
      </w:r>
    </w:p>
    <w:p w:rsidR="006F2D79" w:rsidRPr="006F2D79" w:rsidRDefault="006F2D79" w:rsidP="006F2D79">
      <w:pPr>
        <w:pStyle w:val="ListParagraph"/>
        <w:numPr>
          <w:ilvl w:val="0"/>
          <w:numId w:val="10"/>
        </w:numPr>
        <w:autoSpaceDE w:val="0"/>
        <w:autoSpaceDN w:val="0"/>
        <w:adjustRightInd w:val="0"/>
        <w:ind w:left="1134" w:hanging="594"/>
        <w:rPr>
          <w:rFonts w:cs="Arial"/>
          <w:highlight w:val="lightGray"/>
          <w:u w:val="single"/>
        </w:rPr>
      </w:pPr>
      <w:r w:rsidRPr="006F2D79">
        <w:rPr>
          <w:rFonts w:cs="Arial"/>
          <w:highlight w:val="lightGray"/>
          <w:u w:val="single"/>
        </w:rPr>
        <w:t>request further guidance from other relevant bod</w:t>
      </w:r>
      <w:r w:rsidRPr="002B358F">
        <w:rPr>
          <w:rFonts w:cs="Arial"/>
          <w:highlight w:val="lightGray"/>
        </w:rPr>
        <w:t>i</w:t>
      </w:r>
      <w:r w:rsidRPr="006F2D79">
        <w:rPr>
          <w:rFonts w:cs="Arial"/>
          <w:highlight w:val="lightGray"/>
          <w:u w:val="single"/>
        </w:rPr>
        <w:t xml:space="preserve">es (e.g. CAJ and TWPs); </w:t>
      </w:r>
      <w:r w:rsidR="002B358F">
        <w:rPr>
          <w:rFonts w:cs="Arial"/>
          <w:highlight w:val="lightGray"/>
          <w:u w:val="single"/>
        </w:rPr>
        <w:t xml:space="preserve"> </w:t>
      </w:r>
      <w:r w:rsidRPr="006F2D79">
        <w:rPr>
          <w:rFonts w:cs="Arial"/>
          <w:highlight w:val="lightGray"/>
          <w:u w:val="single"/>
        </w:rPr>
        <w:t>or</w:t>
      </w:r>
    </w:p>
    <w:p w:rsidR="006F2D79" w:rsidRPr="006F2D79" w:rsidRDefault="006F2D79" w:rsidP="006F2D79">
      <w:pPr>
        <w:pStyle w:val="ListParagraph"/>
        <w:numPr>
          <w:ilvl w:val="0"/>
          <w:numId w:val="10"/>
        </w:numPr>
        <w:autoSpaceDE w:val="0"/>
        <w:autoSpaceDN w:val="0"/>
        <w:adjustRightInd w:val="0"/>
        <w:ind w:left="1134" w:hanging="594"/>
        <w:rPr>
          <w:rFonts w:cs="Arial"/>
          <w:highlight w:val="lightGray"/>
          <w:u w:val="single"/>
        </w:rPr>
      </w:pPr>
      <w:r w:rsidRPr="006F2D79">
        <w:rPr>
          <w:rFonts w:cs="Arial"/>
          <w:highlight w:val="lightGray"/>
          <w:u w:val="single"/>
        </w:rPr>
        <w:t>propose not to include t</w:t>
      </w:r>
      <w:r w:rsidR="002B358F">
        <w:rPr>
          <w:rFonts w:cs="Arial"/>
          <w:highlight w:val="lightGray"/>
          <w:u w:val="single"/>
        </w:rPr>
        <w:t>he information in the document.</w:t>
      </w:r>
    </w:p>
    <w:p w:rsidR="006F2D79" w:rsidRPr="006F2D79" w:rsidRDefault="006F2D79" w:rsidP="006F2D79">
      <w:pPr>
        <w:pStyle w:val="ListParagraph"/>
        <w:autoSpaceDE w:val="0"/>
        <w:autoSpaceDN w:val="0"/>
        <w:adjustRightInd w:val="0"/>
        <w:ind w:left="34"/>
        <w:rPr>
          <w:rFonts w:cs="Arial"/>
          <w:highlight w:val="lightGray"/>
          <w:u w:val="single"/>
        </w:rPr>
      </w:pPr>
    </w:p>
    <w:p w:rsidR="006F2D79" w:rsidRPr="006F2D79" w:rsidRDefault="006F2D79" w:rsidP="006F2D79">
      <w:pPr>
        <w:pStyle w:val="ListParagraph"/>
        <w:autoSpaceDE w:val="0"/>
        <w:autoSpaceDN w:val="0"/>
        <w:adjustRightInd w:val="0"/>
        <w:ind w:left="34"/>
        <w:rPr>
          <w:rFonts w:cs="Arial"/>
          <w:u w:val="single"/>
        </w:rPr>
      </w:pPr>
      <w:r w:rsidRPr="006F2D79">
        <w:rPr>
          <w:rFonts w:cs="Arial"/>
          <w:highlight w:val="lightGray"/>
          <w:u w:val="single"/>
        </w:rPr>
        <w:t>In the case of a positive recommendation by the TC and, subsequently by the CAJ, the software/equipment will be listed in a draft of document</w:t>
      </w:r>
      <w:r w:rsidR="00AD5332">
        <w:rPr>
          <w:rFonts w:cs="Arial"/>
          <w:highlight w:val="lightGray"/>
          <w:u w:val="single"/>
        </w:rPr>
        <w:t xml:space="preserve"> UPOV/INF/22</w:t>
      </w:r>
      <w:r w:rsidRPr="006F2D79">
        <w:rPr>
          <w:rFonts w:cs="Arial"/>
          <w:highlight w:val="lightGray"/>
          <w:u w:val="single"/>
        </w:rPr>
        <w:t>, to be considered fo</w:t>
      </w:r>
      <w:r w:rsidR="0024534B">
        <w:rPr>
          <w:rFonts w:cs="Arial"/>
          <w:highlight w:val="lightGray"/>
          <w:u w:val="single"/>
        </w:rPr>
        <w:t>r adoption by the Council</w:t>
      </w:r>
      <w:r w:rsidR="00F449C1">
        <w:rPr>
          <w:snapToGrid w:val="0"/>
          <w:u w:val="single"/>
        </w:rPr>
        <w:t>.</w:t>
      </w:r>
    </w:p>
    <w:p w:rsidR="006F2D79" w:rsidRPr="00380AD8" w:rsidRDefault="006F2D79" w:rsidP="000731E9"/>
    <w:p w:rsidR="000731E9" w:rsidRPr="002F2E7D" w:rsidRDefault="000731E9" w:rsidP="000731E9">
      <w:pPr>
        <w:rPr>
          <w:spacing w:val="-2"/>
        </w:rPr>
      </w:pPr>
      <w:r w:rsidRPr="002F2E7D">
        <w:rPr>
          <w:spacing w:val="-2"/>
        </w:rPr>
        <w:fldChar w:fldCharType="begin"/>
      </w:r>
      <w:r w:rsidRPr="002F2E7D">
        <w:rPr>
          <w:spacing w:val="-2"/>
        </w:rPr>
        <w:instrText xml:space="preserve"> AUTONUM  </w:instrText>
      </w:r>
      <w:r w:rsidRPr="002F2E7D">
        <w:rPr>
          <w:spacing w:val="-2"/>
        </w:rPr>
        <w:fldChar w:fldCharType="end"/>
      </w:r>
      <w:r w:rsidRPr="002F2E7D">
        <w:rPr>
          <w:spacing w:val="-2"/>
        </w:rPr>
        <w:tab/>
        <w:t xml:space="preserve">A TC circular is issued to members of the Union on an annual basis, inviting them to provide information on their use of the software </w:t>
      </w:r>
      <w:r w:rsidR="006F12B9" w:rsidRPr="002F2E7D">
        <w:rPr>
          <w:spacing w:val="-2"/>
          <w:highlight w:val="lightGray"/>
          <w:u w:val="single"/>
        </w:rPr>
        <w:t xml:space="preserve">and equipment </w:t>
      </w:r>
      <w:r w:rsidRPr="002F2E7D">
        <w:rPr>
          <w:spacing w:val="-2"/>
        </w:rPr>
        <w:t>included in document</w:t>
      </w:r>
      <w:r w:rsidR="006F12B9" w:rsidRPr="002F2E7D">
        <w:rPr>
          <w:spacing w:val="-2"/>
          <w:highlight w:val="lightGray"/>
          <w:u w:val="single"/>
        </w:rPr>
        <w:t>s</w:t>
      </w:r>
      <w:r w:rsidRPr="002F2E7D">
        <w:rPr>
          <w:spacing w:val="-2"/>
        </w:rPr>
        <w:t xml:space="preserve"> UPOV/INF/16</w:t>
      </w:r>
      <w:r w:rsidR="006F12B9" w:rsidRPr="002F2E7D">
        <w:rPr>
          <w:spacing w:val="-2"/>
        </w:rPr>
        <w:t xml:space="preserve"> </w:t>
      </w:r>
      <w:r w:rsidR="006F12B9" w:rsidRPr="002F2E7D">
        <w:rPr>
          <w:spacing w:val="-2"/>
          <w:highlight w:val="lightGray"/>
          <w:u w:val="single"/>
        </w:rPr>
        <w:t>and UPOV/INF/22</w:t>
      </w:r>
      <w:r w:rsidRPr="002F2E7D">
        <w:rPr>
          <w:spacing w:val="-2"/>
        </w:rPr>
        <w:t>.</w:t>
      </w:r>
    </w:p>
    <w:p w:rsidR="001C3A58" w:rsidRPr="00380AD8" w:rsidRDefault="001C3A58" w:rsidP="002F19B7">
      <w:pPr>
        <w:spacing w:line="360" w:lineRule="auto"/>
      </w:pPr>
    </w:p>
    <w:p w:rsidR="000731E9" w:rsidRPr="00380AD8" w:rsidRDefault="000731E9" w:rsidP="002F19B7">
      <w:pPr>
        <w:pStyle w:val="Heading3"/>
      </w:pPr>
      <w:bookmarkStart w:id="25" w:name="_Toc412041256"/>
      <w:r w:rsidRPr="00380AD8">
        <w:t>Plant Variety Protection Statistics</w:t>
      </w:r>
      <w:bookmarkEnd w:id="25"/>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Members of the Union are requested to provide annual statistics on:</w:t>
      </w:r>
    </w:p>
    <w:p w:rsidR="000731E9" w:rsidRPr="00380AD8" w:rsidRDefault="000731E9" w:rsidP="000731E9"/>
    <w:p w:rsidR="000731E9" w:rsidRPr="00380AD8" w:rsidRDefault="000731E9" w:rsidP="000731E9">
      <w:pPr>
        <w:ind w:left="567"/>
      </w:pPr>
      <w:r w:rsidRPr="00380AD8">
        <w:t xml:space="preserve">(a) </w:t>
      </w:r>
      <w:r w:rsidRPr="00380AD8">
        <w:tab/>
        <w:t>plant variety protection applications by origin;</w:t>
      </w:r>
    </w:p>
    <w:p w:rsidR="000731E9" w:rsidRPr="00380AD8" w:rsidRDefault="000731E9" w:rsidP="000731E9">
      <w:pPr>
        <w:ind w:left="567"/>
      </w:pPr>
      <w:r w:rsidRPr="00380AD8">
        <w:t xml:space="preserve">(b) </w:t>
      </w:r>
      <w:r w:rsidRPr="00380AD8">
        <w:tab/>
        <w:t>plant variety protection titles granted by origin;  and</w:t>
      </w:r>
    </w:p>
    <w:p w:rsidR="000731E9" w:rsidRPr="00380AD8" w:rsidRDefault="000731E9" w:rsidP="000731E9">
      <w:pPr>
        <w:ind w:left="567"/>
      </w:pPr>
      <w:r w:rsidRPr="00380AD8">
        <w:t>(c)</w:t>
      </w:r>
      <w:r w:rsidRPr="00380AD8">
        <w:tab/>
        <w:t>plant variety protection titles in force.</w:t>
      </w:r>
    </w:p>
    <w:p w:rsidR="000731E9" w:rsidRPr="00380AD8" w:rsidRDefault="000731E9" w:rsidP="000731E9">
      <w:pPr>
        <w:ind w:left="567"/>
      </w:pPr>
    </w:p>
    <w:p w:rsidR="000731E9" w:rsidRPr="00380AD8" w:rsidRDefault="000731E9" w:rsidP="000731E9">
      <w:r w:rsidRPr="00380AD8">
        <w:fldChar w:fldCharType="begin"/>
      </w:r>
      <w:r w:rsidRPr="00380AD8">
        <w:instrText xml:space="preserve"> AUTONUM  </w:instrText>
      </w:r>
      <w:r w:rsidRPr="00380AD8">
        <w:fldChar w:fldCharType="end"/>
      </w:r>
      <w:r w:rsidRPr="00380AD8">
        <w:tab/>
        <w:t xml:space="preserve">Members of the Union receive a Council circular inviting them to provide information for the updating of document C/[session]/7 “Statistics on Plant Variety Protection for the period [5-year period]”.  </w:t>
      </w:r>
    </w:p>
    <w:p w:rsidR="000731E9" w:rsidRPr="00380AD8" w:rsidRDefault="000731E9" w:rsidP="002F19B7">
      <w:pPr>
        <w:spacing w:line="360" w:lineRule="auto"/>
      </w:pPr>
    </w:p>
    <w:p w:rsidR="000731E9" w:rsidRPr="00380AD8" w:rsidRDefault="000731E9" w:rsidP="002F19B7">
      <w:pPr>
        <w:pStyle w:val="Heading3"/>
      </w:pPr>
      <w:bookmarkStart w:id="26" w:name="_Toc412041257"/>
      <w:r w:rsidRPr="00380AD8">
        <w:t>Other Developments in members of the Union</w:t>
      </w:r>
      <w:bookmarkEnd w:id="26"/>
    </w:p>
    <w:p w:rsidR="000731E9" w:rsidRPr="00380AD8" w:rsidRDefault="000731E9" w:rsidP="000731E9"/>
    <w:p w:rsidR="000731E9" w:rsidRPr="00380AD8" w:rsidRDefault="000731E9" w:rsidP="000731E9">
      <w:r w:rsidRPr="00380AD8">
        <w:fldChar w:fldCharType="begin"/>
      </w:r>
      <w:r w:rsidRPr="00380AD8">
        <w:instrText xml:space="preserve"> AUTONUM  </w:instrText>
      </w:r>
      <w:r w:rsidRPr="00380AD8">
        <w:fldChar w:fldCharType="end"/>
      </w:r>
      <w:r w:rsidRPr="00380AD8">
        <w:tab/>
        <w:t>Members of the Union are invited, by means of a Council circular, to report on any other relevant developments in a Council document “Reports by representatives of members and observers”.</w:t>
      </w:r>
    </w:p>
    <w:p w:rsidR="000731E9" w:rsidRPr="00380AD8" w:rsidRDefault="000731E9" w:rsidP="000731E9"/>
    <w:p w:rsidR="000731E9" w:rsidRPr="00380AD8" w:rsidRDefault="000731E9" w:rsidP="000731E9"/>
    <w:p w:rsidR="00DA4586" w:rsidRDefault="00DA4586">
      <w:pPr>
        <w:jc w:val="left"/>
      </w:pPr>
    </w:p>
    <w:p w:rsidR="000834B1" w:rsidRDefault="000834B1">
      <w:pPr>
        <w:jc w:val="left"/>
        <w:rPr>
          <w:caps/>
          <w:highlight w:val="lightGray"/>
        </w:rPr>
      </w:pPr>
      <w:r>
        <w:rPr>
          <w:highlight w:val="lightGray"/>
        </w:rPr>
        <w:br w:type="page"/>
      </w:r>
    </w:p>
    <w:p w:rsidR="000731E9" w:rsidRPr="00A95FF0" w:rsidRDefault="00C2348B" w:rsidP="007C367F">
      <w:pPr>
        <w:pStyle w:val="Heading1"/>
        <w:rPr>
          <w:highlight w:val="lightGray"/>
        </w:rPr>
      </w:pPr>
      <w:bookmarkStart w:id="27" w:name="_Toc412041258"/>
      <w:r w:rsidRPr="00A95FF0">
        <w:rPr>
          <w:highlight w:val="lightGray"/>
        </w:rPr>
        <w:lastRenderedPageBreak/>
        <w:t>PART II.</w:t>
      </w:r>
      <w:r w:rsidR="00A95FF0" w:rsidRPr="00A95FF0">
        <w:rPr>
          <w:highlight w:val="lightGray"/>
        </w:rPr>
        <w:t xml:space="preserve"> </w:t>
      </w:r>
      <w:r w:rsidRPr="00A95FF0">
        <w:rPr>
          <w:highlight w:val="lightGray"/>
        </w:rPr>
        <w:t xml:space="preserve"> OPERATIng</w:t>
      </w:r>
      <w:r w:rsidR="00177A66" w:rsidRPr="00A95FF0">
        <w:rPr>
          <w:highlight w:val="lightGray"/>
        </w:rPr>
        <w:t xml:space="preserve"> the UPOV </w:t>
      </w:r>
      <w:r w:rsidR="00DA4586" w:rsidRPr="00A95FF0">
        <w:rPr>
          <w:highlight w:val="lightGray"/>
        </w:rPr>
        <w:t>PLANT VARIETY PROTECTION SYSTEM</w:t>
      </w:r>
      <w:bookmarkEnd w:id="27"/>
    </w:p>
    <w:p w:rsidR="00DA4586" w:rsidRPr="00A95FF0" w:rsidRDefault="00DA4586" w:rsidP="008E390F">
      <w:pPr>
        <w:keepNext/>
        <w:rPr>
          <w:highlight w:val="lightGray"/>
        </w:rPr>
      </w:pPr>
    </w:p>
    <w:p w:rsidR="00162259" w:rsidRPr="00A95FF0" w:rsidRDefault="00F40A45" w:rsidP="00162259">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3B2932" w:rsidRPr="00A95FF0">
        <w:rPr>
          <w:highlight w:val="lightGray"/>
        </w:rPr>
        <w:t>Part II of this document</w:t>
      </w:r>
      <w:r w:rsidR="00162259" w:rsidRPr="00A95FF0">
        <w:rPr>
          <w:highlight w:val="lightGray"/>
        </w:rPr>
        <w:t xml:space="preserve"> provides an overview of the structure and functions of a Plant Breeders’ Rights Office (PBR Office) and explains key issues concerning the administration of applications.</w:t>
      </w:r>
      <w:r w:rsidR="0029660D" w:rsidRPr="00A95FF0">
        <w:rPr>
          <w:highlight w:val="lightGray"/>
        </w:rPr>
        <w:t xml:space="preserve"> </w:t>
      </w:r>
      <w:r w:rsidR="00ED109B" w:rsidRPr="00A95FF0">
        <w:rPr>
          <w:highlight w:val="lightGray"/>
        </w:rPr>
        <w:t xml:space="preserve"> Part </w:t>
      </w:r>
      <w:r w:rsidR="00983967" w:rsidRPr="00A95FF0">
        <w:rPr>
          <w:highlight w:val="lightGray"/>
        </w:rPr>
        <w:t>II</w:t>
      </w:r>
      <w:r w:rsidR="00ED109B" w:rsidRPr="00A95FF0">
        <w:rPr>
          <w:highlight w:val="lightGray"/>
        </w:rPr>
        <w:t xml:space="preserve"> has two Sections: Section 1 “The Plant Breeders’ Rights Office” and Section 2 “Administration of Applications”.</w:t>
      </w:r>
    </w:p>
    <w:p w:rsidR="00162259" w:rsidRPr="00A95FF0" w:rsidRDefault="00162259" w:rsidP="00DA4586">
      <w:pPr>
        <w:rPr>
          <w:highlight w:val="lightGray"/>
        </w:rPr>
      </w:pPr>
    </w:p>
    <w:p w:rsidR="00162259" w:rsidRPr="00A95FF0" w:rsidRDefault="00162259" w:rsidP="00DA4586">
      <w:pPr>
        <w:rPr>
          <w:highlight w:val="lightGray"/>
        </w:rPr>
      </w:pPr>
    </w:p>
    <w:p w:rsidR="00DA4586" w:rsidRPr="00A95FF0" w:rsidRDefault="0030034C" w:rsidP="0030034C">
      <w:pPr>
        <w:pStyle w:val="Heading2"/>
        <w:rPr>
          <w:highlight w:val="lightGray"/>
        </w:rPr>
      </w:pPr>
      <w:bookmarkStart w:id="28" w:name="_Toc412041259"/>
      <w:r w:rsidRPr="00A95FF0">
        <w:rPr>
          <w:highlight w:val="lightGray"/>
        </w:rPr>
        <w:t>Section 1.</w:t>
      </w:r>
      <w:r w:rsidR="003214FB" w:rsidRPr="00A95FF0">
        <w:rPr>
          <w:highlight w:val="lightGray"/>
        </w:rPr>
        <w:t xml:space="preserve">  </w:t>
      </w:r>
      <w:r w:rsidR="00162259" w:rsidRPr="00A95FF0">
        <w:rPr>
          <w:highlight w:val="lightGray"/>
        </w:rPr>
        <w:t>The Plant Breeders’ Rights Office</w:t>
      </w:r>
      <w:bookmarkEnd w:id="28"/>
    </w:p>
    <w:p w:rsidR="00DA4586" w:rsidRPr="00A95FF0" w:rsidRDefault="00DA4586" w:rsidP="00DA4586">
      <w:pPr>
        <w:rPr>
          <w:highlight w:val="lightGray"/>
        </w:rPr>
      </w:pPr>
    </w:p>
    <w:p w:rsidR="00DA4586" w:rsidRPr="00A95FF0" w:rsidRDefault="00162259" w:rsidP="002F19B7">
      <w:pPr>
        <w:pStyle w:val="Heading3"/>
        <w:rPr>
          <w:highlight w:val="lightGray"/>
        </w:rPr>
      </w:pPr>
      <w:bookmarkStart w:id="29" w:name="_Toc412041260"/>
      <w:r w:rsidRPr="00A95FF0">
        <w:rPr>
          <w:highlight w:val="lightGray"/>
        </w:rPr>
        <w:t>Introduction</w:t>
      </w:r>
      <w:bookmarkEnd w:id="29"/>
    </w:p>
    <w:p w:rsidR="00162259" w:rsidRPr="00A95FF0" w:rsidRDefault="00162259" w:rsidP="00DA4586">
      <w:pPr>
        <w:rPr>
          <w:highlight w:val="lightGray"/>
        </w:rPr>
      </w:pPr>
    </w:p>
    <w:p w:rsidR="00DA4586" w:rsidRPr="00A95FF0" w:rsidRDefault="00F40A45"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Applications for plant breeders’ rights (PBR) are subject to examination by the authority in the territory of the UPOV member concerned. According to Article 30 of the 1991 Act and Article 7 of the 1978 Act of the UPOV Convention, UPOV members shall maintain an authority entrusted with the task of granting PBR, also referred to as</w:t>
      </w:r>
      <w:r w:rsidR="00162259" w:rsidRPr="00A95FF0">
        <w:rPr>
          <w:highlight w:val="lightGray"/>
        </w:rPr>
        <w:t xml:space="preserve"> the “PBR Office” in this document</w:t>
      </w:r>
      <w:r w:rsidR="00DA4586" w:rsidRPr="00A95FF0">
        <w:rPr>
          <w:highlight w:val="lightGray"/>
        </w:rPr>
        <w:t>.  UPOV members should also ensure that the public is informed about applications and grants of breeders' rights, as well as proposed and approved denominations.</w:t>
      </w:r>
    </w:p>
    <w:p w:rsidR="00DA4586" w:rsidRPr="00A95FF0" w:rsidRDefault="00DA4586" w:rsidP="00DA4586">
      <w:pPr>
        <w:rPr>
          <w:highlight w:val="lightGray"/>
        </w:rPr>
      </w:pPr>
    </w:p>
    <w:p w:rsidR="00DA4586" w:rsidRPr="00A95FF0" w:rsidRDefault="00DA4586" w:rsidP="00DA4586">
      <w:pPr>
        <w:ind w:left="1701" w:right="1703"/>
        <w:rPr>
          <w:sz w:val="18"/>
          <w:highlight w:val="lightGray"/>
        </w:rPr>
      </w:pPr>
      <w:r w:rsidRPr="00A95FF0">
        <w:rPr>
          <w:sz w:val="18"/>
          <w:highlight w:val="lightGray"/>
        </w:rPr>
        <w:t>“</w:t>
      </w:r>
      <w:r w:rsidRPr="00A95FF0">
        <w:rPr>
          <w:b/>
          <w:bCs/>
          <w:sz w:val="18"/>
          <w:highlight w:val="lightGray"/>
        </w:rPr>
        <w:t xml:space="preserve">Article 30 Implementation of the Convention </w:t>
      </w:r>
      <w:r w:rsidRPr="00A95FF0">
        <w:rPr>
          <w:sz w:val="18"/>
          <w:highlight w:val="lightGray"/>
        </w:rPr>
        <w:t>(1) Each Contracting Party shall adopt all measures necessary for the implementation of this Convention; in particular, it shall: […] (ii) maintain an authority entrusted with the task of granting breeders' rights or entrust the said task to an authority maintained by another Contracting Party; (iii) ensure that the public is informed through the regular publication of information concerning applications for and grants of breeders' rights, and proposed and approved denominations.”</w:t>
      </w:r>
    </w:p>
    <w:p w:rsidR="00DA4586" w:rsidRPr="00A95FF0" w:rsidRDefault="00DA4586" w:rsidP="00DA4586">
      <w:pPr>
        <w:rPr>
          <w:highlight w:val="lightGray"/>
        </w:rPr>
      </w:pPr>
    </w:p>
    <w:p w:rsidR="00DA4586" w:rsidRPr="00A95FF0" w:rsidRDefault="00F40A45"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The PBR Office will vary in size and structure according to how each UPOV member provides for the implementation of the UPOV Convention and the examination of applications for PBR, in particular.</w:t>
      </w:r>
    </w:p>
    <w:p w:rsidR="00DA4586" w:rsidRPr="00A95FF0" w:rsidRDefault="00DA4586" w:rsidP="00DA4586">
      <w:pPr>
        <w:rPr>
          <w:highlight w:val="lightGray"/>
        </w:rPr>
      </w:pPr>
    </w:p>
    <w:p w:rsidR="00DA4586" w:rsidRPr="00A95FF0" w:rsidRDefault="00F40A45"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The examination of applications for PBR is required in Article 12 of the 1991 Act and in Article 7 of the 1978 Act of the UPOV Convention. Any decision to grant a breeder's right shall require an examination for compliance with the conditions for protection, as set out in Articles 5 to 9 of the 1991 Act and Article 6 of the 1978 Act of the UPOV Convention, namely the requirements of Novelty, Distinctness, Uniformity and Stability (DUS), a suitable denomination and the applicable formalities.</w:t>
      </w:r>
    </w:p>
    <w:p w:rsidR="00DA4586" w:rsidRPr="00A95FF0" w:rsidRDefault="00DA4586" w:rsidP="00DA4586">
      <w:pPr>
        <w:rPr>
          <w:highlight w:val="lightGray"/>
        </w:rPr>
      </w:pPr>
    </w:p>
    <w:p w:rsidR="00D61515" w:rsidRPr="00A95FF0" w:rsidRDefault="00DA4586" w:rsidP="00D61515">
      <w:pPr>
        <w:tabs>
          <w:tab w:val="left" w:pos="7371"/>
        </w:tabs>
        <w:ind w:left="1701" w:right="1702"/>
        <w:rPr>
          <w:rFonts w:cs="Arial"/>
          <w:sz w:val="18"/>
          <w:highlight w:val="lightGray"/>
        </w:rPr>
      </w:pPr>
      <w:r w:rsidRPr="00A95FF0">
        <w:rPr>
          <w:rFonts w:cs="Arial"/>
          <w:sz w:val="18"/>
          <w:highlight w:val="lightGray"/>
        </w:rPr>
        <w:t>“</w:t>
      </w:r>
      <w:r w:rsidRPr="00A95FF0">
        <w:rPr>
          <w:rFonts w:cs="Arial"/>
          <w:b/>
          <w:sz w:val="18"/>
          <w:highlight w:val="lightGray"/>
        </w:rPr>
        <w:t>Article 12 Examination of the Application</w:t>
      </w:r>
      <w:r w:rsidRPr="00A95FF0">
        <w:rPr>
          <w:rFonts w:cs="Arial"/>
          <w:sz w:val="18"/>
          <w:highlight w:val="lightGray"/>
        </w:rPr>
        <w:t xml:space="preserve"> Any decision to grant a breeder's right shall require an examination for compliance with the conditions under </w:t>
      </w:r>
      <w:hyperlink r:id="rId29" w:anchor="_5" w:history="1">
        <w:r w:rsidRPr="00A95FF0">
          <w:rPr>
            <w:rFonts w:cs="Arial"/>
            <w:sz w:val="18"/>
            <w:highlight w:val="lightGray"/>
          </w:rPr>
          <w:t>Article 5</w:t>
        </w:r>
      </w:hyperlink>
      <w:r w:rsidRPr="00A95FF0">
        <w:rPr>
          <w:rFonts w:cs="Arial"/>
          <w:sz w:val="18"/>
          <w:highlight w:val="lightGray"/>
        </w:rPr>
        <w:t xml:space="preserve"> to </w:t>
      </w:r>
      <w:hyperlink r:id="rId30" w:anchor="_9" w:history="1">
        <w:r w:rsidRPr="00A95FF0">
          <w:rPr>
            <w:rFonts w:cs="Arial"/>
            <w:sz w:val="18"/>
            <w:highlight w:val="lightGray"/>
          </w:rPr>
          <w:t>Article 9</w:t>
        </w:r>
      </w:hyperlink>
      <w:r w:rsidRPr="00A95FF0">
        <w:rPr>
          <w:rFonts w:cs="Arial"/>
          <w:sz w:val="18"/>
          <w:highlight w:val="lightGray"/>
        </w:rPr>
        <w:t>.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w:t>
      </w:r>
    </w:p>
    <w:p w:rsidR="00DA4586" w:rsidRPr="00A95FF0" w:rsidRDefault="00DA4586" w:rsidP="00DA4586">
      <w:pPr>
        <w:tabs>
          <w:tab w:val="left" w:pos="7371"/>
        </w:tabs>
        <w:ind w:left="1701" w:right="1702"/>
        <w:rPr>
          <w:rFonts w:cs="Arial"/>
          <w:highlight w:val="lightGray"/>
        </w:rPr>
      </w:pPr>
    </w:p>
    <w:p w:rsidR="00DA4586" w:rsidRPr="00A95FF0" w:rsidRDefault="00F40A45" w:rsidP="00DA4586">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PBR Offices need to take appropriate steps to safeguard the legitimate interests of the breeder with regard to documents, information and material provided as part of the application. </w:t>
      </w:r>
    </w:p>
    <w:p w:rsidR="00C45F73" w:rsidRPr="00A95FF0" w:rsidRDefault="00C45F73" w:rsidP="00DA4586">
      <w:pPr>
        <w:autoSpaceDE w:val="0"/>
        <w:autoSpaceDN w:val="0"/>
        <w:adjustRightInd w:val="0"/>
        <w:rPr>
          <w:highlight w:val="lightGray"/>
        </w:rPr>
      </w:pPr>
    </w:p>
    <w:p w:rsidR="00C45F73" w:rsidRPr="00A95FF0" w:rsidRDefault="001C3A58" w:rsidP="001C3A58">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As stated in Article 12, for the purposes of examination, the authority may require the breeder to furnish all the necessary information, documents or material.  In that regard, authorities should give consideration to appropriate measures concerning confidentiality, for example in relation to pedigree information.</w:t>
      </w:r>
    </w:p>
    <w:p w:rsidR="00DA4586" w:rsidRPr="00A95FF0" w:rsidRDefault="00DA4586" w:rsidP="00DA4586">
      <w:pPr>
        <w:autoSpaceDE w:val="0"/>
        <w:autoSpaceDN w:val="0"/>
        <w:adjustRightInd w:val="0"/>
        <w:rPr>
          <w:highlight w:val="lightGray"/>
        </w:rPr>
      </w:pPr>
    </w:p>
    <w:p w:rsidR="00DA4586" w:rsidRPr="00A95FF0" w:rsidRDefault="00F40A45" w:rsidP="003214FB">
      <w:pPr>
        <w:spacing w:after="240"/>
        <w:rPr>
          <w:highlight w:val="lightGray"/>
          <w:lang w:val="en"/>
        </w:rPr>
      </w:pPr>
      <w:r w:rsidRPr="00A95FF0">
        <w:rPr>
          <w:highlight w:val="lightGray"/>
          <w:lang w:val="en"/>
        </w:rPr>
        <w:fldChar w:fldCharType="begin"/>
      </w:r>
      <w:r w:rsidRPr="00A95FF0">
        <w:rPr>
          <w:highlight w:val="lightGray"/>
          <w:lang w:val="en"/>
        </w:rPr>
        <w:instrText xml:space="preserve"> AUTONUM  </w:instrText>
      </w:r>
      <w:r w:rsidRPr="00A95FF0">
        <w:rPr>
          <w:highlight w:val="lightGray"/>
          <w:lang w:val="en"/>
        </w:rPr>
        <w:fldChar w:fldCharType="end"/>
      </w:r>
      <w:r w:rsidRPr="00A95FF0">
        <w:rPr>
          <w:highlight w:val="lightGray"/>
          <w:lang w:val="en"/>
        </w:rPr>
        <w:tab/>
      </w:r>
      <w:r w:rsidR="00DA4586" w:rsidRPr="00A95FF0">
        <w:rPr>
          <w:highlight w:val="lightGray"/>
          <w:lang w:val="en"/>
        </w:rPr>
        <w:t xml:space="preserve">UPOV has developed the “UPOV Collection” of guidance and information materials concerning plant variety protection under the UPOV Convention.  However, it should be recalled that the only binding obligations on members of the Union are those contained in the text of the UPOV Convention itself, and the materials must not be interpreted in a way that is inconsistent with the relevant Act for the member of the Union concerned.  </w:t>
      </w:r>
    </w:p>
    <w:p w:rsidR="007C367F" w:rsidRPr="00A95FF0" w:rsidRDefault="00F40A45" w:rsidP="00F40A45">
      <w:pPr>
        <w:rPr>
          <w:highlight w:val="lightGray"/>
          <w:lang w:val="en"/>
        </w:rPr>
      </w:pPr>
      <w:r w:rsidRPr="00A95FF0">
        <w:rPr>
          <w:highlight w:val="lightGray"/>
          <w:lang w:val="en"/>
        </w:rPr>
        <w:fldChar w:fldCharType="begin"/>
      </w:r>
      <w:r w:rsidRPr="00A95FF0">
        <w:rPr>
          <w:highlight w:val="lightGray"/>
          <w:lang w:val="en"/>
        </w:rPr>
        <w:instrText xml:space="preserve"> AUTONUM  </w:instrText>
      </w:r>
      <w:r w:rsidRPr="00A95FF0">
        <w:rPr>
          <w:highlight w:val="lightGray"/>
          <w:lang w:val="en"/>
        </w:rPr>
        <w:fldChar w:fldCharType="end"/>
      </w:r>
      <w:r w:rsidRPr="00A95FF0">
        <w:rPr>
          <w:highlight w:val="lightGray"/>
          <w:lang w:val="en"/>
        </w:rPr>
        <w:tab/>
      </w:r>
      <w:r w:rsidR="007C367F" w:rsidRPr="00A95FF0">
        <w:rPr>
          <w:highlight w:val="lightGray"/>
          <w:lang w:val="en"/>
        </w:rPr>
        <w:t xml:space="preserve">A current list of the contents and status of materials in the UPOV Collection is provided in the </w:t>
      </w:r>
      <w:hyperlink r:id="rId31" w:anchor="toc" w:history="1">
        <w:r w:rsidR="007C367F" w:rsidRPr="00A95FF0">
          <w:rPr>
            <w:color w:val="0000FF"/>
            <w:highlight w:val="lightGray"/>
            <w:u w:val="single"/>
            <w:lang w:val="en"/>
          </w:rPr>
          <w:t>Table of Contents</w:t>
        </w:r>
      </w:hyperlink>
      <w:r w:rsidR="007C367F" w:rsidRPr="00A95FF0">
        <w:rPr>
          <w:highlight w:val="lightGray"/>
          <w:lang w:val="en"/>
        </w:rPr>
        <w:t xml:space="preserve"> published on the UPOV website and illustrated below</w:t>
      </w:r>
      <w:r w:rsidR="007C367F" w:rsidRPr="00A95FF0">
        <w:rPr>
          <w:highlight w:val="lightGray"/>
          <w:vertAlign w:val="superscript"/>
          <w:lang w:val="en"/>
        </w:rPr>
        <w:footnoteReference w:id="8"/>
      </w:r>
      <w:r w:rsidR="007C367F" w:rsidRPr="00A95FF0">
        <w:rPr>
          <w:highlight w:val="lightGray"/>
          <w:lang w:val="en"/>
        </w:rPr>
        <w:t xml:space="preserve">.  Members of the Union (two sets per member of the Union) and observer States and organizations (one set per State/organization) are provided </w:t>
      </w:r>
      <w:r w:rsidR="007C367F" w:rsidRPr="00A95FF0">
        <w:rPr>
          <w:highlight w:val="lightGray"/>
          <w:lang w:val="en"/>
        </w:rPr>
        <w:lastRenderedPageBreak/>
        <w:t xml:space="preserve">with a set of binders to contain the “UPOV Collection”.  In the first instance, printed versions of all the documents in the “UPOV Collection”, except for Test Guidelines, are provided with the folders.    After the initial supply of the set of “UPOV Collection” folders with a printed set of documents, no further printed documents are provided by the Office of the Union.  All designated persons in UPOV bodies receive an electronic notification each time the UPOV Collection is updated.  For persons provided with a set of folders, that notification is the trigger for them to print the new versions and replace any previous versions of the documents concerned.  Other users can </w:t>
      </w:r>
      <w:hyperlink r:id="rId32" w:history="1">
        <w:r w:rsidR="007C367F" w:rsidRPr="00A95FF0">
          <w:rPr>
            <w:color w:val="0000FF"/>
            <w:highlight w:val="lightGray"/>
            <w:u w:val="single"/>
            <w:lang w:val="en"/>
          </w:rPr>
          <w:t>register</w:t>
        </w:r>
      </w:hyperlink>
      <w:r w:rsidR="007C367F" w:rsidRPr="00A95FF0">
        <w:rPr>
          <w:highlight w:val="lightGray"/>
          <w:lang w:val="en"/>
        </w:rPr>
        <w:t xml:space="preserve"> to receive an electronic notification each time the UPOV Collection is updated.</w:t>
      </w:r>
    </w:p>
    <w:p w:rsidR="0029660D" w:rsidRPr="00A95FF0" w:rsidRDefault="0029660D" w:rsidP="00DC7941">
      <w:pPr>
        <w:spacing w:line="360" w:lineRule="auto"/>
        <w:rPr>
          <w:highlight w:val="lightGray"/>
          <w:lang w:val="en"/>
        </w:rPr>
      </w:pPr>
    </w:p>
    <w:p w:rsidR="00DA4586" w:rsidRPr="00A95FF0" w:rsidRDefault="00DA4586" w:rsidP="002F19B7">
      <w:pPr>
        <w:pStyle w:val="Heading3"/>
        <w:rPr>
          <w:highlight w:val="lightGray"/>
          <w:lang w:val="en"/>
        </w:rPr>
      </w:pPr>
      <w:bookmarkStart w:id="30" w:name="_Toc412041261"/>
      <w:r w:rsidRPr="00A95FF0">
        <w:rPr>
          <w:highlight w:val="lightGray"/>
          <w:lang w:val="en"/>
        </w:rPr>
        <w:t>Table of Contents</w:t>
      </w:r>
      <w:r w:rsidR="0097511C" w:rsidRPr="00A95FF0">
        <w:rPr>
          <w:highlight w:val="lightGray"/>
          <w:lang w:val="en"/>
        </w:rPr>
        <w:t xml:space="preserve"> of the UPOV Collection</w:t>
      </w:r>
      <w:bookmarkEnd w:id="30"/>
    </w:p>
    <w:p w:rsidR="00DA4586" w:rsidRPr="00A95FF0" w:rsidRDefault="00DA4586" w:rsidP="00DA4586">
      <w:pPr>
        <w:keepNext/>
        <w:rPr>
          <w:highlight w:val="lightGray"/>
          <w:lang w:val="en"/>
        </w:rPr>
      </w:pPr>
    </w:p>
    <w:tbl>
      <w:tblPr>
        <w:tblW w:w="5000" w:type="pct"/>
        <w:tblCellSpacing w:w="7"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9214"/>
      </w:tblGrid>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(a)</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UPOV Convention</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(b)</w:t>
            </w:r>
          </w:p>
        </w:tc>
        <w:tc>
          <w:tcPr>
            <w:tcW w:w="4761" w:type="pct"/>
            <w:shd w:val="clear" w:color="auto" w:fill="FFFFFF"/>
            <w:hideMark/>
          </w:tcPr>
          <w:p w:rsidR="00DA4586" w:rsidRPr="00A95FF0" w:rsidRDefault="00DA4586" w:rsidP="00D96094">
            <w:pPr>
              <w:spacing w:after="120"/>
              <w:jc w:val="left"/>
              <w:rPr>
                <w:rFonts w:cs="Arial"/>
                <w:highlight w:val="lightGray"/>
              </w:rPr>
            </w:pPr>
            <w:r w:rsidRPr="00A95FF0">
              <w:rPr>
                <w:rFonts w:cs="Arial"/>
                <w:highlight w:val="lightGray"/>
              </w:rPr>
              <w:t>UPOV/INF document series</w:t>
            </w:r>
            <w:r w:rsidR="00326F73" w:rsidRPr="00A95FF0">
              <w:rPr>
                <w:rFonts w:cs="Arial"/>
                <w:highlight w:val="lightGray"/>
              </w:rPr>
              <w:t xml:space="preserve"> </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(c)</w:t>
            </w:r>
          </w:p>
        </w:tc>
        <w:tc>
          <w:tcPr>
            <w:tcW w:w="4761" w:type="pct"/>
            <w:shd w:val="clear" w:color="auto" w:fill="FFFFFF"/>
            <w:hideMark/>
          </w:tcPr>
          <w:p w:rsidR="00DA4586" w:rsidRPr="00A95FF0" w:rsidRDefault="00DA4586" w:rsidP="00D96094">
            <w:pPr>
              <w:spacing w:after="120"/>
              <w:jc w:val="left"/>
              <w:rPr>
                <w:rFonts w:cs="Arial"/>
                <w:highlight w:val="lightGray"/>
              </w:rPr>
            </w:pPr>
            <w:r w:rsidRPr="00A95FF0">
              <w:rPr>
                <w:rFonts w:cs="Arial"/>
                <w:highlight w:val="lightGray"/>
              </w:rPr>
              <w:t>Explanatory notes on the UPOV Convention</w:t>
            </w:r>
            <w:r w:rsidR="00326F73" w:rsidRPr="00A95FF0">
              <w:rPr>
                <w:rFonts w:cs="Arial"/>
                <w:highlight w:val="lightGray"/>
              </w:rPr>
              <w:t xml:space="preserve"> </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(d)</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General Introduction to the Examination of Distinctness, Uniformity and Stability and the Development of Harmonized Descriptions of New Varieties of Plants</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(e)  </w:t>
            </w:r>
          </w:p>
        </w:tc>
        <w:tc>
          <w:tcPr>
            <w:tcW w:w="4761" w:type="pct"/>
            <w:shd w:val="clear" w:color="auto" w:fill="FFFFFF"/>
            <w:hideMark/>
          </w:tcPr>
          <w:p w:rsidR="00DA4586" w:rsidRPr="00A95FF0" w:rsidRDefault="00DA4586" w:rsidP="00D96094">
            <w:pPr>
              <w:spacing w:after="120"/>
              <w:jc w:val="left"/>
              <w:rPr>
                <w:rFonts w:cs="Arial"/>
                <w:highlight w:val="lightGray"/>
              </w:rPr>
            </w:pPr>
            <w:r w:rsidRPr="00A95FF0">
              <w:rPr>
                <w:rFonts w:cs="Arial"/>
                <w:highlight w:val="lightGray"/>
              </w:rPr>
              <w:t>TGP documents</w:t>
            </w:r>
            <w:r w:rsidR="00326F73" w:rsidRPr="00A95FF0">
              <w:rPr>
                <w:rFonts w:cs="Arial"/>
                <w:highlight w:val="lightGray"/>
              </w:rPr>
              <w:t xml:space="preserve"> </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(f)  </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Test Guidelines</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(g)  </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UPOV Collection of Laws and Treaties (UPOV Lex)</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(h)</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List of UPOV members</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(i)</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Directory of Plant Variety Protection Offices</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(j)</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UPOV Organigram</w:t>
            </w:r>
          </w:p>
        </w:tc>
      </w:tr>
      <w:tr w:rsidR="00DA4586" w:rsidRPr="00A95FF0" w:rsidTr="00DC7941">
        <w:trPr>
          <w:tblCellSpacing w:w="7" w:type="dxa"/>
        </w:trPr>
        <w:tc>
          <w:tcPr>
            <w:tcW w:w="0" w:type="auto"/>
            <w:shd w:val="clear" w:color="auto" w:fill="FFFFFF"/>
            <w:hideMark/>
          </w:tcPr>
          <w:p w:rsidR="00DA4586" w:rsidRPr="00A95FF0" w:rsidRDefault="00DA4586" w:rsidP="00F40A45">
            <w:pPr>
              <w:pStyle w:val="NormalWeb"/>
              <w:spacing w:before="0" w:beforeAutospacing="0" w:after="120" w:afterAutospacing="0"/>
              <w:rPr>
                <w:rFonts w:cs="Arial"/>
                <w:szCs w:val="20"/>
                <w:highlight w:val="lightGray"/>
              </w:rPr>
            </w:pPr>
            <w:r w:rsidRPr="00A95FF0">
              <w:rPr>
                <w:rFonts w:cs="Arial"/>
                <w:szCs w:val="20"/>
                <w:highlight w:val="lightGray"/>
              </w:rPr>
              <w:t>(k)</w:t>
            </w:r>
          </w:p>
        </w:tc>
        <w:tc>
          <w:tcPr>
            <w:tcW w:w="4761" w:type="pct"/>
            <w:shd w:val="clear" w:color="auto" w:fill="FFFFFF"/>
            <w:hideMark/>
          </w:tcPr>
          <w:p w:rsidR="00DA4586" w:rsidRPr="00A95FF0" w:rsidRDefault="00DA4586" w:rsidP="00F40A45">
            <w:pPr>
              <w:jc w:val="left"/>
              <w:rPr>
                <w:rFonts w:cs="Arial"/>
                <w:sz w:val="8"/>
                <w:highlight w:val="lightGray"/>
              </w:rPr>
            </w:pPr>
            <w:r w:rsidRPr="00A95FF0">
              <w:rPr>
                <w:rFonts w:cs="Arial"/>
                <w:highlight w:val="lightGray"/>
              </w:rPr>
              <w:t>Databases and information</w:t>
            </w:r>
            <w:r w:rsidRPr="00A95FF0">
              <w:rPr>
                <w:rFonts w:cs="Arial"/>
                <w:highlight w:val="lightGray"/>
              </w:rPr>
              <w:br/>
            </w:r>
          </w:p>
          <w:p w:rsidR="00DA4586" w:rsidRPr="00A95FF0" w:rsidRDefault="00DA4586" w:rsidP="005C05D5">
            <w:pPr>
              <w:numPr>
                <w:ilvl w:val="0"/>
                <w:numId w:val="3"/>
              </w:numPr>
              <w:tabs>
                <w:tab w:val="clear" w:pos="720"/>
              </w:tabs>
              <w:spacing w:after="120"/>
              <w:ind w:left="375" w:right="300"/>
              <w:jc w:val="left"/>
              <w:rPr>
                <w:rFonts w:cs="Arial"/>
                <w:highlight w:val="lightGray"/>
              </w:rPr>
            </w:pPr>
            <w:r w:rsidRPr="00A95FF0">
              <w:rPr>
                <w:rFonts w:cs="Arial"/>
                <w:highlight w:val="lightGray"/>
              </w:rPr>
              <w:t>List of the Taxa Protected by the Members of the Union</w:t>
            </w:r>
          </w:p>
          <w:p w:rsidR="00DA4586" w:rsidRPr="00A95FF0" w:rsidRDefault="00DA4586" w:rsidP="005C05D5">
            <w:pPr>
              <w:numPr>
                <w:ilvl w:val="0"/>
                <w:numId w:val="3"/>
              </w:numPr>
              <w:tabs>
                <w:tab w:val="clear" w:pos="720"/>
              </w:tabs>
              <w:spacing w:after="120"/>
              <w:ind w:left="375" w:right="300"/>
              <w:jc w:val="left"/>
              <w:rPr>
                <w:rFonts w:cs="Arial"/>
                <w:highlight w:val="lightGray"/>
              </w:rPr>
            </w:pPr>
            <w:r w:rsidRPr="00A95FF0">
              <w:rPr>
                <w:rFonts w:cs="Arial"/>
                <w:highlight w:val="lightGray"/>
              </w:rPr>
              <w:t>Cooperation in Examination</w:t>
            </w:r>
          </w:p>
          <w:p w:rsidR="00DA4586" w:rsidRPr="00A95FF0" w:rsidRDefault="00DA4586" w:rsidP="005C05D5">
            <w:pPr>
              <w:numPr>
                <w:ilvl w:val="0"/>
                <w:numId w:val="3"/>
              </w:numPr>
              <w:tabs>
                <w:tab w:val="clear" w:pos="720"/>
              </w:tabs>
              <w:spacing w:after="120"/>
              <w:ind w:left="375" w:right="300"/>
              <w:jc w:val="left"/>
              <w:rPr>
                <w:rFonts w:cs="Arial"/>
                <w:highlight w:val="lightGray"/>
              </w:rPr>
            </w:pPr>
            <w:r w:rsidRPr="00A95FF0">
              <w:rPr>
                <w:rFonts w:cs="Arial"/>
                <w:highlight w:val="lightGray"/>
              </w:rPr>
              <w:t>List of genera and species for which authorities have practical experience in the examination of distinctness, uniformity and stability </w:t>
            </w:r>
          </w:p>
        </w:tc>
      </w:tr>
      <w:tr w:rsidR="00DA4586" w:rsidRPr="00A95FF0" w:rsidTr="00DC7941">
        <w:trPr>
          <w:tblCellSpacing w:w="7" w:type="dxa"/>
        </w:trPr>
        <w:tc>
          <w:tcPr>
            <w:tcW w:w="0" w:type="auto"/>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(l)</w:t>
            </w:r>
          </w:p>
        </w:tc>
        <w:tc>
          <w:tcPr>
            <w:tcW w:w="4761" w:type="pct"/>
            <w:shd w:val="clear" w:color="auto" w:fill="FFFFFF"/>
            <w:hideMark/>
          </w:tcPr>
          <w:p w:rsidR="00DA4586" w:rsidRPr="00A95FF0" w:rsidRDefault="00DA4586" w:rsidP="00F40A45">
            <w:pPr>
              <w:spacing w:after="120"/>
              <w:jc w:val="left"/>
              <w:rPr>
                <w:rFonts w:cs="Arial"/>
                <w:highlight w:val="lightGray"/>
              </w:rPr>
            </w:pPr>
            <w:r w:rsidRPr="00A95FF0">
              <w:rPr>
                <w:rFonts w:cs="Arial"/>
                <w:highlight w:val="lightGray"/>
              </w:rPr>
              <w:t>Plant Variety Database</w:t>
            </w:r>
          </w:p>
        </w:tc>
      </w:tr>
      <w:tr w:rsidR="00DA4586" w:rsidRPr="00A95FF0" w:rsidTr="00DC7941">
        <w:trPr>
          <w:tblCellSpacing w:w="7" w:type="dxa"/>
        </w:trPr>
        <w:tc>
          <w:tcPr>
            <w:tcW w:w="0" w:type="auto"/>
            <w:shd w:val="clear" w:color="auto" w:fill="FFFFFF"/>
            <w:hideMark/>
          </w:tcPr>
          <w:p w:rsidR="00DA4586" w:rsidRPr="00A95FF0" w:rsidRDefault="00DA4586" w:rsidP="00DC7941">
            <w:pPr>
              <w:jc w:val="left"/>
              <w:rPr>
                <w:rFonts w:cs="Arial"/>
                <w:highlight w:val="lightGray"/>
              </w:rPr>
            </w:pPr>
            <w:r w:rsidRPr="00A95FF0">
              <w:rPr>
                <w:rFonts w:cs="Arial"/>
                <w:highlight w:val="lightGray"/>
              </w:rPr>
              <w:t>(m)</w:t>
            </w:r>
          </w:p>
        </w:tc>
        <w:tc>
          <w:tcPr>
            <w:tcW w:w="4761" w:type="pct"/>
            <w:shd w:val="clear" w:color="auto" w:fill="FFFFFF"/>
            <w:hideMark/>
          </w:tcPr>
          <w:p w:rsidR="00DA4586" w:rsidRPr="00A95FF0" w:rsidRDefault="00DA4586" w:rsidP="00DC7941">
            <w:pPr>
              <w:jc w:val="left"/>
              <w:rPr>
                <w:rFonts w:cs="Arial"/>
                <w:highlight w:val="lightGray"/>
              </w:rPr>
            </w:pPr>
            <w:r w:rsidRPr="00A95FF0">
              <w:rPr>
                <w:rFonts w:cs="Arial"/>
                <w:highlight w:val="lightGray"/>
              </w:rPr>
              <w:t>Genie Database</w:t>
            </w:r>
          </w:p>
        </w:tc>
      </w:tr>
    </w:tbl>
    <w:p w:rsidR="00DA4586" w:rsidRPr="00A95FF0" w:rsidRDefault="00DA4586" w:rsidP="00DA4586">
      <w:pPr>
        <w:rPr>
          <w:highlight w:val="lightGray"/>
          <w:lang w:val="en"/>
        </w:rPr>
      </w:pPr>
    </w:p>
    <w:p w:rsidR="00DA4586" w:rsidRPr="00A95FF0" w:rsidRDefault="00F40A45" w:rsidP="00DA4586">
      <w:pPr>
        <w:rPr>
          <w:highlight w:val="lightGray"/>
        </w:rPr>
      </w:pPr>
      <w:r w:rsidRPr="00A95FF0">
        <w:rPr>
          <w:highlight w:val="lightGray"/>
          <w:lang w:val="en"/>
        </w:rPr>
        <w:fldChar w:fldCharType="begin"/>
      </w:r>
      <w:r w:rsidRPr="00A95FF0">
        <w:rPr>
          <w:highlight w:val="lightGray"/>
          <w:lang w:val="en"/>
        </w:rPr>
        <w:instrText xml:space="preserve"> AUTONUM  </w:instrText>
      </w:r>
      <w:r w:rsidRPr="00A95FF0">
        <w:rPr>
          <w:highlight w:val="lightGray"/>
          <w:lang w:val="en"/>
        </w:rPr>
        <w:fldChar w:fldCharType="end"/>
      </w:r>
      <w:r w:rsidRPr="00A95FF0">
        <w:rPr>
          <w:highlight w:val="lightGray"/>
          <w:lang w:val="en"/>
        </w:rPr>
        <w:tab/>
      </w:r>
      <w:r w:rsidR="00DA4586" w:rsidRPr="00A95FF0">
        <w:rPr>
          <w:highlight w:val="lightGray"/>
          <w:lang w:val="en"/>
        </w:rPr>
        <w:t xml:space="preserve">References to the materials in the UPOV Collection will be made throughout </w:t>
      </w:r>
      <w:r w:rsidRPr="00A95FF0">
        <w:rPr>
          <w:highlight w:val="lightGray"/>
          <w:lang w:val="en"/>
        </w:rPr>
        <w:t xml:space="preserve">this document in order </w:t>
      </w:r>
      <w:r w:rsidR="00DA4586" w:rsidRPr="00A95FF0">
        <w:rPr>
          <w:highlight w:val="lightGray"/>
          <w:lang w:val="en"/>
        </w:rPr>
        <w:t>to obtain further information on relevant topics.</w:t>
      </w:r>
    </w:p>
    <w:p w:rsidR="00DA4586" w:rsidRPr="00A95FF0" w:rsidRDefault="00DA4586" w:rsidP="005C05D5">
      <w:pPr>
        <w:spacing w:line="360" w:lineRule="auto"/>
        <w:rPr>
          <w:highlight w:val="lightGray"/>
          <w:lang w:eastAsia="nl-NL"/>
        </w:rPr>
      </w:pPr>
    </w:p>
    <w:p w:rsidR="00DA4586" w:rsidRPr="00A95FF0" w:rsidRDefault="00F40A45" w:rsidP="002F19B7">
      <w:pPr>
        <w:pStyle w:val="Heading3"/>
        <w:rPr>
          <w:highlight w:val="lightGray"/>
        </w:rPr>
      </w:pPr>
      <w:bookmarkStart w:id="31" w:name="_Toc381102839"/>
      <w:bookmarkStart w:id="32" w:name="_Toc381102869"/>
      <w:bookmarkStart w:id="33" w:name="_Toc412041262"/>
      <w:r w:rsidRPr="00A95FF0">
        <w:rPr>
          <w:highlight w:val="lightGray"/>
        </w:rPr>
        <w:t>Establishment of a PBR Office</w:t>
      </w:r>
      <w:bookmarkEnd w:id="31"/>
      <w:bookmarkEnd w:id="32"/>
      <w:bookmarkEnd w:id="33"/>
    </w:p>
    <w:p w:rsidR="00DA4586" w:rsidRPr="00A95FF0" w:rsidRDefault="00DA4586" w:rsidP="00DA4586">
      <w:pPr>
        <w:keepNext/>
        <w:rPr>
          <w:highlight w:val="lightGray"/>
        </w:rPr>
      </w:pPr>
    </w:p>
    <w:p w:rsidR="00DA4586" w:rsidRPr="00A95FF0" w:rsidRDefault="00F40A45"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The PBR Office is often established under the ministry responsible for agriculture or the ministry responsible for intellectual property.  Ministries responsible for agriculture typically have experience in plant variety related schemes, such as seed certification and the national listing of varieties. However, the PBR Office can, for example, be established under a ministry that is responsible for intellectual property.</w:t>
      </w:r>
    </w:p>
    <w:p w:rsidR="00DA4586" w:rsidRPr="00A95FF0" w:rsidRDefault="00DA4586" w:rsidP="00DA4586">
      <w:pPr>
        <w:rPr>
          <w:highlight w:val="lightGray"/>
        </w:rPr>
      </w:pPr>
    </w:p>
    <w:p w:rsidR="00DA4586" w:rsidRPr="00A95FF0" w:rsidRDefault="00F40A45" w:rsidP="005C05D5">
      <w:pPr>
        <w:spacing w:after="36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A UPOV member may also choose to entrust the task of granting breeders’ rights to a PBR Office maintained by another UPOV member, such as a regional or a supranational intergovernmental organization.</w:t>
      </w:r>
    </w:p>
    <w:p w:rsidR="00DA4586" w:rsidRPr="00A95FF0" w:rsidRDefault="00F40A45" w:rsidP="002F19B7">
      <w:pPr>
        <w:pStyle w:val="Heading3"/>
        <w:rPr>
          <w:highlight w:val="lightGray"/>
        </w:rPr>
      </w:pPr>
      <w:bookmarkStart w:id="34" w:name="_Toc381102840"/>
      <w:bookmarkStart w:id="35" w:name="_Toc381102870"/>
      <w:bookmarkStart w:id="36" w:name="_Toc412041263"/>
      <w:r w:rsidRPr="00A95FF0">
        <w:rPr>
          <w:highlight w:val="lightGray"/>
        </w:rPr>
        <w:t>Functions and structure of a PBR Office</w:t>
      </w:r>
      <w:bookmarkEnd w:id="34"/>
      <w:bookmarkEnd w:id="35"/>
      <w:bookmarkEnd w:id="36"/>
    </w:p>
    <w:p w:rsidR="00DA4586" w:rsidRPr="00A95FF0" w:rsidRDefault="00DA4586" w:rsidP="00DA4586">
      <w:pPr>
        <w:keepNext/>
        <w:rPr>
          <w:highlight w:val="lightGray"/>
        </w:rPr>
      </w:pPr>
    </w:p>
    <w:p w:rsidR="00DA4586" w:rsidRPr="00A95FF0" w:rsidRDefault="00F40A45"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The UPOV Convention establishes the activities to be undertaken by the PBR Office, but does not define a particular model. Therefore, UPOV members may organize the PBR Office according to their own situation. </w:t>
      </w:r>
    </w:p>
    <w:p w:rsidR="00DA4586" w:rsidRPr="00A95FF0" w:rsidRDefault="00DA4586" w:rsidP="00DA4586">
      <w:pPr>
        <w:rPr>
          <w:highlight w:val="lightGray"/>
        </w:rPr>
      </w:pPr>
    </w:p>
    <w:p w:rsidR="00DA4586" w:rsidRPr="00A95FF0" w:rsidRDefault="00F40A45" w:rsidP="005C05D5">
      <w:pPr>
        <w:spacing w:after="36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The following flow diagram illustrates the basic flow of tasks within a typical PBR Office.</w:t>
      </w:r>
      <w:r w:rsidR="00455D1A" w:rsidRPr="00A95FF0">
        <w:rPr>
          <w:highlight w:val="lightGray"/>
        </w:rPr>
        <w:t xml:space="preserve"> </w:t>
      </w:r>
      <w:r w:rsidR="00DA4586" w:rsidRPr="00A95FF0">
        <w:rPr>
          <w:highlight w:val="lightGray"/>
        </w:rPr>
        <w:t xml:space="preserve"> </w:t>
      </w:r>
      <w:r w:rsidR="000E6AF9" w:rsidRPr="00A95FF0">
        <w:rPr>
          <w:highlight w:val="lightGray"/>
        </w:rPr>
        <w:t>S</w:t>
      </w:r>
      <w:r w:rsidRPr="00A95FF0">
        <w:rPr>
          <w:highlight w:val="lightGray"/>
        </w:rPr>
        <w:t>ection</w:t>
      </w:r>
      <w:r w:rsidR="000E6AF9" w:rsidRPr="00A95FF0">
        <w:rPr>
          <w:highlight w:val="lightGray"/>
        </w:rPr>
        <w:t xml:space="preserve"> 2</w:t>
      </w:r>
      <w:r w:rsidRPr="00A95FF0">
        <w:rPr>
          <w:highlight w:val="lightGray"/>
        </w:rPr>
        <w:t xml:space="preserve">: </w:t>
      </w:r>
      <w:r w:rsidR="00DA4586" w:rsidRPr="00A95FF0">
        <w:rPr>
          <w:highlight w:val="lightGray"/>
        </w:rPr>
        <w:t>“Administration of Applications” provides further information on the tasks included in the flow diagram.</w:t>
      </w:r>
    </w:p>
    <w:p w:rsidR="00DA4586" w:rsidRPr="00A95FF0" w:rsidRDefault="00DA4586" w:rsidP="002F19B7">
      <w:pPr>
        <w:pStyle w:val="Heading3"/>
        <w:rPr>
          <w:highlight w:val="lightGray"/>
        </w:rPr>
      </w:pPr>
      <w:bookmarkStart w:id="37" w:name="_Toc412041264"/>
      <w:r w:rsidRPr="00A95FF0">
        <w:rPr>
          <w:highlight w:val="lightGray"/>
        </w:rPr>
        <w:lastRenderedPageBreak/>
        <w:t>Flow diagram 1</w:t>
      </w:r>
      <w:r w:rsidRPr="00A95FF0">
        <w:rPr>
          <w:highlight w:val="lightGray"/>
          <w:vertAlign w:val="superscript"/>
        </w:rPr>
        <w:footnoteReference w:id="9"/>
      </w:r>
      <w:r w:rsidRPr="00A95FF0">
        <w:rPr>
          <w:highlight w:val="lightGray"/>
        </w:rPr>
        <w:t>: Basic tasks within the PBR Office</w:t>
      </w:r>
      <w:bookmarkEnd w:id="37"/>
    </w:p>
    <w:p w:rsidR="00DA4586" w:rsidRPr="00A95FF0" w:rsidRDefault="00DA4586" w:rsidP="005C05D5">
      <w:pPr>
        <w:keepNext/>
        <w:rPr>
          <w:highlight w:val="lightGray"/>
        </w:rPr>
      </w:pPr>
    </w:p>
    <w:p w:rsidR="0029660D" w:rsidRPr="00A95FF0" w:rsidRDefault="00DA4586" w:rsidP="002A3544">
      <w:pPr>
        <w:jc w:val="right"/>
        <w:rPr>
          <w:highlight w:val="lightGray"/>
        </w:rPr>
      </w:pPr>
      <w:r w:rsidRPr="00A95FF0">
        <w:rPr>
          <w:noProof/>
          <w:highlight w:val="lightGray"/>
        </w:rPr>
        <w:drawing>
          <wp:inline distT="0" distB="0" distL="0" distR="0" wp14:anchorId="13492366" wp14:editId="77DFB33A">
            <wp:extent cx="5762445" cy="57279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final.jpg"/>
                    <pic:cNvPicPr/>
                  </pic:nvPicPr>
                  <pic:blipFill>
                    <a:blip r:embed="rId33">
                      <a:extLst>
                        <a:ext uri="{28A0092B-C50C-407E-A947-70E740481C1C}">
                          <a14:useLocalDpi xmlns:a14="http://schemas.microsoft.com/office/drawing/2010/main" val="0"/>
                        </a:ext>
                      </a:extLst>
                    </a:blip>
                    <a:stretch>
                      <a:fillRect/>
                    </a:stretch>
                  </pic:blipFill>
                  <pic:spPr>
                    <a:xfrm>
                      <a:off x="0" y="0"/>
                      <a:ext cx="5761355" cy="5726857"/>
                    </a:xfrm>
                    <a:prstGeom prst="rect">
                      <a:avLst/>
                    </a:prstGeom>
                  </pic:spPr>
                </pic:pic>
              </a:graphicData>
            </a:graphic>
          </wp:inline>
        </w:drawing>
      </w:r>
    </w:p>
    <w:p w:rsidR="00DA4586" w:rsidRPr="00A95FF0" w:rsidRDefault="00DA4586" w:rsidP="0029660D">
      <w:pPr>
        <w:rPr>
          <w:highlight w:val="lightGray"/>
        </w:rPr>
      </w:pPr>
    </w:p>
    <w:p w:rsidR="005C05D5" w:rsidRPr="00A95FF0" w:rsidRDefault="005C05D5" w:rsidP="0029660D">
      <w:pPr>
        <w:rPr>
          <w:highlight w:val="lightGray"/>
        </w:rPr>
      </w:pPr>
    </w:p>
    <w:p w:rsidR="00DA4586" w:rsidRPr="00A95FF0" w:rsidRDefault="0030034C" w:rsidP="00F40A45">
      <w:pPr>
        <w:pStyle w:val="Heading2"/>
        <w:rPr>
          <w:highlight w:val="lightGray"/>
        </w:rPr>
      </w:pPr>
      <w:bookmarkStart w:id="38" w:name="_Toc412041265"/>
      <w:r w:rsidRPr="00A95FF0">
        <w:rPr>
          <w:highlight w:val="lightGray"/>
        </w:rPr>
        <w:t xml:space="preserve">Section 2. </w:t>
      </w:r>
      <w:r w:rsidR="00F40A45" w:rsidRPr="00A95FF0">
        <w:rPr>
          <w:highlight w:val="lightGray"/>
        </w:rPr>
        <w:t>Administration of applications</w:t>
      </w:r>
      <w:bookmarkEnd w:id="38"/>
    </w:p>
    <w:p w:rsidR="00DA4586" w:rsidRPr="00A95FF0" w:rsidRDefault="00DA4586" w:rsidP="00DA4586">
      <w:pPr>
        <w:rPr>
          <w:highlight w:val="lightGray"/>
        </w:rPr>
      </w:pPr>
    </w:p>
    <w:p w:rsidR="00DA4586" w:rsidRPr="00A95FF0" w:rsidRDefault="00F117F1" w:rsidP="00ED109B">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ED109B" w:rsidRPr="00A95FF0">
        <w:rPr>
          <w:highlight w:val="lightGray"/>
        </w:rPr>
        <w:t>Section 2</w:t>
      </w:r>
      <w:r w:rsidR="0087762A" w:rsidRPr="00A95FF0">
        <w:rPr>
          <w:highlight w:val="lightGray"/>
        </w:rPr>
        <w:t xml:space="preserve"> </w:t>
      </w:r>
      <w:r w:rsidR="00ED109B" w:rsidRPr="00A95FF0">
        <w:rPr>
          <w:highlight w:val="lightGray"/>
        </w:rPr>
        <w:t xml:space="preserve">explains the </w:t>
      </w:r>
      <w:r w:rsidR="00DA4586" w:rsidRPr="00A95FF0">
        <w:rPr>
          <w:highlight w:val="lightGray"/>
        </w:rPr>
        <w:t xml:space="preserve">basic tasks of the PBR Office in the administration of applications for plant breeders’ rights as presented in the flow diagram in </w:t>
      </w:r>
      <w:r w:rsidR="00ED109B" w:rsidRPr="00A95FF0">
        <w:rPr>
          <w:highlight w:val="lightGray"/>
        </w:rPr>
        <w:t xml:space="preserve">Section 1 </w:t>
      </w:r>
      <w:r w:rsidR="00DA4586" w:rsidRPr="00A95FF0">
        <w:rPr>
          <w:highlight w:val="lightGray"/>
        </w:rPr>
        <w:t>“The Plant Breeders’ Rights Office”.</w:t>
      </w:r>
    </w:p>
    <w:p w:rsidR="00ED109B" w:rsidRPr="00A95FF0" w:rsidRDefault="00ED109B" w:rsidP="005C05D5">
      <w:pPr>
        <w:spacing w:line="360" w:lineRule="auto"/>
        <w:rPr>
          <w:highlight w:val="lightGray"/>
        </w:rPr>
      </w:pPr>
    </w:p>
    <w:p w:rsidR="00DA4586" w:rsidRPr="00A95FF0" w:rsidRDefault="00ED109B" w:rsidP="002F19B7">
      <w:pPr>
        <w:pStyle w:val="Heading3"/>
        <w:rPr>
          <w:highlight w:val="lightGray"/>
        </w:rPr>
      </w:pPr>
      <w:bookmarkStart w:id="39" w:name="_Toc378597572"/>
      <w:bookmarkStart w:id="40" w:name="_Toc381102841"/>
      <w:bookmarkStart w:id="41" w:name="_Toc381102871"/>
      <w:bookmarkStart w:id="42" w:name="_Toc412041266"/>
      <w:r w:rsidRPr="00A95FF0">
        <w:rPr>
          <w:highlight w:val="lightGray"/>
        </w:rPr>
        <w:t>Application for plant breeders’ rights (see note (a) in the flow diagram in Section 1)</w:t>
      </w:r>
      <w:bookmarkEnd w:id="39"/>
      <w:bookmarkEnd w:id="40"/>
      <w:bookmarkEnd w:id="41"/>
      <w:bookmarkEnd w:id="42"/>
    </w:p>
    <w:p w:rsidR="00DA4586" w:rsidRPr="00A95FF0" w:rsidRDefault="00DA4586" w:rsidP="005C05D5">
      <w:pPr>
        <w:rPr>
          <w:highlight w:val="lightGray"/>
        </w:rPr>
      </w:pPr>
    </w:p>
    <w:p w:rsidR="0087762A" w:rsidRPr="00BE4B15" w:rsidRDefault="00DA4586" w:rsidP="000A32D0">
      <w:pPr>
        <w:pStyle w:val="Heading4"/>
        <w:rPr>
          <w:highlight w:val="lightGray"/>
          <w:lang w:val="en-US"/>
        </w:rPr>
      </w:pPr>
      <w:bookmarkStart w:id="43" w:name="_Toc381102842"/>
      <w:bookmarkStart w:id="44" w:name="_Toc381102872"/>
      <w:r w:rsidRPr="00BE4B15">
        <w:rPr>
          <w:highlight w:val="lightGray"/>
          <w:lang w:val="en-US"/>
        </w:rPr>
        <w:t>Introduction</w:t>
      </w:r>
      <w:bookmarkEnd w:id="43"/>
      <w:bookmarkEnd w:id="44"/>
    </w:p>
    <w:p w:rsidR="00DA4586" w:rsidRPr="00A95FF0" w:rsidRDefault="00DA4586" w:rsidP="00DA4586">
      <w:pPr>
        <w:rPr>
          <w:highlight w:val="lightGray"/>
        </w:rPr>
      </w:pPr>
    </w:p>
    <w:p w:rsidR="00DA4586" w:rsidRPr="00A95FF0" w:rsidRDefault="00F117F1"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Prior to receiving applications for plant breeders’ rights, the PBR Office needs to develop relevant forms and be ready to assign a filing date and </w:t>
      </w:r>
      <w:r w:rsidR="00DA4586" w:rsidRPr="00EB0261">
        <w:rPr>
          <w:highlight w:val="lightGray"/>
        </w:rPr>
        <w:t>time</w:t>
      </w:r>
      <w:r w:rsidR="00EB0261" w:rsidRPr="00EB0261">
        <w:rPr>
          <w:highlight w:val="lightGray"/>
        </w:rPr>
        <w:t xml:space="preserve"> and, if appropriate, an application reference</w:t>
      </w:r>
      <w:r w:rsidR="00DA4586" w:rsidRPr="00EB0261">
        <w:rPr>
          <w:highlight w:val="lightGray"/>
        </w:rPr>
        <w:t xml:space="preserve">.  </w:t>
      </w:r>
    </w:p>
    <w:p w:rsidR="004462C7" w:rsidRPr="00A95FF0" w:rsidRDefault="004462C7" w:rsidP="00DA4586">
      <w:pPr>
        <w:rPr>
          <w:highlight w:val="lightGray"/>
        </w:rPr>
      </w:pPr>
    </w:p>
    <w:p w:rsidR="005C05D5" w:rsidRPr="00A95FF0" w:rsidRDefault="005C05D5" w:rsidP="00D623E0">
      <w:pPr>
        <w:spacing w:after="24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 xml:space="preserve">In order to obtain protection, the breeder needs to file individual applications with the authorities of UPOV members entrusted with the task of granting breeders’ rights (see </w:t>
      </w:r>
      <w:hyperlink r:id="rId34" w:history="1">
        <w:r w:rsidRPr="00A95FF0">
          <w:rPr>
            <w:rStyle w:val="Hyperlink"/>
            <w:highlight w:val="lightGray"/>
          </w:rPr>
          <w:t>http://www.upov.int/members/en/pvp_offices.html</w:t>
        </w:r>
      </w:hyperlink>
      <w:r w:rsidRPr="00A95FF0">
        <w:rPr>
          <w:highlight w:val="lightGray"/>
        </w:rPr>
        <w:t>).</w:t>
      </w:r>
    </w:p>
    <w:p w:rsidR="004462C7" w:rsidRPr="00A95FF0" w:rsidRDefault="00D623E0" w:rsidP="00DA4586">
      <w:pPr>
        <w:rPr>
          <w:highlight w:val="lightGray"/>
        </w:rPr>
      </w:pPr>
      <w:r w:rsidRPr="00A95FF0">
        <w:rPr>
          <w:highlight w:val="lightGray"/>
        </w:rPr>
        <w:lastRenderedPageBreak/>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The possibility to file applications at any time facilitates the use of plant variety protection by breeders.  However, authorities may require the provision of samples of plant material during particular periods in order to facilitate the planting of material at the appropriate time for the DUS examination.</w:t>
      </w:r>
    </w:p>
    <w:p w:rsidR="00DA4586" w:rsidRPr="00A95FF0" w:rsidRDefault="00DA4586" w:rsidP="00DA4586">
      <w:pPr>
        <w:rPr>
          <w:highlight w:val="lightGray"/>
        </w:rPr>
      </w:pPr>
    </w:p>
    <w:p w:rsidR="0087762A" w:rsidRPr="00A95FF0" w:rsidRDefault="00F117F1" w:rsidP="00D623E0">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00FF4774" w:rsidRPr="00A95FF0">
        <w:rPr>
          <w:highlight w:val="lightGray"/>
        </w:rPr>
        <w:tab/>
      </w:r>
      <w:r w:rsidR="0087762A" w:rsidRPr="00A95FF0">
        <w:rPr>
          <w:highlight w:val="lightGray"/>
        </w:rPr>
        <w:t>Legal provisions in some UPOV members allow for the filing of applications in paper only.</w:t>
      </w:r>
      <w:r w:rsidR="000A32D0" w:rsidRPr="00A95FF0">
        <w:rPr>
          <w:highlight w:val="lightGray"/>
        </w:rPr>
        <w:t xml:space="preserve"> </w:t>
      </w:r>
      <w:r w:rsidR="0087762A" w:rsidRPr="00A95FF0">
        <w:rPr>
          <w:highlight w:val="lightGray"/>
        </w:rPr>
        <w:t xml:space="preserve"> The use of electronic application forms to substitute or to complement paper applications, facilitates the use of databases and information management. In order to accept applications in electronic format, UPOV members may need to have auxiliary systems in place, such as for the recognition of digital signatures, electronic payment and security matters.</w:t>
      </w:r>
      <w:r w:rsidR="00D623E0" w:rsidRPr="0046680F">
        <w:rPr>
          <w:rStyle w:val="EndnoteReference"/>
          <w:b/>
        </w:rPr>
        <w:endnoteReference w:id="2"/>
      </w:r>
    </w:p>
    <w:p w:rsidR="00777CE2" w:rsidRPr="00A95FF0" w:rsidRDefault="00777CE2" w:rsidP="00D623E0">
      <w:pPr>
        <w:rPr>
          <w:highlight w:val="lightGray"/>
        </w:rPr>
      </w:pPr>
    </w:p>
    <w:p w:rsidR="00D623E0" w:rsidRPr="00A95FF0" w:rsidRDefault="00D623E0" w:rsidP="00D623E0">
      <w:pPr>
        <w:rPr>
          <w:rFonts w:cs="Arial"/>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Pr="00A95FF0">
        <w:rPr>
          <w:rFonts w:cs="Arial"/>
          <w:highlight w:val="lightGray"/>
        </w:rPr>
        <w:t xml:space="preserve">The obligation to ensure that the public is informed through the regular publication of information concerning applications for and grants of breeders’ rights, and proposed and approved denominations, relies on the publication of official gazettes (see document UPOV/INF/5 “UPOV Model Plant Breeder’s Rights Gazette” available at </w:t>
      </w:r>
      <w:hyperlink r:id="rId35" w:history="1">
        <w:r w:rsidR="00E4198C" w:rsidRPr="00086D69">
          <w:rPr>
            <w:rStyle w:val="Hyperlink"/>
            <w:rFonts w:cs="Arial"/>
            <w:highlight w:val="lightGray"/>
          </w:rPr>
          <w:t>http://www.upov.int/information_documents/en/</w:t>
        </w:r>
      </w:hyperlink>
      <w:r w:rsidRPr="00A95FF0">
        <w:rPr>
          <w:rFonts w:cs="Arial"/>
          <w:highlight w:val="lightGray"/>
        </w:rPr>
        <w:t xml:space="preserve">), or other means of publication, such as electronic publication and searchable databases.  Information on the official publications of individual UPOV members is provided on the UPOV website at </w:t>
      </w:r>
      <w:hyperlink r:id="rId36" w:history="1">
        <w:r w:rsidRPr="00A95FF0">
          <w:rPr>
            <w:rStyle w:val="Hyperlink"/>
            <w:rFonts w:cs="Arial"/>
            <w:highlight w:val="lightGray"/>
          </w:rPr>
          <w:t>http://www.upov.int/members/en/pvp_offices.html</w:t>
        </w:r>
      </w:hyperlink>
      <w:r w:rsidRPr="00A95FF0">
        <w:rPr>
          <w:rFonts w:cs="Arial"/>
          <w:highlight w:val="lightGray"/>
        </w:rPr>
        <w:t>.</w:t>
      </w:r>
    </w:p>
    <w:p w:rsidR="00D623E0" w:rsidRPr="00A95FF0" w:rsidRDefault="00D623E0" w:rsidP="00D623E0">
      <w:pPr>
        <w:rPr>
          <w:highlight w:val="lightGray"/>
        </w:rPr>
      </w:pPr>
    </w:p>
    <w:p w:rsidR="00D623E0" w:rsidRPr="00A95FF0" w:rsidRDefault="00D623E0" w:rsidP="00D623E0">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Pr="00A95FF0">
        <w:rPr>
          <w:rFonts w:cs="Arial"/>
          <w:highlight w:val="lightGray"/>
        </w:rPr>
        <w:t>In relation to electronic publication</w:t>
      </w:r>
      <w:r w:rsidR="00EB0261">
        <w:rPr>
          <w:rFonts w:cs="Arial"/>
          <w:highlight w:val="lightGray"/>
        </w:rPr>
        <w:t>, including</w:t>
      </w:r>
      <w:r w:rsidRPr="00A95FF0">
        <w:rPr>
          <w:rFonts w:cs="Arial"/>
          <w:highlight w:val="lightGray"/>
        </w:rPr>
        <w:t xml:space="preserve"> searchable databases, the completeness and correctness of the information is of particular importance.  In particular, it is important to include </w:t>
      </w:r>
      <w:r w:rsidRPr="00A95FF0">
        <w:rPr>
          <w:highlight w:val="lightGray"/>
        </w:rPr>
        <w:t>information concerning applications for and grants of breeders’ rights, and proposed and approved denominations.</w:t>
      </w:r>
    </w:p>
    <w:p w:rsidR="00D623E0" w:rsidRPr="00A95FF0" w:rsidRDefault="00D623E0" w:rsidP="00D623E0">
      <w:pPr>
        <w:rPr>
          <w:highlight w:val="lightGray"/>
          <w:u w:val="single"/>
        </w:rPr>
      </w:pPr>
    </w:p>
    <w:p w:rsidR="00DA4586" w:rsidRPr="00A95FF0" w:rsidRDefault="00F117F1"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Applications for protection need to be managed by the PBR Office and their administration may involve the use of specific software applications. The sharing of software applications by UPOV members provides an important means of support for the administration of applications and examination of varieties. Information on the sharing of software by UPOV members is provided in document UP</w:t>
      </w:r>
      <w:r w:rsidR="00FC7A43">
        <w:rPr>
          <w:highlight w:val="lightGray"/>
        </w:rPr>
        <w:t>+</w:t>
      </w:r>
      <w:r w:rsidR="00DA4586" w:rsidRPr="00A95FF0">
        <w:rPr>
          <w:highlight w:val="lightGray"/>
        </w:rPr>
        <w:t xml:space="preserve">OV/INF/16 “Exchangeable Software” (available at </w:t>
      </w:r>
      <w:hyperlink r:id="rId37" w:history="1">
        <w:r w:rsidR="00DA4586" w:rsidRPr="00A95FF0">
          <w:rPr>
            <w:color w:val="0000FF"/>
            <w:highlight w:val="lightGray"/>
            <w:u w:val="single"/>
          </w:rPr>
          <w:t>http://www.upov.int/information_documents/en/</w:t>
        </w:r>
      </w:hyperlink>
      <w:r w:rsidR="00DA4586" w:rsidRPr="00A95FF0">
        <w:rPr>
          <w:highlight w:val="lightGray"/>
        </w:rPr>
        <w:t>)</w:t>
      </w:r>
      <w:r w:rsidR="0046680F">
        <w:rPr>
          <w:highlight w:val="lightGray"/>
        </w:rPr>
        <w:t>.</w:t>
      </w:r>
    </w:p>
    <w:p w:rsidR="00DA4586" w:rsidRPr="00A95FF0" w:rsidRDefault="00DA4586" w:rsidP="00D705A9">
      <w:pPr>
        <w:spacing w:line="360" w:lineRule="auto"/>
        <w:rPr>
          <w:highlight w:val="lightGray"/>
        </w:rPr>
      </w:pPr>
    </w:p>
    <w:p w:rsidR="00DA4586" w:rsidRPr="00A95FF0" w:rsidRDefault="00DA4586" w:rsidP="002F19B7">
      <w:pPr>
        <w:pStyle w:val="Heading3"/>
        <w:rPr>
          <w:highlight w:val="lightGray"/>
        </w:rPr>
      </w:pPr>
      <w:bookmarkStart w:id="45" w:name="_Toc378597573"/>
      <w:bookmarkStart w:id="46" w:name="_Toc381102843"/>
      <w:bookmarkStart w:id="47" w:name="_Toc381102873"/>
      <w:bookmarkStart w:id="48" w:name="_Toc412041267"/>
      <w:r w:rsidRPr="00A95FF0">
        <w:rPr>
          <w:highlight w:val="lightGray"/>
        </w:rPr>
        <w:t>Development of forms</w:t>
      </w:r>
      <w:bookmarkEnd w:id="45"/>
      <w:bookmarkEnd w:id="46"/>
      <w:bookmarkEnd w:id="47"/>
      <w:bookmarkEnd w:id="48"/>
    </w:p>
    <w:p w:rsidR="00C45F73" w:rsidRPr="00A95FF0" w:rsidRDefault="00C45F73" w:rsidP="000A32D0">
      <w:pPr>
        <w:keepNext/>
        <w:rPr>
          <w:b/>
          <w:highlight w:val="lightGray"/>
        </w:rPr>
      </w:pPr>
    </w:p>
    <w:p w:rsidR="00DA4586" w:rsidRPr="00A95FF0" w:rsidRDefault="00F117F1"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In order to facilitate the implementation of procedures for filing applications for plant variety protection UPOV has developed model forms that can be used by individual PBR Offices within their national or regional contexts.</w:t>
      </w:r>
    </w:p>
    <w:p w:rsidR="00DA4586" w:rsidRPr="00A95FF0" w:rsidRDefault="00DA4586" w:rsidP="00D705A9">
      <w:pPr>
        <w:rPr>
          <w:highlight w:val="lightGray"/>
        </w:rPr>
      </w:pPr>
    </w:p>
    <w:p w:rsidR="00DA4586" w:rsidRPr="00BE4B15" w:rsidRDefault="00DA4586" w:rsidP="000A32D0">
      <w:pPr>
        <w:pStyle w:val="Heading4"/>
        <w:rPr>
          <w:highlight w:val="lightGray"/>
          <w:lang w:val="en-US"/>
        </w:rPr>
      </w:pPr>
      <w:bookmarkStart w:id="49" w:name="_Toc378597574"/>
      <w:bookmarkStart w:id="50" w:name="_Toc381102844"/>
      <w:bookmarkStart w:id="51" w:name="_Toc381102874"/>
      <w:r w:rsidRPr="00BE4B15">
        <w:rPr>
          <w:highlight w:val="lightGray"/>
          <w:lang w:val="en-US"/>
        </w:rPr>
        <w:t>UPOV Model Application Form</w:t>
      </w:r>
      <w:bookmarkEnd w:id="49"/>
      <w:bookmarkEnd w:id="50"/>
      <w:bookmarkEnd w:id="51"/>
    </w:p>
    <w:p w:rsidR="00DA4586" w:rsidRPr="00A95FF0" w:rsidRDefault="00DA4586" w:rsidP="00DA4586">
      <w:pPr>
        <w:keepNext/>
        <w:rPr>
          <w:highlight w:val="lightGray"/>
          <w:u w:val="single"/>
        </w:rPr>
      </w:pPr>
    </w:p>
    <w:p w:rsidR="00DA4586" w:rsidRPr="00A95FF0" w:rsidRDefault="00F117F1"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Document TGP/5 “Experience and Cooperation in DUS Testing” contains the “UPOV Model Form for the Application for Plant Breeders’ Rights” (</w:t>
      </w:r>
      <w:hyperlink r:id="rId38" w:history="1">
        <w:r w:rsidR="00DA4586" w:rsidRPr="00A95FF0">
          <w:rPr>
            <w:rFonts w:cs="Arial"/>
            <w:highlight w:val="lightGray"/>
          </w:rPr>
          <w:t>TGP/5, Section 2</w:t>
        </w:r>
      </w:hyperlink>
      <w:r w:rsidR="00DA4586" w:rsidRPr="00A95FF0">
        <w:rPr>
          <w:highlight w:val="lightGray"/>
        </w:rPr>
        <w:t xml:space="preserve">). The UPOV Model Form has the layout shown in the extract on the following page (available at: </w:t>
      </w:r>
      <w:hyperlink r:id="rId39" w:history="1">
        <w:r w:rsidR="00DA4586" w:rsidRPr="00A95FF0">
          <w:rPr>
            <w:color w:val="0000FF"/>
            <w:highlight w:val="lightGray"/>
            <w:u w:val="single"/>
          </w:rPr>
          <w:t>http://www.upov.int/tgp/en/</w:t>
        </w:r>
      </w:hyperlink>
      <w:r w:rsidR="00DA4586" w:rsidRPr="00A95FF0">
        <w:rPr>
          <w:highlight w:val="lightGray"/>
        </w:rPr>
        <w:t>).</w:t>
      </w:r>
    </w:p>
    <w:p w:rsidR="00DA4586" w:rsidRPr="00A95FF0" w:rsidRDefault="00DA4586" w:rsidP="00DA4586">
      <w:pPr>
        <w:rPr>
          <w:highlight w:val="lightGray"/>
        </w:rPr>
      </w:pPr>
    </w:p>
    <w:p w:rsidR="00DA4586" w:rsidRPr="00A95FF0" w:rsidRDefault="00F117F1" w:rsidP="00DA4586">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When converting the UPOV Model Form into the form of a PBR Office and when drafting explanations for completing that form, the contents and the terminology of the applicable law of the UPOV member need to be taken into account. To ensure that the UPOV Model Form fulfills its function, it is important that the general structure, the contents and the numbering of the individual parts be maintained in the PBR Office’s own forms. </w:t>
      </w:r>
    </w:p>
    <w:p w:rsidR="00DA4586" w:rsidRPr="00A95FF0" w:rsidRDefault="00DA4586" w:rsidP="00DA4586">
      <w:pPr>
        <w:autoSpaceDE w:val="0"/>
        <w:autoSpaceDN w:val="0"/>
        <w:adjustRightInd w:val="0"/>
        <w:rPr>
          <w:highlight w:val="lightGray"/>
        </w:rPr>
      </w:pPr>
    </w:p>
    <w:p w:rsidR="00DA4586" w:rsidRPr="00A95FF0" w:rsidRDefault="00F117F1" w:rsidP="00DA4586">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A standard UPOV reference has been provided for each field in the UPOV Model Form. For example, for item 1.(a) “Applicant(s) Name(s)”, the standard UPOV reference is “UPOV A1: 1(a)(i)”. To facilitate harmonization and to assist applicants, a PBR Office may include that standard UPOV reference in the corresponding field of the PBR Office’s own form. It is a matter for each PBR Office to decide if the field in the PBR Office’s own form corresponds sufficiently precisely to the field in the UPOV Model Application Form for the standard UPOV reference to be included. </w:t>
      </w:r>
    </w:p>
    <w:p w:rsidR="00DA4586" w:rsidRPr="00A95FF0" w:rsidRDefault="00DA4586" w:rsidP="00DA4586">
      <w:pPr>
        <w:autoSpaceDE w:val="0"/>
        <w:autoSpaceDN w:val="0"/>
        <w:adjustRightInd w:val="0"/>
        <w:rPr>
          <w:highlight w:val="lightGray"/>
        </w:rPr>
      </w:pPr>
    </w:p>
    <w:p w:rsidR="00DA4586" w:rsidRPr="00A95FF0" w:rsidRDefault="00F117F1" w:rsidP="00DA4586">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Document </w:t>
      </w:r>
      <w:hyperlink r:id="rId40" w:history="1">
        <w:r w:rsidR="00DA4586" w:rsidRPr="00A95FF0">
          <w:rPr>
            <w:rFonts w:cs="Arial"/>
            <w:highlight w:val="lightGray"/>
          </w:rPr>
          <w:t>TGP/5, Section 2</w:t>
        </w:r>
      </w:hyperlink>
      <w:r w:rsidR="00DA4586" w:rsidRPr="00A95FF0">
        <w:rPr>
          <w:highlight w:val="lightGray"/>
        </w:rPr>
        <w:t xml:space="preserve"> provides further information on the individual items of the UPOV Model Form.</w:t>
      </w:r>
    </w:p>
    <w:p w:rsidR="00DA4586" w:rsidRPr="00A95FF0" w:rsidRDefault="00DA4586" w:rsidP="00DA4586">
      <w:pPr>
        <w:rPr>
          <w:highlight w:val="lightGray"/>
        </w:rPr>
      </w:pPr>
    </w:p>
    <w:p w:rsidR="003435C7" w:rsidRPr="00A95FF0" w:rsidRDefault="003435C7">
      <w:pPr>
        <w:jc w:val="left"/>
        <w:rPr>
          <w:highlight w:val="lightGray"/>
        </w:rPr>
      </w:pPr>
      <w:bookmarkStart w:id="52" w:name="OLE_LINK3"/>
      <w:bookmarkStart w:id="53" w:name="OLE_LINK4"/>
    </w:p>
    <w:p w:rsidR="008E390F" w:rsidRDefault="008E390F">
      <w:pPr>
        <w:jc w:val="left"/>
        <w:rPr>
          <w:sz w:val="18"/>
          <w:highlight w:val="lightGray"/>
        </w:rPr>
      </w:pPr>
      <w:r>
        <w:rPr>
          <w:sz w:val="18"/>
          <w:highlight w:val="lightGray"/>
        </w:rPr>
        <w:br w:type="page"/>
      </w:r>
    </w:p>
    <w:p w:rsidR="003435C7" w:rsidRPr="00CA277D" w:rsidRDefault="003435C7" w:rsidP="008F1B06">
      <w:pPr>
        <w:keepNext/>
        <w:spacing w:line="360" w:lineRule="auto"/>
        <w:jc w:val="center"/>
        <w:rPr>
          <w:sz w:val="18"/>
          <w:highlight w:val="lightGray"/>
        </w:rPr>
      </w:pPr>
      <w:r w:rsidRPr="00CA277D">
        <w:rPr>
          <w:sz w:val="18"/>
          <w:highlight w:val="lightGray"/>
        </w:rPr>
        <w:lastRenderedPageBreak/>
        <w:t>UPOV MODEL FORM FOR THE APPLICATION FOR PLANT BREEDERS’ RIGHTS</w:t>
      </w:r>
    </w:p>
    <w:bookmarkEnd w:id="52"/>
    <w:bookmarkEnd w:id="53"/>
    <w:p w:rsidR="003435C7" w:rsidRPr="00A95FF0" w:rsidRDefault="008F1B06" w:rsidP="008F1B06">
      <w:pPr>
        <w:keepNext/>
        <w:jc w:val="center"/>
        <w:rPr>
          <w:sz w:val="18"/>
          <w:szCs w:val="2"/>
          <w:highlight w:val="lightGray"/>
        </w:rPr>
      </w:pPr>
      <w:r w:rsidRPr="00A95FF0">
        <w:rPr>
          <w:sz w:val="18"/>
          <w:szCs w:val="2"/>
          <w:highlight w:val="lightGray"/>
        </w:rPr>
        <w:t>(Extract)</w:t>
      </w:r>
    </w:p>
    <w:tbl>
      <w:tblPr>
        <w:tblW w:w="10248" w:type="dxa"/>
        <w:tblLayout w:type="fixed"/>
        <w:tblCellMar>
          <w:top w:w="57" w:type="dxa"/>
          <w:left w:w="57" w:type="dxa"/>
          <w:bottom w:w="28" w:type="dxa"/>
          <w:right w:w="57" w:type="dxa"/>
        </w:tblCellMar>
        <w:tblLook w:val="0000" w:firstRow="0" w:lastRow="0" w:firstColumn="0" w:lastColumn="0" w:noHBand="0" w:noVBand="0"/>
      </w:tblPr>
      <w:tblGrid>
        <w:gridCol w:w="3349"/>
        <w:gridCol w:w="1348"/>
        <w:gridCol w:w="2239"/>
        <w:gridCol w:w="2150"/>
        <w:gridCol w:w="154"/>
        <w:gridCol w:w="1008"/>
      </w:tblGrid>
      <w:tr w:rsidR="003435C7" w:rsidRPr="00A95FF0" w:rsidTr="00990BF1">
        <w:trPr>
          <w:cantSplit/>
        </w:trPr>
        <w:tc>
          <w:tcPr>
            <w:tcW w:w="3349" w:type="dxa"/>
            <w:vAlign w:val="center"/>
          </w:tcPr>
          <w:p w:rsidR="003435C7" w:rsidRPr="00A95FF0" w:rsidRDefault="003435C7" w:rsidP="003435C7">
            <w:pPr>
              <w:keepNext/>
              <w:spacing w:line="240" w:lineRule="atLeast"/>
              <w:rPr>
                <w:sz w:val="16"/>
                <w:highlight w:val="lightGray"/>
              </w:rPr>
            </w:pPr>
            <w:r w:rsidRPr="00A95FF0">
              <w:rPr>
                <w:sz w:val="16"/>
                <w:highlight w:val="lightGray"/>
              </w:rPr>
              <w:t>(Authority where application is filed)</w:t>
            </w:r>
          </w:p>
        </w:tc>
        <w:tc>
          <w:tcPr>
            <w:tcW w:w="3587" w:type="dxa"/>
            <w:gridSpan w:val="2"/>
            <w:vAlign w:val="center"/>
          </w:tcPr>
          <w:p w:rsidR="003435C7" w:rsidRPr="00A95FF0" w:rsidRDefault="003435C7" w:rsidP="003435C7">
            <w:pPr>
              <w:keepNext/>
              <w:spacing w:line="240" w:lineRule="atLeast"/>
              <w:jc w:val="center"/>
              <w:rPr>
                <w:sz w:val="16"/>
                <w:highlight w:val="lightGray"/>
              </w:rPr>
            </w:pPr>
            <w:r w:rsidRPr="00A95FF0">
              <w:rPr>
                <w:sz w:val="16"/>
                <w:highlight w:val="lightGray"/>
              </w:rPr>
              <w:t>NOTE:  First consult the instructions</w:t>
            </w:r>
          </w:p>
        </w:tc>
        <w:tc>
          <w:tcPr>
            <w:tcW w:w="3312" w:type="dxa"/>
            <w:gridSpan w:val="3"/>
            <w:vAlign w:val="center"/>
          </w:tcPr>
          <w:p w:rsidR="003435C7" w:rsidRPr="00A95FF0" w:rsidRDefault="003435C7" w:rsidP="008F1B06">
            <w:pPr>
              <w:keepNext/>
              <w:jc w:val="right"/>
              <w:rPr>
                <w:sz w:val="16"/>
                <w:highlight w:val="lightGray"/>
              </w:rPr>
            </w:pPr>
            <w:r w:rsidRPr="00A95FF0">
              <w:rPr>
                <w:sz w:val="16"/>
                <w:highlight w:val="lightGray"/>
              </w:rPr>
              <w:t>(file mark)</w:t>
            </w:r>
          </w:p>
          <w:p w:rsidR="003435C7" w:rsidRPr="00A95FF0" w:rsidRDefault="003435C7" w:rsidP="003435C7">
            <w:pPr>
              <w:keepNext/>
              <w:jc w:val="right"/>
              <w:rPr>
                <w:sz w:val="16"/>
                <w:highlight w:val="lightGray"/>
              </w:rPr>
            </w:pPr>
            <w:r w:rsidRPr="00A95FF0">
              <w:rPr>
                <w:sz w:val="16"/>
                <w:highlight w:val="lightGray"/>
              </w:rPr>
              <w:t>(Date of receipt)</w:t>
            </w:r>
          </w:p>
        </w:tc>
      </w:tr>
      <w:tr w:rsidR="00D849C8"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val="restart"/>
          </w:tcPr>
          <w:p w:rsidR="003435C7" w:rsidRPr="00A95FF0" w:rsidRDefault="003435C7" w:rsidP="00D64CC1">
            <w:pPr>
              <w:tabs>
                <w:tab w:val="left" w:pos="448"/>
              </w:tabs>
              <w:spacing w:before="40"/>
              <w:rPr>
                <w:color w:val="000000"/>
                <w:sz w:val="16"/>
                <w:highlight w:val="lightGray"/>
              </w:rPr>
            </w:pPr>
            <w:r w:rsidRPr="00A95FF0">
              <w:rPr>
                <w:sz w:val="16"/>
                <w:highlight w:val="lightGray"/>
              </w:rPr>
              <w:t>1.(a)</w:t>
            </w:r>
            <w:r w:rsidRPr="00A95FF0">
              <w:rPr>
                <w:sz w:val="16"/>
                <w:highlight w:val="lightGray"/>
              </w:rPr>
              <w:tab/>
              <w:t>Applicant(s)</w:t>
            </w:r>
            <w:r w:rsidR="00C26916" w:rsidRPr="00C26916">
              <w:rPr>
                <w:sz w:val="16"/>
                <w:highlight w:val="lightGray"/>
                <w:vertAlign w:val="superscript"/>
              </w:rPr>
              <w:t>1</w:t>
            </w:r>
            <w:r w:rsidRPr="00A95FF0">
              <w:rPr>
                <w:color w:val="000000"/>
                <w:sz w:val="16"/>
                <w:highlight w:val="lightGray"/>
              </w:rPr>
              <w:t xml:space="preserve"> </w:t>
            </w:r>
          </w:p>
          <w:p w:rsidR="00037034" w:rsidRPr="00A95FF0" w:rsidRDefault="003435C7" w:rsidP="00D849C8">
            <w:pPr>
              <w:tabs>
                <w:tab w:val="left" w:pos="199"/>
                <w:tab w:val="left" w:pos="1334"/>
                <w:tab w:val="right" w:pos="4528"/>
              </w:tabs>
              <w:spacing w:before="120"/>
              <w:rPr>
                <w:sz w:val="16"/>
                <w:highlight w:val="lightGray"/>
                <w:u w:val="single"/>
              </w:rPr>
            </w:pPr>
            <w:r w:rsidRPr="00A95FF0">
              <w:rPr>
                <w:color w:val="000000"/>
                <w:sz w:val="16"/>
                <w:highlight w:val="lightGray"/>
              </w:rPr>
              <w:tab/>
            </w:r>
            <w:bookmarkStart w:id="54" w:name="OLE_LINK1"/>
            <w:bookmarkStart w:id="55" w:name="OLE_LINK2"/>
            <w:r w:rsidRPr="00A95FF0">
              <w:rPr>
                <w:color w:val="000000"/>
                <w:sz w:val="16"/>
                <w:highlight w:val="lightGray"/>
              </w:rPr>
              <w:t>N</w:t>
            </w:r>
            <w:r w:rsidRPr="00A95FF0">
              <w:rPr>
                <w:sz w:val="16"/>
                <w:highlight w:val="lightGray"/>
              </w:rPr>
              <w:t>ame(s)</w:t>
            </w:r>
            <w:r w:rsidRPr="00A95FF0">
              <w:rPr>
                <w:sz w:val="16"/>
                <w:highlight w:val="lightGray"/>
              </w:rPr>
              <w:tab/>
            </w:r>
            <w:r w:rsidRPr="00A95FF0">
              <w:rPr>
                <w:sz w:val="16"/>
                <w:highlight w:val="lightGray"/>
                <w:u w:val="single"/>
              </w:rPr>
              <w:tab/>
            </w:r>
          </w:p>
          <w:p w:rsidR="003435C7" w:rsidRPr="00A95FF0" w:rsidRDefault="003435C7" w:rsidP="00037034">
            <w:pPr>
              <w:tabs>
                <w:tab w:val="left" w:pos="426"/>
                <w:tab w:val="left" w:pos="1334"/>
                <w:tab w:val="right" w:pos="4528"/>
              </w:tabs>
              <w:rPr>
                <w:snapToGrid w:val="0"/>
                <w:sz w:val="16"/>
                <w:szCs w:val="22"/>
                <w:highlight w:val="lightGray"/>
              </w:rPr>
            </w:pPr>
            <w:r w:rsidRPr="00A95FF0">
              <w:rPr>
                <w:snapToGrid w:val="0"/>
                <w:sz w:val="16"/>
                <w:szCs w:val="22"/>
                <w:highlight w:val="lightGray"/>
              </w:rPr>
              <w:tab/>
            </w:r>
            <w:r w:rsidRPr="00A95FF0">
              <w:rPr>
                <w:i/>
                <w:snapToGrid w:val="0"/>
                <w:sz w:val="16"/>
                <w:szCs w:val="16"/>
                <w:highlight w:val="lightGray"/>
              </w:rPr>
              <w:t>UPOV-A1: 1(a)(i)</w:t>
            </w:r>
            <w:r w:rsidR="008D7478" w:rsidRPr="008D7478">
              <w:rPr>
                <w:i/>
                <w:snapToGrid w:val="0"/>
                <w:sz w:val="16"/>
                <w:szCs w:val="16"/>
                <w:highlight w:val="lightGray"/>
                <w:vertAlign w:val="superscript"/>
              </w:rPr>
              <w:t>#</w:t>
            </w:r>
          </w:p>
          <w:p w:rsidR="00037034" w:rsidRPr="00A95FF0" w:rsidRDefault="003435C7" w:rsidP="00B64E72">
            <w:pPr>
              <w:tabs>
                <w:tab w:val="left" w:pos="199"/>
                <w:tab w:val="left" w:pos="1334"/>
                <w:tab w:val="right" w:pos="4528"/>
              </w:tabs>
              <w:spacing w:before="40"/>
              <w:ind w:left="567" w:hanging="567"/>
              <w:rPr>
                <w:sz w:val="16"/>
                <w:highlight w:val="lightGray"/>
                <w:u w:val="single"/>
              </w:rPr>
            </w:pPr>
            <w:r w:rsidRPr="00A95FF0">
              <w:rPr>
                <w:sz w:val="16"/>
                <w:highlight w:val="lightGray"/>
              </w:rPr>
              <w:tab/>
              <w:t>Address(es)</w:t>
            </w:r>
            <w:r w:rsidRPr="00A95FF0">
              <w:rPr>
                <w:sz w:val="16"/>
                <w:highlight w:val="lightGray"/>
              </w:rPr>
              <w:tab/>
            </w:r>
            <w:r w:rsidRPr="00A95FF0">
              <w:rPr>
                <w:sz w:val="16"/>
                <w:highlight w:val="lightGray"/>
                <w:u w:val="single"/>
              </w:rPr>
              <w:t xml:space="preserve"> </w:t>
            </w:r>
            <w:r w:rsidRPr="00A95FF0">
              <w:rPr>
                <w:sz w:val="16"/>
                <w:highlight w:val="lightGray"/>
                <w:u w:val="single"/>
              </w:rPr>
              <w:tab/>
            </w:r>
          </w:p>
          <w:p w:rsidR="003435C7" w:rsidRPr="00A95FF0" w:rsidRDefault="003435C7" w:rsidP="00037034">
            <w:pPr>
              <w:tabs>
                <w:tab w:val="left" w:pos="426"/>
                <w:tab w:val="left" w:pos="1334"/>
                <w:tab w:val="right" w:pos="4528"/>
              </w:tabs>
              <w:rPr>
                <w:snapToGrid w:val="0"/>
                <w:sz w:val="16"/>
                <w:szCs w:val="12"/>
                <w:highlight w:val="lightGray"/>
              </w:rPr>
            </w:pPr>
            <w:r w:rsidRPr="00A95FF0">
              <w:rPr>
                <w:sz w:val="16"/>
                <w:highlight w:val="lightGray"/>
              </w:rPr>
              <w:tab/>
            </w:r>
            <w:r w:rsidRPr="00A95FF0">
              <w:rPr>
                <w:i/>
                <w:snapToGrid w:val="0"/>
                <w:sz w:val="16"/>
                <w:szCs w:val="16"/>
                <w:highlight w:val="lightGray"/>
              </w:rPr>
              <w:t>UPOV-A1: 1(a)(ii)</w:t>
            </w:r>
          </w:p>
          <w:p w:rsidR="003435C7" w:rsidRPr="00A95FF0" w:rsidRDefault="003435C7" w:rsidP="0097099E">
            <w:pPr>
              <w:tabs>
                <w:tab w:val="left" w:pos="1334"/>
                <w:tab w:val="right" w:pos="4528"/>
              </w:tabs>
              <w:rPr>
                <w:sz w:val="16"/>
                <w:szCs w:val="12"/>
                <w:highlight w:val="lightGray"/>
                <w:u w:val="single"/>
              </w:rPr>
            </w:pPr>
            <w:r w:rsidRPr="00A95FF0">
              <w:rPr>
                <w:sz w:val="16"/>
                <w:szCs w:val="12"/>
                <w:highlight w:val="lightGray"/>
              </w:rPr>
              <w:tab/>
            </w:r>
            <w:r w:rsidRPr="00A95FF0">
              <w:rPr>
                <w:sz w:val="16"/>
                <w:szCs w:val="12"/>
                <w:highlight w:val="lightGray"/>
                <w:u w:val="single"/>
              </w:rPr>
              <w:tab/>
            </w:r>
          </w:p>
          <w:p w:rsidR="003435C7" w:rsidRPr="00A95FF0" w:rsidRDefault="003435C7" w:rsidP="00D849C8">
            <w:pPr>
              <w:tabs>
                <w:tab w:val="left" w:pos="1334"/>
                <w:tab w:val="right" w:pos="4528"/>
              </w:tabs>
              <w:spacing w:before="120"/>
              <w:rPr>
                <w:sz w:val="16"/>
                <w:highlight w:val="lightGray"/>
                <w:u w:val="single"/>
              </w:rPr>
            </w:pPr>
            <w:r w:rsidRPr="00A95FF0">
              <w:rPr>
                <w:sz w:val="16"/>
                <w:highlight w:val="lightGray"/>
              </w:rPr>
              <w:tab/>
            </w:r>
            <w:r w:rsidRPr="00A95FF0">
              <w:rPr>
                <w:sz w:val="16"/>
                <w:highlight w:val="lightGray"/>
                <w:u w:val="single"/>
              </w:rPr>
              <w:tab/>
            </w:r>
          </w:p>
          <w:p w:rsidR="00D849C8" w:rsidRPr="00A95FF0" w:rsidRDefault="003435C7" w:rsidP="00C26916">
            <w:pPr>
              <w:tabs>
                <w:tab w:val="left" w:pos="196"/>
                <w:tab w:val="left" w:pos="1560"/>
                <w:tab w:val="right" w:pos="4528"/>
              </w:tabs>
              <w:spacing w:before="180"/>
              <w:rPr>
                <w:sz w:val="16"/>
                <w:highlight w:val="lightGray"/>
                <w:u w:val="single"/>
              </w:rPr>
            </w:pPr>
            <w:r w:rsidRPr="00A95FF0">
              <w:rPr>
                <w:color w:val="000000"/>
                <w:sz w:val="16"/>
                <w:highlight w:val="lightGray"/>
              </w:rPr>
              <w:tab/>
              <w:t>Telephone No.(s)</w:t>
            </w:r>
            <w:r w:rsidRPr="00A95FF0">
              <w:rPr>
                <w:color w:val="000000"/>
                <w:sz w:val="16"/>
                <w:highlight w:val="lightGray"/>
              </w:rPr>
              <w:tab/>
            </w:r>
            <w:r w:rsidRPr="00A95FF0">
              <w:rPr>
                <w:sz w:val="16"/>
                <w:highlight w:val="lightGray"/>
                <w:u w:val="single"/>
              </w:rPr>
              <w:tab/>
            </w:r>
          </w:p>
          <w:p w:rsidR="00037034" w:rsidRPr="00A95FF0" w:rsidRDefault="003435C7" w:rsidP="00037034">
            <w:pPr>
              <w:tabs>
                <w:tab w:val="left" w:pos="426"/>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1(a)(iii)</w:t>
            </w:r>
            <w:r w:rsidR="00037034" w:rsidRPr="00A95FF0">
              <w:rPr>
                <w:snapToGrid w:val="0"/>
                <w:sz w:val="16"/>
                <w:szCs w:val="12"/>
                <w:highlight w:val="lightGray"/>
              </w:rPr>
              <w:t xml:space="preserve"> </w:t>
            </w:r>
          </w:p>
          <w:p w:rsidR="00037034" w:rsidRPr="00A95FF0" w:rsidRDefault="003435C7" w:rsidP="008D7478">
            <w:pPr>
              <w:tabs>
                <w:tab w:val="left" w:pos="199"/>
                <w:tab w:val="left" w:pos="1560"/>
                <w:tab w:val="right" w:pos="4528"/>
              </w:tabs>
              <w:spacing w:before="40"/>
              <w:ind w:left="567" w:hanging="567"/>
              <w:rPr>
                <w:sz w:val="16"/>
                <w:highlight w:val="lightGray"/>
                <w:u w:val="single"/>
              </w:rPr>
            </w:pPr>
            <w:r w:rsidRPr="00A95FF0">
              <w:rPr>
                <w:color w:val="000000"/>
                <w:sz w:val="16"/>
                <w:highlight w:val="lightGray"/>
              </w:rPr>
              <w:tab/>
              <w:t>Fax No.(s)</w:t>
            </w:r>
            <w:r w:rsidRPr="00A95FF0">
              <w:rPr>
                <w:sz w:val="16"/>
                <w:highlight w:val="lightGray"/>
              </w:rPr>
              <w:t xml:space="preserve"> </w:t>
            </w:r>
            <w:r w:rsidRPr="00A95FF0">
              <w:rPr>
                <w:sz w:val="16"/>
                <w:highlight w:val="lightGray"/>
              </w:rPr>
              <w:tab/>
            </w:r>
            <w:r w:rsidRPr="00A95FF0">
              <w:rPr>
                <w:sz w:val="16"/>
                <w:highlight w:val="lightGray"/>
                <w:u w:val="single"/>
              </w:rPr>
              <w:tab/>
            </w:r>
          </w:p>
          <w:p w:rsidR="00037034" w:rsidRPr="00A95FF0" w:rsidRDefault="003435C7" w:rsidP="00037034">
            <w:pPr>
              <w:tabs>
                <w:tab w:val="left" w:pos="426"/>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1(a)(iv)</w:t>
            </w:r>
            <w:r w:rsidR="00037034" w:rsidRPr="00A95FF0">
              <w:rPr>
                <w:snapToGrid w:val="0"/>
                <w:sz w:val="16"/>
                <w:szCs w:val="12"/>
                <w:highlight w:val="lightGray"/>
              </w:rPr>
              <w:t xml:space="preserve"> </w:t>
            </w:r>
          </w:p>
          <w:p w:rsidR="003435C7" w:rsidRPr="00A95FF0" w:rsidRDefault="003435C7" w:rsidP="00C26916">
            <w:pPr>
              <w:tabs>
                <w:tab w:val="left" w:pos="199"/>
                <w:tab w:val="left" w:pos="1701"/>
                <w:tab w:val="right" w:pos="4528"/>
              </w:tabs>
              <w:spacing w:before="40"/>
              <w:ind w:left="567" w:hanging="567"/>
              <w:rPr>
                <w:sz w:val="16"/>
                <w:highlight w:val="lightGray"/>
              </w:rPr>
            </w:pPr>
            <w:r w:rsidRPr="00A95FF0">
              <w:rPr>
                <w:color w:val="000000"/>
                <w:sz w:val="16"/>
                <w:highlight w:val="lightGray"/>
              </w:rPr>
              <w:tab/>
              <w:t>E-mail address(es)</w:t>
            </w:r>
            <w:r w:rsidRPr="00A95FF0">
              <w:rPr>
                <w:color w:val="000000"/>
                <w:sz w:val="16"/>
                <w:highlight w:val="lightGray"/>
              </w:rPr>
              <w:tab/>
            </w:r>
            <w:r w:rsidRPr="00A95FF0">
              <w:rPr>
                <w:sz w:val="16"/>
                <w:highlight w:val="lightGray"/>
                <w:u w:val="single"/>
              </w:rPr>
              <w:tab/>
            </w:r>
          </w:p>
          <w:bookmarkEnd w:id="54"/>
          <w:bookmarkEnd w:id="55"/>
          <w:p w:rsidR="00037034" w:rsidRPr="00A95FF0" w:rsidRDefault="003435C7" w:rsidP="00037034">
            <w:pPr>
              <w:tabs>
                <w:tab w:val="left" w:pos="426"/>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1(a)(v)</w:t>
            </w:r>
            <w:r w:rsidR="00037034" w:rsidRPr="00A95FF0">
              <w:rPr>
                <w:snapToGrid w:val="0"/>
                <w:sz w:val="16"/>
                <w:szCs w:val="12"/>
                <w:highlight w:val="lightGray"/>
              </w:rPr>
              <w:t xml:space="preserve"> </w:t>
            </w:r>
          </w:p>
          <w:p w:rsidR="003435C7" w:rsidRPr="00A95FF0" w:rsidRDefault="003435C7" w:rsidP="00B64E72">
            <w:pPr>
              <w:tabs>
                <w:tab w:val="left" w:pos="155"/>
                <w:tab w:val="left" w:pos="448"/>
                <w:tab w:val="right" w:pos="4528"/>
              </w:tabs>
              <w:spacing w:before="40"/>
              <w:ind w:left="567" w:hanging="567"/>
              <w:rPr>
                <w:sz w:val="16"/>
                <w:highlight w:val="lightGray"/>
                <w:u w:val="single"/>
              </w:rPr>
            </w:pPr>
            <w:r w:rsidRPr="00A95FF0">
              <w:rPr>
                <w:sz w:val="16"/>
                <w:highlight w:val="lightGray"/>
              </w:rPr>
              <w:tab/>
              <w:t>(b)</w:t>
            </w:r>
            <w:r w:rsidRPr="00A95FF0">
              <w:rPr>
                <w:sz w:val="16"/>
                <w:highlight w:val="lightGray"/>
              </w:rPr>
              <w:tab/>
              <w:t xml:space="preserve">nationality(ies): </w:t>
            </w:r>
            <w:r w:rsidRPr="00A95FF0">
              <w:rPr>
                <w:sz w:val="16"/>
                <w:highlight w:val="lightGray"/>
                <w:u w:val="single"/>
              </w:rPr>
              <w:tab/>
            </w:r>
          </w:p>
          <w:p w:rsidR="00037034" w:rsidRPr="00A95FF0" w:rsidRDefault="003435C7" w:rsidP="006A401E">
            <w:pPr>
              <w:tabs>
                <w:tab w:val="left" w:pos="567"/>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1(b)</w:t>
            </w:r>
            <w:r w:rsidR="00037034" w:rsidRPr="00A95FF0">
              <w:rPr>
                <w:snapToGrid w:val="0"/>
                <w:sz w:val="16"/>
                <w:szCs w:val="12"/>
                <w:highlight w:val="lightGray"/>
              </w:rPr>
              <w:t xml:space="preserve"> </w:t>
            </w:r>
          </w:p>
          <w:p w:rsidR="00037034" w:rsidRPr="00A95FF0" w:rsidRDefault="003435C7" w:rsidP="00B64E72">
            <w:pPr>
              <w:tabs>
                <w:tab w:val="left" w:pos="155"/>
                <w:tab w:val="left" w:pos="448"/>
                <w:tab w:val="right" w:pos="4528"/>
              </w:tabs>
              <w:spacing w:before="40"/>
              <w:ind w:left="567" w:hanging="567"/>
              <w:rPr>
                <w:sz w:val="16"/>
                <w:highlight w:val="lightGray"/>
              </w:rPr>
            </w:pPr>
            <w:r w:rsidRPr="00A95FF0">
              <w:rPr>
                <w:sz w:val="16"/>
                <w:highlight w:val="lightGray"/>
              </w:rPr>
              <w:tab/>
              <w:t>(c)</w:t>
            </w:r>
            <w:r w:rsidRPr="00A95FF0">
              <w:rPr>
                <w:sz w:val="16"/>
                <w:highlight w:val="lightGray"/>
              </w:rPr>
              <w:tab/>
              <w:t>residence (State):</w:t>
            </w:r>
            <w:r w:rsidRPr="00A95FF0">
              <w:rPr>
                <w:sz w:val="16"/>
                <w:highlight w:val="lightGray"/>
                <w:u w:val="single"/>
              </w:rPr>
              <w:tab/>
            </w:r>
          </w:p>
          <w:p w:rsidR="00037034" w:rsidRPr="00A95FF0" w:rsidRDefault="003435C7" w:rsidP="006A401E">
            <w:pPr>
              <w:tabs>
                <w:tab w:val="left" w:pos="567"/>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1(c)</w:t>
            </w:r>
            <w:r w:rsidR="00037034" w:rsidRPr="00A95FF0">
              <w:rPr>
                <w:snapToGrid w:val="0"/>
                <w:sz w:val="16"/>
                <w:szCs w:val="12"/>
                <w:highlight w:val="lightGray"/>
              </w:rPr>
              <w:t xml:space="preserve"> </w:t>
            </w:r>
          </w:p>
          <w:p w:rsidR="003435C7" w:rsidRPr="00A95FF0" w:rsidRDefault="003435C7" w:rsidP="00B64E72">
            <w:pPr>
              <w:tabs>
                <w:tab w:val="left" w:pos="155"/>
                <w:tab w:val="left" w:pos="448"/>
                <w:tab w:val="left" w:pos="1900"/>
                <w:tab w:val="right" w:pos="4395"/>
                <w:tab w:val="right" w:pos="4528"/>
                <w:tab w:val="right" w:pos="4665"/>
              </w:tabs>
              <w:spacing w:before="40"/>
              <w:ind w:left="567" w:hanging="567"/>
              <w:rPr>
                <w:sz w:val="16"/>
                <w:highlight w:val="lightGray"/>
              </w:rPr>
            </w:pPr>
            <w:r w:rsidRPr="00A95FF0">
              <w:rPr>
                <w:sz w:val="16"/>
                <w:highlight w:val="lightGray"/>
              </w:rPr>
              <w:tab/>
              <w:t>(d)</w:t>
            </w:r>
            <w:r w:rsidRPr="00A95FF0">
              <w:rPr>
                <w:sz w:val="16"/>
                <w:highlight w:val="lightGray"/>
              </w:rPr>
              <w:tab/>
              <w:t>registered offices for legal entities (State):</w:t>
            </w:r>
          </w:p>
          <w:p w:rsidR="00037034" w:rsidRPr="00A95FF0" w:rsidRDefault="003435C7" w:rsidP="006A401E">
            <w:pPr>
              <w:tabs>
                <w:tab w:val="left" w:pos="567"/>
                <w:tab w:val="left" w:pos="1334"/>
                <w:tab w:val="right" w:pos="4528"/>
              </w:tabs>
              <w:rPr>
                <w:snapToGrid w:val="0"/>
                <w:sz w:val="16"/>
                <w:szCs w:val="12"/>
                <w:highlight w:val="lightGray"/>
              </w:rPr>
            </w:pPr>
            <w:r w:rsidRPr="00A95FF0">
              <w:rPr>
                <w:snapToGrid w:val="0"/>
                <w:sz w:val="16"/>
                <w:szCs w:val="22"/>
                <w:highlight w:val="lightGray"/>
              </w:rPr>
              <w:tab/>
            </w:r>
            <w:r w:rsidRPr="00A95FF0">
              <w:rPr>
                <w:i/>
                <w:snapToGrid w:val="0"/>
                <w:sz w:val="16"/>
                <w:szCs w:val="16"/>
                <w:highlight w:val="lightGray"/>
              </w:rPr>
              <w:t>UPOV-A1: 1(d)</w:t>
            </w:r>
            <w:r w:rsidR="00037034" w:rsidRPr="00A95FF0">
              <w:rPr>
                <w:snapToGrid w:val="0"/>
                <w:sz w:val="16"/>
                <w:szCs w:val="12"/>
                <w:highlight w:val="lightGray"/>
              </w:rPr>
              <w:t xml:space="preserve"> </w:t>
            </w:r>
          </w:p>
          <w:p w:rsidR="003435C7" w:rsidRPr="00A95FF0" w:rsidRDefault="003435C7" w:rsidP="00C26916">
            <w:pPr>
              <w:tabs>
                <w:tab w:val="left" w:pos="448"/>
                <w:tab w:val="right" w:pos="4528"/>
              </w:tabs>
              <w:rPr>
                <w:sz w:val="16"/>
                <w:szCs w:val="12"/>
                <w:highlight w:val="lightGray"/>
              </w:rPr>
            </w:pPr>
            <w:r w:rsidRPr="00A95FF0">
              <w:rPr>
                <w:sz w:val="16"/>
                <w:highlight w:val="lightGray"/>
              </w:rPr>
              <w:tab/>
            </w:r>
            <w:r w:rsidRPr="00A95FF0">
              <w:rPr>
                <w:sz w:val="16"/>
                <w:szCs w:val="12"/>
                <w:highlight w:val="lightGray"/>
                <w:u w:val="single"/>
              </w:rPr>
              <w:tab/>
            </w:r>
          </w:p>
          <w:p w:rsidR="00B00FD4" w:rsidRPr="00A95FF0" w:rsidRDefault="003435C7" w:rsidP="0097099E">
            <w:pPr>
              <w:tabs>
                <w:tab w:val="left" w:pos="155"/>
                <w:tab w:val="left" w:pos="448"/>
                <w:tab w:val="left" w:pos="2042"/>
                <w:tab w:val="left" w:pos="2953"/>
                <w:tab w:val="right" w:pos="4528"/>
                <w:tab w:val="right" w:pos="4665"/>
              </w:tabs>
              <w:spacing w:before="120"/>
              <w:ind w:left="567" w:right="-96" w:hanging="567"/>
              <w:rPr>
                <w:sz w:val="16"/>
                <w:highlight w:val="lightGray"/>
              </w:rPr>
            </w:pPr>
            <w:r w:rsidRPr="00A95FF0">
              <w:rPr>
                <w:sz w:val="16"/>
                <w:highlight w:val="lightGray"/>
              </w:rPr>
              <w:tab/>
              <w:t>(e)</w:t>
            </w:r>
            <w:r w:rsidRPr="00A95FF0">
              <w:rPr>
                <w:sz w:val="16"/>
                <w:highlight w:val="lightGray"/>
              </w:rPr>
              <w:tab/>
              <w:t>A procedural representative/agent/proxy will be used:</w:t>
            </w:r>
          </w:p>
          <w:p w:rsidR="003435C7" w:rsidRPr="00A95FF0" w:rsidRDefault="003435C7" w:rsidP="00B00FD4">
            <w:pPr>
              <w:tabs>
                <w:tab w:val="left" w:pos="199"/>
                <w:tab w:val="left" w:pos="567"/>
                <w:tab w:val="left" w:pos="3270"/>
                <w:tab w:val="right" w:pos="4665"/>
              </w:tabs>
              <w:spacing w:before="40"/>
              <w:ind w:left="1701" w:right="-94" w:hanging="567"/>
              <w:rPr>
                <w:sz w:val="16"/>
                <w:highlight w:val="lightGray"/>
              </w:rPr>
            </w:pPr>
            <w:r w:rsidRPr="00A95FF0">
              <w:rPr>
                <w:sz w:val="16"/>
                <w:highlight w:val="lightGray"/>
              </w:rPr>
              <w:tab/>
              <w:t>Yes □</w:t>
            </w:r>
            <w:r w:rsidRPr="00A95FF0">
              <w:rPr>
                <w:sz w:val="16"/>
                <w:highlight w:val="lightGray"/>
              </w:rPr>
              <w:tab/>
              <w:t>No □</w:t>
            </w:r>
          </w:p>
          <w:p w:rsidR="003435C7" w:rsidRPr="00A95FF0" w:rsidRDefault="003435C7" w:rsidP="00B00FD4">
            <w:pPr>
              <w:tabs>
                <w:tab w:val="left" w:pos="1286"/>
                <w:tab w:val="center" w:pos="3554"/>
              </w:tabs>
              <w:spacing w:after="40"/>
              <w:rPr>
                <w:i/>
                <w:sz w:val="16"/>
                <w:highlight w:val="lightGray"/>
                <w:lang w:val="es-AR"/>
              </w:rPr>
            </w:pPr>
            <w:r w:rsidRPr="00A95FF0">
              <w:rPr>
                <w:snapToGrid w:val="0"/>
                <w:sz w:val="16"/>
                <w:szCs w:val="22"/>
                <w:highlight w:val="lightGray"/>
              </w:rPr>
              <w:tab/>
            </w:r>
            <w:r w:rsidRPr="00A95FF0">
              <w:rPr>
                <w:i/>
                <w:snapToGrid w:val="0"/>
                <w:sz w:val="16"/>
                <w:szCs w:val="16"/>
                <w:highlight w:val="lightGray"/>
                <w:lang w:val="es-AR"/>
              </w:rPr>
              <w:t>UPOV-A1: 1(e)(i)</w:t>
            </w:r>
            <w:r w:rsidR="00B00FD4" w:rsidRPr="00A95FF0">
              <w:rPr>
                <w:i/>
                <w:sz w:val="16"/>
                <w:highlight w:val="lightGray"/>
                <w:lang w:val="es-AR"/>
              </w:rPr>
              <w:tab/>
            </w:r>
            <w:r w:rsidRPr="00A95FF0">
              <w:rPr>
                <w:i/>
                <w:snapToGrid w:val="0"/>
                <w:sz w:val="16"/>
                <w:szCs w:val="16"/>
                <w:highlight w:val="lightGray"/>
                <w:lang w:val="es-AR"/>
              </w:rPr>
              <w:t>UPOV-A1: 1(e)(ii)</w:t>
            </w:r>
          </w:p>
        </w:tc>
        <w:tc>
          <w:tcPr>
            <w:tcW w:w="4389" w:type="dxa"/>
            <w:gridSpan w:val="2"/>
            <w:vMerge w:val="restart"/>
          </w:tcPr>
          <w:p w:rsidR="003435C7" w:rsidRPr="00A95FF0" w:rsidRDefault="003435C7" w:rsidP="00D64CC1">
            <w:pPr>
              <w:tabs>
                <w:tab w:val="left" w:pos="482"/>
              </w:tabs>
              <w:spacing w:before="40"/>
              <w:ind w:left="482" w:hanging="482"/>
              <w:rPr>
                <w:sz w:val="16"/>
                <w:highlight w:val="lightGray"/>
              </w:rPr>
            </w:pPr>
            <w:r w:rsidRPr="00A95FF0">
              <w:rPr>
                <w:sz w:val="16"/>
                <w:highlight w:val="lightGray"/>
              </w:rPr>
              <w:t>2.(a)</w:t>
            </w:r>
            <w:r w:rsidRPr="00A95FF0">
              <w:rPr>
                <w:sz w:val="16"/>
                <w:highlight w:val="lightGray"/>
              </w:rPr>
              <w:tab/>
              <w:t>Name and address to which correspondence is to be sent (if different from 1.(a)):</w:t>
            </w:r>
          </w:p>
          <w:p w:rsidR="00D64CC1" w:rsidRPr="00A95FF0" w:rsidRDefault="003435C7" w:rsidP="00B64E72">
            <w:pPr>
              <w:tabs>
                <w:tab w:val="left" w:pos="187"/>
                <w:tab w:val="left" w:pos="1005"/>
                <w:tab w:val="right" w:pos="4241"/>
              </w:tabs>
              <w:spacing w:before="40"/>
              <w:ind w:left="567" w:hanging="567"/>
              <w:rPr>
                <w:sz w:val="16"/>
                <w:highlight w:val="lightGray"/>
                <w:u w:val="single"/>
              </w:rPr>
            </w:pPr>
            <w:r w:rsidRPr="00A95FF0">
              <w:rPr>
                <w:color w:val="000000"/>
                <w:sz w:val="16"/>
                <w:highlight w:val="lightGray"/>
              </w:rPr>
              <w:tab/>
              <w:t>N</w:t>
            </w:r>
            <w:r w:rsidRPr="00A95FF0">
              <w:rPr>
                <w:sz w:val="16"/>
                <w:highlight w:val="lightGray"/>
              </w:rPr>
              <w:t>ame</w:t>
            </w:r>
            <w:r w:rsidRPr="00A95FF0">
              <w:rPr>
                <w:sz w:val="16"/>
                <w:highlight w:val="lightGray"/>
              </w:rPr>
              <w:tab/>
            </w:r>
            <w:r w:rsidRPr="00A95FF0">
              <w:rPr>
                <w:sz w:val="16"/>
                <w:highlight w:val="lightGray"/>
                <w:u w:val="single"/>
              </w:rPr>
              <w:tab/>
            </w:r>
          </w:p>
          <w:p w:rsidR="003435C7" w:rsidRPr="00A95FF0" w:rsidRDefault="003435C7" w:rsidP="00D64CC1">
            <w:pPr>
              <w:tabs>
                <w:tab w:val="left" w:pos="406"/>
                <w:tab w:val="left" w:pos="1005"/>
                <w:tab w:val="right" w:pos="4241"/>
              </w:tabs>
              <w:rPr>
                <w:sz w:val="16"/>
                <w:highlight w:val="lightGray"/>
                <w:u w:val="single"/>
              </w:rPr>
            </w:pPr>
            <w:r w:rsidRPr="00A95FF0">
              <w:rPr>
                <w:snapToGrid w:val="0"/>
                <w:sz w:val="16"/>
                <w:szCs w:val="22"/>
                <w:highlight w:val="lightGray"/>
              </w:rPr>
              <w:tab/>
            </w:r>
            <w:r w:rsidRPr="00A95FF0">
              <w:rPr>
                <w:i/>
                <w:snapToGrid w:val="0"/>
                <w:sz w:val="16"/>
                <w:szCs w:val="16"/>
                <w:highlight w:val="lightGray"/>
              </w:rPr>
              <w:t>UPOV-A1: 2(a)(i)</w:t>
            </w:r>
          </w:p>
          <w:p w:rsidR="00D64CC1" w:rsidRPr="00A95FF0" w:rsidRDefault="003435C7" w:rsidP="00B64E72">
            <w:pPr>
              <w:tabs>
                <w:tab w:val="left" w:pos="187"/>
                <w:tab w:val="left" w:pos="1005"/>
                <w:tab w:val="right" w:pos="4241"/>
              </w:tabs>
              <w:spacing w:before="40"/>
              <w:ind w:left="567" w:hanging="567"/>
              <w:rPr>
                <w:sz w:val="16"/>
                <w:highlight w:val="lightGray"/>
                <w:u w:val="single"/>
              </w:rPr>
            </w:pPr>
            <w:r w:rsidRPr="00A95FF0">
              <w:rPr>
                <w:sz w:val="16"/>
                <w:highlight w:val="lightGray"/>
              </w:rPr>
              <w:tab/>
              <w:t>Address</w:t>
            </w:r>
            <w:r w:rsidRPr="00A95FF0">
              <w:rPr>
                <w:sz w:val="16"/>
                <w:highlight w:val="lightGray"/>
              </w:rPr>
              <w:tab/>
            </w:r>
            <w:r w:rsidRPr="00A95FF0">
              <w:rPr>
                <w:sz w:val="16"/>
                <w:highlight w:val="lightGray"/>
                <w:u w:val="single"/>
              </w:rPr>
              <w:tab/>
            </w:r>
          </w:p>
          <w:p w:rsidR="003435C7" w:rsidRPr="00A95FF0" w:rsidRDefault="00D64CC1" w:rsidP="00D64CC1">
            <w:pPr>
              <w:tabs>
                <w:tab w:val="left" w:pos="406"/>
                <w:tab w:val="left" w:pos="1005"/>
                <w:tab w:val="right" w:pos="4241"/>
              </w:tabs>
              <w:rPr>
                <w:i/>
                <w:snapToGrid w:val="0"/>
                <w:sz w:val="16"/>
                <w:szCs w:val="16"/>
                <w:highlight w:val="lightGray"/>
              </w:rPr>
            </w:pPr>
            <w:r w:rsidRPr="00A95FF0">
              <w:rPr>
                <w:snapToGrid w:val="0"/>
                <w:sz w:val="16"/>
                <w:szCs w:val="22"/>
                <w:highlight w:val="lightGray"/>
              </w:rPr>
              <w:tab/>
            </w:r>
            <w:r w:rsidR="003435C7" w:rsidRPr="00A95FF0">
              <w:rPr>
                <w:i/>
                <w:snapToGrid w:val="0"/>
                <w:sz w:val="16"/>
                <w:szCs w:val="16"/>
                <w:highlight w:val="lightGray"/>
              </w:rPr>
              <w:t>UPOV-A1: 2(a)(ii)</w:t>
            </w:r>
          </w:p>
          <w:p w:rsidR="003435C7" w:rsidRPr="00A95FF0" w:rsidRDefault="003435C7" w:rsidP="0097099E">
            <w:pPr>
              <w:tabs>
                <w:tab w:val="left" w:pos="1005"/>
                <w:tab w:val="right" w:pos="4241"/>
              </w:tabs>
              <w:rPr>
                <w:sz w:val="16"/>
                <w:szCs w:val="12"/>
                <w:highlight w:val="lightGray"/>
              </w:rPr>
            </w:pPr>
            <w:r w:rsidRPr="00A95FF0">
              <w:rPr>
                <w:i/>
                <w:snapToGrid w:val="0"/>
                <w:sz w:val="16"/>
                <w:szCs w:val="12"/>
                <w:highlight w:val="lightGray"/>
              </w:rPr>
              <w:tab/>
            </w:r>
            <w:r w:rsidRPr="00A95FF0">
              <w:rPr>
                <w:sz w:val="16"/>
                <w:szCs w:val="12"/>
                <w:highlight w:val="lightGray"/>
                <w:u w:val="single"/>
              </w:rPr>
              <w:tab/>
            </w:r>
          </w:p>
          <w:p w:rsidR="003435C7" w:rsidRPr="00A95FF0" w:rsidRDefault="003435C7" w:rsidP="00BE4B15">
            <w:pPr>
              <w:tabs>
                <w:tab w:val="left" w:pos="1005"/>
                <w:tab w:val="right" w:pos="4241"/>
              </w:tabs>
              <w:spacing w:before="120"/>
              <w:rPr>
                <w:sz w:val="16"/>
                <w:highlight w:val="lightGray"/>
                <w:u w:val="single"/>
              </w:rPr>
            </w:pPr>
            <w:r w:rsidRPr="00A95FF0">
              <w:rPr>
                <w:sz w:val="16"/>
                <w:highlight w:val="lightGray"/>
              </w:rPr>
              <w:tab/>
            </w:r>
            <w:r w:rsidRPr="00A95FF0">
              <w:rPr>
                <w:sz w:val="16"/>
                <w:highlight w:val="lightGray"/>
                <w:u w:val="single"/>
              </w:rPr>
              <w:tab/>
            </w:r>
          </w:p>
          <w:p w:rsidR="00D64CC1" w:rsidRPr="00A95FF0" w:rsidRDefault="003435C7" w:rsidP="00990BF1">
            <w:pPr>
              <w:tabs>
                <w:tab w:val="left" w:pos="189"/>
                <w:tab w:val="left" w:pos="1005"/>
                <w:tab w:val="right" w:pos="4241"/>
              </w:tabs>
              <w:spacing w:before="180"/>
              <w:rPr>
                <w:sz w:val="16"/>
                <w:highlight w:val="lightGray"/>
                <w:u w:val="single"/>
              </w:rPr>
            </w:pPr>
            <w:r w:rsidRPr="00A95FF0">
              <w:rPr>
                <w:color w:val="000000"/>
                <w:sz w:val="16"/>
                <w:highlight w:val="lightGray"/>
              </w:rPr>
              <w:tab/>
              <w:t xml:space="preserve">Telephone No.(s) </w:t>
            </w:r>
            <w:r w:rsidRPr="00A95FF0">
              <w:rPr>
                <w:sz w:val="16"/>
                <w:highlight w:val="lightGray"/>
                <w:u w:val="single"/>
              </w:rPr>
              <w:tab/>
            </w:r>
          </w:p>
          <w:p w:rsidR="003435C7" w:rsidRPr="00A95FF0" w:rsidRDefault="003435C7" w:rsidP="00D64CC1">
            <w:pPr>
              <w:tabs>
                <w:tab w:val="left" w:pos="406"/>
                <w:tab w:val="left" w:pos="1005"/>
                <w:tab w:val="left" w:pos="1334"/>
                <w:tab w:val="right" w:pos="4241"/>
              </w:tabs>
              <w:rPr>
                <w:sz w:val="16"/>
                <w:highlight w:val="lightGray"/>
              </w:rPr>
            </w:pPr>
            <w:r w:rsidRPr="00A95FF0">
              <w:rPr>
                <w:snapToGrid w:val="0"/>
                <w:sz w:val="16"/>
                <w:szCs w:val="22"/>
                <w:highlight w:val="lightGray"/>
              </w:rPr>
              <w:tab/>
            </w:r>
            <w:r w:rsidRPr="00A95FF0">
              <w:rPr>
                <w:i/>
                <w:snapToGrid w:val="0"/>
                <w:sz w:val="16"/>
                <w:szCs w:val="16"/>
                <w:highlight w:val="lightGray"/>
              </w:rPr>
              <w:t>UPOV-A1: 2(a)(iii)</w:t>
            </w:r>
          </w:p>
          <w:p w:rsidR="00D64CC1" w:rsidRPr="00A95FF0" w:rsidRDefault="003435C7" w:rsidP="00B64E72">
            <w:pPr>
              <w:tabs>
                <w:tab w:val="left" w:pos="187"/>
                <w:tab w:val="right" w:pos="4241"/>
              </w:tabs>
              <w:spacing w:before="40"/>
              <w:ind w:left="567" w:hanging="567"/>
              <w:rPr>
                <w:sz w:val="16"/>
                <w:highlight w:val="lightGray"/>
                <w:u w:val="single"/>
              </w:rPr>
            </w:pPr>
            <w:r w:rsidRPr="00A95FF0">
              <w:rPr>
                <w:color w:val="000000"/>
                <w:sz w:val="16"/>
                <w:highlight w:val="lightGray"/>
              </w:rPr>
              <w:tab/>
              <w:t>Fax No.(s)</w:t>
            </w:r>
            <w:r w:rsidRPr="00A95FF0">
              <w:rPr>
                <w:sz w:val="16"/>
                <w:highlight w:val="lightGray"/>
                <w:u w:val="single"/>
              </w:rPr>
              <w:tab/>
            </w:r>
          </w:p>
          <w:p w:rsidR="003435C7" w:rsidRPr="00A95FF0" w:rsidRDefault="003435C7" w:rsidP="003C5EDD">
            <w:pPr>
              <w:tabs>
                <w:tab w:val="left" w:pos="406"/>
                <w:tab w:val="left" w:pos="1005"/>
                <w:tab w:val="left" w:pos="1334"/>
                <w:tab w:val="right" w:pos="4241"/>
              </w:tabs>
              <w:rPr>
                <w:sz w:val="16"/>
                <w:highlight w:val="lightGray"/>
                <w:u w:val="single"/>
              </w:rPr>
            </w:pPr>
            <w:r w:rsidRPr="00A95FF0">
              <w:rPr>
                <w:snapToGrid w:val="0"/>
                <w:sz w:val="16"/>
                <w:szCs w:val="22"/>
                <w:highlight w:val="lightGray"/>
              </w:rPr>
              <w:tab/>
            </w:r>
            <w:r w:rsidRPr="00A95FF0">
              <w:rPr>
                <w:i/>
                <w:snapToGrid w:val="0"/>
                <w:sz w:val="16"/>
                <w:szCs w:val="16"/>
                <w:highlight w:val="lightGray"/>
              </w:rPr>
              <w:t>UPOV-A1: 2(a)(iv)</w:t>
            </w:r>
          </w:p>
          <w:p w:rsidR="003435C7" w:rsidRPr="00A95FF0" w:rsidRDefault="003435C7" w:rsidP="00B64E72">
            <w:pPr>
              <w:tabs>
                <w:tab w:val="left" w:pos="187"/>
                <w:tab w:val="right" w:pos="4241"/>
              </w:tabs>
              <w:spacing w:before="40"/>
              <w:ind w:left="567" w:hanging="567"/>
              <w:rPr>
                <w:sz w:val="16"/>
                <w:highlight w:val="lightGray"/>
                <w:u w:val="single"/>
              </w:rPr>
            </w:pPr>
            <w:r w:rsidRPr="00A95FF0">
              <w:rPr>
                <w:color w:val="000000"/>
                <w:sz w:val="16"/>
                <w:highlight w:val="lightGray"/>
              </w:rPr>
              <w:tab/>
              <w:t>E-mail address(es)</w:t>
            </w:r>
            <w:r w:rsidRPr="00A95FF0">
              <w:rPr>
                <w:sz w:val="16"/>
                <w:highlight w:val="lightGray"/>
                <w:u w:val="single"/>
              </w:rPr>
              <w:tab/>
            </w:r>
          </w:p>
          <w:p w:rsidR="003435C7" w:rsidRPr="00A95FF0" w:rsidRDefault="003435C7" w:rsidP="003C5EDD">
            <w:pPr>
              <w:tabs>
                <w:tab w:val="left" w:pos="406"/>
                <w:tab w:val="left" w:pos="1334"/>
                <w:tab w:val="right" w:pos="4310"/>
              </w:tabs>
              <w:rPr>
                <w:sz w:val="16"/>
                <w:highlight w:val="lightGray"/>
              </w:rPr>
            </w:pPr>
            <w:r w:rsidRPr="00A95FF0">
              <w:rPr>
                <w:snapToGrid w:val="0"/>
                <w:sz w:val="16"/>
                <w:szCs w:val="22"/>
                <w:highlight w:val="lightGray"/>
              </w:rPr>
              <w:tab/>
            </w:r>
            <w:r w:rsidRPr="00A95FF0">
              <w:rPr>
                <w:i/>
                <w:snapToGrid w:val="0"/>
                <w:sz w:val="16"/>
                <w:szCs w:val="16"/>
                <w:highlight w:val="lightGray"/>
              </w:rPr>
              <w:t>UPOV-A1: 2(a)(v)</w:t>
            </w:r>
          </w:p>
          <w:p w:rsidR="003435C7" w:rsidRPr="00A95FF0" w:rsidRDefault="003435C7" w:rsidP="003C5EDD">
            <w:pPr>
              <w:tabs>
                <w:tab w:val="left" w:pos="147"/>
                <w:tab w:val="left" w:pos="482"/>
              </w:tabs>
              <w:spacing w:before="120"/>
              <w:rPr>
                <w:sz w:val="16"/>
                <w:highlight w:val="lightGray"/>
              </w:rPr>
            </w:pPr>
            <w:r w:rsidRPr="00A95FF0">
              <w:rPr>
                <w:sz w:val="16"/>
                <w:highlight w:val="lightGray"/>
              </w:rPr>
              <w:tab/>
              <w:t>(b)</w:t>
            </w:r>
            <w:r w:rsidRPr="00A95FF0">
              <w:rPr>
                <w:sz w:val="16"/>
                <w:highlight w:val="lightGray"/>
              </w:rPr>
              <w:tab/>
              <w:t>This is the name and the address:</w:t>
            </w:r>
          </w:p>
          <w:p w:rsidR="003435C7" w:rsidRPr="00A95FF0" w:rsidRDefault="003435C7" w:rsidP="00B64E72">
            <w:pPr>
              <w:tabs>
                <w:tab w:val="left" w:pos="482"/>
                <w:tab w:val="left" w:pos="763"/>
              </w:tabs>
              <w:spacing w:before="40"/>
              <w:ind w:left="567" w:hanging="567"/>
              <w:rPr>
                <w:sz w:val="16"/>
                <w:highlight w:val="lightGray"/>
              </w:rPr>
            </w:pPr>
            <w:r w:rsidRPr="00A95FF0">
              <w:rPr>
                <w:sz w:val="16"/>
                <w:highlight w:val="lightGray"/>
              </w:rPr>
              <w:tab/>
              <w:t>□</w:t>
            </w:r>
            <w:r w:rsidRPr="00A95FF0">
              <w:rPr>
                <w:sz w:val="16"/>
                <w:highlight w:val="lightGray"/>
              </w:rPr>
              <w:tab/>
              <w:t>of one of the applicants</w:t>
            </w:r>
          </w:p>
          <w:p w:rsidR="003435C7" w:rsidRPr="00A95FF0" w:rsidRDefault="003435C7" w:rsidP="00EF51C9">
            <w:pPr>
              <w:tabs>
                <w:tab w:val="left" w:pos="973"/>
                <w:tab w:val="right" w:pos="4310"/>
              </w:tabs>
              <w:rPr>
                <w:sz w:val="16"/>
                <w:highlight w:val="lightGray"/>
              </w:rPr>
            </w:pPr>
            <w:r w:rsidRPr="00A95FF0">
              <w:rPr>
                <w:snapToGrid w:val="0"/>
                <w:sz w:val="16"/>
                <w:szCs w:val="22"/>
                <w:highlight w:val="lightGray"/>
              </w:rPr>
              <w:tab/>
            </w:r>
            <w:r w:rsidRPr="00A95FF0">
              <w:rPr>
                <w:i/>
                <w:snapToGrid w:val="0"/>
                <w:sz w:val="16"/>
                <w:szCs w:val="16"/>
                <w:highlight w:val="lightGray"/>
              </w:rPr>
              <w:t>UPOV-A1: 2(b)(i)</w:t>
            </w:r>
          </w:p>
          <w:p w:rsidR="003435C7" w:rsidRPr="00A95FF0" w:rsidRDefault="003435C7" w:rsidP="00B64E72">
            <w:pPr>
              <w:tabs>
                <w:tab w:val="left" w:pos="482"/>
                <w:tab w:val="left" w:pos="777"/>
              </w:tabs>
              <w:ind w:right="-85"/>
              <w:rPr>
                <w:sz w:val="16"/>
                <w:highlight w:val="lightGray"/>
              </w:rPr>
            </w:pPr>
            <w:r w:rsidRPr="00A95FF0">
              <w:rPr>
                <w:sz w:val="16"/>
                <w:highlight w:val="lightGray"/>
              </w:rPr>
              <w:tab/>
              <w:t>□</w:t>
            </w:r>
            <w:r w:rsidRPr="00A95FF0">
              <w:rPr>
                <w:sz w:val="16"/>
                <w:highlight w:val="lightGray"/>
              </w:rPr>
              <w:tab/>
              <w:t>of the procedural representative/</w:t>
            </w:r>
          </w:p>
          <w:p w:rsidR="003435C7" w:rsidRPr="00A95FF0" w:rsidRDefault="003435C7" w:rsidP="00EF51C9">
            <w:pPr>
              <w:tabs>
                <w:tab w:val="left" w:pos="832"/>
              </w:tabs>
              <w:ind w:right="-85"/>
              <w:rPr>
                <w:sz w:val="16"/>
                <w:highlight w:val="lightGray"/>
              </w:rPr>
            </w:pPr>
            <w:r w:rsidRPr="00A95FF0">
              <w:rPr>
                <w:sz w:val="16"/>
                <w:highlight w:val="lightGray"/>
              </w:rPr>
              <w:tab/>
              <w:t>/agent/proxy</w:t>
            </w:r>
          </w:p>
          <w:p w:rsidR="003435C7" w:rsidRPr="00A95FF0" w:rsidRDefault="003435C7" w:rsidP="00EF51C9">
            <w:pPr>
              <w:tabs>
                <w:tab w:val="left" w:pos="973"/>
                <w:tab w:val="left" w:pos="1334"/>
                <w:tab w:val="right" w:pos="4310"/>
              </w:tabs>
              <w:rPr>
                <w:sz w:val="16"/>
                <w:highlight w:val="lightGray"/>
              </w:rPr>
            </w:pPr>
            <w:r w:rsidRPr="00A95FF0">
              <w:rPr>
                <w:snapToGrid w:val="0"/>
                <w:sz w:val="16"/>
                <w:szCs w:val="22"/>
                <w:highlight w:val="lightGray"/>
              </w:rPr>
              <w:tab/>
            </w:r>
            <w:r w:rsidRPr="00A95FF0">
              <w:rPr>
                <w:i/>
                <w:snapToGrid w:val="0"/>
                <w:sz w:val="16"/>
                <w:szCs w:val="16"/>
                <w:highlight w:val="lightGray"/>
              </w:rPr>
              <w:t>UPOV-A1: 2(b)(ii)</w:t>
            </w:r>
          </w:p>
          <w:p w:rsidR="003435C7" w:rsidRPr="00A95FF0" w:rsidRDefault="003435C7" w:rsidP="00BE4B15">
            <w:pPr>
              <w:tabs>
                <w:tab w:val="left" w:pos="482"/>
                <w:tab w:val="left" w:pos="908"/>
              </w:tabs>
              <w:spacing w:after="120"/>
              <w:rPr>
                <w:strike/>
                <w:sz w:val="16"/>
                <w:highlight w:val="lightGray"/>
              </w:rPr>
            </w:pPr>
          </w:p>
        </w:tc>
        <w:tc>
          <w:tcPr>
            <w:tcW w:w="154" w:type="dxa"/>
            <w:tcBorders>
              <w:top w:val="nil"/>
              <w:bottom w:val="nil"/>
              <w:right w:val="nil"/>
            </w:tcBorders>
          </w:tcPr>
          <w:p w:rsidR="003435C7" w:rsidRPr="00A95FF0" w:rsidRDefault="003435C7" w:rsidP="00BE4B15">
            <w:pPr>
              <w:tabs>
                <w:tab w:val="left" w:pos="482"/>
              </w:tabs>
              <w:spacing w:before="40"/>
              <w:jc w:val="center"/>
              <w:rPr>
                <w:sz w:val="16"/>
                <w:highlight w:val="lightGray"/>
              </w:rPr>
            </w:pPr>
          </w:p>
        </w:tc>
        <w:tc>
          <w:tcPr>
            <w:tcW w:w="1008" w:type="dxa"/>
            <w:tcBorders>
              <w:top w:val="nil"/>
              <w:left w:val="nil"/>
              <w:bottom w:val="single" w:sz="6" w:space="0" w:color="000000"/>
              <w:right w:val="nil"/>
            </w:tcBorders>
          </w:tcPr>
          <w:p w:rsidR="003435C7" w:rsidRPr="00A95FF0" w:rsidRDefault="003435C7" w:rsidP="00BE4B15">
            <w:pPr>
              <w:tabs>
                <w:tab w:val="left" w:pos="482"/>
              </w:tabs>
              <w:spacing w:before="40"/>
              <w:jc w:val="center"/>
              <w:rPr>
                <w:sz w:val="16"/>
                <w:highlight w:val="lightGray"/>
              </w:rPr>
            </w:pPr>
          </w:p>
        </w:tc>
      </w:tr>
      <w:tr w:rsidR="00D849C8"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tcPr>
          <w:p w:rsidR="003435C7" w:rsidRPr="00A95FF0" w:rsidRDefault="003435C7" w:rsidP="00BE4B15">
            <w:pPr>
              <w:spacing w:before="40"/>
              <w:rPr>
                <w:sz w:val="16"/>
                <w:highlight w:val="lightGray"/>
              </w:rPr>
            </w:pPr>
          </w:p>
        </w:tc>
        <w:tc>
          <w:tcPr>
            <w:tcW w:w="4389" w:type="dxa"/>
            <w:gridSpan w:val="2"/>
            <w:vMerge/>
          </w:tcPr>
          <w:p w:rsidR="003435C7" w:rsidRPr="00A95FF0" w:rsidRDefault="003435C7" w:rsidP="00BE4B15">
            <w:pPr>
              <w:tabs>
                <w:tab w:val="left" w:pos="482"/>
              </w:tabs>
              <w:spacing w:before="40"/>
              <w:rPr>
                <w:sz w:val="16"/>
                <w:highlight w:val="lightGray"/>
              </w:rPr>
            </w:pPr>
          </w:p>
        </w:tc>
        <w:tc>
          <w:tcPr>
            <w:tcW w:w="154" w:type="dxa"/>
            <w:vMerge w:val="restart"/>
            <w:tcBorders>
              <w:top w:val="nil"/>
              <w:right w:val="single" w:sz="6" w:space="0" w:color="000000"/>
            </w:tcBorders>
          </w:tcPr>
          <w:p w:rsidR="003435C7" w:rsidRPr="00A95FF0" w:rsidRDefault="003435C7" w:rsidP="00BE4B15">
            <w:pPr>
              <w:jc w:val="center"/>
              <w:rPr>
                <w:sz w:val="16"/>
                <w:highlight w:val="lightGray"/>
              </w:rPr>
            </w:pPr>
          </w:p>
        </w:tc>
        <w:tc>
          <w:tcPr>
            <w:tcW w:w="1008" w:type="dxa"/>
            <w:tcBorders>
              <w:top w:val="single" w:sz="6" w:space="0" w:color="000000"/>
              <w:left w:val="single" w:sz="6" w:space="0" w:color="000000"/>
              <w:bottom w:val="single" w:sz="6" w:space="0" w:color="000000"/>
              <w:right w:val="single" w:sz="6" w:space="0" w:color="000000"/>
            </w:tcBorders>
          </w:tcPr>
          <w:p w:rsidR="003435C7" w:rsidRPr="00A95FF0" w:rsidRDefault="003435C7" w:rsidP="00BE4B15">
            <w:pPr>
              <w:spacing w:before="120" w:after="120"/>
              <w:jc w:val="center"/>
              <w:rPr>
                <w:sz w:val="16"/>
                <w:highlight w:val="lightGray"/>
              </w:rPr>
            </w:pPr>
            <w:r w:rsidRPr="00A95FF0">
              <w:rPr>
                <w:sz w:val="16"/>
                <w:highlight w:val="lightGray"/>
              </w:rPr>
              <w:t>FOR OFFICIAL USE ONLY</w:t>
            </w:r>
          </w:p>
        </w:tc>
      </w:tr>
      <w:tr w:rsidR="00D849C8"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tcPr>
          <w:p w:rsidR="003435C7" w:rsidRPr="00A95FF0" w:rsidRDefault="003435C7" w:rsidP="00BE4B15">
            <w:pPr>
              <w:spacing w:before="40"/>
              <w:rPr>
                <w:sz w:val="16"/>
                <w:highlight w:val="lightGray"/>
              </w:rPr>
            </w:pPr>
          </w:p>
        </w:tc>
        <w:tc>
          <w:tcPr>
            <w:tcW w:w="4389" w:type="dxa"/>
            <w:gridSpan w:val="2"/>
            <w:vMerge/>
          </w:tcPr>
          <w:p w:rsidR="003435C7" w:rsidRPr="00A95FF0" w:rsidRDefault="003435C7" w:rsidP="00BE4B15">
            <w:pPr>
              <w:tabs>
                <w:tab w:val="left" w:pos="482"/>
              </w:tabs>
              <w:spacing w:before="40"/>
              <w:rPr>
                <w:sz w:val="16"/>
                <w:highlight w:val="lightGray"/>
              </w:rPr>
            </w:pPr>
          </w:p>
        </w:tc>
        <w:tc>
          <w:tcPr>
            <w:tcW w:w="154" w:type="dxa"/>
            <w:vMerge/>
            <w:tcBorders>
              <w:bottom w:val="nil"/>
              <w:right w:val="nil"/>
            </w:tcBorders>
          </w:tcPr>
          <w:p w:rsidR="003435C7" w:rsidRPr="00A95FF0" w:rsidRDefault="003435C7" w:rsidP="00BE4B15">
            <w:pPr>
              <w:jc w:val="center"/>
              <w:rPr>
                <w:sz w:val="16"/>
                <w:highlight w:val="lightGray"/>
              </w:rPr>
            </w:pPr>
          </w:p>
        </w:tc>
        <w:tc>
          <w:tcPr>
            <w:tcW w:w="1008" w:type="dxa"/>
            <w:tcBorders>
              <w:top w:val="single" w:sz="6" w:space="0" w:color="000000"/>
              <w:left w:val="nil"/>
              <w:bottom w:val="nil"/>
              <w:right w:val="nil"/>
            </w:tcBorders>
          </w:tcPr>
          <w:p w:rsidR="003435C7" w:rsidRPr="00A95FF0" w:rsidRDefault="003435C7" w:rsidP="00BE4B15">
            <w:pPr>
              <w:jc w:val="center"/>
              <w:rPr>
                <w:sz w:val="16"/>
                <w:highlight w:val="lightGray"/>
              </w:rPr>
            </w:pPr>
          </w:p>
        </w:tc>
      </w:tr>
      <w:tr w:rsidR="00393B23"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8C6C0A" w:rsidRPr="00A95FF0" w:rsidRDefault="003435C7" w:rsidP="00C26916">
            <w:pPr>
              <w:tabs>
                <w:tab w:val="left" w:pos="155"/>
                <w:tab w:val="left" w:pos="198"/>
                <w:tab w:val="left" w:pos="448"/>
                <w:tab w:val="left" w:pos="555"/>
                <w:tab w:val="left" w:pos="1708"/>
                <w:tab w:val="right" w:pos="8931"/>
              </w:tabs>
              <w:spacing w:before="40"/>
              <w:rPr>
                <w:sz w:val="16"/>
                <w:highlight w:val="lightGray"/>
                <w:u w:val="single"/>
              </w:rPr>
            </w:pPr>
            <w:r w:rsidRPr="00A95FF0">
              <w:rPr>
                <w:sz w:val="16"/>
                <w:highlight w:val="lightGray"/>
              </w:rPr>
              <w:t>3.</w:t>
            </w:r>
            <w:r w:rsidRPr="00A95FF0">
              <w:rPr>
                <w:color w:val="000000"/>
                <w:sz w:val="16"/>
                <w:highlight w:val="lightGray"/>
              </w:rPr>
              <w:t>(a)</w:t>
            </w:r>
            <w:r w:rsidRPr="00A95FF0">
              <w:rPr>
                <w:color w:val="000000"/>
                <w:sz w:val="16"/>
                <w:highlight w:val="lightGray"/>
              </w:rPr>
              <w:tab/>
            </w:r>
            <w:r w:rsidRPr="00A95FF0">
              <w:rPr>
                <w:sz w:val="16"/>
                <w:highlight w:val="lightGray"/>
              </w:rPr>
              <w:t>Botanical name:</w:t>
            </w:r>
            <w:r w:rsidRPr="00A95FF0">
              <w:rPr>
                <w:sz w:val="16"/>
                <w:highlight w:val="lightGray"/>
              </w:rPr>
              <w:tab/>
            </w:r>
            <w:r w:rsidRPr="00A95FF0">
              <w:rPr>
                <w:sz w:val="16"/>
                <w:highlight w:val="lightGray"/>
                <w:u w:val="single"/>
              </w:rPr>
              <w:tab/>
            </w:r>
          </w:p>
          <w:p w:rsidR="003435C7" w:rsidRPr="00A95FF0" w:rsidRDefault="003435C7" w:rsidP="00643761">
            <w:pPr>
              <w:tabs>
                <w:tab w:val="left" w:pos="555"/>
                <w:tab w:val="left" w:pos="2268"/>
                <w:tab w:val="right" w:pos="8931"/>
              </w:tabs>
              <w:spacing w:before="40"/>
              <w:rPr>
                <w:sz w:val="16"/>
                <w:highlight w:val="lightGray"/>
              </w:rPr>
            </w:pPr>
            <w:r w:rsidRPr="00A95FF0">
              <w:rPr>
                <w:snapToGrid w:val="0"/>
                <w:sz w:val="16"/>
                <w:szCs w:val="22"/>
                <w:highlight w:val="lightGray"/>
              </w:rPr>
              <w:tab/>
            </w:r>
            <w:r w:rsidRPr="00A95FF0">
              <w:rPr>
                <w:i/>
                <w:snapToGrid w:val="0"/>
                <w:sz w:val="16"/>
                <w:szCs w:val="16"/>
                <w:highlight w:val="lightGray"/>
              </w:rPr>
              <w:t>UPOV-A1: 3(a)</w:t>
            </w:r>
          </w:p>
          <w:p w:rsidR="008C6C0A" w:rsidRPr="00A95FF0" w:rsidRDefault="003435C7" w:rsidP="00C26916">
            <w:pPr>
              <w:tabs>
                <w:tab w:val="left" w:pos="153"/>
                <w:tab w:val="left" w:pos="448"/>
                <w:tab w:val="left" w:pos="1694"/>
                <w:tab w:val="right" w:pos="8931"/>
              </w:tabs>
              <w:spacing w:before="40"/>
              <w:ind w:left="567" w:hanging="567"/>
              <w:rPr>
                <w:color w:val="000000"/>
                <w:sz w:val="16"/>
                <w:highlight w:val="lightGray"/>
                <w:u w:val="single"/>
              </w:rPr>
            </w:pPr>
            <w:r w:rsidRPr="00A95FF0">
              <w:rPr>
                <w:color w:val="000000"/>
                <w:sz w:val="16"/>
                <w:highlight w:val="lightGray"/>
              </w:rPr>
              <w:tab/>
              <w:t>(b)</w:t>
            </w:r>
            <w:r w:rsidRPr="00A95FF0">
              <w:rPr>
                <w:color w:val="000000"/>
                <w:sz w:val="16"/>
                <w:highlight w:val="lightGray"/>
              </w:rPr>
              <w:tab/>
              <w:t>Common name:</w:t>
            </w:r>
            <w:r w:rsidRPr="00A95FF0">
              <w:rPr>
                <w:color w:val="FF0000"/>
                <w:sz w:val="16"/>
                <w:highlight w:val="lightGray"/>
              </w:rPr>
              <w:tab/>
            </w:r>
            <w:r w:rsidRPr="00A95FF0">
              <w:rPr>
                <w:color w:val="000000"/>
                <w:sz w:val="16"/>
                <w:highlight w:val="lightGray"/>
                <w:u w:val="single"/>
              </w:rPr>
              <w:tab/>
            </w:r>
          </w:p>
          <w:p w:rsidR="003435C7" w:rsidRPr="00A95FF0" w:rsidRDefault="003435C7" w:rsidP="00643761">
            <w:pPr>
              <w:tabs>
                <w:tab w:val="left" w:pos="567"/>
                <w:tab w:val="left" w:pos="2268"/>
                <w:tab w:val="right" w:pos="8931"/>
              </w:tabs>
              <w:rPr>
                <w:sz w:val="16"/>
                <w:highlight w:val="lightGray"/>
              </w:rPr>
            </w:pPr>
            <w:r w:rsidRPr="00A95FF0">
              <w:rPr>
                <w:snapToGrid w:val="0"/>
                <w:sz w:val="16"/>
                <w:szCs w:val="22"/>
                <w:highlight w:val="lightGray"/>
              </w:rPr>
              <w:tab/>
            </w:r>
            <w:r w:rsidRPr="00A95FF0">
              <w:rPr>
                <w:i/>
                <w:snapToGrid w:val="0"/>
                <w:sz w:val="16"/>
                <w:szCs w:val="16"/>
                <w:highlight w:val="lightGray"/>
              </w:rPr>
              <w:t>UPOV-A1: 3(b)</w:t>
            </w:r>
          </w:p>
        </w:tc>
        <w:tc>
          <w:tcPr>
            <w:tcW w:w="154" w:type="dxa"/>
            <w:tcBorders>
              <w:top w:val="nil"/>
              <w:bottom w:val="nil"/>
              <w:right w:val="nil"/>
            </w:tcBorders>
          </w:tcPr>
          <w:p w:rsidR="003435C7" w:rsidRPr="00A95FF0" w:rsidRDefault="003435C7" w:rsidP="00BE4B15">
            <w:pPr>
              <w:tabs>
                <w:tab w:val="left" w:pos="198"/>
                <w:tab w:val="left" w:pos="555"/>
                <w:tab w:val="left" w:pos="2268"/>
                <w:tab w:val="right" w:pos="8925"/>
              </w:tabs>
              <w:spacing w:before="40"/>
              <w:jc w:val="center"/>
              <w:rPr>
                <w:sz w:val="16"/>
                <w:highlight w:val="lightGray"/>
              </w:rPr>
            </w:pPr>
          </w:p>
        </w:tc>
        <w:tc>
          <w:tcPr>
            <w:tcW w:w="1008" w:type="dxa"/>
            <w:tcBorders>
              <w:top w:val="nil"/>
              <w:left w:val="nil"/>
              <w:bottom w:val="nil"/>
              <w:right w:val="nil"/>
            </w:tcBorders>
          </w:tcPr>
          <w:p w:rsidR="003435C7" w:rsidRPr="00A95FF0" w:rsidRDefault="003435C7" w:rsidP="00BE4B15">
            <w:pPr>
              <w:tabs>
                <w:tab w:val="left" w:pos="198"/>
                <w:tab w:val="left" w:pos="555"/>
                <w:tab w:val="left" w:pos="2268"/>
                <w:tab w:val="right" w:pos="8925"/>
              </w:tabs>
              <w:spacing w:before="40"/>
              <w:rPr>
                <w:sz w:val="16"/>
                <w:highlight w:val="lightGray"/>
              </w:rPr>
            </w:pPr>
          </w:p>
        </w:tc>
      </w:tr>
      <w:tr w:rsidR="00393B23"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8C6C0A" w:rsidRPr="00A95FF0" w:rsidRDefault="00643761" w:rsidP="00643761">
            <w:pPr>
              <w:tabs>
                <w:tab w:val="left" w:pos="448"/>
                <w:tab w:val="right" w:pos="8931"/>
              </w:tabs>
              <w:spacing w:before="40"/>
              <w:rPr>
                <w:sz w:val="16"/>
                <w:highlight w:val="lightGray"/>
                <w:u w:val="single"/>
              </w:rPr>
            </w:pPr>
            <w:r w:rsidRPr="00A95FF0">
              <w:rPr>
                <w:sz w:val="16"/>
                <w:highlight w:val="lightGray"/>
              </w:rPr>
              <w:t>4.</w:t>
            </w:r>
            <w:r w:rsidR="003435C7" w:rsidRPr="00A95FF0">
              <w:rPr>
                <w:sz w:val="16"/>
                <w:highlight w:val="lightGray"/>
              </w:rPr>
              <w:t>(a)</w:t>
            </w:r>
            <w:r w:rsidR="003435C7" w:rsidRPr="00A95FF0">
              <w:rPr>
                <w:sz w:val="16"/>
                <w:highlight w:val="lightGray"/>
              </w:rPr>
              <w:tab/>
              <w:t xml:space="preserve">Proposed denomination (in block letters):  </w:t>
            </w:r>
            <w:r w:rsidR="003435C7" w:rsidRPr="00A95FF0">
              <w:rPr>
                <w:sz w:val="16"/>
                <w:highlight w:val="lightGray"/>
                <w:u w:val="single"/>
              </w:rPr>
              <w:tab/>
            </w:r>
          </w:p>
          <w:p w:rsidR="003435C7" w:rsidRPr="00A95FF0" w:rsidRDefault="003435C7" w:rsidP="00643761">
            <w:pPr>
              <w:tabs>
                <w:tab w:val="left" w:pos="567"/>
                <w:tab w:val="right" w:pos="8931"/>
              </w:tabs>
              <w:rPr>
                <w:sz w:val="16"/>
                <w:highlight w:val="lightGray"/>
              </w:rPr>
            </w:pPr>
            <w:r w:rsidRPr="00A95FF0">
              <w:rPr>
                <w:snapToGrid w:val="0"/>
                <w:sz w:val="16"/>
                <w:szCs w:val="22"/>
                <w:highlight w:val="lightGray"/>
              </w:rPr>
              <w:tab/>
            </w:r>
            <w:r w:rsidRPr="00A95FF0">
              <w:rPr>
                <w:i/>
                <w:snapToGrid w:val="0"/>
                <w:sz w:val="16"/>
                <w:szCs w:val="16"/>
                <w:highlight w:val="lightGray"/>
              </w:rPr>
              <w:t>UPOV-A1: 4(a)</w:t>
            </w:r>
          </w:p>
          <w:p w:rsidR="003435C7" w:rsidRPr="00A95FF0" w:rsidRDefault="003435C7" w:rsidP="00B64E72">
            <w:pPr>
              <w:tabs>
                <w:tab w:val="left" w:pos="153"/>
                <w:tab w:val="left" w:pos="448"/>
                <w:tab w:val="left" w:pos="567"/>
                <w:tab w:val="right" w:pos="8931"/>
              </w:tabs>
              <w:spacing w:before="40"/>
              <w:ind w:left="567" w:hanging="567"/>
              <w:rPr>
                <w:sz w:val="16"/>
                <w:highlight w:val="lightGray"/>
              </w:rPr>
            </w:pPr>
            <w:r w:rsidRPr="00A95FF0">
              <w:rPr>
                <w:sz w:val="16"/>
                <w:highlight w:val="lightGray"/>
              </w:rPr>
              <w:tab/>
              <w:t>(b)</w:t>
            </w:r>
            <w:r w:rsidRPr="00A95FF0">
              <w:rPr>
                <w:sz w:val="16"/>
                <w:highlight w:val="lightGray"/>
              </w:rPr>
              <w:tab/>
              <w:t xml:space="preserve">Breeder's reference: </w:t>
            </w:r>
            <w:r w:rsidRPr="00A95FF0">
              <w:rPr>
                <w:sz w:val="16"/>
                <w:highlight w:val="lightGray"/>
                <w:u w:val="single"/>
              </w:rPr>
              <w:tab/>
            </w:r>
          </w:p>
          <w:p w:rsidR="003435C7" w:rsidRPr="00A95FF0" w:rsidRDefault="003435C7" w:rsidP="00B64E72">
            <w:pPr>
              <w:tabs>
                <w:tab w:val="left" w:pos="567"/>
                <w:tab w:val="right" w:pos="8931"/>
              </w:tabs>
              <w:rPr>
                <w:sz w:val="16"/>
                <w:highlight w:val="lightGray"/>
              </w:rPr>
            </w:pPr>
            <w:r w:rsidRPr="00A95FF0">
              <w:rPr>
                <w:snapToGrid w:val="0"/>
                <w:sz w:val="16"/>
                <w:szCs w:val="22"/>
                <w:highlight w:val="lightGray"/>
              </w:rPr>
              <w:tab/>
            </w:r>
            <w:r w:rsidRPr="00A95FF0">
              <w:rPr>
                <w:i/>
                <w:snapToGrid w:val="0"/>
                <w:sz w:val="16"/>
                <w:szCs w:val="16"/>
                <w:highlight w:val="lightGray"/>
              </w:rPr>
              <w:t>UPOV-A1: 4(b)</w:t>
            </w:r>
            <w:r w:rsidRPr="00A95FF0">
              <w:rPr>
                <w:sz w:val="16"/>
                <w:highlight w:val="lightGray"/>
              </w:rPr>
              <w:t xml:space="preserve"> </w:t>
            </w:r>
          </w:p>
        </w:tc>
        <w:tc>
          <w:tcPr>
            <w:tcW w:w="154" w:type="dxa"/>
            <w:tcBorders>
              <w:top w:val="nil"/>
              <w:bottom w:val="nil"/>
              <w:right w:val="nil"/>
            </w:tcBorders>
          </w:tcPr>
          <w:p w:rsidR="003435C7" w:rsidRPr="00A95FF0" w:rsidRDefault="003435C7" w:rsidP="00BE4B15">
            <w:pPr>
              <w:tabs>
                <w:tab w:val="left" w:pos="198"/>
                <w:tab w:val="left" w:pos="567"/>
                <w:tab w:val="right" w:pos="8931"/>
              </w:tabs>
              <w:spacing w:before="40"/>
              <w:jc w:val="center"/>
              <w:rPr>
                <w:sz w:val="16"/>
                <w:highlight w:val="lightGray"/>
              </w:rPr>
            </w:pPr>
          </w:p>
        </w:tc>
        <w:tc>
          <w:tcPr>
            <w:tcW w:w="1008" w:type="dxa"/>
            <w:tcBorders>
              <w:top w:val="nil"/>
              <w:left w:val="nil"/>
              <w:bottom w:val="nil"/>
              <w:right w:val="nil"/>
            </w:tcBorders>
          </w:tcPr>
          <w:p w:rsidR="003435C7" w:rsidRPr="00A95FF0" w:rsidRDefault="003435C7" w:rsidP="00BE4B15">
            <w:pPr>
              <w:tabs>
                <w:tab w:val="left" w:pos="198"/>
                <w:tab w:val="left" w:pos="567"/>
                <w:tab w:val="right" w:pos="8931"/>
              </w:tabs>
              <w:spacing w:before="40"/>
              <w:rPr>
                <w:sz w:val="16"/>
                <w:highlight w:val="lightGray"/>
              </w:rPr>
            </w:pPr>
          </w:p>
        </w:tc>
      </w:tr>
      <w:tr w:rsidR="00393B23" w:rsidRPr="00A95FF0" w:rsidTr="00990B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3435C7" w:rsidRPr="00A95FF0" w:rsidRDefault="00643761" w:rsidP="00643761">
            <w:pPr>
              <w:tabs>
                <w:tab w:val="left" w:pos="448"/>
                <w:tab w:val="left" w:pos="3686"/>
                <w:tab w:val="left" w:pos="6237"/>
              </w:tabs>
              <w:spacing w:before="40"/>
              <w:rPr>
                <w:sz w:val="16"/>
                <w:highlight w:val="lightGray"/>
              </w:rPr>
            </w:pPr>
            <w:r w:rsidRPr="00A95FF0">
              <w:rPr>
                <w:sz w:val="16"/>
                <w:highlight w:val="lightGray"/>
              </w:rPr>
              <w:t>5.</w:t>
            </w:r>
            <w:r w:rsidR="003435C7" w:rsidRPr="00A95FF0">
              <w:rPr>
                <w:sz w:val="16"/>
                <w:highlight w:val="lightGray"/>
              </w:rPr>
              <w:t>(a)</w:t>
            </w:r>
            <w:r w:rsidR="003435C7" w:rsidRPr="00A95FF0">
              <w:rPr>
                <w:sz w:val="16"/>
                <w:highlight w:val="lightGray"/>
              </w:rPr>
              <w:tab/>
              <w:t>The person(s)</w:t>
            </w:r>
            <w:r w:rsidR="00C26916" w:rsidRPr="00C26916">
              <w:rPr>
                <w:sz w:val="16"/>
                <w:highlight w:val="lightGray"/>
                <w:vertAlign w:val="superscript"/>
              </w:rPr>
              <w:t>2</w:t>
            </w:r>
            <w:r w:rsidR="003435C7" w:rsidRPr="00C26916">
              <w:rPr>
                <w:sz w:val="16"/>
                <w:highlight w:val="lightGray"/>
              </w:rPr>
              <w:t xml:space="preserve"> </w:t>
            </w:r>
            <w:r w:rsidR="003435C7" w:rsidRPr="00A95FF0">
              <w:rPr>
                <w:sz w:val="16"/>
                <w:highlight w:val="lightGray"/>
              </w:rPr>
              <w:t>who bred, or discovered and developed, the variety is (are)</w:t>
            </w:r>
          </w:p>
          <w:p w:rsidR="008C6C0A" w:rsidRPr="00A95FF0" w:rsidRDefault="003435C7" w:rsidP="00C26916">
            <w:pPr>
              <w:tabs>
                <w:tab w:val="left" w:pos="567"/>
                <w:tab w:val="left" w:pos="876"/>
                <w:tab w:val="left" w:pos="3035"/>
                <w:tab w:val="left" w:pos="3402"/>
                <w:tab w:val="left" w:pos="5054"/>
                <w:tab w:val="right" w:pos="8931"/>
              </w:tabs>
              <w:rPr>
                <w:sz w:val="16"/>
                <w:highlight w:val="lightGray"/>
                <w:u w:val="single"/>
              </w:rPr>
            </w:pPr>
            <w:r w:rsidRPr="00A95FF0">
              <w:rPr>
                <w:sz w:val="16"/>
                <w:highlight w:val="lightGray"/>
              </w:rPr>
              <w:tab/>
              <w:t>□</w:t>
            </w:r>
            <w:r w:rsidRPr="00A95FF0">
              <w:rPr>
                <w:sz w:val="16"/>
                <w:highlight w:val="lightGray"/>
              </w:rPr>
              <w:tab/>
              <w:t>the (all) applicant(s)</w:t>
            </w:r>
            <w:r w:rsidRPr="00A95FF0">
              <w:rPr>
                <w:sz w:val="16"/>
                <w:highlight w:val="lightGray"/>
              </w:rPr>
              <w:tab/>
              <w:t xml:space="preserve">□  the following person(s):  </w:t>
            </w:r>
            <w:r w:rsidRPr="00A95FF0">
              <w:rPr>
                <w:sz w:val="16"/>
                <w:highlight w:val="lightGray"/>
              </w:rPr>
              <w:tab/>
            </w:r>
            <w:r w:rsidRPr="00A95FF0">
              <w:rPr>
                <w:sz w:val="16"/>
                <w:highlight w:val="lightGray"/>
                <w:u w:val="single"/>
              </w:rPr>
              <w:tab/>
            </w:r>
          </w:p>
          <w:p w:rsidR="003435C7" w:rsidRPr="00A95FF0" w:rsidRDefault="003435C7" w:rsidP="00643761">
            <w:pPr>
              <w:tabs>
                <w:tab w:val="left" w:pos="1064"/>
                <w:tab w:val="left" w:pos="3402"/>
                <w:tab w:val="left" w:pos="5580"/>
                <w:tab w:val="right" w:pos="8931"/>
              </w:tabs>
              <w:rPr>
                <w:sz w:val="16"/>
                <w:highlight w:val="lightGray"/>
              </w:rPr>
            </w:pPr>
            <w:r w:rsidRPr="00A95FF0">
              <w:rPr>
                <w:snapToGrid w:val="0"/>
                <w:sz w:val="16"/>
                <w:szCs w:val="22"/>
                <w:highlight w:val="lightGray"/>
              </w:rPr>
              <w:tab/>
            </w:r>
            <w:r w:rsidRPr="00A95FF0">
              <w:rPr>
                <w:i/>
                <w:snapToGrid w:val="0"/>
                <w:sz w:val="16"/>
                <w:szCs w:val="16"/>
                <w:highlight w:val="lightGray"/>
              </w:rPr>
              <w:t>UPOV-A1: 5(a)(i)</w:t>
            </w:r>
            <w:r w:rsidRPr="00A95FF0">
              <w:rPr>
                <w:i/>
                <w:snapToGrid w:val="0"/>
                <w:sz w:val="16"/>
                <w:szCs w:val="16"/>
                <w:highlight w:val="lightGray"/>
              </w:rPr>
              <w:tab/>
              <w:t>UPOV-A1: 5(a)(ii)</w:t>
            </w:r>
            <w:r w:rsidRPr="00A95FF0">
              <w:rPr>
                <w:i/>
                <w:snapToGrid w:val="0"/>
                <w:sz w:val="16"/>
                <w:szCs w:val="16"/>
                <w:highlight w:val="lightGray"/>
              </w:rPr>
              <w:tab/>
              <w:t>UPOV-A1: 5(a)(iii)</w:t>
            </w:r>
          </w:p>
          <w:p w:rsidR="008C6C0A" w:rsidRPr="00A95FF0" w:rsidRDefault="003435C7" w:rsidP="00B64E72">
            <w:pPr>
              <w:tabs>
                <w:tab w:val="left" w:pos="153"/>
                <w:tab w:val="left" w:pos="448"/>
              </w:tabs>
              <w:spacing w:before="40"/>
              <w:ind w:left="567" w:hanging="567"/>
              <w:rPr>
                <w:sz w:val="16"/>
                <w:highlight w:val="lightGray"/>
              </w:rPr>
            </w:pPr>
            <w:r w:rsidRPr="00A95FF0">
              <w:rPr>
                <w:sz w:val="16"/>
                <w:highlight w:val="lightGray"/>
              </w:rPr>
              <w:tab/>
              <w:t>(b)</w:t>
            </w:r>
            <w:r w:rsidRPr="00A95FF0">
              <w:rPr>
                <w:sz w:val="16"/>
                <w:highlight w:val="lightGray"/>
              </w:rPr>
              <w:tab/>
              <w:t>To the best of my/our knowledge there is no other person who bred, or discovered and developed the variety.</w:t>
            </w:r>
          </w:p>
          <w:p w:rsidR="003435C7" w:rsidRPr="00A95FF0" w:rsidRDefault="003435C7" w:rsidP="00B64E72">
            <w:pPr>
              <w:tabs>
                <w:tab w:val="left" w:pos="567"/>
              </w:tabs>
              <w:ind w:left="907" w:hanging="907"/>
              <w:rPr>
                <w:sz w:val="16"/>
                <w:highlight w:val="lightGray"/>
              </w:rPr>
            </w:pPr>
            <w:r w:rsidRPr="00A95FF0">
              <w:rPr>
                <w:sz w:val="16"/>
                <w:highlight w:val="lightGray"/>
              </w:rPr>
              <w:tab/>
            </w:r>
            <w:r w:rsidRPr="00A95FF0">
              <w:rPr>
                <w:i/>
                <w:snapToGrid w:val="0"/>
                <w:sz w:val="16"/>
                <w:szCs w:val="16"/>
                <w:highlight w:val="lightGray"/>
              </w:rPr>
              <w:t>UPOV-A1: 5(b)</w:t>
            </w:r>
          </w:p>
          <w:p w:rsidR="003435C7" w:rsidRPr="00A95FF0" w:rsidRDefault="003435C7" w:rsidP="00B64E72">
            <w:pPr>
              <w:tabs>
                <w:tab w:val="left" w:pos="153"/>
                <w:tab w:val="left" w:pos="448"/>
              </w:tabs>
              <w:spacing w:before="40"/>
              <w:ind w:left="567" w:hanging="567"/>
              <w:rPr>
                <w:sz w:val="16"/>
                <w:highlight w:val="lightGray"/>
              </w:rPr>
            </w:pPr>
            <w:r w:rsidRPr="00A95FF0">
              <w:rPr>
                <w:sz w:val="16"/>
                <w:highlight w:val="lightGray"/>
              </w:rPr>
              <w:tab/>
              <w:t>(c)</w:t>
            </w:r>
            <w:r w:rsidRPr="00A95FF0">
              <w:rPr>
                <w:sz w:val="16"/>
                <w:highlight w:val="lightGray"/>
              </w:rPr>
              <w:tab/>
              <w:t>The variety was transferred by the person(s)</w:t>
            </w:r>
            <w:r w:rsidR="00C26916" w:rsidRPr="00C26916">
              <w:rPr>
                <w:sz w:val="16"/>
                <w:highlight w:val="lightGray"/>
                <w:vertAlign w:val="superscript"/>
              </w:rPr>
              <w:t>2</w:t>
            </w:r>
            <w:r w:rsidRPr="00A95FF0">
              <w:rPr>
                <w:sz w:val="16"/>
                <w:highlight w:val="lightGray"/>
              </w:rPr>
              <w:t xml:space="preserve"> who bred, or discovered and developed, the variety to the applicant(s) by:</w:t>
            </w:r>
          </w:p>
          <w:p w:rsidR="008C6C0A" w:rsidRPr="00A95FF0" w:rsidRDefault="003435C7" w:rsidP="00643761">
            <w:pPr>
              <w:tabs>
                <w:tab w:val="left" w:pos="567"/>
                <w:tab w:val="left" w:pos="993"/>
                <w:tab w:val="right" w:pos="8931"/>
              </w:tabs>
              <w:ind w:left="908" w:hanging="908"/>
              <w:rPr>
                <w:sz w:val="16"/>
                <w:highlight w:val="lightGray"/>
                <w:u w:val="single"/>
              </w:rPr>
            </w:pPr>
            <w:r w:rsidRPr="00A95FF0">
              <w:rPr>
                <w:sz w:val="16"/>
                <w:highlight w:val="lightGray"/>
              </w:rPr>
              <w:tab/>
              <w:t>□</w:t>
            </w:r>
            <w:r w:rsidRPr="00A95FF0">
              <w:rPr>
                <w:sz w:val="16"/>
                <w:highlight w:val="lightGray"/>
              </w:rPr>
              <w:tab/>
              <w:t xml:space="preserve">contract  </w:t>
            </w:r>
            <w:r w:rsidRPr="00A95FF0">
              <w:rPr>
                <w:sz w:val="16"/>
                <w:highlight w:val="lightGray"/>
                <w:u w:val="single"/>
              </w:rPr>
              <w:tab/>
            </w:r>
          </w:p>
          <w:p w:rsidR="003435C7" w:rsidRPr="00A95FF0" w:rsidRDefault="008C6C0A" w:rsidP="00643761">
            <w:pPr>
              <w:tabs>
                <w:tab w:val="left" w:pos="1050"/>
                <w:tab w:val="right" w:pos="8931"/>
              </w:tabs>
              <w:rPr>
                <w:sz w:val="16"/>
                <w:highlight w:val="lightGray"/>
              </w:rPr>
            </w:pPr>
            <w:r w:rsidRPr="00A95FF0">
              <w:rPr>
                <w:sz w:val="16"/>
                <w:highlight w:val="lightGray"/>
              </w:rPr>
              <w:tab/>
            </w:r>
            <w:r w:rsidR="003435C7" w:rsidRPr="00A95FF0">
              <w:rPr>
                <w:i/>
                <w:snapToGrid w:val="0"/>
                <w:sz w:val="16"/>
                <w:szCs w:val="16"/>
                <w:highlight w:val="lightGray"/>
              </w:rPr>
              <w:t>UPOV-A1: 5(c)(i)</w:t>
            </w:r>
          </w:p>
          <w:p w:rsidR="008C6C0A" w:rsidRPr="00A95FF0" w:rsidRDefault="003435C7" w:rsidP="00643761">
            <w:pPr>
              <w:tabs>
                <w:tab w:val="left" w:pos="567"/>
                <w:tab w:val="left" w:pos="993"/>
                <w:tab w:val="right" w:pos="8931"/>
              </w:tabs>
              <w:ind w:left="908" w:hanging="908"/>
              <w:rPr>
                <w:sz w:val="16"/>
                <w:highlight w:val="lightGray"/>
                <w:u w:val="single"/>
              </w:rPr>
            </w:pPr>
            <w:r w:rsidRPr="00A95FF0">
              <w:rPr>
                <w:sz w:val="16"/>
                <w:highlight w:val="lightGray"/>
              </w:rPr>
              <w:tab/>
              <w:t>□</w:t>
            </w:r>
            <w:r w:rsidRPr="00A95FF0">
              <w:rPr>
                <w:sz w:val="16"/>
                <w:highlight w:val="lightGray"/>
              </w:rPr>
              <w:tab/>
              <w:t xml:space="preserve">succession  </w:t>
            </w:r>
            <w:r w:rsidRPr="00A95FF0">
              <w:rPr>
                <w:sz w:val="16"/>
                <w:highlight w:val="lightGray"/>
                <w:u w:val="single"/>
              </w:rPr>
              <w:tab/>
            </w:r>
          </w:p>
          <w:p w:rsidR="003435C7" w:rsidRPr="00A95FF0" w:rsidRDefault="008C6C0A" w:rsidP="00643761">
            <w:pPr>
              <w:tabs>
                <w:tab w:val="left" w:pos="1050"/>
                <w:tab w:val="right" w:pos="8931"/>
              </w:tabs>
              <w:rPr>
                <w:sz w:val="16"/>
                <w:highlight w:val="lightGray"/>
              </w:rPr>
            </w:pPr>
            <w:r w:rsidRPr="00A95FF0">
              <w:rPr>
                <w:sz w:val="16"/>
                <w:highlight w:val="lightGray"/>
              </w:rPr>
              <w:tab/>
            </w:r>
            <w:r w:rsidR="003435C7" w:rsidRPr="00A95FF0">
              <w:rPr>
                <w:i/>
                <w:snapToGrid w:val="0"/>
                <w:sz w:val="16"/>
                <w:szCs w:val="16"/>
                <w:highlight w:val="lightGray"/>
              </w:rPr>
              <w:t>UPOV-A1: 5(c)(ii)</w:t>
            </w:r>
          </w:p>
          <w:p w:rsidR="008C6C0A" w:rsidRPr="00A95FF0" w:rsidRDefault="003435C7" w:rsidP="00643761">
            <w:pPr>
              <w:tabs>
                <w:tab w:val="left" w:pos="567"/>
                <w:tab w:val="left" w:pos="993"/>
                <w:tab w:val="left" w:pos="4500"/>
                <w:tab w:val="right" w:pos="8931"/>
              </w:tabs>
              <w:ind w:left="851" w:hanging="851"/>
              <w:rPr>
                <w:sz w:val="16"/>
                <w:highlight w:val="lightGray"/>
                <w:u w:val="single"/>
              </w:rPr>
            </w:pPr>
            <w:r w:rsidRPr="00A95FF0">
              <w:rPr>
                <w:sz w:val="16"/>
                <w:highlight w:val="lightGray"/>
              </w:rPr>
              <w:tab/>
              <w:t>□</w:t>
            </w:r>
            <w:r w:rsidRPr="00A95FF0">
              <w:rPr>
                <w:sz w:val="16"/>
                <w:highlight w:val="lightGray"/>
              </w:rPr>
              <w:tab/>
              <w:t xml:space="preserve">other (specify)  </w:t>
            </w:r>
            <w:r w:rsidRPr="00A95FF0">
              <w:rPr>
                <w:sz w:val="16"/>
                <w:highlight w:val="lightGray"/>
                <w:u w:val="single"/>
              </w:rPr>
              <w:tab/>
            </w:r>
            <w:r w:rsidRPr="00A95FF0">
              <w:rPr>
                <w:sz w:val="16"/>
                <w:highlight w:val="lightGray"/>
                <w:u w:val="single"/>
              </w:rPr>
              <w:tab/>
            </w:r>
          </w:p>
          <w:p w:rsidR="003435C7" w:rsidRPr="00A95FF0" w:rsidRDefault="00643761" w:rsidP="00643761">
            <w:pPr>
              <w:tabs>
                <w:tab w:val="left" w:pos="1050"/>
                <w:tab w:val="left" w:pos="4500"/>
                <w:tab w:val="right" w:pos="8931"/>
              </w:tabs>
              <w:rPr>
                <w:sz w:val="16"/>
                <w:highlight w:val="lightGray"/>
                <w:u w:val="single"/>
              </w:rPr>
            </w:pPr>
            <w:r w:rsidRPr="00A95FF0">
              <w:rPr>
                <w:sz w:val="16"/>
                <w:highlight w:val="lightGray"/>
              </w:rPr>
              <w:tab/>
            </w:r>
            <w:r w:rsidR="003435C7" w:rsidRPr="00A95FF0">
              <w:rPr>
                <w:i/>
                <w:snapToGrid w:val="0"/>
                <w:sz w:val="16"/>
                <w:szCs w:val="16"/>
                <w:highlight w:val="lightGray"/>
              </w:rPr>
              <w:t>UPOV-A1: 5(c)(iii)</w:t>
            </w:r>
            <w:r w:rsidR="003435C7" w:rsidRPr="00A95FF0">
              <w:rPr>
                <w:i/>
                <w:snapToGrid w:val="0"/>
                <w:sz w:val="16"/>
                <w:szCs w:val="16"/>
                <w:highlight w:val="lightGray"/>
              </w:rPr>
              <w:tab/>
              <w:t xml:space="preserve"> UPOV-A1: 5(c)(iv)</w:t>
            </w:r>
          </w:p>
          <w:p w:rsidR="008C6C0A" w:rsidRPr="00A95FF0" w:rsidRDefault="003435C7" w:rsidP="00B64E72">
            <w:pPr>
              <w:tabs>
                <w:tab w:val="left" w:pos="153"/>
                <w:tab w:val="left" w:pos="448"/>
                <w:tab w:val="left" w:pos="993"/>
                <w:tab w:val="right" w:pos="8931"/>
              </w:tabs>
              <w:spacing w:before="40"/>
              <w:ind w:left="851" w:hanging="851"/>
              <w:rPr>
                <w:sz w:val="16"/>
                <w:highlight w:val="lightGray"/>
                <w:u w:val="single"/>
              </w:rPr>
            </w:pPr>
            <w:r w:rsidRPr="00A95FF0">
              <w:rPr>
                <w:sz w:val="16"/>
                <w:highlight w:val="lightGray"/>
              </w:rPr>
              <w:tab/>
              <w:t>(d)</w:t>
            </w:r>
            <w:r w:rsidRPr="00A95FF0">
              <w:rPr>
                <w:sz w:val="16"/>
                <w:highlight w:val="lightGray"/>
              </w:rPr>
              <w:tab/>
              <w:t xml:space="preserve">The variety was bred in (State(s)):  </w:t>
            </w:r>
            <w:r w:rsidRPr="00A95FF0">
              <w:rPr>
                <w:sz w:val="16"/>
                <w:highlight w:val="lightGray"/>
                <w:u w:val="single"/>
              </w:rPr>
              <w:tab/>
            </w:r>
          </w:p>
          <w:p w:rsidR="003435C7" w:rsidRPr="00A95FF0" w:rsidRDefault="00643761" w:rsidP="00B64E72">
            <w:pPr>
              <w:tabs>
                <w:tab w:val="left" w:pos="567"/>
                <w:tab w:val="right" w:pos="8931"/>
              </w:tabs>
              <w:spacing w:after="40"/>
              <w:ind w:left="851" w:hanging="851"/>
              <w:rPr>
                <w:sz w:val="16"/>
                <w:highlight w:val="lightGray"/>
                <w:u w:val="single"/>
              </w:rPr>
            </w:pPr>
            <w:r w:rsidRPr="00A95FF0">
              <w:rPr>
                <w:i/>
                <w:snapToGrid w:val="0"/>
                <w:sz w:val="16"/>
                <w:szCs w:val="16"/>
                <w:highlight w:val="lightGray"/>
              </w:rPr>
              <w:tab/>
            </w:r>
            <w:r w:rsidR="003435C7" w:rsidRPr="00A95FF0">
              <w:rPr>
                <w:i/>
                <w:snapToGrid w:val="0"/>
                <w:sz w:val="16"/>
                <w:szCs w:val="16"/>
                <w:highlight w:val="lightGray"/>
              </w:rPr>
              <w:t>UPOV-A1: 5(d)</w:t>
            </w:r>
          </w:p>
        </w:tc>
        <w:tc>
          <w:tcPr>
            <w:tcW w:w="154" w:type="dxa"/>
            <w:tcBorders>
              <w:top w:val="nil"/>
              <w:bottom w:val="nil"/>
              <w:right w:val="nil"/>
            </w:tcBorders>
          </w:tcPr>
          <w:p w:rsidR="003435C7" w:rsidRPr="00A95FF0" w:rsidRDefault="003435C7" w:rsidP="00BE4B15">
            <w:pPr>
              <w:tabs>
                <w:tab w:val="left" w:pos="198"/>
                <w:tab w:val="left" w:pos="567"/>
                <w:tab w:val="left" w:pos="3686"/>
                <w:tab w:val="left" w:pos="6237"/>
              </w:tabs>
              <w:spacing w:before="40"/>
              <w:jc w:val="center"/>
              <w:rPr>
                <w:sz w:val="16"/>
                <w:highlight w:val="lightGray"/>
              </w:rPr>
            </w:pPr>
          </w:p>
        </w:tc>
        <w:tc>
          <w:tcPr>
            <w:tcW w:w="1008" w:type="dxa"/>
            <w:tcBorders>
              <w:top w:val="nil"/>
              <w:left w:val="nil"/>
              <w:bottom w:val="nil"/>
              <w:right w:val="nil"/>
            </w:tcBorders>
          </w:tcPr>
          <w:p w:rsidR="003435C7" w:rsidRPr="00A95FF0" w:rsidRDefault="003435C7" w:rsidP="00BE4B15">
            <w:pPr>
              <w:tabs>
                <w:tab w:val="left" w:pos="198"/>
                <w:tab w:val="left" w:pos="567"/>
                <w:tab w:val="left" w:pos="3686"/>
                <w:tab w:val="left" w:pos="6237"/>
              </w:tabs>
              <w:spacing w:before="40"/>
              <w:rPr>
                <w:sz w:val="16"/>
                <w:highlight w:val="lightGray"/>
              </w:rPr>
            </w:pPr>
          </w:p>
        </w:tc>
      </w:tr>
    </w:tbl>
    <w:p w:rsidR="003435C7" w:rsidRPr="00A95FF0" w:rsidRDefault="003435C7" w:rsidP="00A35481">
      <w:pPr>
        <w:spacing w:line="360" w:lineRule="auto"/>
        <w:rPr>
          <w:highlight w:val="lightGray"/>
        </w:rPr>
      </w:pPr>
    </w:p>
    <w:p w:rsidR="00DA4586" w:rsidRPr="00A95FF0" w:rsidRDefault="00DA4586" w:rsidP="000A32D0">
      <w:pPr>
        <w:pStyle w:val="Heading4"/>
        <w:rPr>
          <w:highlight w:val="lightGray"/>
        </w:rPr>
      </w:pPr>
      <w:bookmarkStart w:id="56" w:name="_Toc378597575"/>
      <w:bookmarkStart w:id="57" w:name="_Toc381102845"/>
      <w:bookmarkStart w:id="58" w:name="_Toc381102875"/>
      <w:r w:rsidRPr="00A95FF0">
        <w:rPr>
          <w:highlight w:val="lightGray"/>
        </w:rPr>
        <w:t>Technical Questionnaire</w:t>
      </w:r>
      <w:bookmarkEnd w:id="56"/>
      <w:bookmarkEnd w:id="57"/>
      <w:bookmarkEnd w:id="58"/>
    </w:p>
    <w:p w:rsidR="00DA4586" w:rsidRPr="00A95FF0" w:rsidRDefault="00DA4586" w:rsidP="00DA4586">
      <w:pPr>
        <w:keepNext/>
        <w:rPr>
          <w:highlight w:val="lightGray"/>
        </w:rPr>
      </w:pPr>
    </w:p>
    <w:p w:rsidR="00DA4586" w:rsidRPr="00A95FF0" w:rsidRDefault="00F117F1" w:rsidP="00CA277D">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To help in the process of examining varieties, certain information is requested from the breeder, usually through a Technical Questionnaire to be submitted with the application.  The Technical Questionnaire seeks information on specific characteristics of importance for distinguishing varieties, information on the breeding scheme of the variety and any other information which may help to distinguish the variety.  It also requests the breeder to identify similar varieties and characteristics by which the candidate may be distinguished from these similar varieties.  Where UPOV has developed “Guidelines for the Conduct of Tests for Distinctness, Uniformity and Stability,” or “Test Guidelines”, for individual species or other variety groupings (see </w:t>
      </w:r>
      <w:hyperlink r:id="rId41" w:history="1">
        <w:r w:rsidR="00DA4586" w:rsidRPr="00A95FF0">
          <w:rPr>
            <w:rFonts w:cs="Arial"/>
            <w:color w:val="0000FF"/>
            <w:highlight w:val="lightGray"/>
            <w:u w:val="single"/>
          </w:rPr>
          <w:t>http://www.upov.int/test_guidelines/en/</w:t>
        </w:r>
      </w:hyperlink>
      <w:r w:rsidR="00DA4586" w:rsidRPr="00A95FF0">
        <w:rPr>
          <w:highlight w:val="lightGray"/>
        </w:rPr>
        <w:t xml:space="preserve">), the Test Guidelines provide a model Technical Questionnaire in Chapter 10.  </w:t>
      </w:r>
    </w:p>
    <w:p w:rsidR="005F5666" w:rsidRPr="00A95FF0" w:rsidRDefault="005F5666" w:rsidP="00DA4586">
      <w:pPr>
        <w:rPr>
          <w:highlight w:val="lightGray"/>
        </w:rPr>
      </w:pPr>
    </w:p>
    <w:p w:rsidR="00DA4586" w:rsidRPr="00BE4B15" w:rsidRDefault="00DA4586" w:rsidP="000A32D0">
      <w:pPr>
        <w:pStyle w:val="Heading4"/>
        <w:rPr>
          <w:highlight w:val="lightGray"/>
          <w:lang w:val="en-US"/>
        </w:rPr>
      </w:pPr>
      <w:bookmarkStart w:id="59" w:name="_Toc378597576"/>
      <w:bookmarkStart w:id="60" w:name="_Toc381102846"/>
      <w:bookmarkStart w:id="61" w:name="_Toc381102876"/>
      <w:r w:rsidRPr="00BE4B15">
        <w:rPr>
          <w:highlight w:val="lightGray"/>
          <w:lang w:val="en-US"/>
        </w:rPr>
        <w:lastRenderedPageBreak/>
        <w:t>Sample of the Variety</w:t>
      </w:r>
      <w:bookmarkEnd w:id="59"/>
      <w:bookmarkEnd w:id="60"/>
      <w:bookmarkEnd w:id="61"/>
    </w:p>
    <w:p w:rsidR="00DA4586" w:rsidRPr="00A95FF0" w:rsidRDefault="00DA4586" w:rsidP="00DA4586">
      <w:pPr>
        <w:keepNext/>
        <w:rPr>
          <w:highlight w:val="lightGray"/>
        </w:rPr>
      </w:pPr>
    </w:p>
    <w:p w:rsidR="00DA4586" w:rsidRPr="00A95FF0" w:rsidRDefault="00F117F1"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Document TGP/5 “Experience and Cooperation in DUS Testing”, Section 4 “UPOV Model Form for the Designation of the Sample of the Variety” provides a model to be used in conjunction with the plant material submitted for the examination of candidate varieties.</w:t>
      </w:r>
    </w:p>
    <w:p w:rsidR="00DA4586" w:rsidRPr="00A95FF0" w:rsidRDefault="00DA4586" w:rsidP="00A35481">
      <w:pPr>
        <w:spacing w:line="360" w:lineRule="auto"/>
        <w:rPr>
          <w:highlight w:val="lightGray"/>
        </w:rPr>
      </w:pPr>
    </w:p>
    <w:p w:rsidR="00DA4586" w:rsidRPr="00A95FF0" w:rsidRDefault="00DA4586" w:rsidP="002F19B7">
      <w:pPr>
        <w:pStyle w:val="Heading3"/>
        <w:rPr>
          <w:highlight w:val="lightGray"/>
        </w:rPr>
      </w:pPr>
      <w:bookmarkStart w:id="62" w:name="_Toc378597578"/>
      <w:bookmarkStart w:id="63" w:name="_Toc381102847"/>
      <w:bookmarkStart w:id="64" w:name="_Toc381102877"/>
      <w:bookmarkStart w:id="65" w:name="_Toc412041268"/>
      <w:r w:rsidRPr="00A95FF0">
        <w:rPr>
          <w:highlight w:val="lightGray"/>
        </w:rPr>
        <w:t>Assigning filing date</w:t>
      </w:r>
      <w:bookmarkEnd w:id="62"/>
      <w:bookmarkEnd w:id="63"/>
      <w:bookmarkEnd w:id="64"/>
      <w:bookmarkEnd w:id="65"/>
    </w:p>
    <w:p w:rsidR="00DA4586" w:rsidRPr="00A95FF0" w:rsidRDefault="00DA4586" w:rsidP="00DA4586">
      <w:pPr>
        <w:keepNext/>
        <w:rPr>
          <w:highlight w:val="lightGray"/>
          <w:u w:val="single"/>
        </w:rPr>
      </w:pPr>
    </w:p>
    <w:p w:rsidR="00DA4586" w:rsidRPr="00A95FF0" w:rsidRDefault="00C9331D"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Applications received by the PBR Office need to be assigned a date of filing. This step is relevant for the examination of novelty (see Module 4 “Examining Novelty”) and distinctness (see Module 9 “Examining Distinctness”). </w:t>
      </w:r>
    </w:p>
    <w:p w:rsidR="00DA4586" w:rsidRPr="00A95FF0" w:rsidRDefault="00DA4586" w:rsidP="00DA4586">
      <w:pPr>
        <w:rPr>
          <w:highlight w:val="lightGray"/>
        </w:rPr>
      </w:pPr>
    </w:p>
    <w:p w:rsidR="00DA4586" w:rsidRPr="00A95FF0" w:rsidRDefault="00C9331D" w:rsidP="00DA4586">
      <w:pPr>
        <w:rPr>
          <w:highlight w:val="lightGray"/>
        </w:rPr>
      </w:pPr>
      <w:r w:rsidRPr="00A95FF0">
        <w:rPr>
          <w:szCs w:val="22"/>
          <w:highlight w:val="lightGray"/>
        </w:rPr>
        <w:fldChar w:fldCharType="begin"/>
      </w:r>
      <w:r w:rsidRPr="00A95FF0">
        <w:rPr>
          <w:szCs w:val="22"/>
          <w:highlight w:val="lightGray"/>
        </w:rPr>
        <w:instrText xml:space="preserve"> AUTONUM  </w:instrText>
      </w:r>
      <w:r w:rsidRPr="00A95FF0">
        <w:rPr>
          <w:szCs w:val="22"/>
          <w:highlight w:val="lightGray"/>
        </w:rPr>
        <w:fldChar w:fldCharType="end"/>
      </w:r>
      <w:r w:rsidRPr="00A95FF0">
        <w:rPr>
          <w:szCs w:val="22"/>
          <w:highlight w:val="lightGray"/>
        </w:rPr>
        <w:tab/>
      </w:r>
      <w:r w:rsidR="00DA4586" w:rsidRPr="00A95FF0">
        <w:rPr>
          <w:szCs w:val="22"/>
          <w:highlight w:val="lightGray"/>
        </w:rPr>
        <w:t>The UPOV Convention provides for a right of priority of 12 months, based upon an earlier application for the protection of the same variety with another UPOV member, whereby a subsequent application is treated as if it were filed on the filing date of the first application.  The right of priority has effects for the examination of the novelty and distinctness conditions and proposed denominations</w:t>
      </w:r>
      <w:r w:rsidR="00DA4586" w:rsidRPr="00A95FF0">
        <w:rPr>
          <w:highlight w:val="lightGray"/>
        </w:rPr>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42" w:history="1">
        <w:r w:rsidR="00DA4586" w:rsidRPr="00A95FF0">
          <w:rPr>
            <w:color w:val="0000FF"/>
            <w:highlight w:val="lightGray"/>
            <w:u w:val="single"/>
          </w:rPr>
          <w:t>http://www.upov.int/explanatory_notes/en/</w:t>
        </w:r>
      </w:hyperlink>
      <w:r w:rsidR="00DA4586" w:rsidRPr="00A95FF0">
        <w:rPr>
          <w:highlight w:val="lightGray"/>
        </w:rPr>
        <w:t>).</w:t>
      </w:r>
    </w:p>
    <w:p w:rsidR="00DA4586" w:rsidRPr="00A95FF0" w:rsidRDefault="00DA4586" w:rsidP="00A35481">
      <w:pPr>
        <w:spacing w:line="360" w:lineRule="auto"/>
        <w:rPr>
          <w:highlight w:val="lightGray"/>
        </w:rPr>
      </w:pPr>
    </w:p>
    <w:p w:rsidR="00DA4586" w:rsidRPr="00A95FF0" w:rsidRDefault="00ED109B" w:rsidP="002F19B7">
      <w:pPr>
        <w:pStyle w:val="Heading3"/>
        <w:rPr>
          <w:highlight w:val="lightGray"/>
        </w:rPr>
      </w:pPr>
      <w:bookmarkStart w:id="66" w:name="_Toc378597579"/>
      <w:bookmarkStart w:id="67" w:name="_Toc381102848"/>
      <w:bookmarkStart w:id="68" w:name="_Toc381102878"/>
      <w:bookmarkStart w:id="69" w:name="_Toc412041269"/>
      <w:r w:rsidRPr="00A95FF0">
        <w:rPr>
          <w:highlight w:val="lightGray"/>
        </w:rPr>
        <w:t>Application duly filed (see note (b) in the flow diagram in Section 1)</w:t>
      </w:r>
      <w:bookmarkEnd w:id="66"/>
      <w:bookmarkEnd w:id="67"/>
      <w:bookmarkEnd w:id="68"/>
      <w:bookmarkEnd w:id="69"/>
    </w:p>
    <w:p w:rsidR="00DA4586" w:rsidRPr="00A95FF0" w:rsidRDefault="00DA4586" w:rsidP="00DA4586">
      <w:pPr>
        <w:rPr>
          <w:highlight w:val="lightGray"/>
        </w:rPr>
      </w:pPr>
    </w:p>
    <w:p w:rsidR="00DA4586" w:rsidRPr="00A95FF0" w:rsidRDefault="00C9331D"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Applications need to be checked for compliance with the applicable formalities and fee requirements in order to be considered as a duly filed application.  In order for an application to be duly filed it must be submitted by a person that is entitled to a breeder’s right (see Module 3 “Entitlement to a breeder’s right”).</w:t>
      </w:r>
    </w:p>
    <w:p w:rsidR="00DA4586" w:rsidRPr="00A95FF0" w:rsidRDefault="00DA4586" w:rsidP="00DA4586">
      <w:pPr>
        <w:rPr>
          <w:highlight w:val="lightGray"/>
        </w:rPr>
      </w:pPr>
    </w:p>
    <w:p w:rsidR="00DA4586" w:rsidRPr="00A95FF0" w:rsidRDefault="00C9331D"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Duly filed applications need to be prepared for publication by the case officer or person in charge of the initial processing of the application forms. Information should also be provided for other concerned officers within the PBR Office to prepare for the subsequent steps of the examination. </w:t>
      </w:r>
    </w:p>
    <w:p w:rsidR="00DA4586" w:rsidRPr="00A95FF0" w:rsidRDefault="00DA4586" w:rsidP="00A35481">
      <w:pPr>
        <w:spacing w:line="360" w:lineRule="auto"/>
        <w:rPr>
          <w:highlight w:val="lightGray"/>
        </w:rPr>
      </w:pPr>
    </w:p>
    <w:p w:rsidR="00DA4586" w:rsidRPr="00A95FF0" w:rsidRDefault="00C9331D" w:rsidP="002F19B7">
      <w:pPr>
        <w:pStyle w:val="Heading3"/>
        <w:rPr>
          <w:highlight w:val="lightGray"/>
        </w:rPr>
      </w:pPr>
      <w:bookmarkStart w:id="70" w:name="_Toc378597580"/>
      <w:bookmarkStart w:id="71" w:name="_Toc381102849"/>
      <w:bookmarkStart w:id="72" w:name="_Toc381102879"/>
      <w:bookmarkStart w:id="73" w:name="_Toc412041270"/>
      <w:r w:rsidRPr="00A95FF0">
        <w:rPr>
          <w:highlight w:val="lightGray"/>
        </w:rPr>
        <w:t>Publication (see note (c) in the flow diagram in Section 1)</w:t>
      </w:r>
      <w:bookmarkEnd w:id="70"/>
      <w:bookmarkEnd w:id="71"/>
      <w:bookmarkEnd w:id="72"/>
      <w:bookmarkEnd w:id="73"/>
    </w:p>
    <w:p w:rsidR="00DA4586" w:rsidRPr="00A95FF0" w:rsidRDefault="00DA4586" w:rsidP="00DA4586">
      <w:pPr>
        <w:rPr>
          <w:highlight w:val="lightGray"/>
        </w:rPr>
      </w:pPr>
    </w:p>
    <w:p w:rsidR="00DA4586" w:rsidRPr="00A95FF0" w:rsidRDefault="00DA4586" w:rsidP="00455D1A">
      <w:pPr>
        <w:rPr>
          <w:highlight w:val="lightGray"/>
        </w:rPr>
      </w:pPr>
      <w:r w:rsidRPr="00A95FF0">
        <w:rPr>
          <w:highlight w:val="lightGray"/>
        </w:rPr>
        <w:t xml:space="preserve">See </w:t>
      </w:r>
      <w:hyperlink r:id="rId43" w:history="1">
        <w:r w:rsidR="00C9331D" w:rsidRPr="00A95FF0">
          <w:rPr>
            <w:rStyle w:val="Hyperlink"/>
            <w:highlight w:val="lightGray"/>
          </w:rPr>
          <w:t>UPOV/INF/5</w:t>
        </w:r>
      </w:hyperlink>
      <w:r w:rsidR="00C9331D" w:rsidRPr="00A95FF0">
        <w:rPr>
          <w:highlight w:val="lightGray"/>
        </w:rPr>
        <w:t xml:space="preserve"> “UPOV Model Plant Breeders’ Rights Gazette”.</w:t>
      </w:r>
    </w:p>
    <w:p w:rsidR="00DA4586" w:rsidRPr="00A95FF0" w:rsidRDefault="00DA4586" w:rsidP="00A35481">
      <w:pPr>
        <w:spacing w:line="360" w:lineRule="auto"/>
        <w:rPr>
          <w:highlight w:val="lightGray"/>
        </w:rPr>
      </w:pPr>
    </w:p>
    <w:p w:rsidR="00DA4586" w:rsidRPr="00A95FF0" w:rsidRDefault="00C9331D" w:rsidP="002F19B7">
      <w:pPr>
        <w:pStyle w:val="Heading3"/>
        <w:rPr>
          <w:highlight w:val="lightGray"/>
        </w:rPr>
      </w:pPr>
      <w:bookmarkStart w:id="74" w:name="_Toc378597581"/>
      <w:bookmarkStart w:id="75" w:name="_Toc381102850"/>
      <w:bookmarkStart w:id="76" w:name="_Toc381102880"/>
      <w:bookmarkStart w:id="77" w:name="_Toc412041271"/>
      <w:r w:rsidRPr="00A95FF0">
        <w:rPr>
          <w:highlight w:val="lightGray"/>
        </w:rPr>
        <w:t>Examination of requirements (see note (d) in the flow diagram in Section 1)</w:t>
      </w:r>
      <w:bookmarkEnd w:id="74"/>
      <w:bookmarkEnd w:id="75"/>
      <w:bookmarkEnd w:id="76"/>
      <w:bookmarkEnd w:id="77"/>
    </w:p>
    <w:p w:rsidR="00DA4586" w:rsidRPr="00A95FF0" w:rsidRDefault="00DA4586" w:rsidP="00DA4586">
      <w:pPr>
        <w:rPr>
          <w:highlight w:val="lightGray"/>
        </w:rPr>
      </w:pPr>
    </w:p>
    <w:p w:rsidR="00DA4586" w:rsidRPr="00A95FF0" w:rsidRDefault="00C9331D"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The examination of novelty, proposed denomination and DUS should be conducted in parallel in order to avoid a delay in the grant of the breeders’ rights. In particular, the UPOV Convention requires that the denomination shall be registered by the PBR Office at the same time as the breeder's right is granted (Article </w:t>
      </w:r>
      <w:bookmarkStart w:id="78" w:name="_GoBack"/>
      <w:bookmarkEnd w:id="78"/>
      <w:r w:rsidR="00DA4586" w:rsidRPr="00A95FF0">
        <w:rPr>
          <w:highlight w:val="lightGray"/>
        </w:rPr>
        <w:t>20(3) of the 1991 Act and Article 13(3) of the 1978 Act). There are different options for administration of the examination. For example, one person may be designated to act as a “case officer” responsible for the administration of all the aspects of the above mentioned examination, or there may be specialized professionals for individual parts of the work.</w:t>
      </w:r>
    </w:p>
    <w:p w:rsidR="00DA4586" w:rsidRPr="00A95FF0" w:rsidRDefault="00DA4586" w:rsidP="00DA4586">
      <w:pPr>
        <w:rPr>
          <w:highlight w:val="lightGray"/>
        </w:rPr>
      </w:pPr>
    </w:p>
    <w:p w:rsidR="00DA4586" w:rsidRPr="00A95FF0" w:rsidRDefault="00C9331D"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 xml:space="preserve">For the </w:t>
      </w:r>
      <w:r w:rsidR="00DA4586" w:rsidRPr="00A95FF0">
        <w:rPr>
          <w:highlight w:val="lightGray"/>
        </w:rPr>
        <w:t xml:space="preserve">examination of the denomination </w:t>
      </w:r>
      <w:r w:rsidRPr="00A95FF0">
        <w:rPr>
          <w:highlight w:val="lightGray"/>
        </w:rPr>
        <w:t xml:space="preserve">see </w:t>
      </w:r>
      <w:r w:rsidR="00326F73" w:rsidRPr="00A95FF0">
        <w:rPr>
          <w:highlight w:val="lightGray"/>
        </w:rPr>
        <w:t>“</w:t>
      </w:r>
      <w:r w:rsidRPr="00A95FF0">
        <w:rPr>
          <w:highlight w:val="lightGray"/>
        </w:rPr>
        <w:t>Explanatory Notes on Variety Denominations under the UPOV Convention</w:t>
      </w:r>
      <w:r w:rsidR="00326F73" w:rsidRPr="00A95FF0">
        <w:rPr>
          <w:highlight w:val="lightGray"/>
        </w:rPr>
        <w:t>”</w:t>
      </w:r>
      <w:r w:rsidRPr="00A95FF0">
        <w:rPr>
          <w:highlight w:val="lightGray"/>
        </w:rPr>
        <w:t xml:space="preserve"> (document </w:t>
      </w:r>
      <w:hyperlink r:id="rId44" w:history="1">
        <w:r w:rsidRPr="00A95FF0">
          <w:rPr>
            <w:rStyle w:val="Hyperlink"/>
            <w:highlight w:val="lightGray"/>
          </w:rPr>
          <w:t>UPOV/INF/12</w:t>
        </w:r>
      </w:hyperlink>
      <w:r w:rsidRPr="00A95FF0">
        <w:rPr>
          <w:highlight w:val="lightGray"/>
        </w:rPr>
        <w:t>)</w:t>
      </w:r>
      <w:r w:rsidR="00DA4586" w:rsidRPr="00A95FF0">
        <w:rPr>
          <w:highlight w:val="lightGray"/>
        </w:rPr>
        <w:t>.</w:t>
      </w:r>
      <w:r w:rsidR="00B6228C" w:rsidRPr="00A95FF0">
        <w:rPr>
          <w:highlight w:val="lightGray"/>
        </w:rPr>
        <w:t xml:space="preserve"> </w:t>
      </w:r>
      <w:r w:rsidR="00DA4586" w:rsidRPr="00A95FF0">
        <w:rPr>
          <w:highlight w:val="lightGray"/>
        </w:rPr>
        <w:t xml:space="preserve"> </w:t>
      </w:r>
      <w:r w:rsidRPr="00A95FF0">
        <w:rPr>
          <w:highlight w:val="lightGray"/>
        </w:rPr>
        <w:t>For the</w:t>
      </w:r>
      <w:r w:rsidR="00DA4586" w:rsidRPr="00A95FF0">
        <w:rPr>
          <w:highlight w:val="lightGray"/>
        </w:rPr>
        <w:t xml:space="preserve"> examination of novelty </w:t>
      </w:r>
      <w:r w:rsidR="00795845" w:rsidRPr="00A95FF0">
        <w:rPr>
          <w:highlight w:val="lightGray"/>
        </w:rPr>
        <w:t xml:space="preserve">see </w:t>
      </w:r>
      <w:r w:rsidR="00326F73" w:rsidRPr="00A95FF0">
        <w:rPr>
          <w:highlight w:val="lightGray"/>
        </w:rPr>
        <w:t>“</w:t>
      </w:r>
      <w:r w:rsidR="00795845" w:rsidRPr="00A95FF0">
        <w:rPr>
          <w:highlight w:val="lightGray"/>
        </w:rPr>
        <w:t>Explanatory Notes on Novelty under the UPOV Convention</w:t>
      </w:r>
      <w:r w:rsidR="00326F73" w:rsidRPr="00A95FF0">
        <w:rPr>
          <w:highlight w:val="lightGray"/>
        </w:rPr>
        <w:t>”</w:t>
      </w:r>
      <w:r w:rsidR="00795845" w:rsidRPr="00A95FF0">
        <w:rPr>
          <w:highlight w:val="lightGray"/>
        </w:rPr>
        <w:t xml:space="preserve"> (document </w:t>
      </w:r>
      <w:hyperlink r:id="rId45" w:history="1">
        <w:r w:rsidR="00795845" w:rsidRPr="00A95FF0">
          <w:rPr>
            <w:rStyle w:val="Hyperlink"/>
            <w:highlight w:val="lightGray"/>
          </w:rPr>
          <w:t>UPOV/EXN/NOV</w:t>
        </w:r>
      </w:hyperlink>
      <w:r w:rsidR="00B6228C" w:rsidRPr="00A95FF0">
        <w:rPr>
          <w:highlight w:val="lightGray"/>
        </w:rPr>
        <w:t>).</w:t>
      </w:r>
      <w:r w:rsidR="00DA4586" w:rsidRPr="00A95FF0">
        <w:rPr>
          <w:highlight w:val="lightGray"/>
        </w:rPr>
        <w:t xml:space="preserve"> </w:t>
      </w:r>
    </w:p>
    <w:p w:rsidR="00795845" w:rsidRPr="00A95FF0" w:rsidRDefault="00795845" w:rsidP="00B6228C">
      <w:pPr>
        <w:rPr>
          <w:highlight w:val="lightGray"/>
        </w:rPr>
      </w:pPr>
    </w:p>
    <w:p w:rsidR="00795845" w:rsidRPr="00A95FF0" w:rsidRDefault="00795845" w:rsidP="00795845">
      <w:pPr>
        <w:rPr>
          <w:rFonts w:cs="Arial"/>
          <w:highlight w:val="lightGray"/>
        </w:rPr>
      </w:pPr>
      <w:r w:rsidRPr="00A95FF0">
        <w:rPr>
          <w:rFonts w:cs="Arial"/>
          <w:highlight w:val="lightGray"/>
        </w:rPr>
        <w:fldChar w:fldCharType="begin"/>
      </w:r>
      <w:r w:rsidRPr="00A95FF0">
        <w:rPr>
          <w:rFonts w:cs="Arial"/>
          <w:highlight w:val="lightGray"/>
        </w:rPr>
        <w:instrText xml:space="preserve"> AUTONUM  </w:instrText>
      </w:r>
      <w:r w:rsidRPr="00A95FF0">
        <w:rPr>
          <w:rFonts w:cs="Arial"/>
          <w:highlight w:val="lightGray"/>
        </w:rPr>
        <w:fldChar w:fldCharType="end"/>
      </w:r>
      <w:r w:rsidRPr="00A95FF0">
        <w:rPr>
          <w:rFonts w:cs="Arial"/>
          <w:highlight w:val="lightGray"/>
        </w:rPr>
        <w:tab/>
        <w:t>Guidance on the examination of distinctness, uniformity and stability (DUS) can be found in the following documents:</w:t>
      </w:r>
    </w:p>
    <w:p w:rsidR="00795845" w:rsidRPr="00A95FF0" w:rsidRDefault="00795845" w:rsidP="00795845">
      <w:pPr>
        <w:ind w:left="992" w:hanging="566"/>
        <w:rPr>
          <w:rFonts w:cs="Arial"/>
          <w:highlight w:val="lightGray"/>
        </w:rPr>
      </w:pPr>
    </w:p>
    <w:p w:rsidR="00795845" w:rsidRPr="00A95FF0" w:rsidRDefault="00795845" w:rsidP="008E390F">
      <w:pPr>
        <w:spacing w:after="120"/>
        <w:ind w:left="851" w:hanging="284"/>
        <w:rPr>
          <w:rFonts w:cs="Arial"/>
          <w:highlight w:val="lightGray"/>
        </w:rPr>
      </w:pPr>
      <w:r w:rsidRPr="00A95FF0">
        <w:rPr>
          <w:rFonts w:cs="Arial"/>
          <w:highlight w:val="lightGray"/>
        </w:rPr>
        <w:t>–</w:t>
      </w:r>
      <w:r w:rsidRPr="00A95FF0">
        <w:rPr>
          <w:rFonts w:cs="Arial"/>
          <w:highlight w:val="lightGray"/>
        </w:rPr>
        <w:tab/>
        <w:t>Document </w:t>
      </w:r>
      <w:hyperlink r:id="rId46" w:history="1">
        <w:r w:rsidRPr="00A95FF0">
          <w:rPr>
            <w:rStyle w:val="Hyperlink"/>
            <w:rFonts w:cs="Arial"/>
            <w:highlight w:val="lightGray"/>
          </w:rPr>
          <w:t>TG/1/3</w:t>
        </w:r>
      </w:hyperlink>
      <w:r w:rsidRPr="00A95FF0">
        <w:rPr>
          <w:rFonts w:cs="Arial"/>
          <w:highlight w:val="lightGray"/>
        </w:rPr>
        <w:t xml:space="preserve"> “General Introduction to the Examination of Distinctness, Uniformity and Stability and the Development of Harmonized Descriptions of New Varieties of Plants” (“General Introduction”);</w:t>
      </w:r>
    </w:p>
    <w:p w:rsidR="00795845" w:rsidRPr="00A95FF0" w:rsidRDefault="00795845" w:rsidP="008E390F">
      <w:pPr>
        <w:spacing w:after="120"/>
        <w:ind w:left="851" w:hanging="284"/>
        <w:rPr>
          <w:rFonts w:cs="Arial"/>
          <w:highlight w:val="lightGray"/>
        </w:rPr>
      </w:pPr>
      <w:r w:rsidRPr="00A95FF0">
        <w:rPr>
          <w:rFonts w:cs="Arial"/>
          <w:highlight w:val="lightGray"/>
        </w:rPr>
        <w:t>–</w:t>
      </w:r>
      <w:r w:rsidRPr="00A95FF0">
        <w:rPr>
          <w:rFonts w:cs="Arial"/>
          <w:highlight w:val="lightGray"/>
        </w:rPr>
        <w:tab/>
        <w:t xml:space="preserve">Document </w:t>
      </w:r>
      <w:r w:rsidR="005B0457" w:rsidRPr="00A95FF0">
        <w:rPr>
          <w:rFonts w:cs="Arial"/>
          <w:highlight w:val="lightGray"/>
        </w:rPr>
        <w:t>TGP/4</w:t>
      </w:r>
      <w:r w:rsidRPr="00A95FF0">
        <w:rPr>
          <w:rFonts w:cs="Arial"/>
          <w:highlight w:val="lightGray"/>
        </w:rPr>
        <w:t xml:space="preserve"> “Constitution and Main</w:t>
      </w:r>
      <w:r w:rsidR="00326F73" w:rsidRPr="00A95FF0">
        <w:rPr>
          <w:rFonts w:cs="Arial"/>
          <w:highlight w:val="lightGray"/>
        </w:rPr>
        <w:t>tenance of Variety Collections</w:t>
      </w:r>
    </w:p>
    <w:p w:rsidR="00795845" w:rsidRPr="00A95FF0" w:rsidRDefault="00795845" w:rsidP="008E390F">
      <w:pPr>
        <w:spacing w:after="120"/>
        <w:ind w:left="851" w:hanging="284"/>
        <w:rPr>
          <w:rFonts w:cs="Arial"/>
          <w:highlight w:val="lightGray"/>
        </w:rPr>
      </w:pPr>
      <w:r w:rsidRPr="00A95FF0">
        <w:rPr>
          <w:rFonts w:cs="Arial"/>
          <w:highlight w:val="lightGray"/>
        </w:rPr>
        <w:t>–</w:t>
      </w:r>
      <w:r w:rsidRPr="00A95FF0">
        <w:rPr>
          <w:rFonts w:cs="Arial"/>
          <w:highlight w:val="lightGray"/>
        </w:rPr>
        <w:tab/>
        <w:t xml:space="preserve">Document </w:t>
      </w:r>
      <w:r w:rsidR="005B0457" w:rsidRPr="00A95FF0">
        <w:rPr>
          <w:rFonts w:cs="Arial"/>
          <w:highlight w:val="lightGray"/>
        </w:rPr>
        <w:t>TGP/9</w:t>
      </w:r>
      <w:r w:rsidRPr="00A95FF0">
        <w:rPr>
          <w:rFonts w:cs="Arial"/>
          <w:highlight w:val="lightGray"/>
        </w:rPr>
        <w:t xml:space="preserve"> “Examining Distinctness”</w:t>
      </w:r>
    </w:p>
    <w:p w:rsidR="00795845" w:rsidRPr="00A95FF0" w:rsidRDefault="0063640D" w:rsidP="008E390F">
      <w:pPr>
        <w:spacing w:after="120"/>
        <w:ind w:left="851" w:hanging="284"/>
        <w:rPr>
          <w:rFonts w:cs="Arial"/>
          <w:highlight w:val="lightGray"/>
        </w:rPr>
      </w:pPr>
      <w:r w:rsidRPr="00A95FF0">
        <w:rPr>
          <w:rFonts w:cs="Arial"/>
          <w:highlight w:val="lightGray"/>
        </w:rPr>
        <w:t>–</w:t>
      </w:r>
      <w:r w:rsidRPr="00A95FF0">
        <w:rPr>
          <w:rFonts w:cs="Arial"/>
          <w:highlight w:val="lightGray"/>
        </w:rPr>
        <w:tab/>
      </w:r>
      <w:r w:rsidR="00795845" w:rsidRPr="00A95FF0">
        <w:rPr>
          <w:rFonts w:cs="Arial"/>
          <w:highlight w:val="lightGray"/>
        </w:rPr>
        <w:t xml:space="preserve">Document </w:t>
      </w:r>
      <w:hyperlink r:id="rId47" w:history="1">
        <w:r w:rsidR="00795845" w:rsidRPr="00A95FF0">
          <w:rPr>
            <w:rStyle w:val="Hyperlink"/>
            <w:rFonts w:cs="Arial"/>
            <w:highlight w:val="lightGray"/>
          </w:rPr>
          <w:t>TGP/10</w:t>
        </w:r>
      </w:hyperlink>
      <w:r w:rsidR="00326F73" w:rsidRPr="00A95FF0">
        <w:rPr>
          <w:rFonts w:cs="Arial"/>
          <w:highlight w:val="lightGray"/>
        </w:rPr>
        <w:t xml:space="preserve"> “Examining Uniformity”</w:t>
      </w:r>
    </w:p>
    <w:p w:rsidR="00795845" w:rsidRPr="00A95FF0" w:rsidRDefault="0063640D" w:rsidP="008E390F">
      <w:pPr>
        <w:spacing w:after="360"/>
        <w:ind w:left="851" w:hanging="284"/>
        <w:rPr>
          <w:rFonts w:cs="Arial"/>
          <w:highlight w:val="lightGray"/>
        </w:rPr>
      </w:pPr>
      <w:r w:rsidRPr="00A95FF0">
        <w:rPr>
          <w:rFonts w:cs="Arial"/>
          <w:highlight w:val="lightGray"/>
        </w:rPr>
        <w:t>–</w:t>
      </w:r>
      <w:r w:rsidR="00795845" w:rsidRPr="00A95FF0">
        <w:rPr>
          <w:rFonts w:cs="Arial"/>
          <w:highlight w:val="lightGray"/>
        </w:rPr>
        <w:tab/>
        <w:t xml:space="preserve">Document </w:t>
      </w:r>
      <w:hyperlink r:id="rId48" w:history="1">
        <w:r w:rsidR="00795845" w:rsidRPr="00A95FF0">
          <w:rPr>
            <w:rStyle w:val="Hyperlink"/>
            <w:rFonts w:cs="Arial"/>
            <w:highlight w:val="lightGray"/>
          </w:rPr>
          <w:t>TGP/11</w:t>
        </w:r>
      </w:hyperlink>
      <w:r w:rsidR="00795845" w:rsidRPr="00A95FF0">
        <w:rPr>
          <w:rFonts w:cs="Arial"/>
          <w:highlight w:val="lightGray"/>
        </w:rPr>
        <w:t xml:space="preserve"> “Examining Stability</w:t>
      </w:r>
      <w:r w:rsidR="00326F73" w:rsidRPr="00A95FF0">
        <w:rPr>
          <w:rFonts w:cs="Arial"/>
          <w:highlight w:val="lightGray"/>
        </w:rPr>
        <w:t>”</w:t>
      </w:r>
    </w:p>
    <w:p w:rsidR="00DA4586" w:rsidRPr="00A95FF0" w:rsidRDefault="00326F73" w:rsidP="002F19B7">
      <w:pPr>
        <w:pStyle w:val="Heading3"/>
        <w:rPr>
          <w:highlight w:val="lightGray"/>
        </w:rPr>
      </w:pPr>
      <w:bookmarkStart w:id="79" w:name="_Toc378597582"/>
      <w:bookmarkStart w:id="80" w:name="_Toc381102851"/>
      <w:bookmarkStart w:id="81" w:name="_Toc381102881"/>
      <w:bookmarkStart w:id="82" w:name="_Toc412041272"/>
      <w:r w:rsidRPr="00A95FF0">
        <w:rPr>
          <w:highlight w:val="lightGray"/>
        </w:rPr>
        <w:lastRenderedPageBreak/>
        <w:t>DUS examination (see note (e) in the flow diagram in Section 1)</w:t>
      </w:r>
      <w:bookmarkEnd w:id="79"/>
      <w:bookmarkEnd w:id="80"/>
      <w:bookmarkEnd w:id="81"/>
      <w:bookmarkEnd w:id="82"/>
    </w:p>
    <w:p w:rsidR="00DA4586" w:rsidRPr="00A95FF0" w:rsidRDefault="00DA4586" w:rsidP="00DA4586">
      <w:pPr>
        <w:rPr>
          <w:highlight w:val="lightGray"/>
        </w:rPr>
      </w:pPr>
    </w:p>
    <w:p w:rsidR="00DA4586" w:rsidRPr="00A95FF0" w:rsidRDefault="00326F73" w:rsidP="00DA4586">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The size and structure of PBR Offices is influenced by the arrangements for DUS testing. A PBR Office may, for example, use one or more of the following arrangements:</w:t>
      </w:r>
    </w:p>
    <w:p w:rsidR="00DA4586" w:rsidRPr="00A95FF0" w:rsidRDefault="00DA4586" w:rsidP="00DA4586">
      <w:pPr>
        <w:autoSpaceDE w:val="0"/>
        <w:autoSpaceDN w:val="0"/>
        <w:adjustRightInd w:val="0"/>
        <w:rPr>
          <w:highlight w:val="lightGray"/>
        </w:rPr>
      </w:pPr>
    </w:p>
    <w:p w:rsidR="00DA4586" w:rsidRPr="00A95FF0" w:rsidRDefault="00A35481" w:rsidP="00A35481">
      <w:pPr>
        <w:ind w:left="851" w:hanging="284"/>
        <w:rPr>
          <w:highlight w:val="lightGray"/>
        </w:rPr>
      </w:pPr>
      <w:r w:rsidRPr="00A95FF0">
        <w:rPr>
          <w:rFonts w:cs="Arial"/>
          <w:highlight w:val="lightGray"/>
        </w:rPr>
        <w:t>–</w:t>
      </w:r>
      <w:r w:rsidRPr="00A95FF0">
        <w:rPr>
          <w:rFonts w:cs="Arial"/>
          <w:highlight w:val="lightGray"/>
        </w:rPr>
        <w:tab/>
      </w:r>
      <w:r w:rsidR="00DA4586" w:rsidRPr="00A95FF0">
        <w:rPr>
          <w:highlight w:val="lightGray"/>
        </w:rPr>
        <w:t>The PBR Office conducts growing trials, or other tests, itself (testing by PBR Office)</w:t>
      </w:r>
    </w:p>
    <w:p w:rsidR="00A35481" w:rsidRPr="00A95FF0" w:rsidRDefault="00A35481" w:rsidP="00A35481">
      <w:pPr>
        <w:ind w:left="851" w:hanging="284"/>
        <w:rPr>
          <w:highlight w:val="lightGray"/>
        </w:rPr>
      </w:pPr>
    </w:p>
    <w:p w:rsidR="00DA4586" w:rsidRPr="00A95FF0" w:rsidRDefault="00A35481" w:rsidP="00A35481">
      <w:pPr>
        <w:ind w:left="851" w:hanging="284"/>
        <w:rPr>
          <w:highlight w:val="lightGray"/>
        </w:rPr>
      </w:pPr>
      <w:r w:rsidRPr="00A95FF0">
        <w:rPr>
          <w:rFonts w:cs="Arial"/>
          <w:highlight w:val="lightGray"/>
        </w:rPr>
        <w:t>–</w:t>
      </w:r>
      <w:r w:rsidRPr="00A95FF0">
        <w:rPr>
          <w:rFonts w:cs="Arial"/>
          <w:highlight w:val="lightGray"/>
        </w:rPr>
        <w:tab/>
      </w:r>
      <w:r w:rsidR="00DA4586" w:rsidRPr="00A95FF0">
        <w:rPr>
          <w:highlight w:val="lightGray"/>
        </w:rPr>
        <w:t>The PBR Office arranges for another party / other parties to conduct the growing trials or other tests (outside PBR Office). In such an arrangement, another party could include, for example, another PBR Office, an independent institute or the breeder.</w:t>
      </w:r>
    </w:p>
    <w:p w:rsidR="00A35481" w:rsidRPr="00A95FF0" w:rsidRDefault="00A35481" w:rsidP="00A35481">
      <w:pPr>
        <w:ind w:left="851" w:hanging="284"/>
        <w:rPr>
          <w:highlight w:val="lightGray"/>
        </w:rPr>
      </w:pPr>
    </w:p>
    <w:p w:rsidR="00DA4586" w:rsidRPr="00A95FF0" w:rsidRDefault="00A35481" w:rsidP="00A35481">
      <w:pPr>
        <w:ind w:left="851" w:hanging="284"/>
        <w:rPr>
          <w:highlight w:val="lightGray"/>
        </w:rPr>
      </w:pPr>
      <w:r w:rsidRPr="00A95FF0">
        <w:rPr>
          <w:rFonts w:cs="Arial"/>
          <w:highlight w:val="lightGray"/>
        </w:rPr>
        <w:t>–</w:t>
      </w:r>
      <w:r w:rsidRPr="00A95FF0">
        <w:rPr>
          <w:rFonts w:cs="Arial"/>
          <w:highlight w:val="lightGray"/>
        </w:rPr>
        <w:tab/>
      </w:r>
      <w:r w:rsidR="00DA4586" w:rsidRPr="00A95FF0">
        <w:rPr>
          <w:highlight w:val="lightGray"/>
        </w:rPr>
        <w:t>The PBR Office takes into account the results of growing tests or other trials which have already been carried out (outside PBR Office).</w:t>
      </w:r>
    </w:p>
    <w:p w:rsidR="00AF6C4B" w:rsidRPr="00A95FF0" w:rsidRDefault="00AF6C4B" w:rsidP="00A35481">
      <w:pPr>
        <w:rPr>
          <w:highlight w:val="lightGray"/>
        </w:rPr>
      </w:pPr>
    </w:p>
    <w:p w:rsidR="00FF4774" w:rsidRPr="00A95FF0" w:rsidRDefault="00A35481" w:rsidP="00260EEA">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Authorities that arrange for other parties to conduct growing trials or other tests on behalf of the authorities, should take appropriate measures to:  (a) ensure that the conduct of growing trials or other tests are undertaken in an independent manner;  and (b) safeguard the legitimate interests of the breeder.   In particular, in the case of such parties having, or having links to, breeding activities, those measures should include measures to ensure objectivity and provisions for relevant information and material provided by the breeder to be treated in a confidential manner.</w:t>
      </w:r>
    </w:p>
    <w:p w:rsidR="00DA4586" w:rsidRPr="00A95FF0" w:rsidRDefault="00DA4586" w:rsidP="00DA4586">
      <w:pPr>
        <w:autoSpaceDE w:val="0"/>
        <w:autoSpaceDN w:val="0"/>
        <w:adjustRightInd w:val="0"/>
        <w:rPr>
          <w:highlight w:val="lightGray"/>
        </w:rPr>
      </w:pPr>
    </w:p>
    <w:p w:rsidR="00DA4586" w:rsidRPr="00A95FF0" w:rsidRDefault="00326F73" w:rsidP="00C12F5B">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Document TGP</w:t>
      </w:r>
      <w:r w:rsidR="00E95FF2">
        <w:rPr>
          <w:highlight w:val="lightGray"/>
        </w:rPr>
        <w:t>/</w:t>
      </w:r>
      <w:r w:rsidR="00DA4586" w:rsidRPr="00A95FF0">
        <w:rPr>
          <w:highlight w:val="lightGray"/>
        </w:rPr>
        <w:t xml:space="preserve">5 “Experience and Cooperation in DUS Testing”, Section 1 “Experience and Cooperation in DUS Testing” provides useful information with a model administrative agreement for international cooperation in the testing of varieties. </w:t>
      </w:r>
    </w:p>
    <w:p w:rsidR="00D332E4" w:rsidRPr="00A95FF0" w:rsidRDefault="00D332E4" w:rsidP="00C12F5B">
      <w:pPr>
        <w:autoSpaceDE w:val="0"/>
        <w:autoSpaceDN w:val="0"/>
        <w:adjustRightInd w:val="0"/>
        <w:rPr>
          <w:highlight w:val="lightGray"/>
        </w:rPr>
      </w:pPr>
    </w:p>
    <w:p w:rsidR="00D332E4" w:rsidRPr="00A95FF0" w:rsidRDefault="00D332E4" w:rsidP="00C12F5B">
      <w:pPr>
        <w:autoSpaceDE w:val="0"/>
        <w:autoSpaceDN w:val="0"/>
        <w:adjustRightInd w:val="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Article 4 of document TGP</w:t>
      </w:r>
      <w:r w:rsidR="00E95FF2">
        <w:rPr>
          <w:highlight w:val="lightGray"/>
        </w:rPr>
        <w:t>/</w:t>
      </w:r>
      <w:r w:rsidRPr="00A95FF0">
        <w:rPr>
          <w:highlight w:val="lightGray"/>
        </w:rPr>
        <w:t xml:space="preserve">5, Section 1, states the following: </w:t>
      </w:r>
    </w:p>
    <w:p w:rsidR="00C12F5B" w:rsidRPr="00A95FF0" w:rsidRDefault="00C12F5B" w:rsidP="00D012C7">
      <w:pPr>
        <w:rPr>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“(1)</w:t>
      </w:r>
      <w:r w:rsidRPr="00A95FF0">
        <w:rPr>
          <w:sz w:val="18"/>
          <w:szCs w:val="18"/>
          <w:highlight w:val="lightGray"/>
        </w:rPr>
        <w:tab/>
        <w:t>The Authorities shall take all necessary steps to safeguard the rights of the applicant.</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“(2)</w:t>
      </w:r>
      <w:r w:rsidRPr="00A95FF0">
        <w:rPr>
          <w:sz w:val="18"/>
          <w:szCs w:val="18"/>
          <w:highlight w:val="lightGray"/>
        </w:rPr>
        <w:tab/>
        <w:t>Except with the specific authorization of the Receiving Authority and the applicant, the Executing Authority shall refrain from passing on to a third person any material of the varieties for which testing has been requested.</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“(3)</w:t>
      </w:r>
      <w:r w:rsidRPr="00A95FF0">
        <w:rPr>
          <w:sz w:val="18"/>
          <w:szCs w:val="18"/>
          <w:highlight w:val="lightGray"/>
        </w:rPr>
        <w:tab/>
        <w:t>Access to the documents and the test plots shall be given only to:</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“(i)</w:t>
      </w:r>
      <w:r w:rsidRPr="00A95FF0">
        <w:rPr>
          <w:sz w:val="18"/>
          <w:szCs w:val="18"/>
          <w:highlight w:val="lightGray"/>
        </w:rPr>
        <w:tab/>
        <w:t>the Receiving Authority, the applicant and any duly authorized person;</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“(ii)</w:t>
      </w:r>
      <w:r w:rsidRPr="00A95FF0">
        <w:rPr>
          <w:sz w:val="18"/>
          <w:szCs w:val="18"/>
          <w:highlight w:val="lightGray"/>
        </w:rPr>
        <w:tab/>
        <w:t>the necessary staff of the institution that carries out the testing and special experts called in who are bound to secrecy in public service.  Those special experts shall have access to the formulae of hybrid varieties only if it is strictly necessary and if the applicant does not object.</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sz w:val="18"/>
          <w:szCs w:val="18"/>
          <w:highlight w:val="lightGray"/>
        </w:rPr>
      </w:pPr>
      <w:r w:rsidRPr="00A95FF0">
        <w:rPr>
          <w:sz w:val="18"/>
          <w:szCs w:val="18"/>
          <w:highlight w:val="lightGray"/>
        </w:rPr>
        <w:t>“This paragraph does not exclude general access to test plots by visitors, provided due regard is had to paragraph (1) above.</w:t>
      </w:r>
    </w:p>
    <w:p w:rsidR="00D012C7" w:rsidRPr="00A95FF0" w:rsidRDefault="00D012C7" w:rsidP="00D012C7">
      <w:pPr>
        <w:ind w:left="567" w:right="567"/>
        <w:rPr>
          <w:sz w:val="18"/>
          <w:szCs w:val="18"/>
          <w:highlight w:val="lightGray"/>
        </w:rPr>
      </w:pPr>
    </w:p>
    <w:p w:rsidR="00D012C7" w:rsidRPr="00A95FF0" w:rsidRDefault="00D012C7" w:rsidP="00D012C7">
      <w:pPr>
        <w:ind w:left="567" w:right="567"/>
        <w:rPr>
          <w:highlight w:val="lightGray"/>
        </w:rPr>
      </w:pPr>
      <w:r w:rsidRPr="00A95FF0">
        <w:rPr>
          <w:sz w:val="18"/>
          <w:szCs w:val="18"/>
          <w:highlight w:val="lightGray"/>
        </w:rPr>
        <w:t>“(4)</w:t>
      </w:r>
      <w:r w:rsidRPr="00A95FF0">
        <w:rPr>
          <w:sz w:val="18"/>
          <w:szCs w:val="18"/>
          <w:highlight w:val="lightGray"/>
        </w:rPr>
        <w:tab/>
        <w:t>If another authority is a Receiving Authority under a similar agreement, access may be granted in accordance with the rules applicable under that agreement.”</w:t>
      </w:r>
    </w:p>
    <w:p w:rsidR="00D332E4" w:rsidRPr="00A95FF0" w:rsidRDefault="00D332E4" w:rsidP="00D012C7">
      <w:pPr>
        <w:rPr>
          <w:highlight w:val="lightGray"/>
        </w:rPr>
      </w:pPr>
      <w:bookmarkStart w:id="83" w:name="_Toc378597583"/>
      <w:bookmarkStart w:id="84" w:name="_Toc381102852"/>
      <w:bookmarkStart w:id="85" w:name="_Toc381102882"/>
    </w:p>
    <w:p w:rsidR="00C45F73" w:rsidRPr="00A95FF0" w:rsidRDefault="00D332E4" w:rsidP="00D012C7">
      <w:pPr>
        <w:spacing w:after="360"/>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t xml:space="preserve">UPOV members may have informal arrangements for the purchasing of DUS test reports (for instance exchange of letters).  </w:t>
      </w:r>
    </w:p>
    <w:p w:rsidR="00DA4586" w:rsidRPr="00A95FF0" w:rsidRDefault="00326F73" w:rsidP="002F19B7">
      <w:pPr>
        <w:pStyle w:val="Heading3"/>
        <w:rPr>
          <w:highlight w:val="lightGray"/>
        </w:rPr>
      </w:pPr>
      <w:bookmarkStart w:id="86" w:name="_Toc412041273"/>
      <w:r w:rsidRPr="00A95FF0">
        <w:rPr>
          <w:highlight w:val="lightGray"/>
        </w:rPr>
        <w:t>Proposed decision (see note (f) in the flow diagram in Section 1)</w:t>
      </w:r>
      <w:bookmarkEnd w:id="83"/>
      <w:bookmarkEnd w:id="84"/>
      <w:bookmarkEnd w:id="85"/>
      <w:bookmarkEnd w:id="86"/>
    </w:p>
    <w:p w:rsidR="00DA4586" w:rsidRPr="00A95FF0" w:rsidRDefault="00DA4586" w:rsidP="00DA4586">
      <w:pPr>
        <w:keepNext/>
        <w:rPr>
          <w:highlight w:val="lightGray"/>
        </w:rPr>
      </w:pPr>
    </w:p>
    <w:p w:rsidR="00777CE2" w:rsidRPr="00A95FF0" w:rsidRDefault="00326F73"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On the basis of the results of novelty, denomination and DUS examination a decision can be proposed with regard to the grant of protection. Such a decision may be proposed to the authority responsible for the grant of the breeders’ rights (PBR Office) by an official or by a group of professionals, such as a board or a panel of experts. If the decision is negative, the rejection of the application shall be published (</w:t>
      </w:r>
      <w:r w:rsidRPr="00A95FF0">
        <w:rPr>
          <w:highlight w:val="lightGray"/>
        </w:rPr>
        <w:t>see UPOV/INF/5 “UPOV Model Plant Breeders’ Rights Gazette”</w:t>
      </w:r>
      <w:r w:rsidR="00DA4586" w:rsidRPr="00A95FF0">
        <w:rPr>
          <w:highlight w:val="lightGray"/>
        </w:rPr>
        <w:t>).  The applicant may make an appeal against a proposed negative decision by the PBR Office.</w:t>
      </w:r>
    </w:p>
    <w:p w:rsidR="00326F73" w:rsidRPr="00A95FF0" w:rsidRDefault="00326F73" w:rsidP="00D012C7">
      <w:pPr>
        <w:spacing w:line="360" w:lineRule="auto"/>
        <w:rPr>
          <w:highlight w:val="lightGray"/>
        </w:rPr>
      </w:pPr>
    </w:p>
    <w:p w:rsidR="00DA4586" w:rsidRPr="00A95FF0" w:rsidRDefault="00326F73" w:rsidP="002F19B7">
      <w:pPr>
        <w:pStyle w:val="Heading3"/>
        <w:rPr>
          <w:highlight w:val="lightGray"/>
        </w:rPr>
      </w:pPr>
      <w:bookmarkStart w:id="87" w:name="_Toc378597584"/>
      <w:bookmarkStart w:id="88" w:name="_Toc381102853"/>
      <w:bookmarkStart w:id="89" w:name="_Toc381102883"/>
      <w:bookmarkStart w:id="90" w:name="_Toc412041274"/>
      <w:r w:rsidRPr="00A95FF0">
        <w:rPr>
          <w:highlight w:val="lightGray"/>
        </w:rPr>
        <w:t>Objections (see note (g) in the flow diagram in Section 1)</w:t>
      </w:r>
      <w:bookmarkEnd w:id="87"/>
      <w:bookmarkEnd w:id="88"/>
      <w:bookmarkEnd w:id="89"/>
      <w:bookmarkEnd w:id="90"/>
    </w:p>
    <w:p w:rsidR="00DA4586" w:rsidRPr="00A95FF0" w:rsidRDefault="00DA4586" w:rsidP="00DA4586">
      <w:pPr>
        <w:keepNext/>
        <w:rPr>
          <w:highlight w:val="lightGray"/>
        </w:rPr>
      </w:pPr>
    </w:p>
    <w:p w:rsidR="00DA4586" w:rsidRPr="00A95FF0" w:rsidRDefault="00326F73" w:rsidP="00DA4586">
      <w:pPr>
        <w:rPr>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The PBR Office needs to have procedures in place to handle objections received as a result of the publication of information. Objections received from the public may bring relevant data for the examination of </w:t>
      </w:r>
      <w:r w:rsidR="00DA4586" w:rsidRPr="00A95FF0">
        <w:rPr>
          <w:highlight w:val="lightGray"/>
        </w:rPr>
        <w:lastRenderedPageBreak/>
        <w:t xml:space="preserve">applications and denominations. The applicant may also provide further relevant information when appealing against a decision of the PBR Office. </w:t>
      </w:r>
    </w:p>
    <w:p w:rsidR="00DA4586" w:rsidRPr="00A95FF0" w:rsidRDefault="00DA4586" w:rsidP="00D012C7">
      <w:pPr>
        <w:spacing w:line="360" w:lineRule="auto"/>
        <w:rPr>
          <w:highlight w:val="lightGray"/>
        </w:rPr>
      </w:pPr>
    </w:p>
    <w:p w:rsidR="00DA4586" w:rsidRPr="00A95FF0" w:rsidRDefault="00326F73" w:rsidP="002F19B7">
      <w:pPr>
        <w:pStyle w:val="Heading3"/>
        <w:rPr>
          <w:highlight w:val="lightGray"/>
        </w:rPr>
      </w:pPr>
      <w:bookmarkStart w:id="91" w:name="_Toc378597585"/>
      <w:bookmarkStart w:id="92" w:name="_Toc381102854"/>
      <w:bookmarkStart w:id="93" w:name="_Toc381102884"/>
      <w:bookmarkStart w:id="94" w:name="_Toc412041275"/>
      <w:r w:rsidRPr="00A95FF0">
        <w:rPr>
          <w:highlight w:val="lightGray"/>
        </w:rPr>
        <w:t>Title grant (see note (h) in the flow diagram in Section 1)</w:t>
      </w:r>
      <w:bookmarkEnd w:id="91"/>
      <w:bookmarkEnd w:id="92"/>
      <w:bookmarkEnd w:id="93"/>
      <w:bookmarkEnd w:id="94"/>
    </w:p>
    <w:p w:rsidR="00DA4586" w:rsidRPr="00A95FF0" w:rsidRDefault="00DA4586" w:rsidP="002F19B7">
      <w:pPr>
        <w:pStyle w:val="Heading3"/>
        <w:rPr>
          <w:highlight w:val="lightGray"/>
        </w:rPr>
      </w:pPr>
    </w:p>
    <w:p w:rsidR="00DA4586" w:rsidRPr="00A95FF0" w:rsidRDefault="00326F73" w:rsidP="00DA4586">
      <w:pPr>
        <w:rPr>
          <w:szCs w:val="22"/>
          <w:highlight w:val="lightGray"/>
        </w:rPr>
      </w:pPr>
      <w:r w:rsidRPr="00A95FF0">
        <w:rPr>
          <w:highlight w:val="lightGray"/>
        </w:rPr>
        <w:fldChar w:fldCharType="begin"/>
      </w:r>
      <w:r w:rsidRPr="00A95FF0">
        <w:rPr>
          <w:highlight w:val="lightGray"/>
        </w:rPr>
        <w:instrText xml:space="preserve"> AUTONUM  </w:instrText>
      </w:r>
      <w:r w:rsidRPr="00A95FF0">
        <w:rPr>
          <w:highlight w:val="lightGray"/>
        </w:rPr>
        <w:fldChar w:fldCharType="end"/>
      </w:r>
      <w:r w:rsidRPr="00A95FF0">
        <w:rPr>
          <w:highlight w:val="lightGray"/>
        </w:rPr>
        <w:tab/>
      </w:r>
      <w:r w:rsidR="00DA4586" w:rsidRPr="00A95FF0">
        <w:rPr>
          <w:highlight w:val="lightGray"/>
        </w:rPr>
        <w:t xml:space="preserve">If the decision with regard to the grant of protection if positive, the title shall be granted. The title shall be transmitted to the holder of the breeder’s right.  Grants of breeders’ rights and approved denominations shall be registered and published at the same time by the PBR Office </w:t>
      </w:r>
      <w:r w:rsidRPr="00A95FF0">
        <w:rPr>
          <w:highlight w:val="lightGray"/>
        </w:rPr>
        <w:t xml:space="preserve">(see UPOV/INF/5 “UPOV Model Plant Breeders’ Rights Gazette”).  </w:t>
      </w:r>
    </w:p>
    <w:p w:rsidR="00326F73" w:rsidRPr="00A95FF0" w:rsidRDefault="00326F73" w:rsidP="00D012C7">
      <w:pPr>
        <w:spacing w:line="360" w:lineRule="auto"/>
        <w:rPr>
          <w:szCs w:val="22"/>
          <w:highlight w:val="lightGray"/>
        </w:rPr>
      </w:pPr>
    </w:p>
    <w:p w:rsidR="00DA4586" w:rsidRPr="00A95FF0" w:rsidRDefault="00326F73" w:rsidP="002F19B7">
      <w:pPr>
        <w:pStyle w:val="Heading3"/>
        <w:rPr>
          <w:highlight w:val="lightGray"/>
        </w:rPr>
      </w:pPr>
      <w:bookmarkStart w:id="95" w:name="_Toc378597586"/>
      <w:bookmarkStart w:id="96" w:name="_Toc381102855"/>
      <w:bookmarkStart w:id="97" w:name="_Toc381102885"/>
      <w:bookmarkStart w:id="98" w:name="_Toc412041276"/>
      <w:r w:rsidRPr="00A95FF0">
        <w:rPr>
          <w:highlight w:val="lightGray"/>
        </w:rPr>
        <w:t>Matters after the grant (see note (i) in the flow diagram in Section 1)</w:t>
      </w:r>
      <w:bookmarkEnd w:id="95"/>
      <w:bookmarkEnd w:id="96"/>
      <w:bookmarkEnd w:id="97"/>
      <w:bookmarkEnd w:id="98"/>
    </w:p>
    <w:p w:rsidR="00DA4586" w:rsidRPr="00A95FF0" w:rsidRDefault="00DA4586" w:rsidP="00DA4586">
      <w:pPr>
        <w:keepNext/>
        <w:rPr>
          <w:szCs w:val="22"/>
          <w:highlight w:val="lightGray"/>
        </w:rPr>
      </w:pPr>
    </w:p>
    <w:p w:rsidR="00DA4586" w:rsidRPr="00C2348B" w:rsidRDefault="00326F73" w:rsidP="00DA4586">
      <w:pPr>
        <w:rPr>
          <w:szCs w:val="22"/>
        </w:rPr>
      </w:pPr>
      <w:r w:rsidRPr="00A95FF0">
        <w:rPr>
          <w:szCs w:val="22"/>
          <w:highlight w:val="lightGray"/>
        </w:rPr>
        <w:fldChar w:fldCharType="begin"/>
      </w:r>
      <w:r w:rsidRPr="00A95FF0">
        <w:rPr>
          <w:szCs w:val="22"/>
          <w:highlight w:val="lightGray"/>
        </w:rPr>
        <w:instrText xml:space="preserve"> AUTONUM  </w:instrText>
      </w:r>
      <w:r w:rsidRPr="00A95FF0">
        <w:rPr>
          <w:szCs w:val="22"/>
          <w:highlight w:val="lightGray"/>
        </w:rPr>
        <w:fldChar w:fldCharType="end"/>
      </w:r>
      <w:r w:rsidRPr="00A95FF0">
        <w:rPr>
          <w:szCs w:val="22"/>
          <w:highlight w:val="lightGray"/>
        </w:rPr>
        <w:tab/>
      </w:r>
      <w:r w:rsidR="00DA4586" w:rsidRPr="00A95FF0">
        <w:rPr>
          <w:szCs w:val="22"/>
          <w:highlight w:val="lightGray"/>
        </w:rPr>
        <w:t xml:space="preserve">The tasks of the PBR Office after the grant of the PBR include the obligation to maintain up-to-date relevant information in the registry and databases, the management of the payment of fees (if applicable) by the breeder to keep the PBR in force, and the publication of relevant information after the grant, for example, the termination of the PBR and changes concerning the holder of the PBR and denominations </w:t>
      </w:r>
      <w:r w:rsidRPr="00A95FF0">
        <w:rPr>
          <w:highlight w:val="lightGray"/>
        </w:rPr>
        <w:t xml:space="preserve">(see UPOV/INF/5 “UPOV Model Plant Breeders’ Rights Gazette”).  </w:t>
      </w:r>
      <w:r w:rsidR="00DA4586" w:rsidRPr="00A95FF0">
        <w:rPr>
          <w:highlight w:val="lightGray"/>
        </w:rPr>
        <w:t>The PBR Office may also choose to take measures to verify the maintenance of the variety.</w:t>
      </w:r>
    </w:p>
    <w:p w:rsidR="00DA4586" w:rsidRDefault="00DA4586" w:rsidP="00DA4586"/>
    <w:p w:rsidR="0063640D" w:rsidRDefault="0063640D" w:rsidP="00DA4586"/>
    <w:p w:rsidR="0063640D" w:rsidRPr="00DA4586" w:rsidRDefault="0063640D" w:rsidP="00DA4586"/>
    <w:p w:rsidR="000731E9" w:rsidRPr="00770CD8" w:rsidRDefault="000731E9" w:rsidP="000731E9">
      <w:pPr>
        <w:ind w:right="53"/>
        <w:jc w:val="right"/>
        <w:rPr>
          <w:rFonts w:cs="Arial"/>
        </w:rPr>
      </w:pPr>
      <w:r w:rsidRPr="00770CD8">
        <w:rPr>
          <w:rFonts w:cs="Arial"/>
        </w:rPr>
        <w:t>[End of document]</w:t>
      </w:r>
    </w:p>
    <w:p w:rsidR="000731E9" w:rsidRPr="0035317C" w:rsidRDefault="000731E9" w:rsidP="000731E9">
      <w:pPr>
        <w:jc w:val="right"/>
      </w:pPr>
    </w:p>
    <w:p w:rsidR="007A38B7" w:rsidRDefault="007A38B7" w:rsidP="007E7836">
      <w:pPr>
        <w:rPr>
          <w:rFonts w:cs="Arial"/>
        </w:rPr>
      </w:pPr>
    </w:p>
    <w:p w:rsidR="007A38B7" w:rsidRDefault="007A38B7" w:rsidP="007E7836">
      <w:pPr>
        <w:rPr>
          <w:rFonts w:cs="Arial"/>
        </w:rPr>
      </w:pPr>
    </w:p>
    <w:p w:rsidR="007A38B7" w:rsidRPr="007E7836" w:rsidRDefault="007A38B7" w:rsidP="007E7836">
      <w:pPr>
        <w:rPr>
          <w:rFonts w:cs="Arial"/>
        </w:rPr>
      </w:pPr>
    </w:p>
    <w:sectPr w:rsidR="007A38B7" w:rsidRPr="007E7836" w:rsidSect="000731E9">
      <w:headerReference w:type="default" r:id="rId49"/>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8C" w:rsidRDefault="00E4198C">
      <w:r>
        <w:separator/>
      </w:r>
    </w:p>
  </w:endnote>
  <w:endnote w:type="continuationSeparator" w:id="0">
    <w:p w:rsidR="00E4198C" w:rsidRDefault="00E4198C">
      <w:r>
        <w:continuationSeparator/>
      </w:r>
    </w:p>
  </w:endnote>
  <w:endnote w:id="1">
    <w:p w:rsidR="00E4198C" w:rsidRPr="00A95FF0" w:rsidRDefault="00E4198C" w:rsidP="001C3A58">
      <w:pPr>
        <w:pStyle w:val="EndnoteText"/>
      </w:pPr>
      <w:r w:rsidRPr="002F19B7">
        <w:rPr>
          <w:rStyle w:val="EndnoteReference"/>
          <w:szCs w:val="16"/>
        </w:rPr>
        <w:endnoteRef/>
      </w:r>
      <w:r w:rsidRPr="002F19B7">
        <w:t xml:space="preserve"> </w:t>
      </w:r>
      <w:r w:rsidRPr="002F19B7">
        <w:tab/>
      </w:r>
      <w:r w:rsidRPr="00A95FF0">
        <w:rPr>
          <w:highlight w:val="lightGray"/>
        </w:rPr>
        <w:t>The CAJ, at its seventieth session, held in Geneva on October 13, 2014, noted that document UPOV/INF/22/1 Draft 1” Software and Equipment Us</w:t>
      </w:r>
      <w:r>
        <w:rPr>
          <w:highlight w:val="lightGray"/>
        </w:rPr>
        <w:t>ed by Members of the Union” would</w:t>
      </w:r>
      <w:r w:rsidRPr="00A95FF0">
        <w:rPr>
          <w:highlight w:val="lightGray"/>
        </w:rPr>
        <w:t xml:space="preserve"> be considered by the Council in October 2014.  The CAJ agree</w:t>
      </w:r>
      <w:r>
        <w:rPr>
          <w:highlight w:val="lightGray"/>
        </w:rPr>
        <w:t xml:space="preserve">d to update this section with </w:t>
      </w:r>
      <w:r w:rsidRPr="00A95FF0">
        <w:rPr>
          <w:highlight w:val="lightGray"/>
        </w:rPr>
        <w:t>ref</w:t>
      </w:r>
      <w:r>
        <w:rPr>
          <w:highlight w:val="lightGray"/>
        </w:rPr>
        <w:t>erences to document UPOV/INF/22</w:t>
      </w:r>
      <w:r w:rsidRPr="00A95FF0">
        <w:rPr>
          <w:highlight w:val="lightGray"/>
        </w:rPr>
        <w:t xml:space="preserve"> once adopted by the Council</w:t>
      </w:r>
      <w:r>
        <w:rPr>
          <w:highlight w:val="lightGray"/>
        </w:rPr>
        <w:t xml:space="preserve"> (see documents UPOV/INF/15/3 Draft 1 and CAJ/70/10 “Report on the Conclusions”, paragraph 22)</w:t>
      </w:r>
      <w:r w:rsidRPr="00A95FF0">
        <w:rPr>
          <w:highlight w:val="lightGray"/>
        </w:rPr>
        <w:t>.</w:t>
      </w:r>
    </w:p>
  </w:endnote>
  <w:endnote w:id="2">
    <w:p w:rsidR="00E4198C" w:rsidRDefault="00E4198C">
      <w:pPr>
        <w:pStyle w:val="EndnoteText"/>
      </w:pPr>
      <w:r w:rsidRPr="00D623E0">
        <w:rPr>
          <w:rStyle w:val="EndnoteReference"/>
        </w:rPr>
        <w:endnoteRef/>
      </w:r>
      <w:r w:rsidRPr="00D623E0">
        <w:t xml:space="preserve"> </w:t>
      </w:r>
      <w:r w:rsidRPr="00D623E0">
        <w:tab/>
      </w:r>
      <w:r w:rsidRPr="00A95FF0">
        <w:rPr>
          <w:highlight w:val="lightGray"/>
        </w:rPr>
        <w:t>The CAJ, at its seventieth session, held in Geneva on October 13, 2014, agreed that further text may be developed in future in accordance with the project  for the development of a UPOV electronic application form</w:t>
      </w:r>
      <w:r>
        <w:rPr>
          <w:highlight w:val="lightGray"/>
        </w:rPr>
        <w:t xml:space="preserve"> (see documents UPOV/INF/15/3 Draft 1 and CAJ/70/10 “Report on the Conclusions”, paragraph 22)</w:t>
      </w:r>
      <w:r w:rsidRPr="00A95FF0">
        <w:rPr>
          <w:highlight w:val="lightGray"/>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8C" w:rsidRDefault="00E4198C" w:rsidP="00956B1D">
      <w:pPr>
        <w:spacing w:before="120"/>
      </w:pPr>
      <w:r>
        <w:separator/>
      </w:r>
    </w:p>
  </w:footnote>
  <w:footnote w:type="continuationSeparator" w:id="0">
    <w:p w:rsidR="00E4198C" w:rsidRDefault="00E4198C">
      <w:r>
        <w:continuationSeparator/>
      </w:r>
    </w:p>
  </w:footnote>
  <w:footnote w:id="1">
    <w:p w:rsidR="00E4198C" w:rsidRDefault="00E4198C" w:rsidP="00C369ED">
      <w:pPr>
        <w:pStyle w:val="FootnoteText"/>
      </w:pPr>
      <w:r w:rsidRPr="00D3222E">
        <w:rPr>
          <w:rStyle w:val="FootnoteReference"/>
          <w:highlight w:val="lightGray"/>
        </w:rPr>
        <w:footnoteRef/>
      </w:r>
      <w:r>
        <w:rPr>
          <w:highlight w:val="lightGray"/>
        </w:rPr>
        <w:tab/>
        <w:t xml:space="preserve">See Article 30 of the 1991 Act of the UPOV Convention and </w:t>
      </w:r>
      <w:r w:rsidRPr="00D3222E">
        <w:rPr>
          <w:highlight w:val="lightGray"/>
        </w:rPr>
        <w:t>of the 1978 Act of the UPOV Convention.</w:t>
      </w:r>
    </w:p>
  </w:footnote>
  <w:footnote w:id="2">
    <w:p w:rsidR="00E4198C" w:rsidRPr="00C369ED" w:rsidRDefault="00E4198C" w:rsidP="00C369ED">
      <w:pPr>
        <w:pStyle w:val="FootnoteText"/>
      </w:pPr>
      <w:r w:rsidRPr="00C369ED">
        <w:rPr>
          <w:rStyle w:val="FootnoteReference"/>
        </w:rPr>
        <w:footnoteRef/>
      </w:r>
      <w:r w:rsidRPr="00C369ED">
        <w:tab/>
        <w:t>The corresponding provision of the 1978 Act of the UPOV Convention can be found in Article 16(1).</w:t>
      </w:r>
    </w:p>
  </w:footnote>
  <w:footnote w:id="3">
    <w:p w:rsidR="00E4198C" w:rsidRPr="00C369ED" w:rsidRDefault="00E4198C" w:rsidP="00C369ED">
      <w:pPr>
        <w:pStyle w:val="FootnoteText"/>
      </w:pPr>
      <w:r w:rsidRPr="00C369ED">
        <w:rPr>
          <w:rStyle w:val="FootnoteReference"/>
        </w:rPr>
        <w:footnoteRef/>
      </w:r>
      <w:r w:rsidRPr="00C369ED">
        <w:t xml:space="preserve"> </w:t>
      </w:r>
      <w:r w:rsidRPr="00C369ED">
        <w:tab/>
        <w:t>See Article 35(2)(d)(e)(f) and (g) of the 1978 Act of the UPOV Convention.</w:t>
      </w:r>
    </w:p>
  </w:footnote>
  <w:footnote w:id="4">
    <w:p w:rsidR="00E4198C" w:rsidRPr="00C369ED" w:rsidRDefault="00E4198C" w:rsidP="00C369ED">
      <w:pPr>
        <w:pStyle w:val="FootnoteText"/>
      </w:pPr>
      <w:r w:rsidRPr="00C369ED">
        <w:rPr>
          <w:rStyle w:val="FootnoteReference"/>
        </w:rPr>
        <w:footnoteRef/>
      </w:r>
      <w:r w:rsidRPr="00C369ED">
        <w:t xml:space="preserve"> </w:t>
      </w:r>
      <w:r w:rsidRPr="00C369ED">
        <w:tab/>
      </w:r>
      <w:r w:rsidRPr="00C369ED">
        <w:rPr>
          <w:szCs w:val="24"/>
        </w:rPr>
        <w:t xml:space="preserve">Document </w:t>
      </w:r>
      <w:hyperlink r:id="rId1" w:history="1">
        <w:r w:rsidRPr="00C369ED">
          <w:rPr>
            <w:rStyle w:val="Hyperlink"/>
            <w:szCs w:val="24"/>
            <w:u w:val="none"/>
          </w:rPr>
          <w:t>UPOV/INF/13</w:t>
        </w:r>
      </w:hyperlink>
      <w:r w:rsidRPr="00C369ED">
        <w:rPr>
          <w:szCs w:val="24"/>
        </w:rPr>
        <w:t xml:space="preserve"> provides “Guidance on How to Become a Member of UPOV” and document </w:t>
      </w:r>
      <w:hyperlink r:id="rId2" w:history="1">
        <w:r w:rsidRPr="00C369ED">
          <w:rPr>
            <w:rStyle w:val="Hyperlink"/>
            <w:szCs w:val="24"/>
            <w:u w:val="none"/>
          </w:rPr>
          <w:t>UPOV/INF/14</w:t>
        </w:r>
      </w:hyperlink>
      <w:r w:rsidRPr="00C369ED">
        <w:rPr>
          <w:szCs w:val="24"/>
        </w:rPr>
        <w:t xml:space="preserve"> provides “</w:t>
      </w:r>
      <w:r w:rsidRPr="00C369ED">
        <w:t>Guidance for Members of UPOV on How to Ratify, or Accede to, the 1991 Act of the UPOV Convention”</w:t>
      </w:r>
      <w:r w:rsidRPr="00C369ED">
        <w:rPr>
          <w:szCs w:val="24"/>
        </w:rPr>
        <w:t>.</w:t>
      </w:r>
    </w:p>
  </w:footnote>
  <w:footnote w:id="5">
    <w:p w:rsidR="00E4198C" w:rsidRPr="00915294" w:rsidRDefault="00E4198C" w:rsidP="00C369ED">
      <w:pPr>
        <w:pStyle w:val="FootnoteText"/>
      </w:pPr>
      <w:r w:rsidRPr="00C369ED">
        <w:rPr>
          <w:rStyle w:val="FootnoteReference"/>
        </w:rPr>
        <w:footnoteRef/>
      </w:r>
      <w:r w:rsidRPr="00C369ED">
        <w:t xml:space="preserve"> </w:t>
      </w:r>
      <w:r w:rsidRPr="00C369ED">
        <w:tab/>
        <w:t>See Article 35(2)(a)(b) and (c) of the 1978 Act of the UPOV Convention.</w:t>
      </w:r>
    </w:p>
  </w:footnote>
  <w:footnote w:id="6">
    <w:p w:rsidR="00E4198C" w:rsidRPr="00915294" w:rsidRDefault="00E4198C" w:rsidP="00C369ED">
      <w:pPr>
        <w:pStyle w:val="FootnoteText"/>
      </w:pPr>
      <w:r>
        <w:rPr>
          <w:rStyle w:val="FootnoteReference"/>
        </w:rPr>
        <w:footnoteRef/>
      </w:r>
      <w:r w:rsidRPr="00915294">
        <w:t xml:space="preserve"> </w:t>
      </w:r>
      <w:r w:rsidRPr="00915294">
        <w:tab/>
      </w:r>
      <w:r w:rsidRPr="00915294">
        <w:rPr>
          <w:szCs w:val="24"/>
        </w:rPr>
        <w:t xml:space="preserve">Document </w:t>
      </w:r>
      <w:hyperlink r:id="rId3" w:history="1">
        <w:r w:rsidRPr="000F368F">
          <w:rPr>
            <w:rStyle w:val="Hyperlink"/>
            <w:szCs w:val="24"/>
          </w:rPr>
          <w:t>UPOV/INF/13</w:t>
        </w:r>
      </w:hyperlink>
      <w:r w:rsidRPr="00915294">
        <w:rPr>
          <w:szCs w:val="24"/>
        </w:rPr>
        <w:t xml:space="preserve"> provides “Guidance on How to Become a Member of UPOV” and document </w:t>
      </w:r>
      <w:hyperlink r:id="rId4" w:history="1">
        <w:r w:rsidRPr="000F368F">
          <w:rPr>
            <w:rStyle w:val="Hyperlink"/>
            <w:szCs w:val="24"/>
          </w:rPr>
          <w:t>UPOV/INF/14</w:t>
        </w:r>
      </w:hyperlink>
      <w:r w:rsidRPr="00915294">
        <w:rPr>
          <w:szCs w:val="24"/>
        </w:rPr>
        <w:t xml:space="preserve"> provides “</w:t>
      </w:r>
      <w:r w:rsidRPr="00915294">
        <w:t>Guidance for Members of UPOV on How to Ratify, or Accede to, the 1991 Act of the UPOV Convention”</w:t>
      </w:r>
      <w:r w:rsidRPr="00915294">
        <w:rPr>
          <w:szCs w:val="24"/>
        </w:rPr>
        <w:t>.</w:t>
      </w:r>
    </w:p>
  </w:footnote>
  <w:footnote w:id="7">
    <w:p w:rsidR="00E4198C" w:rsidRPr="00915294" w:rsidRDefault="00E4198C" w:rsidP="00C369ED">
      <w:pPr>
        <w:pStyle w:val="FootnoteText"/>
      </w:pPr>
      <w:r>
        <w:rPr>
          <w:rStyle w:val="FootnoteReference"/>
        </w:rPr>
        <w:footnoteRef/>
      </w:r>
      <w:r w:rsidRPr="00915294">
        <w:t xml:space="preserve"> </w:t>
      </w:r>
      <w:r w:rsidRPr="00915294">
        <w:tab/>
        <w:t xml:space="preserve">See </w:t>
      </w:r>
      <w:r w:rsidRPr="00915294">
        <w:rPr>
          <w:szCs w:val="24"/>
        </w:rPr>
        <w:t xml:space="preserve">Article 29 of the 1991 Act of the UPOV Convention and </w:t>
      </w:r>
      <w:r w:rsidRPr="00915294">
        <w:t>Article 26 of the 1978 Act of the UPOV Convention.</w:t>
      </w:r>
    </w:p>
  </w:footnote>
  <w:footnote w:id="8">
    <w:p w:rsidR="00E4198C" w:rsidRPr="00A26477" w:rsidRDefault="00E4198C" w:rsidP="0029660D">
      <w:pPr>
        <w:ind w:left="567" w:hanging="567"/>
        <w:rPr>
          <w:sz w:val="16"/>
        </w:rPr>
      </w:pPr>
      <w:r w:rsidRPr="00977F76">
        <w:rPr>
          <w:vertAlign w:val="superscript"/>
        </w:rPr>
        <w:footnoteRef/>
      </w:r>
      <w:r>
        <w:rPr>
          <w:rStyle w:val="FootnoteTextChar"/>
        </w:rPr>
        <w:tab/>
      </w:r>
      <w:r w:rsidRPr="00977F76">
        <w:rPr>
          <w:rStyle w:val="FootnoteTextChar"/>
        </w:rPr>
        <w:t>Please note that this table is provided for illustrative purposes and may be out of date at the time of reading:  the link to the current table of contents is provided in the text above.</w:t>
      </w:r>
    </w:p>
  </w:footnote>
  <w:footnote w:id="9">
    <w:p w:rsidR="00E4198C" w:rsidRDefault="00E4198C" w:rsidP="00DA4586">
      <w:pPr>
        <w:ind w:left="567" w:hanging="567"/>
      </w:pPr>
      <w:r w:rsidRPr="00C0236D">
        <w:rPr>
          <w:vertAlign w:val="superscript"/>
        </w:rPr>
        <w:footnoteRef/>
      </w:r>
      <w:r>
        <w:tab/>
      </w:r>
      <w:r w:rsidRPr="00B64E72">
        <w:rPr>
          <w:rStyle w:val="FootnoteTextChar"/>
          <w:highlight w:val="lightGray"/>
        </w:rPr>
        <w:t>The notes in the above diagram relate to the administration of examination and are explained in Section 2 “Administration of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8C" w:rsidRPr="00C03C1D" w:rsidRDefault="00E4198C">
    <w:pPr>
      <w:jc w:val="center"/>
    </w:pPr>
    <w:r>
      <w:t>UPOV/INF/15/3 Draft 2</w:t>
    </w:r>
  </w:p>
  <w:p w:rsidR="00E4198C" w:rsidRPr="00C03C1D" w:rsidRDefault="00E4198C">
    <w:pPr>
      <w:jc w:val="center"/>
    </w:pPr>
    <w:r w:rsidRPr="00C03C1D">
      <w:t xml:space="preserve">page </w:t>
    </w:r>
    <w:r>
      <w:fldChar w:fldCharType="begin"/>
    </w:r>
    <w:r w:rsidRPr="00C03C1D">
      <w:instrText xml:space="preserve"> PAGE  \* MERGEFORMAT </w:instrText>
    </w:r>
    <w:r>
      <w:fldChar w:fldCharType="separate"/>
    </w:r>
    <w:r w:rsidR="00171B99">
      <w:rPr>
        <w:noProof/>
      </w:rPr>
      <w:t>14</w:t>
    </w:r>
    <w:r>
      <w:fldChar w:fldCharType="end"/>
    </w:r>
  </w:p>
  <w:p w:rsidR="00E4198C" w:rsidRPr="00C03C1D" w:rsidRDefault="00E4198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90D18"/>
    <w:multiLevelType w:val="hybridMultilevel"/>
    <w:tmpl w:val="5B40221A"/>
    <w:lvl w:ilvl="0" w:tplc="94DA0FB2">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47D217C8"/>
    <w:multiLevelType w:val="hybridMultilevel"/>
    <w:tmpl w:val="9858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747B3"/>
    <w:multiLevelType w:val="hybridMultilevel"/>
    <w:tmpl w:val="9354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C348B"/>
    <w:multiLevelType w:val="hybridMultilevel"/>
    <w:tmpl w:val="CD1E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23555"/>
    <w:multiLevelType w:val="hybridMultilevel"/>
    <w:tmpl w:val="44C0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044F25"/>
    <w:multiLevelType w:val="hybridMultilevel"/>
    <w:tmpl w:val="72D4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00B4C"/>
    <w:multiLevelType w:val="hybridMultilevel"/>
    <w:tmpl w:val="BDB44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9"/>
  </w:num>
  <w:num w:numId="6">
    <w:abstractNumId w:val="4"/>
  </w:num>
  <w:num w:numId="7">
    <w:abstractNumId w:val="2"/>
  </w:num>
  <w:num w:numId="8">
    <w:abstractNumId w:val="3"/>
  </w:num>
  <w:num w:numId="9">
    <w:abstractNumId w:val="5"/>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A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E9"/>
    <w:rsid w:val="00000531"/>
    <w:rsid w:val="000031A2"/>
    <w:rsid w:val="00004E4E"/>
    <w:rsid w:val="00005853"/>
    <w:rsid w:val="0000682E"/>
    <w:rsid w:val="00006D0B"/>
    <w:rsid w:val="00010597"/>
    <w:rsid w:val="00010D9E"/>
    <w:rsid w:val="000119CD"/>
    <w:rsid w:val="00011C93"/>
    <w:rsid w:val="000126EB"/>
    <w:rsid w:val="000134B6"/>
    <w:rsid w:val="000162E4"/>
    <w:rsid w:val="0001787D"/>
    <w:rsid w:val="000208DA"/>
    <w:rsid w:val="000215D1"/>
    <w:rsid w:val="00023EDE"/>
    <w:rsid w:val="00025909"/>
    <w:rsid w:val="000267B9"/>
    <w:rsid w:val="00026914"/>
    <w:rsid w:val="000271F8"/>
    <w:rsid w:val="00027E91"/>
    <w:rsid w:val="000302E9"/>
    <w:rsid w:val="0003057A"/>
    <w:rsid w:val="00031095"/>
    <w:rsid w:val="000313D2"/>
    <w:rsid w:val="00032099"/>
    <w:rsid w:val="000351A2"/>
    <w:rsid w:val="00035D04"/>
    <w:rsid w:val="00036210"/>
    <w:rsid w:val="000362B4"/>
    <w:rsid w:val="00037034"/>
    <w:rsid w:val="0003732E"/>
    <w:rsid w:val="00040547"/>
    <w:rsid w:val="0004179D"/>
    <w:rsid w:val="00044035"/>
    <w:rsid w:val="00045EE0"/>
    <w:rsid w:val="00046148"/>
    <w:rsid w:val="00047094"/>
    <w:rsid w:val="000477D6"/>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1E9"/>
    <w:rsid w:val="00074168"/>
    <w:rsid w:val="00074B8E"/>
    <w:rsid w:val="00074B97"/>
    <w:rsid w:val="00074C3D"/>
    <w:rsid w:val="000762E5"/>
    <w:rsid w:val="00076651"/>
    <w:rsid w:val="00077138"/>
    <w:rsid w:val="00080744"/>
    <w:rsid w:val="00082605"/>
    <w:rsid w:val="00082F8A"/>
    <w:rsid w:val="000834B1"/>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97A20"/>
    <w:rsid w:val="000A0D14"/>
    <w:rsid w:val="000A16C8"/>
    <w:rsid w:val="000A1D0F"/>
    <w:rsid w:val="000A2039"/>
    <w:rsid w:val="000A242A"/>
    <w:rsid w:val="000A2F5D"/>
    <w:rsid w:val="000A3293"/>
    <w:rsid w:val="000A32D0"/>
    <w:rsid w:val="000A4E01"/>
    <w:rsid w:val="000A6D32"/>
    <w:rsid w:val="000B011B"/>
    <w:rsid w:val="000B087C"/>
    <w:rsid w:val="000B2607"/>
    <w:rsid w:val="000B3512"/>
    <w:rsid w:val="000B408C"/>
    <w:rsid w:val="000B4F2D"/>
    <w:rsid w:val="000B5B01"/>
    <w:rsid w:val="000B6276"/>
    <w:rsid w:val="000B7393"/>
    <w:rsid w:val="000C219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E6AF9"/>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FC"/>
    <w:rsid w:val="00120461"/>
    <w:rsid w:val="00122F6C"/>
    <w:rsid w:val="0013000A"/>
    <w:rsid w:val="00130571"/>
    <w:rsid w:val="00131413"/>
    <w:rsid w:val="00131973"/>
    <w:rsid w:val="00133122"/>
    <w:rsid w:val="00133DEF"/>
    <w:rsid w:val="001350AE"/>
    <w:rsid w:val="0013633B"/>
    <w:rsid w:val="001401B9"/>
    <w:rsid w:val="0014026E"/>
    <w:rsid w:val="001402D6"/>
    <w:rsid w:val="00142FE8"/>
    <w:rsid w:val="00144CD3"/>
    <w:rsid w:val="00150252"/>
    <w:rsid w:val="001503D6"/>
    <w:rsid w:val="00150A66"/>
    <w:rsid w:val="00151207"/>
    <w:rsid w:val="00151E6C"/>
    <w:rsid w:val="00152C1F"/>
    <w:rsid w:val="00153DB6"/>
    <w:rsid w:val="00154CD6"/>
    <w:rsid w:val="0015629B"/>
    <w:rsid w:val="00157840"/>
    <w:rsid w:val="001619D7"/>
    <w:rsid w:val="00161C39"/>
    <w:rsid w:val="00162259"/>
    <w:rsid w:val="00162273"/>
    <w:rsid w:val="001623A0"/>
    <w:rsid w:val="001641C6"/>
    <w:rsid w:val="00165579"/>
    <w:rsid w:val="00167EC8"/>
    <w:rsid w:val="001703F3"/>
    <w:rsid w:val="001706B9"/>
    <w:rsid w:val="00171B99"/>
    <w:rsid w:val="00176502"/>
    <w:rsid w:val="00177001"/>
    <w:rsid w:val="00177708"/>
    <w:rsid w:val="0017786C"/>
    <w:rsid w:val="00177A66"/>
    <w:rsid w:val="00180802"/>
    <w:rsid w:val="001811B0"/>
    <w:rsid w:val="001815F2"/>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2F3D"/>
    <w:rsid w:val="001C3A58"/>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A3E"/>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AD0"/>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7EA"/>
    <w:rsid w:val="00233B80"/>
    <w:rsid w:val="00233F1F"/>
    <w:rsid w:val="00236F3A"/>
    <w:rsid w:val="002403C8"/>
    <w:rsid w:val="00240860"/>
    <w:rsid w:val="002432FA"/>
    <w:rsid w:val="00243953"/>
    <w:rsid w:val="0024534B"/>
    <w:rsid w:val="002453DC"/>
    <w:rsid w:val="00245FF4"/>
    <w:rsid w:val="0024755E"/>
    <w:rsid w:val="002509D7"/>
    <w:rsid w:val="00255928"/>
    <w:rsid w:val="002560D7"/>
    <w:rsid w:val="00256210"/>
    <w:rsid w:val="00260B84"/>
    <w:rsid w:val="00260EEA"/>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60D"/>
    <w:rsid w:val="00297213"/>
    <w:rsid w:val="002973EA"/>
    <w:rsid w:val="00297B8D"/>
    <w:rsid w:val="002A07D0"/>
    <w:rsid w:val="002A0A33"/>
    <w:rsid w:val="002A29A5"/>
    <w:rsid w:val="002A3501"/>
    <w:rsid w:val="002A3544"/>
    <w:rsid w:val="002A3D46"/>
    <w:rsid w:val="002A56B5"/>
    <w:rsid w:val="002A5A71"/>
    <w:rsid w:val="002A5ECE"/>
    <w:rsid w:val="002A60E6"/>
    <w:rsid w:val="002A7756"/>
    <w:rsid w:val="002B25C7"/>
    <w:rsid w:val="002B358F"/>
    <w:rsid w:val="002B3CB7"/>
    <w:rsid w:val="002B424B"/>
    <w:rsid w:val="002B52E9"/>
    <w:rsid w:val="002B5EB6"/>
    <w:rsid w:val="002B6038"/>
    <w:rsid w:val="002C5439"/>
    <w:rsid w:val="002C6605"/>
    <w:rsid w:val="002D0C29"/>
    <w:rsid w:val="002D0ED1"/>
    <w:rsid w:val="002D2714"/>
    <w:rsid w:val="002D3B17"/>
    <w:rsid w:val="002D4388"/>
    <w:rsid w:val="002D5C64"/>
    <w:rsid w:val="002D6048"/>
    <w:rsid w:val="002E0B31"/>
    <w:rsid w:val="002E1869"/>
    <w:rsid w:val="002E1F19"/>
    <w:rsid w:val="002E216C"/>
    <w:rsid w:val="002E3CF7"/>
    <w:rsid w:val="002E4C89"/>
    <w:rsid w:val="002E6194"/>
    <w:rsid w:val="002E6989"/>
    <w:rsid w:val="002E6D07"/>
    <w:rsid w:val="002F19B7"/>
    <w:rsid w:val="002F1D59"/>
    <w:rsid w:val="002F1E5B"/>
    <w:rsid w:val="002F2E7D"/>
    <w:rsid w:val="002F36CE"/>
    <w:rsid w:val="002F5834"/>
    <w:rsid w:val="002F69BD"/>
    <w:rsid w:val="002F7C69"/>
    <w:rsid w:val="002F7F8A"/>
    <w:rsid w:val="0030034C"/>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14FB"/>
    <w:rsid w:val="003234D6"/>
    <w:rsid w:val="00324537"/>
    <w:rsid w:val="00324F66"/>
    <w:rsid w:val="00325B84"/>
    <w:rsid w:val="00326F73"/>
    <w:rsid w:val="00327307"/>
    <w:rsid w:val="00330C10"/>
    <w:rsid w:val="00331AFF"/>
    <w:rsid w:val="00333E8A"/>
    <w:rsid w:val="00333FD9"/>
    <w:rsid w:val="0033584D"/>
    <w:rsid w:val="00335A41"/>
    <w:rsid w:val="00335F46"/>
    <w:rsid w:val="00336624"/>
    <w:rsid w:val="003371B8"/>
    <w:rsid w:val="00341784"/>
    <w:rsid w:val="00341EC2"/>
    <w:rsid w:val="003435C7"/>
    <w:rsid w:val="00343605"/>
    <w:rsid w:val="003458C7"/>
    <w:rsid w:val="00345907"/>
    <w:rsid w:val="00347BF6"/>
    <w:rsid w:val="00347FC6"/>
    <w:rsid w:val="00350C7F"/>
    <w:rsid w:val="003510E5"/>
    <w:rsid w:val="00351280"/>
    <w:rsid w:val="00352499"/>
    <w:rsid w:val="003526C7"/>
    <w:rsid w:val="003526EA"/>
    <w:rsid w:val="00354B79"/>
    <w:rsid w:val="0035533A"/>
    <w:rsid w:val="003624A3"/>
    <w:rsid w:val="00364D90"/>
    <w:rsid w:val="0036717D"/>
    <w:rsid w:val="003674E8"/>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3B23"/>
    <w:rsid w:val="00394208"/>
    <w:rsid w:val="00396AC0"/>
    <w:rsid w:val="0039770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2932"/>
    <w:rsid w:val="003B5C6C"/>
    <w:rsid w:val="003B670A"/>
    <w:rsid w:val="003B74CD"/>
    <w:rsid w:val="003C0C8B"/>
    <w:rsid w:val="003C13EA"/>
    <w:rsid w:val="003C18DB"/>
    <w:rsid w:val="003C1C4A"/>
    <w:rsid w:val="003C362A"/>
    <w:rsid w:val="003C5DB7"/>
    <w:rsid w:val="003C5EDD"/>
    <w:rsid w:val="003C681B"/>
    <w:rsid w:val="003C7AC0"/>
    <w:rsid w:val="003D15FB"/>
    <w:rsid w:val="003D2303"/>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4D78"/>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27CDF"/>
    <w:rsid w:val="00430280"/>
    <w:rsid w:val="00431391"/>
    <w:rsid w:val="004316B8"/>
    <w:rsid w:val="00431CE0"/>
    <w:rsid w:val="00434FEF"/>
    <w:rsid w:val="004401FC"/>
    <w:rsid w:val="00443537"/>
    <w:rsid w:val="00443CED"/>
    <w:rsid w:val="0044533D"/>
    <w:rsid w:val="00445492"/>
    <w:rsid w:val="004454BC"/>
    <w:rsid w:val="00445ACB"/>
    <w:rsid w:val="004462C7"/>
    <w:rsid w:val="00450C7C"/>
    <w:rsid w:val="00450EA5"/>
    <w:rsid w:val="00450F56"/>
    <w:rsid w:val="0045152B"/>
    <w:rsid w:val="00453467"/>
    <w:rsid w:val="00454DA1"/>
    <w:rsid w:val="00455A72"/>
    <w:rsid w:val="00455D1A"/>
    <w:rsid w:val="00455E1A"/>
    <w:rsid w:val="00456782"/>
    <w:rsid w:val="004568CB"/>
    <w:rsid w:val="00457BE7"/>
    <w:rsid w:val="00460BD6"/>
    <w:rsid w:val="00460E18"/>
    <w:rsid w:val="00460EA3"/>
    <w:rsid w:val="004610F3"/>
    <w:rsid w:val="0046292B"/>
    <w:rsid w:val="00462AA7"/>
    <w:rsid w:val="00462E28"/>
    <w:rsid w:val="00463180"/>
    <w:rsid w:val="00464F66"/>
    <w:rsid w:val="004663DB"/>
    <w:rsid w:val="004665EE"/>
    <w:rsid w:val="0046680F"/>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904"/>
    <w:rsid w:val="004F3F7A"/>
    <w:rsid w:val="004F5285"/>
    <w:rsid w:val="004F53E9"/>
    <w:rsid w:val="004F5D28"/>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4CD"/>
    <w:rsid w:val="00517B9F"/>
    <w:rsid w:val="005205F9"/>
    <w:rsid w:val="005208F4"/>
    <w:rsid w:val="005209BD"/>
    <w:rsid w:val="00520A99"/>
    <w:rsid w:val="00520F91"/>
    <w:rsid w:val="00521A61"/>
    <w:rsid w:val="00521DA2"/>
    <w:rsid w:val="00524E0C"/>
    <w:rsid w:val="00526F62"/>
    <w:rsid w:val="005311B3"/>
    <w:rsid w:val="0053160D"/>
    <w:rsid w:val="005316AC"/>
    <w:rsid w:val="005323AC"/>
    <w:rsid w:val="005336FA"/>
    <w:rsid w:val="0053459C"/>
    <w:rsid w:val="005348B3"/>
    <w:rsid w:val="00534EFE"/>
    <w:rsid w:val="00536A22"/>
    <w:rsid w:val="00537F5C"/>
    <w:rsid w:val="005404AF"/>
    <w:rsid w:val="005413FF"/>
    <w:rsid w:val="0054147B"/>
    <w:rsid w:val="005414AE"/>
    <w:rsid w:val="00541C83"/>
    <w:rsid w:val="005425A5"/>
    <w:rsid w:val="00543F37"/>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2C38"/>
    <w:rsid w:val="005735D3"/>
    <w:rsid w:val="00573DD3"/>
    <w:rsid w:val="00575D98"/>
    <w:rsid w:val="00576802"/>
    <w:rsid w:val="00576BB3"/>
    <w:rsid w:val="0057732C"/>
    <w:rsid w:val="00577430"/>
    <w:rsid w:val="00577CFB"/>
    <w:rsid w:val="005806A7"/>
    <w:rsid w:val="00582B03"/>
    <w:rsid w:val="00584304"/>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1A0C"/>
    <w:rsid w:val="005A2310"/>
    <w:rsid w:val="005A291D"/>
    <w:rsid w:val="005A2C11"/>
    <w:rsid w:val="005A368F"/>
    <w:rsid w:val="005A398D"/>
    <w:rsid w:val="005B0457"/>
    <w:rsid w:val="005B1117"/>
    <w:rsid w:val="005B19E0"/>
    <w:rsid w:val="005B3875"/>
    <w:rsid w:val="005B3F9D"/>
    <w:rsid w:val="005B414B"/>
    <w:rsid w:val="005B4488"/>
    <w:rsid w:val="005B5B33"/>
    <w:rsid w:val="005B6087"/>
    <w:rsid w:val="005B6E11"/>
    <w:rsid w:val="005C05D5"/>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66"/>
    <w:rsid w:val="005F56C7"/>
    <w:rsid w:val="005F6641"/>
    <w:rsid w:val="005F69DD"/>
    <w:rsid w:val="005F6A20"/>
    <w:rsid w:val="005F6B6F"/>
    <w:rsid w:val="005F703B"/>
    <w:rsid w:val="00600FF7"/>
    <w:rsid w:val="00601B8D"/>
    <w:rsid w:val="0060205C"/>
    <w:rsid w:val="0060461A"/>
    <w:rsid w:val="006052F7"/>
    <w:rsid w:val="00607181"/>
    <w:rsid w:val="006071E8"/>
    <w:rsid w:val="00607DE4"/>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63DC"/>
    <w:rsid w:val="0063640D"/>
    <w:rsid w:val="006376C3"/>
    <w:rsid w:val="0064223D"/>
    <w:rsid w:val="00642B0B"/>
    <w:rsid w:val="00643761"/>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01E"/>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00"/>
    <w:rsid w:val="006E193B"/>
    <w:rsid w:val="006E2B83"/>
    <w:rsid w:val="006E2C68"/>
    <w:rsid w:val="006E3A5F"/>
    <w:rsid w:val="006E3A8E"/>
    <w:rsid w:val="006E4B09"/>
    <w:rsid w:val="006E4E4E"/>
    <w:rsid w:val="006E5537"/>
    <w:rsid w:val="006E5D43"/>
    <w:rsid w:val="006E752D"/>
    <w:rsid w:val="006E757B"/>
    <w:rsid w:val="006F12AA"/>
    <w:rsid w:val="006F12B9"/>
    <w:rsid w:val="006F14D7"/>
    <w:rsid w:val="006F1D2A"/>
    <w:rsid w:val="006F2D79"/>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3FF7"/>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A86"/>
    <w:rsid w:val="00740E84"/>
    <w:rsid w:val="00744567"/>
    <w:rsid w:val="00744A8F"/>
    <w:rsid w:val="00744F57"/>
    <w:rsid w:val="007465E7"/>
    <w:rsid w:val="0074690D"/>
    <w:rsid w:val="00746A78"/>
    <w:rsid w:val="00747C42"/>
    <w:rsid w:val="00750725"/>
    <w:rsid w:val="00751D55"/>
    <w:rsid w:val="0075406E"/>
    <w:rsid w:val="0075571A"/>
    <w:rsid w:val="00757526"/>
    <w:rsid w:val="007623E3"/>
    <w:rsid w:val="00765F03"/>
    <w:rsid w:val="00766AAD"/>
    <w:rsid w:val="00766F6F"/>
    <w:rsid w:val="00767D20"/>
    <w:rsid w:val="00770A36"/>
    <w:rsid w:val="00772A58"/>
    <w:rsid w:val="00773385"/>
    <w:rsid w:val="00774F51"/>
    <w:rsid w:val="00777AEF"/>
    <w:rsid w:val="00777CE2"/>
    <w:rsid w:val="00781062"/>
    <w:rsid w:val="00782E26"/>
    <w:rsid w:val="00782F3D"/>
    <w:rsid w:val="0078367A"/>
    <w:rsid w:val="007840C6"/>
    <w:rsid w:val="0078768C"/>
    <w:rsid w:val="00787C20"/>
    <w:rsid w:val="00791384"/>
    <w:rsid w:val="00793503"/>
    <w:rsid w:val="00793C46"/>
    <w:rsid w:val="00793DE5"/>
    <w:rsid w:val="00795845"/>
    <w:rsid w:val="00795B36"/>
    <w:rsid w:val="00795BDE"/>
    <w:rsid w:val="00795E44"/>
    <w:rsid w:val="00796002"/>
    <w:rsid w:val="00796A83"/>
    <w:rsid w:val="007975E8"/>
    <w:rsid w:val="007A0033"/>
    <w:rsid w:val="007A004A"/>
    <w:rsid w:val="007A38B7"/>
    <w:rsid w:val="007A5B13"/>
    <w:rsid w:val="007A5B1D"/>
    <w:rsid w:val="007A720D"/>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367F"/>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3EE"/>
    <w:rsid w:val="007F1695"/>
    <w:rsid w:val="007F21FC"/>
    <w:rsid w:val="007F2B90"/>
    <w:rsid w:val="007F412B"/>
    <w:rsid w:val="007F5C6F"/>
    <w:rsid w:val="007F6A2B"/>
    <w:rsid w:val="007F7FAA"/>
    <w:rsid w:val="0080101C"/>
    <w:rsid w:val="0080293A"/>
    <w:rsid w:val="00802B83"/>
    <w:rsid w:val="00803D19"/>
    <w:rsid w:val="0080429D"/>
    <w:rsid w:val="0080476C"/>
    <w:rsid w:val="008058F0"/>
    <w:rsid w:val="008059B5"/>
    <w:rsid w:val="0080722A"/>
    <w:rsid w:val="00807C6D"/>
    <w:rsid w:val="008103F4"/>
    <w:rsid w:val="00810ACE"/>
    <w:rsid w:val="00811135"/>
    <w:rsid w:val="00812055"/>
    <w:rsid w:val="00813E1B"/>
    <w:rsid w:val="00814F3A"/>
    <w:rsid w:val="00816A29"/>
    <w:rsid w:val="00817530"/>
    <w:rsid w:val="00820D23"/>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20"/>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7762A"/>
    <w:rsid w:val="008810DA"/>
    <w:rsid w:val="008812F1"/>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C27"/>
    <w:rsid w:val="008B2198"/>
    <w:rsid w:val="008B37C2"/>
    <w:rsid w:val="008B3B75"/>
    <w:rsid w:val="008B40D3"/>
    <w:rsid w:val="008B5358"/>
    <w:rsid w:val="008B56C1"/>
    <w:rsid w:val="008B5F0B"/>
    <w:rsid w:val="008B7933"/>
    <w:rsid w:val="008B7FA7"/>
    <w:rsid w:val="008C039F"/>
    <w:rsid w:val="008C04F9"/>
    <w:rsid w:val="008C1DFC"/>
    <w:rsid w:val="008C31B9"/>
    <w:rsid w:val="008C4616"/>
    <w:rsid w:val="008C529A"/>
    <w:rsid w:val="008C547D"/>
    <w:rsid w:val="008C5F38"/>
    <w:rsid w:val="008C6058"/>
    <w:rsid w:val="008C6C0A"/>
    <w:rsid w:val="008C6DDE"/>
    <w:rsid w:val="008C7833"/>
    <w:rsid w:val="008C7AE6"/>
    <w:rsid w:val="008D0254"/>
    <w:rsid w:val="008D09CC"/>
    <w:rsid w:val="008D1BC4"/>
    <w:rsid w:val="008D4B4B"/>
    <w:rsid w:val="008D4BA5"/>
    <w:rsid w:val="008D5A54"/>
    <w:rsid w:val="008D7478"/>
    <w:rsid w:val="008D7A68"/>
    <w:rsid w:val="008D7E42"/>
    <w:rsid w:val="008D7F3E"/>
    <w:rsid w:val="008E390F"/>
    <w:rsid w:val="008E3A89"/>
    <w:rsid w:val="008E563B"/>
    <w:rsid w:val="008F0D91"/>
    <w:rsid w:val="008F12D4"/>
    <w:rsid w:val="008F1618"/>
    <w:rsid w:val="008F1B06"/>
    <w:rsid w:val="008F1B15"/>
    <w:rsid w:val="008F1F41"/>
    <w:rsid w:val="008F202C"/>
    <w:rsid w:val="008F23A4"/>
    <w:rsid w:val="008F2B52"/>
    <w:rsid w:val="008F2D43"/>
    <w:rsid w:val="008F3258"/>
    <w:rsid w:val="008F408D"/>
    <w:rsid w:val="008F50BC"/>
    <w:rsid w:val="008F57F0"/>
    <w:rsid w:val="008F5816"/>
    <w:rsid w:val="008F59A3"/>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CB7"/>
    <w:rsid w:val="0092588D"/>
    <w:rsid w:val="0092698E"/>
    <w:rsid w:val="00926AB1"/>
    <w:rsid w:val="00927687"/>
    <w:rsid w:val="00930C2D"/>
    <w:rsid w:val="00932055"/>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0E6"/>
    <w:rsid w:val="00946F6F"/>
    <w:rsid w:val="00947E43"/>
    <w:rsid w:val="00953EEC"/>
    <w:rsid w:val="00955A00"/>
    <w:rsid w:val="00955EDA"/>
    <w:rsid w:val="00956325"/>
    <w:rsid w:val="00956B1D"/>
    <w:rsid w:val="009577A3"/>
    <w:rsid w:val="00957FAF"/>
    <w:rsid w:val="0096097B"/>
    <w:rsid w:val="00961FF5"/>
    <w:rsid w:val="009629A3"/>
    <w:rsid w:val="00964C3A"/>
    <w:rsid w:val="00967341"/>
    <w:rsid w:val="00967446"/>
    <w:rsid w:val="00967F0D"/>
    <w:rsid w:val="00967F23"/>
    <w:rsid w:val="00967FC7"/>
    <w:rsid w:val="0097099E"/>
    <w:rsid w:val="00970C66"/>
    <w:rsid w:val="00970FC7"/>
    <w:rsid w:val="00971567"/>
    <w:rsid w:val="00971F8A"/>
    <w:rsid w:val="00972394"/>
    <w:rsid w:val="009724B7"/>
    <w:rsid w:val="00972C6C"/>
    <w:rsid w:val="009731FC"/>
    <w:rsid w:val="00974339"/>
    <w:rsid w:val="009745AD"/>
    <w:rsid w:val="00974ADD"/>
    <w:rsid w:val="00974C12"/>
    <w:rsid w:val="0097511C"/>
    <w:rsid w:val="00975C27"/>
    <w:rsid w:val="00980571"/>
    <w:rsid w:val="00980E7F"/>
    <w:rsid w:val="00983967"/>
    <w:rsid w:val="00984840"/>
    <w:rsid w:val="00985EFC"/>
    <w:rsid w:val="009862F0"/>
    <w:rsid w:val="00986695"/>
    <w:rsid w:val="009866D9"/>
    <w:rsid w:val="0098720C"/>
    <w:rsid w:val="0099093C"/>
    <w:rsid w:val="00990BF1"/>
    <w:rsid w:val="00991598"/>
    <w:rsid w:val="00992028"/>
    <w:rsid w:val="0099214D"/>
    <w:rsid w:val="00992177"/>
    <w:rsid w:val="00992987"/>
    <w:rsid w:val="00992E1A"/>
    <w:rsid w:val="00993AE8"/>
    <w:rsid w:val="009948E9"/>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C2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8F7"/>
    <w:rsid w:val="009E691A"/>
    <w:rsid w:val="009E7723"/>
    <w:rsid w:val="009E7FCD"/>
    <w:rsid w:val="009F1503"/>
    <w:rsid w:val="009F16FE"/>
    <w:rsid w:val="009F3068"/>
    <w:rsid w:val="009F3DF5"/>
    <w:rsid w:val="009F4FC4"/>
    <w:rsid w:val="009F50A6"/>
    <w:rsid w:val="00A005AE"/>
    <w:rsid w:val="00A00E08"/>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93D"/>
    <w:rsid w:val="00A26F3C"/>
    <w:rsid w:val="00A27BC2"/>
    <w:rsid w:val="00A3131D"/>
    <w:rsid w:val="00A32140"/>
    <w:rsid w:val="00A33AC2"/>
    <w:rsid w:val="00A33E1B"/>
    <w:rsid w:val="00A35481"/>
    <w:rsid w:val="00A35725"/>
    <w:rsid w:val="00A364F2"/>
    <w:rsid w:val="00A371BC"/>
    <w:rsid w:val="00A4064E"/>
    <w:rsid w:val="00A41F2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66B8"/>
    <w:rsid w:val="00A6752D"/>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C23"/>
    <w:rsid w:val="00A9313D"/>
    <w:rsid w:val="00A94A1A"/>
    <w:rsid w:val="00A94C29"/>
    <w:rsid w:val="00A95126"/>
    <w:rsid w:val="00A95FF0"/>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4312"/>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332"/>
    <w:rsid w:val="00AD5A35"/>
    <w:rsid w:val="00AD5E55"/>
    <w:rsid w:val="00AD5EF0"/>
    <w:rsid w:val="00AD6279"/>
    <w:rsid w:val="00AD7BA5"/>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6C4B"/>
    <w:rsid w:val="00AF7060"/>
    <w:rsid w:val="00B00FD4"/>
    <w:rsid w:val="00B0149B"/>
    <w:rsid w:val="00B03319"/>
    <w:rsid w:val="00B04D25"/>
    <w:rsid w:val="00B06A49"/>
    <w:rsid w:val="00B0742F"/>
    <w:rsid w:val="00B074DF"/>
    <w:rsid w:val="00B10805"/>
    <w:rsid w:val="00B10F67"/>
    <w:rsid w:val="00B11044"/>
    <w:rsid w:val="00B11198"/>
    <w:rsid w:val="00B118C5"/>
    <w:rsid w:val="00B11E4B"/>
    <w:rsid w:val="00B1354A"/>
    <w:rsid w:val="00B148EF"/>
    <w:rsid w:val="00B14C11"/>
    <w:rsid w:val="00B14EC9"/>
    <w:rsid w:val="00B14F4A"/>
    <w:rsid w:val="00B16A3E"/>
    <w:rsid w:val="00B16B53"/>
    <w:rsid w:val="00B17D1E"/>
    <w:rsid w:val="00B17D9E"/>
    <w:rsid w:val="00B21B55"/>
    <w:rsid w:val="00B21DB0"/>
    <w:rsid w:val="00B223F1"/>
    <w:rsid w:val="00B2254F"/>
    <w:rsid w:val="00B23159"/>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6BB9"/>
    <w:rsid w:val="00B37C2B"/>
    <w:rsid w:val="00B4093E"/>
    <w:rsid w:val="00B42262"/>
    <w:rsid w:val="00B426C8"/>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228C"/>
    <w:rsid w:val="00B636EF"/>
    <w:rsid w:val="00B63BCF"/>
    <w:rsid w:val="00B6440E"/>
    <w:rsid w:val="00B64E72"/>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641"/>
    <w:rsid w:val="00BA567B"/>
    <w:rsid w:val="00BA5798"/>
    <w:rsid w:val="00BA7FCD"/>
    <w:rsid w:val="00BB0904"/>
    <w:rsid w:val="00BB0AE4"/>
    <w:rsid w:val="00BB1516"/>
    <w:rsid w:val="00BB236C"/>
    <w:rsid w:val="00BB384B"/>
    <w:rsid w:val="00BB3E1A"/>
    <w:rsid w:val="00BB4031"/>
    <w:rsid w:val="00BB47DB"/>
    <w:rsid w:val="00BB69BC"/>
    <w:rsid w:val="00BB7037"/>
    <w:rsid w:val="00BB785B"/>
    <w:rsid w:val="00BB7DC6"/>
    <w:rsid w:val="00BB7FBC"/>
    <w:rsid w:val="00BC1988"/>
    <w:rsid w:val="00BC1A75"/>
    <w:rsid w:val="00BC2003"/>
    <w:rsid w:val="00BC269C"/>
    <w:rsid w:val="00BC35DB"/>
    <w:rsid w:val="00BC3EFF"/>
    <w:rsid w:val="00BC4811"/>
    <w:rsid w:val="00BC4A1B"/>
    <w:rsid w:val="00BC4F6F"/>
    <w:rsid w:val="00BC5512"/>
    <w:rsid w:val="00BC626E"/>
    <w:rsid w:val="00BC62B3"/>
    <w:rsid w:val="00BC6385"/>
    <w:rsid w:val="00BC6C64"/>
    <w:rsid w:val="00BC6EB2"/>
    <w:rsid w:val="00BD13E2"/>
    <w:rsid w:val="00BD1747"/>
    <w:rsid w:val="00BD191B"/>
    <w:rsid w:val="00BD2F0C"/>
    <w:rsid w:val="00BD3C21"/>
    <w:rsid w:val="00BD473E"/>
    <w:rsid w:val="00BD4765"/>
    <w:rsid w:val="00BD50C5"/>
    <w:rsid w:val="00BD5203"/>
    <w:rsid w:val="00BD52A4"/>
    <w:rsid w:val="00BD54D4"/>
    <w:rsid w:val="00BD5754"/>
    <w:rsid w:val="00BD5C79"/>
    <w:rsid w:val="00BD62C9"/>
    <w:rsid w:val="00BD676A"/>
    <w:rsid w:val="00BE06A5"/>
    <w:rsid w:val="00BE4B1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2F5B"/>
    <w:rsid w:val="00C157D4"/>
    <w:rsid w:val="00C15EDC"/>
    <w:rsid w:val="00C17C5E"/>
    <w:rsid w:val="00C217A9"/>
    <w:rsid w:val="00C2348B"/>
    <w:rsid w:val="00C24935"/>
    <w:rsid w:val="00C26397"/>
    <w:rsid w:val="00C26916"/>
    <w:rsid w:val="00C26A76"/>
    <w:rsid w:val="00C26BDF"/>
    <w:rsid w:val="00C30D3E"/>
    <w:rsid w:val="00C31D02"/>
    <w:rsid w:val="00C32075"/>
    <w:rsid w:val="00C33C1A"/>
    <w:rsid w:val="00C359EE"/>
    <w:rsid w:val="00C35BFF"/>
    <w:rsid w:val="00C35EB6"/>
    <w:rsid w:val="00C36121"/>
    <w:rsid w:val="00C369ED"/>
    <w:rsid w:val="00C36F0D"/>
    <w:rsid w:val="00C37F76"/>
    <w:rsid w:val="00C40CC6"/>
    <w:rsid w:val="00C40D39"/>
    <w:rsid w:val="00C415A0"/>
    <w:rsid w:val="00C4236B"/>
    <w:rsid w:val="00C43D5D"/>
    <w:rsid w:val="00C43FA9"/>
    <w:rsid w:val="00C43FF3"/>
    <w:rsid w:val="00C443D6"/>
    <w:rsid w:val="00C44D5E"/>
    <w:rsid w:val="00C45DCD"/>
    <w:rsid w:val="00C45F73"/>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5C66"/>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1D"/>
    <w:rsid w:val="00C9338B"/>
    <w:rsid w:val="00C95441"/>
    <w:rsid w:val="00C95E67"/>
    <w:rsid w:val="00C977F5"/>
    <w:rsid w:val="00CA1047"/>
    <w:rsid w:val="00CA1F73"/>
    <w:rsid w:val="00CA2398"/>
    <w:rsid w:val="00CA277D"/>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48FA"/>
    <w:rsid w:val="00CE519B"/>
    <w:rsid w:val="00CE5818"/>
    <w:rsid w:val="00CE63E8"/>
    <w:rsid w:val="00CE713F"/>
    <w:rsid w:val="00CE7EDA"/>
    <w:rsid w:val="00CF0C04"/>
    <w:rsid w:val="00CF1735"/>
    <w:rsid w:val="00CF2454"/>
    <w:rsid w:val="00CF2E0A"/>
    <w:rsid w:val="00CF6272"/>
    <w:rsid w:val="00D00338"/>
    <w:rsid w:val="00D012C7"/>
    <w:rsid w:val="00D01E37"/>
    <w:rsid w:val="00D025CD"/>
    <w:rsid w:val="00D03461"/>
    <w:rsid w:val="00D04779"/>
    <w:rsid w:val="00D05099"/>
    <w:rsid w:val="00D06257"/>
    <w:rsid w:val="00D06AEB"/>
    <w:rsid w:val="00D1321A"/>
    <w:rsid w:val="00D1331B"/>
    <w:rsid w:val="00D16200"/>
    <w:rsid w:val="00D1700C"/>
    <w:rsid w:val="00D17854"/>
    <w:rsid w:val="00D17CE8"/>
    <w:rsid w:val="00D22717"/>
    <w:rsid w:val="00D22A27"/>
    <w:rsid w:val="00D23622"/>
    <w:rsid w:val="00D236BB"/>
    <w:rsid w:val="00D237FE"/>
    <w:rsid w:val="00D2496A"/>
    <w:rsid w:val="00D25C59"/>
    <w:rsid w:val="00D304D0"/>
    <w:rsid w:val="00D308F5"/>
    <w:rsid w:val="00D30B8C"/>
    <w:rsid w:val="00D30BE3"/>
    <w:rsid w:val="00D3153A"/>
    <w:rsid w:val="00D31D97"/>
    <w:rsid w:val="00D3222E"/>
    <w:rsid w:val="00D3306D"/>
    <w:rsid w:val="00D332E4"/>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1515"/>
    <w:rsid w:val="00D623E0"/>
    <w:rsid w:val="00D6291D"/>
    <w:rsid w:val="00D63726"/>
    <w:rsid w:val="00D6384D"/>
    <w:rsid w:val="00D64CC1"/>
    <w:rsid w:val="00D65283"/>
    <w:rsid w:val="00D66E61"/>
    <w:rsid w:val="00D66EC3"/>
    <w:rsid w:val="00D67921"/>
    <w:rsid w:val="00D701C8"/>
    <w:rsid w:val="00D705A9"/>
    <w:rsid w:val="00D7220E"/>
    <w:rsid w:val="00D74999"/>
    <w:rsid w:val="00D75105"/>
    <w:rsid w:val="00D7565F"/>
    <w:rsid w:val="00D75AEA"/>
    <w:rsid w:val="00D75E39"/>
    <w:rsid w:val="00D76BF6"/>
    <w:rsid w:val="00D76C18"/>
    <w:rsid w:val="00D772D1"/>
    <w:rsid w:val="00D80D6D"/>
    <w:rsid w:val="00D80F7C"/>
    <w:rsid w:val="00D8149D"/>
    <w:rsid w:val="00D849C8"/>
    <w:rsid w:val="00D84DA8"/>
    <w:rsid w:val="00D85717"/>
    <w:rsid w:val="00D85BEA"/>
    <w:rsid w:val="00D86873"/>
    <w:rsid w:val="00D871BF"/>
    <w:rsid w:val="00D874BE"/>
    <w:rsid w:val="00D9036E"/>
    <w:rsid w:val="00D90E1A"/>
    <w:rsid w:val="00D9184F"/>
    <w:rsid w:val="00D94636"/>
    <w:rsid w:val="00D9463E"/>
    <w:rsid w:val="00D957E8"/>
    <w:rsid w:val="00D95B0C"/>
    <w:rsid w:val="00D96094"/>
    <w:rsid w:val="00D962A5"/>
    <w:rsid w:val="00D96B33"/>
    <w:rsid w:val="00DA0254"/>
    <w:rsid w:val="00DA224C"/>
    <w:rsid w:val="00DA26AF"/>
    <w:rsid w:val="00DA3AFC"/>
    <w:rsid w:val="00DA425D"/>
    <w:rsid w:val="00DA4586"/>
    <w:rsid w:val="00DA58AF"/>
    <w:rsid w:val="00DA5CE4"/>
    <w:rsid w:val="00DA750B"/>
    <w:rsid w:val="00DA76BA"/>
    <w:rsid w:val="00DB01FF"/>
    <w:rsid w:val="00DB064F"/>
    <w:rsid w:val="00DB1EFA"/>
    <w:rsid w:val="00DB4050"/>
    <w:rsid w:val="00DB69B0"/>
    <w:rsid w:val="00DB7AC3"/>
    <w:rsid w:val="00DC0029"/>
    <w:rsid w:val="00DC046F"/>
    <w:rsid w:val="00DC0F4D"/>
    <w:rsid w:val="00DC0FA7"/>
    <w:rsid w:val="00DC288D"/>
    <w:rsid w:val="00DC3298"/>
    <w:rsid w:val="00DC3542"/>
    <w:rsid w:val="00DC43ED"/>
    <w:rsid w:val="00DC498D"/>
    <w:rsid w:val="00DC4DE4"/>
    <w:rsid w:val="00DC578E"/>
    <w:rsid w:val="00DC75D2"/>
    <w:rsid w:val="00DC7941"/>
    <w:rsid w:val="00DD0AEB"/>
    <w:rsid w:val="00DD13BE"/>
    <w:rsid w:val="00DD1527"/>
    <w:rsid w:val="00DD2324"/>
    <w:rsid w:val="00DD51BA"/>
    <w:rsid w:val="00DD5826"/>
    <w:rsid w:val="00DD5C73"/>
    <w:rsid w:val="00DD7CCB"/>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1C3"/>
    <w:rsid w:val="00DF09EA"/>
    <w:rsid w:val="00DF222E"/>
    <w:rsid w:val="00DF4C84"/>
    <w:rsid w:val="00DF5916"/>
    <w:rsid w:val="00DF6361"/>
    <w:rsid w:val="00DF6863"/>
    <w:rsid w:val="00DF70A3"/>
    <w:rsid w:val="00DF741A"/>
    <w:rsid w:val="00E00032"/>
    <w:rsid w:val="00E0074A"/>
    <w:rsid w:val="00E02C96"/>
    <w:rsid w:val="00E044EF"/>
    <w:rsid w:val="00E04798"/>
    <w:rsid w:val="00E06103"/>
    <w:rsid w:val="00E074AB"/>
    <w:rsid w:val="00E07777"/>
    <w:rsid w:val="00E07AE8"/>
    <w:rsid w:val="00E07D50"/>
    <w:rsid w:val="00E109B6"/>
    <w:rsid w:val="00E13395"/>
    <w:rsid w:val="00E160EB"/>
    <w:rsid w:val="00E162C5"/>
    <w:rsid w:val="00E1666A"/>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198C"/>
    <w:rsid w:val="00E4243F"/>
    <w:rsid w:val="00E43AF4"/>
    <w:rsid w:val="00E44A1A"/>
    <w:rsid w:val="00E458A0"/>
    <w:rsid w:val="00E51392"/>
    <w:rsid w:val="00E51971"/>
    <w:rsid w:val="00E51D02"/>
    <w:rsid w:val="00E523E3"/>
    <w:rsid w:val="00E523F7"/>
    <w:rsid w:val="00E529F3"/>
    <w:rsid w:val="00E5347E"/>
    <w:rsid w:val="00E534F0"/>
    <w:rsid w:val="00E541C1"/>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29D3"/>
    <w:rsid w:val="00E83D9D"/>
    <w:rsid w:val="00E87873"/>
    <w:rsid w:val="00E909B8"/>
    <w:rsid w:val="00E90FCA"/>
    <w:rsid w:val="00E916F0"/>
    <w:rsid w:val="00E91B86"/>
    <w:rsid w:val="00E926EB"/>
    <w:rsid w:val="00E93E63"/>
    <w:rsid w:val="00E947CD"/>
    <w:rsid w:val="00E948D0"/>
    <w:rsid w:val="00E94AED"/>
    <w:rsid w:val="00E94C6D"/>
    <w:rsid w:val="00E94C6E"/>
    <w:rsid w:val="00E95FF2"/>
    <w:rsid w:val="00E96D9F"/>
    <w:rsid w:val="00E97E0B"/>
    <w:rsid w:val="00EA046B"/>
    <w:rsid w:val="00EA4817"/>
    <w:rsid w:val="00EA54D5"/>
    <w:rsid w:val="00EA6590"/>
    <w:rsid w:val="00EA7BC3"/>
    <w:rsid w:val="00EB01AC"/>
    <w:rsid w:val="00EB0261"/>
    <w:rsid w:val="00EB06C5"/>
    <w:rsid w:val="00EB1C72"/>
    <w:rsid w:val="00EB2520"/>
    <w:rsid w:val="00EB2752"/>
    <w:rsid w:val="00EB313E"/>
    <w:rsid w:val="00EB35DA"/>
    <w:rsid w:val="00EB3983"/>
    <w:rsid w:val="00EB478D"/>
    <w:rsid w:val="00EC03F0"/>
    <w:rsid w:val="00EC0C4A"/>
    <w:rsid w:val="00EC11C9"/>
    <w:rsid w:val="00EC2279"/>
    <w:rsid w:val="00EC2930"/>
    <w:rsid w:val="00EC38B7"/>
    <w:rsid w:val="00EC4E75"/>
    <w:rsid w:val="00EC5BFA"/>
    <w:rsid w:val="00EC604D"/>
    <w:rsid w:val="00EC722C"/>
    <w:rsid w:val="00EC79DC"/>
    <w:rsid w:val="00ED109B"/>
    <w:rsid w:val="00ED15F4"/>
    <w:rsid w:val="00ED4482"/>
    <w:rsid w:val="00ED4B87"/>
    <w:rsid w:val="00ED4FB1"/>
    <w:rsid w:val="00ED5662"/>
    <w:rsid w:val="00ED7CB2"/>
    <w:rsid w:val="00EE0EF3"/>
    <w:rsid w:val="00EE0F2B"/>
    <w:rsid w:val="00EE1632"/>
    <w:rsid w:val="00EE2D42"/>
    <w:rsid w:val="00EE34BF"/>
    <w:rsid w:val="00EE3922"/>
    <w:rsid w:val="00EE3FD7"/>
    <w:rsid w:val="00EE6837"/>
    <w:rsid w:val="00EF0E3E"/>
    <w:rsid w:val="00EF1BC6"/>
    <w:rsid w:val="00EF383F"/>
    <w:rsid w:val="00EF51C9"/>
    <w:rsid w:val="00EF5516"/>
    <w:rsid w:val="00EF5988"/>
    <w:rsid w:val="00EF7982"/>
    <w:rsid w:val="00F014B0"/>
    <w:rsid w:val="00F01745"/>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7F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895"/>
    <w:rsid w:val="00F312B1"/>
    <w:rsid w:val="00F331D4"/>
    <w:rsid w:val="00F34DD7"/>
    <w:rsid w:val="00F36351"/>
    <w:rsid w:val="00F369EE"/>
    <w:rsid w:val="00F378D2"/>
    <w:rsid w:val="00F40A45"/>
    <w:rsid w:val="00F41136"/>
    <w:rsid w:val="00F41376"/>
    <w:rsid w:val="00F4164C"/>
    <w:rsid w:val="00F42AD8"/>
    <w:rsid w:val="00F437ED"/>
    <w:rsid w:val="00F44106"/>
    <w:rsid w:val="00F4414B"/>
    <w:rsid w:val="00F449C1"/>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3A9"/>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6285"/>
    <w:rsid w:val="00F96CB3"/>
    <w:rsid w:val="00FA074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9C5"/>
    <w:rsid w:val="00FB7E53"/>
    <w:rsid w:val="00FC0100"/>
    <w:rsid w:val="00FC1575"/>
    <w:rsid w:val="00FC1AE8"/>
    <w:rsid w:val="00FC2651"/>
    <w:rsid w:val="00FC4A02"/>
    <w:rsid w:val="00FC4E77"/>
    <w:rsid w:val="00FC64C4"/>
    <w:rsid w:val="00FC773B"/>
    <w:rsid w:val="00FC7A43"/>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74"/>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055"/>
    <w:pPr>
      <w:jc w:val="both"/>
    </w:pPr>
    <w:rPr>
      <w:rFonts w:ascii="Arial" w:hAnsi="Arial"/>
    </w:rPr>
  </w:style>
  <w:style w:type="paragraph" w:styleId="Heading1">
    <w:name w:val="heading 1"/>
    <w:next w:val="Normal"/>
    <w:autoRedefine/>
    <w:qFormat/>
    <w:rsid w:val="007C367F"/>
    <w:pPr>
      <w:keepNext/>
      <w:jc w:val="both"/>
      <w:outlineLvl w:val="0"/>
    </w:pPr>
    <w:rPr>
      <w:rFonts w:ascii="Arial" w:hAnsi="Arial"/>
      <w:caps/>
    </w:rPr>
  </w:style>
  <w:style w:type="paragraph" w:styleId="Heading2">
    <w:name w:val="heading 2"/>
    <w:next w:val="Normal"/>
    <w:autoRedefine/>
    <w:qFormat/>
    <w:rsid w:val="007C367F"/>
    <w:pPr>
      <w:keepNext/>
      <w:jc w:val="both"/>
      <w:outlineLvl w:val="1"/>
    </w:pPr>
    <w:rPr>
      <w:rFonts w:ascii="Arial" w:hAnsi="Arial"/>
      <w:u w:val="single"/>
    </w:rPr>
  </w:style>
  <w:style w:type="paragraph" w:styleId="Heading3">
    <w:name w:val="heading 3"/>
    <w:next w:val="Normal"/>
    <w:autoRedefine/>
    <w:qFormat/>
    <w:rsid w:val="002F19B7"/>
    <w:pPr>
      <w:keepNext/>
      <w:jc w:val="both"/>
      <w:outlineLvl w:val="2"/>
    </w:pPr>
    <w:rPr>
      <w:rFonts w:ascii="Arial" w:hAnsi="Arial"/>
      <w:i/>
    </w:rPr>
  </w:style>
  <w:style w:type="paragraph" w:styleId="Heading4">
    <w:name w:val="heading 4"/>
    <w:next w:val="Normal"/>
    <w:autoRedefine/>
    <w:qFormat/>
    <w:rsid w:val="000A32D0"/>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rsid w:val="00C369ED"/>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rsid w:val="004A6ADF"/>
    <w:rPr>
      <w:vertAlign w:val="superscript"/>
    </w:rPr>
  </w:style>
  <w:style w:type="paragraph" w:styleId="EndnoteText">
    <w:name w:val="endnote text"/>
    <w:basedOn w:val="FootnoteText"/>
    <w:rsid w:val="001C3A58"/>
    <w:pPr>
      <w:ind w:left="284" w:hanging="284"/>
    </w:pPr>
    <w:rPr>
      <w:rFonts w:cs="Arial"/>
    </w:rPr>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lang w:val="fr-FR"/>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932055"/>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character" w:customStyle="1" w:styleId="FootnoteTextChar">
    <w:name w:val="Footnote Text Char"/>
    <w:link w:val="FootnoteText"/>
    <w:rsid w:val="00C369ED"/>
    <w:rPr>
      <w:rFonts w:ascii="Arial" w:hAnsi="Arial"/>
      <w:sz w:val="16"/>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0731E9"/>
    <w:pPr>
      <w:tabs>
        <w:tab w:val="decimal" w:pos="907"/>
        <w:tab w:val="left" w:pos="1077"/>
      </w:tabs>
    </w:pPr>
    <w:rPr>
      <w:rFonts w:eastAsia="SimSun"/>
      <w:lang w:val="fr-FR"/>
    </w:rPr>
  </w:style>
  <w:style w:type="paragraph" w:customStyle="1" w:styleId="Lettrine">
    <w:name w:val="Lettrine"/>
    <w:basedOn w:val="Normal"/>
    <w:rsid w:val="000731E9"/>
    <w:pPr>
      <w:spacing w:line="340" w:lineRule="atLeast"/>
      <w:jc w:val="right"/>
    </w:pPr>
    <w:rPr>
      <w:rFonts w:eastAsia="SimSun"/>
      <w:b/>
      <w:bCs/>
      <w:sz w:val="56"/>
      <w:lang w:val="fr-FR"/>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bCs/>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rsid w:val="000731E9"/>
    <w:rPr>
      <w:rFonts w:ascii="Arial" w:eastAsia="SimSun" w:hAnsi="Arial"/>
      <w:b/>
      <w:bCs/>
      <w:spacing w:val="10"/>
      <w:lang w:val="en-US" w:eastAsia="en-US" w:bidi="ar-SA"/>
    </w:rPr>
  </w:style>
  <w:style w:type="character" w:customStyle="1" w:styleId="StyleDocoriginalNotBold1">
    <w:name w:val="Style Doc_original + Not Bold1"/>
    <w:rsid w:val="000731E9"/>
    <w:rPr>
      <w:rFonts w:ascii="Arial" w:hAnsi="Arial"/>
      <w:b/>
      <w:bCs/>
      <w:spacing w:val="10"/>
      <w:lang w:val="en-US" w:eastAsia="en-US" w:bidi="ar-SA"/>
    </w:rPr>
  </w:style>
  <w:style w:type="character" w:customStyle="1" w:styleId="StyleDoclangBold">
    <w:name w:val="Style Doc_lang + Bold"/>
    <w:rsid w:val="000731E9"/>
    <w:rPr>
      <w:rFonts w:ascii="Arial" w:hAnsi="Arial"/>
      <w:b/>
      <w:bCs/>
      <w:sz w:val="20"/>
      <w:lang w:val="en-US"/>
    </w:rPr>
  </w:style>
  <w:style w:type="character" w:customStyle="1" w:styleId="BodyTextChar">
    <w:name w:val="Body Text Char"/>
    <w:basedOn w:val="DefaultParagraphFont"/>
    <w:link w:val="BodyText"/>
    <w:rsid w:val="005B5B33"/>
    <w:rPr>
      <w:rFonts w:ascii="Arial" w:hAnsi="Arial"/>
    </w:rPr>
  </w:style>
  <w:style w:type="character" w:customStyle="1" w:styleId="BodyTextIndentChar">
    <w:name w:val="Body Text Indent Char"/>
    <w:basedOn w:val="DefaultParagraphFont"/>
    <w:link w:val="BodyTextIndent"/>
    <w:rsid w:val="005B5B33"/>
    <w:rPr>
      <w:rFonts w:ascii="Arial" w:hAnsi="Arial"/>
      <w:lang w:val="es-ES_tradnl"/>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character" w:customStyle="1" w:styleId="CommentTextChar">
    <w:name w:val="Comment Text Char"/>
    <w:basedOn w:val="DefaultParagraphFont"/>
    <w:link w:val="CommentText"/>
    <w:semiHidden/>
    <w:rsid w:val="003C362A"/>
    <w:rPr>
      <w:rFonts w:ascii="Arial" w:hAnsi="Arial"/>
      <w:sz w:val="22"/>
      <w:lang w:val="es-ES_tradnl"/>
    </w:rPr>
  </w:style>
  <w:style w:type="paragraph" w:styleId="ListParagraph">
    <w:name w:val="List Paragraph"/>
    <w:basedOn w:val="Normal"/>
    <w:uiPriority w:val="34"/>
    <w:qFormat/>
    <w:rsid w:val="006F2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055"/>
    <w:pPr>
      <w:jc w:val="both"/>
    </w:pPr>
    <w:rPr>
      <w:rFonts w:ascii="Arial" w:hAnsi="Arial"/>
    </w:rPr>
  </w:style>
  <w:style w:type="paragraph" w:styleId="Heading1">
    <w:name w:val="heading 1"/>
    <w:next w:val="Normal"/>
    <w:autoRedefine/>
    <w:qFormat/>
    <w:rsid w:val="007C367F"/>
    <w:pPr>
      <w:keepNext/>
      <w:jc w:val="both"/>
      <w:outlineLvl w:val="0"/>
    </w:pPr>
    <w:rPr>
      <w:rFonts w:ascii="Arial" w:hAnsi="Arial"/>
      <w:caps/>
    </w:rPr>
  </w:style>
  <w:style w:type="paragraph" w:styleId="Heading2">
    <w:name w:val="heading 2"/>
    <w:next w:val="Normal"/>
    <w:autoRedefine/>
    <w:qFormat/>
    <w:rsid w:val="007C367F"/>
    <w:pPr>
      <w:keepNext/>
      <w:jc w:val="both"/>
      <w:outlineLvl w:val="1"/>
    </w:pPr>
    <w:rPr>
      <w:rFonts w:ascii="Arial" w:hAnsi="Arial"/>
      <w:u w:val="single"/>
    </w:rPr>
  </w:style>
  <w:style w:type="paragraph" w:styleId="Heading3">
    <w:name w:val="heading 3"/>
    <w:next w:val="Normal"/>
    <w:autoRedefine/>
    <w:qFormat/>
    <w:rsid w:val="002F19B7"/>
    <w:pPr>
      <w:keepNext/>
      <w:jc w:val="both"/>
      <w:outlineLvl w:val="2"/>
    </w:pPr>
    <w:rPr>
      <w:rFonts w:ascii="Arial" w:hAnsi="Arial"/>
      <w:i/>
    </w:rPr>
  </w:style>
  <w:style w:type="paragraph" w:styleId="Heading4">
    <w:name w:val="heading 4"/>
    <w:next w:val="Normal"/>
    <w:autoRedefine/>
    <w:qFormat/>
    <w:rsid w:val="000A32D0"/>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rsid w:val="00C369ED"/>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rsid w:val="004A6ADF"/>
    <w:rPr>
      <w:vertAlign w:val="superscript"/>
    </w:rPr>
  </w:style>
  <w:style w:type="paragraph" w:styleId="EndnoteText">
    <w:name w:val="endnote text"/>
    <w:basedOn w:val="FootnoteText"/>
    <w:rsid w:val="001C3A58"/>
    <w:pPr>
      <w:ind w:left="284" w:hanging="284"/>
    </w:pPr>
    <w:rPr>
      <w:rFonts w:cs="Arial"/>
    </w:rPr>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lang w:val="fr-FR"/>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932055"/>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character" w:customStyle="1" w:styleId="FootnoteTextChar">
    <w:name w:val="Footnote Text Char"/>
    <w:link w:val="FootnoteText"/>
    <w:rsid w:val="00C369ED"/>
    <w:rPr>
      <w:rFonts w:ascii="Arial" w:hAnsi="Arial"/>
      <w:sz w:val="16"/>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0731E9"/>
    <w:pPr>
      <w:tabs>
        <w:tab w:val="decimal" w:pos="907"/>
        <w:tab w:val="left" w:pos="1077"/>
      </w:tabs>
    </w:pPr>
    <w:rPr>
      <w:rFonts w:eastAsia="SimSun"/>
      <w:lang w:val="fr-FR"/>
    </w:rPr>
  </w:style>
  <w:style w:type="paragraph" w:customStyle="1" w:styleId="Lettrine">
    <w:name w:val="Lettrine"/>
    <w:basedOn w:val="Normal"/>
    <w:rsid w:val="000731E9"/>
    <w:pPr>
      <w:spacing w:line="340" w:lineRule="atLeast"/>
      <w:jc w:val="right"/>
    </w:pPr>
    <w:rPr>
      <w:rFonts w:eastAsia="SimSun"/>
      <w:b/>
      <w:bCs/>
      <w:sz w:val="56"/>
      <w:lang w:val="fr-FR"/>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bCs/>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rsid w:val="000731E9"/>
    <w:rPr>
      <w:rFonts w:ascii="Arial" w:eastAsia="SimSun" w:hAnsi="Arial"/>
      <w:b/>
      <w:bCs/>
      <w:spacing w:val="10"/>
      <w:lang w:val="en-US" w:eastAsia="en-US" w:bidi="ar-SA"/>
    </w:rPr>
  </w:style>
  <w:style w:type="character" w:customStyle="1" w:styleId="StyleDocoriginalNotBold1">
    <w:name w:val="Style Doc_original + Not Bold1"/>
    <w:rsid w:val="000731E9"/>
    <w:rPr>
      <w:rFonts w:ascii="Arial" w:hAnsi="Arial"/>
      <w:b/>
      <w:bCs/>
      <w:spacing w:val="10"/>
      <w:lang w:val="en-US" w:eastAsia="en-US" w:bidi="ar-SA"/>
    </w:rPr>
  </w:style>
  <w:style w:type="character" w:customStyle="1" w:styleId="StyleDoclangBold">
    <w:name w:val="Style Doc_lang + Bold"/>
    <w:rsid w:val="000731E9"/>
    <w:rPr>
      <w:rFonts w:ascii="Arial" w:hAnsi="Arial"/>
      <w:b/>
      <w:bCs/>
      <w:sz w:val="20"/>
      <w:lang w:val="en-US"/>
    </w:rPr>
  </w:style>
  <w:style w:type="character" w:customStyle="1" w:styleId="BodyTextChar">
    <w:name w:val="Body Text Char"/>
    <w:basedOn w:val="DefaultParagraphFont"/>
    <w:link w:val="BodyText"/>
    <w:rsid w:val="005B5B33"/>
    <w:rPr>
      <w:rFonts w:ascii="Arial" w:hAnsi="Arial"/>
    </w:rPr>
  </w:style>
  <w:style w:type="character" w:customStyle="1" w:styleId="BodyTextIndentChar">
    <w:name w:val="Body Text Indent Char"/>
    <w:basedOn w:val="DefaultParagraphFont"/>
    <w:link w:val="BodyTextIndent"/>
    <w:rsid w:val="005B5B33"/>
    <w:rPr>
      <w:rFonts w:ascii="Arial" w:hAnsi="Arial"/>
      <w:lang w:val="es-ES_tradnl"/>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character" w:customStyle="1" w:styleId="CommentTextChar">
    <w:name w:val="Comment Text Char"/>
    <w:basedOn w:val="DefaultParagraphFont"/>
    <w:link w:val="CommentText"/>
    <w:semiHidden/>
    <w:rsid w:val="003C362A"/>
    <w:rPr>
      <w:rFonts w:ascii="Arial" w:hAnsi="Arial"/>
      <w:sz w:val="22"/>
      <w:lang w:val="es-ES_tradnl"/>
    </w:rPr>
  </w:style>
  <w:style w:type="paragraph" w:styleId="ListParagraph">
    <w:name w:val="List Paragraph"/>
    <w:basedOn w:val="Normal"/>
    <w:uiPriority w:val="34"/>
    <w:qFormat/>
    <w:rsid w:val="006F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infdocs/en/upov_inf_20_1.pdf" TargetMode="External"/><Relationship Id="rId18" Type="http://schemas.openxmlformats.org/officeDocument/2006/relationships/hyperlink" Target="http://www.upov.int/upovlex/en/" TargetMode="External"/><Relationship Id="rId26" Type="http://schemas.openxmlformats.org/officeDocument/2006/relationships/hyperlink" Target="http://www.upov.int/pluto/en/" TargetMode="External"/><Relationship Id="rId39"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hyperlink" Target="http://www.upov.int/information_documents/en/list.jsp" TargetMode="External"/><Relationship Id="rId34" Type="http://schemas.openxmlformats.org/officeDocument/2006/relationships/hyperlink" Target="http://www.upov.int/members/en/pvp_offices.html" TargetMode="External"/><Relationship Id="rId42" Type="http://schemas.openxmlformats.org/officeDocument/2006/relationships/hyperlink" Target="http://www.upov.int/explanatory_notes/en/" TargetMode="External"/><Relationship Id="rId47" Type="http://schemas.openxmlformats.org/officeDocument/2006/relationships/hyperlink" Target="http://www.upov.int/tgp/en/list.jsp"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about/en/organigram.html" TargetMode="External"/><Relationship Id="rId17" Type="http://schemas.openxmlformats.org/officeDocument/2006/relationships/hyperlink" Target="http://www.upov.int/news/en/gazette_newsletter.html" TargetMode="External"/><Relationship Id="rId25" Type="http://schemas.openxmlformats.org/officeDocument/2006/relationships/hyperlink" Target="http://www.upov.int/genie/en/" TargetMode="External"/><Relationship Id="rId33" Type="http://schemas.openxmlformats.org/officeDocument/2006/relationships/image" Target="media/image2.jpg"/><Relationship Id="rId38" Type="http://schemas.openxmlformats.org/officeDocument/2006/relationships/hyperlink" Target="http://www.upov.int/tgp/en/" TargetMode="External"/><Relationship Id="rId46" Type="http://schemas.openxmlformats.org/officeDocument/2006/relationships/hyperlink" Target="http://www.upov.int/en/publications/tg-rom/tg001/tg_1_3.pdf" TargetMode="External"/><Relationship Id="rId2" Type="http://schemas.openxmlformats.org/officeDocument/2006/relationships/numbering" Target="numbering.xml"/><Relationship Id="rId16" Type="http://schemas.openxmlformats.org/officeDocument/2006/relationships/hyperlink" Target="http://www.upov.int/upovlex/en/" TargetMode="External"/><Relationship Id="rId20" Type="http://schemas.openxmlformats.org/officeDocument/2006/relationships/hyperlink" Target="http://www.upov.int/genie/en/" TargetMode="External"/><Relationship Id="rId29" Type="http://schemas.openxmlformats.org/officeDocument/2006/relationships/hyperlink" Target="http://www.upov.int/upovlex/en/conventions/1991/act1991.html" TargetMode="External"/><Relationship Id="rId41" Type="http://schemas.openxmlformats.org/officeDocument/2006/relationships/hyperlink" Target="http://www.upov.int/test_guideline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en/" TargetMode="External"/><Relationship Id="rId24" Type="http://schemas.openxmlformats.org/officeDocument/2006/relationships/hyperlink" Target="http://www.upov.int/test_guidelines/en/" TargetMode="External"/><Relationship Id="rId32" Type="http://schemas.openxmlformats.org/officeDocument/2006/relationships/hyperlink" Target="http://www.upov.int/resource/en/subscribe.html" TargetMode="External"/><Relationship Id="rId37" Type="http://schemas.openxmlformats.org/officeDocument/2006/relationships/hyperlink" Target="http://www.upov.int/information_documents/en/" TargetMode="External"/><Relationship Id="rId40" Type="http://schemas.openxmlformats.org/officeDocument/2006/relationships/hyperlink" Target="http://www.upov.int/tgp/en/" TargetMode="External"/><Relationship Id="rId45" Type="http://schemas.openxmlformats.org/officeDocument/2006/relationships/hyperlink" Target="http://www.upov.int/explanatory_notes/en/" TargetMode="External"/><Relationship Id="rId5" Type="http://schemas.openxmlformats.org/officeDocument/2006/relationships/settings" Target="settings.xml"/><Relationship Id="rId15" Type="http://schemas.openxmlformats.org/officeDocument/2006/relationships/hyperlink" Target="http://www.upov.int/news/en/gazette_newsletter.html" TargetMode="External"/><Relationship Id="rId23" Type="http://schemas.openxmlformats.org/officeDocument/2006/relationships/hyperlink" Target="http://www.upov.int/information_documents/en/list.jsp" TargetMode="External"/><Relationship Id="rId28" Type="http://schemas.openxmlformats.org/officeDocument/2006/relationships/hyperlink" Target="http://www.upov.int/edocs/infdocs/en/upov_inf_22.pdf" TargetMode="External"/><Relationship Id="rId36" Type="http://schemas.openxmlformats.org/officeDocument/2006/relationships/hyperlink" Target="http://www.upov.int/members/en/pvp_offices.html" TargetMode="External"/><Relationship Id="rId49" Type="http://schemas.openxmlformats.org/officeDocument/2006/relationships/header" Target="header1.xml"/><Relationship Id="rId10" Type="http://schemas.openxmlformats.org/officeDocument/2006/relationships/hyperlink" Target="http://www.upov.int/edocs/infdocs/en/upov_inf_20_1.pdf" TargetMode="External"/><Relationship Id="rId19" Type="http://schemas.openxmlformats.org/officeDocument/2006/relationships/hyperlink" Target="http://www.upov.int/explanatory_notes/en/list.jspf" TargetMode="External"/><Relationship Id="rId31" Type="http://schemas.openxmlformats.org/officeDocument/2006/relationships/hyperlink" Target="http://www.upov.int/upov_collection/en/" TargetMode="External"/><Relationship Id="rId44" Type="http://schemas.openxmlformats.org/officeDocument/2006/relationships/hyperlink" Target="http://www.upov.int/information_document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hyperlink" Target="http://www.upov.int/information_documents/en/list.jsp" TargetMode="External"/><Relationship Id="rId27" Type="http://schemas.openxmlformats.org/officeDocument/2006/relationships/hyperlink" Target="http://www.upov.int/information_documents/en/list.jsp" TargetMode="External"/><Relationship Id="rId30" Type="http://schemas.openxmlformats.org/officeDocument/2006/relationships/hyperlink" Target="http://www.upov.int/upovlex/en/conventions/1991/act1991.html" TargetMode="External"/><Relationship Id="rId35" Type="http://schemas.openxmlformats.org/officeDocument/2006/relationships/hyperlink" Target="http://www.upov.int/information_documents/en/" TargetMode="External"/><Relationship Id="rId43" Type="http://schemas.openxmlformats.org/officeDocument/2006/relationships/hyperlink" Target="http://www.upov.int/information_documents/en/" TargetMode="External"/><Relationship Id="rId48" Type="http://schemas.openxmlformats.org/officeDocument/2006/relationships/hyperlink" Target="http://www.upov.int/tgp/en/list.jsp"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n/list.jsp" TargetMode="External"/><Relationship Id="rId2" Type="http://schemas.openxmlformats.org/officeDocument/2006/relationships/hyperlink" Target="http://www.upov.int/information_documents/en/list.jsp" TargetMode="External"/><Relationship Id="rId1" Type="http://schemas.openxmlformats.org/officeDocument/2006/relationships/hyperlink" Target="http://www.upov.int/information_documents/en/list.jsp" TargetMode="External"/><Relationship Id="rId4" Type="http://schemas.openxmlformats.org/officeDocument/2006/relationships/hyperlink" Target="http://www.upov.int/information_documents/en/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EA3C-CA17-48C1-A995-667DA79B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16</Pages>
  <Words>6798</Words>
  <Characters>43231</Characters>
  <Application>Microsoft Office Word</Application>
  <DocSecurity>0</DocSecurity>
  <Lines>360</Lines>
  <Paragraphs>99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49930</CharactersWithSpaces>
  <SharedDoc>false</SharedDoc>
  <HLinks>
    <vt:vector size="222" baseType="variant">
      <vt:variant>
        <vt:i4>8257562</vt:i4>
      </vt:variant>
      <vt:variant>
        <vt:i4>190</vt:i4>
      </vt:variant>
      <vt:variant>
        <vt:i4>0</vt:i4>
      </vt:variant>
      <vt:variant>
        <vt:i4>5</vt:i4>
      </vt:variant>
      <vt:variant>
        <vt:lpwstr>http://www.upov.int/information_documents/en/list.jsp</vt:lpwstr>
      </vt:variant>
      <vt:variant>
        <vt:lpwstr/>
      </vt:variant>
      <vt:variant>
        <vt:i4>458820</vt:i4>
      </vt:variant>
      <vt:variant>
        <vt:i4>183</vt:i4>
      </vt:variant>
      <vt:variant>
        <vt:i4>0</vt:i4>
      </vt:variant>
      <vt:variant>
        <vt:i4>5</vt:i4>
      </vt:variant>
      <vt:variant>
        <vt:lpwstr>http://www.upov.int/pluto/en/</vt:lpwstr>
      </vt:variant>
      <vt:variant>
        <vt:lpwstr/>
      </vt:variant>
      <vt:variant>
        <vt:i4>1245250</vt:i4>
      </vt:variant>
      <vt:variant>
        <vt:i4>176</vt:i4>
      </vt:variant>
      <vt:variant>
        <vt:i4>0</vt:i4>
      </vt:variant>
      <vt:variant>
        <vt:i4>5</vt:i4>
      </vt:variant>
      <vt:variant>
        <vt:lpwstr>http://www.upov.int/genie/en/</vt:lpwstr>
      </vt:variant>
      <vt:variant>
        <vt:lpwstr/>
      </vt:variant>
      <vt:variant>
        <vt:i4>6881302</vt:i4>
      </vt:variant>
      <vt:variant>
        <vt:i4>173</vt:i4>
      </vt:variant>
      <vt:variant>
        <vt:i4>0</vt:i4>
      </vt:variant>
      <vt:variant>
        <vt:i4>5</vt:i4>
      </vt:variant>
      <vt:variant>
        <vt:lpwstr>http://www.upov.int/test_guidelines/en/</vt:lpwstr>
      </vt:variant>
      <vt:variant>
        <vt:lpwstr/>
      </vt:variant>
      <vt:variant>
        <vt:i4>8257562</vt:i4>
      </vt:variant>
      <vt:variant>
        <vt:i4>166</vt:i4>
      </vt:variant>
      <vt:variant>
        <vt:i4>0</vt:i4>
      </vt:variant>
      <vt:variant>
        <vt:i4>5</vt:i4>
      </vt:variant>
      <vt:variant>
        <vt:lpwstr>http://www.upov.int/information_documents/en/list.jsp</vt:lpwstr>
      </vt:variant>
      <vt:variant>
        <vt:lpwstr/>
      </vt:variant>
      <vt:variant>
        <vt:i4>8257562</vt:i4>
      </vt:variant>
      <vt:variant>
        <vt:i4>163</vt:i4>
      </vt:variant>
      <vt:variant>
        <vt:i4>0</vt:i4>
      </vt:variant>
      <vt:variant>
        <vt:i4>5</vt:i4>
      </vt:variant>
      <vt:variant>
        <vt:lpwstr>http://www.upov.int/information_documents/en/list.jsp</vt:lpwstr>
      </vt:variant>
      <vt:variant>
        <vt:lpwstr/>
      </vt:variant>
      <vt:variant>
        <vt:i4>8257562</vt:i4>
      </vt:variant>
      <vt:variant>
        <vt:i4>158</vt:i4>
      </vt:variant>
      <vt:variant>
        <vt:i4>0</vt:i4>
      </vt:variant>
      <vt:variant>
        <vt:i4>5</vt:i4>
      </vt:variant>
      <vt:variant>
        <vt:lpwstr>http://www.upov.int/information_documents/en/list.jsp</vt:lpwstr>
      </vt:variant>
      <vt:variant>
        <vt:lpwstr/>
      </vt:variant>
      <vt:variant>
        <vt:i4>1245250</vt:i4>
      </vt:variant>
      <vt:variant>
        <vt:i4>151</vt:i4>
      </vt:variant>
      <vt:variant>
        <vt:i4>0</vt:i4>
      </vt:variant>
      <vt:variant>
        <vt:i4>5</vt:i4>
      </vt:variant>
      <vt:variant>
        <vt:lpwstr>http://www.upov.int/genie/en/</vt:lpwstr>
      </vt:variant>
      <vt:variant>
        <vt:lpwstr/>
      </vt:variant>
      <vt:variant>
        <vt:i4>1179756</vt:i4>
      </vt:variant>
      <vt:variant>
        <vt:i4>148</vt:i4>
      </vt:variant>
      <vt:variant>
        <vt:i4>0</vt:i4>
      </vt:variant>
      <vt:variant>
        <vt:i4>5</vt:i4>
      </vt:variant>
      <vt:variant>
        <vt:lpwstr>http://www.upov.int/explanatory_notes/en/list.jspf</vt:lpwstr>
      </vt:variant>
      <vt:variant>
        <vt:lpwstr/>
      </vt:variant>
      <vt:variant>
        <vt:i4>8126496</vt:i4>
      </vt:variant>
      <vt:variant>
        <vt:i4>143</vt:i4>
      </vt:variant>
      <vt:variant>
        <vt:i4>0</vt:i4>
      </vt:variant>
      <vt:variant>
        <vt:i4>5</vt:i4>
      </vt:variant>
      <vt:variant>
        <vt:lpwstr>http://www.upov.int/upovlex/en/</vt:lpwstr>
      </vt:variant>
      <vt:variant>
        <vt:lpwstr/>
      </vt:variant>
      <vt:variant>
        <vt:i4>6094881</vt:i4>
      </vt:variant>
      <vt:variant>
        <vt:i4>140</vt:i4>
      </vt:variant>
      <vt:variant>
        <vt:i4>0</vt:i4>
      </vt:variant>
      <vt:variant>
        <vt:i4>5</vt:i4>
      </vt:variant>
      <vt:variant>
        <vt:lpwstr>http://www.upov.int/news/en/gazette_newsletter.html</vt:lpwstr>
      </vt:variant>
      <vt:variant>
        <vt:lpwstr/>
      </vt:variant>
      <vt:variant>
        <vt:i4>8126496</vt:i4>
      </vt:variant>
      <vt:variant>
        <vt:i4>133</vt:i4>
      </vt:variant>
      <vt:variant>
        <vt:i4>0</vt:i4>
      </vt:variant>
      <vt:variant>
        <vt:i4>5</vt:i4>
      </vt:variant>
      <vt:variant>
        <vt:lpwstr>http://www.upov.int/upovlex/en/</vt:lpwstr>
      </vt:variant>
      <vt:variant>
        <vt:lpwstr/>
      </vt:variant>
      <vt:variant>
        <vt:i4>6094881</vt:i4>
      </vt:variant>
      <vt:variant>
        <vt:i4>130</vt:i4>
      </vt:variant>
      <vt:variant>
        <vt:i4>0</vt:i4>
      </vt:variant>
      <vt:variant>
        <vt:i4>5</vt:i4>
      </vt:variant>
      <vt:variant>
        <vt:lpwstr>http://www.upov.int/news/en/gazette_newsletter.html</vt:lpwstr>
      </vt:variant>
      <vt:variant>
        <vt:lpwstr/>
      </vt:variant>
      <vt:variant>
        <vt:i4>7733262</vt:i4>
      </vt:variant>
      <vt:variant>
        <vt:i4>121</vt:i4>
      </vt:variant>
      <vt:variant>
        <vt:i4>0</vt:i4>
      </vt:variant>
      <vt:variant>
        <vt:i4>5</vt:i4>
      </vt:variant>
      <vt:variant>
        <vt:lpwstr>http://www.upov.int/members/en/pvp_offices.html</vt:lpwstr>
      </vt:variant>
      <vt:variant>
        <vt:lpwstr/>
      </vt:variant>
      <vt:variant>
        <vt:i4>3997765</vt:i4>
      </vt:variant>
      <vt:variant>
        <vt:i4>118</vt:i4>
      </vt:variant>
      <vt:variant>
        <vt:i4>0</vt:i4>
      </vt:variant>
      <vt:variant>
        <vt:i4>5</vt:i4>
      </vt:variant>
      <vt:variant>
        <vt:lpwstr>http://www.upov.int/edocs/infdocs/en/upov_inf_20_1.pdf</vt:lpwstr>
      </vt:variant>
      <vt:variant>
        <vt:lpwstr/>
      </vt:variant>
      <vt:variant>
        <vt:i4>6160411</vt:i4>
      </vt:variant>
      <vt:variant>
        <vt:i4>115</vt:i4>
      </vt:variant>
      <vt:variant>
        <vt:i4>0</vt:i4>
      </vt:variant>
      <vt:variant>
        <vt:i4>5</vt:i4>
      </vt:variant>
      <vt:variant>
        <vt:lpwstr>http://www.upov.int/about/en/organigram.html</vt:lpwstr>
      </vt:variant>
      <vt:variant>
        <vt:lpwstr/>
      </vt:variant>
      <vt:variant>
        <vt:i4>1376285</vt:i4>
      </vt:variant>
      <vt:variant>
        <vt:i4>112</vt:i4>
      </vt:variant>
      <vt:variant>
        <vt:i4>0</vt:i4>
      </vt:variant>
      <vt:variant>
        <vt:i4>5</vt:i4>
      </vt:variant>
      <vt:variant>
        <vt:lpwstr>http://www.upov.int/restrict/meetings/en/</vt:lpwstr>
      </vt:variant>
      <vt:variant>
        <vt:lpwstr/>
      </vt:variant>
      <vt:variant>
        <vt:i4>3997765</vt:i4>
      </vt:variant>
      <vt:variant>
        <vt:i4>107</vt:i4>
      </vt:variant>
      <vt:variant>
        <vt:i4>0</vt:i4>
      </vt:variant>
      <vt:variant>
        <vt:i4>5</vt:i4>
      </vt:variant>
      <vt:variant>
        <vt:lpwstr>http://www.upov.int/edocs/infdocs/en/upov_inf_20_1.pdf</vt:lpwstr>
      </vt:variant>
      <vt:variant>
        <vt:lpwstr/>
      </vt:variant>
      <vt:variant>
        <vt:i4>1769531</vt:i4>
      </vt:variant>
      <vt:variant>
        <vt:i4>86</vt:i4>
      </vt:variant>
      <vt:variant>
        <vt:i4>0</vt:i4>
      </vt:variant>
      <vt:variant>
        <vt:i4>5</vt:i4>
      </vt:variant>
      <vt:variant>
        <vt:lpwstr/>
      </vt:variant>
      <vt:variant>
        <vt:lpwstr>_Toc353988384</vt:lpwstr>
      </vt:variant>
      <vt:variant>
        <vt:i4>1769531</vt:i4>
      </vt:variant>
      <vt:variant>
        <vt:i4>80</vt:i4>
      </vt:variant>
      <vt:variant>
        <vt:i4>0</vt:i4>
      </vt:variant>
      <vt:variant>
        <vt:i4>5</vt:i4>
      </vt:variant>
      <vt:variant>
        <vt:lpwstr/>
      </vt:variant>
      <vt:variant>
        <vt:lpwstr>_Toc353988383</vt:lpwstr>
      </vt:variant>
      <vt:variant>
        <vt:i4>1769531</vt:i4>
      </vt:variant>
      <vt:variant>
        <vt:i4>74</vt:i4>
      </vt:variant>
      <vt:variant>
        <vt:i4>0</vt:i4>
      </vt:variant>
      <vt:variant>
        <vt:i4>5</vt:i4>
      </vt:variant>
      <vt:variant>
        <vt:lpwstr/>
      </vt:variant>
      <vt:variant>
        <vt:lpwstr>_Toc353988382</vt:lpwstr>
      </vt:variant>
      <vt:variant>
        <vt:i4>1769531</vt:i4>
      </vt:variant>
      <vt:variant>
        <vt:i4>68</vt:i4>
      </vt:variant>
      <vt:variant>
        <vt:i4>0</vt:i4>
      </vt:variant>
      <vt:variant>
        <vt:i4>5</vt:i4>
      </vt:variant>
      <vt:variant>
        <vt:lpwstr/>
      </vt:variant>
      <vt:variant>
        <vt:lpwstr>_Toc353988381</vt:lpwstr>
      </vt:variant>
      <vt:variant>
        <vt:i4>1769531</vt:i4>
      </vt:variant>
      <vt:variant>
        <vt:i4>62</vt:i4>
      </vt:variant>
      <vt:variant>
        <vt:i4>0</vt:i4>
      </vt:variant>
      <vt:variant>
        <vt:i4>5</vt:i4>
      </vt:variant>
      <vt:variant>
        <vt:lpwstr/>
      </vt:variant>
      <vt:variant>
        <vt:lpwstr>_Toc353988380</vt:lpwstr>
      </vt:variant>
      <vt:variant>
        <vt:i4>1310779</vt:i4>
      </vt:variant>
      <vt:variant>
        <vt:i4>56</vt:i4>
      </vt:variant>
      <vt:variant>
        <vt:i4>0</vt:i4>
      </vt:variant>
      <vt:variant>
        <vt:i4>5</vt:i4>
      </vt:variant>
      <vt:variant>
        <vt:lpwstr/>
      </vt:variant>
      <vt:variant>
        <vt:lpwstr>_Toc353988379</vt:lpwstr>
      </vt:variant>
      <vt:variant>
        <vt:i4>1310779</vt:i4>
      </vt:variant>
      <vt:variant>
        <vt:i4>50</vt:i4>
      </vt:variant>
      <vt:variant>
        <vt:i4>0</vt:i4>
      </vt:variant>
      <vt:variant>
        <vt:i4>5</vt:i4>
      </vt:variant>
      <vt:variant>
        <vt:lpwstr/>
      </vt:variant>
      <vt:variant>
        <vt:lpwstr>_Toc353988378</vt:lpwstr>
      </vt:variant>
      <vt:variant>
        <vt:i4>1310779</vt:i4>
      </vt:variant>
      <vt:variant>
        <vt:i4>44</vt:i4>
      </vt:variant>
      <vt:variant>
        <vt:i4>0</vt:i4>
      </vt:variant>
      <vt:variant>
        <vt:i4>5</vt:i4>
      </vt:variant>
      <vt:variant>
        <vt:lpwstr/>
      </vt:variant>
      <vt:variant>
        <vt:lpwstr>_Toc353988377</vt:lpwstr>
      </vt:variant>
      <vt:variant>
        <vt:i4>1310779</vt:i4>
      </vt:variant>
      <vt:variant>
        <vt:i4>38</vt:i4>
      </vt:variant>
      <vt:variant>
        <vt:i4>0</vt:i4>
      </vt:variant>
      <vt:variant>
        <vt:i4>5</vt:i4>
      </vt:variant>
      <vt:variant>
        <vt:lpwstr/>
      </vt:variant>
      <vt:variant>
        <vt:lpwstr>_Toc353988376</vt:lpwstr>
      </vt:variant>
      <vt:variant>
        <vt:i4>1310779</vt:i4>
      </vt:variant>
      <vt:variant>
        <vt:i4>32</vt:i4>
      </vt:variant>
      <vt:variant>
        <vt:i4>0</vt:i4>
      </vt:variant>
      <vt:variant>
        <vt:i4>5</vt:i4>
      </vt:variant>
      <vt:variant>
        <vt:lpwstr/>
      </vt:variant>
      <vt:variant>
        <vt:lpwstr>_Toc353988375</vt:lpwstr>
      </vt:variant>
      <vt:variant>
        <vt:i4>1310779</vt:i4>
      </vt:variant>
      <vt:variant>
        <vt:i4>26</vt:i4>
      </vt:variant>
      <vt:variant>
        <vt:i4>0</vt:i4>
      </vt:variant>
      <vt:variant>
        <vt:i4>5</vt:i4>
      </vt:variant>
      <vt:variant>
        <vt:lpwstr/>
      </vt:variant>
      <vt:variant>
        <vt:lpwstr>_Toc353988374</vt:lpwstr>
      </vt:variant>
      <vt:variant>
        <vt:i4>1310779</vt:i4>
      </vt:variant>
      <vt:variant>
        <vt:i4>20</vt:i4>
      </vt:variant>
      <vt:variant>
        <vt:i4>0</vt:i4>
      </vt:variant>
      <vt:variant>
        <vt:i4>5</vt:i4>
      </vt:variant>
      <vt:variant>
        <vt:lpwstr/>
      </vt:variant>
      <vt:variant>
        <vt:lpwstr>_Toc353988373</vt:lpwstr>
      </vt:variant>
      <vt:variant>
        <vt:i4>1310779</vt:i4>
      </vt:variant>
      <vt:variant>
        <vt:i4>14</vt:i4>
      </vt:variant>
      <vt:variant>
        <vt:i4>0</vt:i4>
      </vt:variant>
      <vt:variant>
        <vt:i4>5</vt:i4>
      </vt:variant>
      <vt:variant>
        <vt:lpwstr/>
      </vt:variant>
      <vt:variant>
        <vt:lpwstr>_Toc353988372</vt:lpwstr>
      </vt:variant>
      <vt:variant>
        <vt:i4>1310779</vt:i4>
      </vt:variant>
      <vt:variant>
        <vt:i4>8</vt:i4>
      </vt:variant>
      <vt:variant>
        <vt:i4>0</vt:i4>
      </vt:variant>
      <vt:variant>
        <vt:i4>5</vt:i4>
      </vt:variant>
      <vt:variant>
        <vt:lpwstr/>
      </vt:variant>
      <vt:variant>
        <vt:lpwstr>_Toc353988371</vt:lpwstr>
      </vt:variant>
      <vt:variant>
        <vt:i4>1310779</vt:i4>
      </vt:variant>
      <vt:variant>
        <vt:i4>2</vt:i4>
      </vt:variant>
      <vt:variant>
        <vt:i4>0</vt:i4>
      </vt:variant>
      <vt:variant>
        <vt:i4>5</vt:i4>
      </vt:variant>
      <vt:variant>
        <vt:lpwstr/>
      </vt:variant>
      <vt:variant>
        <vt:lpwstr>_Toc353988370</vt:lpwstr>
      </vt:variant>
      <vt:variant>
        <vt:i4>8257562</vt:i4>
      </vt:variant>
      <vt:variant>
        <vt:i4>9</vt:i4>
      </vt:variant>
      <vt:variant>
        <vt:i4>0</vt:i4>
      </vt:variant>
      <vt:variant>
        <vt:i4>5</vt:i4>
      </vt:variant>
      <vt:variant>
        <vt:lpwstr>http://www.upov.int/information_documents/en/list.jsp</vt:lpwstr>
      </vt:variant>
      <vt:variant>
        <vt:lpwstr/>
      </vt:variant>
      <vt:variant>
        <vt:i4>8257562</vt:i4>
      </vt:variant>
      <vt:variant>
        <vt:i4>6</vt:i4>
      </vt:variant>
      <vt:variant>
        <vt:i4>0</vt:i4>
      </vt:variant>
      <vt:variant>
        <vt:i4>5</vt:i4>
      </vt:variant>
      <vt:variant>
        <vt:lpwstr>http://www.upov.int/information_documents/en/list.jsp</vt:lpwstr>
      </vt:variant>
      <vt:variant>
        <vt:lpwstr/>
      </vt:variant>
      <vt:variant>
        <vt:i4>8257562</vt:i4>
      </vt:variant>
      <vt:variant>
        <vt:i4>3</vt:i4>
      </vt:variant>
      <vt:variant>
        <vt:i4>0</vt:i4>
      </vt:variant>
      <vt:variant>
        <vt:i4>5</vt:i4>
      </vt:variant>
      <vt:variant>
        <vt:lpwstr>http://www.upov.int/information_documents/en/list.jsp</vt:lpwstr>
      </vt:variant>
      <vt:variant>
        <vt:lpwstr/>
      </vt:variant>
      <vt:variant>
        <vt:i4>8257562</vt:i4>
      </vt:variant>
      <vt:variant>
        <vt:i4>0</vt:i4>
      </vt:variant>
      <vt:variant>
        <vt:i4>0</vt:i4>
      </vt:variant>
      <vt:variant>
        <vt:i4>5</vt:i4>
      </vt:variant>
      <vt:variant>
        <vt:lpwstr>http://www.upov.int/information_documents/en/list.jsp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50</cp:revision>
  <cp:lastPrinted>2015-02-19T17:47:00Z</cp:lastPrinted>
  <dcterms:created xsi:type="dcterms:W3CDTF">2014-12-02T10:19:00Z</dcterms:created>
  <dcterms:modified xsi:type="dcterms:W3CDTF">2015-02-19T17:47:00Z</dcterms:modified>
</cp:coreProperties>
</file>