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8D4F8A" w:rsidRDefault="00A3365A" w:rsidP="00AC2883">
            <w:pPr>
              <w:pStyle w:val="Sessiontc"/>
              <w:spacing w:line="240" w:lineRule="auto"/>
            </w:pPr>
            <w:r w:rsidRPr="008D4F8A">
              <w:t>Council</w:t>
            </w:r>
          </w:p>
          <w:p w:rsidR="00EB4E9C" w:rsidRPr="008D4F8A" w:rsidRDefault="00A3365A" w:rsidP="007D4635">
            <w:pPr>
              <w:pStyle w:val="Sessiontcplacedate"/>
              <w:rPr>
                <w:sz w:val="22"/>
              </w:rPr>
            </w:pPr>
            <w:r w:rsidRPr="008D4F8A">
              <w:t xml:space="preserve">Fifty-First Ordinary </w:t>
            </w:r>
            <w:r w:rsidR="00EB4E9C" w:rsidRPr="008D4F8A">
              <w:t>Session</w:t>
            </w:r>
            <w:r w:rsidR="00EB4E9C" w:rsidRPr="008D4F8A">
              <w:br/>
              <w:t xml:space="preserve">Geneva, </w:t>
            </w:r>
            <w:r w:rsidRPr="008D4F8A">
              <w:t>October 26</w:t>
            </w:r>
            <w:r w:rsidR="00EB4E9C" w:rsidRPr="008D4F8A">
              <w:t>, 2017</w:t>
            </w:r>
          </w:p>
        </w:tc>
        <w:tc>
          <w:tcPr>
            <w:tcW w:w="3127" w:type="dxa"/>
          </w:tcPr>
          <w:p w:rsidR="00EB4E9C" w:rsidRPr="008D4F8A" w:rsidRDefault="00A3365A" w:rsidP="003C7FBE">
            <w:pPr>
              <w:pStyle w:val="Doccode"/>
            </w:pPr>
            <w:r w:rsidRPr="008D4F8A">
              <w:t>C/51</w:t>
            </w:r>
            <w:r w:rsidR="00EB4E9C" w:rsidRPr="008D4F8A">
              <w:t>/</w:t>
            </w:r>
            <w:r w:rsidR="00217732" w:rsidRPr="008D4F8A">
              <w:t>4</w:t>
            </w:r>
          </w:p>
          <w:p w:rsidR="00EB4E9C" w:rsidRPr="008D4F8A" w:rsidRDefault="00EB4E9C" w:rsidP="003C7FBE">
            <w:pPr>
              <w:pStyle w:val="Docoriginal"/>
            </w:pPr>
            <w:r w:rsidRPr="008D4F8A">
              <w:t>Original:</w:t>
            </w:r>
            <w:r w:rsidRPr="008D4F8A">
              <w:rPr>
                <w:b w:val="0"/>
                <w:spacing w:val="0"/>
              </w:rPr>
              <w:t xml:space="preserve">  English</w:t>
            </w:r>
          </w:p>
          <w:p w:rsidR="00EB4E9C" w:rsidRPr="007C1D92" w:rsidRDefault="00EB4E9C" w:rsidP="008D4F8A">
            <w:pPr>
              <w:pStyle w:val="Docoriginal"/>
            </w:pPr>
            <w:r w:rsidRPr="008D4F8A">
              <w:t>Date:</w:t>
            </w:r>
            <w:r w:rsidRPr="008D4F8A">
              <w:rPr>
                <w:b w:val="0"/>
                <w:spacing w:val="0"/>
              </w:rPr>
              <w:t xml:space="preserve">  </w:t>
            </w:r>
            <w:r w:rsidR="005304DA" w:rsidRPr="008D4F8A">
              <w:rPr>
                <w:b w:val="0"/>
                <w:spacing w:val="0"/>
              </w:rPr>
              <w:t xml:space="preserve">August </w:t>
            </w:r>
            <w:r w:rsidR="008D4F8A" w:rsidRPr="008D4F8A">
              <w:rPr>
                <w:b w:val="0"/>
                <w:spacing w:val="0"/>
              </w:rPr>
              <w:t>15</w:t>
            </w:r>
            <w:r w:rsidRPr="008D4F8A">
              <w:rPr>
                <w:b w:val="0"/>
                <w:spacing w:val="0"/>
              </w:rPr>
              <w:t>, 2017</w:t>
            </w:r>
          </w:p>
        </w:tc>
      </w:tr>
    </w:tbl>
    <w:p w:rsidR="000D7780" w:rsidRPr="006A644A" w:rsidRDefault="00217732" w:rsidP="006A644A">
      <w:pPr>
        <w:pStyle w:val="Titleofdoc0"/>
      </w:pPr>
      <w:bookmarkStart w:id="1" w:name="TitleOfDoc"/>
      <w:bookmarkEnd w:id="1"/>
      <w:r w:rsidRPr="00217732">
        <w:t>Draft Program and Budget for the 2018-2019 Biennium</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604822" w:rsidRPr="00DD6106" w:rsidRDefault="00604822" w:rsidP="00604822">
      <w:r w:rsidRPr="00DD6106">
        <w:fldChar w:fldCharType="begin"/>
      </w:r>
      <w:r w:rsidRPr="00DD6106">
        <w:instrText xml:space="preserve"> AUTONUM  </w:instrText>
      </w:r>
      <w:r w:rsidRPr="00DD6106">
        <w:fldChar w:fldCharType="end"/>
      </w:r>
      <w:r w:rsidRPr="00DD6106">
        <w:tab/>
      </w:r>
      <w:r w:rsidRPr="00B8035E">
        <w:t xml:space="preserve">In accordance with the UPOV Convention (Article 23(2) of the 1961 </w:t>
      </w:r>
      <w:r>
        <w:t xml:space="preserve">Convention </w:t>
      </w:r>
      <w:r w:rsidRPr="00B8035E">
        <w:t>and of the 1978 Act, and Article 27(2) of the 1991 Act) and the Financial Regulations and Rules of UPOV (document</w:t>
      </w:r>
      <w:r>
        <w:t> </w:t>
      </w:r>
      <w:r w:rsidRPr="00B8035E">
        <w:t>UPOV/INF/4/</w:t>
      </w:r>
      <w:r>
        <w:t>4</w:t>
      </w:r>
      <w:r w:rsidRPr="00B8035E">
        <w:t>), the Draft</w:t>
      </w:r>
      <w:r w:rsidRPr="00DD6106">
        <w:t xml:space="preserve"> Program and Budget for the 201</w:t>
      </w:r>
      <w:r>
        <w:t>8</w:t>
      </w:r>
      <w:r w:rsidRPr="00DD6106">
        <w:noBreakHyphen/>
        <w:t>201</w:t>
      </w:r>
      <w:r>
        <w:t>9</w:t>
      </w:r>
      <w:r w:rsidRPr="00DD6106">
        <w:t xml:space="preserve"> Biennium is hereby presented for approval by the Council.</w:t>
      </w:r>
    </w:p>
    <w:p w:rsidR="00604822" w:rsidRPr="00DD6106" w:rsidRDefault="00604822" w:rsidP="00604822"/>
    <w:p w:rsidR="00604822" w:rsidRPr="00B8035E" w:rsidRDefault="00604822" w:rsidP="00604822">
      <w:r w:rsidRPr="00B8035E">
        <w:fldChar w:fldCharType="begin"/>
      </w:r>
      <w:r w:rsidRPr="00B8035E">
        <w:instrText xml:space="preserve"> AUTONUM  </w:instrText>
      </w:r>
      <w:r w:rsidRPr="00B8035E">
        <w:fldChar w:fldCharType="end"/>
      </w:r>
      <w:r w:rsidRPr="00B8035E">
        <w:tab/>
        <w:t>The Draft Program and Budget for the 201</w:t>
      </w:r>
      <w:r>
        <w:t>8</w:t>
      </w:r>
      <w:r w:rsidRPr="00B8035E">
        <w:t>-201</w:t>
      </w:r>
      <w:r>
        <w:t>9</w:t>
      </w:r>
      <w:r w:rsidRPr="00B8035E">
        <w:t xml:space="preserve"> Biennium, presented in the Annex to this document, is structured as follows:</w:t>
      </w:r>
    </w:p>
    <w:p w:rsidR="00604822" w:rsidRPr="00DD6106" w:rsidRDefault="00604822" w:rsidP="00604822"/>
    <w:p w:rsidR="00604822" w:rsidRDefault="00604822" w:rsidP="00604822">
      <w:pPr>
        <w:spacing w:after="120"/>
        <w:ind w:left="567"/>
      </w:pPr>
      <w:r w:rsidRPr="00DD6106">
        <w:t>1.</w:t>
      </w:r>
      <w:r w:rsidRPr="00DD6106">
        <w:tab/>
        <w:t>INTRODUCTION</w:t>
      </w:r>
    </w:p>
    <w:p w:rsidR="00604822" w:rsidRPr="00DD6106" w:rsidRDefault="00604822" w:rsidP="00604822">
      <w:pPr>
        <w:spacing w:after="120"/>
        <w:ind w:left="567"/>
      </w:pPr>
      <w:r w:rsidRPr="00DD6106">
        <w:t>2.</w:t>
      </w:r>
      <w:r w:rsidRPr="00DD6106">
        <w:tab/>
        <w:t>OBJECTIVES AND EXPECTED RESULTS BY SUB-PROGRAM</w:t>
      </w:r>
    </w:p>
    <w:p w:rsidR="00604822" w:rsidRPr="00DD6106" w:rsidRDefault="00604822" w:rsidP="00604822">
      <w:pPr>
        <w:spacing w:after="120"/>
        <w:ind w:left="567"/>
      </w:pPr>
      <w:r w:rsidRPr="00DD6106">
        <w:t>3</w:t>
      </w:r>
      <w:r>
        <w:t>.</w:t>
      </w:r>
      <w:r>
        <w:tab/>
        <w:t>PROPOSED BUDGET</w:t>
      </w:r>
    </w:p>
    <w:p w:rsidR="00604822" w:rsidRPr="00DD6106" w:rsidRDefault="00604822" w:rsidP="00604822">
      <w:pPr>
        <w:spacing w:after="120"/>
        <w:ind w:left="567"/>
      </w:pPr>
      <w:r w:rsidRPr="0085023D">
        <w:t>4.</w:t>
      </w:r>
      <w:r w:rsidRPr="0085023D">
        <w:tab/>
        <w:t>FINANCIAL INDICATORS 20</w:t>
      </w:r>
      <w:r>
        <w:t>12-2021</w:t>
      </w:r>
    </w:p>
    <w:p w:rsidR="00604822" w:rsidRDefault="00604822" w:rsidP="00604822">
      <w:pPr>
        <w:ind w:left="2127" w:hanging="1560"/>
        <w:rPr>
          <w:rFonts w:cs="Arial"/>
        </w:rPr>
      </w:pPr>
    </w:p>
    <w:p w:rsidR="00604822" w:rsidRDefault="00604822" w:rsidP="00604822">
      <w:pPr>
        <w:ind w:left="2127" w:hanging="1560"/>
        <w:rPr>
          <w:rFonts w:cs="Arial"/>
        </w:rPr>
      </w:pPr>
      <w:r>
        <w:rPr>
          <w:rFonts w:cs="Arial"/>
        </w:rPr>
        <w:t>APPENDIX I:</w:t>
      </w:r>
      <w:r>
        <w:rPr>
          <w:rFonts w:cs="Arial"/>
        </w:rPr>
        <w:tab/>
      </w:r>
      <w:r w:rsidRPr="00931E36">
        <w:rPr>
          <w:rFonts w:cs="Arial"/>
          <w:szCs w:val="24"/>
        </w:rPr>
        <w:t>STATUS IN RELATION TO THE INTERNATIONAL UNION FOR THE PROTECTION</w:t>
      </w:r>
      <w:r>
        <w:rPr>
          <w:rFonts w:cs="Arial"/>
          <w:szCs w:val="24"/>
        </w:rPr>
        <w:t xml:space="preserve"> </w:t>
      </w:r>
      <w:r w:rsidRPr="00931E36">
        <w:rPr>
          <w:rFonts w:cs="Arial"/>
          <w:szCs w:val="24"/>
        </w:rPr>
        <w:t>OF NEW VARIETIES OF PLANTS (UPOV)</w:t>
      </w:r>
    </w:p>
    <w:p w:rsidR="00604822" w:rsidRDefault="00604822" w:rsidP="00604822">
      <w:pPr>
        <w:ind w:left="2127" w:hanging="1560"/>
        <w:rPr>
          <w:rFonts w:cs="Arial"/>
        </w:rPr>
      </w:pPr>
    </w:p>
    <w:p w:rsidR="00604822" w:rsidRPr="00C300A2" w:rsidRDefault="00604822" w:rsidP="00604822">
      <w:pPr>
        <w:ind w:left="2127" w:hanging="1560"/>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604822" w:rsidRDefault="00604822" w:rsidP="00604822">
      <w:pPr>
        <w:ind w:left="2127" w:hanging="1560"/>
        <w:rPr>
          <w:rFonts w:cs="Arial"/>
        </w:rPr>
      </w:pPr>
    </w:p>
    <w:p w:rsidR="00604822" w:rsidRPr="00ED49E5" w:rsidRDefault="00604822" w:rsidP="00604822">
      <w:pPr>
        <w:ind w:left="2127" w:hanging="1560"/>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604822" w:rsidRDefault="00604822" w:rsidP="00604822">
      <w:pPr>
        <w:ind w:left="2127" w:hanging="1560"/>
        <w:rPr>
          <w:rFonts w:cs="Arial"/>
        </w:rPr>
      </w:pPr>
    </w:p>
    <w:p w:rsidR="00604822" w:rsidRDefault="00604822" w:rsidP="00604822">
      <w:pPr>
        <w:ind w:left="2127" w:hanging="1560"/>
        <w:rPr>
          <w:rFonts w:cs="Arial"/>
        </w:rPr>
      </w:pPr>
      <w:r>
        <w:rPr>
          <w:rFonts w:cs="Arial"/>
        </w:rPr>
        <w:t>APPENDIX IV</w:t>
      </w:r>
      <w:r w:rsidRPr="00ED49E5">
        <w:rPr>
          <w:rFonts w:cs="Arial"/>
        </w:rPr>
        <w:t xml:space="preserve">: </w:t>
      </w:r>
      <w:r w:rsidRPr="00ED49E5">
        <w:rPr>
          <w:rFonts w:cs="Arial"/>
        </w:rPr>
        <w:tab/>
        <w:t>DEFINITIONS OF BUDGET HEADINGS</w:t>
      </w:r>
    </w:p>
    <w:p w:rsidR="00604822" w:rsidRPr="00DD6106" w:rsidRDefault="00604822" w:rsidP="00604822"/>
    <w:p w:rsidR="00604822" w:rsidRPr="00B8035E" w:rsidRDefault="00604822" w:rsidP="00604822">
      <w:pPr>
        <w:pStyle w:val="DecisionParagraphs"/>
      </w:pPr>
      <w:r w:rsidRPr="00A44F6C">
        <w:fldChar w:fldCharType="begin"/>
      </w:r>
      <w:r w:rsidRPr="00A44F6C">
        <w:instrText xml:space="preserve"> AUTONUM  </w:instrText>
      </w:r>
      <w:r w:rsidRPr="00A44F6C">
        <w:fldChar w:fldCharType="end"/>
      </w:r>
      <w:r w:rsidRPr="00A44F6C">
        <w:tab/>
      </w:r>
      <w:r w:rsidRPr="00B8035E">
        <w:t>The Council is invited to approve:</w:t>
      </w:r>
    </w:p>
    <w:p w:rsidR="00604822" w:rsidRPr="00B8035E" w:rsidRDefault="00604822" w:rsidP="00604822">
      <w:pPr>
        <w:pStyle w:val="DecisionParagraphs"/>
      </w:pPr>
    </w:p>
    <w:p w:rsidR="00604822" w:rsidRPr="00B8035E" w:rsidRDefault="00604822" w:rsidP="00604822">
      <w:pPr>
        <w:pStyle w:val="DecisionParagraphs"/>
      </w:pPr>
      <w:r w:rsidRPr="00B8035E">
        <w:tab/>
        <w:t>(a)</w:t>
      </w:r>
      <w:r w:rsidRPr="00B8035E">
        <w:tab/>
      </w:r>
      <w:proofErr w:type="gramStart"/>
      <w:r w:rsidRPr="00B8035E">
        <w:t>the</w:t>
      </w:r>
      <w:proofErr w:type="gramEnd"/>
      <w:r w:rsidRPr="00B8035E">
        <w:t xml:space="preserve"> pr</w:t>
      </w:r>
      <w:r>
        <w:t>oposals contained in this Draft </w:t>
      </w:r>
      <w:r w:rsidRPr="00B8035E">
        <w:t>Program and Budget for the 201</w:t>
      </w:r>
      <w:r>
        <w:t>8</w:t>
      </w:r>
      <w:r w:rsidRPr="00B8035E">
        <w:t>-201</w:t>
      </w:r>
      <w:r>
        <w:t>9</w:t>
      </w:r>
      <w:r w:rsidRPr="00B8035E">
        <w:t xml:space="preserve"> Biennium, as presented in the Annex to this document, including the amount of contributions from members of the Union;</w:t>
      </w:r>
    </w:p>
    <w:p w:rsidR="00604822" w:rsidRPr="00B8035E" w:rsidRDefault="00604822" w:rsidP="00604822">
      <w:pPr>
        <w:pStyle w:val="DecisionParagraphs"/>
      </w:pPr>
    </w:p>
    <w:p w:rsidR="00604822" w:rsidRPr="00B8035E" w:rsidRDefault="00604822" w:rsidP="00604822">
      <w:pPr>
        <w:pStyle w:val="DecisionParagraphs"/>
      </w:pPr>
      <w:r w:rsidRPr="00B8035E">
        <w:tab/>
        <w:t>(b)</w:t>
      </w:r>
      <w:r w:rsidRPr="00B8035E">
        <w:tab/>
      </w:r>
      <w:proofErr w:type="gramStart"/>
      <w:r w:rsidRPr="00B8035E">
        <w:t>the</w:t>
      </w:r>
      <w:proofErr w:type="gramEnd"/>
      <w:r w:rsidRPr="00B8035E">
        <w:t xml:space="preserve"> proposed maximum ceiling of expenditure in the regular budget;  and</w:t>
      </w:r>
    </w:p>
    <w:p w:rsidR="00604822" w:rsidRPr="00B8035E" w:rsidRDefault="00604822" w:rsidP="00604822">
      <w:pPr>
        <w:pStyle w:val="DecisionParagraphs"/>
      </w:pPr>
    </w:p>
    <w:p w:rsidR="00604822" w:rsidRPr="00604822" w:rsidRDefault="00604822" w:rsidP="00604822">
      <w:pPr>
        <w:pStyle w:val="DecisionParagraphs"/>
      </w:pPr>
      <w:r w:rsidRPr="00B8035E">
        <w:tab/>
        <w:t>(c)</w:t>
      </w:r>
      <w:r w:rsidRPr="00B8035E">
        <w:tab/>
      </w:r>
      <w:proofErr w:type="gramStart"/>
      <w:r w:rsidRPr="00B8035E">
        <w:t>the</w:t>
      </w:r>
      <w:proofErr w:type="gramEnd"/>
      <w:r w:rsidRPr="00B8035E">
        <w:t xml:space="preserve"> total number of posts for the Office of the Union.</w:t>
      </w:r>
    </w:p>
    <w:p w:rsidR="00050E16" w:rsidRPr="004B1215" w:rsidRDefault="00050E16" w:rsidP="004B1215"/>
    <w:p w:rsidR="00050E16" w:rsidRDefault="00050E16" w:rsidP="00050E16"/>
    <w:p w:rsidR="00604822" w:rsidRDefault="00604822" w:rsidP="00050E16"/>
    <w:p w:rsidR="00604822" w:rsidRDefault="00604822" w:rsidP="00604822">
      <w:pPr>
        <w:jc w:val="right"/>
      </w:pPr>
      <w:r>
        <w:t>[Annex follows]</w:t>
      </w:r>
    </w:p>
    <w:p w:rsidR="00544581" w:rsidRDefault="00544581">
      <w:pPr>
        <w:jc w:val="left"/>
      </w:pPr>
    </w:p>
    <w:p w:rsidR="00604822" w:rsidRDefault="00604822" w:rsidP="00050E16">
      <w:pPr>
        <w:sectPr w:rsidR="00604822" w:rsidSect="00906DDC">
          <w:headerReference w:type="default" r:id="rId9"/>
          <w:pgSz w:w="11907" w:h="16840" w:code="9"/>
          <w:pgMar w:top="510" w:right="1134" w:bottom="1134" w:left="1134" w:header="510" w:footer="680" w:gutter="0"/>
          <w:cols w:space="720"/>
          <w:titlePg/>
        </w:sectPr>
      </w:pPr>
    </w:p>
    <w:p w:rsidR="00604822" w:rsidRDefault="00604822" w:rsidP="00604822">
      <w:pPr>
        <w:jc w:val="center"/>
      </w:pPr>
      <w:r>
        <w:lastRenderedPageBreak/>
        <w:t>ANNEX</w:t>
      </w:r>
    </w:p>
    <w:p w:rsidR="00604822" w:rsidRDefault="00604822" w:rsidP="00604822">
      <w:pPr>
        <w:jc w:val="center"/>
      </w:pPr>
    </w:p>
    <w:p w:rsidR="00604822" w:rsidRPr="00913886" w:rsidRDefault="00604822" w:rsidP="00604822">
      <w:pPr>
        <w:jc w:val="center"/>
      </w:pPr>
      <w:r w:rsidRPr="00913886">
        <w:t>PROGRAM AND BUDGET FOR THE 201</w:t>
      </w:r>
      <w:r>
        <w:t>8</w:t>
      </w:r>
      <w:r w:rsidRPr="00913886">
        <w:t>-201</w:t>
      </w:r>
      <w:r>
        <w:t>9</w:t>
      </w:r>
      <w:r w:rsidRPr="00913886">
        <w:t xml:space="preserve"> BIENNIUM</w:t>
      </w:r>
    </w:p>
    <w:p w:rsidR="00604822" w:rsidRDefault="00604822" w:rsidP="00604822">
      <w:pPr>
        <w:jc w:val="center"/>
      </w:pPr>
    </w:p>
    <w:p w:rsidR="00604822" w:rsidRPr="00C94BA7" w:rsidRDefault="00604822" w:rsidP="00604822">
      <w:pPr>
        <w:jc w:val="center"/>
      </w:pPr>
    </w:p>
    <w:p w:rsidR="00604822" w:rsidRPr="00913886" w:rsidRDefault="00604822" w:rsidP="00604822">
      <w:pPr>
        <w:keepNext/>
        <w:rPr>
          <w:rFonts w:cs="Arial"/>
          <w:u w:val="single"/>
        </w:rPr>
      </w:pPr>
      <w:r w:rsidRPr="00913886">
        <w:rPr>
          <w:rFonts w:cs="Arial"/>
          <w:u w:val="single"/>
        </w:rPr>
        <w:t>TABLE OF CONTENTS</w:t>
      </w:r>
    </w:p>
    <w:p w:rsidR="00604822" w:rsidRDefault="00604822" w:rsidP="00604822">
      <w:pPr>
        <w:keepNext/>
        <w:rPr>
          <w:rFonts w:cs="Arial"/>
        </w:rPr>
      </w:pPr>
    </w:p>
    <w:p w:rsidR="00604822" w:rsidRPr="00913886" w:rsidRDefault="00604822" w:rsidP="00604822">
      <w:pPr>
        <w:rPr>
          <w:rFonts w:cs="Arial"/>
        </w:rPr>
      </w:pPr>
      <w:r w:rsidRPr="00913886">
        <w:rPr>
          <w:rFonts w:cs="Arial"/>
        </w:rPr>
        <w:t>1.</w:t>
      </w:r>
      <w:r w:rsidRPr="00913886">
        <w:rPr>
          <w:rFonts w:cs="Arial"/>
        </w:rPr>
        <w:tab/>
        <w:t>INTRODUCTION</w:t>
      </w:r>
    </w:p>
    <w:p w:rsidR="00604822" w:rsidRDefault="00604822" w:rsidP="00604822">
      <w:pPr>
        <w:rPr>
          <w:rFonts w:cs="Arial"/>
        </w:rPr>
      </w:pPr>
    </w:p>
    <w:p w:rsidR="00604822" w:rsidRDefault="00604822" w:rsidP="00604822">
      <w:pPr>
        <w:ind w:left="567"/>
        <w:rPr>
          <w:rFonts w:cs="Arial"/>
        </w:rPr>
      </w:pPr>
      <w:r>
        <w:rPr>
          <w:rFonts w:cs="Arial"/>
        </w:rPr>
        <w:t>Background</w:t>
      </w:r>
    </w:p>
    <w:p w:rsidR="00604822" w:rsidRDefault="00604822" w:rsidP="00604822">
      <w:pPr>
        <w:ind w:left="567"/>
        <w:rPr>
          <w:rFonts w:cs="Arial"/>
        </w:rPr>
      </w:pPr>
    </w:p>
    <w:p w:rsidR="00604822" w:rsidRDefault="00604822" w:rsidP="00604822">
      <w:pPr>
        <w:ind w:left="567"/>
        <w:rPr>
          <w:rFonts w:cs="Arial"/>
        </w:rPr>
      </w:pPr>
      <w:r>
        <w:rPr>
          <w:rFonts w:cs="Arial"/>
        </w:rPr>
        <w:t>Development within UPOV</w:t>
      </w:r>
    </w:p>
    <w:p w:rsidR="00604822" w:rsidRDefault="00604822" w:rsidP="00604822">
      <w:pPr>
        <w:ind w:left="567"/>
        <w:rPr>
          <w:rFonts w:cs="Arial"/>
        </w:rPr>
      </w:pPr>
    </w:p>
    <w:p w:rsidR="00604822" w:rsidRDefault="00604822" w:rsidP="00604822">
      <w:pPr>
        <w:ind w:left="1134"/>
        <w:rPr>
          <w:rFonts w:cs="Arial"/>
          <w:i/>
        </w:rPr>
      </w:pPr>
      <w:r w:rsidRPr="00F92E85">
        <w:rPr>
          <w:rFonts w:cs="Arial"/>
          <w:i/>
        </w:rPr>
        <w:t>UPOV membership</w:t>
      </w:r>
    </w:p>
    <w:p w:rsidR="00604822" w:rsidRDefault="00604822" w:rsidP="00604822">
      <w:pPr>
        <w:ind w:left="1134"/>
        <w:rPr>
          <w:rFonts w:cs="Arial"/>
          <w:i/>
        </w:rPr>
      </w:pPr>
      <w:r w:rsidRPr="00F92E85">
        <w:rPr>
          <w:rFonts w:cs="Arial"/>
          <w:i/>
        </w:rPr>
        <w:t>Use of the UPOV system</w:t>
      </w:r>
    </w:p>
    <w:p w:rsidR="00604822" w:rsidRDefault="00604822" w:rsidP="00604822">
      <w:pPr>
        <w:ind w:left="567"/>
        <w:rPr>
          <w:rFonts w:cs="Arial"/>
        </w:rPr>
      </w:pPr>
    </w:p>
    <w:p w:rsidR="00604822" w:rsidRDefault="00604822" w:rsidP="00604822">
      <w:pPr>
        <w:ind w:left="567"/>
        <w:rPr>
          <w:rFonts w:cs="Arial"/>
        </w:rPr>
      </w:pPr>
      <w:r>
        <w:rPr>
          <w:rFonts w:cs="Arial"/>
        </w:rPr>
        <w:t>External Developments</w:t>
      </w:r>
    </w:p>
    <w:p w:rsidR="00604822" w:rsidRDefault="00604822" w:rsidP="00604822">
      <w:pPr>
        <w:ind w:left="567"/>
        <w:rPr>
          <w:rFonts w:cs="Arial"/>
        </w:rPr>
      </w:pPr>
    </w:p>
    <w:p w:rsidR="00604822" w:rsidRDefault="00604822" w:rsidP="00604822">
      <w:pPr>
        <w:ind w:left="567"/>
        <w:rPr>
          <w:rFonts w:cs="Arial"/>
        </w:rPr>
      </w:pPr>
      <w:r>
        <w:rPr>
          <w:rFonts w:cs="Arial"/>
        </w:rPr>
        <w:t>Resource considerations</w:t>
      </w:r>
    </w:p>
    <w:p w:rsidR="00604822" w:rsidRPr="00913886" w:rsidRDefault="00604822" w:rsidP="00604822">
      <w:pPr>
        <w:rPr>
          <w:rFonts w:cs="Arial"/>
        </w:rPr>
      </w:pPr>
    </w:p>
    <w:p w:rsidR="00604822" w:rsidRPr="00913886" w:rsidRDefault="00604822" w:rsidP="00604822">
      <w:pPr>
        <w:rPr>
          <w:rFonts w:cs="Arial"/>
        </w:rPr>
      </w:pPr>
      <w:r w:rsidRPr="00913886">
        <w:rPr>
          <w:rFonts w:cs="Arial"/>
        </w:rPr>
        <w:t>2.</w:t>
      </w:r>
      <w:r w:rsidRPr="00913886">
        <w:rPr>
          <w:rFonts w:cs="Arial"/>
        </w:rPr>
        <w:tab/>
        <w:t>OBJECTIVES AND EXPECTED RESULTS BY SUB-PROGRAM</w:t>
      </w:r>
    </w:p>
    <w:p w:rsidR="00604822" w:rsidRPr="00913886" w:rsidRDefault="00604822" w:rsidP="00604822">
      <w:pPr>
        <w:rPr>
          <w:rFonts w:cs="Arial"/>
        </w:rPr>
      </w:pPr>
    </w:p>
    <w:p w:rsidR="00604822" w:rsidRPr="00913886" w:rsidRDefault="00604822" w:rsidP="00604822">
      <w:pPr>
        <w:ind w:left="567"/>
        <w:rPr>
          <w:rFonts w:cs="Arial"/>
        </w:rPr>
      </w:pPr>
      <w:r w:rsidRPr="00913886">
        <w:rPr>
          <w:rFonts w:cs="Arial"/>
        </w:rPr>
        <w:t>2.1</w:t>
      </w:r>
      <w:r w:rsidRPr="00913886">
        <w:rPr>
          <w:rFonts w:cs="Arial"/>
        </w:rPr>
        <w:tab/>
        <w:t>Sub-program UV.1:  Overall Policy on Plant Variety Protection</w:t>
      </w:r>
    </w:p>
    <w:p w:rsidR="00604822" w:rsidRPr="00913886" w:rsidRDefault="00604822" w:rsidP="00604822">
      <w:pPr>
        <w:ind w:left="1134"/>
        <w:rPr>
          <w:rFonts w:cs="Arial"/>
          <w:i/>
        </w:rPr>
      </w:pPr>
    </w:p>
    <w:p w:rsidR="00604822" w:rsidRPr="00913886" w:rsidRDefault="00604822" w:rsidP="00604822">
      <w:pPr>
        <w:ind w:left="1843" w:hanging="709"/>
        <w:rPr>
          <w:rFonts w:cs="Arial"/>
          <w:i/>
        </w:rPr>
      </w:pPr>
      <w:r w:rsidRPr="00913886">
        <w:rPr>
          <w:rFonts w:cs="Arial"/>
          <w:i/>
        </w:rPr>
        <w:t>2.1.1</w:t>
      </w:r>
      <w:r w:rsidRPr="00913886">
        <w:rPr>
          <w:rFonts w:cs="Arial"/>
          <w:i/>
        </w:rPr>
        <w:tab/>
        <w:t>Objectives</w:t>
      </w:r>
    </w:p>
    <w:p w:rsidR="00604822" w:rsidRPr="00913886" w:rsidRDefault="00604822" w:rsidP="00604822">
      <w:pPr>
        <w:ind w:left="1843" w:hanging="709"/>
        <w:rPr>
          <w:rFonts w:cs="Arial"/>
          <w:i/>
        </w:rPr>
      </w:pPr>
      <w:r w:rsidRPr="00913886">
        <w:rPr>
          <w:rFonts w:cs="Arial"/>
          <w:i/>
        </w:rPr>
        <w:t>2.1.2</w:t>
      </w:r>
      <w:r w:rsidRPr="00913886">
        <w:rPr>
          <w:rFonts w:cs="Arial"/>
          <w:i/>
        </w:rPr>
        <w:tab/>
        <w:t>Narrative</w:t>
      </w:r>
    </w:p>
    <w:p w:rsidR="00604822" w:rsidRPr="00913886" w:rsidRDefault="00604822" w:rsidP="00604822">
      <w:pPr>
        <w:ind w:left="1843" w:hanging="709"/>
        <w:rPr>
          <w:rFonts w:cs="Arial"/>
          <w:i/>
        </w:rPr>
      </w:pPr>
      <w:r w:rsidRPr="00913886">
        <w:rPr>
          <w:rFonts w:cs="Arial"/>
          <w:i/>
        </w:rPr>
        <w:t>2.1.3</w:t>
      </w:r>
      <w:r w:rsidRPr="00913886">
        <w:rPr>
          <w:rFonts w:cs="Arial"/>
          <w:i/>
        </w:rPr>
        <w:tab/>
        <w:t>Activities</w:t>
      </w:r>
    </w:p>
    <w:p w:rsidR="00604822" w:rsidRPr="00913886" w:rsidRDefault="00604822" w:rsidP="00604822">
      <w:pPr>
        <w:ind w:left="1843" w:hanging="709"/>
        <w:rPr>
          <w:rFonts w:cs="Arial"/>
          <w:i/>
        </w:rPr>
      </w:pPr>
      <w:r w:rsidRPr="00913886">
        <w:rPr>
          <w:rFonts w:cs="Arial"/>
          <w:i/>
        </w:rPr>
        <w:t>2.1.4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1134" w:hanging="567"/>
        <w:rPr>
          <w:rFonts w:cs="Arial"/>
        </w:rPr>
      </w:pPr>
      <w:r w:rsidRPr="00913886">
        <w:rPr>
          <w:rFonts w:cs="Arial"/>
        </w:rPr>
        <w:t>2.2</w:t>
      </w:r>
      <w:r w:rsidRPr="00913886">
        <w:rPr>
          <w:rFonts w:cs="Arial"/>
        </w:rPr>
        <w:tab/>
        <w:t>Sub-program UV.2:  Services to the Union for Enhancing the Effectiveness of the UPOV System</w:t>
      </w:r>
    </w:p>
    <w:p w:rsidR="00604822" w:rsidRPr="00913886" w:rsidRDefault="00604822" w:rsidP="00604822">
      <w:pPr>
        <w:ind w:left="1134" w:hanging="567"/>
        <w:rPr>
          <w:rFonts w:cs="Arial"/>
        </w:rPr>
      </w:pPr>
    </w:p>
    <w:p w:rsidR="00604822" w:rsidRPr="00913886" w:rsidRDefault="00604822" w:rsidP="00604822">
      <w:pPr>
        <w:ind w:left="1843" w:hanging="709"/>
        <w:rPr>
          <w:rFonts w:cs="Arial"/>
          <w:i/>
        </w:rPr>
      </w:pPr>
      <w:r w:rsidRPr="00913886">
        <w:rPr>
          <w:rFonts w:cs="Arial"/>
          <w:i/>
        </w:rPr>
        <w:t>2.2.1</w:t>
      </w:r>
      <w:r w:rsidRPr="00913886">
        <w:rPr>
          <w:rFonts w:cs="Arial"/>
          <w:i/>
        </w:rPr>
        <w:tab/>
        <w:t>Objectives</w:t>
      </w:r>
    </w:p>
    <w:p w:rsidR="00604822" w:rsidRDefault="00604822" w:rsidP="00604822">
      <w:pPr>
        <w:ind w:left="1843" w:hanging="709"/>
        <w:rPr>
          <w:rFonts w:cs="Arial"/>
          <w:i/>
        </w:rPr>
      </w:pPr>
      <w:r w:rsidRPr="00913886">
        <w:rPr>
          <w:rFonts w:cs="Arial"/>
          <w:i/>
        </w:rPr>
        <w:t>2.2.2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Guidance and information materials</w:t>
      </w:r>
    </w:p>
    <w:p w:rsidR="00604822" w:rsidRDefault="00604822" w:rsidP="00604822">
      <w:pPr>
        <w:spacing w:line="240" w:lineRule="atLeast"/>
        <w:ind w:left="2835" w:hanging="709"/>
        <w:rPr>
          <w:rFonts w:cs="Arial"/>
          <w:sz w:val="18"/>
        </w:rPr>
      </w:pPr>
      <w:r>
        <w:rPr>
          <w:rFonts w:cs="Arial"/>
          <w:sz w:val="18"/>
        </w:rPr>
        <w:t>UPOV resources for c</w:t>
      </w:r>
      <w:r w:rsidRPr="003117C2">
        <w:rPr>
          <w:rFonts w:cs="Arial"/>
          <w:sz w:val="18"/>
        </w:rPr>
        <w:t xml:space="preserve">ooperation </w:t>
      </w:r>
      <w:r>
        <w:rPr>
          <w:rFonts w:cs="Arial"/>
          <w:sz w:val="18"/>
        </w:rPr>
        <w:t>between members of the Union</w:t>
      </w:r>
    </w:p>
    <w:p w:rsidR="00604822" w:rsidRDefault="00604822" w:rsidP="00604822">
      <w:pPr>
        <w:spacing w:line="240" w:lineRule="atLeast"/>
        <w:ind w:left="2835" w:hanging="709"/>
        <w:rPr>
          <w:rFonts w:cs="Arial"/>
          <w:sz w:val="18"/>
        </w:rPr>
      </w:pPr>
      <w:r>
        <w:rPr>
          <w:rFonts w:cs="Arial"/>
          <w:sz w:val="18"/>
        </w:rPr>
        <w:t>Variety denominations</w:t>
      </w:r>
    </w:p>
    <w:p w:rsidR="00604822" w:rsidRPr="00913886" w:rsidRDefault="00604822" w:rsidP="00604822">
      <w:pPr>
        <w:ind w:left="1843" w:hanging="709"/>
        <w:rPr>
          <w:rFonts w:cs="Arial"/>
          <w:i/>
        </w:rPr>
      </w:pPr>
      <w:r w:rsidRPr="00913886">
        <w:rPr>
          <w:rFonts w:cs="Arial"/>
          <w:i/>
        </w:rPr>
        <w:t>2.2.3</w:t>
      </w:r>
      <w:r w:rsidRPr="00913886">
        <w:rPr>
          <w:rFonts w:cs="Arial"/>
          <w:i/>
        </w:rPr>
        <w:tab/>
        <w:t>Activities</w:t>
      </w:r>
    </w:p>
    <w:p w:rsidR="00604822" w:rsidRPr="00913886" w:rsidRDefault="00604822" w:rsidP="00604822">
      <w:pPr>
        <w:ind w:left="1843" w:hanging="709"/>
        <w:rPr>
          <w:rFonts w:cs="Arial"/>
          <w:i/>
        </w:rPr>
      </w:pPr>
      <w:r w:rsidRPr="00913886">
        <w:rPr>
          <w:rFonts w:cs="Arial"/>
          <w:i/>
        </w:rPr>
        <w:t>2.2.4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1134" w:hanging="567"/>
        <w:rPr>
          <w:rFonts w:cs="Arial"/>
        </w:rPr>
      </w:pPr>
      <w:r w:rsidRPr="00913886">
        <w:rPr>
          <w:rFonts w:cs="Arial"/>
        </w:rPr>
        <w:t>2.3</w:t>
      </w:r>
      <w:r w:rsidRPr="00913886">
        <w:rPr>
          <w:rFonts w:cs="Arial"/>
        </w:rPr>
        <w:tab/>
        <w:t xml:space="preserve">Sub-program UV.3:  Assistance in the Introduction and Implementation of the UPOV System </w:t>
      </w:r>
    </w:p>
    <w:p w:rsidR="00604822" w:rsidRPr="00913886" w:rsidRDefault="00604822" w:rsidP="00604822">
      <w:pPr>
        <w:ind w:left="567"/>
        <w:rPr>
          <w:rFonts w:cs="Arial"/>
        </w:rPr>
      </w:pPr>
    </w:p>
    <w:p w:rsidR="00604822" w:rsidRPr="00913886" w:rsidRDefault="00604822" w:rsidP="00604822">
      <w:pPr>
        <w:ind w:left="1843" w:hanging="709"/>
        <w:rPr>
          <w:rFonts w:cs="Arial"/>
          <w:i/>
        </w:rPr>
      </w:pPr>
      <w:r w:rsidRPr="00913886">
        <w:rPr>
          <w:rFonts w:cs="Arial"/>
          <w:i/>
        </w:rPr>
        <w:t>2.3.1</w:t>
      </w:r>
      <w:r w:rsidRPr="00913886">
        <w:rPr>
          <w:rFonts w:cs="Arial"/>
          <w:i/>
        </w:rPr>
        <w:tab/>
        <w:t>Objectives</w:t>
      </w:r>
    </w:p>
    <w:p w:rsidR="00604822" w:rsidRDefault="00604822" w:rsidP="00604822">
      <w:pPr>
        <w:ind w:left="1843" w:hanging="709"/>
        <w:rPr>
          <w:rFonts w:cs="Arial"/>
          <w:i/>
        </w:rPr>
      </w:pPr>
      <w:r w:rsidRPr="00913886">
        <w:rPr>
          <w:rFonts w:cs="Arial"/>
          <w:i/>
        </w:rPr>
        <w:t>2.3.2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Resources</w:t>
      </w:r>
    </w:p>
    <w:p w:rsidR="00604822" w:rsidRPr="003117C2" w:rsidRDefault="00604822" w:rsidP="00604822">
      <w:pPr>
        <w:spacing w:line="240" w:lineRule="atLeast"/>
        <w:ind w:left="2835" w:hanging="709"/>
        <w:rPr>
          <w:rFonts w:cs="Arial"/>
          <w:sz w:val="18"/>
        </w:rPr>
      </w:pPr>
      <w:r w:rsidRPr="003117C2">
        <w:rPr>
          <w:rFonts w:cs="Arial"/>
          <w:sz w:val="18"/>
        </w:rPr>
        <w:t xml:space="preserve">Strategy for </w:t>
      </w:r>
      <w:r>
        <w:rPr>
          <w:rFonts w:cs="Arial"/>
          <w:sz w:val="18"/>
        </w:rPr>
        <w:t>training and a</w:t>
      </w:r>
      <w:r w:rsidRPr="003117C2">
        <w:rPr>
          <w:rFonts w:cs="Arial"/>
          <w:sz w:val="18"/>
        </w:rPr>
        <w:t>ssistance</w:t>
      </w:r>
    </w:p>
    <w:p w:rsidR="00604822" w:rsidRPr="00913886" w:rsidRDefault="00604822" w:rsidP="00604822">
      <w:pPr>
        <w:ind w:left="1843" w:hanging="709"/>
        <w:rPr>
          <w:rFonts w:cs="Arial"/>
          <w:i/>
        </w:rPr>
      </w:pPr>
      <w:r w:rsidRPr="00913886">
        <w:rPr>
          <w:rFonts w:cs="Arial"/>
          <w:i/>
        </w:rPr>
        <w:t>2.3.3</w:t>
      </w:r>
      <w:r w:rsidRPr="00913886">
        <w:rPr>
          <w:rFonts w:cs="Arial"/>
          <w:i/>
        </w:rPr>
        <w:tab/>
        <w:t>Activities</w:t>
      </w:r>
    </w:p>
    <w:p w:rsidR="00604822" w:rsidRPr="00913886" w:rsidRDefault="00604822" w:rsidP="00604822">
      <w:pPr>
        <w:ind w:left="1843" w:hanging="709"/>
        <w:rPr>
          <w:rFonts w:cs="Arial"/>
          <w:i/>
        </w:rPr>
      </w:pPr>
      <w:r w:rsidRPr="00913886">
        <w:rPr>
          <w:rFonts w:cs="Arial"/>
          <w:i/>
        </w:rPr>
        <w:t>2.3.4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567"/>
        <w:rPr>
          <w:rFonts w:cs="Arial"/>
        </w:rPr>
      </w:pPr>
      <w:r w:rsidRPr="00913886">
        <w:rPr>
          <w:rFonts w:cs="Arial"/>
        </w:rPr>
        <w:t>2.4</w:t>
      </w:r>
      <w:r w:rsidRPr="00913886">
        <w:rPr>
          <w:rFonts w:cs="Arial"/>
        </w:rPr>
        <w:tab/>
        <w:t>Sub-program UV.4:  External Relations</w:t>
      </w:r>
    </w:p>
    <w:p w:rsidR="00604822" w:rsidRPr="00913886" w:rsidRDefault="00604822" w:rsidP="00604822">
      <w:pPr>
        <w:ind w:left="567"/>
        <w:rPr>
          <w:rFonts w:cs="Arial"/>
        </w:rPr>
      </w:pPr>
    </w:p>
    <w:p w:rsidR="00604822" w:rsidRPr="00913886" w:rsidRDefault="00604822" w:rsidP="00604822">
      <w:pPr>
        <w:ind w:left="1843" w:hanging="709"/>
        <w:rPr>
          <w:rFonts w:cs="Arial"/>
          <w:i/>
        </w:rPr>
      </w:pPr>
      <w:r w:rsidRPr="00913886">
        <w:rPr>
          <w:rFonts w:cs="Arial"/>
          <w:i/>
        </w:rPr>
        <w:t>2.4.1</w:t>
      </w:r>
      <w:r w:rsidRPr="00913886">
        <w:rPr>
          <w:rFonts w:cs="Arial"/>
          <w:i/>
        </w:rPr>
        <w:tab/>
        <w:t>Objectives</w:t>
      </w:r>
    </w:p>
    <w:p w:rsidR="00604822" w:rsidRDefault="00604822" w:rsidP="00604822">
      <w:pPr>
        <w:ind w:left="1843" w:hanging="709"/>
        <w:rPr>
          <w:rFonts w:cs="Arial"/>
          <w:i/>
        </w:rPr>
      </w:pPr>
      <w:r w:rsidRPr="00913886">
        <w:rPr>
          <w:rFonts w:cs="Arial"/>
          <w:i/>
        </w:rPr>
        <w:t>2.4.2</w:t>
      </w:r>
      <w:r w:rsidRPr="00913886">
        <w:rPr>
          <w:rFonts w:cs="Arial"/>
          <w:i/>
        </w:rPr>
        <w:tab/>
        <w:t>Narrative</w:t>
      </w:r>
    </w:p>
    <w:p w:rsidR="00604822" w:rsidRPr="003117C2" w:rsidRDefault="00604822" w:rsidP="00604822">
      <w:pPr>
        <w:spacing w:line="240" w:lineRule="atLeast"/>
        <w:ind w:left="2835" w:hanging="709"/>
        <w:rPr>
          <w:rFonts w:cs="Arial"/>
          <w:sz w:val="18"/>
        </w:rPr>
      </w:pPr>
      <w:r w:rsidRPr="003117C2">
        <w:rPr>
          <w:rFonts w:cs="Arial"/>
          <w:sz w:val="18"/>
        </w:rPr>
        <w:t>Introduction</w:t>
      </w:r>
    </w:p>
    <w:p w:rsidR="00604822" w:rsidRPr="003117C2" w:rsidRDefault="00604822" w:rsidP="00604822">
      <w:pPr>
        <w:spacing w:line="240" w:lineRule="atLeast"/>
        <w:ind w:left="2835" w:hanging="709"/>
        <w:rPr>
          <w:rFonts w:cs="Arial"/>
          <w:sz w:val="18"/>
        </w:rPr>
      </w:pPr>
      <w:r w:rsidRPr="003117C2">
        <w:rPr>
          <w:rFonts w:cs="Arial"/>
          <w:sz w:val="18"/>
        </w:rPr>
        <w:t xml:space="preserve">Communications with </w:t>
      </w:r>
      <w:r>
        <w:rPr>
          <w:rFonts w:cs="Arial"/>
          <w:sz w:val="18"/>
        </w:rPr>
        <w:t>s</w:t>
      </w:r>
      <w:r w:rsidRPr="003117C2">
        <w:rPr>
          <w:rFonts w:cs="Arial"/>
          <w:sz w:val="18"/>
        </w:rPr>
        <w:t>takeholders</w:t>
      </w:r>
    </w:p>
    <w:p w:rsidR="00604822" w:rsidRPr="003117C2" w:rsidRDefault="00604822" w:rsidP="00604822">
      <w:pPr>
        <w:spacing w:line="240" w:lineRule="atLeast"/>
        <w:ind w:left="2835" w:hanging="709"/>
        <w:rPr>
          <w:rFonts w:cs="Arial"/>
          <w:sz w:val="18"/>
        </w:rPr>
      </w:pPr>
      <w:r w:rsidRPr="003117C2">
        <w:rPr>
          <w:rFonts w:cs="Arial"/>
          <w:sz w:val="18"/>
        </w:rPr>
        <w:t>Communications with other organizations</w:t>
      </w:r>
    </w:p>
    <w:p w:rsidR="00604822" w:rsidRPr="00913886" w:rsidRDefault="00604822" w:rsidP="00604822">
      <w:pPr>
        <w:ind w:left="1843" w:hanging="709"/>
        <w:rPr>
          <w:rFonts w:cs="Arial"/>
          <w:i/>
        </w:rPr>
      </w:pPr>
      <w:r w:rsidRPr="00913886">
        <w:rPr>
          <w:rFonts w:cs="Arial"/>
          <w:i/>
        </w:rPr>
        <w:t>2.4.3</w:t>
      </w:r>
      <w:r w:rsidRPr="00913886">
        <w:rPr>
          <w:rFonts w:cs="Arial"/>
          <w:i/>
        </w:rPr>
        <w:tab/>
        <w:t>Activities</w:t>
      </w:r>
    </w:p>
    <w:p w:rsidR="00604822" w:rsidRPr="00913886" w:rsidRDefault="00604822" w:rsidP="00604822">
      <w:pPr>
        <w:ind w:left="1843" w:hanging="709"/>
        <w:rPr>
          <w:rFonts w:cs="Arial"/>
          <w:i/>
        </w:rPr>
      </w:pPr>
      <w:r w:rsidRPr="00913886">
        <w:rPr>
          <w:rFonts w:cs="Arial"/>
          <w:i/>
        </w:rPr>
        <w:t>2.4.4</w:t>
      </w:r>
      <w:r w:rsidRPr="00913886">
        <w:rPr>
          <w:rFonts w:cs="Arial"/>
          <w:i/>
        </w:rPr>
        <w:tab/>
        <w:t>Expected Results and Performance Indicators</w:t>
      </w:r>
    </w:p>
    <w:p w:rsidR="00604822" w:rsidRPr="00913886" w:rsidRDefault="00604822" w:rsidP="00604822">
      <w:pPr>
        <w:rPr>
          <w:rFonts w:cs="Arial"/>
        </w:rPr>
      </w:pPr>
    </w:p>
    <w:p w:rsidR="00604822" w:rsidRPr="00913886" w:rsidRDefault="00604822" w:rsidP="00604822">
      <w:pPr>
        <w:ind w:left="567"/>
        <w:rPr>
          <w:rFonts w:cs="Arial"/>
        </w:rPr>
      </w:pPr>
    </w:p>
    <w:p w:rsidR="00604822" w:rsidRPr="00913886" w:rsidRDefault="00604822" w:rsidP="00604822">
      <w:pPr>
        <w:keepNext/>
        <w:rPr>
          <w:rFonts w:cs="Arial"/>
        </w:rPr>
      </w:pPr>
      <w:r w:rsidRPr="00913886">
        <w:rPr>
          <w:rFonts w:cs="Arial"/>
        </w:rPr>
        <w:lastRenderedPageBreak/>
        <w:t>3.</w:t>
      </w:r>
      <w:r w:rsidRPr="00913886">
        <w:rPr>
          <w:rFonts w:cs="Arial"/>
        </w:rPr>
        <w:tab/>
        <w:t>PROPOSED BUDGET</w:t>
      </w:r>
    </w:p>
    <w:p w:rsidR="00604822" w:rsidRPr="00913886" w:rsidRDefault="00604822" w:rsidP="00604822">
      <w:pPr>
        <w:keepNext/>
        <w:rPr>
          <w:rFonts w:cs="Arial"/>
        </w:rPr>
      </w:pPr>
    </w:p>
    <w:p w:rsidR="00604822" w:rsidRPr="00BB2858" w:rsidRDefault="00604822" w:rsidP="00604822">
      <w:pPr>
        <w:ind w:left="567"/>
        <w:rPr>
          <w:rFonts w:cs="Arial"/>
        </w:rPr>
      </w:pPr>
      <w:r w:rsidRPr="00BB2858">
        <w:rPr>
          <w:rFonts w:cs="Arial"/>
        </w:rPr>
        <w:t>Table 1:  Income and Expenditure 2014-2015, 2016-2017 and 2018-2019</w:t>
      </w:r>
    </w:p>
    <w:p w:rsidR="00604822" w:rsidRPr="00BB2858" w:rsidRDefault="00604822" w:rsidP="00604822">
      <w:pPr>
        <w:ind w:left="567"/>
        <w:rPr>
          <w:rFonts w:cs="Arial"/>
        </w:rPr>
      </w:pPr>
      <w:r w:rsidRPr="00BB2858">
        <w:rPr>
          <w:rFonts w:cs="Arial"/>
        </w:rPr>
        <w:t>Table 2:  Structure of proposed budget 2018-2019 as compared to 2014-2015 and 2016-2017</w:t>
      </w:r>
    </w:p>
    <w:p w:rsidR="00604822" w:rsidRPr="00BB2858" w:rsidRDefault="00604822" w:rsidP="00604822">
      <w:pPr>
        <w:ind w:left="567"/>
        <w:rPr>
          <w:rFonts w:cs="Arial"/>
        </w:rPr>
      </w:pPr>
      <w:r w:rsidRPr="00BB2858">
        <w:rPr>
          <w:rFonts w:cs="Arial"/>
        </w:rPr>
        <w:t>Table 3:  Resource Plan 2016-2017 and 2018-2019</w:t>
      </w:r>
    </w:p>
    <w:p w:rsidR="00604822" w:rsidRPr="00BB2858" w:rsidRDefault="00604822" w:rsidP="00604822">
      <w:pPr>
        <w:ind w:left="567"/>
        <w:rPr>
          <w:rFonts w:cs="Arial"/>
        </w:rPr>
      </w:pPr>
      <w:r w:rsidRPr="00BB2858">
        <w:rPr>
          <w:rFonts w:cs="Arial"/>
        </w:rPr>
        <w:t>Table 4:  Proposed Budget 2018-2019:  Budget Variation by Object of Expenditure</w:t>
      </w:r>
    </w:p>
    <w:p w:rsidR="00604822" w:rsidRPr="00BB2858" w:rsidRDefault="00604822" w:rsidP="00604822">
      <w:pPr>
        <w:ind w:left="567"/>
        <w:rPr>
          <w:rFonts w:cs="Arial"/>
        </w:rPr>
      </w:pPr>
      <w:r w:rsidRPr="00BB2858">
        <w:rPr>
          <w:rFonts w:cs="Arial"/>
        </w:rPr>
        <w:t>Table 5:  Budget 2018-2019:  Posts by Category</w:t>
      </w:r>
    </w:p>
    <w:p w:rsidR="00604822" w:rsidRPr="00BB2858" w:rsidRDefault="00604822" w:rsidP="00604822">
      <w:pPr>
        <w:ind w:left="567"/>
        <w:rPr>
          <w:rFonts w:cs="Arial"/>
        </w:rPr>
      </w:pPr>
      <w:r w:rsidRPr="00BB2858">
        <w:rPr>
          <w:rFonts w:cs="Arial"/>
        </w:rPr>
        <w:t>Table 6:  Proposed Budget 2018-2019:  Allocation by Object of Expenditure</w:t>
      </w:r>
    </w:p>
    <w:p w:rsidR="00604822" w:rsidRPr="00BB2858" w:rsidRDefault="00604822" w:rsidP="00604822">
      <w:pPr>
        <w:ind w:left="567"/>
        <w:rPr>
          <w:rFonts w:cs="Arial"/>
        </w:rPr>
      </w:pPr>
      <w:r w:rsidRPr="00BB2858">
        <w:rPr>
          <w:rFonts w:cs="Arial"/>
        </w:rPr>
        <w:t>Table 7:  Budget Variation by Sub-program</w:t>
      </w:r>
    </w:p>
    <w:p w:rsidR="00604822" w:rsidRPr="00913886" w:rsidRDefault="00604822" w:rsidP="00604822">
      <w:pPr>
        <w:ind w:left="567"/>
        <w:rPr>
          <w:rFonts w:cs="Arial"/>
        </w:rPr>
      </w:pPr>
      <w:r w:rsidRPr="00BB2858">
        <w:rPr>
          <w:rFonts w:cs="Arial"/>
        </w:rPr>
        <w:t>Table 8:  Income 2016-2017 and 2018-2019:  Variation by Source</w:t>
      </w:r>
    </w:p>
    <w:p w:rsidR="00604822" w:rsidRDefault="00604822" w:rsidP="00604822">
      <w:pPr>
        <w:ind w:left="567"/>
        <w:rPr>
          <w:rFonts w:cs="Arial"/>
        </w:rPr>
      </w:pPr>
    </w:p>
    <w:p w:rsidR="00604822" w:rsidRDefault="00604822" w:rsidP="00604822">
      <w:pPr>
        <w:ind w:left="567"/>
        <w:rPr>
          <w:rFonts w:cs="Arial"/>
        </w:rPr>
      </w:pPr>
    </w:p>
    <w:p w:rsidR="00604822" w:rsidRPr="003657F7" w:rsidRDefault="00604822" w:rsidP="00604822">
      <w:pPr>
        <w:keepNext/>
        <w:rPr>
          <w:rFonts w:cs="Arial"/>
        </w:rPr>
      </w:pPr>
      <w:r w:rsidRPr="00C300A2">
        <w:rPr>
          <w:rFonts w:cs="Arial"/>
        </w:rPr>
        <w:t>4.</w:t>
      </w:r>
      <w:r w:rsidRPr="00C300A2">
        <w:rPr>
          <w:rFonts w:cs="Arial"/>
        </w:rPr>
        <w:tab/>
        <w:t xml:space="preserve">FINANCIAL INDICATORS </w:t>
      </w:r>
      <w:r w:rsidRPr="003657F7">
        <w:rPr>
          <w:rFonts w:cs="Arial"/>
        </w:rPr>
        <w:t>2012-2021</w:t>
      </w:r>
    </w:p>
    <w:p w:rsidR="00604822" w:rsidRPr="003657F7" w:rsidRDefault="00604822" w:rsidP="00604822">
      <w:pPr>
        <w:keepNext/>
        <w:rPr>
          <w:rFonts w:cs="Arial"/>
        </w:rPr>
      </w:pPr>
    </w:p>
    <w:p w:rsidR="00604822" w:rsidRPr="00C300A2" w:rsidRDefault="00604822" w:rsidP="00604822">
      <w:pPr>
        <w:ind w:left="567"/>
        <w:rPr>
          <w:rFonts w:cs="Arial"/>
        </w:rPr>
      </w:pPr>
      <w:r w:rsidRPr="003657F7">
        <w:rPr>
          <w:rFonts w:cs="Arial"/>
        </w:rPr>
        <w:t>Table 9:  Income, Expenditure and Reserves for 2012-2021</w:t>
      </w:r>
    </w:p>
    <w:p w:rsidR="00604822" w:rsidRPr="00C300A2" w:rsidRDefault="00604822" w:rsidP="00604822">
      <w:pPr>
        <w:ind w:left="567"/>
        <w:rPr>
          <w:rFonts w:cs="Arial"/>
        </w:rPr>
      </w:pPr>
    </w:p>
    <w:p w:rsidR="00604822" w:rsidRDefault="00604822" w:rsidP="00604822">
      <w:pPr>
        <w:rPr>
          <w:rFonts w:cs="Arial"/>
        </w:rPr>
      </w:pPr>
    </w:p>
    <w:p w:rsidR="00604822" w:rsidRDefault="00604822" w:rsidP="00604822">
      <w:pPr>
        <w:ind w:left="1695" w:hanging="1695"/>
        <w:rPr>
          <w:rFonts w:cs="Arial"/>
        </w:rPr>
      </w:pPr>
      <w:r>
        <w:rPr>
          <w:rFonts w:cs="Arial"/>
        </w:rPr>
        <w:t>APPENDIX I:</w:t>
      </w:r>
      <w:r>
        <w:rPr>
          <w:rFonts w:cs="Arial"/>
        </w:rPr>
        <w:tab/>
      </w:r>
      <w:r w:rsidRPr="00931E36">
        <w:rPr>
          <w:rFonts w:cs="Arial"/>
          <w:szCs w:val="24"/>
        </w:rPr>
        <w:t>STATUS IN RELATION TO THE INTERNATIONAL UNION FOR THE PROTECTION</w:t>
      </w:r>
      <w:r w:rsidRPr="00931E36">
        <w:rPr>
          <w:rFonts w:cs="Arial"/>
          <w:szCs w:val="24"/>
        </w:rPr>
        <w:br/>
        <w:t>OF NEW VARIETIES OF PLANTS (UPOV)</w:t>
      </w:r>
    </w:p>
    <w:p w:rsidR="00604822" w:rsidRDefault="00604822" w:rsidP="00604822">
      <w:pPr>
        <w:rPr>
          <w:rFonts w:cs="Arial"/>
        </w:rPr>
      </w:pPr>
    </w:p>
    <w:p w:rsidR="00604822" w:rsidRPr="00C300A2" w:rsidRDefault="00604822" w:rsidP="00604822">
      <w:pPr>
        <w:rPr>
          <w:rFonts w:cs="Arial"/>
        </w:rPr>
      </w:pPr>
      <w:r w:rsidRPr="00C300A2">
        <w:rPr>
          <w:rFonts w:cs="Arial"/>
        </w:rPr>
        <w:t xml:space="preserve">APPENDIX </w:t>
      </w:r>
      <w:r>
        <w:rPr>
          <w:rFonts w:cs="Arial"/>
        </w:rPr>
        <w:t>I</w:t>
      </w:r>
      <w:r w:rsidRPr="00C300A2">
        <w:rPr>
          <w:rFonts w:cs="Arial"/>
        </w:rPr>
        <w:t xml:space="preserve">I: </w:t>
      </w:r>
      <w:r w:rsidRPr="00C300A2">
        <w:rPr>
          <w:rFonts w:cs="Arial"/>
        </w:rPr>
        <w:tab/>
        <w:t>BUDGET METHODOLOGY</w:t>
      </w:r>
    </w:p>
    <w:p w:rsidR="00604822" w:rsidRDefault="00604822" w:rsidP="00604822">
      <w:pPr>
        <w:rPr>
          <w:rFonts w:cs="Arial"/>
        </w:rPr>
      </w:pPr>
    </w:p>
    <w:p w:rsidR="00604822" w:rsidRPr="00ED49E5" w:rsidRDefault="00604822" w:rsidP="00604822">
      <w:pPr>
        <w:rPr>
          <w:rFonts w:cs="Arial"/>
        </w:rPr>
      </w:pPr>
      <w:r w:rsidRPr="00C300A2">
        <w:rPr>
          <w:rFonts w:cs="Arial"/>
        </w:rPr>
        <w:t>APPENDIX I</w:t>
      </w:r>
      <w:r>
        <w:rPr>
          <w:rFonts w:cs="Arial"/>
        </w:rPr>
        <w:t>I</w:t>
      </w:r>
      <w:r w:rsidRPr="00C300A2">
        <w:rPr>
          <w:rFonts w:cs="Arial"/>
        </w:rPr>
        <w:t xml:space="preserve">I: </w:t>
      </w:r>
      <w:r w:rsidRPr="00C300A2">
        <w:rPr>
          <w:rFonts w:cs="Arial"/>
        </w:rPr>
        <w:tab/>
        <w:t>CONTRIBUTIONS OF MEMBERS</w:t>
      </w:r>
    </w:p>
    <w:p w:rsidR="00604822" w:rsidRDefault="00604822" w:rsidP="00604822">
      <w:pPr>
        <w:rPr>
          <w:rFonts w:cs="Arial"/>
        </w:rPr>
      </w:pPr>
    </w:p>
    <w:p w:rsidR="00604822" w:rsidRDefault="00604822" w:rsidP="00604822">
      <w:pPr>
        <w:rPr>
          <w:rFonts w:cs="Arial"/>
        </w:rPr>
      </w:pPr>
      <w:r>
        <w:rPr>
          <w:rFonts w:cs="Arial"/>
        </w:rPr>
        <w:t>APPENDIX IV</w:t>
      </w:r>
      <w:r w:rsidRPr="00ED49E5">
        <w:rPr>
          <w:rFonts w:cs="Arial"/>
        </w:rPr>
        <w:t xml:space="preserve">: </w:t>
      </w:r>
      <w:r w:rsidRPr="00ED49E5">
        <w:rPr>
          <w:rFonts w:cs="Arial"/>
        </w:rPr>
        <w:tab/>
        <w:t>DEFINITIONS OF BUDGET HEADINGS</w:t>
      </w:r>
    </w:p>
    <w:p w:rsidR="00604822" w:rsidRPr="00913886" w:rsidRDefault="00604822" w:rsidP="00604822">
      <w:pPr>
        <w:rPr>
          <w:rFonts w:cs="Arial"/>
        </w:rPr>
      </w:pPr>
    </w:p>
    <w:p w:rsidR="00604822" w:rsidRDefault="00604822" w:rsidP="00604822">
      <w:pPr>
        <w:jc w:val="left"/>
      </w:pPr>
      <w:r>
        <w:rPr>
          <w:b/>
          <w:bCs/>
        </w:rPr>
        <w:br w:type="page"/>
      </w:r>
    </w:p>
    <w:p w:rsidR="00604822" w:rsidRPr="00DD6106" w:rsidRDefault="00604822" w:rsidP="00604822">
      <w:pPr>
        <w:rPr>
          <w:b/>
        </w:rPr>
      </w:pPr>
      <w:r w:rsidRPr="00DD6106">
        <w:rPr>
          <w:b/>
        </w:rPr>
        <w:t>1.</w:t>
      </w:r>
      <w:r w:rsidRPr="00DD6106">
        <w:rPr>
          <w:b/>
        </w:rPr>
        <w:tab/>
        <w:t>INTRODUCTION</w:t>
      </w:r>
    </w:p>
    <w:p w:rsidR="00604822" w:rsidRPr="00DD6106" w:rsidRDefault="00604822" w:rsidP="00604822"/>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u w:val="single"/>
        </w:rPr>
      </w:pPr>
      <w:r w:rsidRPr="008449EA">
        <w:rPr>
          <w:b/>
          <w:u w:val="single"/>
        </w:rPr>
        <w:t>UPOV Mission Statement</w:t>
      </w:r>
    </w:p>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rPr>
      </w:pPr>
    </w:p>
    <w:p w:rsidR="00604822" w:rsidRPr="008449EA" w:rsidRDefault="00604822" w:rsidP="00604822">
      <w:pPr>
        <w:pBdr>
          <w:top w:val="single" w:sz="4" w:space="4" w:color="auto"/>
          <w:left w:val="single" w:sz="4" w:space="4" w:color="auto"/>
          <w:bottom w:val="single" w:sz="4" w:space="4" w:color="auto"/>
          <w:right w:val="single" w:sz="4" w:space="4" w:color="auto"/>
        </w:pBdr>
        <w:jc w:val="center"/>
        <w:rPr>
          <w:b/>
        </w:rPr>
      </w:pPr>
      <w:r w:rsidRPr="008449EA">
        <w:rPr>
          <w:b/>
        </w:rPr>
        <w:t>To provide and promote an effective system of plant variety protection</w:t>
      </w:r>
      <w:proofErr w:type="gramStart"/>
      <w:r w:rsidRPr="008449EA">
        <w:rPr>
          <w:b/>
        </w:rPr>
        <w:t>,</w:t>
      </w:r>
      <w:proofErr w:type="gramEnd"/>
      <w:r w:rsidRPr="008449EA">
        <w:rPr>
          <w:b/>
        </w:rPr>
        <w:br/>
        <w:t>with the aim of encouraging the development of new</w:t>
      </w:r>
      <w:r>
        <w:rPr>
          <w:b/>
        </w:rPr>
        <w:t xml:space="preserve"> </w:t>
      </w:r>
      <w:r w:rsidRPr="008449EA">
        <w:rPr>
          <w:b/>
        </w:rPr>
        <w:t xml:space="preserve">varieties of plants, </w:t>
      </w:r>
      <w:r>
        <w:rPr>
          <w:b/>
        </w:rPr>
        <w:br/>
      </w:r>
      <w:r w:rsidRPr="008449EA">
        <w:rPr>
          <w:b/>
        </w:rPr>
        <w:t>for the benefit of society.</w:t>
      </w:r>
    </w:p>
    <w:p w:rsidR="00604822" w:rsidRDefault="00604822" w:rsidP="00604822"/>
    <w:p w:rsidR="00604822" w:rsidRPr="00DD6106" w:rsidRDefault="00604822" w:rsidP="00604822"/>
    <w:p w:rsidR="00604822" w:rsidRPr="00093CD9" w:rsidRDefault="00604822" w:rsidP="00604822">
      <w:pPr>
        <w:pStyle w:val="Heading2"/>
      </w:pPr>
      <w:r w:rsidRPr="00093CD9">
        <w:t>Background</w:t>
      </w:r>
    </w:p>
    <w:p w:rsidR="00604822" w:rsidRDefault="00604822" w:rsidP="00604822"/>
    <w:p w:rsidR="00604822" w:rsidRDefault="00604822" w:rsidP="00604822">
      <w:r w:rsidRPr="00AA0CB8">
        <w:t>1.1</w:t>
      </w:r>
      <w:r w:rsidRPr="00AA0CB8">
        <w:tab/>
        <w:t>UPOV’s mission is “[t]o provide and promote an effective system of plant variety protection, with the</w:t>
      </w:r>
      <w:r>
        <w:t xml:space="preserve"> aim of encouraging the development of new varieties of plants, for the benefit of society”.  </w:t>
      </w:r>
    </w:p>
    <w:p w:rsidR="00604822" w:rsidRDefault="00604822" w:rsidP="00604822"/>
    <w:p w:rsidR="00604822" w:rsidRDefault="00604822" w:rsidP="00604822">
      <w:r>
        <w:t>1.2</w:t>
      </w:r>
      <w:r>
        <w:tab/>
        <w:t xml:space="preserve">In terms of providing an effective system of </w:t>
      </w:r>
      <w:r w:rsidRPr="00835E77">
        <w:rPr>
          <w:snapToGrid w:val="0"/>
        </w:rPr>
        <w:t>plant variety protection</w:t>
      </w:r>
      <w:r>
        <w:t>, UPOV has consistently emphasized that its priority is service to UPOV members.  Historically, that can be seen from the allocation of the major proportion of its resources under Sub-program UV.2 “</w:t>
      </w:r>
      <w:r w:rsidRPr="005A657F">
        <w:t>Services to the Union for Enhancing the Effectiveness of the UPOV System</w:t>
      </w:r>
      <w:r>
        <w:t xml:space="preserve">” (62% of the budget in the </w:t>
      </w:r>
      <w:r w:rsidRPr="00BE1B26">
        <w:t>Program and Budget for the 2016-2017 Biennium</w:t>
      </w:r>
      <w:r>
        <w:t>).  Furthermore, within Sub-program UV.3 “</w:t>
      </w:r>
      <w:r w:rsidRPr="00BE1B26">
        <w:t>Assistance in the Introduction and Implementation of the UPOV System</w:t>
      </w:r>
      <w:r>
        <w:t xml:space="preserve">” (22% of the budget in the </w:t>
      </w:r>
      <w:r w:rsidRPr="00BE1B26">
        <w:t>Program and Budget for the 2016-2017 Biennium</w:t>
      </w:r>
      <w:r>
        <w:t xml:space="preserve">), first priority is given to </w:t>
      </w:r>
      <w:r w:rsidRPr="00121D53">
        <w:t>assistance to existing members of the Union</w:t>
      </w:r>
      <w:r>
        <w:t xml:space="preserve"> (see document C/49/4 Rev. “</w:t>
      </w:r>
      <w:r w:rsidRPr="00121D53">
        <w:t>Program and Budget for the 2016-2017 Biennium</w:t>
      </w:r>
      <w:r>
        <w:t>”, Annex, paragraph 2.3.2.2).</w:t>
      </w:r>
    </w:p>
    <w:p w:rsidR="00604822" w:rsidRDefault="00604822" w:rsidP="00604822"/>
    <w:p w:rsidR="00604822" w:rsidRDefault="00604822" w:rsidP="00604822">
      <w:r>
        <w:t>1.3</w:t>
      </w:r>
      <w:r>
        <w:tab/>
        <w:t>At the same time, the importance of promoting the UPOV system was highlighted in the UPOV Report on the Impact of Plant Variety Protection</w:t>
      </w:r>
      <w:r>
        <w:rPr>
          <w:rStyle w:val="FootnoteReference"/>
        </w:rPr>
        <w:footnoteReference w:id="2"/>
      </w:r>
      <w:r>
        <w:t>, which demonstrated that the expansion of UPOV benefitted both existing and new UPOV members (see “</w:t>
      </w:r>
      <w:r w:rsidRPr="009C6032">
        <w:t>Expansion of UPOV: a benefit for new and old UPOV members</w:t>
      </w:r>
      <w:r>
        <w:t xml:space="preserve">”).  In that regard, activities in the promotion of the UPOV system are based on two main considerations.  Firstly, UPOV places emphasis on the principle that it is a sovereign matter for each State and organization on whether to develop </w:t>
      </w:r>
      <w:r w:rsidRPr="000F7017">
        <w:t>legislation in accordance with the UPOV Convention</w:t>
      </w:r>
      <w:r>
        <w:t xml:space="preserve"> and to become a UPOV member</w:t>
      </w:r>
      <w:proofErr w:type="gramStart"/>
      <w:r>
        <w:t>;  and</w:t>
      </w:r>
      <w:proofErr w:type="gramEnd"/>
      <w:r>
        <w:t xml:space="preserve"> secondly, there are limited resources for such activities within the regular program and budget.</w:t>
      </w:r>
    </w:p>
    <w:p w:rsidR="00604822" w:rsidRDefault="00604822" w:rsidP="00604822"/>
    <w:p w:rsidR="00604822" w:rsidRDefault="00604822" w:rsidP="00604822">
      <w:r w:rsidRPr="00E32B41">
        <w:t>1.4</w:t>
      </w:r>
      <w:r w:rsidRPr="00E32B41">
        <w:tab/>
        <w:t>Recent developments in UPOV membership (see Figures 2 and 3) and increasing awareness of the</w:t>
      </w:r>
      <w:r>
        <w:t xml:space="preserve"> need for effective policies to meet the increasing demands on agriculture, mean that there is a need for UPOV to review the resources required to meet its goals and objectives, both in terms of services to members and in explaining the benefits of </w:t>
      </w:r>
      <w:r w:rsidRPr="00835E77">
        <w:rPr>
          <w:snapToGrid w:val="0"/>
        </w:rPr>
        <w:t>plant variety protection</w:t>
      </w:r>
      <w:r>
        <w:t xml:space="preserve"> and UPOV membership to States and organizations that are not yet UPOV members.  This situation was highlighted in </w:t>
      </w:r>
      <w:r w:rsidRPr="002B0135">
        <w:rPr>
          <w:spacing w:val="-2"/>
        </w:rPr>
        <w:t>the World Intellectual Property Organization</w:t>
      </w:r>
      <w:r>
        <w:rPr>
          <w:spacing w:val="-2"/>
        </w:rPr>
        <w:t xml:space="preserve"> </w:t>
      </w:r>
      <w:r w:rsidRPr="002B0135">
        <w:rPr>
          <w:spacing w:val="-2"/>
        </w:rPr>
        <w:t>(WIPO) Internal Oversight Division (IOD) “Evaluation of the International Union for the Protection of New</w:t>
      </w:r>
      <w:r>
        <w:rPr>
          <w:spacing w:val="-2"/>
        </w:rPr>
        <w:t xml:space="preserve"> </w:t>
      </w:r>
      <w:r w:rsidRPr="002B0135">
        <w:rPr>
          <w:spacing w:val="-2"/>
        </w:rPr>
        <w:t>Varieties of Plants (UPOV)”</w:t>
      </w:r>
      <w:r>
        <w:rPr>
          <w:spacing w:val="-2"/>
        </w:rPr>
        <w:t xml:space="preserve">, conducted in 2016.  </w:t>
      </w:r>
      <w:r>
        <w:t xml:space="preserve">The IOD Evaluation Report’s single recommendation was that UPOV “consider developing a Strategic Business Plan to diversify its revenue portfolio to maintain and enhance the sustainability of existing activities and services […]”. </w:t>
      </w:r>
    </w:p>
    <w:p w:rsidR="00604822" w:rsidRDefault="00604822" w:rsidP="00604822"/>
    <w:p w:rsidR="00604822" w:rsidRDefault="00604822" w:rsidP="00604822"/>
    <w:p w:rsidR="00604822" w:rsidRPr="007A2F05" w:rsidRDefault="00604822" w:rsidP="00604822">
      <w:pPr>
        <w:pStyle w:val="Heading2"/>
      </w:pPr>
      <w:r w:rsidRPr="007A2F05">
        <w:t>Developments within UPOV</w:t>
      </w:r>
    </w:p>
    <w:p w:rsidR="00604822" w:rsidRDefault="00604822" w:rsidP="00604822"/>
    <w:p w:rsidR="00604822" w:rsidRDefault="00604822" w:rsidP="00604822">
      <w:r>
        <w:t>1.5</w:t>
      </w:r>
      <w:r>
        <w:tab/>
        <w:t xml:space="preserve">The following sections consider recent developments that are relevant for UPOV’s mission. </w:t>
      </w:r>
    </w:p>
    <w:p w:rsidR="00604822" w:rsidRDefault="00604822" w:rsidP="00604822"/>
    <w:p w:rsidR="00604822" w:rsidRDefault="00604822" w:rsidP="00604822"/>
    <w:p w:rsidR="00604822" w:rsidRPr="00E32B41" w:rsidRDefault="00604822" w:rsidP="00604822">
      <w:pPr>
        <w:rPr>
          <w:i/>
        </w:rPr>
      </w:pPr>
      <w:r w:rsidRPr="00E32B41">
        <w:rPr>
          <w:i/>
        </w:rPr>
        <w:t>UPOV membership</w:t>
      </w:r>
    </w:p>
    <w:p w:rsidR="00604822" w:rsidRDefault="00604822" w:rsidP="00604822"/>
    <w:p w:rsidR="00604822" w:rsidRDefault="00604822" w:rsidP="00604822">
      <w:r w:rsidRPr="00AA0CB8">
        <w:t>1.6</w:t>
      </w:r>
      <w:r w:rsidRPr="00AA0CB8">
        <w:tab/>
        <w:t>At the end of 2016, UPOV comprised 74 members covering 93 States (</w:t>
      </w:r>
      <w:r>
        <w:t>see Figure 1 “UPOV </w:t>
      </w:r>
      <w:r w:rsidRPr="00AA0CB8">
        <w:t>membership at December 31, 2016”).</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3D07E9" w:rsidTr="00962988">
        <w:trPr>
          <w:cantSplit/>
        </w:trPr>
        <w:tc>
          <w:tcPr>
            <w:tcW w:w="9855" w:type="dxa"/>
          </w:tcPr>
          <w:p w:rsidR="00604822" w:rsidRPr="003D07E9" w:rsidRDefault="00604822" w:rsidP="00962988">
            <w:pPr>
              <w:pStyle w:val="figures"/>
            </w:pPr>
            <w:r w:rsidRPr="003D07E9">
              <w:t>Figure 1: UPOV membership at December 31, 2016 [</w:t>
            </w:r>
            <w:r w:rsidRPr="003D07E9">
              <w:rPr>
                <w:szCs w:val="14"/>
              </w:rPr>
              <w:t>territories of UPOV members shown in green]</w:t>
            </w:r>
          </w:p>
        </w:tc>
      </w:tr>
      <w:tr w:rsidR="00604822" w:rsidTr="00962988">
        <w:trPr>
          <w:cantSplit/>
        </w:trPr>
        <w:tc>
          <w:tcPr>
            <w:tcW w:w="9855" w:type="dxa"/>
          </w:tcPr>
          <w:p w:rsidR="00604822" w:rsidRPr="006A35CC" w:rsidRDefault="00604822" w:rsidP="00962988">
            <w:pPr>
              <w:keepNext/>
              <w:rPr>
                <w:sz w:val="14"/>
                <w:szCs w:val="14"/>
              </w:rPr>
            </w:pPr>
            <w:r>
              <w:rPr>
                <w:noProof/>
                <w:sz w:val="14"/>
                <w:szCs w:val="14"/>
              </w:rPr>
              <w:drawing>
                <wp:inline distT="0" distB="0" distL="0" distR="0" wp14:anchorId="492E3B7C" wp14:editId="0DACF1F8">
                  <wp:extent cx="6040103" cy="3060319"/>
                  <wp:effectExtent l="0" t="0" r="0" b="6985"/>
                  <wp:docPr id="28" name="Picture 28" descr="\\Wipogvafs01\DAT1\OrgUPOV\Shared\Present-speeches\_Model Presentations &amp;Speeches\maps\2017_02_03_one_colour_(74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ipogvafs01\DAT1\OrgUPOV\Shared\Present-speeches\_Model Presentations &amp;Speeches\maps\2017_02_03_one_colour_(74member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761" cy="3064706"/>
                          </a:xfrm>
                          <a:prstGeom prst="rect">
                            <a:avLst/>
                          </a:prstGeom>
                          <a:noFill/>
                          <a:ln>
                            <a:noFill/>
                          </a:ln>
                        </pic:spPr>
                      </pic:pic>
                    </a:graphicData>
                  </a:graphic>
                </wp:inline>
              </w:drawing>
            </w:r>
          </w:p>
        </w:tc>
      </w:tr>
      <w:tr w:rsidR="00604822" w:rsidTr="00962988">
        <w:trPr>
          <w:cantSplit/>
        </w:trPr>
        <w:tc>
          <w:tcPr>
            <w:tcW w:w="9855" w:type="dxa"/>
          </w:tcPr>
          <w:p w:rsidR="00604822" w:rsidRDefault="00604822" w:rsidP="00962988">
            <w:pPr>
              <w:keepNext/>
              <w:rPr>
                <w:noProof/>
              </w:rPr>
            </w:pPr>
            <w:r w:rsidRPr="006A35CC">
              <w:rPr>
                <w:sz w:val="14"/>
                <w:szCs w:val="14"/>
              </w:rPr>
              <w:t>The boundaries shown on this map do not imply the expression of any opinion whatsoever on the part of UPOV concerning the legal status of any country or territory</w:t>
            </w:r>
          </w:p>
        </w:tc>
      </w:tr>
    </w:tbl>
    <w:p w:rsidR="00604822" w:rsidRDefault="00604822" w:rsidP="00604822"/>
    <w:p w:rsidR="00604822" w:rsidRDefault="00604822" w:rsidP="00604822">
      <w:pPr>
        <w:rPr>
          <w:rFonts w:eastAsia="MS Mincho"/>
          <w:lang w:eastAsia="ja-JP"/>
        </w:rPr>
      </w:pPr>
      <w:r>
        <w:t>1.7</w:t>
      </w:r>
      <w:r>
        <w:tab/>
        <w:t>Figure 2 illustrates the development of UPOV.  Figure 3 illustrates the territories of the members that joined UPOV in the period 2011-2016</w:t>
      </w:r>
      <w:r>
        <w:rPr>
          <w:rStyle w:val="FootnoteReference"/>
        </w:rPr>
        <w:footnoteReference w:id="3"/>
      </w:r>
      <w:r>
        <w:t xml:space="preserve">, demonstrating the substantial geographic expansion of UPOV within Africa.  In the period concerned, 18 States (17 member States of OAPI and the </w:t>
      </w:r>
      <w:r>
        <w:rPr>
          <w:rFonts w:cs="Arial"/>
        </w:rPr>
        <w:t>United Republic of Tanzania)</w:t>
      </w:r>
      <w:r>
        <w:t xml:space="preserve"> in Africa became covered by the UPOV system and UPOV will need to provide training and assistance for the implementation of the UPOV system in those territories.  </w:t>
      </w:r>
    </w:p>
    <w:p w:rsidR="00604822" w:rsidRDefault="00604822" w:rsidP="00604822">
      <w:pPr>
        <w:rPr>
          <w:rFonts w:eastAsia="MS Mincho"/>
          <w:lang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3D07E9" w:rsidTr="00962988">
        <w:tc>
          <w:tcPr>
            <w:tcW w:w="9855" w:type="dxa"/>
          </w:tcPr>
          <w:p w:rsidR="00604822" w:rsidRPr="003D07E9" w:rsidRDefault="00604822" w:rsidP="00962988">
            <w:pPr>
              <w:pStyle w:val="figures"/>
            </w:pPr>
            <w:r w:rsidRPr="003D07E9">
              <w:t>Figure 2:  Development of UPOV membership</w:t>
            </w:r>
          </w:p>
        </w:tc>
      </w:tr>
      <w:tr w:rsidR="00604822" w:rsidTr="00962988">
        <w:tc>
          <w:tcPr>
            <w:tcW w:w="9855" w:type="dxa"/>
          </w:tcPr>
          <w:p w:rsidR="00604822" w:rsidRPr="00B9502E" w:rsidRDefault="00604822" w:rsidP="00962988">
            <w:pPr>
              <w:jc w:val="center"/>
              <w:rPr>
                <w:noProof/>
                <w:highlight w:val="cyan"/>
              </w:rPr>
            </w:pPr>
            <w:r>
              <w:rPr>
                <w:noProof/>
              </w:rPr>
              <w:drawing>
                <wp:inline distT="0" distB="0" distL="0" distR="0" wp14:anchorId="3ECB7C7A" wp14:editId="1F7335CE">
                  <wp:extent cx="5934075" cy="3876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348" r="3110" b="2517"/>
                          <a:stretch/>
                        </pic:blipFill>
                        <pic:spPr bwMode="auto">
                          <a:xfrm>
                            <a:off x="0" y="0"/>
                            <a:ext cx="5934075" cy="3876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04822" w:rsidRPr="000F6FD7"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0F6FD7" w:rsidRDefault="00604822" w:rsidP="00962988">
            <w:pPr>
              <w:pStyle w:val="figures"/>
            </w:pPr>
            <w:r w:rsidRPr="000F6FD7">
              <w:t>Figure 3:  New UPOV members in the period 2011-2016</w:t>
            </w:r>
          </w:p>
        </w:tc>
      </w:tr>
      <w:tr w:rsidR="00604822"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56174B" w:rsidRDefault="00604822" w:rsidP="00962988">
            <w:pPr>
              <w:jc w:val="center"/>
              <w:rPr>
                <w:noProof/>
              </w:rPr>
            </w:pPr>
            <w:r>
              <w:rPr>
                <w:noProof/>
              </w:rPr>
              <w:drawing>
                <wp:inline distT="0" distB="0" distL="0" distR="0" wp14:anchorId="21E3DF61" wp14:editId="3DFD40EA">
                  <wp:extent cx="6120765" cy="310134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3_Map.png"/>
                          <pic:cNvPicPr/>
                        </pic:nvPicPr>
                        <pic:blipFill>
                          <a:blip r:embed="rId12">
                            <a:extLst>
                              <a:ext uri="{28A0092B-C50C-407E-A947-70E740481C1C}">
                                <a14:useLocalDpi xmlns:a14="http://schemas.microsoft.com/office/drawing/2010/main" val="0"/>
                              </a:ext>
                            </a:extLst>
                          </a:blip>
                          <a:stretch>
                            <a:fillRect/>
                          </a:stretch>
                        </pic:blipFill>
                        <pic:spPr>
                          <a:xfrm>
                            <a:off x="0" y="0"/>
                            <a:ext cx="6120765" cy="3101340"/>
                          </a:xfrm>
                          <a:prstGeom prst="rect">
                            <a:avLst/>
                          </a:prstGeom>
                        </pic:spPr>
                      </pic:pic>
                    </a:graphicData>
                  </a:graphic>
                </wp:inline>
              </w:drawing>
            </w:r>
          </w:p>
        </w:tc>
      </w:tr>
      <w:tr w:rsidR="00604822" w:rsidTr="009629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tcBorders>
              <w:top w:val="nil"/>
              <w:left w:val="nil"/>
              <w:bottom w:val="nil"/>
              <w:right w:val="nil"/>
            </w:tcBorders>
          </w:tcPr>
          <w:p w:rsidR="00604822" w:rsidRPr="00C9391C" w:rsidRDefault="00604822" w:rsidP="00962988">
            <w:pPr>
              <w:jc w:val="left"/>
              <w:rPr>
                <w:noProof/>
                <w:highlight w:val="cyan"/>
              </w:rPr>
            </w:pPr>
            <w:r w:rsidRPr="006A35CC">
              <w:rPr>
                <w:sz w:val="14"/>
                <w:szCs w:val="14"/>
              </w:rPr>
              <w:t>The boundaries shown on this map do not imply the expression of any opinion whatsoever on the part of UPOV concerning the legal status of any country or territory</w:t>
            </w:r>
          </w:p>
        </w:tc>
      </w:tr>
    </w:tbl>
    <w:p w:rsidR="00604822" w:rsidRDefault="00604822" w:rsidP="00604822">
      <w:pPr>
        <w:rPr>
          <w:rFonts w:eastAsia="MS Mincho"/>
          <w:lang w:eastAsia="ja-JP"/>
        </w:rPr>
      </w:pPr>
    </w:p>
    <w:p w:rsidR="00604822" w:rsidRDefault="00604822" w:rsidP="00604822">
      <w:r>
        <w:rPr>
          <w:rFonts w:eastAsia="MS Mincho"/>
          <w:lang w:eastAsia="ja-JP"/>
        </w:rPr>
        <w:t>1.8</w:t>
      </w:r>
      <w:r>
        <w:rPr>
          <w:rFonts w:eastAsia="MS Mincho"/>
          <w:lang w:eastAsia="ja-JP"/>
        </w:rPr>
        <w:tab/>
        <w:t>A</w:t>
      </w:r>
      <w:r w:rsidRPr="000E5482">
        <w:t xml:space="preserve"> graphic overview of the status in relation to UPOV</w:t>
      </w:r>
      <w:r>
        <w:t xml:space="preserve"> as of December 31, 2016, is provided in </w:t>
      </w:r>
      <w:r>
        <w:rPr>
          <w:rFonts w:eastAsia="MS Mincho"/>
          <w:lang w:eastAsia="ja-JP"/>
        </w:rPr>
        <w:t xml:space="preserve">Figure 4, </w:t>
      </w:r>
      <w:r>
        <w:t>in terms of UPOV members,</w:t>
      </w:r>
      <w:r w:rsidRPr="000E5482">
        <w:t xml:space="preserve"> States and intergovernmental organizations which have initiated the procedure for acceding to the UPOV Convention and States and intergovernmental organizations which have been in contact with the Office of the Union for assistance in the development of laws based on the UPOV </w:t>
      </w:r>
      <w:r w:rsidRPr="00395BA9">
        <w:t>Convention.  Detailed information is provided in Appendix I.</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56174B" w:rsidTr="00962988">
        <w:tc>
          <w:tcPr>
            <w:tcW w:w="9855" w:type="dxa"/>
          </w:tcPr>
          <w:p w:rsidR="00604822" w:rsidRPr="0056174B" w:rsidRDefault="00604822" w:rsidP="00962988">
            <w:pPr>
              <w:pStyle w:val="figures"/>
            </w:pPr>
            <w:r w:rsidRPr="0056174B">
              <w:t>Figure 4:  Status in relation to UPOV</w:t>
            </w:r>
          </w:p>
        </w:tc>
      </w:tr>
      <w:tr w:rsidR="00604822" w:rsidTr="00962988">
        <w:tc>
          <w:tcPr>
            <w:tcW w:w="9855" w:type="dxa"/>
          </w:tcPr>
          <w:p w:rsidR="00604822" w:rsidRDefault="00604822" w:rsidP="00962988">
            <w:pPr>
              <w:keepNext/>
              <w:jc w:val="center"/>
              <w:rPr>
                <w:rFonts w:eastAsia="MS Mincho"/>
                <w:lang w:eastAsia="ja-JP"/>
              </w:rPr>
            </w:pPr>
            <w:r>
              <w:rPr>
                <w:rFonts w:eastAsia="MS Mincho"/>
                <w:noProof/>
              </w:rPr>
              <w:drawing>
                <wp:inline distT="0" distB="0" distL="0" distR="0" wp14:anchorId="37B01F15" wp14:editId="7AA54CCE">
                  <wp:extent cx="6146382" cy="3114167"/>
                  <wp:effectExtent l="0" t="0" r="6985" b="0"/>
                  <wp:docPr id="10" name="Picture 10" descr="N:\OrgUPOV\Shared\Present-speeches\_Model Presentations &amp;Speeches\maps\_2016_10_31_three_col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Present-speeches\_Model Presentations &amp;Speeches\maps\_2016_10_31_three_colour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8271" cy="3120191"/>
                          </a:xfrm>
                          <a:prstGeom prst="rect">
                            <a:avLst/>
                          </a:prstGeom>
                          <a:noFill/>
                          <a:ln>
                            <a:noFill/>
                          </a:ln>
                        </pic:spPr>
                      </pic:pic>
                    </a:graphicData>
                  </a:graphic>
                </wp:inline>
              </w:drawing>
            </w:r>
          </w:p>
        </w:tc>
      </w:tr>
      <w:tr w:rsidR="00604822" w:rsidRPr="00ED6211" w:rsidTr="00962988">
        <w:tc>
          <w:tcPr>
            <w:tcW w:w="9855" w:type="dxa"/>
          </w:tcPr>
          <w:p w:rsidR="00604822" w:rsidRPr="00100B4A" w:rsidRDefault="00604822" w:rsidP="00962988">
            <w:pPr>
              <w:keepNext/>
              <w:spacing w:before="60" w:after="60"/>
              <w:jc w:val="left"/>
              <w:rPr>
                <w:rFonts w:eastAsia="MS Mincho"/>
                <w:sz w:val="14"/>
                <w:szCs w:val="14"/>
                <w:highlight w:val="cyan"/>
                <w:lang w:eastAsia="ja-JP"/>
              </w:rPr>
            </w:pPr>
            <w:r w:rsidRPr="00100B4A">
              <w:rPr>
                <w:sz w:val="14"/>
                <w:szCs w:val="14"/>
              </w:rPr>
              <w:t>The boundaries shown on this map do not imply the expression of any opinion whatsoever on the part of UPOV concerning the legal status of any country or territory</w:t>
            </w:r>
          </w:p>
        </w:tc>
      </w:tr>
      <w:tr w:rsidR="00604822" w:rsidRPr="001930AB" w:rsidTr="00962988">
        <w:tc>
          <w:tcPr>
            <w:tcW w:w="9855" w:type="dxa"/>
          </w:tcPr>
          <w:p w:rsidR="00604822" w:rsidRPr="001930AB" w:rsidRDefault="00604822" w:rsidP="00962988">
            <w:pPr>
              <w:spacing w:after="40"/>
            </w:pPr>
            <w:r w:rsidRPr="001930AB">
              <w:t xml:space="preserve">Map showing </w:t>
            </w:r>
          </w:p>
          <w:p w:rsidR="00604822" w:rsidRPr="001930AB" w:rsidRDefault="00604822" w:rsidP="00962988">
            <w:pPr>
              <w:ind w:left="567" w:hanging="283"/>
              <w:jc w:val="left"/>
              <w:rPr>
                <w:sz w:val="18"/>
                <w:szCs w:val="18"/>
              </w:rPr>
            </w:pPr>
            <w:r>
              <w:rPr>
                <w:sz w:val="18"/>
                <w:szCs w:val="18"/>
              </w:rPr>
              <w:t>-</w:t>
            </w:r>
            <w:r>
              <w:rPr>
                <w:sz w:val="18"/>
                <w:szCs w:val="18"/>
              </w:rPr>
              <w:tab/>
            </w:r>
            <w:r w:rsidRPr="001930AB">
              <w:rPr>
                <w:sz w:val="18"/>
                <w:szCs w:val="18"/>
              </w:rPr>
              <w:t>UPOV members (green);</w:t>
            </w:r>
          </w:p>
          <w:p w:rsidR="00604822" w:rsidRPr="001930AB" w:rsidRDefault="00604822" w:rsidP="00962988">
            <w:pPr>
              <w:ind w:left="567" w:hanging="283"/>
              <w:jc w:val="left"/>
              <w:rPr>
                <w:sz w:val="18"/>
                <w:szCs w:val="18"/>
              </w:rPr>
            </w:pPr>
            <w:r>
              <w:rPr>
                <w:sz w:val="18"/>
                <w:szCs w:val="18"/>
              </w:rPr>
              <w:t>-</w:t>
            </w:r>
            <w:r>
              <w:rPr>
                <w:sz w:val="18"/>
                <w:szCs w:val="18"/>
              </w:rPr>
              <w:tab/>
            </w:r>
            <w:r w:rsidRPr="001930AB">
              <w:rPr>
                <w:sz w:val="18"/>
                <w:szCs w:val="18"/>
              </w:rPr>
              <w:t>States</w:t>
            </w:r>
            <w:r>
              <w:rPr>
                <w:sz w:val="18"/>
                <w:szCs w:val="18"/>
              </w:rPr>
              <w:t xml:space="preserve"> (15)</w:t>
            </w:r>
            <w:r w:rsidRPr="001930AB">
              <w:rPr>
                <w:sz w:val="18"/>
                <w:szCs w:val="18"/>
              </w:rPr>
              <w:t xml:space="preserve"> and</w:t>
            </w:r>
            <w:r>
              <w:rPr>
                <w:sz w:val="18"/>
                <w:szCs w:val="18"/>
              </w:rPr>
              <w:t xml:space="preserve"> intergovernmental organization (1)</w:t>
            </w:r>
            <w:r w:rsidRPr="001930AB">
              <w:rPr>
                <w:sz w:val="18"/>
                <w:szCs w:val="18"/>
              </w:rPr>
              <w:t xml:space="preserve"> which have initiated </w:t>
            </w:r>
            <w:r>
              <w:rPr>
                <w:sz w:val="18"/>
                <w:szCs w:val="18"/>
              </w:rPr>
              <w:t>the procedure for becoming UPOV </w:t>
            </w:r>
            <w:r w:rsidRPr="001930AB">
              <w:rPr>
                <w:sz w:val="18"/>
                <w:szCs w:val="18"/>
              </w:rPr>
              <w:t xml:space="preserve">members (brown);  and </w:t>
            </w:r>
          </w:p>
          <w:p w:rsidR="00604822" w:rsidRPr="001930AB" w:rsidRDefault="00604822" w:rsidP="00962988">
            <w:pPr>
              <w:ind w:left="567" w:hanging="283"/>
              <w:jc w:val="left"/>
              <w:rPr>
                <w:rFonts w:eastAsia="MS Mincho"/>
                <w:lang w:eastAsia="ja-JP"/>
              </w:rPr>
            </w:pPr>
            <w:r>
              <w:rPr>
                <w:sz w:val="18"/>
                <w:szCs w:val="18"/>
              </w:rPr>
              <w:t>-</w:t>
            </w:r>
            <w:r>
              <w:rPr>
                <w:sz w:val="18"/>
                <w:szCs w:val="18"/>
              </w:rPr>
              <w:tab/>
            </w:r>
            <w:r w:rsidRPr="001930AB">
              <w:rPr>
                <w:sz w:val="18"/>
                <w:szCs w:val="18"/>
              </w:rPr>
              <w:t>States</w:t>
            </w:r>
            <w:r>
              <w:rPr>
                <w:sz w:val="18"/>
                <w:szCs w:val="18"/>
              </w:rPr>
              <w:t xml:space="preserve"> (25)</w:t>
            </w:r>
            <w:r w:rsidRPr="001930AB">
              <w:rPr>
                <w:sz w:val="18"/>
                <w:szCs w:val="18"/>
              </w:rPr>
              <w:t xml:space="preserve"> and</w:t>
            </w:r>
            <w:r>
              <w:rPr>
                <w:sz w:val="18"/>
                <w:szCs w:val="18"/>
              </w:rPr>
              <w:t xml:space="preserve"> intergovernmental organization (1)</w:t>
            </w:r>
            <w:r w:rsidRPr="001930AB">
              <w:rPr>
                <w:sz w:val="18"/>
                <w:szCs w:val="18"/>
              </w:rPr>
              <w:t xml:space="preserve"> which have been in contact with the Office of the Union for assistance in the development of laws based on the UPOV Convention (orange).</w:t>
            </w:r>
          </w:p>
        </w:tc>
      </w:tr>
    </w:tbl>
    <w:p w:rsidR="00604822" w:rsidRDefault="00604822" w:rsidP="00604822"/>
    <w:p w:rsidR="00604822" w:rsidRDefault="00604822" w:rsidP="00604822">
      <w:r>
        <w:t>1.9</w:t>
      </w:r>
      <w:r>
        <w:tab/>
        <w:t xml:space="preserve">Figure 5 provides information on the evolution of </w:t>
      </w:r>
      <w:r w:rsidRPr="00544B38">
        <w:t>the status in relation to UPOV</w:t>
      </w:r>
      <w:r>
        <w:t xml:space="preserve"> since 2000.  The increase in the number of States covered by the UPOV Convention was particularly substantial in the period 2000 to 2016, more than doubling from 46 to 93.  However, there was also significant growth in overall interest in UPOV.  The number of States in their own right, or as a member of an organization, that are covered by the UPOV Convention, </w:t>
      </w:r>
      <w:r w:rsidRPr="000E5482">
        <w:t>have initiated the procedure for acceding to the UPOV Convention</w:t>
      </w:r>
      <w:r>
        <w:t xml:space="preserve">, or </w:t>
      </w:r>
      <w:r w:rsidRPr="000E5482">
        <w:t>have been in contact with the Office of the Union for assistance in the development of laws based on the UPOV Convention</w:t>
      </w:r>
      <w:r>
        <w:t xml:space="preserve">, rose from 118 in 2000 to 149 in 2016 (increase of 26%).  Figure 4 further demonstrates that the territory covered by those categories covers a substantial majority of agricultural land. </w:t>
      </w:r>
    </w:p>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RPr="0056174B" w:rsidTr="00962988">
        <w:tc>
          <w:tcPr>
            <w:tcW w:w="9855" w:type="dxa"/>
          </w:tcPr>
          <w:p w:rsidR="00604822" w:rsidRPr="0056174B" w:rsidRDefault="00604822" w:rsidP="00962988">
            <w:pPr>
              <w:pStyle w:val="figures"/>
            </w:pPr>
            <w:r w:rsidRPr="0056174B">
              <w:t>Figure 5:  Evolution of UPOV membership, States and intergovernmental organizations which have initiated the procedure for acceding to the UPOV Convention and States and intergovernmental organizations which have been in contact with the Office of the Union for assistance in the development of laws based on the UPOV Convention</w:t>
            </w:r>
          </w:p>
        </w:tc>
      </w:tr>
      <w:tr w:rsidR="00604822" w:rsidTr="00962988">
        <w:tc>
          <w:tcPr>
            <w:tcW w:w="9855" w:type="dxa"/>
          </w:tcPr>
          <w:p w:rsidR="00604822" w:rsidRPr="005350EC" w:rsidRDefault="00604822" w:rsidP="00962988">
            <w:pPr>
              <w:jc w:val="center"/>
              <w:rPr>
                <w:rFonts w:eastAsia="MS Mincho"/>
              </w:rPr>
            </w:pPr>
            <w:r>
              <w:rPr>
                <w:rFonts w:eastAsia="MS Mincho"/>
                <w:noProof/>
              </w:rPr>
              <w:drawing>
                <wp:inline distT="0" distB="0" distL="0" distR="0" wp14:anchorId="3280756B" wp14:editId="05256A02">
                  <wp:extent cx="5905500" cy="32385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0" cy="3238500"/>
                          </a:xfrm>
                          <a:prstGeom prst="rect">
                            <a:avLst/>
                          </a:prstGeom>
                          <a:noFill/>
                          <a:ln>
                            <a:noFill/>
                          </a:ln>
                        </pic:spPr>
                      </pic:pic>
                    </a:graphicData>
                  </a:graphic>
                </wp:inline>
              </w:drawing>
            </w:r>
          </w:p>
        </w:tc>
      </w:tr>
    </w:tbl>
    <w:p w:rsidR="00604822" w:rsidRDefault="00604822" w:rsidP="00604822">
      <w:pPr>
        <w:jc w:val="left"/>
      </w:pPr>
    </w:p>
    <w:p w:rsidR="00604822" w:rsidRDefault="00604822" w:rsidP="00604822">
      <w:pPr>
        <w:jc w:val="left"/>
      </w:pPr>
    </w:p>
    <w:p w:rsidR="00604822" w:rsidRPr="00B411C5" w:rsidRDefault="00604822" w:rsidP="00604822">
      <w:pPr>
        <w:rPr>
          <w:i/>
        </w:rPr>
      </w:pPr>
      <w:r w:rsidRPr="00B411C5">
        <w:rPr>
          <w:i/>
        </w:rPr>
        <w:t>Use of the UPOV system</w:t>
      </w:r>
    </w:p>
    <w:p w:rsidR="00604822" w:rsidRDefault="00604822" w:rsidP="00604822"/>
    <w:p w:rsidR="00604822" w:rsidRDefault="00604822" w:rsidP="00604822">
      <w:pPr>
        <w:rPr>
          <w:color w:val="000000" w:themeColor="text1"/>
        </w:rPr>
      </w:pPr>
      <w:r>
        <w:t>1.10</w:t>
      </w:r>
      <w:r>
        <w:tab/>
      </w:r>
      <w:r w:rsidRPr="0061345D">
        <w:rPr>
          <w:color w:val="000000" w:themeColor="text1"/>
        </w:rPr>
        <w:t xml:space="preserve">The UPOV system continues to expand in terms of the number </w:t>
      </w:r>
      <w:r>
        <w:rPr>
          <w:color w:val="000000" w:themeColor="text1"/>
        </w:rPr>
        <w:t>of:</w:t>
      </w:r>
    </w:p>
    <w:p w:rsidR="00604822" w:rsidRDefault="00604822" w:rsidP="00604822">
      <w:pPr>
        <w:rPr>
          <w:color w:val="000000" w:themeColor="text1"/>
        </w:rPr>
      </w:pPr>
    </w:p>
    <w:p w:rsidR="00604822" w:rsidRDefault="00604822" w:rsidP="00604822">
      <w:pPr>
        <w:pStyle w:val="ListParagraph"/>
        <w:numPr>
          <w:ilvl w:val="0"/>
          <w:numId w:val="18"/>
        </w:numPr>
        <w:rPr>
          <w:color w:val="000000" w:themeColor="text1"/>
        </w:rPr>
      </w:pPr>
      <w:r w:rsidRPr="00050854">
        <w:rPr>
          <w:color w:val="000000" w:themeColor="text1"/>
        </w:rPr>
        <w:t xml:space="preserve">applications, titles granted and titles in force (see Figure 6), </w:t>
      </w:r>
    </w:p>
    <w:p w:rsidR="00604822" w:rsidRDefault="00604822" w:rsidP="00604822">
      <w:pPr>
        <w:pStyle w:val="ListParagraph"/>
        <w:numPr>
          <w:ilvl w:val="0"/>
          <w:numId w:val="18"/>
        </w:numPr>
        <w:rPr>
          <w:color w:val="000000" w:themeColor="text1"/>
        </w:rPr>
      </w:pPr>
      <w:r>
        <w:rPr>
          <w:color w:val="000000" w:themeColor="text1"/>
        </w:rPr>
        <w:t xml:space="preserve">genera and species for which protection is offered by </w:t>
      </w:r>
      <w:r w:rsidRPr="00050854">
        <w:rPr>
          <w:color w:val="000000" w:themeColor="text1"/>
        </w:rPr>
        <w:t>members of the Union</w:t>
      </w:r>
      <w:r>
        <w:rPr>
          <w:color w:val="000000" w:themeColor="text1"/>
        </w:rPr>
        <w:t xml:space="preserve"> (see Figure 7) and</w:t>
      </w:r>
    </w:p>
    <w:p w:rsidR="00604822" w:rsidRDefault="00604822" w:rsidP="00604822">
      <w:pPr>
        <w:pStyle w:val="ListParagraph"/>
        <w:numPr>
          <w:ilvl w:val="0"/>
          <w:numId w:val="18"/>
        </w:numPr>
        <w:rPr>
          <w:color w:val="000000" w:themeColor="text1"/>
        </w:rPr>
      </w:pPr>
      <w:proofErr w:type="gramStart"/>
      <w:r w:rsidRPr="00050854">
        <w:rPr>
          <w:color w:val="000000" w:themeColor="text1"/>
        </w:rPr>
        <w:t>genera</w:t>
      </w:r>
      <w:proofErr w:type="gramEnd"/>
      <w:r w:rsidRPr="00050854">
        <w:rPr>
          <w:color w:val="000000" w:themeColor="text1"/>
        </w:rPr>
        <w:t>, species/sub-species for which protection has been sought within the members of the Union</w:t>
      </w:r>
      <w:r>
        <w:rPr>
          <w:color w:val="000000" w:themeColor="text1"/>
        </w:rPr>
        <w:t xml:space="preserve"> (see Figure 8</w:t>
      </w:r>
      <w:r w:rsidRPr="00050854">
        <w:rPr>
          <w:color w:val="000000" w:themeColor="text1"/>
        </w:rPr>
        <w:t xml:space="preserve">).  </w:t>
      </w:r>
    </w:p>
    <w:p w:rsidR="00604822" w:rsidRPr="0071743D" w:rsidRDefault="00604822" w:rsidP="00604822"/>
    <w:p w:rsidR="00604822" w:rsidRPr="0071743D" w:rsidRDefault="00604822" w:rsidP="00604822">
      <w:r w:rsidRPr="0071743D">
        <w:t xml:space="preserve">These figures demonstrate one of the reasons why cooperation between members of the Union is a key benefit of UPOV membership.  </w:t>
      </w:r>
    </w:p>
    <w:p w:rsidR="00604822" w:rsidRPr="0071743D" w:rsidRDefault="00604822" w:rsidP="00604822"/>
    <w:p w:rsidR="00604822" w:rsidRPr="00050854" w:rsidRDefault="00604822" w:rsidP="00604822">
      <w:pPr>
        <w:rPr>
          <w:color w:val="000000" w:themeColor="text1"/>
        </w:rPr>
      </w:pPr>
      <w:r>
        <w:rPr>
          <w:color w:val="000000" w:themeColor="text1"/>
        </w:rPr>
        <w:t>1.11</w:t>
      </w:r>
      <w:r>
        <w:rPr>
          <w:color w:val="000000" w:themeColor="text1"/>
        </w:rPr>
        <w:tab/>
        <w:t xml:space="preserve">As indicated in Figure 8, the </w:t>
      </w:r>
      <w:proofErr w:type="gramStart"/>
      <w:r>
        <w:rPr>
          <w:color w:val="000000" w:themeColor="text1"/>
        </w:rPr>
        <w:t xml:space="preserve">number of genera/species for which </w:t>
      </w:r>
      <w:r w:rsidRPr="00050854">
        <w:rPr>
          <w:color w:val="000000" w:themeColor="text1"/>
        </w:rPr>
        <w:t>members of the Union</w:t>
      </w:r>
      <w:r>
        <w:rPr>
          <w:color w:val="000000" w:themeColor="text1"/>
        </w:rPr>
        <w:t xml:space="preserve"> have</w:t>
      </w:r>
      <w:proofErr w:type="gramEnd"/>
      <w:r>
        <w:rPr>
          <w:color w:val="000000" w:themeColor="text1"/>
        </w:rPr>
        <w:t xml:space="preserve"> </w:t>
      </w:r>
      <w:r w:rsidRPr="00050854">
        <w:rPr>
          <w:color w:val="000000" w:themeColor="text1"/>
        </w:rPr>
        <w:t>agreements for cooperation</w:t>
      </w:r>
      <w:r>
        <w:rPr>
          <w:color w:val="000000" w:themeColor="text1"/>
        </w:rPr>
        <w:t xml:space="preserve"> </w:t>
      </w:r>
      <w:r w:rsidRPr="00050854">
        <w:rPr>
          <w:color w:val="000000" w:themeColor="text1"/>
        </w:rPr>
        <w:t xml:space="preserve">in </w:t>
      </w:r>
      <w:r>
        <w:rPr>
          <w:color w:val="000000" w:themeColor="text1"/>
        </w:rPr>
        <w:t xml:space="preserve">DUS </w:t>
      </w:r>
      <w:r w:rsidRPr="00050854">
        <w:rPr>
          <w:color w:val="000000" w:themeColor="text1"/>
        </w:rPr>
        <w:t>examination</w:t>
      </w:r>
      <w:r>
        <w:rPr>
          <w:color w:val="000000" w:themeColor="text1"/>
        </w:rPr>
        <w:t xml:space="preserve"> has only significantly increased once since 2007.  Such agreements are of a bi-lateral and voluntary nature.  Discussions have started within UPOV on whether there may be opportunities to enable </w:t>
      </w:r>
      <w:r w:rsidRPr="001867C6">
        <w:rPr>
          <w:color w:val="000000" w:themeColor="text1"/>
        </w:rPr>
        <w:t>members of the Union</w:t>
      </w:r>
      <w:r>
        <w:rPr>
          <w:color w:val="000000" w:themeColor="text1"/>
        </w:rPr>
        <w:t xml:space="preserve"> to enhance such cooperation in the future.</w:t>
      </w:r>
    </w:p>
    <w:p w:rsidR="00604822" w:rsidRDefault="00604822" w:rsidP="00604822">
      <w:pPr>
        <w:rPr>
          <w:color w:val="000000" w:themeColor="text1"/>
        </w:rPr>
      </w:pPr>
    </w:p>
    <w:p w:rsidR="00604822" w:rsidRDefault="00604822" w:rsidP="00604822">
      <w:pPr>
        <w:rPr>
          <w:color w:val="000000" w:themeColor="text1"/>
        </w:rPr>
      </w:pPr>
      <w:r>
        <w:rPr>
          <w:color w:val="000000" w:themeColor="text1"/>
        </w:rPr>
        <w:t>1.12</w:t>
      </w:r>
      <w:r w:rsidRPr="001867C6">
        <w:rPr>
          <w:color w:val="000000" w:themeColor="text1"/>
        </w:rPr>
        <w:tab/>
        <w:t>In order to facilitate the examination of variety denominations by members of the Union, work</w:t>
      </w:r>
      <w:r>
        <w:rPr>
          <w:color w:val="000000" w:themeColor="text1"/>
        </w:rPr>
        <w:t xml:space="preserve"> has started on a revision of the </w:t>
      </w:r>
      <w:r w:rsidRPr="001867C6">
        <w:rPr>
          <w:color w:val="000000" w:themeColor="text1"/>
        </w:rPr>
        <w:t>“</w:t>
      </w:r>
      <w:r w:rsidRPr="001867C6">
        <w:rPr>
          <w:snapToGrid w:val="0"/>
          <w:color w:val="000000" w:themeColor="text1"/>
        </w:rPr>
        <w:t>Explanatory notes on variety denominations under the UPOV Convention”</w:t>
      </w:r>
      <w:r w:rsidRPr="001867C6">
        <w:rPr>
          <w:color w:val="000000" w:themeColor="text1"/>
        </w:rPr>
        <w:t xml:space="preserve"> </w:t>
      </w:r>
      <w:r>
        <w:rPr>
          <w:color w:val="000000" w:themeColor="text1"/>
        </w:rPr>
        <w:t xml:space="preserve">and, in parallel, </w:t>
      </w:r>
      <w:r w:rsidRPr="001867C6">
        <w:rPr>
          <w:color w:val="000000" w:themeColor="text1"/>
        </w:rPr>
        <w:t>will continue on the development of proposals for a UPOV similarity search tool for variety denomination purposes.  Work will also continue on enhancing the quality and quantity of data in the PLUTO database</w:t>
      </w:r>
      <w:r>
        <w:rPr>
          <w:color w:val="000000" w:themeColor="text1"/>
        </w:rPr>
        <w:t xml:space="preserve">, which may require additional mechanisms and resources to assist </w:t>
      </w:r>
      <w:r w:rsidRPr="001867C6">
        <w:rPr>
          <w:color w:val="000000" w:themeColor="text1"/>
        </w:rPr>
        <w:t>members of the Union</w:t>
      </w:r>
      <w:r>
        <w:rPr>
          <w:color w:val="000000" w:themeColor="text1"/>
        </w:rPr>
        <w:t xml:space="preserve"> to contribute data on a regular basis</w:t>
      </w:r>
      <w:r w:rsidRPr="001867C6">
        <w:rPr>
          <w:color w:val="000000" w:themeColor="text1"/>
        </w:rPr>
        <w:t>.</w:t>
      </w:r>
    </w:p>
    <w:p w:rsidR="00604822" w:rsidRDefault="00604822" w:rsidP="0060482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Default="00604822" w:rsidP="00962988">
            <w:pPr>
              <w:pStyle w:val="figures"/>
            </w:pPr>
            <w:r>
              <w:t>Figure 6</w:t>
            </w:r>
            <w:r w:rsidRPr="00553841">
              <w:t>:  Number of applications, titles granted and titles in force in members of the Union</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076083EE" wp14:editId="1CB1F397">
                  <wp:extent cx="6000750" cy="388833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0750" cy="3888336"/>
                          </a:xfrm>
                          <a:prstGeom prst="rect">
                            <a:avLst/>
                          </a:prstGeom>
                          <a:noFill/>
                          <a:ln>
                            <a:noFill/>
                          </a:ln>
                        </pic:spPr>
                      </pic:pic>
                    </a:graphicData>
                  </a:graphic>
                </wp:inline>
              </w:drawing>
            </w:r>
          </w:p>
        </w:tc>
      </w:tr>
    </w:tbl>
    <w:p w:rsidR="00604822" w:rsidRDefault="00604822" w:rsidP="0060482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Default="00604822" w:rsidP="00962988">
            <w:pPr>
              <w:pStyle w:val="figures"/>
            </w:pPr>
            <w:r>
              <w:t xml:space="preserve">Figure 7:  </w:t>
            </w:r>
            <w:r w:rsidRPr="00050854">
              <w:t>Evolution of offering protection to plant genera and species</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71DAAF2F" wp14:editId="6D7F9B47">
                  <wp:extent cx="5524500" cy="393254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496" cy="3932544"/>
                          </a:xfrm>
                          <a:prstGeom prst="rect">
                            <a:avLst/>
                          </a:prstGeom>
                          <a:noFill/>
                          <a:ln>
                            <a:noFill/>
                          </a:ln>
                        </pic:spPr>
                      </pic:pic>
                    </a:graphicData>
                  </a:graphic>
                </wp:inline>
              </w:drawing>
            </w:r>
          </w:p>
        </w:tc>
      </w:tr>
    </w:tbl>
    <w:p w:rsidR="00604822" w:rsidRDefault="00604822" w:rsidP="00604822">
      <w:pPr>
        <w:rPr>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604822" w:rsidTr="00962988">
        <w:tc>
          <w:tcPr>
            <w:tcW w:w="9855" w:type="dxa"/>
          </w:tcPr>
          <w:p w:rsidR="00604822" w:rsidRPr="0056174B" w:rsidRDefault="00604822" w:rsidP="00962988">
            <w:pPr>
              <w:pStyle w:val="figures"/>
            </w:pPr>
            <w:r w:rsidRPr="0078578F">
              <w:t xml:space="preserve">Figure 8:  Plant Genera/Species with Cooperation Agreements, Practical Experience </w:t>
            </w:r>
            <w:r>
              <w:br/>
            </w:r>
            <w:r w:rsidRPr="0078578F">
              <w:t>and Plant Breeders’ Rights Entries in Plant Variety Database</w:t>
            </w:r>
          </w:p>
        </w:tc>
      </w:tr>
      <w:tr w:rsidR="00604822" w:rsidTr="00962988">
        <w:tc>
          <w:tcPr>
            <w:tcW w:w="9855" w:type="dxa"/>
          </w:tcPr>
          <w:p w:rsidR="00604822" w:rsidRDefault="00604822" w:rsidP="00962988">
            <w:pPr>
              <w:jc w:val="center"/>
              <w:rPr>
                <w:color w:val="000000" w:themeColor="text1"/>
              </w:rPr>
            </w:pPr>
            <w:r>
              <w:rPr>
                <w:noProof/>
                <w:color w:val="000000" w:themeColor="text1"/>
              </w:rPr>
              <w:drawing>
                <wp:inline distT="0" distB="0" distL="0" distR="0" wp14:anchorId="5374E0B6" wp14:editId="45DD91F0">
                  <wp:extent cx="6116320" cy="44253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16320" cy="4425315"/>
                          </a:xfrm>
                          <a:prstGeom prst="rect">
                            <a:avLst/>
                          </a:prstGeom>
                          <a:noFill/>
                          <a:ln>
                            <a:noFill/>
                          </a:ln>
                        </pic:spPr>
                      </pic:pic>
                    </a:graphicData>
                  </a:graphic>
                </wp:inline>
              </w:drawing>
            </w:r>
          </w:p>
        </w:tc>
      </w:tr>
    </w:tbl>
    <w:p w:rsidR="00604822" w:rsidRDefault="00604822" w:rsidP="00604822">
      <w:pPr>
        <w:rPr>
          <w:color w:val="000000" w:themeColor="text1"/>
        </w:rPr>
      </w:pPr>
    </w:p>
    <w:p w:rsidR="00604822" w:rsidRPr="0071743D" w:rsidRDefault="00604822" w:rsidP="00604822">
      <w:r>
        <w:t>1.13</w:t>
      </w:r>
      <w:r>
        <w:tab/>
        <w:t xml:space="preserve">In January 2017, UPOV launched the </w:t>
      </w:r>
      <w:r w:rsidRPr="00CD0F3D">
        <w:t>Electronic Application Form</w:t>
      </w:r>
      <w:r>
        <w:t>, a</w:t>
      </w:r>
      <w:r w:rsidRPr="00CD0F3D">
        <w:t xml:space="preserve">n online </w:t>
      </w:r>
      <w:r>
        <w:t xml:space="preserve">multi-lingual </w:t>
      </w:r>
      <w:r w:rsidRPr="00CD0F3D">
        <w:t>PBR application tool that can be used to provide application data to all participating PVP Offices in the required format</w:t>
      </w:r>
      <w:r>
        <w:t xml:space="preserve">.  At the launch, the EAF covered 11 </w:t>
      </w:r>
      <w:r w:rsidRPr="00CD0F3D">
        <w:t>members of the Union</w:t>
      </w:r>
      <w:r>
        <w:t xml:space="preserve"> and five crops/species.  The goal in the future will be to expand the coverage to all </w:t>
      </w:r>
      <w:r w:rsidRPr="00CD0F3D">
        <w:t>members of the Union</w:t>
      </w:r>
      <w:r>
        <w:t xml:space="preserve"> that wish to participate and to cover all crops/species.  </w:t>
      </w:r>
    </w:p>
    <w:p w:rsidR="00604822" w:rsidRPr="0071743D" w:rsidRDefault="00604822" w:rsidP="00604822"/>
    <w:p w:rsidR="00604822" w:rsidRDefault="00604822" w:rsidP="00604822">
      <w:pPr>
        <w:rPr>
          <w:color w:val="000000" w:themeColor="text1"/>
        </w:rPr>
      </w:pPr>
    </w:p>
    <w:p w:rsidR="00604822" w:rsidRDefault="00604822" w:rsidP="00604822">
      <w:pPr>
        <w:pStyle w:val="Heading2"/>
      </w:pPr>
      <w:r>
        <w:t>External Developments</w:t>
      </w:r>
    </w:p>
    <w:p w:rsidR="00604822" w:rsidRDefault="00604822" w:rsidP="00604822">
      <w:pPr>
        <w:jc w:val="left"/>
        <w:rPr>
          <w:snapToGrid w:val="0"/>
          <w:u w:val="single"/>
        </w:rPr>
      </w:pPr>
    </w:p>
    <w:p w:rsidR="00604822" w:rsidRDefault="00604822" w:rsidP="00604822">
      <w:pPr>
        <w:rPr>
          <w:snapToGrid w:val="0"/>
        </w:rPr>
      </w:pPr>
      <w:r>
        <w:rPr>
          <w:snapToGrid w:val="0"/>
        </w:rPr>
        <w:t>1.14</w:t>
      </w:r>
      <w:r>
        <w:rPr>
          <w:snapToGrid w:val="0"/>
        </w:rPr>
        <w:tab/>
        <w:t xml:space="preserve">UPOV’s focus in relation to external relations is to </w:t>
      </w:r>
      <w:r w:rsidRPr="0012481A">
        <w:rPr>
          <w:snapToGrid w:val="0"/>
        </w:rPr>
        <w:t>broaden and enhance the understanding of the UPOV</w:t>
      </w:r>
      <w:r>
        <w:rPr>
          <w:snapToGrid w:val="0"/>
        </w:rPr>
        <w:t xml:space="preserve"> </w:t>
      </w:r>
      <w:r w:rsidRPr="0012481A">
        <w:rPr>
          <w:snapToGrid w:val="0"/>
        </w:rPr>
        <w:t>system of plant variety protection</w:t>
      </w:r>
      <w:r>
        <w:rPr>
          <w:snapToGrid w:val="0"/>
        </w:rPr>
        <w:t xml:space="preserve"> and to </w:t>
      </w:r>
      <w:r w:rsidRPr="0012481A">
        <w:rPr>
          <w:snapToGrid w:val="0"/>
        </w:rPr>
        <w:t>provide information on the UPOV Convention to other intergovernmental organizations, with the aim of achieving mutual supportiveness with other international treaties.</w:t>
      </w:r>
    </w:p>
    <w:p w:rsidR="00604822" w:rsidRDefault="00604822" w:rsidP="00604822">
      <w:pPr>
        <w:rPr>
          <w:snapToGrid w:val="0"/>
        </w:rPr>
      </w:pPr>
    </w:p>
    <w:p w:rsidR="00604822" w:rsidRDefault="00604822" w:rsidP="00604822">
      <w:pPr>
        <w:rPr>
          <w:snapToGrid w:val="0"/>
        </w:rPr>
      </w:pPr>
      <w:r>
        <w:rPr>
          <w:snapToGrid w:val="0"/>
        </w:rPr>
        <w:t>1.15</w:t>
      </w:r>
      <w:r>
        <w:rPr>
          <w:snapToGrid w:val="0"/>
        </w:rPr>
        <w:tab/>
        <w:t xml:space="preserve">The landscape of international instruments affecting plant varieties has become more complex in recent years.  Prior to 2000, relevant international instruments included the </w:t>
      </w:r>
      <w:proofErr w:type="spellStart"/>
      <w:r w:rsidR="00604982">
        <w:rPr>
          <w:snapToGrid w:val="0"/>
        </w:rPr>
        <w:t>Organisation</w:t>
      </w:r>
      <w:proofErr w:type="spellEnd"/>
      <w:r w:rsidR="00604982">
        <w:rPr>
          <w:snapToGrid w:val="0"/>
        </w:rPr>
        <w:t xml:space="preserve"> for Economic Co</w:t>
      </w:r>
      <w:r w:rsidR="00604982">
        <w:rPr>
          <w:snapToGrid w:val="0"/>
        </w:rPr>
        <w:noBreakHyphen/>
      </w:r>
      <w:r w:rsidR="00604982" w:rsidRPr="00604982">
        <w:rPr>
          <w:snapToGrid w:val="0"/>
        </w:rPr>
        <w:t>operation and Development (OECD)</w:t>
      </w:r>
      <w:r w:rsidRPr="001B5970">
        <w:rPr>
          <w:snapToGrid w:val="0"/>
        </w:rPr>
        <w:t xml:space="preserve"> Schemes for the Varietal Certification or the Control of Seed Moving in </w:t>
      </w:r>
      <w:r>
        <w:rPr>
          <w:snapToGrid w:val="0"/>
        </w:rPr>
        <w:t xml:space="preserve">International Trade (OECD Seed </w:t>
      </w:r>
      <w:r w:rsidRPr="001B5970">
        <w:rPr>
          <w:snapToGrid w:val="0"/>
        </w:rPr>
        <w:t>Schemes)</w:t>
      </w:r>
      <w:r>
        <w:rPr>
          <w:snapToGrid w:val="0"/>
        </w:rPr>
        <w:t xml:space="preserve"> and the WTO Agreement on Trade-Related Aspects </w:t>
      </w:r>
      <w:r w:rsidRPr="001B5970">
        <w:rPr>
          <w:snapToGrid w:val="0"/>
        </w:rPr>
        <w:t>of Intell</w:t>
      </w:r>
      <w:r>
        <w:rPr>
          <w:snapToGrid w:val="0"/>
        </w:rPr>
        <w:t xml:space="preserve">ectual Property Rights (TRIPs).  Since 2000, there has been the adoption of the </w:t>
      </w:r>
      <w:r w:rsidRPr="001B5970">
        <w:rPr>
          <w:snapToGrid w:val="0"/>
        </w:rPr>
        <w:t>Cartagena Protocol on Biosafety to the Convention on Biological Diversity (CBD) (2000)</w:t>
      </w:r>
      <w:r>
        <w:rPr>
          <w:snapToGrid w:val="0"/>
        </w:rPr>
        <w:t xml:space="preserve">, the </w:t>
      </w:r>
      <w:r w:rsidRPr="001B5970">
        <w:rPr>
          <w:snapToGrid w:val="0"/>
        </w:rPr>
        <w:t>International Treaty on Plant Genetic Resources for Food and Agriculture of the Food and Agriculture Organization of the United</w:t>
      </w:r>
      <w:r>
        <w:rPr>
          <w:snapToGrid w:val="0"/>
        </w:rPr>
        <w:t xml:space="preserve"> Nations (FAO) (ITPGRFA) (2001) and the </w:t>
      </w:r>
      <w:r w:rsidRPr="001B5970">
        <w:rPr>
          <w:snapToGrid w:val="0"/>
        </w:rPr>
        <w:t>Nagoya Protocol on Access to Genetic Resources and the Fair and Equitable Sharing of Benefits Arising from their Utilization to the Convention on Biological Diversity (CBD) (Nagoya Protocol) (2010)</w:t>
      </w:r>
      <w:r>
        <w:rPr>
          <w:snapToGrid w:val="0"/>
        </w:rPr>
        <w:t xml:space="preserve">.  Developments in plant breeding technology have also increased the relevance of TRIPs, with increasing interest in patents by plant breeders.  Combined with the need for governments to implement the ITPGRFA and Nagoya Protocol, these developments have accentuated the need for UPOV to </w:t>
      </w:r>
      <w:r w:rsidRPr="005509F0">
        <w:rPr>
          <w:snapToGrid w:val="0"/>
        </w:rPr>
        <w:t>provide information on the UPOV Convention to other intergovernmental organizations, with the aim of achieving mutual supportiveness with other international treaties.</w:t>
      </w:r>
      <w:r>
        <w:rPr>
          <w:snapToGrid w:val="0"/>
        </w:rPr>
        <w:t xml:space="preserve"> </w:t>
      </w:r>
    </w:p>
    <w:p w:rsidR="00604822" w:rsidRDefault="00604822" w:rsidP="00604822">
      <w:pPr>
        <w:jc w:val="left"/>
        <w:rPr>
          <w:snapToGrid w:val="0"/>
        </w:rPr>
      </w:pPr>
    </w:p>
    <w:p w:rsidR="00604822" w:rsidRDefault="00604822" w:rsidP="00604822">
      <w:pPr>
        <w:rPr>
          <w:snapToGrid w:val="0"/>
        </w:rPr>
      </w:pPr>
      <w:r>
        <w:rPr>
          <w:snapToGrid w:val="0"/>
        </w:rPr>
        <w:t>1.16</w:t>
      </w:r>
      <w:r>
        <w:rPr>
          <w:snapToGrid w:val="0"/>
        </w:rPr>
        <w:tab/>
        <w:t xml:space="preserve">The need for </w:t>
      </w:r>
      <w:r w:rsidRPr="00084F7F">
        <w:rPr>
          <w:snapToGrid w:val="0"/>
        </w:rPr>
        <w:t>mutual supportiveness</w:t>
      </w:r>
      <w:r>
        <w:rPr>
          <w:snapToGrid w:val="0"/>
        </w:rPr>
        <w:t xml:space="preserve"> was echoed at the </w:t>
      </w:r>
      <w:r w:rsidRPr="00084F7F">
        <w:rPr>
          <w:snapToGrid w:val="0"/>
        </w:rPr>
        <w:t>“Symposium on possible</w:t>
      </w:r>
      <w:r>
        <w:rPr>
          <w:snapToGrid w:val="0"/>
        </w:rPr>
        <w:t xml:space="preserve"> </w:t>
      </w:r>
      <w:r w:rsidRPr="00084F7F">
        <w:rPr>
          <w:snapToGrid w:val="0"/>
        </w:rPr>
        <w:t>interrelations</w:t>
      </w:r>
      <w:r>
        <w:rPr>
          <w:snapToGrid w:val="0"/>
        </w:rPr>
        <w:t xml:space="preserve"> </w:t>
      </w:r>
      <w:r w:rsidRPr="00084F7F">
        <w:rPr>
          <w:snapToGrid w:val="0"/>
        </w:rPr>
        <w:t>between the ITPGRFA and the UPOV Convention”, held at UPOV Headquarters in Geneva, on October 26,</w:t>
      </w:r>
      <w:r>
        <w:rPr>
          <w:snapToGrid w:val="0"/>
        </w:rPr>
        <w:t xml:space="preserve"> </w:t>
      </w:r>
      <w:r w:rsidRPr="00084F7F">
        <w:rPr>
          <w:snapToGrid w:val="0"/>
        </w:rPr>
        <w:t>2016,</w:t>
      </w:r>
      <w:r>
        <w:rPr>
          <w:snapToGrid w:val="0"/>
        </w:rPr>
        <w:t xml:space="preserve"> where, i</w:t>
      </w:r>
      <w:r w:rsidRPr="005509F0">
        <w:rPr>
          <w:snapToGrid w:val="0"/>
        </w:rPr>
        <w:t xml:space="preserve">n their closing remarks, the Co-Moderators: Mr. Muhamad </w:t>
      </w:r>
      <w:proofErr w:type="spellStart"/>
      <w:r w:rsidRPr="005509F0">
        <w:rPr>
          <w:snapToGrid w:val="0"/>
        </w:rPr>
        <w:t>Sabran</w:t>
      </w:r>
      <w:proofErr w:type="spellEnd"/>
      <w:r w:rsidRPr="005509F0">
        <w:rPr>
          <w:snapToGrid w:val="0"/>
        </w:rPr>
        <w:t>, Chairperson of the Seventh</w:t>
      </w:r>
      <w:r>
        <w:rPr>
          <w:snapToGrid w:val="0"/>
        </w:rPr>
        <w:t xml:space="preserve"> </w:t>
      </w:r>
      <w:r w:rsidRPr="005509F0">
        <w:rPr>
          <w:snapToGrid w:val="0"/>
        </w:rPr>
        <w:t>Session of the Governing Body, ITPGRFA and Mr. Raimundo Lavignolle, Vice-President of the Council of</w:t>
      </w:r>
      <w:r>
        <w:rPr>
          <w:snapToGrid w:val="0"/>
        </w:rPr>
        <w:t xml:space="preserve"> </w:t>
      </w:r>
      <w:r w:rsidRPr="005509F0">
        <w:rPr>
          <w:snapToGrid w:val="0"/>
        </w:rPr>
        <w:t>concluded that</w:t>
      </w:r>
      <w:r>
        <w:rPr>
          <w:snapToGrid w:val="0"/>
        </w:rPr>
        <w:t xml:space="preserve"> “[…] </w:t>
      </w:r>
      <w:r w:rsidRPr="005509F0">
        <w:rPr>
          <w:snapToGrid w:val="0"/>
        </w:rPr>
        <w:t>It is important to interpret and implement the two treaties in a mutually</w:t>
      </w:r>
      <w:r>
        <w:rPr>
          <w:snapToGrid w:val="0"/>
        </w:rPr>
        <w:t xml:space="preserve"> </w:t>
      </w:r>
      <w:r w:rsidRPr="005509F0">
        <w:rPr>
          <w:snapToGrid w:val="0"/>
        </w:rPr>
        <w:t>supportive way in the context</w:t>
      </w:r>
      <w:r>
        <w:rPr>
          <w:snapToGrid w:val="0"/>
        </w:rPr>
        <w:t xml:space="preserve"> of each Contracting Party”.  Figure 9 illustrates that many States and organizations have adhered to the UPOV Convention, the ITPGRFA and/or the Nagoya Protocol.  These developments reinforce the need to </w:t>
      </w:r>
      <w:r w:rsidRPr="00371550">
        <w:rPr>
          <w:snapToGrid w:val="0"/>
        </w:rPr>
        <w:t>provide information on the UPOV Convention to other intergovernmental organizations, with the aim of achieving mutual supportiveness with other international treaties</w:t>
      </w:r>
      <w:r>
        <w:rPr>
          <w:snapToGrid w:val="0"/>
        </w:rPr>
        <w:t>.</w:t>
      </w:r>
    </w:p>
    <w:p w:rsidR="00604822" w:rsidRDefault="00604822" w:rsidP="00604822">
      <w:pPr>
        <w:jc w:val="left"/>
        <w:rPr>
          <w:snapToGrid w:val="0"/>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604822" w:rsidRPr="005F5BB0" w:rsidTr="00962988">
        <w:tc>
          <w:tcPr>
            <w:tcW w:w="9747" w:type="dxa"/>
          </w:tcPr>
          <w:p w:rsidR="00604822" w:rsidRPr="0056174B" w:rsidRDefault="00604822" w:rsidP="00962988">
            <w:pPr>
              <w:pStyle w:val="figures"/>
            </w:pPr>
            <w:r>
              <w:t>Figure 9</w:t>
            </w:r>
            <w:r w:rsidRPr="00553841">
              <w:t xml:space="preserve">:  </w:t>
            </w:r>
            <w:r>
              <w:t xml:space="preserve">States and organizations bound by the UPOV Convention, ITPGRFA and/or the Nagoya Protocol </w:t>
            </w:r>
            <w:r>
              <w:br/>
            </w:r>
            <w:r w:rsidRPr="00EF683F">
              <w:t>as of March 1</w:t>
            </w:r>
            <w:r>
              <w:t>4</w:t>
            </w:r>
            <w:r w:rsidRPr="00EF683F">
              <w:t>, 2017</w:t>
            </w:r>
          </w:p>
        </w:tc>
      </w:tr>
      <w:tr w:rsidR="00604822" w:rsidRPr="005F5BB0" w:rsidTr="00962988">
        <w:tc>
          <w:tcPr>
            <w:tcW w:w="9747" w:type="dxa"/>
          </w:tcPr>
          <w:p w:rsidR="00604822" w:rsidRDefault="00604822" w:rsidP="00962988">
            <w:pPr>
              <w:keepNext/>
              <w:jc w:val="left"/>
              <w:rPr>
                <w:noProof/>
              </w:rPr>
            </w:pPr>
            <w:r w:rsidRPr="007B15E1">
              <w:rPr>
                <w:noProof/>
              </w:rPr>
              <w:drawing>
                <wp:inline distT="0" distB="0" distL="0" distR="0" wp14:anchorId="60348CA3" wp14:editId="5B042AFF">
                  <wp:extent cx="6076950" cy="3079375"/>
                  <wp:effectExtent l="0" t="0" r="0" b="6985"/>
                  <wp:docPr id="11" name="Picture 2" descr="N:\OrgUPOV\Shared\Present-speeches\_Model Presentations &amp;Speeches\maps\upov_itpgrfa_nagoya_7_colours_2017_02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OrgUPOV\Shared\Present-speeches\_Model Presentations &amp;Speeches\maps\upov_itpgrfa_nagoya_7_colours_2017_02_0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00048" cy="3091080"/>
                          </a:xfrm>
                          <a:prstGeom prst="rect">
                            <a:avLst/>
                          </a:prstGeom>
                          <a:noFill/>
                          <a:extLst/>
                        </pic:spPr>
                      </pic:pic>
                    </a:graphicData>
                  </a:graphic>
                </wp:inline>
              </w:drawing>
            </w:r>
          </w:p>
        </w:tc>
      </w:tr>
      <w:tr w:rsidR="00604822" w:rsidRPr="005F5BB0" w:rsidTr="00962988">
        <w:tc>
          <w:tcPr>
            <w:tcW w:w="9747" w:type="dxa"/>
          </w:tcPr>
          <w:p w:rsidR="00604822" w:rsidRPr="007B15E1" w:rsidRDefault="00604822" w:rsidP="00962988">
            <w:pPr>
              <w:keepNext/>
              <w:rPr>
                <w:i/>
                <w:sz w:val="14"/>
              </w:rPr>
            </w:pPr>
            <w:r w:rsidRPr="007B15E1">
              <w:rPr>
                <w:i/>
                <w:sz w:val="14"/>
              </w:rPr>
              <w:t>The boundaries shown on this map do not imply the expression of any opinion whatsoever on the part of UPOV concerning the legal status of any country or territory.</w:t>
            </w:r>
          </w:p>
        </w:tc>
      </w:tr>
      <w:tr w:rsidR="00604822" w:rsidRPr="005F5BB0" w:rsidTr="00962988">
        <w:tc>
          <w:tcPr>
            <w:tcW w:w="9747" w:type="dxa"/>
          </w:tcPr>
          <w:p w:rsidR="00604822" w:rsidRPr="005F5BB0" w:rsidRDefault="00604822" w:rsidP="00962988">
            <w:pPr>
              <w:spacing w:before="40"/>
              <w:jc w:val="center"/>
              <w:rPr>
                <w:color w:val="000000" w:themeColor="text1"/>
              </w:rPr>
            </w:pPr>
            <w:r>
              <w:rPr>
                <w:noProof/>
                <w:color w:val="000000" w:themeColor="text1"/>
              </w:rPr>
              <w:drawing>
                <wp:inline distT="0" distB="0" distL="0" distR="0" wp14:anchorId="49F2540D" wp14:editId="708F4146">
                  <wp:extent cx="5619600" cy="655200"/>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19600" cy="655200"/>
                          </a:xfrm>
                          <a:prstGeom prst="rect">
                            <a:avLst/>
                          </a:prstGeom>
                          <a:noFill/>
                          <a:ln>
                            <a:noFill/>
                          </a:ln>
                        </pic:spPr>
                      </pic:pic>
                    </a:graphicData>
                  </a:graphic>
                </wp:inline>
              </w:drawing>
            </w:r>
          </w:p>
        </w:tc>
      </w:tr>
    </w:tbl>
    <w:p w:rsidR="00604822" w:rsidRDefault="00604822" w:rsidP="00604822">
      <w:pPr>
        <w:jc w:val="left"/>
        <w:rPr>
          <w:snapToGrid w:val="0"/>
        </w:rPr>
      </w:pPr>
    </w:p>
    <w:p w:rsidR="00604822" w:rsidRDefault="00604822" w:rsidP="00604822">
      <w:pPr>
        <w:jc w:val="left"/>
        <w:rPr>
          <w:snapToGrid w:val="0"/>
        </w:rPr>
      </w:pPr>
    </w:p>
    <w:p w:rsidR="00604822" w:rsidRDefault="00604822" w:rsidP="00962988">
      <w:pPr>
        <w:rPr>
          <w:snapToGrid w:val="0"/>
        </w:rPr>
      </w:pPr>
      <w:r>
        <w:rPr>
          <w:snapToGrid w:val="0"/>
        </w:rPr>
        <w:t>1.17</w:t>
      </w:r>
      <w:r>
        <w:rPr>
          <w:snapToGrid w:val="0"/>
        </w:rPr>
        <w:tab/>
        <w:t xml:space="preserve">Communications between UPOV and other relevant </w:t>
      </w:r>
      <w:r w:rsidRPr="00371550">
        <w:rPr>
          <w:snapToGrid w:val="0"/>
        </w:rPr>
        <w:t>intergovernmental organizations</w:t>
      </w:r>
      <w:r>
        <w:rPr>
          <w:snapToGrid w:val="0"/>
        </w:rPr>
        <w:t xml:space="preserve"> will be important in order for mutual supportiveness to be achieved.  In </w:t>
      </w:r>
      <w:r w:rsidR="00962988">
        <w:rPr>
          <w:snapToGrid w:val="0"/>
        </w:rPr>
        <w:t>May 2017</w:t>
      </w:r>
      <w:r>
        <w:rPr>
          <w:snapToGrid w:val="0"/>
        </w:rPr>
        <w:t xml:space="preserve">, OECD, UPOV, </w:t>
      </w:r>
      <w:r w:rsidR="008973A6" w:rsidRPr="007C33EB">
        <w:t>the International Seed Testing Association (ISTA)</w:t>
      </w:r>
      <w:r>
        <w:rPr>
          <w:snapToGrid w:val="0"/>
        </w:rPr>
        <w:t xml:space="preserve"> and</w:t>
      </w:r>
      <w:r w:rsidR="008973A6">
        <w:rPr>
          <w:snapToGrid w:val="0"/>
        </w:rPr>
        <w:t xml:space="preserve"> the</w:t>
      </w:r>
      <w:r>
        <w:rPr>
          <w:snapToGrid w:val="0"/>
        </w:rPr>
        <w:t xml:space="preserve"> </w:t>
      </w:r>
      <w:r w:rsidR="008973A6" w:rsidRPr="007C33EB">
        <w:rPr>
          <w:rFonts w:cs="Arial"/>
          <w:snapToGrid w:val="0"/>
        </w:rPr>
        <w:t>International Seed Federation (ISF)</w:t>
      </w:r>
      <w:r>
        <w:rPr>
          <w:snapToGrid w:val="0"/>
        </w:rPr>
        <w:t xml:space="preserve"> </w:t>
      </w:r>
      <w:r w:rsidR="00962988">
        <w:rPr>
          <w:snapToGrid w:val="0"/>
        </w:rPr>
        <w:t xml:space="preserve">launched the </w:t>
      </w:r>
      <w:r>
        <w:rPr>
          <w:snapToGrid w:val="0"/>
        </w:rPr>
        <w:t xml:space="preserve">World Seed Partnership as a means of providing </w:t>
      </w:r>
      <w:r w:rsidRPr="00CD0F3D">
        <w:rPr>
          <w:snapToGrid w:val="0"/>
        </w:rPr>
        <w:t>a single point of reference for information on different systems</w:t>
      </w:r>
      <w:r>
        <w:rPr>
          <w:snapToGrid w:val="0"/>
        </w:rPr>
        <w:t xml:space="preserve"> </w:t>
      </w:r>
      <w:r w:rsidRPr="00CD0F3D">
        <w:rPr>
          <w:snapToGrid w:val="0"/>
        </w:rPr>
        <w:t>and schemes, in a coherent manner</w:t>
      </w:r>
      <w:r>
        <w:rPr>
          <w:snapToGrid w:val="0"/>
        </w:rPr>
        <w:t>.</w:t>
      </w:r>
    </w:p>
    <w:p w:rsidR="00604822" w:rsidRDefault="00604822" w:rsidP="00604822">
      <w:pPr>
        <w:jc w:val="left"/>
        <w:rPr>
          <w:snapToGrid w:val="0"/>
        </w:rPr>
      </w:pPr>
    </w:p>
    <w:p w:rsidR="00604822" w:rsidRDefault="00604822" w:rsidP="00604822">
      <w:r>
        <w:t>1.18</w:t>
      </w:r>
      <w:r>
        <w:tab/>
        <w:t>As</w:t>
      </w:r>
      <w:r w:rsidRPr="007A2F05">
        <w:t xml:space="preserve"> </w:t>
      </w:r>
      <w:r>
        <w:t xml:space="preserve">the </w:t>
      </w:r>
      <w:r w:rsidRPr="007A2F05">
        <w:t>landscape of international instruments affecting plant varieties has become more complex</w:t>
      </w:r>
      <w:r>
        <w:t xml:space="preserve">, the need to explain the role of plant breeding, </w:t>
      </w:r>
      <w:r>
        <w:rPr>
          <w:lang w:val="en"/>
        </w:rPr>
        <w:t xml:space="preserve">plant variety protection and UPOV to a wider audience has become increasingly important.  The development of </w:t>
      </w:r>
      <w:r w:rsidRPr="00942DE6">
        <w:rPr>
          <w:snapToGrid w:val="0"/>
        </w:rPr>
        <w:t>stakeholder features</w:t>
      </w:r>
      <w:r>
        <w:rPr>
          <w:snapToGrid w:val="0"/>
        </w:rPr>
        <w:t xml:space="preserve"> on the UPOV website for breeders, f</w:t>
      </w:r>
      <w:r w:rsidRPr="009D0C85">
        <w:rPr>
          <w:snapToGrid w:val="0"/>
        </w:rPr>
        <w:t>armers and growers</w:t>
      </w:r>
      <w:r>
        <w:rPr>
          <w:snapToGrid w:val="0"/>
        </w:rPr>
        <w:t>, p</w:t>
      </w:r>
      <w:r w:rsidRPr="009D0C85">
        <w:rPr>
          <w:snapToGrid w:val="0"/>
        </w:rPr>
        <w:t>olicy makers</w:t>
      </w:r>
      <w:r>
        <w:rPr>
          <w:snapToGrid w:val="0"/>
        </w:rPr>
        <w:t xml:space="preserve"> and the general p</w:t>
      </w:r>
      <w:r w:rsidRPr="009D0C85">
        <w:rPr>
          <w:snapToGrid w:val="0"/>
        </w:rPr>
        <w:t>ublic</w:t>
      </w:r>
      <w:r>
        <w:rPr>
          <w:snapToGrid w:val="0"/>
        </w:rPr>
        <w:t xml:space="preserve"> was one of the initiatives in 2016 designed to address that need.  In addition, the development of general information</w:t>
      </w:r>
      <w:r w:rsidRPr="00942DE6">
        <w:rPr>
          <w:snapToGrid w:val="0"/>
        </w:rPr>
        <w:t xml:space="preserve"> suitable fo</w:t>
      </w:r>
      <w:r>
        <w:rPr>
          <w:snapToGrid w:val="0"/>
        </w:rPr>
        <w:t xml:space="preserve">r a wide range of stakeholders </w:t>
      </w:r>
      <w:r w:rsidRPr="00942DE6">
        <w:rPr>
          <w:snapToGrid w:val="0"/>
        </w:rPr>
        <w:t xml:space="preserve">will continue to be </w:t>
      </w:r>
      <w:r>
        <w:rPr>
          <w:snapToGrid w:val="0"/>
        </w:rPr>
        <w:t>important.  Examples include</w:t>
      </w:r>
      <w:r w:rsidRPr="00942DE6">
        <w:rPr>
          <w:snapToGrid w:val="0"/>
        </w:rPr>
        <w:t xml:space="preserve"> answers to frequently-asked questions about the UPOV system and the development of illustrative explanations and examples of the benefits of the UPOV system.  </w:t>
      </w:r>
    </w:p>
    <w:p w:rsidR="00604822" w:rsidRDefault="00604822" w:rsidP="00604822">
      <w:pPr>
        <w:rPr>
          <w:snapToGrid w:val="0"/>
        </w:rPr>
      </w:pPr>
    </w:p>
    <w:p w:rsidR="00604822" w:rsidRDefault="00604822" w:rsidP="00604822">
      <w:pPr>
        <w:jc w:val="left"/>
        <w:rPr>
          <w:u w:val="single"/>
        </w:rPr>
      </w:pPr>
      <w:r>
        <w:br w:type="page"/>
      </w:r>
    </w:p>
    <w:p w:rsidR="00604822" w:rsidRPr="00C8190F" w:rsidRDefault="00604822" w:rsidP="00604822">
      <w:pPr>
        <w:pStyle w:val="Heading2"/>
      </w:pPr>
      <w:r w:rsidRPr="00C8190F">
        <w:t>Resource considerations</w:t>
      </w:r>
    </w:p>
    <w:p w:rsidR="00604822" w:rsidRDefault="00604822" w:rsidP="00604822"/>
    <w:p w:rsidR="00604822" w:rsidRDefault="00604822" w:rsidP="00604822">
      <w:pPr>
        <w:rPr>
          <w:spacing w:val="-2"/>
          <w:szCs w:val="24"/>
        </w:rPr>
      </w:pPr>
      <w:r>
        <w:t>1.19</w:t>
      </w:r>
      <w:r>
        <w:tab/>
        <w:t xml:space="preserve">Currently, UPOV is almost exclusively financed by income from contributions (98 per cent of the total </w:t>
      </w:r>
      <w:r w:rsidRPr="004D29BC">
        <w:t>income in the 2014-2015 Biennium), with the value of a contribution unit not having increased since 1995.</w:t>
      </w:r>
      <w:r>
        <w:t xml:space="preserve">  Furthermore, UPOV’s income has been significantly affected by the </w:t>
      </w:r>
      <w:r>
        <w:rPr>
          <w:spacing w:val="-2"/>
          <w:szCs w:val="24"/>
        </w:rPr>
        <w:t>loss of all income from interest and publications in recent years.  Thus,</w:t>
      </w:r>
      <w:r>
        <w:t xml:space="preserve"> the income for the 2014-2015 Biennium (</w:t>
      </w:r>
      <w:r w:rsidRPr="0003546C">
        <w:t>6,794</w:t>
      </w:r>
      <w:r>
        <w:t xml:space="preserve">,000 </w:t>
      </w:r>
      <w:r w:rsidRPr="002D2395">
        <w:rPr>
          <w:spacing w:val="-2"/>
          <w:szCs w:val="24"/>
        </w:rPr>
        <w:t>Swiss francs</w:t>
      </w:r>
      <w:r>
        <w:rPr>
          <w:spacing w:val="-2"/>
          <w:szCs w:val="24"/>
        </w:rPr>
        <w:t xml:space="preserve">) was not substantially higher than the income in the 2006-2007 Biennium </w:t>
      </w:r>
      <w:r>
        <w:t>(</w:t>
      </w:r>
      <w:r w:rsidRPr="0003546C">
        <w:t>6,761</w:t>
      </w:r>
      <w:r>
        <w:t xml:space="preserve">,000 </w:t>
      </w:r>
      <w:r w:rsidRPr="002D2395">
        <w:rPr>
          <w:spacing w:val="-2"/>
          <w:szCs w:val="24"/>
        </w:rPr>
        <w:t>Swiss francs</w:t>
      </w:r>
      <w:r>
        <w:rPr>
          <w:spacing w:val="-2"/>
          <w:szCs w:val="24"/>
        </w:rPr>
        <w:t xml:space="preserve">), with additional income from contributions of new UPOV members being offset by the loss of income from interest and </w:t>
      </w:r>
      <w:r w:rsidRPr="005C17DD">
        <w:rPr>
          <w:spacing w:val="-2"/>
          <w:szCs w:val="24"/>
        </w:rPr>
        <w:t xml:space="preserve">publications.  UPOV having reduced its number of staff from 14 in </w:t>
      </w:r>
      <w:proofErr w:type="gramStart"/>
      <w:r w:rsidRPr="005C17DD">
        <w:rPr>
          <w:spacing w:val="-2"/>
          <w:szCs w:val="24"/>
        </w:rPr>
        <w:t>2003,</w:t>
      </w:r>
      <w:proofErr w:type="gramEnd"/>
      <w:r w:rsidRPr="005C17DD">
        <w:rPr>
          <w:spacing w:val="-2"/>
          <w:szCs w:val="24"/>
        </w:rPr>
        <w:t xml:space="preserve"> has since maintained the number of</w:t>
      </w:r>
      <w:r>
        <w:rPr>
          <w:spacing w:val="-2"/>
          <w:szCs w:val="24"/>
        </w:rPr>
        <w:t xml:space="preserve"> staff at 11.</w:t>
      </w:r>
    </w:p>
    <w:p w:rsidR="00604822" w:rsidRDefault="00604822" w:rsidP="00604822">
      <w:pPr>
        <w:rPr>
          <w:spacing w:val="-2"/>
          <w:szCs w:val="24"/>
        </w:rPr>
      </w:pPr>
    </w:p>
    <w:p w:rsidR="00604822" w:rsidRDefault="00604822" w:rsidP="00604822">
      <w:r>
        <w:t>1.20</w:t>
      </w:r>
      <w:r>
        <w:tab/>
        <w:t xml:space="preserve">Against this background, in recent Biennia, UPOV has managed to maintain and improve its services to members through the development of </w:t>
      </w:r>
      <w:r w:rsidRPr="009B7650">
        <w:t>guidance and information materials</w:t>
      </w:r>
      <w:r>
        <w:t xml:space="preserve">, distance learning courses and IT-based initiatives (e.g. upgraded website, GENIE, PLUTO and UPOV Lex databases, the web-based Test Guidelines template and, most recently, the UPOV </w:t>
      </w:r>
      <w:r w:rsidRPr="001F1B76">
        <w:rPr>
          <w:rFonts w:cs="Arial"/>
        </w:rPr>
        <w:t>Electronic Application Form</w:t>
      </w:r>
      <w:r>
        <w:rPr>
          <w:rFonts w:cs="Arial"/>
        </w:rPr>
        <w:t xml:space="preserve"> tool</w:t>
      </w:r>
      <w:r>
        <w:t xml:space="preserve">).  The IT development and maintenance of the databases and TG Template were undertaken or managed by IT experts from WIPO as a part of the </w:t>
      </w:r>
      <w:r w:rsidRPr="00B026E6">
        <w:t xml:space="preserve">common expenses </w:t>
      </w:r>
      <w:r>
        <w:t>under</w:t>
      </w:r>
      <w:r w:rsidRPr="00B026E6">
        <w:t xml:space="preserve"> </w:t>
      </w:r>
      <w:r>
        <w:t xml:space="preserve">the </w:t>
      </w:r>
      <w:r>
        <w:rPr>
          <w:rFonts w:cs="Arial"/>
        </w:rPr>
        <w:t>“</w:t>
      </w:r>
      <w:r w:rsidRPr="0040670D">
        <w:rPr>
          <w:rFonts w:cs="Arial"/>
        </w:rPr>
        <w:t>Agreement between the World Intellectual Property Organization and the International Union for the Protection of New Varieties of Plants</w:t>
      </w:r>
      <w:r>
        <w:rPr>
          <w:rFonts w:cs="Arial"/>
        </w:rPr>
        <w:t xml:space="preserve">” (see document </w:t>
      </w:r>
      <w:r w:rsidRPr="00C32915">
        <w:rPr>
          <w:rFonts w:cs="Arial"/>
        </w:rPr>
        <w:t>UPOV/INF/8</w:t>
      </w:r>
      <w:r>
        <w:rPr>
          <w:rFonts w:cs="Arial"/>
        </w:rPr>
        <w:t xml:space="preserve">).  Those services are no longer provided as common services.  Although that development has enabled UPOV to contain operating expenses charged by WIPO to UPOV, it means that UPOV has to make its own arrangements for IT expertise to maintain and develop such IT systems in the future.  On that basis, </w:t>
      </w:r>
      <w:r>
        <w:t>provision is proposed to create an additional staff post for an IT expert in the 2018-2019 Biennium.</w:t>
      </w:r>
    </w:p>
    <w:p w:rsidR="00604822" w:rsidRDefault="00604822" w:rsidP="00604822"/>
    <w:p w:rsidR="00604822" w:rsidRDefault="00604822" w:rsidP="00604822">
      <w:pPr>
        <w:rPr>
          <w:spacing w:val="-2"/>
          <w:szCs w:val="24"/>
        </w:rPr>
      </w:pPr>
      <w:r>
        <w:t>1.21</w:t>
      </w:r>
      <w:r>
        <w:tab/>
        <w:t xml:space="preserve">Despite the static income, sufficient financial resources were available for the above-mentioned initiatives over recent Biennia largely because staff changes resulted in the cost of the 11 staff posts being contained: for example, staff post costs were lower in the 2014-2015 Biennium (4,159,000 </w:t>
      </w:r>
      <w:r w:rsidRPr="002D2395">
        <w:rPr>
          <w:spacing w:val="-2"/>
          <w:szCs w:val="24"/>
        </w:rPr>
        <w:t>Swiss francs</w:t>
      </w:r>
      <w:r>
        <w:rPr>
          <w:spacing w:val="-2"/>
          <w:szCs w:val="24"/>
        </w:rPr>
        <w:t xml:space="preserve">) than in the </w:t>
      </w:r>
      <w:r>
        <w:t xml:space="preserve">2004-2005 Biennium (4,001,000 </w:t>
      </w:r>
      <w:r w:rsidRPr="002D2395">
        <w:rPr>
          <w:spacing w:val="-2"/>
          <w:szCs w:val="24"/>
        </w:rPr>
        <w:t>Swiss francs</w:t>
      </w:r>
      <w:r>
        <w:rPr>
          <w:spacing w:val="-2"/>
          <w:szCs w:val="24"/>
        </w:rPr>
        <w:t xml:space="preserve">).  </w:t>
      </w:r>
      <w:r>
        <w:t xml:space="preserve">However, for the forthcoming Biennium and beyond, additional resources will be needed to maintain and, as appropriate, enhance the current level of activities and services.  </w:t>
      </w:r>
      <w:r w:rsidR="00F27786">
        <w:t>With regard to s</w:t>
      </w:r>
      <w:r>
        <w:rPr>
          <w:spacing w:val="-2"/>
          <w:szCs w:val="24"/>
        </w:rPr>
        <w:t>taff costs</w:t>
      </w:r>
      <w:r w:rsidR="00F27786">
        <w:rPr>
          <w:spacing w:val="-2"/>
          <w:szCs w:val="24"/>
        </w:rPr>
        <w:t>,</w:t>
      </w:r>
      <w:r>
        <w:rPr>
          <w:spacing w:val="-2"/>
          <w:szCs w:val="24"/>
        </w:rPr>
        <w:t xml:space="preserve"> UPOV will need to make provision for IT expertise to maintain and develop its IT</w:t>
      </w:r>
      <w:r>
        <w:rPr>
          <w:spacing w:val="-2"/>
          <w:szCs w:val="24"/>
        </w:rPr>
        <w:noBreakHyphen/>
        <w:t xml:space="preserve">based initiatives.  </w:t>
      </w:r>
    </w:p>
    <w:p w:rsidR="00604822" w:rsidRDefault="00604822" w:rsidP="00604822">
      <w:pPr>
        <w:rPr>
          <w:spacing w:val="-2"/>
          <w:szCs w:val="24"/>
        </w:rPr>
      </w:pPr>
    </w:p>
    <w:p w:rsidR="00604822" w:rsidRDefault="00604822" w:rsidP="00604822">
      <w:r>
        <w:t>1.22</w:t>
      </w:r>
      <w:r>
        <w:tab/>
        <w:t xml:space="preserve">The launch of the EAF in 2017 was an important step in terms of facilitating applications with members of the Union and was only possible on the basis that fees from applicants would ultimately cover the costs of its development and maintenance.  The income from the EAF will depend on use by breeders, which in turn will depend on participation in the EAF by members of the Union.   </w:t>
      </w:r>
    </w:p>
    <w:p w:rsidR="00604822" w:rsidRDefault="00604822" w:rsidP="00604822"/>
    <w:p w:rsidR="00604822" w:rsidRDefault="00604822" w:rsidP="00604822">
      <w:r>
        <w:t>1.23</w:t>
      </w:r>
      <w:r>
        <w:tab/>
      </w:r>
      <w:r w:rsidRPr="00071207">
        <w:t xml:space="preserve">UPOV </w:t>
      </w:r>
      <w:r>
        <w:t>has greatly</w:t>
      </w:r>
      <w:r w:rsidRPr="00071207">
        <w:t xml:space="preserve"> benef</w:t>
      </w:r>
      <w:r>
        <w:t>ited</w:t>
      </w:r>
      <w:r w:rsidRPr="00071207">
        <w:t xml:space="preserve"> from additional financial resources provided</w:t>
      </w:r>
      <w:r>
        <w:t xml:space="preserve"> by members of the Union, for example</w:t>
      </w:r>
      <w:r w:rsidRPr="00071207">
        <w:t xml:space="preserve"> in the form of Funds-in-Trust</w:t>
      </w:r>
      <w:r>
        <w:t xml:space="preserve">, and </w:t>
      </w:r>
      <w:r w:rsidRPr="00071207">
        <w:t xml:space="preserve">the support in kind provided by many members of </w:t>
      </w:r>
      <w:r>
        <w:t>the Union in the form of expert contributions to UPOV’s activities</w:t>
      </w:r>
      <w:r w:rsidRPr="00071207">
        <w:t>.</w:t>
      </w:r>
      <w:r>
        <w:t xml:space="preserve">  Such resources will be equally important for the future.  At the same time, UPOV will explore opportunities to supplement human resources in </w:t>
      </w:r>
      <w:r w:rsidRPr="00172ABD">
        <w:t xml:space="preserve">the form of suitably qualified officials, fully funded by members of the Union </w:t>
      </w:r>
      <w:r>
        <w:t xml:space="preserve">through </w:t>
      </w:r>
      <w:r w:rsidRPr="00172ABD">
        <w:t>the Junior Professional Officer (JPO) program</w:t>
      </w:r>
      <w:r w:rsidR="006629D8">
        <w:t xml:space="preserve"> and</w:t>
      </w:r>
      <w:r w:rsidR="006A6536">
        <w:t xml:space="preserve"> fellowships</w:t>
      </w:r>
      <w:r w:rsidR="006629D8">
        <w:t>,</w:t>
      </w:r>
      <w:r>
        <w:t xml:space="preserve"> and other arrangements</w:t>
      </w:r>
      <w:r w:rsidR="00F27786">
        <w:t>, such as internships</w:t>
      </w:r>
      <w:r>
        <w:t>.</w:t>
      </w:r>
    </w:p>
    <w:p w:rsidR="00604822" w:rsidRDefault="00604822" w:rsidP="00604822"/>
    <w:p w:rsidR="00604822" w:rsidRDefault="00604822" w:rsidP="00604822"/>
    <w:p w:rsidR="00604822" w:rsidRDefault="00604822" w:rsidP="00604822">
      <w:r>
        <w:br w:type="page"/>
      </w:r>
    </w:p>
    <w:p w:rsidR="00604822" w:rsidRPr="00DD6106" w:rsidRDefault="00604822" w:rsidP="00604822">
      <w:pPr>
        <w:rPr>
          <w:b/>
        </w:rPr>
      </w:pPr>
      <w:r w:rsidRPr="00DD6106">
        <w:rPr>
          <w:b/>
        </w:rPr>
        <w:t>2.</w:t>
      </w:r>
      <w:r w:rsidRPr="00DD6106">
        <w:rPr>
          <w:b/>
        </w:rPr>
        <w:tab/>
        <w:t>OBJECTIVES AND EXPECTED RESULTS BY SUB-PROGRAM</w:t>
      </w: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color w:val="000000"/>
        </w:rPr>
      </w:pPr>
    </w:p>
    <w:p w:rsidR="00604822" w:rsidRPr="00DD6106" w:rsidRDefault="00604822" w:rsidP="00604822">
      <w:pPr>
        <w:tabs>
          <w:tab w:val="left" w:pos="567"/>
        </w:tabs>
        <w:ind w:left="2835" w:hanging="2835"/>
        <w:rPr>
          <w:b/>
        </w:rPr>
      </w:pPr>
      <w:r w:rsidRPr="00DD6106">
        <w:rPr>
          <w:b/>
        </w:rPr>
        <w:t>2.1</w:t>
      </w:r>
      <w:r w:rsidRPr="00DD6106">
        <w:rPr>
          <w:b/>
        </w:rPr>
        <w:tab/>
      </w:r>
      <w:r w:rsidRPr="00DD6106">
        <w:rPr>
          <w:b/>
          <w:u w:val="single"/>
        </w:rPr>
        <w:t>Sub-program UV.1</w:t>
      </w:r>
      <w:r w:rsidRPr="00DD6106">
        <w:rPr>
          <w:b/>
        </w:rPr>
        <w:t>:</w:t>
      </w:r>
      <w:r w:rsidRPr="00DD6106">
        <w:rPr>
          <w:b/>
        </w:rPr>
        <w:tab/>
      </w:r>
      <w:r w:rsidRPr="00DD6106">
        <w:rPr>
          <w:b/>
          <w:u w:val="single"/>
        </w:rPr>
        <w:t>Overall Policy on Plant Variety Protection</w:t>
      </w:r>
    </w:p>
    <w:p w:rsidR="00604822" w:rsidRPr="00DD6106" w:rsidRDefault="00604822" w:rsidP="00604822"/>
    <w:p w:rsidR="00604822" w:rsidRPr="00DD6106" w:rsidRDefault="00604822" w:rsidP="00604822">
      <w:pPr>
        <w:rPr>
          <w:b/>
        </w:rPr>
      </w:pPr>
      <w:r w:rsidRPr="00DD6106">
        <w:rPr>
          <w:b/>
        </w:rPr>
        <w:t>2.1.1</w:t>
      </w:r>
      <w:r w:rsidRPr="00DD6106">
        <w:rPr>
          <w:b/>
        </w:rPr>
        <w:tab/>
        <w:t>Objectives</w:t>
      </w:r>
    </w:p>
    <w:p w:rsidR="00604822" w:rsidRPr="00DD6106" w:rsidRDefault="00604822" w:rsidP="00604822"/>
    <w:p w:rsidR="00604822" w:rsidRPr="00DD6106" w:rsidRDefault="00604822" w:rsidP="00604822">
      <w:r w:rsidRPr="00DD6106">
        <w:tab/>
        <w:t>(a)</w:t>
      </w:r>
      <w:r w:rsidRPr="00DD6106">
        <w:tab/>
        <w:t>Policy direction and executive management.</w:t>
      </w:r>
    </w:p>
    <w:p w:rsidR="00604822" w:rsidRPr="00DD6106" w:rsidRDefault="00604822" w:rsidP="00604822"/>
    <w:p w:rsidR="00604822" w:rsidRPr="00DD6106" w:rsidRDefault="00604822" w:rsidP="00604822">
      <w:r w:rsidRPr="00DD6106">
        <w:tab/>
        <w:t>(b)</w:t>
      </w:r>
      <w:r w:rsidRPr="00DD6106">
        <w:tab/>
        <w:t>Planning, implementation and evaluation of program and budget.</w:t>
      </w:r>
    </w:p>
    <w:p w:rsidR="00604822" w:rsidRPr="00DD6106" w:rsidRDefault="00604822" w:rsidP="00604822"/>
    <w:p w:rsidR="00604822" w:rsidRPr="00DD6106" w:rsidRDefault="00604822" w:rsidP="00604822">
      <w:pPr>
        <w:keepNext/>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2.1.2</w:t>
      </w:r>
      <w:r w:rsidRPr="00DD6106">
        <w:rPr>
          <w:b/>
        </w:rPr>
        <w:tab/>
        <w:t>Narrative</w:t>
      </w: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604822" w:rsidRDefault="00604822" w:rsidP="00604822">
      <w:pPr>
        <w:tabs>
          <w:tab w:val="left" w:pos="567"/>
        </w:tabs>
        <w:rPr>
          <w:spacing w:val="-2"/>
        </w:rPr>
      </w:pPr>
      <w:r>
        <w:t>2.1.2.1</w:t>
      </w:r>
      <w:r>
        <w:tab/>
      </w:r>
      <w:r w:rsidRPr="00DD6106">
        <w:t xml:space="preserve">This sub-program </w:t>
      </w:r>
      <w:r>
        <w:t>covers</w:t>
      </w:r>
      <w:r w:rsidRPr="00DD6106">
        <w:t xml:space="preserve"> policy making, management and coordination of the activities </w:t>
      </w:r>
      <w:r w:rsidRPr="008B1BFE">
        <w:rPr>
          <w:spacing w:val="-2"/>
        </w:rPr>
        <w:t>within UPOV’s overall program, as established by the Council with the guidance of the Consultative Committee.</w:t>
      </w:r>
    </w:p>
    <w:p w:rsidR="00604822" w:rsidRDefault="00604822" w:rsidP="00604822">
      <w:pPr>
        <w:tabs>
          <w:tab w:val="left" w:pos="567"/>
        </w:tabs>
        <w:rPr>
          <w:spacing w:val="-2"/>
        </w:rPr>
      </w:pPr>
    </w:p>
    <w:p w:rsidR="00604822" w:rsidRDefault="00604822" w:rsidP="00604822">
      <w:pPr>
        <w:tabs>
          <w:tab w:val="left" w:pos="567"/>
        </w:tabs>
        <w:rPr>
          <w:spacing w:val="-2"/>
        </w:rPr>
      </w:pPr>
      <w:r>
        <w:rPr>
          <w:spacing w:val="-2"/>
        </w:rPr>
        <w:t>2.1.2.2</w:t>
      </w:r>
      <w:r>
        <w:rPr>
          <w:spacing w:val="-2"/>
        </w:rPr>
        <w:tab/>
        <w:t xml:space="preserve">The establishment and monitoring of a </w:t>
      </w:r>
      <w:r w:rsidRPr="00B67463">
        <w:rPr>
          <w:spacing w:val="-2"/>
        </w:rPr>
        <w:t>Strategic Business Plan</w:t>
      </w:r>
      <w:r>
        <w:rPr>
          <w:spacing w:val="-2"/>
        </w:rPr>
        <w:t xml:space="preserve">, as recommended by </w:t>
      </w:r>
      <w:r w:rsidRPr="002B0135">
        <w:rPr>
          <w:spacing w:val="-2"/>
        </w:rPr>
        <w:t>WIPO</w:t>
      </w:r>
      <w:r w:rsidR="00146159">
        <w:rPr>
          <w:spacing w:val="-2"/>
        </w:rPr>
        <w:t> </w:t>
      </w:r>
      <w:r w:rsidRPr="002B0135">
        <w:rPr>
          <w:spacing w:val="-2"/>
        </w:rPr>
        <w:t>Internal Oversight Division (IOD) “Evaluation of the International Union for the Protection of New</w:t>
      </w:r>
      <w:r>
        <w:rPr>
          <w:spacing w:val="-2"/>
        </w:rPr>
        <w:t xml:space="preserve"> </w:t>
      </w:r>
      <w:r w:rsidRPr="002B0135">
        <w:rPr>
          <w:spacing w:val="-2"/>
        </w:rPr>
        <w:t>Varieties of Plants (UPOV)”</w:t>
      </w:r>
      <w:r>
        <w:rPr>
          <w:spacing w:val="-2"/>
        </w:rPr>
        <w:t xml:space="preserve">, will provide a framework for the objectives under this sub-program.  In particular, the </w:t>
      </w:r>
      <w:r w:rsidRPr="00B67463">
        <w:rPr>
          <w:spacing w:val="-2"/>
        </w:rPr>
        <w:t>Strategic Business Plan</w:t>
      </w:r>
      <w:r>
        <w:rPr>
          <w:spacing w:val="-2"/>
        </w:rPr>
        <w:t xml:space="preserve"> will:</w:t>
      </w:r>
    </w:p>
    <w:p w:rsidR="00604822" w:rsidRDefault="00604822" w:rsidP="00604822">
      <w:pPr>
        <w:tabs>
          <w:tab w:val="left" w:pos="567"/>
        </w:tabs>
        <w:rPr>
          <w:spacing w:val="-2"/>
        </w:rPr>
      </w:pPr>
    </w:p>
    <w:p w:rsidR="00604822" w:rsidRDefault="00604822" w:rsidP="00604822">
      <w:pPr>
        <w:tabs>
          <w:tab w:val="left" w:pos="567"/>
        </w:tabs>
        <w:ind w:left="567"/>
        <w:rPr>
          <w:spacing w:val="-2"/>
        </w:rPr>
      </w:pPr>
      <w:r w:rsidRPr="009E430B">
        <w:rPr>
          <w:spacing w:val="-2"/>
        </w:rPr>
        <w:t xml:space="preserve">(a) </w:t>
      </w:r>
      <w:r>
        <w:rPr>
          <w:spacing w:val="-2"/>
        </w:rPr>
        <w:tab/>
      </w:r>
      <w:proofErr w:type="gramStart"/>
      <w:r>
        <w:rPr>
          <w:spacing w:val="-2"/>
        </w:rPr>
        <w:t>s</w:t>
      </w:r>
      <w:r w:rsidRPr="009E430B">
        <w:rPr>
          <w:spacing w:val="-2"/>
        </w:rPr>
        <w:t>erve</w:t>
      </w:r>
      <w:proofErr w:type="gramEnd"/>
      <w:r w:rsidRPr="009E430B">
        <w:rPr>
          <w:spacing w:val="-2"/>
        </w:rPr>
        <w:t xml:space="preserve"> as a roadmap to implement the strategic goals and objectives of the Union;</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(b) </w:t>
      </w:r>
      <w:r>
        <w:rPr>
          <w:spacing w:val="-2"/>
        </w:rPr>
        <w:tab/>
      </w:r>
      <w:proofErr w:type="gramStart"/>
      <w:r>
        <w:rPr>
          <w:spacing w:val="-2"/>
        </w:rPr>
        <w:t>i</w:t>
      </w:r>
      <w:r w:rsidRPr="009E430B">
        <w:rPr>
          <w:spacing w:val="-2"/>
        </w:rPr>
        <w:t>dentify</w:t>
      </w:r>
      <w:proofErr w:type="gramEnd"/>
      <w:r w:rsidRPr="009E430B">
        <w:rPr>
          <w:spacing w:val="-2"/>
        </w:rPr>
        <w:t xml:space="preserve"> financial resources needed to achieve the strategic goals and objectives of</w:t>
      </w:r>
      <w:r>
        <w:rPr>
          <w:spacing w:val="-2"/>
        </w:rPr>
        <w:t xml:space="preserve"> </w:t>
      </w:r>
      <w:r w:rsidRPr="009E430B">
        <w:rPr>
          <w:spacing w:val="-2"/>
        </w:rPr>
        <w:t>the Union;</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(c) </w:t>
      </w:r>
      <w:r>
        <w:rPr>
          <w:spacing w:val="-2"/>
        </w:rPr>
        <w:tab/>
      </w:r>
      <w:proofErr w:type="gramStart"/>
      <w:r>
        <w:rPr>
          <w:spacing w:val="-2"/>
        </w:rPr>
        <w:t>o</w:t>
      </w:r>
      <w:r w:rsidRPr="009E430B">
        <w:rPr>
          <w:spacing w:val="-2"/>
        </w:rPr>
        <w:t>utline</w:t>
      </w:r>
      <w:proofErr w:type="gramEnd"/>
      <w:r w:rsidRPr="009E430B">
        <w:rPr>
          <w:spacing w:val="-2"/>
        </w:rPr>
        <w:t xml:space="preserve"> the human resource needs in line with the strategic priorities of the</w:t>
      </w:r>
      <w:r>
        <w:rPr>
          <w:spacing w:val="-2"/>
        </w:rPr>
        <w:t xml:space="preserve"> </w:t>
      </w:r>
      <w:r w:rsidRPr="009E430B">
        <w:rPr>
          <w:spacing w:val="-2"/>
        </w:rPr>
        <w:t>organization; and</w:t>
      </w:r>
    </w:p>
    <w:p w:rsidR="00604822" w:rsidRPr="009E430B" w:rsidRDefault="00604822" w:rsidP="00604822">
      <w:pPr>
        <w:tabs>
          <w:tab w:val="left" w:pos="567"/>
        </w:tabs>
        <w:ind w:left="567"/>
        <w:rPr>
          <w:spacing w:val="-2"/>
        </w:rPr>
      </w:pPr>
    </w:p>
    <w:p w:rsidR="00604822" w:rsidRDefault="00604822" w:rsidP="00604822">
      <w:pPr>
        <w:tabs>
          <w:tab w:val="left" w:pos="567"/>
        </w:tabs>
        <w:ind w:left="567"/>
        <w:rPr>
          <w:spacing w:val="-2"/>
        </w:rPr>
      </w:pPr>
      <w:r w:rsidRPr="009E430B">
        <w:rPr>
          <w:spacing w:val="-2"/>
        </w:rPr>
        <w:t xml:space="preserve">(d) </w:t>
      </w:r>
      <w:r>
        <w:rPr>
          <w:spacing w:val="-2"/>
        </w:rPr>
        <w:tab/>
      </w:r>
      <w:proofErr w:type="gramStart"/>
      <w:r>
        <w:rPr>
          <w:spacing w:val="-2"/>
        </w:rPr>
        <w:t>d</w:t>
      </w:r>
      <w:r w:rsidRPr="009E430B">
        <w:rPr>
          <w:spacing w:val="-2"/>
        </w:rPr>
        <w:t>efine</w:t>
      </w:r>
      <w:proofErr w:type="gramEnd"/>
      <w:r w:rsidRPr="009E430B">
        <w:rPr>
          <w:spacing w:val="-2"/>
        </w:rPr>
        <w:t xml:space="preserve"> long-term steps and key milestones of outreach activities with a view to</w:t>
      </w:r>
      <w:r>
        <w:rPr>
          <w:spacing w:val="-2"/>
        </w:rPr>
        <w:t xml:space="preserve"> </w:t>
      </w:r>
      <w:r w:rsidRPr="009E430B">
        <w:rPr>
          <w:spacing w:val="-2"/>
        </w:rPr>
        <w:t>improving organizational visibility and enhancing revenue generation efforts.</w:t>
      </w:r>
    </w:p>
    <w:p w:rsidR="00604822" w:rsidRDefault="00604822" w:rsidP="00604822">
      <w:pPr>
        <w:tabs>
          <w:tab w:val="left" w:pos="567"/>
        </w:tabs>
        <w:rPr>
          <w:spacing w:val="-2"/>
        </w:rPr>
      </w:pPr>
    </w:p>
    <w:p w:rsidR="00604822" w:rsidRDefault="00604822" w:rsidP="00604822">
      <w:pPr>
        <w:tabs>
          <w:tab w:val="left" w:pos="567"/>
        </w:tabs>
      </w:pPr>
      <w:r>
        <w:rPr>
          <w:spacing w:val="-2"/>
        </w:rPr>
        <w:t>2.1.2.3</w:t>
      </w:r>
      <w:r>
        <w:rPr>
          <w:spacing w:val="-2"/>
        </w:rPr>
        <w:tab/>
      </w:r>
      <w:r w:rsidRPr="000E5482">
        <w:t>Th</w:t>
      </w:r>
      <w:r>
        <w:t>e expansion of UPOV, combined with the continuing interest of States and organizations to become UPOV members, means that there is a need to consider further measures to: facilitate applications for plant breeders’ rights (PBRs); facilitate cooperation between UPOV members (see Sub-program UV.2);</w:t>
      </w:r>
      <w:r w:rsidRPr="000517D3">
        <w:t xml:space="preserve"> </w:t>
      </w:r>
      <w:r>
        <w:t xml:space="preserve">and provide assistance in the introduction and implementation of the UPOV system in the most effective way within available resources (see Sub-program UV.3).  </w:t>
      </w:r>
    </w:p>
    <w:p w:rsidR="00604822" w:rsidRDefault="00604822" w:rsidP="00604822">
      <w:pPr>
        <w:tabs>
          <w:tab w:val="left" w:pos="567"/>
        </w:tabs>
      </w:pPr>
    </w:p>
    <w:p w:rsidR="00604822" w:rsidRDefault="00604822" w:rsidP="00604822">
      <w:pPr>
        <w:tabs>
          <w:tab w:val="left" w:pos="567"/>
        </w:tabs>
      </w:pPr>
      <w:r>
        <w:rPr>
          <w:spacing w:val="-2"/>
        </w:rPr>
        <w:t>2.1.2.4</w:t>
      </w:r>
      <w:r>
        <w:tab/>
      </w:r>
      <w:r w:rsidRPr="001F6A5E">
        <w:t>In 2017, a first version of the UPOV Electronic Application Form tool (EAF) was introduced for selected crops/species and languages, enabling breeders to provide information for PBR applications for participating members of the Union, via the UPOV website.</w:t>
      </w:r>
      <w:r>
        <w:t xml:space="preserve">  The Consultative Committee and Council will be responsible for the policy on the further development of the EAF, including expansion of coverage and financial aspects. </w:t>
      </w:r>
    </w:p>
    <w:p w:rsidR="00604822" w:rsidRDefault="00604822" w:rsidP="00604822">
      <w:pPr>
        <w:tabs>
          <w:tab w:val="left" w:pos="567"/>
        </w:tabs>
      </w:pPr>
    </w:p>
    <w:p w:rsidR="00604822" w:rsidRDefault="00604822" w:rsidP="00604822">
      <w:pPr>
        <w:tabs>
          <w:tab w:val="left" w:pos="567"/>
        </w:tabs>
      </w:pPr>
      <w:r>
        <w:rPr>
          <w:spacing w:val="-2"/>
        </w:rPr>
        <w:t>2.1.2.5</w:t>
      </w:r>
      <w:r>
        <w:tab/>
        <w:t>In 2016, the Consultative Committee agreed the draft mandate and terms of reference for a Working Group on a Possible International System of Cooperation (WG-ISC), the purpose of which was to prepare proposals for consideration by the Consultative Committee concerning a possible ISC, according to certain requirements</w:t>
      </w:r>
      <w:r>
        <w:rPr>
          <w:rStyle w:val="FootnoteReference"/>
        </w:rPr>
        <w:footnoteReference w:id="4"/>
      </w:r>
      <w:r>
        <w:t xml:space="preserve">.  The Consultative Committee and Council will be responsible for considering the proposals developed by the WG-ISC. </w:t>
      </w:r>
    </w:p>
    <w:p w:rsidR="00604822" w:rsidRDefault="00604822" w:rsidP="00604822">
      <w:pPr>
        <w:tabs>
          <w:tab w:val="left" w:pos="567"/>
        </w:tabs>
      </w:pPr>
    </w:p>
    <w:p w:rsidR="00604822" w:rsidRDefault="00604822" w:rsidP="00604822">
      <w:pPr>
        <w:tabs>
          <w:tab w:val="left" w:pos="567"/>
        </w:tabs>
      </w:pPr>
      <w:r w:rsidRPr="006B18C0">
        <w:t>2.1.2.</w:t>
      </w:r>
      <w:r>
        <w:t>6</w:t>
      </w:r>
      <w:r w:rsidRPr="006B18C0">
        <w:tab/>
        <w:t>There will be a need to monitor the training and assistance</w:t>
      </w:r>
      <w:r>
        <w:t xml:space="preserve"> strategy agreed by the Consultative Committee in relation to evolving requests for assistance by members of the Union and States and organizations wishing to become members of the Union, and in relation to the availability of resources</w:t>
      </w:r>
      <w:r w:rsidRPr="006B18C0">
        <w:t>.</w:t>
      </w:r>
    </w:p>
    <w:p w:rsidR="00604822" w:rsidRDefault="00604822" w:rsidP="00604822">
      <w:pPr>
        <w:tabs>
          <w:tab w:val="left" w:pos="567"/>
        </w:tabs>
      </w:pPr>
    </w:p>
    <w:p w:rsidR="00604822" w:rsidRDefault="00604822" w:rsidP="00604822">
      <w:pPr>
        <w:tabs>
          <w:tab w:val="left" w:pos="567"/>
        </w:tabs>
      </w:pPr>
      <w:r>
        <w:t>2.1.2.7</w:t>
      </w:r>
      <w:r>
        <w:tab/>
        <w:t xml:space="preserve">The implementation of the communication strategy agreed by the Consultative Committee will continue to be monitored with the aim of improving the level of understanding of the UPOV system.  Policy direction on inter-relations with other organizations will continue to be an important objective in the </w:t>
      </w:r>
      <w:r w:rsidRPr="00385A5E">
        <w:t>2018­2019 Biennium (see Sub program UV.4).</w:t>
      </w:r>
      <w:r>
        <w:t xml:space="preserve"> </w:t>
      </w:r>
    </w:p>
    <w:p w:rsidR="00604822" w:rsidRDefault="00604822" w:rsidP="00604822">
      <w:pPr>
        <w:tabs>
          <w:tab w:val="left" w:pos="567"/>
        </w:tabs>
      </w:pPr>
    </w:p>
    <w:p w:rsidR="00604822" w:rsidRPr="00DD6106" w:rsidRDefault="00604822" w:rsidP="006048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2.1.3</w:t>
      </w:r>
      <w:r w:rsidRPr="00DD6106">
        <w:rPr>
          <w:b/>
        </w:rPr>
        <w:tab/>
        <w:t>Activities</w:t>
      </w: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p>
    <w:p w:rsidR="00604822" w:rsidRPr="00DD6106" w:rsidRDefault="00604822" w:rsidP="00604822">
      <w:pPr>
        <w:spacing w:after="120"/>
        <w:ind w:left="1276" w:hanging="709"/>
      </w:pPr>
      <w:r w:rsidRPr="00320872">
        <w:t>(</w:t>
      </w:r>
      <w:proofErr w:type="spellStart"/>
      <w:r w:rsidRPr="00320872">
        <w:t>i</w:t>
      </w:r>
      <w:proofErr w:type="spellEnd"/>
      <w:r w:rsidRPr="00320872">
        <w:t>)</w:t>
      </w:r>
      <w:r w:rsidRPr="00320872">
        <w:tab/>
        <w:t>Two</w:t>
      </w:r>
      <w:r w:rsidR="005B1E88">
        <w:t xml:space="preserve"> </w:t>
      </w:r>
      <w:r w:rsidRPr="00320872">
        <w:t xml:space="preserve">sessions of the Council and </w:t>
      </w:r>
      <w:r w:rsidR="005B1E88">
        <w:t xml:space="preserve">two </w:t>
      </w:r>
      <w:r w:rsidRPr="00320872">
        <w:t>sessions of the Consultative Committee.</w:t>
      </w:r>
    </w:p>
    <w:p w:rsidR="00604822" w:rsidRPr="00DD6106" w:rsidRDefault="00604822" w:rsidP="00604822">
      <w:pPr>
        <w:spacing w:after="120"/>
        <w:ind w:left="1276" w:hanging="709"/>
      </w:pPr>
      <w:r w:rsidRPr="00DD6106">
        <w:t>(ii)</w:t>
      </w:r>
      <w:r>
        <w:tab/>
      </w:r>
      <w:r w:rsidRPr="00DD6106">
        <w:t xml:space="preserve">Coordination, monitoring and performance assessment of the Program and Budget for the </w:t>
      </w:r>
      <w:r w:rsidRPr="00385A5E">
        <w:t>2018­2019 Biennium.</w:t>
      </w:r>
    </w:p>
    <w:p w:rsidR="00604822" w:rsidRDefault="00604822" w:rsidP="00604822">
      <w:pPr>
        <w:spacing w:after="120"/>
        <w:ind w:left="1276" w:hanging="709"/>
      </w:pPr>
      <w:r w:rsidRPr="00DD6106">
        <w:t>(iii)</w:t>
      </w:r>
      <w:r w:rsidRPr="00DD6106">
        <w:tab/>
        <w:t xml:space="preserve">Preparation and adoption of the Program and Budget for the </w:t>
      </w:r>
      <w:r>
        <w:rPr>
          <w:color w:val="000000"/>
        </w:rPr>
        <w:t>2020</w:t>
      </w:r>
      <w:r>
        <w:rPr>
          <w:color w:val="000000"/>
        </w:rPr>
        <w:noBreakHyphen/>
        <w:t>2021</w:t>
      </w:r>
      <w:r w:rsidRPr="00DD6106">
        <w:rPr>
          <w:color w:val="000000"/>
        </w:rPr>
        <w:t xml:space="preserve"> Biennium</w:t>
      </w:r>
      <w:r w:rsidRPr="00DD6106">
        <w:t>.</w:t>
      </w:r>
    </w:p>
    <w:p w:rsidR="00604822" w:rsidRDefault="00604822" w:rsidP="00604822">
      <w:pPr>
        <w:jc w:val="left"/>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2.1.4</w:t>
      </w:r>
      <w:r w:rsidRPr="00DD6106">
        <w:rPr>
          <w:b/>
        </w:rPr>
        <w:tab/>
        <w:t>Expected Results and Performance Indicators</w:t>
      </w:r>
    </w:p>
    <w:p w:rsidR="00604822" w:rsidRPr="00DD6106" w:rsidRDefault="00604822" w:rsidP="00604822">
      <w:pPr>
        <w:keepNext/>
        <w:tabs>
          <w:tab w:val="left" w:pos="567"/>
          <w:tab w:val="num" w:pos="851"/>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851" w:hanging="284"/>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center"/>
              <w:rPr>
                <w:rFonts w:cs="Arial"/>
                <w:color w:val="000000"/>
                <w:u w:val="single"/>
              </w:rPr>
            </w:pPr>
            <w:r w:rsidRPr="00616FB8">
              <w:rPr>
                <w:rFonts w:cs="Arial"/>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center"/>
              <w:rPr>
                <w:rFonts w:cs="Arial"/>
                <w:color w:val="000000"/>
                <w:u w:val="single"/>
              </w:rPr>
            </w:pPr>
            <w:r w:rsidRPr="00616FB8">
              <w:rPr>
                <w:rFonts w:cs="Arial"/>
                <w:color w:val="000000"/>
                <w:u w:val="single"/>
              </w:rPr>
              <w:t>Performance Indicators</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1.</w:t>
            </w:r>
            <w:r w:rsidRPr="00320872">
              <w:rPr>
                <w:rFonts w:cs="Arial"/>
                <w:color w:val="000000"/>
              </w:rPr>
              <w:tab/>
              <w:t>Identify and implement the strategic goals and objectives of UPOV</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w:t>
            </w:r>
            <w:proofErr w:type="gramStart"/>
            <w:r w:rsidRPr="00320872">
              <w:rPr>
                <w:rFonts w:cs="Arial"/>
                <w:color w:val="000000"/>
              </w:rPr>
              <w:t>a</w:t>
            </w:r>
            <w:proofErr w:type="gramEnd"/>
            <w:r w:rsidRPr="00320872">
              <w:rPr>
                <w:rFonts w:cs="Arial"/>
                <w:color w:val="000000"/>
              </w:rPr>
              <w:t>)</w:t>
            </w:r>
            <w:r w:rsidRPr="00320872">
              <w:rPr>
                <w:rFonts w:cs="Arial"/>
                <w:color w:val="000000"/>
              </w:rPr>
              <w:tab/>
              <w:t>establishment of Strategic Business Plan.</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2.</w:t>
            </w:r>
            <w:r w:rsidRPr="00320872">
              <w:rPr>
                <w:rFonts w:cs="Arial"/>
                <w:color w:val="000000"/>
              </w:rPr>
              <w:tab/>
              <w:t>Organization of Council and Consultative Committee sessions</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r>
            <w:proofErr w:type="gramStart"/>
            <w:r w:rsidRPr="00320872">
              <w:rPr>
                <w:rFonts w:cs="Arial"/>
                <w:color w:val="000000"/>
              </w:rPr>
              <w:t>participation</w:t>
            </w:r>
            <w:proofErr w:type="gramEnd"/>
            <w:r w:rsidRPr="00320872">
              <w:rPr>
                <w:rFonts w:cs="Arial"/>
                <w:color w:val="000000"/>
              </w:rPr>
              <w:t xml:space="preserve"> in the sessions of the Council and the Consultative Committee.</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3.</w:t>
            </w:r>
            <w:r w:rsidRPr="00320872">
              <w:rPr>
                <w:rFonts w:cs="Arial"/>
                <w:color w:val="000000"/>
              </w:rPr>
              <w:tab/>
              <w:t>Organize and monitor the work of UPOV committees</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spacing w:after="40"/>
              <w:ind w:left="397" w:hanging="397"/>
              <w:jc w:val="left"/>
              <w:rPr>
                <w:rFonts w:cs="Arial"/>
                <w:color w:val="000000"/>
              </w:rPr>
            </w:pPr>
            <w:r w:rsidRPr="00320872">
              <w:rPr>
                <w:rFonts w:cs="Arial"/>
                <w:color w:val="000000"/>
              </w:rPr>
              <w:t>(a)</w:t>
            </w:r>
            <w:r w:rsidRPr="00320872">
              <w:rPr>
                <w:rFonts w:cs="Arial"/>
                <w:color w:val="000000"/>
              </w:rPr>
              <w:tab/>
              <w:t xml:space="preserve">approve and monitor the work programs of the CAJ, TC, TWPs and </w:t>
            </w:r>
            <w:r w:rsidRPr="00320872">
              <w:rPr>
                <w:rFonts w:cs="Arial"/>
                <w:i/>
                <w:color w:val="000000"/>
              </w:rPr>
              <w:t>ad hoc</w:t>
            </w:r>
            <w:r w:rsidRPr="00320872">
              <w:rPr>
                <w:rFonts w:cs="Arial"/>
                <w:color w:val="000000"/>
              </w:rPr>
              <w:t xml:space="preserve"> working groups; </w:t>
            </w:r>
          </w:p>
          <w:p w:rsidR="00604822" w:rsidRPr="00320872" w:rsidRDefault="00604822" w:rsidP="00962988">
            <w:pPr>
              <w:keepNext/>
              <w:spacing w:after="40"/>
              <w:ind w:left="397" w:hanging="397"/>
              <w:jc w:val="left"/>
              <w:rPr>
                <w:rFonts w:cs="Arial"/>
                <w:color w:val="000000"/>
              </w:rPr>
            </w:pPr>
            <w:r w:rsidRPr="00320872">
              <w:rPr>
                <w:rFonts w:cs="Arial"/>
                <w:color w:val="000000"/>
              </w:rPr>
              <w:t>(b)</w:t>
            </w:r>
            <w:r w:rsidRPr="00320872">
              <w:rPr>
                <w:rFonts w:cs="Arial"/>
                <w:color w:val="000000"/>
              </w:rPr>
              <w:tab/>
              <w:t xml:space="preserve">elect Chairs of the CAJ, TC, TWPs and </w:t>
            </w:r>
            <w:r w:rsidRPr="00320872">
              <w:rPr>
                <w:rFonts w:cs="Arial"/>
                <w:i/>
                <w:color w:val="000000"/>
              </w:rPr>
              <w:t>ad hoc</w:t>
            </w:r>
            <w:r w:rsidRPr="00320872">
              <w:rPr>
                <w:rFonts w:cs="Arial"/>
                <w:color w:val="000000"/>
              </w:rPr>
              <w:t xml:space="preserve"> working groups and Vice Chairs of the CAJ and TC; and  </w:t>
            </w:r>
          </w:p>
          <w:p w:rsidR="00604822" w:rsidRPr="00320872" w:rsidRDefault="00604822" w:rsidP="00962988">
            <w:pPr>
              <w:keepNext/>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approve</w:t>
            </w:r>
            <w:proofErr w:type="gramEnd"/>
            <w:r w:rsidRPr="00320872">
              <w:rPr>
                <w:rFonts w:cs="Arial"/>
                <w:color w:val="000000"/>
              </w:rPr>
              <w:t xml:space="preserve"> the annual calendars of meetings. </w:t>
            </w:r>
          </w:p>
        </w:tc>
      </w:tr>
      <w:tr w:rsidR="00604822" w:rsidRPr="00320872"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4.</w:t>
            </w:r>
            <w:r w:rsidRPr="00320872">
              <w:rPr>
                <w:rFonts w:cs="Arial"/>
                <w:color w:val="000000"/>
              </w:rPr>
              <w:tab/>
            </w:r>
            <w:r w:rsidRPr="00320872">
              <w:rPr>
                <w:rFonts w:cs="Arial"/>
              </w:rPr>
              <w:t>Coordination, monitoring and performance assessment</w:t>
            </w:r>
            <w:r w:rsidRPr="00320872">
              <w:rPr>
                <w:rFonts w:cs="Arial"/>
                <w:color w:val="000000"/>
              </w:rPr>
              <w:t xml:space="preserve"> of </w:t>
            </w:r>
            <w:r w:rsidRPr="00320872">
              <w:rPr>
                <w:rFonts w:cs="Arial"/>
              </w:rPr>
              <w:t xml:space="preserve">Program and Budget for the </w:t>
            </w:r>
            <w:r w:rsidRPr="00320872">
              <w:t xml:space="preserve">2018­2019 </w:t>
            </w:r>
            <w:r w:rsidRPr="00320872">
              <w:rPr>
                <w:rFonts w:cs="Arial"/>
              </w:rPr>
              <w:t>Biennium</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t xml:space="preserve">delivery of program within budget for the </w:t>
            </w:r>
            <w:r w:rsidRPr="00320872">
              <w:t xml:space="preserve">2018­2019 </w:t>
            </w:r>
            <w:r w:rsidRPr="00320872">
              <w:rPr>
                <w:rFonts w:cs="Arial"/>
                <w:color w:val="000000"/>
              </w:rPr>
              <w:t>Biennium;</w:t>
            </w:r>
          </w:p>
          <w:p w:rsidR="00604822" w:rsidRPr="00320872" w:rsidRDefault="00604822" w:rsidP="00962988">
            <w:pPr>
              <w:keepNext/>
              <w:ind w:left="397" w:hanging="397"/>
              <w:jc w:val="left"/>
              <w:rPr>
                <w:rFonts w:cs="Arial"/>
                <w:color w:val="000000"/>
              </w:rPr>
            </w:pPr>
            <w:r w:rsidRPr="00320872">
              <w:rPr>
                <w:rFonts w:cs="Arial"/>
                <w:color w:val="000000"/>
              </w:rPr>
              <w:t>(b)</w:t>
            </w:r>
            <w:r w:rsidRPr="00320872">
              <w:rPr>
                <w:rFonts w:cs="Arial"/>
                <w:color w:val="000000"/>
              </w:rPr>
              <w:tab/>
              <w:t>approve the financial statements; and</w:t>
            </w:r>
          </w:p>
          <w:p w:rsidR="00604822" w:rsidRPr="00320872" w:rsidRDefault="00604822" w:rsidP="00962988">
            <w:pPr>
              <w:keepNext/>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approve</w:t>
            </w:r>
            <w:proofErr w:type="gramEnd"/>
            <w:r w:rsidRPr="00320872">
              <w:rPr>
                <w:rFonts w:cs="Arial"/>
                <w:color w:val="000000"/>
              </w:rPr>
              <w:t xml:space="preserve"> the financial management report.</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ind w:left="397" w:hanging="397"/>
              <w:jc w:val="left"/>
              <w:rPr>
                <w:rFonts w:cs="Arial"/>
                <w:color w:val="000000"/>
              </w:rPr>
            </w:pPr>
            <w:r w:rsidRPr="00320872">
              <w:rPr>
                <w:rFonts w:cs="Arial"/>
                <w:color w:val="000000"/>
              </w:rPr>
              <w:t>5.</w:t>
            </w:r>
            <w:r w:rsidRPr="00320872">
              <w:rPr>
                <w:rFonts w:cs="Arial"/>
              </w:rPr>
              <w:t xml:space="preserve"> </w:t>
            </w:r>
            <w:r w:rsidRPr="00320872">
              <w:rPr>
                <w:rFonts w:cs="Arial"/>
              </w:rPr>
              <w:tab/>
              <w:t xml:space="preserve">Preparation and adoption of the Program and Budget for the </w:t>
            </w:r>
            <w:r w:rsidRPr="00320872">
              <w:rPr>
                <w:rFonts w:cs="Arial"/>
                <w:color w:val="000000"/>
              </w:rPr>
              <w:t>2020</w:t>
            </w:r>
            <w:r w:rsidRPr="00320872">
              <w:rPr>
                <w:rFonts w:cs="Arial"/>
                <w:color w:val="000000"/>
              </w:rPr>
              <w:noBreakHyphen/>
              <w:t xml:space="preserve">2021 </w:t>
            </w:r>
            <w:r w:rsidRPr="00320872">
              <w:rPr>
                <w:rFonts w:cs="Arial"/>
              </w:rPr>
              <w:t>Biennium</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left"/>
              <w:rPr>
                <w:rFonts w:cs="Arial"/>
                <w:color w:val="000000"/>
              </w:rPr>
            </w:pPr>
            <w:r w:rsidRPr="00320872">
              <w:rPr>
                <w:rFonts w:cs="Arial"/>
                <w:color w:val="000000"/>
              </w:rPr>
              <w:t>(a)</w:t>
            </w:r>
            <w:r w:rsidRPr="00320872">
              <w:rPr>
                <w:rFonts w:cs="Arial"/>
                <w:color w:val="000000"/>
              </w:rPr>
              <w:tab/>
            </w:r>
            <w:proofErr w:type="gramStart"/>
            <w:r w:rsidRPr="00320872">
              <w:rPr>
                <w:rFonts w:cs="Arial"/>
                <w:color w:val="000000"/>
              </w:rPr>
              <w:t>preparation</w:t>
            </w:r>
            <w:proofErr w:type="gramEnd"/>
            <w:r w:rsidRPr="00320872">
              <w:rPr>
                <w:rFonts w:cs="Arial"/>
                <w:color w:val="000000"/>
              </w:rPr>
              <w:t xml:space="preserve"> and adoption of the Program and Budget for the 2020</w:t>
            </w:r>
            <w:r w:rsidRPr="00320872">
              <w:rPr>
                <w:rFonts w:cs="Arial"/>
                <w:color w:val="000000"/>
              </w:rPr>
              <w:noBreakHyphen/>
              <w:t>2021 Biennium.</w:t>
            </w:r>
          </w:p>
        </w:tc>
      </w:tr>
      <w:tr w:rsidR="00604822" w:rsidRPr="00BE1EDE"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ind w:left="397" w:hanging="397"/>
              <w:jc w:val="left"/>
              <w:rPr>
                <w:rFonts w:cs="Arial"/>
                <w:color w:val="000000"/>
              </w:rPr>
            </w:pPr>
            <w:r>
              <w:rPr>
                <w:rFonts w:cs="Arial"/>
                <w:color w:val="000000"/>
              </w:rPr>
              <w:t>6</w:t>
            </w:r>
            <w:r w:rsidRPr="00616FB8">
              <w:rPr>
                <w:rFonts w:cs="Arial"/>
                <w:color w:val="000000"/>
              </w:rPr>
              <w:t>.</w:t>
            </w:r>
            <w:r w:rsidRPr="00616FB8">
              <w:rPr>
                <w:rFonts w:cs="Arial"/>
                <w:color w:val="000000"/>
              </w:rPr>
              <w:tab/>
              <w:t>Examination of the conformity of laws, or draft laws, with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BE1EDE" w:rsidRDefault="00604822" w:rsidP="00962988">
            <w:pPr>
              <w:keepNext/>
              <w:spacing w:after="40"/>
              <w:ind w:left="397" w:hanging="397"/>
              <w:jc w:val="left"/>
              <w:rPr>
                <w:rFonts w:cs="Arial"/>
                <w:color w:val="000000"/>
              </w:rPr>
            </w:pPr>
            <w:r w:rsidRPr="00BE1EDE">
              <w:rPr>
                <w:rFonts w:cs="Arial"/>
                <w:color w:val="000000"/>
              </w:rPr>
              <w:t>(a)</w:t>
            </w:r>
            <w:r w:rsidRPr="00BE1EDE">
              <w:rPr>
                <w:rFonts w:cs="Arial"/>
                <w:color w:val="000000"/>
              </w:rPr>
              <w:tab/>
              <w:t>recommendations by the Consultative Committee; and</w:t>
            </w:r>
          </w:p>
          <w:p w:rsidR="00604822" w:rsidRPr="00BE1EDE" w:rsidRDefault="00604822" w:rsidP="00962988">
            <w:pPr>
              <w:keepNext/>
              <w:ind w:left="397" w:hanging="397"/>
              <w:jc w:val="left"/>
              <w:rPr>
                <w:rFonts w:cs="Arial"/>
                <w:color w:val="000000"/>
              </w:rPr>
            </w:pPr>
            <w:r w:rsidRPr="00BE1EDE">
              <w:rPr>
                <w:rFonts w:cs="Arial"/>
                <w:color w:val="000000"/>
              </w:rPr>
              <w:t>(b)</w:t>
            </w:r>
            <w:r w:rsidRPr="00BE1EDE">
              <w:rPr>
                <w:rFonts w:cs="Arial"/>
                <w:color w:val="000000"/>
              </w:rPr>
              <w:tab/>
            </w:r>
            <w:proofErr w:type="gramStart"/>
            <w:r w:rsidRPr="00BE1EDE">
              <w:rPr>
                <w:rFonts w:cs="Arial"/>
                <w:color w:val="000000"/>
              </w:rPr>
              <w:t>decisions</w:t>
            </w:r>
            <w:proofErr w:type="gramEnd"/>
            <w:r w:rsidRPr="00BE1EDE">
              <w:rPr>
                <w:rFonts w:cs="Arial"/>
                <w:color w:val="000000"/>
              </w:rPr>
              <w:t xml:space="preserve"> by the Council.</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Lines/>
              <w:ind w:left="397" w:hanging="397"/>
              <w:jc w:val="left"/>
              <w:rPr>
                <w:rFonts w:cs="Arial"/>
                <w:color w:val="000000"/>
              </w:rPr>
            </w:pPr>
            <w:r>
              <w:rPr>
                <w:rFonts w:cs="Arial"/>
                <w:color w:val="000000"/>
              </w:rPr>
              <w:t>7</w:t>
            </w:r>
            <w:r w:rsidRPr="00616FB8">
              <w:rPr>
                <w:rFonts w:cs="Arial"/>
                <w:color w:val="000000"/>
              </w:rPr>
              <w:t>.</w:t>
            </w:r>
            <w:r w:rsidRPr="00616FB8">
              <w:rPr>
                <w:rFonts w:cs="Arial"/>
                <w:color w:val="000000"/>
              </w:rPr>
              <w:tab/>
              <w:t xml:space="preserve">Review of developments concerning applications and grants of plant breeders’ rights </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number of applications;</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number of titles granted;</w:t>
            </w:r>
          </w:p>
          <w:p w:rsidR="00604822" w:rsidRPr="00616FB8" w:rsidRDefault="00604822" w:rsidP="00962988">
            <w:pPr>
              <w:keepNext/>
              <w:spacing w:after="40"/>
              <w:ind w:left="397" w:hanging="397"/>
              <w:jc w:val="left"/>
              <w:rPr>
                <w:rFonts w:cs="Arial"/>
                <w:color w:val="000000"/>
              </w:rPr>
            </w:pPr>
            <w:r w:rsidRPr="00616FB8">
              <w:rPr>
                <w:rFonts w:cs="Arial"/>
                <w:color w:val="000000"/>
              </w:rPr>
              <w:t>(c)</w:t>
            </w:r>
            <w:r w:rsidRPr="00616FB8">
              <w:rPr>
                <w:rFonts w:cs="Arial"/>
                <w:color w:val="000000"/>
              </w:rPr>
              <w:tab/>
              <w:t>number of titles in force;</w:t>
            </w:r>
          </w:p>
          <w:p w:rsidR="00604822" w:rsidRPr="00616FB8" w:rsidRDefault="00604822" w:rsidP="00962988">
            <w:pPr>
              <w:keepNext/>
              <w:spacing w:after="40"/>
              <w:ind w:left="397" w:hanging="397"/>
              <w:jc w:val="left"/>
              <w:rPr>
                <w:rFonts w:cs="Arial"/>
                <w:color w:val="000000"/>
              </w:rPr>
            </w:pPr>
            <w:r w:rsidRPr="00616FB8">
              <w:rPr>
                <w:rFonts w:cs="Arial"/>
                <w:color w:val="000000"/>
              </w:rPr>
              <w:t>(d)</w:t>
            </w:r>
            <w:r w:rsidRPr="00616FB8">
              <w:rPr>
                <w:rFonts w:cs="Arial"/>
                <w:color w:val="000000"/>
              </w:rPr>
              <w:tab/>
              <w:t>number of genera/species protected by members of the Union;</w:t>
            </w:r>
          </w:p>
          <w:p w:rsidR="00604822" w:rsidRPr="00616FB8" w:rsidRDefault="00604822" w:rsidP="00962988">
            <w:pPr>
              <w:keepNext/>
              <w:spacing w:after="40"/>
              <w:ind w:left="397" w:hanging="397"/>
              <w:jc w:val="left"/>
              <w:rPr>
                <w:rFonts w:cs="Arial"/>
                <w:color w:val="000000"/>
              </w:rPr>
            </w:pPr>
            <w:r w:rsidRPr="00616FB8">
              <w:rPr>
                <w:rFonts w:cs="Arial"/>
                <w:color w:val="000000"/>
              </w:rPr>
              <w:t>(e)</w:t>
            </w:r>
            <w:r w:rsidRPr="00616FB8">
              <w:rPr>
                <w:rFonts w:cs="Arial"/>
                <w:color w:val="000000"/>
              </w:rPr>
              <w:tab/>
              <w:t>number of genera/species for which varieties have been protected; and</w:t>
            </w:r>
          </w:p>
          <w:p w:rsidR="00604822" w:rsidRPr="00616FB8" w:rsidRDefault="00604822" w:rsidP="00962988">
            <w:pPr>
              <w:keepLines/>
              <w:ind w:left="397" w:hanging="397"/>
              <w:jc w:val="left"/>
              <w:rPr>
                <w:rFonts w:cs="Arial"/>
                <w:color w:val="000000"/>
              </w:rPr>
            </w:pPr>
            <w:r w:rsidRPr="00616FB8">
              <w:rPr>
                <w:rFonts w:cs="Arial"/>
                <w:color w:val="000000"/>
              </w:rPr>
              <w:t>(f)</w:t>
            </w:r>
            <w:r w:rsidRPr="00616FB8">
              <w:rPr>
                <w:rFonts w:cs="Arial"/>
                <w:color w:val="000000"/>
              </w:rPr>
              <w:tab/>
            </w:r>
            <w:proofErr w:type="gramStart"/>
            <w:r w:rsidRPr="00616FB8">
              <w:rPr>
                <w:rFonts w:cs="Arial"/>
                <w:color w:val="000000"/>
              </w:rPr>
              <w:t>analysis</w:t>
            </w:r>
            <w:proofErr w:type="gramEnd"/>
            <w:r w:rsidRPr="00616FB8">
              <w:rPr>
                <w:rFonts w:cs="Arial"/>
                <w:color w:val="000000"/>
              </w:rPr>
              <w:t xml:space="preserve"> by crop type.</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8</w:t>
            </w:r>
            <w:r w:rsidRPr="00616FB8">
              <w:rPr>
                <w:rFonts w:cs="Arial"/>
                <w:color w:val="000000"/>
              </w:rPr>
              <w:t>.</w:t>
            </w:r>
            <w:r w:rsidRPr="00616FB8">
              <w:rPr>
                <w:rFonts w:cs="Arial"/>
                <w:color w:val="000000"/>
              </w:rPr>
              <w:tab/>
            </w:r>
            <w:r>
              <w:rPr>
                <w:rFonts w:cs="Arial"/>
                <w:color w:val="000000"/>
              </w:rPr>
              <w:t>F</w:t>
            </w:r>
            <w:r w:rsidRPr="00616FB8">
              <w:rPr>
                <w:rFonts w:cs="Arial"/>
              </w:rPr>
              <w:t xml:space="preserve">acilitating applications through the </w:t>
            </w:r>
            <w:r>
              <w:rPr>
                <w:rFonts w:cs="Arial"/>
              </w:rPr>
              <w:t>UPOV</w:t>
            </w:r>
            <w:r w:rsidRPr="00616FB8">
              <w:rPr>
                <w:rFonts w:cs="Arial"/>
              </w:rPr>
              <w:t xml:space="preserve"> Electronic Application </w:t>
            </w:r>
            <w:r>
              <w:rPr>
                <w:rFonts w:cs="Arial"/>
              </w:rPr>
              <w:t>Form (EAF)</w:t>
            </w:r>
            <w:r w:rsidRPr="00616FB8">
              <w:rPr>
                <w:rFonts w:cs="Arial"/>
              </w:rPr>
              <w:t xml:space="preserve"> </w:t>
            </w:r>
            <w:r>
              <w:rPr>
                <w:rFonts w:cs="Arial"/>
              </w:rPr>
              <w:t>tool</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604822"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 xml:space="preserve">decisions by the Council; </w:t>
            </w:r>
          </w:p>
          <w:p w:rsidR="00604822" w:rsidRDefault="00604822" w:rsidP="00962988">
            <w:pPr>
              <w:keepNext/>
              <w:spacing w:after="40"/>
              <w:ind w:left="397" w:hanging="397"/>
              <w:jc w:val="left"/>
              <w:rPr>
                <w:rFonts w:cs="Arial"/>
                <w:color w:val="000000"/>
              </w:rPr>
            </w:pPr>
            <w:r>
              <w:rPr>
                <w:rFonts w:cs="Arial"/>
                <w:color w:val="000000"/>
              </w:rPr>
              <w:t>(c)</w:t>
            </w:r>
            <w:r>
              <w:rPr>
                <w:rFonts w:cs="Arial"/>
                <w:color w:val="000000"/>
              </w:rPr>
              <w:tab/>
              <w:t>number of UPOV members participating in the EAF;</w:t>
            </w:r>
          </w:p>
          <w:p w:rsidR="00604822" w:rsidRPr="00616FB8" w:rsidRDefault="00604822" w:rsidP="00962988">
            <w:pPr>
              <w:keepNext/>
              <w:spacing w:after="40"/>
              <w:ind w:left="397" w:hanging="397"/>
              <w:jc w:val="left"/>
              <w:rPr>
                <w:rFonts w:cs="Arial"/>
                <w:color w:val="000000"/>
              </w:rPr>
            </w:pPr>
            <w:r>
              <w:rPr>
                <w:rFonts w:cs="Arial"/>
                <w:color w:val="000000"/>
              </w:rPr>
              <w:t>(d)</w:t>
            </w:r>
            <w:r>
              <w:rPr>
                <w:rFonts w:cs="Arial"/>
                <w:color w:val="000000"/>
              </w:rPr>
              <w:tab/>
              <w:t xml:space="preserve">number of crops/species covered by the EAF </w:t>
            </w:r>
          </w:p>
          <w:p w:rsidR="00604822" w:rsidRPr="00616FB8" w:rsidRDefault="00604822" w:rsidP="00962988">
            <w:pPr>
              <w:ind w:left="397" w:hanging="397"/>
              <w:jc w:val="left"/>
              <w:rPr>
                <w:rFonts w:cs="Arial"/>
                <w:color w:val="000000"/>
              </w:rPr>
            </w:pPr>
            <w:r w:rsidRPr="00616FB8">
              <w:rPr>
                <w:rFonts w:cs="Arial"/>
                <w:color w:val="000000"/>
              </w:rPr>
              <w:t>(</w:t>
            </w:r>
            <w:r>
              <w:rPr>
                <w:rFonts w:cs="Arial"/>
                <w:color w:val="000000"/>
              </w:rPr>
              <w:t>e</w:t>
            </w:r>
            <w:r w:rsidRPr="00616FB8">
              <w:rPr>
                <w:rFonts w:cs="Arial"/>
                <w:color w:val="000000"/>
              </w:rPr>
              <w:t>)</w:t>
            </w:r>
            <w:r w:rsidRPr="00616FB8">
              <w:rPr>
                <w:rFonts w:cs="Arial"/>
                <w:color w:val="000000"/>
              </w:rPr>
              <w:tab/>
            </w:r>
            <w:proofErr w:type="gramStart"/>
            <w:r>
              <w:rPr>
                <w:rFonts w:cs="Arial"/>
                <w:color w:val="000000"/>
              </w:rPr>
              <w:t>number</w:t>
            </w:r>
            <w:proofErr w:type="gramEnd"/>
            <w:r>
              <w:rPr>
                <w:rFonts w:cs="Arial"/>
                <w:color w:val="000000"/>
              </w:rPr>
              <w:t xml:space="preserve"> of applications made via the EAF (see UV. 2)</w:t>
            </w:r>
            <w:r w:rsidRPr="00616FB8">
              <w:rPr>
                <w:rFonts w:cs="Arial"/>
                <w:color w:val="000000"/>
              </w:rPr>
              <w:t>.</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ind w:left="397" w:hanging="397"/>
              <w:jc w:val="left"/>
              <w:rPr>
                <w:rFonts w:cs="Arial"/>
                <w:color w:val="000000"/>
              </w:rPr>
            </w:pPr>
            <w:r w:rsidRPr="00320872">
              <w:rPr>
                <w:rFonts w:cs="Arial"/>
              </w:rPr>
              <w:t>9.</w:t>
            </w:r>
            <w:r w:rsidRPr="00320872">
              <w:rPr>
                <w:rFonts w:cs="Arial"/>
              </w:rPr>
              <w:tab/>
              <w:t>Enhancing voluntary cooperation between members of the Union in the implementation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320872" w:rsidRDefault="00604822" w:rsidP="00962988">
            <w:pPr>
              <w:keepNext/>
              <w:spacing w:after="40"/>
              <w:ind w:left="397" w:hanging="397"/>
              <w:jc w:val="left"/>
              <w:rPr>
                <w:rFonts w:cs="Arial"/>
                <w:color w:val="000000"/>
              </w:rPr>
            </w:pPr>
            <w:r w:rsidRPr="00320872">
              <w:rPr>
                <w:rFonts w:cs="Arial"/>
                <w:color w:val="000000"/>
              </w:rPr>
              <w:t>(a)</w:t>
            </w:r>
            <w:r w:rsidRPr="00320872">
              <w:rPr>
                <w:rFonts w:cs="Arial"/>
                <w:color w:val="000000"/>
              </w:rPr>
              <w:tab/>
              <w:t>recommendations by the Consultative Committee;</w:t>
            </w:r>
          </w:p>
          <w:p w:rsidR="00604822" w:rsidRPr="00320872" w:rsidRDefault="00604822" w:rsidP="00962988">
            <w:pPr>
              <w:keepNext/>
              <w:spacing w:after="40"/>
              <w:ind w:left="397" w:hanging="397"/>
              <w:jc w:val="left"/>
              <w:rPr>
                <w:rFonts w:cs="Arial"/>
                <w:color w:val="000000"/>
              </w:rPr>
            </w:pPr>
            <w:r w:rsidRPr="00320872">
              <w:rPr>
                <w:rFonts w:cs="Arial"/>
                <w:color w:val="000000"/>
              </w:rPr>
              <w:t>(b)</w:t>
            </w:r>
            <w:r w:rsidRPr="00320872">
              <w:rPr>
                <w:rFonts w:cs="Arial"/>
                <w:color w:val="000000"/>
              </w:rPr>
              <w:tab/>
              <w:t>decisions by the Council; and</w:t>
            </w:r>
          </w:p>
          <w:p w:rsidR="00604822" w:rsidRPr="00616FB8" w:rsidRDefault="00604822" w:rsidP="00962988">
            <w:pPr>
              <w:keepNext/>
              <w:spacing w:after="40"/>
              <w:ind w:left="397" w:hanging="397"/>
              <w:jc w:val="left"/>
              <w:rPr>
                <w:rFonts w:cs="Arial"/>
                <w:color w:val="000000"/>
              </w:rPr>
            </w:pPr>
            <w:r w:rsidRPr="00320872">
              <w:rPr>
                <w:rFonts w:cs="Arial"/>
                <w:color w:val="000000"/>
              </w:rPr>
              <w:t>(c)</w:t>
            </w:r>
            <w:r w:rsidRPr="00320872">
              <w:rPr>
                <w:rFonts w:cs="Arial"/>
                <w:color w:val="000000"/>
              </w:rPr>
              <w:tab/>
            </w:r>
            <w:proofErr w:type="gramStart"/>
            <w:r w:rsidRPr="00320872">
              <w:rPr>
                <w:rFonts w:cs="Arial"/>
                <w:color w:val="000000"/>
              </w:rPr>
              <w:t>cooperation</w:t>
            </w:r>
            <w:proofErr w:type="gramEnd"/>
            <w:r w:rsidRPr="00320872">
              <w:rPr>
                <w:rFonts w:cs="Arial"/>
                <w:color w:val="000000"/>
              </w:rPr>
              <w:t xml:space="preserve"> arrangements between members of the Union.</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10</w:t>
            </w:r>
            <w:r w:rsidRPr="00616FB8">
              <w:rPr>
                <w:rFonts w:cs="Arial"/>
                <w:color w:val="000000"/>
              </w:rPr>
              <w:t>.</w:t>
            </w:r>
            <w:r w:rsidRPr="00616FB8">
              <w:rPr>
                <w:rFonts w:cs="Arial"/>
                <w:color w:val="000000"/>
              </w:rPr>
              <w:tab/>
              <w:t xml:space="preserve">Monitoring the implementation of the </w:t>
            </w:r>
            <w:r>
              <w:rPr>
                <w:rFonts w:cs="Arial"/>
                <w:color w:val="000000"/>
              </w:rPr>
              <w:t xml:space="preserve">training and assistance </w:t>
            </w:r>
            <w:r w:rsidRPr="00616FB8">
              <w:rPr>
                <w:rFonts w:cs="Arial"/>
                <w:color w:val="000000"/>
              </w:rPr>
              <w:t>strategy</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States that accede to or ratify the 1991 Act of the UPOV Convention; States and organizations that become members of the Union; and number of genera and species protected by members of the Union; and</w:t>
            </w:r>
          </w:p>
          <w:p w:rsidR="00604822" w:rsidRPr="00616FB8" w:rsidRDefault="00604822" w:rsidP="00962988">
            <w:pPr>
              <w:ind w:left="397" w:hanging="397"/>
              <w:jc w:val="left"/>
              <w:rPr>
                <w:rFonts w:cs="Arial"/>
                <w:color w:val="000000"/>
              </w:rPr>
            </w:pPr>
            <w:r w:rsidRPr="00616FB8">
              <w:rPr>
                <w:rFonts w:cs="Arial"/>
                <w:color w:val="000000"/>
              </w:rPr>
              <w:t>(</w:t>
            </w:r>
            <w:r w:rsidRPr="00BE1EDE">
              <w:rPr>
                <w:rFonts w:cs="Arial"/>
                <w:color w:val="000000"/>
                <w:spacing w:val="-2"/>
              </w:rPr>
              <w:t>c)</w:t>
            </w:r>
            <w:r w:rsidRPr="00BE1EDE">
              <w:rPr>
                <w:rFonts w:cs="Arial"/>
                <w:color w:val="000000"/>
                <w:spacing w:val="-2"/>
              </w:rPr>
              <w:tab/>
            </w:r>
            <w:proofErr w:type="gramStart"/>
            <w:r w:rsidRPr="00BE1EDE">
              <w:rPr>
                <w:rFonts w:cs="Arial"/>
                <w:color w:val="000000"/>
                <w:spacing w:val="-2"/>
              </w:rPr>
              <w:t>measures</w:t>
            </w:r>
            <w:proofErr w:type="gramEnd"/>
            <w:r w:rsidRPr="00BE1EDE">
              <w:rPr>
                <w:rFonts w:cs="Arial"/>
                <w:color w:val="000000"/>
                <w:spacing w:val="-2"/>
              </w:rPr>
              <w:t xml:space="preserve"> to provide training and assistance in the introduction and implementation of the UPOV system.</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11</w:t>
            </w:r>
            <w:r w:rsidRPr="00616FB8">
              <w:rPr>
                <w:rFonts w:cs="Arial"/>
                <w:color w:val="000000"/>
              </w:rPr>
              <w:t>.</w:t>
            </w:r>
            <w:r w:rsidRPr="00616FB8">
              <w:rPr>
                <w:rFonts w:cs="Arial"/>
                <w:color w:val="000000"/>
              </w:rPr>
              <w:tab/>
              <w:t>Monitoring the implementation of the communication strategy</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evaluation of annual reports of the Secretary-General, performance reports for the biennia and other information; and</w:t>
            </w:r>
          </w:p>
          <w:p w:rsidR="00604822" w:rsidRPr="00616FB8" w:rsidRDefault="00604822" w:rsidP="00962988">
            <w:pPr>
              <w:ind w:left="397" w:hanging="397"/>
              <w:jc w:val="left"/>
              <w:rPr>
                <w:rFonts w:cs="Arial"/>
                <w:color w:val="000000"/>
              </w:rPr>
            </w:pPr>
            <w:r w:rsidRPr="00616FB8">
              <w:rPr>
                <w:rFonts w:cs="Arial"/>
                <w:color w:val="000000"/>
              </w:rPr>
              <w:t>(b)</w:t>
            </w:r>
            <w:r w:rsidRPr="00616FB8">
              <w:rPr>
                <w:rFonts w:cs="Arial"/>
                <w:color w:val="000000"/>
              </w:rPr>
              <w:tab/>
            </w:r>
            <w:proofErr w:type="gramStart"/>
            <w:r w:rsidRPr="00616FB8">
              <w:rPr>
                <w:rFonts w:cs="Arial"/>
                <w:color w:val="000000"/>
              </w:rPr>
              <w:t>recommendations</w:t>
            </w:r>
            <w:proofErr w:type="gramEnd"/>
            <w:r w:rsidRPr="00616FB8">
              <w:rPr>
                <w:rFonts w:cs="Arial"/>
                <w:color w:val="000000"/>
              </w:rPr>
              <w:t xml:space="preserve"> by the Consultative Committee on the communication strategy. </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Lines/>
              <w:ind w:left="397" w:hanging="397"/>
              <w:jc w:val="left"/>
              <w:rPr>
                <w:rFonts w:cs="Arial"/>
                <w:color w:val="000000"/>
              </w:rPr>
            </w:pPr>
            <w:r>
              <w:rPr>
                <w:rFonts w:cs="Arial"/>
              </w:rPr>
              <w:t>12</w:t>
            </w:r>
            <w:r w:rsidRPr="00616FB8">
              <w:rPr>
                <w:rFonts w:cs="Arial"/>
              </w:rPr>
              <w:t>.</w:t>
            </w:r>
            <w:r w:rsidRPr="00616FB8">
              <w:rPr>
                <w:rFonts w:cs="Arial"/>
              </w:rPr>
              <w:tab/>
              <w:t>Policy direction on inter-relations with other organizations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w:t>
            </w:r>
            <w:r w:rsidRPr="00BE1EDE">
              <w:rPr>
                <w:rFonts w:cs="Arial"/>
                <w:color w:val="000000"/>
                <w:spacing w:val="-2"/>
              </w:rPr>
              <w:t>a)</w:t>
            </w:r>
            <w:r w:rsidRPr="00BE1EDE">
              <w:rPr>
                <w:rFonts w:cs="Arial"/>
                <w:color w:val="000000"/>
                <w:spacing w:val="-2"/>
              </w:rPr>
              <w:tab/>
              <w:t>recommendations by the Consultative Committee; and</w:t>
            </w:r>
          </w:p>
          <w:p w:rsidR="00604822" w:rsidRPr="00616FB8" w:rsidRDefault="00604822" w:rsidP="00962988">
            <w:pPr>
              <w:keepLines/>
              <w:ind w:left="397" w:hanging="397"/>
              <w:jc w:val="left"/>
              <w:rPr>
                <w:rFonts w:cs="Arial"/>
                <w:color w:val="000000"/>
              </w:rPr>
            </w:pPr>
            <w:r w:rsidRPr="00616FB8">
              <w:rPr>
                <w:rFonts w:cs="Arial"/>
                <w:color w:val="000000"/>
              </w:rPr>
              <w:t>(b)</w:t>
            </w:r>
            <w:r w:rsidRPr="00616FB8">
              <w:rPr>
                <w:rFonts w:cs="Arial"/>
                <w:color w:val="000000"/>
              </w:rPr>
              <w:tab/>
              <w:t>decisions by the Council</w:t>
            </w:r>
          </w:p>
        </w:tc>
      </w:tr>
      <w:tr w:rsidR="00604822" w:rsidRPr="00616FB8"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ind w:left="397" w:hanging="397"/>
              <w:jc w:val="left"/>
              <w:rPr>
                <w:rFonts w:cs="Arial"/>
                <w:color w:val="000000"/>
              </w:rPr>
            </w:pPr>
            <w:r>
              <w:rPr>
                <w:rFonts w:cs="Arial"/>
                <w:color w:val="000000"/>
              </w:rPr>
              <w:t>13</w:t>
            </w:r>
            <w:r w:rsidRPr="00616FB8">
              <w:rPr>
                <w:rFonts w:cs="Arial"/>
                <w:color w:val="000000"/>
              </w:rPr>
              <w:t>.</w:t>
            </w:r>
            <w:r w:rsidRPr="00616FB8">
              <w:rPr>
                <w:rFonts w:cs="Arial"/>
                <w:color w:val="000000"/>
              </w:rPr>
              <w:tab/>
              <w:t>Policy on other matters</w:t>
            </w:r>
          </w:p>
        </w:tc>
        <w:tc>
          <w:tcPr>
            <w:tcW w:w="5246" w:type="dxa"/>
            <w:tcBorders>
              <w:top w:val="single" w:sz="4" w:space="0" w:color="000000"/>
              <w:left w:val="single" w:sz="4" w:space="0" w:color="000000"/>
              <w:bottom w:val="single" w:sz="4" w:space="0" w:color="000000"/>
              <w:right w:val="single" w:sz="4" w:space="0" w:color="000000"/>
            </w:tcBorders>
          </w:tcPr>
          <w:p w:rsidR="00604822" w:rsidRPr="00616FB8" w:rsidRDefault="00604822" w:rsidP="00962988">
            <w:pPr>
              <w:keepNext/>
              <w:spacing w:after="40"/>
              <w:ind w:left="397" w:hanging="397"/>
              <w:jc w:val="left"/>
              <w:rPr>
                <w:rFonts w:cs="Arial"/>
                <w:color w:val="000000"/>
              </w:rPr>
            </w:pPr>
            <w:r w:rsidRPr="00616FB8">
              <w:rPr>
                <w:rFonts w:cs="Arial"/>
                <w:color w:val="000000"/>
              </w:rPr>
              <w:t>(a)</w:t>
            </w:r>
            <w:r w:rsidRPr="00616FB8">
              <w:rPr>
                <w:rFonts w:cs="Arial"/>
                <w:color w:val="000000"/>
              </w:rPr>
              <w:tab/>
              <w:t>recommendations by the Consultative Committee;</w:t>
            </w:r>
          </w:p>
          <w:p w:rsidR="00604822" w:rsidRPr="00616FB8" w:rsidRDefault="00604822" w:rsidP="00962988">
            <w:pPr>
              <w:keepNext/>
              <w:spacing w:after="40"/>
              <w:ind w:left="397" w:hanging="397"/>
              <w:jc w:val="left"/>
              <w:rPr>
                <w:rFonts w:cs="Arial"/>
                <w:color w:val="000000"/>
              </w:rPr>
            </w:pPr>
            <w:r w:rsidRPr="00616FB8">
              <w:rPr>
                <w:rFonts w:cs="Arial"/>
                <w:color w:val="000000"/>
              </w:rPr>
              <w:t>(b)</w:t>
            </w:r>
            <w:r w:rsidRPr="00616FB8">
              <w:rPr>
                <w:rFonts w:cs="Arial"/>
                <w:color w:val="000000"/>
              </w:rPr>
              <w:tab/>
              <w:t>decisions by the Council; and</w:t>
            </w:r>
          </w:p>
          <w:p w:rsidR="00604822" w:rsidRPr="00616FB8" w:rsidRDefault="00604822" w:rsidP="00962988">
            <w:pPr>
              <w:ind w:left="397" w:hanging="397"/>
              <w:jc w:val="left"/>
              <w:rPr>
                <w:rFonts w:cs="Arial"/>
                <w:color w:val="000000"/>
              </w:rPr>
            </w:pPr>
            <w:r w:rsidRPr="00616FB8">
              <w:rPr>
                <w:rFonts w:cs="Arial"/>
                <w:color w:val="000000"/>
              </w:rPr>
              <w:t>(c)</w:t>
            </w:r>
            <w:r w:rsidRPr="00616FB8">
              <w:rPr>
                <w:rFonts w:cs="Arial"/>
                <w:color w:val="000000"/>
              </w:rPr>
              <w:tab/>
            </w:r>
            <w:proofErr w:type="gramStart"/>
            <w:r w:rsidRPr="00616FB8">
              <w:rPr>
                <w:rFonts w:cs="Arial"/>
                <w:color w:val="000000"/>
              </w:rPr>
              <w:t>adoption</w:t>
            </w:r>
            <w:proofErr w:type="gramEnd"/>
            <w:r w:rsidRPr="00616FB8">
              <w:rPr>
                <w:rFonts w:cs="Arial"/>
                <w:color w:val="000000"/>
              </w:rPr>
              <w:t xml:space="preserve"> of </w:t>
            </w:r>
            <w:r>
              <w:rPr>
                <w:rFonts w:cs="Arial"/>
                <w:color w:val="000000"/>
              </w:rPr>
              <w:t>documents presenting UPOV policy</w:t>
            </w:r>
            <w:r w:rsidRPr="00616FB8">
              <w:rPr>
                <w:rFonts w:cs="Arial"/>
                <w:color w:val="000000"/>
              </w:rPr>
              <w:t xml:space="preserve"> by the Council.</w:t>
            </w:r>
          </w:p>
        </w:tc>
      </w:tr>
    </w:tbl>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rPr>
      </w:pPr>
      <w:r w:rsidRPr="00DD6106">
        <w:rPr>
          <w:b/>
        </w:rPr>
        <w:t>2.2</w:t>
      </w:r>
      <w:r w:rsidRPr="00DD6106">
        <w:rPr>
          <w:b/>
        </w:rPr>
        <w:tab/>
      </w:r>
      <w:r w:rsidRPr="00DD6106">
        <w:rPr>
          <w:b/>
          <w:u w:val="single"/>
        </w:rPr>
        <w:t>Sub-program UV.2</w:t>
      </w:r>
      <w:r w:rsidRPr="00DD6106">
        <w:rPr>
          <w:b/>
        </w:rPr>
        <w:t>:</w:t>
      </w:r>
      <w:r w:rsidRPr="00DD6106">
        <w:rPr>
          <w:b/>
        </w:rPr>
        <w:tab/>
      </w:r>
      <w:r w:rsidRPr="00DD6106">
        <w:rPr>
          <w:b/>
          <w:u w:val="single"/>
        </w:rPr>
        <w:t>Services to the Union for Enhancin</w:t>
      </w:r>
      <w:r>
        <w:rPr>
          <w:b/>
          <w:u w:val="single"/>
        </w:rPr>
        <w:t>g the Effectiveness of the UPOV </w:t>
      </w:r>
      <w:r w:rsidRPr="00DD6106">
        <w:rPr>
          <w:b/>
          <w:u w:val="single"/>
        </w:rPr>
        <w:t>System</w:t>
      </w:r>
      <w:r w:rsidRPr="00DD6106">
        <w:rPr>
          <w:b/>
        </w:rPr>
        <w:t xml:space="preserve"> </w:t>
      </w:r>
    </w:p>
    <w:p w:rsidR="00604822" w:rsidRPr="00DD6106" w:rsidRDefault="00604822" w:rsidP="00604822">
      <w:pPr>
        <w:keepNext/>
      </w:pPr>
    </w:p>
    <w:p w:rsidR="00604822" w:rsidRPr="00DD6106" w:rsidRDefault="00604822" w:rsidP="00604822">
      <w:pPr>
        <w:keepNext/>
        <w:rPr>
          <w:b/>
        </w:rPr>
      </w:pPr>
      <w:r w:rsidRPr="00DD6106">
        <w:rPr>
          <w:b/>
        </w:rPr>
        <w:t>2.2.1</w:t>
      </w:r>
      <w:r w:rsidRPr="00DD6106">
        <w:rPr>
          <w:b/>
        </w:rPr>
        <w:tab/>
        <w:t>Objectives:</w:t>
      </w:r>
    </w:p>
    <w:p w:rsidR="00604822" w:rsidRPr="00DD6106" w:rsidRDefault="00604822" w:rsidP="00604822">
      <w:pPr>
        <w:keepNext/>
        <w:ind w:left="142"/>
      </w:pPr>
    </w:p>
    <w:p w:rsidR="00604822" w:rsidRPr="00DD6106" w:rsidRDefault="00604822" w:rsidP="00604822">
      <w:r w:rsidRPr="00DD6106">
        <w:tab/>
        <w:t>(a)</w:t>
      </w:r>
      <w:r w:rsidRPr="00DD6106">
        <w:tab/>
        <w:t>To maintain and improve the effectiveness of the UPOV syste</w:t>
      </w:r>
      <w:r w:rsidRPr="00616FB8">
        <w:t>m;</w:t>
      </w:r>
      <w:r w:rsidRPr="00DD6106">
        <w:t xml:space="preserve"> </w:t>
      </w:r>
    </w:p>
    <w:p w:rsidR="00604822" w:rsidRPr="00DD6106" w:rsidRDefault="00604822" w:rsidP="00604822"/>
    <w:p w:rsidR="00604822" w:rsidRPr="00DD6106" w:rsidRDefault="00604822" w:rsidP="00604822">
      <w:r w:rsidRPr="00DD6106">
        <w:tab/>
        <w:t>(b)</w:t>
      </w:r>
      <w:r w:rsidRPr="00DD6106">
        <w:tab/>
        <w:t>To provide and develop the legal, administrative and technical basis for international cooperation in plant variety protection according to the UPOV Convention.</w:t>
      </w:r>
    </w:p>
    <w:p w:rsidR="00604822" w:rsidRDefault="00604822" w:rsidP="00604822">
      <w:pPr>
        <w:ind w:left="2410" w:hanging="2410"/>
      </w:pPr>
    </w:p>
    <w:p w:rsidR="00604822" w:rsidRPr="00DD6106" w:rsidRDefault="00604822" w:rsidP="00604822">
      <w:pPr>
        <w:ind w:left="2410" w:hanging="2410"/>
      </w:pPr>
    </w:p>
    <w:p w:rsidR="00604822" w:rsidRPr="00DD6106"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2.2.2</w:t>
      </w:r>
      <w:r w:rsidRPr="00DD6106">
        <w:rPr>
          <w:b/>
        </w:rPr>
        <w:tab/>
        <w:t>Narrative</w:t>
      </w:r>
    </w:p>
    <w:p w:rsidR="00604822" w:rsidRPr="00DD6106" w:rsidRDefault="00604822" w:rsidP="00604822"/>
    <w:p w:rsidR="00604822" w:rsidRPr="006C19ED" w:rsidRDefault="00604822" w:rsidP="00604822">
      <w:pPr>
        <w:tabs>
          <w:tab w:val="left" w:pos="851"/>
        </w:tabs>
        <w:rPr>
          <w:color w:val="000000" w:themeColor="text1"/>
          <w:u w:val="single"/>
        </w:rPr>
      </w:pPr>
      <w:r w:rsidRPr="006C19ED">
        <w:rPr>
          <w:color w:val="000000" w:themeColor="text1"/>
          <w:u w:val="single"/>
        </w:rPr>
        <w:t>Introduction</w:t>
      </w:r>
    </w:p>
    <w:p w:rsidR="00604822" w:rsidRDefault="00604822" w:rsidP="00604822">
      <w:pPr>
        <w:tabs>
          <w:tab w:val="left" w:pos="851"/>
        </w:tabs>
        <w:rPr>
          <w:color w:val="000000" w:themeColor="text1"/>
        </w:rPr>
      </w:pPr>
    </w:p>
    <w:p w:rsidR="00604822" w:rsidRPr="00931087" w:rsidRDefault="00604822" w:rsidP="00604822">
      <w:pPr>
        <w:rPr>
          <w:color w:val="000000" w:themeColor="text1"/>
        </w:rPr>
      </w:pPr>
      <w:r w:rsidRPr="00931087">
        <w:rPr>
          <w:color w:val="000000" w:themeColor="text1"/>
        </w:rPr>
        <w:t>2.2.2.1</w:t>
      </w:r>
      <w:r w:rsidRPr="00931087">
        <w:rPr>
          <w:color w:val="000000" w:themeColor="text1"/>
        </w:rPr>
        <w:tab/>
        <w:t xml:space="preserve">This sub-program covers the provision of guidance, information and resources for the operation of the UPOV system of </w:t>
      </w:r>
      <w:r w:rsidRPr="00931087">
        <w:rPr>
          <w:snapToGrid w:val="0"/>
          <w:color w:val="000000" w:themeColor="text1"/>
        </w:rPr>
        <w:t>plant variety protection</w:t>
      </w:r>
      <w:r w:rsidRPr="00931087">
        <w:rPr>
          <w:color w:val="000000" w:themeColor="text1"/>
        </w:rPr>
        <w:t xml:space="preserve">, support for cooperation between members of the Union, the work of the relevant UPOV bodies and measures to facilitate applications for plant breeders’ rights.  </w:t>
      </w:r>
    </w:p>
    <w:p w:rsidR="00604822" w:rsidRDefault="00604822" w:rsidP="00604822">
      <w:pPr>
        <w:tabs>
          <w:tab w:val="left" w:pos="567"/>
        </w:tabs>
        <w:rPr>
          <w:color w:val="000000" w:themeColor="text1"/>
        </w:rPr>
      </w:pPr>
    </w:p>
    <w:p w:rsidR="00604822" w:rsidRDefault="00604822" w:rsidP="00604822">
      <w:pPr>
        <w:tabs>
          <w:tab w:val="left" w:pos="567"/>
        </w:tabs>
        <w:rPr>
          <w:color w:val="000000" w:themeColor="text1"/>
        </w:rPr>
      </w:pPr>
    </w:p>
    <w:p w:rsidR="00604822" w:rsidRPr="00592C34" w:rsidRDefault="00604822" w:rsidP="00604822">
      <w:pPr>
        <w:tabs>
          <w:tab w:val="left" w:pos="851"/>
        </w:tabs>
        <w:rPr>
          <w:bCs/>
          <w:color w:val="000000" w:themeColor="text1"/>
          <w:szCs w:val="24"/>
          <w:u w:val="single"/>
        </w:rPr>
      </w:pPr>
      <w:r w:rsidRPr="00592C34">
        <w:rPr>
          <w:u w:val="single"/>
        </w:rPr>
        <w:t>Guidance and information materials</w:t>
      </w:r>
    </w:p>
    <w:p w:rsidR="00604822" w:rsidRPr="00931087" w:rsidRDefault="00604822" w:rsidP="00604822">
      <w:pPr>
        <w:tabs>
          <w:tab w:val="left" w:pos="851"/>
        </w:tabs>
        <w:rPr>
          <w:bCs/>
          <w:color w:val="000000" w:themeColor="text1"/>
          <w:szCs w:val="24"/>
        </w:rPr>
      </w:pPr>
    </w:p>
    <w:p w:rsidR="00604822" w:rsidRDefault="00604822" w:rsidP="00604822">
      <w:pPr>
        <w:rPr>
          <w:color w:val="000000" w:themeColor="text1"/>
        </w:rPr>
      </w:pPr>
      <w:r w:rsidRPr="00931087">
        <w:rPr>
          <w:color w:val="000000" w:themeColor="text1"/>
        </w:rPr>
        <w:t>2.2.2.</w:t>
      </w:r>
      <w:r>
        <w:rPr>
          <w:color w:val="000000" w:themeColor="text1"/>
        </w:rPr>
        <w:t>2</w:t>
      </w:r>
      <w:r w:rsidRPr="00931087">
        <w:rPr>
          <w:color w:val="000000" w:themeColor="text1"/>
        </w:rPr>
        <w:tab/>
      </w:r>
      <w:r w:rsidRPr="00653738">
        <w:rPr>
          <w:color w:val="000000" w:themeColor="text1"/>
        </w:rPr>
        <w:t>The effectiveness of the UPOV system is enhanced by the provision of guidance and information</w:t>
      </w:r>
      <w:r>
        <w:rPr>
          <w:color w:val="000000" w:themeColor="text1"/>
        </w:rPr>
        <w:t xml:space="preserve"> </w:t>
      </w:r>
      <w:r w:rsidRPr="00653738">
        <w:rPr>
          <w:color w:val="000000" w:themeColor="text1"/>
        </w:rPr>
        <w:t>materials such as Explanatory Notes (“UPOV/EXN” series), Information Documents (“UPOV/INF” series), the</w:t>
      </w:r>
      <w:r>
        <w:rPr>
          <w:color w:val="000000" w:themeColor="text1"/>
        </w:rPr>
        <w:t xml:space="preserve"> </w:t>
      </w:r>
      <w:r w:rsidRPr="00653738">
        <w:rPr>
          <w:color w:val="000000" w:themeColor="text1"/>
        </w:rPr>
        <w:t>“General Introduction to the Examination of Distinctness, Uniformity and Stability and the Development of</w:t>
      </w:r>
      <w:r>
        <w:rPr>
          <w:color w:val="000000" w:themeColor="text1"/>
        </w:rPr>
        <w:t xml:space="preserve"> </w:t>
      </w:r>
      <w:r w:rsidRPr="00653738">
        <w:rPr>
          <w:color w:val="000000" w:themeColor="text1"/>
        </w:rPr>
        <w:t>Harmonized Descriptions of New Varieties of Plants”, with its associated TGP documents, and</w:t>
      </w:r>
      <w:r>
        <w:rPr>
          <w:color w:val="000000" w:themeColor="text1"/>
        </w:rPr>
        <w:t xml:space="preserve"> Tes</w:t>
      </w:r>
      <w:r w:rsidRPr="003A1572">
        <w:rPr>
          <w:color w:val="000000" w:themeColor="text1"/>
        </w:rPr>
        <w:t>t</w:t>
      </w:r>
      <w:r>
        <w:rPr>
          <w:color w:val="000000" w:themeColor="text1"/>
        </w:rPr>
        <w:t> </w:t>
      </w:r>
      <w:r w:rsidRPr="00653738">
        <w:rPr>
          <w:color w:val="000000" w:themeColor="text1"/>
        </w:rPr>
        <w:t>Guidelines. Such materials provide the basis for harmonization and, thereby, facilitate cooperation</w:t>
      </w:r>
      <w:r>
        <w:rPr>
          <w:color w:val="000000" w:themeColor="text1"/>
        </w:rPr>
        <w:t xml:space="preserve"> </w:t>
      </w:r>
      <w:r w:rsidRPr="00653738">
        <w:rPr>
          <w:color w:val="000000" w:themeColor="text1"/>
        </w:rPr>
        <w:t>between members of the Union.</w:t>
      </w:r>
      <w:r>
        <w:rPr>
          <w:color w:val="000000" w:themeColor="text1"/>
        </w:rPr>
        <w:t xml:space="preserve">  </w:t>
      </w:r>
      <w:r w:rsidRPr="00653738">
        <w:rPr>
          <w:color w:val="000000" w:themeColor="text1"/>
        </w:rPr>
        <w:t>The identification of relevant matters for guidance and the development of</w:t>
      </w:r>
      <w:r>
        <w:rPr>
          <w:color w:val="000000" w:themeColor="text1"/>
        </w:rPr>
        <w:t xml:space="preserve"> </w:t>
      </w:r>
      <w:r w:rsidRPr="00653738">
        <w:rPr>
          <w:color w:val="000000" w:themeColor="text1"/>
        </w:rPr>
        <w:t xml:space="preserve">appropriate materials </w:t>
      </w:r>
      <w:r>
        <w:rPr>
          <w:color w:val="000000" w:themeColor="text1"/>
        </w:rPr>
        <w:t>is</w:t>
      </w:r>
      <w:r w:rsidRPr="00653738">
        <w:rPr>
          <w:color w:val="000000" w:themeColor="text1"/>
        </w:rPr>
        <w:t xml:space="preserve"> a key objective of the work of the Administrative and Legal Committee</w:t>
      </w:r>
      <w:r>
        <w:rPr>
          <w:color w:val="000000" w:themeColor="text1"/>
        </w:rPr>
        <w:t xml:space="preserve"> </w:t>
      </w:r>
      <w:r w:rsidRPr="00653738">
        <w:rPr>
          <w:color w:val="000000" w:themeColor="text1"/>
        </w:rPr>
        <w:t>(CAJ), the Technical Committee (TC) and the Technical Working Parties (TWPs). In that respect, the</w:t>
      </w:r>
      <w:r>
        <w:rPr>
          <w:color w:val="000000" w:themeColor="text1"/>
        </w:rPr>
        <w:t xml:space="preserve"> </w:t>
      </w:r>
      <w:r w:rsidRPr="00653738">
        <w:rPr>
          <w:color w:val="000000" w:themeColor="text1"/>
        </w:rPr>
        <w:t>involvement of organizations representing stakeholders is an important means of ensuring that guidance and</w:t>
      </w:r>
      <w:r>
        <w:rPr>
          <w:color w:val="000000" w:themeColor="text1"/>
        </w:rPr>
        <w:t xml:space="preserve"> </w:t>
      </w:r>
      <w:r w:rsidRPr="00653738">
        <w:rPr>
          <w:color w:val="000000" w:themeColor="text1"/>
        </w:rPr>
        <w:t>information is as effective as possible.</w:t>
      </w:r>
    </w:p>
    <w:p w:rsidR="00604822" w:rsidRDefault="00604822" w:rsidP="00604822">
      <w:pPr>
        <w:rPr>
          <w:color w:val="000000" w:themeColor="text1"/>
        </w:rPr>
      </w:pPr>
    </w:p>
    <w:p w:rsidR="00604822" w:rsidRDefault="00604822" w:rsidP="00604822">
      <w:pPr>
        <w:rPr>
          <w:bCs/>
          <w:color w:val="000000" w:themeColor="text1"/>
          <w:szCs w:val="24"/>
        </w:rPr>
      </w:pPr>
      <w:r w:rsidRPr="00931087">
        <w:rPr>
          <w:bCs/>
          <w:color w:val="000000" w:themeColor="text1"/>
          <w:szCs w:val="24"/>
        </w:rPr>
        <w:t>2.2.</w:t>
      </w:r>
      <w:r w:rsidRPr="00931087">
        <w:rPr>
          <w:color w:val="000000" w:themeColor="text1"/>
        </w:rPr>
        <w:t>2.</w:t>
      </w:r>
      <w:r>
        <w:rPr>
          <w:color w:val="000000" w:themeColor="text1"/>
        </w:rPr>
        <w:t>3</w:t>
      </w:r>
      <w:r w:rsidRPr="00931087">
        <w:rPr>
          <w:bCs/>
          <w:color w:val="000000" w:themeColor="text1"/>
          <w:szCs w:val="24"/>
        </w:rPr>
        <w:tab/>
        <w:t xml:space="preserve">An important aspect for the effective operation of the UPOV system is that all stakeholders, including breeders, seed and plant producers and farmers, have a good understanding of the UPOV system.  The guidance material and information developed by UPOV provide a basis for providing stakeholders with an explanation of the UPOV system and information on its operation.  The communication strategy that addresses the development of communication methods and materials that are suited for a range of stakeholders is covered under </w:t>
      </w:r>
      <w:r w:rsidRPr="00931087">
        <w:rPr>
          <w:color w:val="000000" w:themeColor="text1"/>
        </w:rPr>
        <w:t>Sub Programs UV.1 and UV.3.</w:t>
      </w:r>
      <w:r w:rsidRPr="00FD6E6C">
        <w:rPr>
          <w:bCs/>
          <w:color w:val="000000" w:themeColor="text1"/>
          <w:szCs w:val="24"/>
        </w:rPr>
        <w:t xml:space="preserve">  </w:t>
      </w:r>
    </w:p>
    <w:p w:rsidR="00604822" w:rsidRPr="00FD6E6C" w:rsidRDefault="00604822" w:rsidP="00604822">
      <w:pPr>
        <w:rPr>
          <w:color w:val="000000" w:themeColor="text1"/>
        </w:rPr>
      </w:pPr>
    </w:p>
    <w:p w:rsidR="00604822" w:rsidRDefault="00604822" w:rsidP="00604822">
      <w:r>
        <w:rPr>
          <w:color w:val="000000" w:themeColor="text1"/>
        </w:rPr>
        <w:t>2.2.2.4</w:t>
      </w:r>
      <w:r>
        <w:rPr>
          <w:color w:val="000000" w:themeColor="text1"/>
        </w:rPr>
        <w:tab/>
      </w:r>
      <w:r>
        <w:t>An extensive</w:t>
      </w:r>
      <w:r w:rsidRPr="00931087">
        <w:t xml:space="preserve"> set of guidance and information materi</w:t>
      </w:r>
      <w:r>
        <w:t>als has been established.  However, w</w:t>
      </w:r>
      <w:r w:rsidRPr="00931087">
        <w:t xml:space="preserve">ork </w:t>
      </w:r>
      <w:r w:rsidRPr="009501C0">
        <w:t>will continue on the maintenance and further development of</w:t>
      </w:r>
      <w:r w:rsidRPr="009501C0">
        <w:rPr>
          <w:snapToGrid w:val="0"/>
          <w:color w:val="000000" w:themeColor="text1"/>
        </w:rPr>
        <w:t xml:space="preserve"> guidance and information</w:t>
      </w:r>
      <w:r w:rsidRPr="009501C0">
        <w:t xml:space="preserve"> in the 2018-2019</w:t>
      </w:r>
      <w:r w:rsidRPr="00931087">
        <w:t xml:space="preserve"> Biennium</w:t>
      </w:r>
      <w:r>
        <w:t xml:space="preserve">, as appropriate.  </w:t>
      </w:r>
    </w:p>
    <w:p w:rsidR="00604822" w:rsidRDefault="00604822" w:rsidP="00604822"/>
    <w:p w:rsidR="00604822" w:rsidRDefault="00604822" w:rsidP="00604822">
      <w:r w:rsidRPr="00931087">
        <w:rPr>
          <w:color w:val="000000" w:themeColor="text1"/>
        </w:rPr>
        <w:t>2.2.2.</w:t>
      </w:r>
      <w:r>
        <w:rPr>
          <w:color w:val="000000" w:themeColor="text1"/>
        </w:rPr>
        <w:t>5</w:t>
      </w:r>
      <w:r>
        <w:tab/>
        <w:t>In relation to variety denominations, the revision of document UPOV/INF/12 “</w:t>
      </w:r>
      <w:r>
        <w:rPr>
          <w:snapToGrid w:val="0"/>
        </w:rPr>
        <w:t xml:space="preserve">Explanatory notes on variety denominations under the UPOV Convention” will be important for enhancing cooperation between UPOV members in the examination of variety denominations and for assisting </w:t>
      </w:r>
      <w:r w:rsidRPr="006E512F">
        <w:rPr>
          <w:snapToGrid w:val="0"/>
        </w:rPr>
        <w:t>breeders in their selection of variety denominations</w:t>
      </w:r>
      <w:r>
        <w:rPr>
          <w:snapToGrid w:val="0"/>
        </w:rPr>
        <w:t>.</w:t>
      </w:r>
    </w:p>
    <w:p w:rsidR="00604822" w:rsidRDefault="00604822" w:rsidP="00604822"/>
    <w:p w:rsidR="00604822" w:rsidRDefault="00604822" w:rsidP="00604822">
      <w:r w:rsidRPr="00931087">
        <w:rPr>
          <w:color w:val="000000" w:themeColor="text1"/>
        </w:rPr>
        <w:t>2.2.2.</w:t>
      </w:r>
      <w:r>
        <w:rPr>
          <w:color w:val="000000" w:themeColor="text1"/>
        </w:rPr>
        <w:t>6</w:t>
      </w:r>
      <w:r>
        <w:tab/>
        <w:t>The role of molecular techniques in the examination of DUS is becoming increasingly relevant and developments may lead to a revision of TGP/15 “</w:t>
      </w:r>
      <w:r w:rsidRPr="00583B4F">
        <w:t>Guidance on the Use of Biochemical and Molecular Markers in the Examination of Distinctness, Uniformity and Stability (DUS)</w:t>
      </w:r>
      <w:r>
        <w:t>” in the 2018-2019 Biennium.</w:t>
      </w:r>
    </w:p>
    <w:p w:rsidR="00604822" w:rsidRDefault="00604822" w:rsidP="00604822"/>
    <w:p w:rsidR="00604822" w:rsidRDefault="00604822" w:rsidP="00604822">
      <w:pPr>
        <w:tabs>
          <w:tab w:val="left" w:pos="567"/>
        </w:tabs>
        <w:rPr>
          <w:color w:val="000000" w:themeColor="text1"/>
        </w:rPr>
      </w:pPr>
    </w:p>
    <w:p w:rsidR="00604822" w:rsidRPr="002B2C51" w:rsidRDefault="00604822" w:rsidP="00604822">
      <w:pPr>
        <w:keepNext/>
        <w:tabs>
          <w:tab w:val="left" w:pos="567"/>
        </w:tabs>
        <w:rPr>
          <w:color w:val="000000" w:themeColor="text1"/>
          <w:u w:val="single"/>
        </w:rPr>
      </w:pPr>
      <w:r>
        <w:rPr>
          <w:color w:val="000000" w:themeColor="text1"/>
          <w:u w:val="single"/>
        </w:rPr>
        <w:t>UPOV resources for c</w:t>
      </w:r>
      <w:r w:rsidRPr="002B2C51">
        <w:rPr>
          <w:color w:val="000000" w:themeColor="text1"/>
          <w:u w:val="single"/>
        </w:rPr>
        <w:t xml:space="preserve">ooperation </w:t>
      </w:r>
      <w:r>
        <w:rPr>
          <w:color w:val="000000" w:themeColor="text1"/>
          <w:u w:val="single"/>
        </w:rPr>
        <w:t xml:space="preserve">between </w:t>
      </w:r>
      <w:r w:rsidRPr="000A6557">
        <w:rPr>
          <w:color w:val="000000" w:themeColor="text1"/>
          <w:u w:val="single"/>
        </w:rPr>
        <w:t>members of the Union</w:t>
      </w:r>
    </w:p>
    <w:p w:rsidR="00604822" w:rsidRPr="00931087" w:rsidRDefault="00604822" w:rsidP="00604822">
      <w:pPr>
        <w:keepNext/>
        <w:tabs>
          <w:tab w:val="left" w:pos="567"/>
        </w:tabs>
        <w:rPr>
          <w:color w:val="000000" w:themeColor="text1"/>
        </w:rPr>
      </w:pPr>
    </w:p>
    <w:p w:rsidR="00604822" w:rsidRPr="00931087" w:rsidRDefault="00604822" w:rsidP="00604822">
      <w:pPr>
        <w:keepNext/>
        <w:rPr>
          <w:bCs/>
          <w:color w:val="000000" w:themeColor="text1"/>
          <w:szCs w:val="24"/>
        </w:rPr>
      </w:pPr>
      <w:r w:rsidRPr="00931087">
        <w:rPr>
          <w:color w:val="000000" w:themeColor="text1"/>
        </w:rPr>
        <w:t>2.2.2.</w:t>
      </w:r>
      <w:r>
        <w:rPr>
          <w:color w:val="000000" w:themeColor="text1"/>
        </w:rPr>
        <w:t>7</w:t>
      </w:r>
      <w:r w:rsidRPr="00931087">
        <w:rPr>
          <w:snapToGrid w:val="0"/>
          <w:color w:val="000000" w:themeColor="text1"/>
        </w:rPr>
        <w:tab/>
      </w:r>
      <w:r w:rsidRPr="00931087">
        <w:rPr>
          <w:bCs/>
          <w:color w:val="000000" w:themeColor="text1"/>
          <w:szCs w:val="24"/>
        </w:rPr>
        <w:t>Cooperation between members of the Union is a key feature of the UPOV system and is the basis for an efficient system.  Such efficiency is an important means of ensuring that the UPOV system is accessible and affordable for all types of breeders.</w:t>
      </w:r>
      <w:r>
        <w:rPr>
          <w:bCs/>
          <w:color w:val="000000" w:themeColor="text1"/>
          <w:szCs w:val="24"/>
        </w:rPr>
        <w:t xml:space="preserve">  The following sections cover the resources that UPOV provides for such cooperation.</w:t>
      </w:r>
    </w:p>
    <w:p w:rsidR="00604822" w:rsidRDefault="00604822" w:rsidP="00604822">
      <w:pPr>
        <w:tabs>
          <w:tab w:val="left" w:pos="851"/>
        </w:tabs>
        <w:rPr>
          <w:bCs/>
          <w:color w:val="000000" w:themeColor="text1"/>
          <w:szCs w:val="24"/>
        </w:rPr>
      </w:pPr>
    </w:p>
    <w:p w:rsidR="00604822" w:rsidRPr="000A6557" w:rsidRDefault="00604822" w:rsidP="00604822">
      <w:pPr>
        <w:keepNext/>
        <w:tabs>
          <w:tab w:val="left" w:pos="851"/>
        </w:tabs>
        <w:rPr>
          <w:bCs/>
          <w:i/>
          <w:color w:val="000000" w:themeColor="text1"/>
          <w:szCs w:val="24"/>
        </w:rPr>
      </w:pPr>
      <w:r w:rsidRPr="000A6557">
        <w:rPr>
          <w:bCs/>
          <w:i/>
          <w:color w:val="000000" w:themeColor="text1"/>
          <w:szCs w:val="24"/>
        </w:rPr>
        <w:t>DUS Examination</w:t>
      </w:r>
    </w:p>
    <w:p w:rsidR="00604822" w:rsidRPr="00931087" w:rsidRDefault="00604822" w:rsidP="00604822">
      <w:pPr>
        <w:keepNext/>
        <w:tabs>
          <w:tab w:val="left" w:pos="851"/>
        </w:tabs>
        <w:rPr>
          <w:bCs/>
          <w:color w:val="000000" w:themeColor="text1"/>
          <w:szCs w:val="24"/>
        </w:rPr>
      </w:pPr>
    </w:p>
    <w:p w:rsidR="00604822" w:rsidRPr="00931087" w:rsidRDefault="00604822" w:rsidP="00604822">
      <w:pPr>
        <w:rPr>
          <w:bCs/>
          <w:color w:val="000000" w:themeColor="text1"/>
          <w:szCs w:val="24"/>
        </w:rPr>
      </w:pPr>
      <w:r w:rsidRPr="00931087">
        <w:rPr>
          <w:color w:val="000000" w:themeColor="text1"/>
        </w:rPr>
        <w:t>2.2.2.</w:t>
      </w:r>
      <w:r>
        <w:rPr>
          <w:color w:val="000000" w:themeColor="text1"/>
        </w:rPr>
        <w:t>8</w:t>
      </w:r>
      <w:r w:rsidRPr="00931087">
        <w:rPr>
          <w:bCs/>
          <w:color w:val="000000" w:themeColor="text1"/>
          <w:szCs w:val="24"/>
        </w:rPr>
        <w:tab/>
      </w:r>
      <w:r>
        <w:rPr>
          <w:bCs/>
          <w:color w:val="000000" w:themeColor="text1"/>
          <w:szCs w:val="24"/>
        </w:rPr>
        <w:t>C</w:t>
      </w:r>
      <w:r w:rsidRPr="00931087">
        <w:rPr>
          <w:bCs/>
          <w:color w:val="000000" w:themeColor="text1"/>
          <w:szCs w:val="24"/>
        </w:rPr>
        <w:t>ooperation</w:t>
      </w:r>
      <w:r>
        <w:rPr>
          <w:bCs/>
          <w:color w:val="000000" w:themeColor="text1"/>
          <w:szCs w:val="24"/>
        </w:rPr>
        <w:t xml:space="preserve"> in the examination of DUS</w:t>
      </w:r>
      <w:r w:rsidRPr="00931087">
        <w:rPr>
          <w:bCs/>
          <w:color w:val="000000" w:themeColor="text1"/>
          <w:szCs w:val="24"/>
        </w:rPr>
        <w:t xml:space="preserve"> within UPOV </w:t>
      </w:r>
      <w:r>
        <w:rPr>
          <w:bCs/>
          <w:color w:val="000000" w:themeColor="text1"/>
          <w:szCs w:val="24"/>
        </w:rPr>
        <w:t>is based</w:t>
      </w:r>
      <w:r w:rsidRPr="00931087">
        <w:rPr>
          <w:bCs/>
          <w:color w:val="000000" w:themeColor="text1"/>
          <w:szCs w:val="24"/>
        </w:rPr>
        <w:t xml:space="preserve"> on the input of members of the Union.  In particular, experts from members of the Union develop Test Guidelines</w:t>
      </w:r>
      <w:r>
        <w:rPr>
          <w:bCs/>
          <w:color w:val="000000" w:themeColor="text1"/>
          <w:szCs w:val="24"/>
        </w:rPr>
        <w:t xml:space="preserve"> through the work of the TWPs and TC and </w:t>
      </w:r>
      <w:r w:rsidRPr="00931087">
        <w:rPr>
          <w:bCs/>
          <w:color w:val="000000" w:themeColor="text1"/>
          <w:szCs w:val="24"/>
        </w:rPr>
        <w:t xml:space="preserve">share their practical experience with particular plant genera and species, for example in the form of the GENIE database.  These measures facilitate cooperation in the examination of </w:t>
      </w:r>
      <w:r w:rsidRPr="003B1222">
        <w:rPr>
          <w:bCs/>
          <w:color w:val="000000" w:themeColor="text1"/>
          <w:szCs w:val="24"/>
        </w:rPr>
        <w:t>Distinctness, Uniformity and Stability (“DUS”)</w:t>
      </w:r>
      <w:r w:rsidRPr="00931087">
        <w:rPr>
          <w:bCs/>
          <w:color w:val="000000" w:themeColor="text1"/>
          <w:szCs w:val="24"/>
        </w:rPr>
        <w:t xml:space="preserve"> and the </w:t>
      </w:r>
      <w:r>
        <w:rPr>
          <w:bCs/>
          <w:color w:val="000000" w:themeColor="text1"/>
          <w:szCs w:val="24"/>
        </w:rPr>
        <w:t>use</w:t>
      </w:r>
      <w:r w:rsidRPr="00931087">
        <w:rPr>
          <w:bCs/>
          <w:color w:val="000000" w:themeColor="text1"/>
          <w:szCs w:val="24"/>
        </w:rPr>
        <w:t xml:space="preserve"> of </w:t>
      </w:r>
      <w:r>
        <w:rPr>
          <w:bCs/>
          <w:color w:val="000000" w:themeColor="text1"/>
          <w:szCs w:val="24"/>
        </w:rPr>
        <w:t xml:space="preserve">existing </w:t>
      </w:r>
      <w:r w:rsidRPr="00931087">
        <w:rPr>
          <w:bCs/>
          <w:color w:val="000000" w:themeColor="text1"/>
          <w:szCs w:val="24"/>
        </w:rPr>
        <w:t>DUS reports, which is the basis for an efficient system covering all plant genera and species</w:t>
      </w:r>
      <w:r>
        <w:rPr>
          <w:bCs/>
          <w:color w:val="000000" w:themeColor="text1"/>
          <w:szCs w:val="24"/>
        </w:rPr>
        <w:t xml:space="preserve"> that i</w:t>
      </w:r>
      <w:r w:rsidRPr="00931087">
        <w:rPr>
          <w:bCs/>
          <w:color w:val="000000" w:themeColor="text1"/>
          <w:szCs w:val="24"/>
        </w:rPr>
        <w:t>s accessible and affordable for all types of breeders.</w:t>
      </w:r>
      <w:r>
        <w:rPr>
          <w:bCs/>
          <w:color w:val="000000" w:themeColor="text1"/>
          <w:szCs w:val="24"/>
        </w:rPr>
        <w:t xml:space="preserve">  Arrangements for cooperation between </w:t>
      </w:r>
      <w:r w:rsidRPr="000A6557">
        <w:rPr>
          <w:bCs/>
          <w:color w:val="000000" w:themeColor="text1"/>
          <w:szCs w:val="24"/>
        </w:rPr>
        <w:t>members of the Union</w:t>
      </w:r>
      <w:r>
        <w:rPr>
          <w:bCs/>
          <w:color w:val="000000" w:themeColor="text1"/>
          <w:szCs w:val="24"/>
        </w:rPr>
        <w:t xml:space="preserve"> in the examination of DUS are included in the GENIE </w:t>
      </w:r>
      <w:r w:rsidRPr="008E7AA5">
        <w:rPr>
          <w:bCs/>
          <w:color w:val="000000" w:themeColor="text1"/>
          <w:szCs w:val="24"/>
        </w:rPr>
        <w:t>database</w:t>
      </w:r>
      <w:r>
        <w:rPr>
          <w:bCs/>
          <w:color w:val="000000" w:themeColor="text1"/>
          <w:szCs w:val="24"/>
        </w:rPr>
        <w:t xml:space="preserve">. </w:t>
      </w:r>
    </w:p>
    <w:p w:rsidR="00604822" w:rsidRDefault="00604822" w:rsidP="00604822">
      <w:pPr>
        <w:tabs>
          <w:tab w:val="left" w:pos="851"/>
        </w:tabs>
        <w:rPr>
          <w:bCs/>
          <w:color w:val="000000" w:themeColor="text1"/>
          <w:szCs w:val="24"/>
        </w:rPr>
      </w:pPr>
    </w:p>
    <w:p w:rsidR="00604822" w:rsidRPr="00931087" w:rsidRDefault="00604822" w:rsidP="00604822">
      <w:pPr>
        <w:rPr>
          <w:color w:val="000000" w:themeColor="text1"/>
        </w:rPr>
      </w:pPr>
      <w:r w:rsidRPr="00931087">
        <w:t>2.2.2.</w:t>
      </w:r>
      <w:r>
        <w:t>9</w:t>
      </w:r>
      <w:r w:rsidRPr="00931087">
        <w:rPr>
          <w:color w:val="000000" w:themeColor="text1"/>
        </w:rPr>
        <w:tab/>
        <w:t xml:space="preserve">The following measures to support and enhance cooperation between members of the Union </w:t>
      </w:r>
      <w:r w:rsidRPr="009501C0">
        <w:rPr>
          <w:color w:val="000000" w:themeColor="text1"/>
        </w:rPr>
        <w:t>will continue to be pursued in the 2018-2019 Biennium:</w:t>
      </w:r>
    </w:p>
    <w:p w:rsidR="00604822" w:rsidRPr="00931087" w:rsidRDefault="00604822" w:rsidP="00604822">
      <w:pPr>
        <w:rPr>
          <w:color w:val="000000" w:themeColor="text1"/>
        </w:rPr>
      </w:pPr>
    </w:p>
    <w:p w:rsidR="00604822" w:rsidRPr="00931087" w:rsidRDefault="00604822" w:rsidP="00604822">
      <w:pPr>
        <w:ind w:left="567"/>
        <w:rPr>
          <w:color w:val="000000" w:themeColor="text1"/>
        </w:rPr>
      </w:pPr>
      <w:r w:rsidRPr="00931087">
        <w:rPr>
          <w:color w:val="000000" w:themeColor="text1"/>
        </w:rPr>
        <w:t>(a)</w:t>
      </w:r>
      <w:r w:rsidRPr="00931087">
        <w:rPr>
          <w:color w:val="000000" w:themeColor="text1"/>
        </w:rPr>
        <w:tab/>
        <w:t>Development of Test Guidelines;</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(b)</w:t>
      </w:r>
      <w:r w:rsidRPr="00931087">
        <w:rPr>
          <w:color w:val="000000" w:themeColor="text1"/>
        </w:rPr>
        <w:tab/>
        <w:t>Enhancement of the web-based Test Guidelines Template (TG Template) to further facilitate the drafting of Test Guidelines by experts of the members of the Union and the develo</w:t>
      </w:r>
      <w:r>
        <w:rPr>
          <w:color w:val="000000" w:themeColor="text1"/>
        </w:rPr>
        <w:t>pment of individual authorities’</w:t>
      </w:r>
      <w:r w:rsidRPr="00931087">
        <w:rPr>
          <w:color w:val="000000" w:themeColor="text1"/>
        </w:rPr>
        <w:t xml:space="preserve"> test guidelines by members of the Union, while reducing the administrative and translation work for UPOV;</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 xml:space="preserve">(c) </w:t>
      </w:r>
      <w:r w:rsidRPr="00931087">
        <w:rPr>
          <w:color w:val="000000" w:themeColor="text1"/>
        </w:rPr>
        <w:tab/>
        <w:t xml:space="preserve">Collection of information on practical experience and cooperation in DUS examination for inclusion in the GENIE database; </w:t>
      </w:r>
    </w:p>
    <w:p w:rsidR="00604822" w:rsidRPr="00931087" w:rsidRDefault="00604822" w:rsidP="00604822">
      <w:pPr>
        <w:ind w:left="567"/>
        <w:rPr>
          <w:color w:val="000000" w:themeColor="text1"/>
        </w:rPr>
      </w:pPr>
    </w:p>
    <w:p w:rsidR="00604822" w:rsidRPr="00931087" w:rsidRDefault="00604822" w:rsidP="00604822">
      <w:pPr>
        <w:ind w:left="567"/>
        <w:rPr>
          <w:color w:val="000000" w:themeColor="text1"/>
        </w:rPr>
      </w:pPr>
      <w:r w:rsidRPr="00931087">
        <w:rPr>
          <w:color w:val="000000" w:themeColor="text1"/>
        </w:rPr>
        <w:t>(d)</w:t>
      </w:r>
      <w:r w:rsidRPr="00931087">
        <w:rPr>
          <w:color w:val="000000" w:themeColor="text1"/>
        </w:rPr>
        <w:tab/>
        <w:t xml:space="preserve">Collection of information on software developed and made available by members of the Union, and software and equipment used by members of the Union, for publication in documents UPOV/INF/16 and </w:t>
      </w:r>
      <w:r w:rsidRPr="00931087">
        <w:t>UPOV/INF/</w:t>
      </w:r>
      <w:r w:rsidRPr="00931087">
        <w:rPr>
          <w:color w:val="000000" w:themeColor="text1"/>
        </w:rPr>
        <w:t>22, respectively.</w:t>
      </w:r>
    </w:p>
    <w:p w:rsidR="00604822" w:rsidRPr="00931087" w:rsidRDefault="00604822" w:rsidP="00604822"/>
    <w:p w:rsidR="00604822" w:rsidRPr="000A6557" w:rsidRDefault="00604822" w:rsidP="00604822">
      <w:pPr>
        <w:pStyle w:val="Heading2"/>
      </w:pPr>
      <w:r w:rsidRPr="000A6557">
        <w:t>Variety denominations</w:t>
      </w:r>
    </w:p>
    <w:p w:rsidR="00604822" w:rsidRPr="00931087" w:rsidRDefault="00604822" w:rsidP="00604822">
      <w:pPr>
        <w:rPr>
          <w:snapToGrid w:val="0"/>
        </w:rPr>
      </w:pPr>
    </w:p>
    <w:p w:rsidR="00604822" w:rsidRPr="00931087" w:rsidRDefault="00604822" w:rsidP="00604822">
      <w:pPr>
        <w:rPr>
          <w:bCs/>
          <w:color w:val="000000" w:themeColor="text1"/>
          <w:szCs w:val="24"/>
        </w:rPr>
      </w:pPr>
      <w:r w:rsidRPr="00931087">
        <w:rPr>
          <w:color w:val="000000" w:themeColor="text1"/>
        </w:rPr>
        <w:t>2.2.2.</w:t>
      </w:r>
      <w:r>
        <w:rPr>
          <w:color w:val="000000" w:themeColor="text1"/>
        </w:rPr>
        <w:t>10</w:t>
      </w:r>
      <w:r w:rsidRPr="00931087">
        <w:rPr>
          <w:bCs/>
          <w:color w:val="000000" w:themeColor="text1"/>
          <w:szCs w:val="24"/>
        </w:rPr>
        <w:tab/>
      </w:r>
      <w:r>
        <w:rPr>
          <w:bCs/>
          <w:color w:val="000000" w:themeColor="text1"/>
          <w:szCs w:val="24"/>
        </w:rPr>
        <w:t>C</w:t>
      </w:r>
      <w:r w:rsidRPr="00931087">
        <w:rPr>
          <w:bCs/>
          <w:color w:val="000000" w:themeColor="text1"/>
          <w:szCs w:val="24"/>
        </w:rPr>
        <w:t xml:space="preserve">ontribution of data by members of the Union to the Plant Variety Database (PLUTO) provides essential support for the examination of variety denominations.  Those contributions are further enhanced by the contribution of data by OECD and by the cooperation agreements between UPOV and WIPO and between UPOV and the Community Plant Variety Office of the European Union (CPVO). </w:t>
      </w:r>
    </w:p>
    <w:p w:rsidR="00604822" w:rsidRPr="00931087" w:rsidRDefault="00604822" w:rsidP="00604822">
      <w:pPr>
        <w:tabs>
          <w:tab w:val="left" w:pos="851"/>
        </w:tabs>
        <w:rPr>
          <w:bCs/>
          <w:color w:val="000000" w:themeColor="text1"/>
          <w:szCs w:val="24"/>
        </w:rPr>
      </w:pPr>
    </w:p>
    <w:p w:rsidR="00604822" w:rsidRPr="00931087" w:rsidRDefault="00604822" w:rsidP="00604822">
      <w:r w:rsidRPr="00931087">
        <w:t>2.2.2.</w:t>
      </w:r>
      <w:r>
        <w:t>11</w:t>
      </w:r>
      <w:r w:rsidRPr="00931087">
        <w:tab/>
      </w:r>
      <w:proofErr w:type="gramStart"/>
      <w:r w:rsidRPr="00931087">
        <w:t>The</w:t>
      </w:r>
      <w:proofErr w:type="gramEnd"/>
      <w:r w:rsidRPr="00931087">
        <w:t xml:space="preserve"> program for improvements to the PLUTO database, as approved by the CAJ and TC, will continue to be implemented and reviewed as appropriate.  In particular, work will continue in order to </w:t>
      </w:r>
      <w:r w:rsidRPr="00931087">
        <w:rPr>
          <w:snapToGrid w:val="0"/>
          <w:color w:val="000000" w:themeColor="text1"/>
        </w:rPr>
        <w:t>enhance the quality and quantity of data in the PLUTO database.</w:t>
      </w:r>
    </w:p>
    <w:p w:rsidR="00604822" w:rsidRPr="00931087" w:rsidRDefault="00604822" w:rsidP="00604822"/>
    <w:p w:rsidR="00604822" w:rsidRPr="00931087" w:rsidRDefault="00604822" w:rsidP="00604822">
      <w:pPr>
        <w:rPr>
          <w:snapToGrid w:val="0"/>
          <w:color w:val="000000" w:themeColor="text1"/>
        </w:rPr>
      </w:pPr>
      <w:r w:rsidRPr="00931087">
        <w:t>2.2.2.</w:t>
      </w:r>
      <w:r>
        <w:t>12</w:t>
      </w:r>
      <w:r w:rsidRPr="00931087">
        <w:tab/>
      </w:r>
      <w:r w:rsidRPr="00931087">
        <w:rPr>
          <w:snapToGrid w:val="0"/>
          <w:color w:val="000000" w:themeColor="text1"/>
        </w:rPr>
        <w:t>In order to facilitate and harmonize the examination of variety denominations by members of the Union, work will continue on the development of proposals for a UPOV similarity search tool for v</w:t>
      </w:r>
      <w:r>
        <w:rPr>
          <w:snapToGrid w:val="0"/>
          <w:color w:val="000000" w:themeColor="text1"/>
        </w:rPr>
        <w:t xml:space="preserve">ariety denomination purposes, according to the guidance adopted in document </w:t>
      </w:r>
      <w:r>
        <w:rPr>
          <w:color w:val="000000" w:themeColor="text1"/>
        </w:rPr>
        <w:t>UPOV/INF/12.</w:t>
      </w:r>
      <w:r>
        <w:rPr>
          <w:snapToGrid w:val="0"/>
          <w:color w:val="000000" w:themeColor="text1"/>
        </w:rPr>
        <w:t xml:space="preserve"> </w:t>
      </w:r>
    </w:p>
    <w:p w:rsidR="00604822" w:rsidRPr="00931087" w:rsidRDefault="00604822" w:rsidP="00604822">
      <w:pPr>
        <w:tabs>
          <w:tab w:val="left" w:pos="851"/>
        </w:tabs>
      </w:pPr>
    </w:p>
    <w:p w:rsidR="00604822" w:rsidRPr="00143320" w:rsidRDefault="00604822" w:rsidP="00604822">
      <w:pPr>
        <w:rPr>
          <w:i/>
          <w:snapToGrid w:val="0"/>
        </w:rPr>
      </w:pPr>
      <w:r>
        <w:rPr>
          <w:i/>
          <w:snapToGrid w:val="0"/>
        </w:rPr>
        <w:t xml:space="preserve">Administration related to PBR </w:t>
      </w:r>
      <w:r w:rsidRPr="00143320">
        <w:rPr>
          <w:i/>
          <w:snapToGrid w:val="0"/>
        </w:rPr>
        <w:t>applications</w:t>
      </w:r>
    </w:p>
    <w:p w:rsidR="00604822" w:rsidRPr="00931087" w:rsidRDefault="00604822" w:rsidP="00604822"/>
    <w:p w:rsidR="00604822" w:rsidRPr="00931087" w:rsidRDefault="00604822" w:rsidP="00604822">
      <w:r>
        <w:t>2.2.2.13</w:t>
      </w:r>
      <w:r w:rsidRPr="00931087">
        <w:t xml:space="preserve"> </w:t>
      </w:r>
      <w:r w:rsidRPr="00931087">
        <w:tab/>
      </w:r>
      <w:proofErr w:type="gramStart"/>
      <w:r w:rsidRPr="00931087">
        <w:t>In</w:t>
      </w:r>
      <w:proofErr w:type="gramEnd"/>
      <w:r w:rsidRPr="00931087">
        <w:t xml:space="preserve"> </w:t>
      </w:r>
      <w:r>
        <w:t>2017,</w:t>
      </w:r>
      <w:r w:rsidRPr="00931087">
        <w:t xml:space="preserve"> a first version of the UPOV Electronic Application </w:t>
      </w:r>
      <w:r>
        <w:t>Form tool (EAF)</w:t>
      </w:r>
      <w:r w:rsidRPr="00931087">
        <w:t xml:space="preserve"> </w:t>
      </w:r>
      <w:r>
        <w:t xml:space="preserve">was introduced </w:t>
      </w:r>
      <w:r w:rsidRPr="00931087">
        <w:t xml:space="preserve">for selected </w:t>
      </w:r>
      <w:r>
        <w:t>crops/</w:t>
      </w:r>
      <w:r w:rsidRPr="00931087">
        <w:t>species</w:t>
      </w:r>
      <w:r>
        <w:t xml:space="preserve"> and </w:t>
      </w:r>
      <w:r w:rsidRPr="00931087">
        <w:t>languages, enabling breeders to provide information for PBR applications for participating members of the Union, via the UPOV website.</w:t>
      </w:r>
      <w:r>
        <w:t xml:space="preserve"> In the 2018-2019 Biennium, the scope of the EAF will be expanded to cover further crops/species, languages and members of the Union, as appropriate.</w:t>
      </w:r>
    </w:p>
    <w:p w:rsidR="00604822" w:rsidRPr="00931087" w:rsidRDefault="00604822" w:rsidP="00604822"/>
    <w:p w:rsidR="00604822" w:rsidRDefault="00604822" w:rsidP="00604822">
      <w:pPr>
        <w:jc w:val="left"/>
        <w:rPr>
          <w:b/>
        </w:rPr>
      </w:pPr>
      <w:r>
        <w:rPr>
          <w:b/>
        </w:rPr>
        <w:br w:type="page"/>
      </w:r>
    </w:p>
    <w:p w:rsidR="00604822" w:rsidRPr="00513371" w:rsidRDefault="00604822" w:rsidP="00604822">
      <w:pPr>
        <w:keepNext/>
        <w:rPr>
          <w:b/>
        </w:rPr>
      </w:pPr>
      <w:r w:rsidRPr="00513371">
        <w:rPr>
          <w:b/>
        </w:rPr>
        <w:t>2.2.3</w:t>
      </w:r>
      <w:r w:rsidRPr="00513371">
        <w:rPr>
          <w:b/>
        </w:rPr>
        <w:tab/>
        <w:t>Activities</w:t>
      </w:r>
    </w:p>
    <w:p w:rsidR="00604822" w:rsidRPr="00513371" w:rsidRDefault="00604822" w:rsidP="00604822">
      <w:pPr>
        <w:keepNext/>
      </w:pPr>
    </w:p>
    <w:p w:rsidR="00604822" w:rsidRPr="00513371" w:rsidRDefault="00604822" w:rsidP="00604822">
      <w:pPr>
        <w:numPr>
          <w:ilvl w:val="0"/>
          <w:numId w:val="10"/>
        </w:numPr>
        <w:tabs>
          <w:tab w:val="clear" w:pos="720"/>
        </w:tabs>
        <w:spacing w:after="120"/>
        <w:ind w:left="1134" w:hanging="567"/>
      </w:pPr>
      <w:r w:rsidRPr="00EE6334">
        <w:t>Two sessions of the Administrative and Legal Committee, two sessions of the Technical</w:t>
      </w:r>
      <w:r>
        <w:t xml:space="preserve"> Committee, 12</w:t>
      </w:r>
      <w:r w:rsidRPr="00513371">
        <w:t xml:space="preserve"> sessions of Technical Working Parties, including </w:t>
      </w:r>
      <w:r>
        <w:t>two</w:t>
      </w:r>
      <w:r w:rsidRPr="00513371">
        <w:t xml:space="preserve"> session</w:t>
      </w:r>
      <w:r>
        <w:t>s</w:t>
      </w:r>
      <w:r w:rsidRPr="00513371">
        <w:t xml:space="preserve"> of the Working Group on Biochemical and Molecular Techniques, and DNA</w:t>
      </w:r>
      <w:r w:rsidRPr="00513371">
        <w:noBreakHyphen/>
        <w:t>Profiling in Particular (BMT), and their respective preparatory workshops.</w:t>
      </w:r>
    </w:p>
    <w:p w:rsidR="00604822" w:rsidRPr="00513371" w:rsidRDefault="00604822" w:rsidP="00604822">
      <w:pPr>
        <w:numPr>
          <w:ilvl w:val="0"/>
          <w:numId w:val="10"/>
        </w:numPr>
        <w:tabs>
          <w:tab w:val="clear" w:pos="720"/>
        </w:tabs>
        <w:spacing w:after="120"/>
        <w:ind w:left="1134" w:hanging="567"/>
      </w:pPr>
      <w:r w:rsidRPr="00513371">
        <w:t xml:space="preserve">Development of guidance and information materials, including </w:t>
      </w:r>
      <w:r w:rsidRPr="00513371">
        <w:rPr>
          <w:szCs w:val="24"/>
        </w:rPr>
        <w:t>Explanatory Notes and Information Documents</w:t>
      </w:r>
      <w:r w:rsidRPr="00513371">
        <w:t>, concerning the UPOV Convention.</w:t>
      </w:r>
    </w:p>
    <w:p w:rsidR="00604822" w:rsidRPr="00513371" w:rsidRDefault="00604822" w:rsidP="00604822">
      <w:pPr>
        <w:numPr>
          <w:ilvl w:val="0"/>
          <w:numId w:val="10"/>
        </w:numPr>
        <w:tabs>
          <w:tab w:val="clear" w:pos="720"/>
        </w:tabs>
        <w:spacing w:after="120"/>
        <w:ind w:left="1134" w:hanging="567"/>
      </w:pPr>
      <w:r>
        <w:t>D</w:t>
      </w:r>
      <w:r w:rsidRPr="00513371">
        <w:t>evelopment of guidance documents on the examination of Distinctness, Uniformity and Stability (“DUS”), including the “General Introduction to the Examination of Distinctness, Uniformity and Stability and the Development of Harmonized Descriptions of New Varieties of Plants” (General Introduction) and the associated Test Guidelines’ Procedures (TGP) documents.</w:t>
      </w:r>
    </w:p>
    <w:p w:rsidR="00604822" w:rsidRPr="00513371" w:rsidRDefault="00604822" w:rsidP="00604822">
      <w:pPr>
        <w:numPr>
          <w:ilvl w:val="0"/>
          <w:numId w:val="10"/>
        </w:numPr>
        <w:tabs>
          <w:tab w:val="clear" w:pos="720"/>
        </w:tabs>
        <w:spacing w:after="120"/>
        <w:ind w:left="1134" w:hanging="567"/>
      </w:pPr>
      <w:r w:rsidRPr="00513371">
        <w:t>Development of Test Guidelines.</w:t>
      </w:r>
    </w:p>
    <w:p w:rsidR="00604822" w:rsidRPr="00513371" w:rsidRDefault="00604822" w:rsidP="00604822">
      <w:pPr>
        <w:numPr>
          <w:ilvl w:val="0"/>
          <w:numId w:val="10"/>
        </w:numPr>
        <w:tabs>
          <w:tab w:val="clear" w:pos="720"/>
        </w:tabs>
        <w:spacing w:after="120"/>
        <w:ind w:left="1134" w:hanging="567"/>
      </w:pPr>
      <w:r>
        <w:t>Information and guidance on the</w:t>
      </w:r>
      <w:r w:rsidRPr="00513371">
        <w:t xml:space="preserve"> use of molecular </w:t>
      </w:r>
      <w:r>
        <w:t>techniques</w:t>
      </w:r>
      <w:r w:rsidRPr="00513371">
        <w:t xml:space="preserve"> in DUS testing and providing a forum for consideration of their use in variety identification and in </w:t>
      </w:r>
      <w:r w:rsidRPr="00513371">
        <w:rPr>
          <w:lang w:val="en-GB"/>
        </w:rPr>
        <w:t>essential derivation</w:t>
      </w:r>
      <w:r w:rsidRPr="00513371">
        <w:t>.</w:t>
      </w:r>
    </w:p>
    <w:p w:rsidR="00604822" w:rsidRPr="00513371" w:rsidRDefault="00604822" w:rsidP="00604822">
      <w:pPr>
        <w:keepLines/>
        <w:numPr>
          <w:ilvl w:val="0"/>
          <w:numId w:val="10"/>
        </w:numPr>
        <w:tabs>
          <w:tab w:val="clear" w:pos="720"/>
        </w:tabs>
        <w:spacing w:after="120"/>
        <w:ind w:left="1134" w:hanging="567"/>
      </w:pPr>
      <w:r w:rsidRPr="00513371">
        <w:t xml:space="preserve">Updating and further development of the </w:t>
      </w:r>
      <w:r>
        <w:t>PLUTO</w:t>
      </w:r>
      <w:r w:rsidRPr="00513371">
        <w:t xml:space="preserve"> Database.</w:t>
      </w:r>
    </w:p>
    <w:p w:rsidR="00604822" w:rsidRPr="00513371" w:rsidRDefault="00604822" w:rsidP="00604822">
      <w:pPr>
        <w:keepLines/>
        <w:numPr>
          <w:ilvl w:val="0"/>
          <w:numId w:val="10"/>
        </w:numPr>
        <w:tabs>
          <w:tab w:val="clear" w:pos="720"/>
        </w:tabs>
        <w:spacing w:after="120"/>
        <w:ind w:left="1134" w:hanging="567"/>
      </w:pPr>
      <w:r w:rsidRPr="00513371">
        <w:t>Updating and further development of the of the GENIE database.</w:t>
      </w:r>
    </w:p>
    <w:p w:rsidR="00604822" w:rsidRPr="00513371" w:rsidRDefault="00604822" w:rsidP="00604822">
      <w:pPr>
        <w:keepLines/>
        <w:numPr>
          <w:ilvl w:val="0"/>
          <w:numId w:val="10"/>
        </w:numPr>
        <w:tabs>
          <w:tab w:val="clear" w:pos="720"/>
        </w:tabs>
        <w:spacing w:after="120"/>
        <w:ind w:left="1134" w:hanging="567"/>
      </w:pPr>
      <w:r w:rsidRPr="00513371">
        <w:t xml:space="preserve">Maintenance of the UPOV Lex </w:t>
      </w:r>
      <w:r w:rsidRPr="003A1572">
        <w:t>database</w:t>
      </w:r>
      <w:r>
        <w:t xml:space="preserve"> </w:t>
      </w:r>
      <w:r w:rsidRPr="00513371">
        <w:t>of legislation</w:t>
      </w:r>
      <w:r>
        <w:t xml:space="preserve"> and relevant notifications</w:t>
      </w:r>
      <w:r w:rsidRPr="00513371">
        <w:t>.</w:t>
      </w:r>
    </w:p>
    <w:p w:rsidR="00604822" w:rsidRPr="00513371" w:rsidRDefault="00604822" w:rsidP="00604822">
      <w:pPr>
        <w:keepLines/>
        <w:numPr>
          <w:ilvl w:val="0"/>
          <w:numId w:val="10"/>
        </w:numPr>
        <w:tabs>
          <w:tab w:val="clear" w:pos="720"/>
        </w:tabs>
        <w:spacing w:after="120"/>
        <w:ind w:left="1134" w:hanging="567"/>
      </w:pPr>
      <w:r w:rsidRPr="00513371">
        <w:t xml:space="preserve">Updating of </w:t>
      </w:r>
      <w:r>
        <w:t xml:space="preserve">the </w:t>
      </w:r>
      <w:r w:rsidRPr="00513371">
        <w:t>UPOV Collection.</w:t>
      </w:r>
    </w:p>
    <w:p w:rsidR="00604822" w:rsidRPr="00513371" w:rsidRDefault="00604822" w:rsidP="00604822">
      <w:pPr>
        <w:keepLines/>
        <w:numPr>
          <w:ilvl w:val="0"/>
          <w:numId w:val="10"/>
        </w:numPr>
        <w:tabs>
          <w:tab w:val="clear" w:pos="720"/>
        </w:tabs>
        <w:spacing w:after="120"/>
        <w:ind w:left="1134" w:hanging="567"/>
      </w:pPr>
      <w:r>
        <w:t>Further d</w:t>
      </w:r>
      <w:r w:rsidRPr="00513371">
        <w:t xml:space="preserve">evelopment of </w:t>
      </w:r>
      <w:r>
        <w:t>the UPOV EAF.</w:t>
      </w:r>
    </w:p>
    <w:p w:rsidR="00604822" w:rsidRPr="00B93F81" w:rsidRDefault="00604822" w:rsidP="00604822"/>
    <w:p w:rsidR="00604822" w:rsidRPr="00B93F81" w:rsidRDefault="00604822" w:rsidP="00604822"/>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DD6106">
        <w:rPr>
          <w:b/>
        </w:rPr>
        <w:t>2.2.4</w:t>
      </w:r>
      <w:r w:rsidRPr="00DD6106">
        <w:rPr>
          <w:b/>
        </w:rPr>
        <w:tab/>
        <w:t>Expected Results and Performance Indicators</w:t>
      </w:r>
    </w:p>
    <w:p w:rsidR="00604822" w:rsidRPr="00DD6106" w:rsidRDefault="00604822" w:rsidP="00604822">
      <w:pPr>
        <w:keepNext/>
        <w:rPr>
          <w:b/>
          <w:color w:val="000000"/>
        </w:rPr>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DD6106" w:rsidTr="00962988">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Performance Indicators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1.</w:t>
            </w:r>
            <w:r w:rsidRPr="003A1572">
              <w:rPr>
                <w:color w:val="000000"/>
              </w:rPr>
              <w:tab/>
              <w:t xml:space="preserve">Participation by members of the Union and observers in the work of the UPOV bodies </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ind w:left="397" w:hanging="397"/>
              <w:jc w:val="left"/>
              <w:rPr>
                <w:color w:val="000000"/>
              </w:rPr>
            </w:pPr>
            <w:r w:rsidRPr="00DD6106">
              <w:rPr>
                <w:color w:val="000000"/>
              </w:rPr>
              <w:t>(a)</w:t>
            </w:r>
            <w:r w:rsidRPr="00DD6106">
              <w:rPr>
                <w:color w:val="000000"/>
              </w:rPr>
              <w:tab/>
            </w:r>
            <w:proofErr w:type="gramStart"/>
            <w:r w:rsidRPr="00DD6106">
              <w:rPr>
                <w:color w:val="000000"/>
              </w:rPr>
              <w:t>participation</w:t>
            </w:r>
            <w:proofErr w:type="gramEnd"/>
            <w:r w:rsidRPr="00DD6106">
              <w:rPr>
                <w:color w:val="000000"/>
              </w:rPr>
              <w:t xml:space="preserve"> in the Administrative and Legal Committee, Technical Committee and Technical Working Parties and associated preparatory workshops.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2.</w:t>
            </w:r>
            <w:r w:rsidRPr="003A1572">
              <w:rPr>
                <w:color w:val="000000"/>
              </w:rPr>
              <w:tab/>
              <w:t>Guidance on the UPOV Convention and its implementation and information on its application</w:t>
            </w:r>
          </w:p>
        </w:tc>
        <w:tc>
          <w:tcPr>
            <w:tcW w:w="5246" w:type="dxa"/>
            <w:tcBorders>
              <w:top w:val="single" w:sz="4" w:space="0" w:color="000000"/>
              <w:left w:val="single" w:sz="4" w:space="0" w:color="000000"/>
              <w:bottom w:val="single" w:sz="4" w:space="0" w:color="000000"/>
              <w:right w:val="single" w:sz="4" w:space="0" w:color="000000"/>
            </w:tcBorders>
          </w:tcPr>
          <w:p w:rsidR="00604822" w:rsidRPr="00513371" w:rsidRDefault="00604822" w:rsidP="00962988">
            <w:pPr>
              <w:spacing w:after="60"/>
              <w:ind w:left="397" w:hanging="397"/>
              <w:jc w:val="left"/>
              <w:rPr>
                <w:color w:val="000000"/>
              </w:rPr>
            </w:pPr>
            <w:r w:rsidRPr="00513371">
              <w:rPr>
                <w:color w:val="000000"/>
              </w:rPr>
              <w:t>(a)</w:t>
            </w:r>
            <w:r w:rsidRPr="00513371">
              <w:rPr>
                <w:color w:val="000000"/>
              </w:rPr>
              <w:tab/>
              <w:t>adoption of new or revised information materials concerning the UPOV Convention;</w:t>
            </w:r>
          </w:p>
          <w:p w:rsidR="00604822" w:rsidRPr="00513371" w:rsidRDefault="00604822" w:rsidP="00962988">
            <w:pPr>
              <w:spacing w:after="60"/>
              <w:ind w:left="397" w:hanging="397"/>
              <w:jc w:val="left"/>
              <w:rPr>
                <w:color w:val="000000"/>
              </w:rPr>
            </w:pPr>
            <w:r w:rsidRPr="00513371">
              <w:rPr>
                <w:color w:val="000000"/>
              </w:rPr>
              <w:t>(</w:t>
            </w:r>
            <w:r>
              <w:rPr>
                <w:color w:val="000000"/>
              </w:rPr>
              <w:t>b</w:t>
            </w:r>
            <w:r w:rsidRPr="00513371">
              <w:rPr>
                <w:color w:val="000000"/>
              </w:rPr>
              <w:t>)</w:t>
            </w:r>
            <w:r w:rsidRPr="00513371">
              <w:rPr>
                <w:color w:val="000000"/>
              </w:rPr>
              <w:tab/>
              <w:t>publication of the UPOV Gazette and Newsletter;</w:t>
            </w:r>
          </w:p>
          <w:p w:rsidR="00604822" w:rsidRDefault="00604822" w:rsidP="00962988">
            <w:pPr>
              <w:spacing w:after="60"/>
              <w:ind w:left="397" w:hanging="397"/>
              <w:jc w:val="left"/>
              <w:rPr>
                <w:color w:val="000000"/>
              </w:rPr>
            </w:pPr>
            <w:r>
              <w:rPr>
                <w:color w:val="000000"/>
              </w:rPr>
              <w:t>(c</w:t>
            </w:r>
            <w:r w:rsidRPr="00513371">
              <w:rPr>
                <w:color w:val="000000"/>
              </w:rPr>
              <w:t>)</w:t>
            </w:r>
            <w:r w:rsidRPr="00513371">
              <w:rPr>
                <w:color w:val="000000"/>
              </w:rPr>
              <w:tab/>
              <w:t>inclusion of laws</w:t>
            </w:r>
            <w:r>
              <w:rPr>
                <w:color w:val="000000"/>
              </w:rPr>
              <w:t xml:space="preserve"> and relevant notifications</w:t>
            </w:r>
            <w:r w:rsidRPr="00513371">
              <w:rPr>
                <w:color w:val="000000"/>
              </w:rPr>
              <w:t xml:space="preserve"> of me</w:t>
            </w:r>
            <w:r>
              <w:rPr>
                <w:color w:val="000000"/>
              </w:rPr>
              <w:t xml:space="preserve">mbers of the Union in UPOV Lex; </w:t>
            </w:r>
          </w:p>
          <w:p w:rsidR="00604822" w:rsidRPr="00513371" w:rsidRDefault="00604822" w:rsidP="00962988">
            <w:pPr>
              <w:ind w:left="397" w:hanging="397"/>
              <w:jc w:val="left"/>
              <w:rPr>
                <w:color w:val="000000"/>
              </w:rPr>
            </w:pPr>
            <w:r>
              <w:rPr>
                <w:color w:val="000000"/>
              </w:rPr>
              <w:t>(d</w:t>
            </w:r>
            <w:r w:rsidRPr="00DD6106">
              <w:rPr>
                <w:color w:val="000000"/>
              </w:rPr>
              <w:t>)</w:t>
            </w:r>
            <w:r w:rsidRPr="00DD6106">
              <w:rPr>
                <w:color w:val="000000"/>
              </w:rPr>
              <w:tab/>
            </w:r>
            <w:proofErr w:type="gramStart"/>
            <w:r w:rsidRPr="00DD6106">
              <w:rPr>
                <w:color w:val="000000"/>
              </w:rPr>
              <w:t>availability</w:t>
            </w:r>
            <w:proofErr w:type="gramEnd"/>
            <w:r w:rsidRPr="00DD6106">
              <w:rPr>
                <w:color w:val="000000"/>
              </w:rPr>
              <w:t xml:space="preserve"> of UPOV documents and materials in languages other than the UPOV languages (English, French, German and Spanish).</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3.</w:t>
            </w:r>
            <w:r w:rsidRPr="003A1572">
              <w:rPr>
                <w:color w:val="000000"/>
              </w:rPr>
              <w:tab/>
              <w:t>Guidance on the examination of varieties</w:t>
            </w:r>
          </w:p>
        </w:tc>
        <w:tc>
          <w:tcPr>
            <w:tcW w:w="5246" w:type="dxa"/>
            <w:tcBorders>
              <w:top w:val="single" w:sz="4" w:space="0" w:color="000000"/>
              <w:left w:val="single" w:sz="4" w:space="0" w:color="000000"/>
              <w:bottom w:val="single" w:sz="4" w:space="0" w:color="000000"/>
              <w:right w:val="single" w:sz="4" w:space="0" w:color="000000"/>
            </w:tcBorders>
          </w:tcPr>
          <w:p w:rsidR="00604822" w:rsidRPr="00513371" w:rsidRDefault="00604822" w:rsidP="00962988">
            <w:pPr>
              <w:spacing w:after="60"/>
              <w:ind w:left="397" w:hanging="397"/>
              <w:jc w:val="left"/>
              <w:rPr>
                <w:color w:val="000000"/>
              </w:rPr>
            </w:pPr>
            <w:r w:rsidRPr="00513371">
              <w:rPr>
                <w:color w:val="000000"/>
              </w:rPr>
              <w:t>(a)</w:t>
            </w:r>
            <w:r w:rsidRPr="00513371">
              <w:rPr>
                <w:color w:val="000000"/>
              </w:rPr>
              <w:tab/>
              <w:t>adoption of new or revised TGP documents and information materials;</w:t>
            </w:r>
          </w:p>
          <w:p w:rsidR="00604822" w:rsidRPr="00513371" w:rsidRDefault="00604822" w:rsidP="00962988">
            <w:pPr>
              <w:spacing w:after="60"/>
              <w:ind w:left="397" w:hanging="397"/>
              <w:jc w:val="left"/>
              <w:rPr>
                <w:color w:val="000000"/>
              </w:rPr>
            </w:pPr>
            <w:r w:rsidRPr="00513371">
              <w:rPr>
                <w:color w:val="000000"/>
              </w:rPr>
              <w:t>(b)</w:t>
            </w:r>
            <w:r w:rsidRPr="00513371">
              <w:rPr>
                <w:color w:val="000000"/>
              </w:rPr>
              <w:tab/>
              <w:t>adoption of new or revised Test Guidelines;</w:t>
            </w:r>
          </w:p>
          <w:p w:rsidR="00604822" w:rsidRPr="00513371" w:rsidRDefault="00604822" w:rsidP="00962988">
            <w:pPr>
              <w:spacing w:after="60"/>
              <w:ind w:left="397" w:hanging="397"/>
              <w:jc w:val="left"/>
              <w:rPr>
                <w:color w:val="000000"/>
              </w:rPr>
            </w:pPr>
            <w:r w:rsidRPr="00513371">
              <w:rPr>
                <w:color w:val="000000"/>
              </w:rPr>
              <w:t>(c)</w:t>
            </w:r>
            <w:r w:rsidRPr="00513371">
              <w:rPr>
                <w:color w:val="000000"/>
              </w:rPr>
              <w:tab/>
            </w:r>
            <w:r>
              <w:rPr>
                <w:color w:val="000000"/>
              </w:rPr>
              <w:t>proportion</w:t>
            </w:r>
            <w:r w:rsidRPr="00513371">
              <w:rPr>
                <w:color w:val="000000"/>
              </w:rPr>
              <w:t xml:space="preserve"> of </w:t>
            </w:r>
            <w:r>
              <w:rPr>
                <w:color w:val="000000"/>
              </w:rPr>
              <w:t xml:space="preserve">PBR </w:t>
            </w:r>
            <w:r w:rsidRPr="00513371">
              <w:rPr>
                <w:color w:val="000000"/>
              </w:rPr>
              <w:t>appli</w:t>
            </w:r>
            <w:r>
              <w:rPr>
                <w:color w:val="000000"/>
              </w:rPr>
              <w:t>cations covered by adopted Test </w:t>
            </w:r>
            <w:r w:rsidRPr="00513371">
              <w:rPr>
                <w:color w:val="000000"/>
              </w:rPr>
              <w:t>Guidelines</w:t>
            </w:r>
            <w:r>
              <w:rPr>
                <w:color w:val="000000"/>
              </w:rPr>
              <w:t>;</w:t>
            </w:r>
          </w:p>
          <w:p w:rsidR="00604822" w:rsidRDefault="00604822" w:rsidP="00962988">
            <w:pPr>
              <w:spacing w:after="60"/>
              <w:ind w:left="397" w:hanging="397"/>
              <w:jc w:val="left"/>
              <w:rPr>
                <w:color w:val="000000"/>
              </w:rPr>
            </w:pPr>
            <w:r>
              <w:rPr>
                <w:color w:val="000000"/>
              </w:rPr>
              <w:t>(d)</w:t>
            </w:r>
            <w:r>
              <w:rPr>
                <w:color w:val="000000"/>
              </w:rPr>
              <w:tab/>
              <w:t xml:space="preserve">number of </w:t>
            </w:r>
            <w:r w:rsidRPr="00832AF3">
              <w:rPr>
                <w:color w:val="000000"/>
              </w:rPr>
              <w:t>Test Guidelines</w:t>
            </w:r>
            <w:r>
              <w:rPr>
                <w:color w:val="000000"/>
              </w:rPr>
              <w:t xml:space="preserve"> under development in the TWPs</w:t>
            </w:r>
          </w:p>
          <w:p w:rsidR="00604822" w:rsidRDefault="00604822" w:rsidP="00962988">
            <w:pPr>
              <w:spacing w:after="60"/>
              <w:ind w:left="397" w:hanging="397"/>
              <w:jc w:val="left"/>
              <w:rPr>
                <w:color w:val="000000"/>
              </w:rPr>
            </w:pPr>
            <w:r>
              <w:rPr>
                <w:color w:val="000000"/>
              </w:rPr>
              <w:t>(e</w:t>
            </w:r>
            <w:r w:rsidRPr="00DD6106">
              <w:rPr>
                <w:color w:val="000000"/>
              </w:rPr>
              <w:t>)</w:t>
            </w:r>
            <w:r w:rsidRPr="00DD6106">
              <w:rPr>
                <w:color w:val="000000"/>
              </w:rPr>
              <w:tab/>
              <w:t>participation in the d</w:t>
            </w:r>
            <w:r>
              <w:rPr>
                <w:color w:val="000000"/>
              </w:rPr>
              <w:t>evelopment of Test Guidelines;</w:t>
            </w:r>
          </w:p>
          <w:p w:rsidR="00604822" w:rsidRDefault="00604822" w:rsidP="00962988">
            <w:pPr>
              <w:spacing w:after="60"/>
              <w:ind w:left="397" w:hanging="397"/>
              <w:jc w:val="left"/>
              <w:rPr>
                <w:color w:val="000000" w:themeColor="text1"/>
              </w:rPr>
            </w:pPr>
            <w:r>
              <w:rPr>
                <w:color w:val="000000"/>
              </w:rPr>
              <w:t>(f)</w:t>
            </w:r>
            <w:r>
              <w:rPr>
                <w:color w:val="000000"/>
              </w:rPr>
              <w:tab/>
              <w:t xml:space="preserve">development of  </w:t>
            </w:r>
            <w:r w:rsidRPr="00931087">
              <w:rPr>
                <w:color w:val="000000" w:themeColor="text1"/>
              </w:rPr>
              <w:t>web-based Test Guidelines Template (TG Template)</w:t>
            </w:r>
            <w:r>
              <w:rPr>
                <w:color w:val="000000" w:themeColor="text1"/>
              </w:rPr>
              <w:t xml:space="preserve"> with facility for:</w:t>
            </w:r>
          </w:p>
          <w:p w:rsidR="00604822" w:rsidRDefault="00604822" w:rsidP="00962988">
            <w:pPr>
              <w:spacing w:after="60"/>
              <w:ind w:left="794" w:hanging="397"/>
              <w:jc w:val="left"/>
              <w:rPr>
                <w:color w:val="000000" w:themeColor="text1"/>
              </w:rPr>
            </w:pPr>
            <w:r>
              <w:rPr>
                <w:color w:val="000000" w:themeColor="text1"/>
              </w:rPr>
              <w:t>(</w:t>
            </w:r>
            <w:proofErr w:type="spellStart"/>
            <w:r>
              <w:rPr>
                <w:color w:val="000000" w:themeColor="text1"/>
              </w:rPr>
              <w:t>i</w:t>
            </w:r>
            <w:proofErr w:type="spellEnd"/>
            <w:r>
              <w:rPr>
                <w:color w:val="000000" w:themeColor="text1"/>
              </w:rPr>
              <w:t>)</w:t>
            </w:r>
            <w:r>
              <w:rPr>
                <w:color w:val="000000" w:themeColor="text1"/>
              </w:rPr>
              <w:tab/>
              <w:t>translation in UPOV languages;</w:t>
            </w:r>
          </w:p>
          <w:p w:rsidR="00604822" w:rsidRPr="00513371" w:rsidRDefault="00604822" w:rsidP="00962988">
            <w:pPr>
              <w:ind w:left="794" w:hanging="397"/>
              <w:jc w:val="left"/>
              <w:rPr>
                <w:color w:val="000000"/>
              </w:rPr>
            </w:pPr>
            <w:r>
              <w:rPr>
                <w:color w:val="000000" w:themeColor="text1"/>
              </w:rPr>
              <w:t>(ii)</w:t>
            </w:r>
            <w:r>
              <w:rPr>
                <w:color w:val="000000" w:themeColor="text1"/>
              </w:rPr>
              <w:tab/>
            </w:r>
            <w:proofErr w:type="gramStart"/>
            <w:r>
              <w:rPr>
                <w:color w:val="000000" w:themeColor="text1"/>
              </w:rPr>
              <w:t>use</w:t>
            </w:r>
            <w:proofErr w:type="gramEnd"/>
            <w:r>
              <w:rPr>
                <w:color w:val="000000" w:themeColor="text1"/>
              </w:rPr>
              <w:t xml:space="preserve"> by </w:t>
            </w:r>
            <w:r w:rsidRPr="00925D63">
              <w:rPr>
                <w:color w:val="000000" w:themeColor="text1"/>
              </w:rPr>
              <w:t>members of the Union</w:t>
            </w:r>
            <w:r>
              <w:rPr>
                <w:color w:val="000000" w:themeColor="text1"/>
              </w:rPr>
              <w:t xml:space="preserve"> in the preparation of </w:t>
            </w:r>
            <w:r w:rsidRPr="00925D63">
              <w:rPr>
                <w:color w:val="000000" w:themeColor="text1"/>
              </w:rPr>
              <w:t>individual authorities’ test guidelines</w:t>
            </w:r>
            <w:r w:rsidRPr="003A1572">
              <w:rPr>
                <w:color w:val="000000" w:themeColor="text1"/>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4.</w:t>
            </w:r>
            <w:r w:rsidRPr="003A1572">
              <w:rPr>
                <w:color w:val="000000"/>
              </w:rPr>
              <w:tab/>
              <w:t>Cooperation in DUS examination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sidRPr="00DD6106">
              <w:rPr>
                <w:color w:val="000000"/>
              </w:rPr>
              <w:t>(a)</w:t>
            </w:r>
            <w:r w:rsidRPr="00DD6106">
              <w:rPr>
                <w:color w:val="000000"/>
              </w:rPr>
              <w:tab/>
              <w:t>plant genera and species for which members of the</w:t>
            </w:r>
            <w:r>
              <w:rPr>
                <w:color w:val="000000"/>
              </w:rPr>
              <w:t> </w:t>
            </w:r>
            <w:r w:rsidRPr="00DD6106">
              <w:rPr>
                <w:color w:val="000000"/>
              </w:rPr>
              <w:t>Union have practical experience</w:t>
            </w:r>
            <w:r>
              <w:rPr>
                <w:color w:val="000000"/>
              </w:rPr>
              <w:t xml:space="preserve"> included in GENIE </w:t>
            </w:r>
            <w:r w:rsidRPr="00A15192">
              <w:rPr>
                <w:color w:val="000000"/>
              </w:rPr>
              <w:t>database</w:t>
            </w:r>
            <w:r w:rsidRPr="00DD6106">
              <w:rPr>
                <w:color w:val="000000"/>
              </w:rPr>
              <w:t>;</w:t>
            </w:r>
          </w:p>
          <w:p w:rsidR="00604822" w:rsidRPr="00DD6106" w:rsidRDefault="00604822" w:rsidP="00962988">
            <w:pPr>
              <w:ind w:left="397" w:hanging="397"/>
              <w:jc w:val="left"/>
              <w:rPr>
                <w:color w:val="000000"/>
              </w:rPr>
            </w:pPr>
            <w:r w:rsidRPr="00DD6106">
              <w:rPr>
                <w:color w:val="000000"/>
              </w:rPr>
              <w:t>(b)</w:t>
            </w:r>
            <w:r w:rsidRPr="00DD6106">
              <w:rPr>
                <w:color w:val="000000"/>
              </w:rPr>
              <w:tab/>
            </w:r>
            <w:proofErr w:type="gramStart"/>
            <w:r w:rsidRPr="00DD6106">
              <w:rPr>
                <w:color w:val="000000"/>
              </w:rPr>
              <w:t>plant</w:t>
            </w:r>
            <w:proofErr w:type="gramEnd"/>
            <w:r w:rsidRPr="00DD6106">
              <w:rPr>
                <w:color w:val="000000"/>
              </w:rPr>
              <w:t xml:space="preserve"> genera and species for which members of the</w:t>
            </w:r>
            <w:r>
              <w:rPr>
                <w:color w:val="000000"/>
              </w:rPr>
              <w:t> </w:t>
            </w:r>
            <w:r w:rsidRPr="00DD6106">
              <w:rPr>
                <w:color w:val="000000"/>
              </w:rPr>
              <w:t>Uni</w:t>
            </w:r>
            <w:r>
              <w:rPr>
                <w:color w:val="000000"/>
              </w:rPr>
              <w:t xml:space="preserve">on cooperate in DUS examination included in GENIE </w:t>
            </w:r>
            <w:r w:rsidRPr="00A15192">
              <w:rPr>
                <w:color w:val="000000"/>
              </w:rPr>
              <w:t>database</w:t>
            </w:r>
            <w:r>
              <w:rPr>
                <w:color w:val="000000"/>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keepNext/>
              <w:ind w:left="397" w:hanging="397"/>
              <w:jc w:val="left"/>
              <w:rPr>
                <w:color w:val="000000"/>
              </w:rPr>
            </w:pPr>
            <w:r w:rsidRPr="003A1572">
              <w:rPr>
                <w:color w:val="000000"/>
              </w:rPr>
              <w:t>5.</w:t>
            </w:r>
            <w:r w:rsidRPr="003A1572">
              <w:rPr>
                <w:color w:val="000000"/>
              </w:rPr>
              <w:tab/>
              <w:t>Cooperation in examination of variety denominations</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spacing w:after="40"/>
              <w:ind w:left="397" w:hanging="397"/>
              <w:jc w:val="left"/>
              <w:rPr>
                <w:color w:val="000000"/>
              </w:rPr>
            </w:pPr>
            <w:r>
              <w:rPr>
                <w:color w:val="000000"/>
              </w:rPr>
              <w:t>(a)</w:t>
            </w:r>
            <w:r>
              <w:rPr>
                <w:color w:val="000000"/>
              </w:rPr>
              <w:tab/>
              <w:t xml:space="preserve">quantity and quality of data in PLUTO </w:t>
            </w:r>
            <w:r w:rsidRPr="00EF0C7F">
              <w:rPr>
                <w:color w:val="000000"/>
              </w:rPr>
              <w:t>database</w:t>
            </w:r>
            <w:r>
              <w:rPr>
                <w:color w:val="000000"/>
              </w:rPr>
              <w:t>:</w:t>
            </w:r>
          </w:p>
          <w:p w:rsidR="00604822" w:rsidRDefault="00604822" w:rsidP="00962988">
            <w:pPr>
              <w:spacing w:after="40"/>
              <w:ind w:left="794" w:hanging="397"/>
              <w:jc w:val="left"/>
              <w:rPr>
                <w:color w:val="000000"/>
              </w:rPr>
            </w:pPr>
            <w:r>
              <w:rPr>
                <w:color w:val="000000"/>
              </w:rPr>
              <w:t>(</w:t>
            </w:r>
            <w:proofErr w:type="spellStart"/>
            <w:r>
              <w:rPr>
                <w:color w:val="000000"/>
              </w:rPr>
              <w:t>i</w:t>
            </w:r>
            <w:proofErr w:type="spellEnd"/>
            <w:r>
              <w:rPr>
                <w:color w:val="000000"/>
              </w:rPr>
              <w:t>)</w:t>
            </w:r>
            <w:r>
              <w:rPr>
                <w:color w:val="000000"/>
              </w:rPr>
              <w:tab/>
              <w:t>number of contributors</w:t>
            </w:r>
          </w:p>
          <w:p w:rsidR="00604822" w:rsidRDefault="00604822" w:rsidP="00962988">
            <w:pPr>
              <w:spacing w:after="40"/>
              <w:ind w:left="794" w:hanging="397"/>
              <w:jc w:val="left"/>
              <w:rPr>
                <w:color w:val="000000"/>
              </w:rPr>
            </w:pPr>
            <w:r>
              <w:rPr>
                <w:color w:val="000000"/>
              </w:rPr>
              <w:t>(ii)</w:t>
            </w:r>
            <w:r>
              <w:rPr>
                <w:color w:val="000000"/>
              </w:rPr>
              <w:tab/>
              <w:t xml:space="preserve">number of new submissions </w:t>
            </w:r>
          </w:p>
          <w:p w:rsidR="00604822" w:rsidRDefault="00604822" w:rsidP="00962988">
            <w:pPr>
              <w:spacing w:after="40"/>
              <w:ind w:left="794" w:hanging="397"/>
              <w:jc w:val="left"/>
              <w:rPr>
                <w:color w:val="000000"/>
              </w:rPr>
            </w:pPr>
            <w:r>
              <w:rPr>
                <w:color w:val="000000"/>
              </w:rPr>
              <w:t>(iii)</w:t>
            </w:r>
            <w:r>
              <w:rPr>
                <w:color w:val="000000"/>
              </w:rPr>
              <w:tab/>
              <w:t>number of records</w:t>
            </w:r>
          </w:p>
          <w:p w:rsidR="00604822" w:rsidRDefault="00604822" w:rsidP="00962988">
            <w:pPr>
              <w:spacing w:after="40"/>
              <w:ind w:left="794" w:hanging="397"/>
              <w:jc w:val="left"/>
              <w:rPr>
                <w:color w:val="000000"/>
              </w:rPr>
            </w:pPr>
            <w:r>
              <w:rPr>
                <w:color w:val="000000"/>
              </w:rPr>
              <w:t>(iv)</w:t>
            </w:r>
            <w:r>
              <w:rPr>
                <w:color w:val="000000"/>
              </w:rPr>
              <w:tab/>
              <w:t>number of mandatory items provided</w:t>
            </w:r>
          </w:p>
          <w:p w:rsidR="00604822" w:rsidRDefault="00604822" w:rsidP="00962988">
            <w:pPr>
              <w:spacing w:after="40"/>
              <w:ind w:left="794" w:hanging="397"/>
              <w:jc w:val="left"/>
              <w:rPr>
                <w:color w:val="000000"/>
              </w:rPr>
            </w:pPr>
            <w:r>
              <w:rPr>
                <w:color w:val="000000"/>
              </w:rPr>
              <w:t>(v)</w:t>
            </w:r>
            <w:r>
              <w:rPr>
                <w:color w:val="000000"/>
              </w:rPr>
              <w:tab/>
              <w:t>number of non-mandatory items provided</w:t>
            </w:r>
          </w:p>
          <w:p w:rsidR="00604822" w:rsidRDefault="00604822" w:rsidP="00962988">
            <w:pPr>
              <w:spacing w:after="60"/>
              <w:ind w:left="794" w:hanging="397"/>
              <w:jc w:val="left"/>
              <w:rPr>
                <w:color w:val="000000"/>
              </w:rPr>
            </w:pPr>
            <w:r>
              <w:rPr>
                <w:color w:val="000000"/>
              </w:rPr>
              <w:t>(vi)</w:t>
            </w:r>
            <w:r>
              <w:rPr>
                <w:color w:val="000000"/>
              </w:rPr>
              <w:tab/>
              <w:t>annual edition of CD-ROM version</w:t>
            </w:r>
          </w:p>
          <w:p w:rsidR="00604822" w:rsidRDefault="00604822" w:rsidP="00962988">
            <w:pPr>
              <w:ind w:left="397" w:hanging="397"/>
              <w:jc w:val="left"/>
              <w:rPr>
                <w:color w:val="000000"/>
              </w:rPr>
            </w:pPr>
            <w:r>
              <w:rPr>
                <w:color w:val="000000"/>
              </w:rPr>
              <w:t>(b)</w:t>
            </w:r>
            <w:r>
              <w:rPr>
                <w:color w:val="000000"/>
              </w:rPr>
              <w:tab/>
              <w:t>number of PLUTO users and frequency of use;</w:t>
            </w:r>
          </w:p>
          <w:p w:rsidR="00604822" w:rsidRPr="00513371" w:rsidRDefault="00604822" w:rsidP="00962988">
            <w:pPr>
              <w:ind w:left="397" w:hanging="397"/>
              <w:jc w:val="left"/>
              <w:rPr>
                <w:color w:val="000000"/>
              </w:rPr>
            </w:pPr>
            <w:r>
              <w:rPr>
                <w:color w:val="000000"/>
              </w:rPr>
              <w:t>(c)</w:t>
            </w:r>
            <w:r>
              <w:rPr>
                <w:color w:val="000000"/>
              </w:rPr>
              <w:tab/>
            </w:r>
            <w:proofErr w:type="gramStart"/>
            <w:r>
              <w:rPr>
                <w:color w:val="000000"/>
              </w:rPr>
              <w:t>development</w:t>
            </w:r>
            <w:proofErr w:type="gramEnd"/>
            <w:r>
              <w:rPr>
                <w:color w:val="000000"/>
              </w:rPr>
              <w:t xml:space="preserve"> and approval by the Council of a </w:t>
            </w:r>
            <w:r w:rsidRPr="003405AC">
              <w:rPr>
                <w:snapToGrid w:val="0"/>
                <w:color w:val="000000" w:themeColor="text1"/>
              </w:rPr>
              <w:t>UPOV similarity</w:t>
            </w:r>
            <w:r>
              <w:rPr>
                <w:snapToGrid w:val="0"/>
                <w:color w:val="000000" w:themeColor="text1"/>
              </w:rPr>
              <w:t xml:space="preserve"> </w:t>
            </w:r>
            <w:r w:rsidRPr="003405AC">
              <w:rPr>
                <w:snapToGrid w:val="0"/>
                <w:color w:val="000000" w:themeColor="text1"/>
              </w:rPr>
              <w:t>search tool</w:t>
            </w:r>
            <w:r>
              <w:rPr>
                <w:snapToGrid w:val="0"/>
                <w:color w:val="000000" w:themeColor="text1"/>
              </w:rPr>
              <w:t xml:space="preserve"> </w:t>
            </w:r>
            <w:r w:rsidRPr="003405AC">
              <w:rPr>
                <w:snapToGrid w:val="0"/>
                <w:color w:val="000000" w:themeColor="text1"/>
              </w:rPr>
              <w:t>for variety deno</w:t>
            </w:r>
            <w:r>
              <w:rPr>
                <w:snapToGrid w:val="0"/>
                <w:color w:val="000000" w:themeColor="text1"/>
              </w:rPr>
              <w:t xml:space="preserve">minations for inclusion in PLUTO </w:t>
            </w:r>
            <w:r w:rsidRPr="00C24456">
              <w:rPr>
                <w:snapToGrid w:val="0"/>
                <w:color w:val="000000" w:themeColor="text1"/>
              </w:rPr>
              <w:t>database</w:t>
            </w:r>
            <w:r w:rsidRPr="003A1572">
              <w:rPr>
                <w:snapToGrid w:val="0"/>
                <w:color w:val="000000" w:themeColor="text1"/>
              </w:rPr>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3A1572" w:rsidRDefault="00604822" w:rsidP="00962988">
            <w:pPr>
              <w:ind w:left="397" w:hanging="397"/>
              <w:jc w:val="left"/>
              <w:rPr>
                <w:color w:val="000000"/>
              </w:rPr>
            </w:pPr>
            <w:r w:rsidRPr="003A1572">
              <w:rPr>
                <w:color w:val="000000"/>
              </w:rPr>
              <w:t>6.</w:t>
            </w:r>
            <w:r w:rsidRPr="003A1572">
              <w:rPr>
                <w:color w:val="000000"/>
              </w:rPr>
              <w:tab/>
            </w:r>
            <w:r>
              <w:rPr>
                <w:color w:val="000000"/>
              </w:rPr>
              <w:t>Development of EAF</w:t>
            </w:r>
            <w:r w:rsidRPr="003A1572">
              <w:rPr>
                <w:color w:val="000000"/>
              </w:rPr>
              <w:t xml:space="preserve"> </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spacing w:after="40"/>
              <w:ind w:left="397" w:hanging="397"/>
              <w:jc w:val="left"/>
              <w:rPr>
                <w:rFonts w:cs="Arial"/>
                <w:color w:val="000000"/>
              </w:rPr>
            </w:pPr>
            <w:r>
              <w:rPr>
                <w:rFonts w:cs="Arial"/>
                <w:color w:val="000000"/>
              </w:rPr>
              <w:t>(a)</w:t>
            </w:r>
            <w:r>
              <w:rPr>
                <w:rFonts w:cs="Arial"/>
                <w:color w:val="000000"/>
              </w:rPr>
              <w:tab/>
              <w:t>number of UPOV members participating in the EAF;</w:t>
            </w:r>
          </w:p>
          <w:p w:rsidR="00604822" w:rsidRPr="00616FB8" w:rsidRDefault="00604822" w:rsidP="00962988">
            <w:pPr>
              <w:keepNext/>
              <w:spacing w:after="40"/>
              <w:ind w:left="397" w:hanging="397"/>
              <w:jc w:val="left"/>
              <w:rPr>
                <w:rFonts w:cs="Arial"/>
                <w:color w:val="000000"/>
              </w:rPr>
            </w:pPr>
            <w:r>
              <w:rPr>
                <w:rFonts w:cs="Arial"/>
                <w:color w:val="000000"/>
              </w:rPr>
              <w:t>(b)</w:t>
            </w:r>
            <w:r>
              <w:rPr>
                <w:rFonts w:cs="Arial"/>
                <w:color w:val="000000"/>
              </w:rPr>
              <w:tab/>
              <w:t xml:space="preserve">number of crops/species covered by the EAF; </w:t>
            </w:r>
          </w:p>
          <w:p w:rsidR="00604822" w:rsidRPr="00513371" w:rsidRDefault="00604822" w:rsidP="00962988">
            <w:pPr>
              <w:ind w:left="397" w:hanging="397"/>
              <w:jc w:val="left"/>
              <w:rPr>
                <w:color w:val="000000"/>
              </w:rPr>
            </w:pPr>
            <w:r>
              <w:rPr>
                <w:rFonts w:cs="Arial"/>
                <w:color w:val="000000"/>
              </w:rPr>
              <w:t>(c)</w:t>
            </w:r>
            <w:r w:rsidRPr="00616FB8">
              <w:rPr>
                <w:rFonts w:cs="Arial"/>
                <w:color w:val="000000"/>
              </w:rPr>
              <w:tab/>
            </w:r>
            <w:proofErr w:type="gramStart"/>
            <w:r>
              <w:rPr>
                <w:rFonts w:cs="Arial"/>
                <w:color w:val="000000"/>
              </w:rPr>
              <w:t>number</w:t>
            </w:r>
            <w:proofErr w:type="gramEnd"/>
            <w:r>
              <w:rPr>
                <w:rFonts w:cs="Arial"/>
                <w:color w:val="000000"/>
              </w:rPr>
              <w:t xml:space="preserve"> of applications made via the EAF.</w:t>
            </w:r>
          </w:p>
        </w:tc>
      </w:tr>
    </w:tbl>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rPr>
      </w:pPr>
      <w:r w:rsidRPr="00DD6106">
        <w:rPr>
          <w:b/>
        </w:rPr>
        <w:t>2.3</w:t>
      </w:r>
      <w:r w:rsidRPr="00DD6106">
        <w:rPr>
          <w:b/>
        </w:rPr>
        <w:tab/>
      </w:r>
      <w:r w:rsidRPr="00DD6106">
        <w:rPr>
          <w:b/>
          <w:u w:val="single"/>
        </w:rPr>
        <w:t>Sub-program UV.3</w:t>
      </w:r>
      <w:r w:rsidRPr="00DD6106">
        <w:rPr>
          <w:b/>
        </w:rPr>
        <w:t>:</w:t>
      </w:r>
      <w:r w:rsidRPr="00DD6106">
        <w:rPr>
          <w:b/>
        </w:rPr>
        <w:tab/>
      </w:r>
      <w:r w:rsidRPr="00DD6106">
        <w:rPr>
          <w:b/>
          <w:u w:val="single"/>
        </w:rPr>
        <w:t>Assistance in the Introduction and Implementation of the UPOV System</w:t>
      </w:r>
    </w:p>
    <w:p w:rsidR="00604822" w:rsidRPr="00DD6106" w:rsidRDefault="00604822" w:rsidP="00604822"/>
    <w:p w:rsidR="00604822" w:rsidRPr="00DD6106" w:rsidRDefault="00604822" w:rsidP="00604822">
      <w:pPr>
        <w:keepNext/>
        <w:rPr>
          <w:b/>
        </w:rPr>
      </w:pPr>
      <w:r w:rsidRPr="00DD6106">
        <w:rPr>
          <w:b/>
        </w:rPr>
        <w:t>2.3.1</w:t>
      </w:r>
      <w:r w:rsidRPr="00DD6106">
        <w:rPr>
          <w:b/>
        </w:rPr>
        <w:tab/>
        <w:t>Objectives</w:t>
      </w:r>
    </w:p>
    <w:p w:rsidR="00604822" w:rsidRPr="00DD6106" w:rsidRDefault="00604822" w:rsidP="00604822">
      <w:pPr>
        <w:keepNext/>
      </w:pPr>
    </w:p>
    <w:p w:rsidR="00604822" w:rsidRPr="00DD6106" w:rsidRDefault="00604822" w:rsidP="00604822">
      <w:r w:rsidRPr="00DD6106">
        <w:tab/>
        <w:t>(a)</w:t>
      </w:r>
      <w:r w:rsidRPr="00DD6106">
        <w:tab/>
        <w:t xml:space="preserve">To raise awareness of the role of </w:t>
      </w:r>
      <w:r w:rsidRPr="00DD6106">
        <w:rPr>
          <w:snapToGrid w:val="0"/>
        </w:rPr>
        <w:t>plant variety protection</w:t>
      </w:r>
      <w:r w:rsidRPr="00DD6106">
        <w:t xml:space="preserve"> according to the UPOV Convention.</w:t>
      </w:r>
    </w:p>
    <w:p w:rsidR="00604822" w:rsidRPr="00DD6106" w:rsidRDefault="00604822" w:rsidP="00604822"/>
    <w:p w:rsidR="00604822" w:rsidRPr="00DD6106" w:rsidRDefault="00604822" w:rsidP="00604822">
      <w:r w:rsidRPr="00DD6106">
        <w:tab/>
        <w:t>(b)</w:t>
      </w:r>
      <w:r w:rsidRPr="00DD6106">
        <w:tab/>
        <w:t>To assist States and organizations, particularly governments of developing countries and countries in transition to a market economy, in the development of legislation in accordance with the 1991</w:t>
      </w:r>
      <w:r>
        <w:t> </w:t>
      </w:r>
      <w:r w:rsidRPr="00DD6106">
        <w:t>Act of the UPOV Convention.</w:t>
      </w:r>
    </w:p>
    <w:p w:rsidR="00604822" w:rsidRPr="00DD6106" w:rsidRDefault="00604822" w:rsidP="00604822"/>
    <w:p w:rsidR="00604822" w:rsidRPr="00DD6106" w:rsidRDefault="00604822" w:rsidP="00604822">
      <w:r w:rsidRPr="00DD6106">
        <w:tab/>
        <w:t>(c)</w:t>
      </w:r>
      <w:r w:rsidRPr="00DD6106">
        <w:tab/>
        <w:t>To assist States and organizations in their accession to the 1991 Act of the UPOV Convention.</w:t>
      </w:r>
    </w:p>
    <w:p w:rsidR="00604822" w:rsidRPr="00DD6106" w:rsidRDefault="00604822" w:rsidP="00604822"/>
    <w:p w:rsidR="00604822" w:rsidRPr="00513371" w:rsidRDefault="00604822" w:rsidP="00604822">
      <w:r w:rsidRPr="00DD6106">
        <w:tab/>
        <w:t>(d)</w:t>
      </w:r>
      <w:r w:rsidRPr="00DD6106">
        <w:tab/>
        <w:t xml:space="preserve">To assist States and organizations in implementing an effective </w:t>
      </w:r>
      <w:r w:rsidRPr="00DD6106">
        <w:rPr>
          <w:snapToGrid w:val="0"/>
        </w:rPr>
        <w:t>plant variety protection</w:t>
      </w:r>
      <w:r w:rsidRPr="00DD6106">
        <w:t xml:space="preserve"> </w:t>
      </w:r>
      <w:r w:rsidRPr="00513371">
        <w:t>system in accordance with the UPOV Convention.</w:t>
      </w:r>
    </w:p>
    <w:p w:rsidR="00604822" w:rsidRDefault="00604822" w:rsidP="00604822">
      <w:pPr>
        <w:jc w:val="left"/>
      </w:pPr>
    </w:p>
    <w:p w:rsidR="00604822" w:rsidRDefault="00604822" w:rsidP="00604822">
      <w:pPr>
        <w:jc w:val="left"/>
      </w:pPr>
    </w:p>
    <w:p w:rsidR="00604822" w:rsidRPr="00513371"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rPr>
          <w:b/>
        </w:rPr>
      </w:pPr>
      <w:r w:rsidRPr="00513371">
        <w:rPr>
          <w:b/>
        </w:rPr>
        <w:t>2.3.2</w:t>
      </w:r>
      <w:r w:rsidRPr="00513371">
        <w:rPr>
          <w:b/>
        </w:rPr>
        <w:tab/>
        <w:t>Narrative</w:t>
      </w:r>
    </w:p>
    <w:p w:rsidR="00604822" w:rsidRDefault="00604822" w:rsidP="00604822"/>
    <w:p w:rsidR="00604822" w:rsidRPr="00E003E4" w:rsidRDefault="00604822" w:rsidP="00604822">
      <w:pPr>
        <w:tabs>
          <w:tab w:val="left" w:pos="851"/>
        </w:tabs>
        <w:rPr>
          <w:color w:val="000000" w:themeColor="text1"/>
          <w:u w:val="single"/>
        </w:rPr>
      </w:pPr>
      <w:r w:rsidRPr="00E003E4">
        <w:rPr>
          <w:color w:val="000000" w:themeColor="text1"/>
          <w:u w:val="single"/>
        </w:rPr>
        <w:t>Introduction</w:t>
      </w:r>
    </w:p>
    <w:p w:rsidR="00604822" w:rsidRDefault="00604822" w:rsidP="00604822">
      <w:pPr>
        <w:tabs>
          <w:tab w:val="left" w:pos="851"/>
        </w:tabs>
        <w:rPr>
          <w:color w:val="000000" w:themeColor="text1"/>
        </w:rPr>
      </w:pPr>
    </w:p>
    <w:p w:rsidR="00604822" w:rsidRPr="00443397" w:rsidRDefault="00604822" w:rsidP="00604822">
      <w:pPr>
        <w:rPr>
          <w:color w:val="000000" w:themeColor="text1"/>
        </w:rPr>
      </w:pPr>
      <w:r w:rsidRPr="00443397">
        <w:rPr>
          <w:color w:val="000000" w:themeColor="text1"/>
        </w:rPr>
        <w:t>2.3.2.1</w:t>
      </w:r>
      <w:r w:rsidRPr="00443397">
        <w:rPr>
          <w:color w:val="000000" w:themeColor="text1"/>
        </w:rPr>
        <w:tab/>
        <w:t xml:space="preserve">This sub-program covers the assistance provided in response to requests by members of the Union and potential members of the Union.  Satisfying the demand for assistance in the introduction and implementation of the UPOV system within available resources relies on the use </w:t>
      </w:r>
      <w:r>
        <w:rPr>
          <w:color w:val="000000" w:themeColor="text1"/>
        </w:rPr>
        <w:t xml:space="preserve">of </w:t>
      </w:r>
      <w:r w:rsidRPr="00443397">
        <w:rPr>
          <w:color w:val="000000" w:themeColor="text1"/>
        </w:rPr>
        <w:t xml:space="preserve">distance-learning courses, training of trainers, the prioritization of assistance by the Office of the Union and the use of external resources for administration, training and assistance according to available finances.  This sub-program is supported by the regular budget, but extra-budgetary funds and support in kind provide a substantial proportion of the resources deployed for assistance.  In order to utilize the available resources in the most effective way, the Office of the Union will continue to prioritize its activities and to explore synergies in its activities with members of the Union and other partners.   </w:t>
      </w:r>
    </w:p>
    <w:p w:rsidR="00604822" w:rsidRPr="00443397" w:rsidRDefault="00604822" w:rsidP="00604822"/>
    <w:p w:rsidR="00604822" w:rsidRPr="00443397" w:rsidRDefault="00604822" w:rsidP="00604822">
      <w:pPr>
        <w:rPr>
          <w:color w:val="000000" w:themeColor="text1"/>
        </w:rPr>
      </w:pPr>
      <w:r w:rsidRPr="00443397">
        <w:rPr>
          <w:color w:val="000000" w:themeColor="text1"/>
        </w:rPr>
        <w:t>2.3.2.2</w:t>
      </w:r>
      <w:r>
        <w:rPr>
          <w:color w:val="FF0000"/>
        </w:rPr>
        <w:tab/>
      </w:r>
      <w:r w:rsidRPr="00443397">
        <w:rPr>
          <w:color w:val="000000" w:themeColor="text1"/>
        </w:rPr>
        <w:t>The priority for providing assistance by the Office of the Union is as follows:</w:t>
      </w:r>
    </w:p>
    <w:p w:rsidR="00604822" w:rsidRPr="00443397" w:rsidRDefault="00604822" w:rsidP="00604822">
      <w:pPr>
        <w:rPr>
          <w:color w:val="000000" w:themeColor="text1"/>
        </w:rPr>
      </w:pPr>
    </w:p>
    <w:p w:rsidR="00604822" w:rsidRPr="00443397" w:rsidRDefault="00604822" w:rsidP="00604822">
      <w:pPr>
        <w:spacing w:after="120"/>
        <w:ind w:left="567"/>
        <w:rPr>
          <w:color w:val="000000" w:themeColor="text1"/>
        </w:rPr>
      </w:pPr>
      <w:r w:rsidRPr="00443397">
        <w:rPr>
          <w:color w:val="000000" w:themeColor="text1"/>
        </w:rPr>
        <w:t>(</w:t>
      </w:r>
      <w:proofErr w:type="spellStart"/>
      <w:r w:rsidRPr="00443397">
        <w:rPr>
          <w:color w:val="000000" w:themeColor="text1"/>
        </w:rPr>
        <w:t>i</w:t>
      </w:r>
      <w:proofErr w:type="spellEnd"/>
      <w:r w:rsidRPr="00443397">
        <w:rPr>
          <w:color w:val="000000" w:themeColor="text1"/>
        </w:rPr>
        <w:t>)</w:t>
      </w:r>
      <w:r w:rsidRPr="00443397">
        <w:rPr>
          <w:color w:val="000000" w:themeColor="text1"/>
        </w:rPr>
        <w:tab/>
      </w:r>
      <w:proofErr w:type="gramStart"/>
      <w:r w:rsidRPr="00443397">
        <w:rPr>
          <w:color w:val="000000" w:themeColor="text1"/>
        </w:rPr>
        <w:t>assistance</w:t>
      </w:r>
      <w:proofErr w:type="gramEnd"/>
      <w:r w:rsidRPr="00443397">
        <w:rPr>
          <w:color w:val="000000" w:themeColor="text1"/>
        </w:rPr>
        <w:t xml:space="preserve"> to existing members of the Union;</w:t>
      </w:r>
    </w:p>
    <w:p w:rsidR="00604822" w:rsidRPr="00443397" w:rsidRDefault="00604822" w:rsidP="00604822">
      <w:pPr>
        <w:spacing w:after="120"/>
        <w:ind w:left="567"/>
        <w:rPr>
          <w:color w:val="000000" w:themeColor="text1"/>
        </w:rPr>
      </w:pPr>
      <w:r w:rsidRPr="00443397">
        <w:rPr>
          <w:color w:val="000000" w:themeColor="text1"/>
        </w:rPr>
        <w:t>(ii)</w:t>
      </w:r>
      <w:r w:rsidRPr="00443397">
        <w:rPr>
          <w:color w:val="000000" w:themeColor="text1"/>
        </w:rPr>
        <w:tab/>
        <w:t>assistance to States and certain organizations that are not members of the Union, particularly governments of developing countries and countries in transition to a market economy, in the development of legislation in line with the 1991 Act of the UPOV Convention and their accession to the UPOV Convention;  and</w:t>
      </w:r>
    </w:p>
    <w:p w:rsidR="00604822" w:rsidRPr="00443397" w:rsidRDefault="00604822" w:rsidP="00604822">
      <w:pPr>
        <w:tabs>
          <w:tab w:val="left" w:pos="567"/>
        </w:tabs>
        <w:ind w:left="567"/>
        <w:rPr>
          <w:color w:val="000000" w:themeColor="text1"/>
        </w:rPr>
      </w:pPr>
      <w:r w:rsidRPr="00443397">
        <w:rPr>
          <w:color w:val="000000" w:themeColor="text1"/>
        </w:rPr>
        <w:t>(iii)</w:t>
      </w:r>
      <w:r w:rsidRPr="00443397">
        <w:rPr>
          <w:color w:val="000000" w:themeColor="text1"/>
        </w:rPr>
        <w:tab/>
      </w:r>
      <w:proofErr w:type="gramStart"/>
      <w:r w:rsidRPr="00443397">
        <w:rPr>
          <w:color w:val="000000" w:themeColor="text1"/>
        </w:rPr>
        <w:t>assistance</w:t>
      </w:r>
      <w:proofErr w:type="gramEnd"/>
      <w:r w:rsidRPr="00443397">
        <w:rPr>
          <w:color w:val="000000" w:themeColor="text1"/>
        </w:rPr>
        <w:t xml:space="preserve"> to States and certain organizations that are not members of the Union, in the implementation of legislation that has received a positive decision of the Council, according to their commitment to accede to the UPOV Convention.  </w:t>
      </w:r>
    </w:p>
    <w:p w:rsidR="00604822" w:rsidRDefault="00604822" w:rsidP="00604822">
      <w:pPr>
        <w:tabs>
          <w:tab w:val="left" w:pos="567"/>
        </w:tabs>
        <w:ind w:left="567"/>
        <w:rPr>
          <w:color w:val="000000" w:themeColor="text1"/>
        </w:rPr>
      </w:pPr>
    </w:p>
    <w:p w:rsidR="00604822" w:rsidRPr="00443397" w:rsidRDefault="00604822" w:rsidP="00604822">
      <w:pPr>
        <w:tabs>
          <w:tab w:val="left" w:pos="567"/>
        </w:tabs>
        <w:ind w:left="567"/>
        <w:rPr>
          <w:color w:val="000000" w:themeColor="text1"/>
        </w:rPr>
      </w:pPr>
    </w:p>
    <w:p w:rsidR="00604822" w:rsidRPr="00443397" w:rsidRDefault="00604822" w:rsidP="00604822">
      <w:pPr>
        <w:rPr>
          <w:u w:val="single"/>
        </w:rPr>
      </w:pPr>
      <w:r w:rsidRPr="00443397">
        <w:rPr>
          <w:u w:val="single"/>
        </w:rPr>
        <w:t>Resources</w:t>
      </w:r>
    </w:p>
    <w:p w:rsidR="00604822" w:rsidRPr="00443397" w:rsidRDefault="00604822" w:rsidP="00604822"/>
    <w:p w:rsidR="00604822" w:rsidRPr="00443397" w:rsidRDefault="00604822" w:rsidP="00604822">
      <w:pPr>
        <w:keepNext/>
        <w:rPr>
          <w:color w:val="000000" w:themeColor="text1"/>
        </w:rPr>
      </w:pPr>
      <w:r w:rsidRPr="00443397">
        <w:rPr>
          <w:color w:val="000000" w:themeColor="text1"/>
        </w:rPr>
        <w:t>2.3.2.3</w:t>
      </w:r>
      <w:r w:rsidRPr="00443397">
        <w:rPr>
          <w:color w:val="000000" w:themeColor="text1"/>
        </w:rPr>
        <w:tab/>
        <w:t>A major feature of this sub-program is to provide a framework within which the Office of the Union can efficiently supplement its resources with financial resources and support in kind made available by members of the Union and other bodies.  In general, the support can be categorized as follows:</w:t>
      </w:r>
    </w:p>
    <w:p w:rsidR="00604822" w:rsidRPr="00443397" w:rsidRDefault="00604822" w:rsidP="00604822">
      <w:pPr>
        <w:tabs>
          <w:tab w:val="left" w:pos="567"/>
        </w:tabs>
        <w:spacing w:line="360" w:lineRule="auto"/>
        <w:rPr>
          <w:color w:val="000000" w:themeColor="text1"/>
        </w:rPr>
      </w:pPr>
    </w:p>
    <w:p w:rsidR="00604822" w:rsidRPr="00443397" w:rsidRDefault="00604822" w:rsidP="00604822">
      <w:pPr>
        <w:keepNext/>
        <w:tabs>
          <w:tab w:val="left" w:pos="567"/>
        </w:tabs>
        <w:rPr>
          <w:i/>
          <w:color w:val="000000" w:themeColor="text1"/>
        </w:rPr>
      </w:pPr>
      <w:r w:rsidRPr="00443397">
        <w:rPr>
          <w:i/>
          <w:color w:val="000000" w:themeColor="text1"/>
        </w:rPr>
        <w:t>Extra-budgetary financial resources</w:t>
      </w:r>
    </w:p>
    <w:p w:rsidR="00604822" w:rsidRPr="00443397" w:rsidRDefault="00604822" w:rsidP="00604822">
      <w:pPr>
        <w:keepNext/>
        <w:tabs>
          <w:tab w:val="left" w:pos="567"/>
        </w:tabs>
        <w:rPr>
          <w:color w:val="000000" w:themeColor="text1"/>
        </w:rPr>
      </w:pPr>
    </w:p>
    <w:p w:rsidR="00604822" w:rsidRPr="00443397" w:rsidRDefault="00604822" w:rsidP="00604822">
      <w:pPr>
        <w:keepNext/>
        <w:rPr>
          <w:color w:val="000000" w:themeColor="text1"/>
        </w:rPr>
      </w:pPr>
      <w:r w:rsidRPr="00443397">
        <w:rPr>
          <w:color w:val="000000" w:themeColor="text1"/>
        </w:rPr>
        <w:t>2.3.2.4</w:t>
      </w:r>
      <w:r w:rsidRPr="00443397">
        <w:rPr>
          <w:color w:val="000000" w:themeColor="text1"/>
        </w:rPr>
        <w:tab/>
        <w:t>UPOV greatly benefits from additional financial resources provided, for example, in the form of Funds-in-Trust.   Funds-in-Trust are voluntary financial donations provided to UPOV by a member of the Union, usually provided to finance a specific program of activities mutually agreed between the Office of the Union and the donor member of the Union.  In recognition that Funds-in-Trust involve UPOV staff or other resources, the Office of the Union and the member of the Union concerned jointly develop a program of activities in accordance with the policy and priorities set by the UPOV Council.</w:t>
      </w:r>
    </w:p>
    <w:p w:rsidR="00604822" w:rsidRDefault="00604822" w:rsidP="00604822">
      <w:pPr>
        <w:jc w:val="left"/>
        <w:rPr>
          <w:color w:val="000000" w:themeColor="text1"/>
        </w:rPr>
      </w:pPr>
      <w:r>
        <w:rPr>
          <w:color w:val="000000" w:themeColor="text1"/>
        </w:rPr>
        <w:br w:type="page"/>
      </w:r>
    </w:p>
    <w:p w:rsidR="00604822" w:rsidRPr="00443397" w:rsidRDefault="00604822" w:rsidP="00604822">
      <w:pPr>
        <w:tabs>
          <w:tab w:val="left" w:pos="567"/>
        </w:tabs>
        <w:rPr>
          <w:color w:val="000000" w:themeColor="text1"/>
        </w:rPr>
      </w:pPr>
    </w:p>
    <w:tbl>
      <w:tblPr>
        <w:tblStyle w:val="TableGrid"/>
        <w:tblW w:w="0" w:type="auto"/>
        <w:tblInd w:w="675" w:type="dxa"/>
        <w:tblCellMar>
          <w:top w:w="57" w:type="dxa"/>
          <w:left w:w="57" w:type="dxa"/>
          <w:bottom w:w="28" w:type="dxa"/>
          <w:right w:w="57" w:type="dxa"/>
        </w:tblCellMar>
        <w:tblLook w:val="01E0" w:firstRow="1" w:lastRow="1" w:firstColumn="1" w:lastColumn="1" w:noHBand="0" w:noVBand="0"/>
      </w:tblPr>
      <w:tblGrid>
        <w:gridCol w:w="7371"/>
      </w:tblGrid>
      <w:tr w:rsidR="00604822" w:rsidRPr="00443397" w:rsidTr="00962988">
        <w:trPr>
          <w:cantSplit/>
        </w:trPr>
        <w:tc>
          <w:tcPr>
            <w:tcW w:w="7371" w:type="dxa"/>
          </w:tcPr>
          <w:p w:rsidR="00604822" w:rsidRPr="00443397" w:rsidRDefault="00604822" w:rsidP="00962988">
            <w:pPr>
              <w:tabs>
                <w:tab w:val="left" w:pos="567"/>
              </w:tabs>
              <w:rPr>
                <w:color w:val="000000" w:themeColor="text1"/>
              </w:rPr>
            </w:pPr>
            <w:r w:rsidRPr="00443397">
              <w:rPr>
                <w:color w:val="000000" w:themeColor="text1"/>
              </w:rPr>
              <w:t>Examples</w:t>
            </w:r>
            <w:r w:rsidRPr="00443397">
              <w:rPr>
                <w:rStyle w:val="FootnoteReference"/>
                <w:color w:val="000000" w:themeColor="text1"/>
              </w:rPr>
              <w:footnoteReference w:id="5"/>
            </w:r>
            <w:r w:rsidRPr="00443397">
              <w:rPr>
                <w:color w:val="000000" w:themeColor="text1"/>
              </w:rPr>
              <w:t>:</w:t>
            </w:r>
          </w:p>
          <w:p w:rsidR="00604822" w:rsidRPr="00443397" w:rsidRDefault="00604822" w:rsidP="00962988">
            <w:pPr>
              <w:tabs>
                <w:tab w:val="left" w:pos="567"/>
              </w:tabs>
              <w:rPr>
                <w:color w:val="000000" w:themeColor="text1"/>
              </w:rPr>
            </w:pPr>
          </w:p>
          <w:p w:rsidR="00604822" w:rsidRPr="00443397" w:rsidRDefault="00604822" w:rsidP="00962988">
            <w:pPr>
              <w:numPr>
                <w:ilvl w:val="0"/>
                <w:numId w:val="9"/>
              </w:numPr>
              <w:tabs>
                <w:tab w:val="clear" w:pos="720"/>
                <w:tab w:val="left" w:pos="601"/>
              </w:tabs>
              <w:spacing w:after="120"/>
              <w:ind w:left="601" w:hanging="244"/>
              <w:rPr>
                <w:color w:val="000000" w:themeColor="text1"/>
              </w:rPr>
            </w:pPr>
            <w:r w:rsidRPr="00443397">
              <w:rPr>
                <w:color w:val="000000" w:themeColor="text1"/>
              </w:rPr>
              <w:t>The Funds-in-Trust provided by the Japanese Government for activities in the Asian region</w:t>
            </w:r>
          </w:p>
          <w:p w:rsidR="00604822" w:rsidRPr="00443397" w:rsidRDefault="00604822" w:rsidP="00962988">
            <w:pPr>
              <w:numPr>
                <w:ilvl w:val="0"/>
                <w:numId w:val="9"/>
              </w:numPr>
              <w:tabs>
                <w:tab w:val="left" w:pos="601"/>
              </w:tabs>
              <w:spacing w:after="120"/>
              <w:rPr>
                <w:color w:val="000000" w:themeColor="text1"/>
              </w:rPr>
            </w:pPr>
            <w:r w:rsidRPr="00443397">
              <w:rPr>
                <w:color w:val="000000" w:themeColor="text1"/>
              </w:rPr>
              <w:t>The Funds-in-Trust provided by the Ministry of Economic Affairs of the Kingdom of the Netherlands (</w:t>
            </w:r>
            <w:r w:rsidRPr="00443397">
              <w:rPr>
                <w:rFonts w:cs="Arial"/>
                <w:color w:val="000000" w:themeColor="text1"/>
              </w:rPr>
              <w:t>Netherlands</w:t>
            </w:r>
            <w:r w:rsidRPr="00443397">
              <w:rPr>
                <w:color w:val="000000" w:themeColor="text1"/>
              </w:rPr>
              <w:t>)</w:t>
            </w:r>
          </w:p>
          <w:p w:rsidR="00604822" w:rsidRPr="00443397" w:rsidRDefault="00604822" w:rsidP="00962988">
            <w:pPr>
              <w:numPr>
                <w:ilvl w:val="0"/>
                <w:numId w:val="9"/>
              </w:numPr>
              <w:tabs>
                <w:tab w:val="clear" w:pos="720"/>
                <w:tab w:val="left" w:pos="601"/>
              </w:tabs>
              <w:ind w:left="601" w:hanging="244"/>
              <w:rPr>
                <w:color w:val="000000" w:themeColor="text1"/>
              </w:rPr>
            </w:pPr>
            <w:r w:rsidRPr="00443397">
              <w:rPr>
                <w:color w:val="000000" w:themeColor="text1"/>
              </w:rPr>
              <w:t>Memorandum of Understanding between the United States Patent and Trademark Office (USPTO) and UPOV</w:t>
            </w:r>
          </w:p>
        </w:tc>
      </w:tr>
    </w:tbl>
    <w:p w:rsidR="00604822" w:rsidRPr="00443397" w:rsidRDefault="00604822" w:rsidP="00604822">
      <w:pPr>
        <w:spacing w:line="360" w:lineRule="auto"/>
      </w:pPr>
    </w:p>
    <w:p w:rsidR="00604822" w:rsidRPr="00443397" w:rsidRDefault="00604822" w:rsidP="00604822">
      <w:pPr>
        <w:keepNext/>
        <w:tabs>
          <w:tab w:val="left" w:pos="567"/>
        </w:tabs>
        <w:rPr>
          <w:i/>
          <w:color w:val="000000" w:themeColor="text1"/>
        </w:rPr>
      </w:pPr>
      <w:r w:rsidRPr="00443397">
        <w:rPr>
          <w:i/>
          <w:color w:val="000000" w:themeColor="text1"/>
        </w:rPr>
        <w:t>Support from members of the Union</w:t>
      </w:r>
    </w:p>
    <w:p w:rsidR="00604822" w:rsidRPr="00443397" w:rsidRDefault="00604822" w:rsidP="00604822">
      <w:pPr>
        <w:keepNext/>
        <w:tabs>
          <w:tab w:val="left" w:pos="567"/>
        </w:tabs>
        <w:rPr>
          <w:color w:val="000000" w:themeColor="text1"/>
        </w:rPr>
      </w:pPr>
    </w:p>
    <w:p w:rsidR="00604822" w:rsidRPr="00443397" w:rsidRDefault="00604822" w:rsidP="00604822">
      <w:pPr>
        <w:rPr>
          <w:color w:val="000000" w:themeColor="text1"/>
        </w:rPr>
      </w:pPr>
      <w:r w:rsidRPr="00443397">
        <w:rPr>
          <w:color w:val="000000" w:themeColor="text1"/>
        </w:rPr>
        <w:t>2.3.2.5</w:t>
      </w:r>
      <w:r w:rsidRPr="00443397">
        <w:rPr>
          <w:color w:val="000000" w:themeColor="text1"/>
        </w:rPr>
        <w:tab/>
      </w:r>
      <w:r w:rsidRPr="00124828">
        <w:rPr>
          <w:color w:val="000000" w:themeColor="text1"/>
        </w:rPr>
        <w:t>An essential resource for the work of UPOV is the support in kind provided by many members of the Union in the form of experts acting as lecturers in UPOV activities and tutors in distance learning courses.</w:t>
      </w:r>
      <w:r>
        <w:rPr>
          <w:color w:val="000000" w:themeColor="text1"/>
        </w:rPr>
        <w:t xml:space="preserve"> Support in the form of suitably</w:t>
      </w:r>
      <w:r w:rsidRPr="00124828">
        <w:rPr>
          <w:color w:val="000000" w:themeColor="text1"/>
        </w:rPr>
        <w:t xml:space="preserve"> qualified officials, fully funded by members of the Union through the Junior Profes</w:t>
      </w:r>
      <w:r>
        <w:rPr>
          <w:color w:val="000000" w:themeColor="text1"/>
        </w:rPr>
        <w:t>sional Officer (JPO) program</w:t>
      </w:r>
      <w:r w:rsidR="002A36F2">
        <w:rPr>
          <w:color w:val="000000" w:themeColor="text1"/>
        </w:rPr>
        <w:t xml:space="preserve"> and/or fellowships</w:t>
      </w:r>
      <w:r w:rsidRPr="00124828">
        <w:rPr>
          <w:color w:val="000000" w:themeColor="text1"/>
        </w:rPr>
        <w:t>, are also a potential source of support that will be considered, as appropriate.</w:t>
      </w:r>
    </w:p>
    <w:p w:rsidR="00604822" w:rsidRPr="00443397" w:rsidRDefault="00604822" w:rsidP="00604822">
      <w:pPr>
        <w:spacing w:line="360" w:lineRule="auto"/>
      </w:pPr>
    </w:p>
    <w:p w:rsidR="00604822" w:rsidRPr="00443397" w:rsidRDefault="00604822" w:rsidP="00604822">
      <w:pPr>
        <w:keepNext/>
        <w:tabs>
          <w:tab w:val="left" w:pos="567"/>
        </w:tabs>
        <w:rPr>
          <w:i/>
          <w:color w:val="000000" w:themeColor="text1"/>
        </w:rPr>
      </w:pPr>
      <w:r w:rsidRPr="00443397">
        <w:rPr>
          <w:i/>
          <w:color w:val="000000" w:themeColor="text1"/>
        </w:rPr>
        <w:t>Training courses on plant variety protection</w:t>
      </w:r>
    </w:p>
    <w:p w:rsidR="00604822" w:rsidRPr="00443397" w:rsidRDefault="00604822" w:rsidP="00604822"/>
    <w:p w:rsidR="00604822" w:rsidRPr="00443397" w:rsidRDefault="00604822" w:rsidP="00604822">
      <w:pPr>
        <w:rPr>
          <w:rFonts w:cs="Arial"/>
          <w:color w:val="000000" w:themeColor="text1"/>
          <w:spacing w:val="-2"/>
        </w:rPr>
      </w:pPr>
      <w:r w:rsidRPr="00444B9B">
        <w:rPr>
          <w:color w:val="000000" w:themeColor="text1"/>
        </w:rPr>
        <w:t>2.3.2.6</w:t>
      </w:r>
      <w:r w:rsidRPr="00444B9B">
        <w:rPr>
          <w:rFonts w:cs="Arial"/>
          <w:color w:val="000000" w:themeColor="text1"/>
        </w:rPr>
        <w:tab/>
        <w:t>A number of members of the Union provide training courses in plant variety protection according to the UPOV Convention (e.g. the “Training Course on the Protection of Plant Breeders’ Rights”, organized by the Japan International Cooperation Agency (JICA) (Japan);  the “</w:t>
      </w:r>
      <w:r w:rsidRPr="00444B9B">
        <w:rPr>
          <w:rFonts w:cs="Arial"/>
          <w:i/>
          <w:color w:val="000000" w:themeColor="text1"/>
        </w:rPr>
        <w:t xml:space="preserve">Taller </w:t>
      </w:r>
      <w:proofErr w:type="spellStart"/>
      <w:r w:rsidRPr="00444B9B">
        <w:rPr>
          <w:rFonts w:cs="Arial"/>
          <w:i/>
          <w:color w:val="000000" w:themeColor="text1"/>
        </w:rPr>
        <w:t>internacional</w:t>
      </w:r>
      <w:proofErr w:type="spellEnd"/>
      <w:r w:rsidRPr="00444B9B">
        <w:rPr>
          <w:rFonts w:cs="Arial"/>
          <w:i/>
          <w:color w:val="000000" w:themeColor="text1"/>
        </w:rPr>
        <w:t xml:space="preserve"> de </w:t>
      </w:r>
      <w:proofErr w:type="spellStart"/>
      <w:r w:rsidRPr="00444B9B">
        <w:rPr>
          <w:rFonts w:cs="Arial"/>
          <w:i/>
          <w:color w:val="000000" w:themeColor="text1"/>
        </w:rPr>
        <w:t>evaluación</w:t>
      </w:r>
      <w:proofErr w:type="spellEnd"/>
      <w:r w:rsidRPr="00444B9B">
        <w:rPr>
          <w:rFonts w:cs="Arial"/>
          <w:i/>
          <w:color w:val="000000" w:themeColor="text1"/>
        </w:rPr>
        <w:t xml:space="preserve"> de la </w:t>
      </w:r>
      <w:proofErr w:type="spellStart"/>
      <w:r w:rsidRPr="00444B9B">
        <w:rPr>
          <w:rFonts w:cs="Arial"/>
          <w:i/>
          <w:color w:val="000000" w:themeColor="text1"/>
        </w:rPr>
        <w:t>distinción</w:t>
      </w:r>
      <w:proofErr w:type="spellEnd"/>
      <w:r w:rsidRPr="00444B9B">
        <w:rPr>
          <w:rFonts w:cs="Arial"/>
          <w:i/>
          <w:color w:val="000000" w:themeColor="text1"/>
        </w:rPr>
        <w:t xml:space="preserve">, </w:t>
      </w:r>
      <w:proofErr w:type="spellStart"/>
      <w:r w:rsidRPr="00444B9B">
        <w:rPr>
          <w:rFonts w:cs="Arial"/>
          <w:i/>
          <w:color w:val="000000" w:themeColor="text1"/>
        </w:rPr>
        <w:t>homogeneidad</w:t>
      </w:r>
      <w:proofErr w:type="spellEnd"/>
      <w:r w:rsidRPr="00444B9B">
        <w:rPr>
          <w:rFonts w:cs="Arial"/>
          <w:i/>
          <w:color w:val="000000" w:themeColor="text1"/>
        </w:rPr>
        <w:t xml:space="preserve"> y </w:t>
      </w:r>
      <w:proofErr w:type="spellStart"/>
      <w:r w:rsidRPr="00444B9B">
        <w:rPr>
          <w:rFonts w:cs="Arial"/>
          <w:i/>
          <w:color w:val="000000" w:themeColor="text1"/>
        </w:rPr>
        <w:t>estabilidad</w:t>
      </w:r>
      <w:proofErr w:type="spellEnd"/>
      <w:r w:rsidRPr="00444B9B">
        <w:rPr>
          <w:rFonts w:cs="Arial"/>
          <w:i/>
          <w:color w:val="000000" w:themeColor="text1"/>
        </w:rPr>
        <w:t xml:space="preserve"> (DHE) de </w:t>
      </w:r>
      <w:proofErr w:type="spellStart"/>
      <w:r w:rsidRPr="00444B9B">
        <w:rPr>
          <w:rFonts w:cs="Arial"/>
          <w:i/>
          <w:color w:val="000000" w:themeColor="text1"/>
        </w:rPr>
        <w:t>variedades</w:t>
      </w:r>
      <w:proofErr w:type="spellEnd"/>
      <w:r w:rsidRPr="00444B9B">
        <w:rPr>
          <w:rFonts w:cs="Arial"/>
          <w:i/>
          <w:color w:val="000000" w:themeColor="text1"/>
        </w:rPr>
        <w:t xml:space="preserve"> </w:t>
      </w:r>
      <w:proofErr w:type="spellStart"/>
      <w:r w:rsidRPr="00444B9B">
        <w:rPr>
          <w:rFonts w:cs="Arial"/>
          <w:i/>
          <w:color w:val="000000" w:themeColor="text1"/>
        </w:rPr>
        <w:t>vegetales</w:t>
      </w:r>
      <w:proofErr w:type="spellEnd"/>
      <w:r w:rsidRPr="00444B9B">
        <w:rPr>
          <w:rFonts w:cs="Arial"/>
          <w:color w:val="000000" w:themeColor="text1"/>
        </w:rPr>
        <w:t xml:space="preserve">” organized by the </w:t>
      </w:r>
      <w:proofErr w:type="spellStart"/>
      <w:r w:rsidRPr="00444B9B">
        <w:rPr>
          <w:rFonts w:cs="Arial"/>
          <w:i/>
          <w:color w:val="000000" w:themeColor="text1"/>
        </w:rPr>
        <w:t>Servicio</w:t>
      </w:r>
      <w:proofErr w:type="spellEnd"/>
      <w:r w:rsidRPr="00444B9B">
        <w:rPr>
          <w:rFonts w:cs="Arial"/>
          <w:i/>
          <w:color w:val="000000" w:themeColor="text1"/>
        </w:rPr>
        <w:t xml:space="preserve"> Nacional de </w:t>
      </w:r>
      <w:proofErr w:type="spellStart"/>
      <w:r w:rsidRPr="00444B9B">
        <w:rPr>
          <w:rFonts w:cs="Arial"/>
          <w:i/>
          <w:color w:val="000000" w:themeColor="text1"/>
        </w:rPr>
        <w:t>Inspección</w:t>
      </w:r>
      <w:proofErr w:type="spellEnd"/>
      <w:r w:rsidRPr="00444B9B">
        <w:rPr>
          <w:rFonts w:cs="Arial"/>
          <w:i/>
          <w:color w:val="000000" w:themeColor="text1"/>
        </w:rPr>
        <w:t xml:space="preserve"> y </w:t>
      </w:r>
      <w:proofErr w:type="spellStart"/>
      <w:r w:rsidRPr="00444B9B">
        <w:rPr>
          <w:rFonts w:cs="Arial"/>
          <w:i/>
          <w:color w:val="000000" w:themeColor="text1"/>
        </w:rPr>
        <w:t>Certificación</w:t>
      </w:r>
      <w:proofErr w:type="spellEnd"/>
      <w:r w:rsidRPr="00444B9B">
        <w:rPr>
          <w:rFonts w:cs="Arial"/>
          <w:i/>
          <w:color w:val="000000" w:themeColor="text1"/>
        </w:rPr>
        <w:t xml:space="preserve"> de </w:t>
      </w:r>
      <w:proofErr w:type="spellStart"/>
      <w:r w:rsidRPr="00444B9B">
        <w:rPr>
          <w:rFonts w:cs="Arial"/>
          <w:i/>
          <w:color w:val="000000" w:themeColor="text1"/>
        </w:rPr>
        <w:t>Semillas</w:t>
      </w:r>
      <w:proofErr w:type="spellEnd"/>
      <w:r w:rsidRPr="00444B9B">
        <w:rPr>
          <w:rFonts w:cs="Arial"/>
          <w:color w:val="000000" w:themeColor="text1"/>
        </w:rPr>
        <w:t xml:space="preserve"> (SNICS) and the </w:t>
      </w:r>
      <w:proofErr w:type="spellStart"/>
      <w:r w:rsidRPr="00444B9B">
        <w:rPr>
          <w:rFonts w:cs="Arial"/>
          <w:i/>
          <w:color w:val="000000" w:themeColor="text1"/>
        </w:rPr>
        <w:t>Colegio</w:t>
      </w:r>
      <w:proofErr w:type="spellEnd"/>
      <w:r w:rsidRPr="00444B9B">
        <w:rPr>
          <w:rFonts w:cs="Arial"/>
          <w:i/>
          <w:color w:val="000000" w:themeColor="text1"/>
        </w:rPr>
        <w:t xml:space="preserve"> de </w:t>
      </w:r>
      <w:proofErr w:type="spellStart"/>
      <w:r w:rsidRPr="00444B9B">
        <w:rPr>
          <w:rFonts w:cs="Arial"/>
          <w:i/>
          <w:color w:val="000000" w:themeColor="text1"/>
        </w:rPr>
        <w:t>Postgraduados</w:t>
      </w:r>
      <w:proofErr w:type="spellEnd"/>
      <w:r w:rsidRPr="00444B9B">
        <w:rPr>
          <w:rFonts w:cs="Arial"/>
          <w:color w:val="000000" w:themeColor="text1"/>
        </w:rPr>
        <w:t xml:space="preserve"> (Mexico);  the “Plant Variety Protection Course”, organized by </w:t>
      </w:r>
      <w:proofErr w:type="spellStart"/>
      <w:r w:rsidRPr="00444B9B">
        <w:rPr>
          <w:rFonts w:cs="Arial"/>
          <w:color w:val="000000" w:themeColor="text1"/>
        </w:rPr>
        <w:t>Naktuinbouw</w:t>
      </w:r>
      <w:proofErr w:type="spellEnd"/>
      <w:r w:rsidRPr="00444B9B">
        <w:rPr>
          <w:rFonts w:cs="Arial"/>
          <w:color w:val="000000" w:themeColor="text1"/>
        </w:rPr>
        <w:t xml:space="preserve"> (Netherlands);  the “Training Course on Plant Variety Protection”, organized by the Korean Seed &amp; Variety Service (KSVS) and the Korean International Cooperation Agency (KOICA) (Republic of Korea); the </w:t>
      </w:r>
      <w:r w:rsidRPr="00444B9B">
        <w:rPr>
          <w:rFonts w:cs="Arial"/>
          <w:i/>
          <w:iCs/>
        </w:rPr>
        <w:t>“</w:t>
      </w:r>
      <w:r w:rsidRPr="00444B9B">
        <w:rPr>
          <w:rFonts w:cs="Arial"/>
          <w:i/>
        </w:rPr>
        <w:t xml:space="preserve">Taller </w:t>
      </w:r>
      <w:proofErr w:type="spellStart"/>
      <w:r w:rsidRPr="00444B9B">
        <w:rPr>
          <w:rFonts w:cs="Arial"/>
          <w:i/>
        </w:rPr>
        <w:t>sobre</w:t>
      </w:r>
      <w:proofErr w:type="spellEnd"/>
      <w:r w:rsidRPr="00444B9B">
        <w:rPr>
          <w:rFonts w:cs="Arial"/>
          <w:i/>
        </w:rPr>
        <w:t xml:space="preserve"> </w:t>
      </w:r>
      <w:proofErr w:type="spellStart"/>
      <w:r w:rsidRPr="00444B9B">
        <w:rPr>
          <w:rFonts w:cs="Arial"/>
          <w:i/>
        </w:rPr>
        <w:t>los</w:t>
      </w:r>
      <w:proofErr w:type="spellEnd"/>
      <w:r w:rsidRPr="00444B9B">
        <w:rPr>
          <w:rFonts w:cs="Arial"/>
          <w:i/>
        </w:rPr>
        <w:t xml:space="preserve"> </w:t>
      </w:r>
      <w:proofErr w:type="spellStart"/>
      <w:r w:rsidRPr="00444B9B">
        <w:rPr>
          <w:rFonts w:cs="Arial"/>
          <w:i/>
        </w:rPr>
        <w:t>beneficios</w:t>
      </w:r>
      <w:proofErr w:type="spellEnd"/>
      <w:r w:rsidRPr="00444B9B">
        <w:rPr>
          <w:rFonts w:cs="Arial"/>
          <w:i/>
        </w:rPr>
        <w:t xml:space="preserve"> del </w:t>
      </w:r>
      <w:proofErr w:type="spellStart"/>
      <w:r w:rsidRPr="00444B9B">
        <w:rPr>
          <w:rFonts w:cs="Arial"/>
          <w:i/>
        </w:rPr>
        <w:t>Acta</w:t>
      </w:r>
      <w:proofErr w:type="spellEnd"/>
      <w:r w:rsidRPr="00444B9B">
        <w:rPr>
          <w:rFonts w:cs="Arial"/>
          <w:i/>
        </w:rPr>
        <w:t xml:space="preserve"> de 1991 del </w:t>
      </w:r>
      <w:proofErr w:type="spellStart"/>
      <w:r w:rsidRPr="00444B9B">
        <w:rPr>
          <w:rFonts w:cs="Arial"/>
          <w:i/>
        </w:rPr>
        <w:t>Convenio</w:t>
      </w:r>
      <w:proofErr w:type="spellEnd"/>
      <w:r w:rsidRPr="00444B9B">
        <w:rPr>
          <w:rFonts w:cs="Arial"/>
          <w:i/>
        </w:rPr>
        <w:t xml:space="preserve"> de la UPOV para las </w:t>
      </w:r>
      <w:proofErr w:type="spellStart"/>
      <w:r w:rsidRPr="00444B9B">
        <w:rPr>
          <w:rFonts w:cs="Arial"/>
          <w:i/>
        </w:rPr>
        <w:t>políticas</w:t>
      </w:r>
      <w:proofErr w:type="spellEnd"/>
      <w:r w:rsidRPr="00444B9B">
        <w:rPr>
          <w:rFonts w:cs="Arial"/>
          <w:i/>
        </w:rPr>
        <w:t xml:space="preserve"> </w:t>
      </w:r>
      <w:proofErr w:type="spellStart"/>
      <w:r w:rsidRPr="00444B9B">
        <w:rPr>
          <w:rFonts w:cs="Arial"/>
          <w:i/>
        </w:rPr>
        <w:t>públicas</w:t>
      </w:r>
      <w:proofErr w:type="spellEnd"/>
      <w:r w:rsidRPr="00444B9B">
        <w:rPr>
          <w:rFonts w:cs="Arial"/>
          <w:i/>
        </w:rPr>
        <w:t xml:space="preserve"> de </w:t>
      </w:r>
      <w:proofErr w:type="spellStart"/>
      <w:r w:rsidRPr="00444B9B">
        <w:rPr>
          <w:rFonts w:cs="Arial"/>
          <w:i/>
        </w:rPr>
        <w:t>agricultura</w:t>
      </w:r>
      <w:proofErr w:type="spellEnd"/>
      <w:r w:rsidRPr="00444B9B">
        <w:rPr>
          <w:rFonts w:cs="Arial"/>
          <w:i/>
        </w:rPr>
        <w:t xml:space="preserve"> y de </w:t>
      </w:r>
      <w:proofErr w:type="spellStart"/>
      <w:r w:rsidRPr="00444B9B">
        <w:rPr>
          <w:rFonts w:cs="Arial"/>
          <w:i/>
        </w:rPr>
        <w:t>seguridad</w:t>
      </w:r>
      <w:proofErr w:type="spellEnd"/>
      <w:r w:rsidRPr="00444B9B">
        <w:rPr>
          <w:rFonts w:cs="Arial"/>
          <w:i/>
        </w:rPr>
        <w:t xml:space="preserve"> </w:t>
      </w:r>
      <w:proofErr w:type="spellStart"/>
      <w:r w:rsidRPr="00444B9B">
        <w:rPr>
          <w:rFonts w:cs="Arial"/>
          <w:i/>
        </w:rPr>
        <w:t>alimentaria</w:t>
      </w:r>
      <w:proofErr w:type="spellEnd"/>
      <w:r w:rsidRPr="00444B9B">
        <w:rPr>
          <w:rFonts w:cs="Arial"/>
        </w:rPr>
        <w:t xml:space="preserve">”, organized </w:t>
      </w:r>
      <w:r>
        <w:rPr>
          <w:rFonts w:cs="Arial"/>
        </w:rPr>
        <w:t>with</w:t>
      </w:r>
      <w:r w:rsidRPr="00444B9B">
        <w:rPr>
          <w:rFonts w:cs="Arial"/>
        </w:rPr>
        <w:t xml:space="preserve"> the </w:t>
      </w:r>
      <w:proofErr w:type="spellStart"/>
      <w:r w:rsidRPr="00444B9B">
        <w:rPr>
          <w:rFonts w:cs="Arial"/>
          <w:i/>
          <w:iCs/>
        </w:rPr>
        <w:t>Oficina</w:t>
      </w:r>
      <w:proofErr w:type="spellEnd"/>
      <w:r w:rsidRPr="00444B9B">
        <w:rPr>
          <w:rFonts w:cs="Arial"/>
          <w:i/>
          <w:iCs/>
        </w:rPr>
        <w:t xml:space="preserve"> Española de </w:t>
      </w:r>
      <w:proofErr w:type="spellStart"/>
      <w:r w:rsidRPr="00444B9B">
        <w:rPr>
          <w:rFonts w:cs="Arial"/>
          <w:i/>
          <w:iCs/>
        </w:rPr>
        <w:t>Variedades</w:t>
      </w:r>
      <w:proofErr w:type="spellEnd"/>
      <w:r w:rsidRPr="00444B9B">
        <w:rPr>
          <w:rFonts w:cs="Arial"/>
          <w:i/>
          <w:iCs/>
        </w:rPr>
        <w:t xml:space="preserve"> </w:t>
      </w:r>
      <w:proofErr w:type="spellStart"/>
      <w:r w:rsidRPr="00444B9B">
        <w:rPr>
          <w:rFonts w:cs="Arial"/>
          <w:i/>
          <w:iCs/>
        </w:rPr>
        <w:t>Vegetales</w:t>
      </w:r>
      <w:proofErr w:type="spellEnd"/>
      <w:r w:rsidRPr="00444B9B">
        <w:rPr>
          <w:rFonts w:cs="Arial"/>
        </w:rPr>
        <w:t xml:space="preserve"> (OEVV) (Spain), the </w:t>
      </w:r>
      <w:proofErr w:type="spellStart"/>
      <w:r w:rsidRPr="00444B9B">
        <w:rPr>
          <w:rFonts w:cs="Arial"/>
          <w:i/>
          <w:iCs/>
        </w:rPr>
        <w:t>Agencia</w:t>
      </w:r>
      <w:proofErr w:type="spellEnd"/>
      <w:r w:rsidRPr="00444B9B">
        <w:rPr>
          <w:rFonts w:cs="Arial"/>
          <w:i/>
          <w:iCs/>
        </w:rPr>
        <w:t xml:space="preserve"> Española de </w:t>
      </w:r>
      <w:proofErr w:type="spellStart"/>
      <w:r w:rsidRPr="00444B9B">
        <w:rPr>
          <w:rFonts w:cs="Arial"/>
          <w:i/>
          <w:iCs/>
        </w:rPr>
        <w:t>Cooperación</w:t>
      </w:r>
      <w:proofErr w:type="spellEnd"/>
      <w:r w:rsidRPr="00444B9B">
        <w:rPr>
          <w:rFonts w:cs="Arial"/>
          <w:i/>
          <w:iCs/>
        </w:rPr>
        <w:t xml:space="preserve"> </w:t>
      </w:r>
      <w:proofErr w:type="spellStart"/>
      <w:r w:rsidRPr="00444B9B">
        <w:rPr>
          <w:rFonts w:cs="Arial"/>
          <w:i/>
          <w:iCs/>
        </w:rPr>
        <w:t>Internacional</w:t>
      </w:r>
      <w:proofErr w:type="spellEnd"/>
      <w:r w:rsidRPr="00444B9B">
        <w:rPr>
          <w:rFonts w:cs="Arial"/>
          <w:i/>
          <w:iCs/>
        </w:rPr>
        <w:t xml:space="preserve"> para el </w:t>
      </w:r>
      <w:proofErr w:type="spellStart"/>
      <w:r w:rsidRPr="00444B9B">
        <w:rPr>
          <w:rFonts w:cs="Arial"/>
          <w:i/>
          <w:iCs/>
        </w:rPr>
        <w:t>Desarrollo</w:t>
      </w:r>
      <w:proofErr w:type="spellEnd"/>
      <w:r w:rsidRPr="00444B9B">
        <w:rPr>
          <w:rFonts w:cs="Arial"/>
        </w:rPr>
        <w:t xml:space="preserve"> (AECID) (Spain), the United States Patent and Trademark Office (USPTO) and WIPO</w:t>
      </w:r>
      <w:r w:rsidRPr="00444B9B">
        <w:rPr>
          <w:rFonts w:cs="Arial"/>
          <w:color w:val="000000" w:themeColor="text1"/>
        </w:rPr>
        <w:t xml:space="preserve">;  and the “Plant Variety Protection Under UPOV Convention” course, organized </w:t>
      </w:r>
      <w:r>
        <w:rPr>
          <w:rFonts w:cs="Arial"/>
          <w:color w:val="000000" w:themeColor="text1"/>
        </w:rPr>
        <w:t>with</w:t>
      </w:r>
      <w:r w:rsidRPr="00444B9B">
        <w:rPr>
          <w:rFonts w:cs="Arial"/>
          <w:color w:val="000000" w:themeColor="text1"/>
        </w:rPr>
        <w:t xml:space="preserve"> the </w:t>
      </w:r>
      <w:r w:rsidRPr="00444B9B">
        <w:rPr>
          <w:rFonts w:cs="Arial"/>
          <w:color w:val="000000" w:themeColor="text1"/>
          <w:spacing w:val="-2"/>
        </w:rPr>
        <w:t>USPTO).</w:t>
      </w:r>
    </w:p>
    <w:p w:rsidR="00604822" w:rsidRPr="00B93F81" w:rsidRDefault="00604822" w:rsidP="00604822"/>
    <w:p w:rsidR="00604822" w:rsidRPr="00443397" w:rsidRDefault="00604822" w:rsidP="00604822">
      <w:pPr>
        <w:keepNext/>
        <w:tabs>
          <w:tab w:val="left" w:pos="567"/>
        </w:tabs>
        <w:rPr>
          <w:i/>
          <w:color w:val="000000" w:themeColor="text1"/>
        </w:rPr>
      </w:pPr>
      <w:r w:rsidRPr="00443397">
        <w:rPr>
          <w:i/>
          <w:color w:val="000000" w:themeColor="text1"/>
        </w:rPr>
        <w:t>Cooperation with other organizations and bodies</w:t>
      </w:r>
    </w:p>
    <w:p w:rsidR="00604822" w:rsidRPr="00443397" w:rsidRDefault="00604822" w:rsidP="00604822"/>
    <w:p w:rsidR="00604822" w:rsidRPr="00443397" w:rsidRDefault="00604822" w:rsidP="00604822">
      <w:pPr>
        <w:rPr>
          <w:color w:val="000000" w:themeColor="text1"/>
        </w:rPr>
      </w:pPr>
      <w:r w:rsidRPr="00443397">
        <w:rPr>
          <w:color w:val="000000" w:themeColor="text1"/>
        </w:rPr>
        <w:t>2.3.2.7</w:t>
      </w:r>
      <w:r w:rsidRPr="00443397">
        <w:rPr>
          <w:color w:val="000000" w:themeColor="text1"/>
        </w:rPr>
        <w:tab/>
        <w:t xml:space="preserve">UPOV’s cooperation with WIPO is an important means of providing assistance to States and relevant organizations in an effective way.  </w:t>
      </w:r>
    </w:p>
    <w:p w:rsidR="00604822" w:rsidRPr="00443397" w:rsidRDefault="00604822" w:rsidP="00604822">
      <w:pPr>
        <w:rPr>
          <w:color w:val="000000" w:themeColor="text1"/>
        </w:rPr>
      </w:pPr>
    </w:p>
    <w:p w:rsidR="00604822" w:rsidRPr="00443397" w:rsidRDefault="00604822" w:rsidP="00604822">
      <w:pPr>
        <w:rPr>
          <w:color w:val="000000" w:themeColor="text1"/>
        </w:rPr>
      </w:pPr>
      <w:r w:rsidRPr="00443397">
        <w:rPr>
          <w:color w:val="000000" w:themeColor="text1"/>
        </w:rPr>
        <w:t>2.3.2.8</w:t>
      </w:r>
      <w:r w:rsidRPr="00443397">
        <w:rPr>
          <w:color w:val="000000" w:themeColor="text1"/>
        </w:rPr>
        <w:tab/>
        <w:t xml:space="preserve">The </w:t>
      </w:r>
      <w:r w:rsidRPr="00443397">
        <w:rPr>
          <w:color w:val="000000" w:themeColor="text1"/>
          <w:szCs w:val="24"/>
        </w:rPr>
        <w:t>East Asia Plant Variety Protection (EAPVP) Forum</w:t>
      </w:r>
      <w:r w:rsidRPr="00443397">
        <w:rPr>
          <w:color w:val="000000" w:themeColor="text1"/>
        </w:rPr>
        <w:t xml:space="preserve"> works </w:t>
      </w:r>
      <w:r w:rsidRPr="00443397">
        <w:rPr>
          <w:color w:val="000000" w:themeColor="text1"/>
          <w:szCs w:val="24"/>
        </w:rPr>
        <w:t xml:space="preserve">to facilitate the improvement of the implementation and the harmonization of the plant variety protection system in the Asian region and the </w:t>
      </w:r>
      <w:r w:rsidRPr="00443397">
        <w:rPr>
          <w:color w:val="000000" w:themeColor="text1"/>
        </w:rPr>
        <w:t>Office of the Union will continue to work with the Forum</w:t>
      </w:r>
      <w:r>
        <w:rPr>
          <w:color w:val="000000" w:themeColor="text1"/>
        </w:rPr>
        <w:t xml:space="preserve"> in accordance with the priorities for providing assistance</w:t>
      </w:r>
      <w:r w:rsidRPr="00443397">
        <w:rPr>
          <w:color w:val="000000" w:themeColor="text1"/>
          <w:szCs w:val="24"/>
        </w:rPr>
        <w:t>.</w:t>
      </w:r>
      <w:r w:rsidRPr="00443397">
        <w:rPr>
          <w:color w:val="000000" w:themeColor="text1"/>
        </w:rPr>
        <w:t xml:space="preserve"> </w:t>
      </w:r>
    </w:p>
    <w:p w:rsidR="00604822" w:rsidRDefault="00604822" w:rsidP="00604822"/>
    <w:p w:rsidR="00604822" w:rsidRPr="00443397" w:rsidRDefault="00604822" w:rsidP="00604822"/>
    <w:p w:rsidR="00604822" w:rsidRPr="00443397" w:rsidRDefault="00604822" w:rsidP="00604822">
      <w:pPr>
        <w:rPr>
          <w:u w:val="single"/>
        </w:rPr>
      </w:pPr>
      <w:r w:rsidRPr="00443397">
        <w:rPr>
          <w:u w:val="single"/>
        </w:rPr>
        <w:t xml:space="preserve">Strategy for </w:t>
      </w:r>
      <w:r>
        <w:rPr>
          <w:u w:val="single"/>
        </w:rPr>
        <w:t>t</w:t>
      </w:r>
      <w:r w:rsidRPr="00616FB8">
        <w:rPr>
          <w:u w:val="single"/>
        </w:rPr>
        <w:t xml:space="preserve">raining and </w:t>
      </w:r>
      <w:r>
        <w:rPr>
          <w:u w:val="single"/>
        </w:rPr>
        <w:t>a</w:t>
      </w:r>
      <w:r w:rsidRPr="00443397">
        <w:rPr>
          <w:u w:val="single"/>
        </w:rPr>
        <w:t>ssistance</w:t>
      </w:r>
    </w:p>
    <w:p w:rsidR="00604822" w:rsidRPr="00443397" w:rsidRDefault="00604822" w:rsidP="00604822"/>
    <w:p w:rsidR="00604822" w:rsidRPr="00B63232" w:rsidRDefault="00604822" w:rsidP="00604822">
      <w:r w:rsidRPr="00443397">
        <w:t>2.3.2.9</w:t>
      </w:r>
      <w:r w:rsidRPr="00443397">
        <w:tab/>
        <w:t>In order to utilize available resources in the most effective way, the Office of the Union will continue to prioritize its activities and to explore synergies in its activities with members of the Union and other partners according to the following</w:t>
      </w:r>
      <w:r>
        <w:t xml:space="preserve"> key elements of the training and assistance strategy.</w:t>
      </w:r>
    </w:p>
    <w:p w:rsidR="00604822" w:rsidRPr="00443397" w:rsidRDefault="00604822" w:rsidP="00604822">
      <w:pPr>
        <w:spacing w:line="360" w:lineRule="auto"/>
      </w:pPr>
    </w:p>
    <w:p w:rsidR="00604822" w:rsidRPr="00616FB8" w:rsidRDefault="00604822" w:rsidP="00604822">
      <w:pPr>
        <w:rPr>
          <w:i/>
        </w:rPr>
      </w:pPr>
      <w:r w:rsidRPr="00616FB8">
        <w:rPr>
          <w:i/>
        </w:rPr>
        <w:t>Standard training activities organized or co-organized by UPOV</w:t>
      </w:r>
    </w:p>
    <w:p w:rsidR="00604822" w:rsidRPr="00443397" w:rsidRDefault="00604822" w:rsidP="00604822"/>
    <w:p w:rsidR="00604822" w:rsidRPr="00443397" w:rsidRDefault="00604822" w:rsidP="00604822">
      <w:r w:rsidRPr="00443397">
        <w:rPr>
          <w:color w:val="000000" w:themeColor="text1"/>
        </w:rPr>
        <w:t>2.3.2.10</w:t>
      </w:r>
      <w:r w:rsidRPr="00443397">
        <w:tab/>
        <w:t xml:space="preserve">The UPOV distance learning courses are a particularly effective means of providing high quality training to large numbers of participants and will continue to be a cornerstone of UPOV’s training and assistance strategy.  The incorporation of UPOV distance learning courses into UPOV activities and activities organized by others (see below) will also be an important part of the strategy.  In recognition of the limitation of UPOV staff resources, </w:t>
      </w:r>
      <w:r>
        <w:t>external</w:t>
      </w:r>
      <w:r w:rsidRPr="00443397">
        <w:t xml:space="preserve"> administration and tutoring services will be </w:t>
      </w:r>
      <w:r>
        <w:t>used</w:t>
      </w:r>
      <w:r w:rsidRPr="00443397">
        <w:t xml:space="preserve"> according to available funds.</w:t>
      </w:r>
    </w:p>
    <w:p w:rsidR="00604822" w:rsidRPr="00443397" w:rsidRDefault="00604822" w:rsidP="00604822"/>
    <w:p w:rsidR="00604822" w:rsidRPr="00443397" w:rsidRDefault="00604822" w:rsidP="00604822">
      <w:r w:rsidRPr="00443397">
        <w:rPr>
          <w:color w:val="000000" w:themeColor="text1"/>
        </w:rPr>
        <w:t>2.3.2.11</w:t>
      </w:r>
      <w:r w:rsidRPr="00443397">
        <w:tab/>
        <w:t>A further mechanism to make the most effective use of UPOV staff resources and the existing knowledge and experience within members of the Union, is to train non-UPOV staff to act as trainers (training of trainers).  Training</w:t>
      </w:r>
      <w:r>
        <w:t xml:space="preserve"> courses for</w:t>
      </w:r>
      <w:r w:rsidRPr="00443397">
        <w:t xml:space="preserve"> trainers in appropriate languages </w:t>
      </w:r>
      <w:r>
        <w:t>will be organized</w:t>
      </w:r>
      <w:r w:rsidRPr="00443397">
        <w:t xml:space="preserve"> according to available funds.   </w:t>
      </w:r>
    </w:p>
    <w:p w:rsidR="00604822" w:rsidRPr="00443397" w:rsidRDefault="00604822" w:rsidP="00604822">
      <w:pPr>
        <w:spacing w:line="360" w:lineRule="auto"/>
      </w:pPr>
    </w:p>
    <w:p w:rsidR="00604822" w:rsidRPr="00616FB8" w:rsidRDefault="00604822" w:rsidP="00604822">
      <w:pPr>
        <w:keepNext/>
        <w:rPr>
          <w:i/>
        </w:rPr>
      </w:pPr>
      <w:r w:rsidRPr="00616FB8">
        <w:rPr>
          <w:i/>
        </w:rPr>
        <w:t>Training activities developed in conjunction with UPOV</w:t>
      </w:r>
    </w:p>
    <w:p w:rsidR="00604822" w:rsidRPr="00443397" w:rsidRDefault="00604822" w:rsidP="00604822">
      <w:pPr>
        <w:keepNext/>
      </w:pPr>
    </w:p>
    <w:p w:rsidR="00604822" w:rsidRPr="00443397" w:rsidRDefault="00604822" w:rsidP="00604822">
      <w:r w:rsidRPr="00443397">
        <w:rPr>
          <w:color w:val="000000" w:themeColor="text1"/>
        </w:rPr>
        <w:t>2.3.2.12</w:t>
      </w:r>
      <w:r w:rsidRPr="00443397">
        <w:tab/>
      </w:r>
      <w:proofErr w:type="gramStart"/>
      <w:r w:rsidRPr="00443397">
        <w:t>A</w:t>
      </w:r>
      <w:proofErr w:type="gramEnd"/>
      <w:r w:rsidRPr="00443397">
        <w:t xml:space="preserve"> number of members of the Union provide important assistance to States and relevant organizations.  Therefore, the Office of the Union will work with such members of the Union to develop activities to be organized </w:t>
      </w:r>
      <w:r w:rsidRPr="00616FB8">
        <w:t>with</w:t>
      </w:r>
      <w:r>
        <w:t xml:space="preserve"> </w:t>
      </w:r>
      <w:r w:rsidRPr="00443397">
        <w:t xml:space="preserve">the members of the Union concerned and for which UPOV will fund suitable participants according to available funds.  </w:t>
      </w:r>
    </w:p>
    <w:p w:rsidR="00604822" w:rsidRDefault="00604822" w:rsidP="00604822">
      <w:pPr>
        <w:pStyle w:val="Heading3"/>
      </w:pPr>
    </w:p>
    <w:p w:rsidR="00604822" w:rsidRPr="00616FB8" w:rsidRDefault="00604822" w:rsidP="00604822">
      <w:pPr>
        <w:keepNext/>
        <w:rPr>
          <w:i/>
        </w:rPr>
      </w:pPr>
      <w:r w:rsidRPr="00616FB8">
        <w:rPr>
          <w:i/>
        </w:rPr>
        <w:t>Training activities to which UPOV contributes</w:t>
      </w:r>
    </w:p>
    <w:p w:rsidR="00604822" w:rsidRPr="00443397" w:rsidRDefault="00604822" w:rsidP="00604822">
      <w:pPr>
        <w:keepNext/>
      </w:pPr>
    </w:p>
    <w:p w:rsidR="00604822" w:rsidRPr="00443397" w:rsidRDefault="00604822" w:rsidP="00604822">
      <w:r>
        <w:rPr>
          <w:color w:val="000000" w:themeColor="text1"/>
        </w:rPr>
        <w:t>2.3.2.13</w:t>
      </w:r>
      <w:r w:rsidRPr="00443397">
        <w:tab/>
        <w:t xml:space="preserve">In the case of activities </w:t>
      </w:r>
      <w:r>
        <w:t xml:space="preserve">developed and </w:t>
      </w:r>
      <w:r w:rsidRPr="00443397">
        <w:t>organized by members of the Union without the direct involvement of the Office of the Union, it is a matter for each member of the Union to decide on the activities that it wishes to pursue.  Where invited, the Office of the Union will contribute to such activities as appropriate according to the priorities that the Council has established for assistance.</w:t>
      </w:r>
    </w:p>
    <w:p w:rsidR="00604822" w:rsidRPr="00443397" w:rsidRDefault="00604822" w:rsidP="00604822"/>
    <w:p w:rsidR="00604822" w:rsidRPr="00443397" w:rsidRDefault="00604822" w:rsidP="00604822">
      <w:r>
        <w:rPr>
          <w:color w:val="000000" w:themeColor="text1"/>
        </w:rPr>
        <w:t>2.3.2.14</w:t>
      </w:r>
      <w:r w:rsidRPr="00443397">
        <w:tab/>
        <w:t xml:space="preserve">The Office of the Union will explore possibilities for </w:t>
      </w:r>
      <w:r>
        <w:t xml:space="preserve">increasing the number of </w:t>
      </w:r>
      <w:r w:rsidRPr="00443397">
        <w:t>academic institutes</w:t>
      </w:r>
      <w:r>
        <w:t xml:space="preserve"> and training institutions</w:t>
      </w:r>
      <w:r w:rsidRPr="00443397">
        <w:t xml:space="preserve"> </w:t>
      </w:r>
      <w:r>
        <w:t>that</w:t>
      </w:r>
      <w:r w:rsidRPr="00443397">
        <w:t xml:space="preserve"> incorporate information on the UPOV system in relevant courses.</w:t>
      </w:r>
    </w:p>
    <w:p w:rsidR="00604822" w:rsidRPr="00443397" w:rsidRDefault="00604822" w:rsidP="00604822">
      <w:pPr>
        <w:spacing w:line="360" w:lineRule="auto"/>
      </w:pPr>
    </w:p>
    <w:p w:rsidR="00604822" w:rsidRPr="00616FB8" w:rsidRDefault="00604822" w:rsidP="00604822">
      <w:pPr>
        <w:keepNext/>
        <w:rPr>
          <w:i/>
        </w:rPr>
      </w:pPr>
      <w:r w:rsidRPr="00616FB8">
        <w:t xml:space="preserve">In situ </w:t>
      </w:r>
      <w:r w:rsidRPr="00616FB8">
        <w:rPr>
          <w:i/>
        </w:rPr>
        <w:t>activities organized by UPOV</w:t>
      </w:r>
    </w:p>
    <w:p w:rsidR="00604822" w:rsidRPr="00443397" w:rsidRDefault="00604822" w:rsidP="00604822">
      <w:pPr>
        <w:keepNext/>
      </w:pPr>
    </w:p>
    <w:p w:rsidR="00604822" w:rsidRPr="00443397" w:rsidRDefault="00604822" w:rsidP="00604822">
      <w:r>
        <w:rPr>
          <w:color w:val="000000" w:themeColor="text1"/>
        </w:rPr>
        <w:t>2.3.2.15</w:t>
      </w:r>
      <w:r w:rsidRPr="00443397">
        <w:tab/>
      </w:r>
      <w:proofErr w:type="gramStart"/>
      <w:r w:rsidRPr="00443397">
        <w:t>It</w:t>
      </w:r>
      <w:proofErr w:type="gramEnd"/>
      <w:r w:rsidRPr="00443397">
        <w:t xml:space="preserve"> will continue to be necessary to conduct </w:t>
      </w:r>
      <w:r w:rsidRPr="00443397">
        <w:rPr>
          <w:i/>
        </w:rPr>
        <w:t>in situ</w:t>
      </w:r>
      <w:r w:rsidRPr="00443397">
        <w:t xml:space="preserve"> activities for certain needs, e.g. awareness-raising activities for local participants.  Such activities can involve substantial resources for organization of the venue, accommodation, travel arrangements</w:t>
      </w:r>
      <w:r>
        <w:t>, etc. and t</w:t>
      </w:r>
      <w:r w:rsidRPr="00443397">
        <w:t xml:space="preserve">he Office of the </w:t>
      </w:r>
      <w:r>
        <w:t>Union will use external services as appropriate</w:t>
      </w:r>
      <w:r w:rsidRPr="00443397">
        <w:t>.</w:t>
      </w:r>
      <w:r>
        <w:t xml:space="preserve"> </w:t>
      </w:r>
    </w:p>
    <w:p w:rsidR="00604822" w:rsidRDefault="00604822" w:rsidP="00604822">
      <w:pPr>
        <w:spacing w:line="360" w:lineRule="auto"/>
      </w:pPr>
    </w:p>
    <w:p w:rsidR="00604822" w:rsidRPr="00616FB8" w:rsidRDefault="00604822" w:rsidP="00604822">
      <w:pPr>
        <w:keepNext/>
        <w:rPr>
          <w:i/>
        </w:rPr>
      </w:pPr>
      <w:r w:rsidRPr="00616FB8">
        <w:rPr>
          <w:i/>
        </w:rPr>
        <w:t>Resources for training and assistance</w:t>
      </w:r>
    </w:p>
    <w:p w:rsidR="00604822" w:rsidRPr="00443397" w:rsidRDefault="00604822" w:rsidP="00604822">
      <w:pPr>
        <w:keepNext/>
      </w:pPr>
    </w:p>
    <w:p w:rsidR="00604822" w:rsidRDefault="00604822" w:rsidP="00604822">
      <w:pPr>
        <w:rPr>
          <w:color w:val="000000" w:themeColor="text1"/>
        </w:rPr>
      </w:pPr>
      <w:r w:rsidRPr="00443397">
        <w:rPr>
          <w:color w:val="000000" w:themeColor="text1"/>
        </w:rPr>
        <w:t>2.3.2.16</w:t>
      </w:r>
      <w:r w:rsidRPr="00443397">
        <w:rPr>
          <w:color w:val="000000" w:themeColor="text1"/>
        </w:rPr>
        <w:tab/>
        <w:t>In o</w:t>
      </w:r>
      <w:r>
        <w:rPr>
          <w:color w:val="000000" w:themeColor="text1"/>
        </w:rPr>
        <w:t xml:space="preserve">rder to improve the effectiveness of those persons providing training and assistance on the UPOV system, the </w:t>
      </w:r>
      <w:r w:rsidRPr="00124CC4">
        <w:rPr>
          <w:color w:val="000000" w:themeColor="text1"/>
        </w:rPr>
        <w:t>Office of the Union</w:t>
      </w:r>
      <w:r>
        <w:rPr>
          <w:color w:val="000000" w:themeColor="text1"/>
        </w:rPr>
        <w:t xml:space="preserve"> will develop training materials (e.g. standard presentations and links to relevant UPOV materials) that will be made available online. </w:t>
      </w:r>
    </w:p>
    <w:p w:rsidR="00604822" w:rsidRDefault="00604822" w:rsidP="00604822">
      <w:pPr>
        <w:jc w:val="left"/>
      </w:pPr>
    </w:p>
    <w:p w:rsidR="00604822" w:rsidRDefault="00604822" w:rsidP="00604822">
      <w:pPr>
        <w:jc w:val="left"/>
      </w:pPr>
    </w:p>
    <w:p w:rsidR="00604822" w:rsidRPr="00DD6106" w:rsidRDefault="00604822" w:rsidP="00604822">
      <w:pPr>
        <w:rPr>
          <w:b/>
        </w:rPr>
      </w:pPr>
      <w:r w:rsidRPr="00DD6106">
        <w:rPr>
          <w:b/>
        </w:rPr>
        <w:t>2.3.3</w:t>
      </w:r>
      <w:r w:rsidRPr="00DD6106">
        <w:rPr>
          <w:b/>
        </w:rPr>
        <w:tab/>
        <w:t>Activities</w:t>
      </w:r>
    </w:p>
    <w:p w:rsidR="00604822" w:rsidRPr="00DD6106" w:rsidRDefault="00604822" w:rsidP="00604822"/>
    <w:p w:rsidR="00604822" w:rsidRPr="00DD6106" w:rsidRDefault="00604822" w:rsidP="00604822">
      <w:pPr>
        <w:numPr>
          <w:ilvl w:val="0"/>
          <w:numId w:val="11"/>
        </w:numPr>
        <w:tabs>
          <w:tab w:val="clear" w:pos="720"/>
        </w:tabs>
        <w:spacing w:after="120"/>
        <w:ind w:left="1134" w:hanging="567"/>
      </w:pPr>
      <w:r w:rsidRPr="00DD6106">
        <w:t>Ass</w:t>
      </w:r>
      <w:r>
        <w:t>istance in drafting legislation.</w:t>
      </w:r>
    </w:p>
    <w:p w:rsidR="00604822" w:rsidRPr="00DD6106" w:rsidRDefault="00604822" w:rsidP="00604822">
      <w:pPr>
        <w:numPr>
          <w:ilvl w:val="0"/>
          <w:numId w:val="11"/>
        </w:numPr>
        <w:tabs>
          <w:tab w:val="clear" w:pos="720"/>
        </w:tabs>
        <w:spacing w:after="120"/>
        <w:ind w:left="1134" w:hanging="567"/>
      </w:pPr>
      <w:r w:rsidRPr="00DD6106">
        <w:t>Development and operation of distance</w:t>
      </w:r>
      <w:r>
        <w:t xml:space="preserve"> learning courses.</w:t>
      </w:r>
    </w:p>
    <w:p w:rsidR="00604822" w:rsidRDefault="00604822" w:rsidP="00604822">
      <w:pPr>
        <w:numPr>
          <w:ilvl w:val="0"/>
          <w:numId w:val="11"/>
        </w:numPr>
        <w:tabs>
          <w:tab w:val="clear" w:pos="720"/>
        </w:tabs>
        <w:spacing w:after="120"/>
        <w:ind w:left="1134" w:hanging="567"/>
      </w:pPr>
      <w:r w:rsidRPr="002C0995">
        <w:t>Tra</w:t>
      </w:r>
      <w:r>
        <w:t>ining and assistance activities.</w:t>
      </w:r>
    </w:p>
    <w:p w:rsidR="00604822" w:rsidRPr="002C0995" w:rsidRDefault="00604822" w:rsidP="00604822">
      <w:pPr>
        <w:numPr>
          <w:ilvl w:val="0"/>
          <w:numId w:val="11"/>
        </w:numPr>
        <w:tabs>
          <w:tab w:val="clear" w:pos="720"/>
        </w:tabs>
        <w:spacing w:after="120"/>
        <w:ind w:left="1134" w:hanging="567"/>
      </w:pPr>
      <w:r>
        <w:t>Development of training resources for trainers</w:t>
      </w:r>
    </w:p>
    <w:p w:rsidR="00604822" w:rsidRPr="002C0995" w:rsidRDefault="00604822" w:rsidP="00604822">
      <w:pPr>
        <w:numPr>
          <w:ilvl w:val="0"/>
          <w:numId w:val="11"/>
        </w:numPr>
        <w:tabs>
          <w:tab w:val="clear" w:pos="720"/>
        </w:tabs>
        <w:spacing w:after="120"/>
        <w:ind w:left="1134" w:hanging="567"/>
      </w:pPr>
      <w:r w:rsidRPr="002C0995">
        <w:t>Support for projects to introduc</w:t>
      </w:r>
      <w:r>
        <w:t>e and implement the UPOV system.</w:t>
      </w:r>
    </w:p>
    <w:p w:rsidR="00604822" w:rsidRPr="00AC22FC" w:rsidRDefault="00604822" w:rsidP="00604822">
      <w:pPr>
        <w:numPr>
          <w:ilvl w:val="0"/>
          <w:numId w:val="11"/>
        </w:numPr>
        <w:tabs>
          <w:tab w:val="clear" w:pos="720"/>
        </w:tabs>
        <w:spacing w:after="120"/>
        <w:ind w:hanging="180"/>
      </w:pPr>
      <w:r w:rsidRPr="00AC22FC">
        <w:rPr>
          <w:snapToGrid w:val="0"/>
        </w:rPr>
        <w:t>Awareness-raising events.</w:t>
      </w:r>
    </w:p>
    <w:p w:rsidR="00604822" w:rsidRDefault="00604822" w:rsidP="00604822">
      <w:pPr>
        <w:tabs>
          <w:tab w:val="left" w:pos="567"/>
        </w:tabs>
      </w:pPr>
    </w:p>
    <w:p w:rsidR="00604822" w:rsidRPr="00DD6106" w:rsidRDefault="00604822" w:rsidP="00604822">
      <w:pPr>
        <w:tabs>
          <w:tab w:val="left" w:pos="567"/>
        </w:tabs>
      </w:pPr>
    </w:p>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2.3.4</w:t>
      </w:r>
      <w:r w:rsidRPr="00DD6106">
        <w:rPr>
          <w:b/>
        </w:rPr>
        <w:tab/>
        <w:t>Expected Results and Performance Indicators</w:t>
      </w:r>
    </w:p>
    <w:p w:rsidR="00604822" w:rsidRPr="00DD6106" w:rsidRDefault="00604822" w:rsidP="00604822">
      <w:pPr>
        <w:keepNext/>
        <w:tabs>
          <w:tab w:val="left" w:pos="567"/>
        </w:tabs>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643"/>
        <w:gridCol w:w="5246"/>
      </w:tblGrid>
      <w:tr w:rsidR="00604822" w:rsidRPr="00DD6106" w:rsidTr="00962988">
        <w:trPr>
          <w:cantSplit/>
          <w:tblHeader/>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Expected Results</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jc w:val="center"/>
              <w:rPr>
                <w:color w:val="000000"/>
                <w:u w:val="single"/>
              </w:rPr>
            </w:pPr>
            <w:r w:rsidRPr="00DD6106">
              <w:rPr>
                <w:color w:val="000000"/>
                <w:u w:val="single"/>
              </w:rPr>
              <w:t>Performance Indicators</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1.</w:t>
            </w:r>
            <w:r w:rsidRPr="00DD6106">
              <w:rPr>
                <w:color w:val="000000"/>
              </w:rPr>
              <w:tab/>
              <w:t xml:space="preserve">Raising awareness of the role of plant variety protection in accordance with the UPOV Convention </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Pr>
                <w:color w:val="000000"/>
              </w:rPr>
              <w:t>(a</w:t>
            </w:r>
            <w:r w:rsidRPr="00DD6106">
              <w:rPr>
                <w:color w:val="000000"/>
              </w:rPr>
              <w:t xml:space="preserve">) </w:t>
            </w:r>
            <w:r w:rsidRPr="00DD6106">
              <w:rPr>
                <w:color w:val="000000"/>
              </w:rPr>
              <w:tab/>
            </w:r>
            <w:r w:rsidRPr="00DD6106">
              <w:t>States and organizations</w:t>
            </w:r>
            <w:r w:rsidRPr="00DD6106">
              <w:rPr>
                <w:color w:val="000000"/>
              </w:rPr>
              <w:t xml:space="preserve"> provided with information at UPOV activities;</w:t>
            </w:r>
          </w:p>
          <w:p w:rsidR="00604822" w:rsidRPr="00DD6106" w:rsidRDefault="00604822" w:rsidP="00962988">
            <w:pPr>
              <w:spacing w:after="60"/>
              <w:ind w:left="397" w:hanging="397"/>
              <w:jc w:val="left"/>
              <w:rPr>
                <w:color w:val="000000"/>
              </w:rPr>
            </w:pPr>
            <w:r>
              <w:rPr>
                <w:color w:val="000000"/>
              </w:rPr>
              <w:t>(b</w:t>
            </w:r>
            <w:r w:rsidRPr="00DD6106">
              <w:rPr>
                <w:color w:val="000000"/>
              </w:rPr>
              <w:t>)</w:t>
            </w:r>
            <w:r w:rsidRPr="00DD6106">
              <w:rPr>
                <w:color w:val="000000"/>
              </w:rPr>
              <w:tab/>
            </w:r>
            <w:r w:rsidRPr="00DD6106">
              <w:t>States and organizations</w:t>
            </w:r>
            <w:r w:rsidRPr="00DD6106">
              <w:rPr>
                <w:color w:val="000000"/>
              </w:rPr>
              <w:t xml:space="preserve"> that contact the Office of the Union for assistance in the development of legislation on plant variety protection;</w:t>
            </w:r>
          </w:p>
          <w:p w:rsidR="00604822" w:rsidRPr="00DD6106" w:rsidRDefault="00604822" w:rsidP="00962988">
            <w:pPr>
              <w:spacing w:after="60"/>
              <w:ind w:left="397" w:hanging="397"/>
              <w:jc w:val="left"/>
            </w:pPr>
            <w:r>
              <w:t>(c</w:t>
            </w:r>
            <w:r w:rsidRPr="00DD6106">
              <w:t>)</w:t>
            </w:r>
            <w:r w:rsidRPr="00DD6106">
              <w:tab/>
              <w:t>States and organizations that initiate with the Council of UPOV the procedure for becoming members of the Union;</w:t>
            </w:r>
          </w:p>
          <w:p w:rsidR="00604822" w:rsidRPr="00DD6106" w:rsidRDefault="00604822" w:rsidP="00962988">
            <w:pPr>
              <w:ind w:left="397" w:hanging="397"/>
              <w:jc w:val="left"/>
            </w:pPr>
            <w:r>
              <w:t>(d</w:t>
            </w:r>
            <w:r w:rsidRPr="00DD6106">
              <w:t>)</w:t>
            </w:r>
            <w:r w:rsidRPr="00DD6106">
              <w:tab/>
            </w:r>
            <w:proofErr w:type="gramStart"/>
            <w:r w:rsidRPr="00DD6106">
              <w:t>participation</w:t>
            </w:r>
            <w:proofErr w:type="gramEnd"/>
            <w:r w:rsidRPr="00DD6106">
              <w:t xml:space="preserve"> in UPOV awareness-raising activities, or activities involving</w:t>
            </w:r>
            <w:r w:rsidRPr="00DD6106">
              <w:rPr>
                <w:color w:val="000000"/>
              </w:rPr>
              <w:t xml:space="preserve"> UPOV staff or UPOV trainers on behalf of UPOV staff</w:t>
            </w:r>
            <w:r w:rsidRPr="00DD6106">
              <w:t>.</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2.</w:t>
            </w:r>
            <w:r w:rsidRPr="00DD6106">
              <w:rPr>
                <w:color w:val="000000"/>
              </w:rPr>
              <w:tab/>
              <w:t xml:space="preserve">Assistance in drafting legislation on plant variety protection in accordance with the 1991 Act of the UPOV Convention </w:t>
            </w:r>
          </w:p>
        </w:tc>
        <w:tc>
          <w:tcPr>
            <w:tcW w:w="5246" w:type="dxa"/>
            <w:tcBorders>
              <w:top w:val="single" w:sz="4" w:space="0" w:color="000000"/>
              <w:left w:val="single" w:sz="4" w:space="0" w:color="000000"/>
              <w:bottom w:val="single" w:sz="4" w:space="0" w:color="000000"/>
              <w:right w:val="single" w:sz="4" w:space="0" w:color="000000"/>
            </w:tcBorders>
          </w:tcPr>
          <w:p w:rsidR="00604822" w:rsidRDefault="00604822" w:rsidP="00962988">
            <w:pPr>
              <w:spacing w:after="60"/>
              <w:ind w:left="397" w:hanging="397"/>
              <w:jc w:val="left"/>
              <w:rPr>
                <w:color w:val="000000"/>
              </w:rPr>
            </w:pPr>
            <w:r>
              <w:rPr>
                <w:color w:val="000000"/>
              </w:rPr>
              <w:t>(a</w:t>
            </w:r>
            <w:r w:rsidRPr="00DD6106">
              <w:rPr>
                <w:color w:val="000000"/>
              </w:rPr>
              <w:t>)</w:t>
            </w:r>
            <w:r w:rsidRPr="00DD6106">
              <w:rPr>
                <w:color w:val="000000"/>
              </w:rPr>
              <w:tab/>
              <w:t>mee</w:t>
            </w:r>
            <w:r>
              <w:rPr>
                <w:color w:val="000000"/>
              </w:rPr>
              <w:t>tings with government officials to discuss legislative matters</w:t>
            </w:r>
          </w:p>
          <w:p w:rsidR="00604822" w:rsidRPr="00DD6106" w:rsidRDefault="00604822" w:rsidP="00962988">
            <w:pPr>
              <w:spacing w:after="60"/>
              <w:ind w:left="397" w:hanging="397"/>
              <w:jc w:val="left"/>
              <w:rPr>
                <w:color w:val="000000"/>
              </w:rPr>
            </w:pPr>
            <w:r w:rsidRPr="00DD6106">
              <w:rPr>
                <w:color w:val="000000"/>
              </w:rPr>
              <w:t>(</w:t>
            </w:r>
            <w:r>
              <w:rPr>
                <w:color w:val="000000"/>
              </w:rPr>
              <w:t>b</w:t>
            </w:r>
            <w:r w:rsidRPr="00DD6106">
              <w:rPr>
                <w:color w:val="000000"/>
              </w:rPr>
              <w:t xml:space="preserve">) </w:t>
            </w:r>
            <w:r w:rsidRPr="00DD6106">
              <w:rPr>
                <w:color w:val="000000"/>
              </w:rPr>
              <w:tab/>
            </w:r>
            <w:r w:rsidRPr="00DD6106">
              <w:t>States and organizations</w:t>
            </w:r>
            <w:r w:rsidRPr="00DD6106">
              <w:rPr>
                <w:color w:val="000000"/>
              </w:rPr>
              <w:t xml:space="preserve"> provided with comments on laws;</w:t>
            </w:r>
          </w:p>
          <w:p w:rsidR="00604822" w:rsidRPr="00DD6106" w:rsidRDefault="00604822" w:rsidP="00962988">
            <w:pPr>
              <w:keepNext/>
              <w:ind w:left="397" w:hanging="397"/>
              <w:jc w:val="left"/>
            </w:pPr>
            <w:r>
              <w:t>(c</w:t>
            </w:r>
            <w:r w:rsidRPr="00DD6106">
              <w:t>)</w:t>
            </w:r>
            <w:r w:rsidRPr="00DD6106">
              <w:tab/>
              <w:t>States and organizations receiving a positive advice from the Council;</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t>3.</w:t>
            </w:r>
            <w:r w:rsidRPr="00DD6106">
              <w:tab/>
              <w:t>Assistance to States and organizations in the accession to the 1991 Act of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pPr>
            <w:r w:rsidRPr="00DD6106">
              <w:t>(a)</w:t>
            </w:r>
            <w:r w:rsidRPr="00DD6106">
              <w:tab/>
              <w:t>States that accede to or ratify the 1991 Act of the UPOV Convention;</w:t>
            </w:r>
          </w:p>
          <w:p w:rsidR="00604822" w:rsidRPr="00DD6106" w:rsidRDefault="00604822" w:rsidP="00962988">
            <w:pPr>
              <w:keepNext/>
              <w:ind w:left="397" w:hanging="397"/>
              <w:jc w:val="left"/>
              <w:rPr>
                <w:color w:val="000000"/>
              </w:rPr>
            </w:pPr>
            <w:r w:rsidRPr="00DD6106">
              <w:t>(b)</w:t>
            </w:r>
            <w:r w:rsidRPr="00DD6106">
              <w:tab/>
              <w:t>States and organizations that become members of the Union.</w:t>
            </w:r>
          </w:p>
        </w:tc>
      </w:tr>
      <w:tr w:rsidR="00604822" w:rsidRPr="00DD6106" w:rsidTr="00962988">
        <w:trPr>
          <w:cantSplit/>
        </w:trPr>
        <w:tc>
          <w:tcPr>
            <w:tcW w:w="464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4.</w:t>
            </w:r>
            <w:r w:rsidRPr="00DD6106">
              <w:rPr>
                <w:color w:val="000000"/>
              </w:rPr>
              <w:tab/>
              <w:t>A</w:t>
            </w:r>
            <w:r w:rsidRPr="006F24A8">
              <w:rPr>
                <w:color w:val="000000"/>
              </w:rPr>
              <w:t>ssistance in implementing an effective plant variety protection syste</w:t>
            </w:r>
            <w:r w:rsidRPr="00DD6106">
              <w:rPr>
                <w:color w:val="000000"/>
              </w:rPr>
              <w:t>m in accordance with the UPOV Convention</w:t>
            </w:r>
          </w:p>
        </w:tc>
        <w:tc>
          <w:tcPr>
            <w:tcW w:w="524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spacing w:after="60"/>
              <w:ind w:left="397" w:hanging="397"/>
              <w:jc w:val="left"/>
              <w:rPr>
                <w:color w:val="000000"/>
              </w:rPr>
            </w:pPr>
            <w:r w:rsidRPr="00DD6106">
              <w:rPr>
                <w:color w:val="000000"/>
              </w:rPr>
              <w:t>(a)</w:t>
            </w:r>
            <w:r w:rsidRPr="00DD6106">
              <w:rPr>
                <w:color w:val="000000"/>
              </w:rPr>
              <w:tab/>
              <w:t>participation in distance learning courses;</w:t>
            </w:r>
          </w:p>
          <w:p w:rsidR="00604822" w:rsidRPr="00DD6106" w:rsidRDefault="00604822" w:rsidP="00962988">
            <w:pPr>
              <w:spacing w:after="60"/>
              <w:ind w:left="397" w:hanging="397"/>
              <w:jc w:val="left"/>
              <w:rPr>
                <w:color w:val="000000"/>
              </w:rPr>
            </w:pPr>
            <w:bookmarkStart w:id="3" w:name="OLE_LINK3"/>
            <w:bookmarkStart w:id="4" w:name="OLE_LINK4"/>
            <w:r w:rsidRPr="00DD6106">
              <w:rPr>
                <w:color w:val="000000"/>
              </w:rPr>
              <w:t>(</w:t>
            </w:r>
            <w:r>
              <w:rPr>
                <w:color w:val="000000"/>
              </w:rPr>
              <w:t>b</w:t>
            </w:r>
            <w:r w:rsidRPr="00DD6106">
              <w:rPr>
                <w:color w:val="000000"/>
              </w:rPr>
              <w:t>)</w:t>
            </w:r>
            <w:r w:rsidRPr="00DD6106">
              <w:rPr>
                <w:color w:val="000000"/>
              </w:rPr>
              <w:tab/>
              <w:t xml:space="preserve">training </w:t>
            </w:r>
            <w:r>
              <w:rPr>
                <w:color w:val="000000"/>
              </w:rPr>
              <w:t xml:space="preserve">of </w:t>
            </w:r>
            <w:r w:rsidRPr="00DD6106">
              <w:rPr>
                <w:color w:val="000000"/>
              </w:rPr>
              <w:t>trainers;</w:t>
            </w:r>
          </w:p>
          <w:p w:rsidR="00604822" w:rsidRDefault="00604822" w:rsidP="00962988">
            <w:pPr>
              <w:spacing w:after="60"/>
              <w:ind w:left="397" w:hanging="397"/>
              <w:jc w:val="left"/>
              <w:rPr>
                <w:color w:val="000000"/>
              </w:rPr>
            </w:pPr>
            <w:r>
              <w:rPr>
                <w:color w:val="000000"/>
              </w:rPr>
              <w:t>(c)</w:t>
            </w:r>
            <w:r>
              <w:rPr>
                <w:color w:val="000000"/>
              </w:rPr>
              <w:tab/>
            </w:r>
            <w:r w:rsidRPr="00730C27">
              <w:rPr>
                <w:color w:val="000000"/>
              </w:rPr>
              <w:t xml:space="preserve">training activities </w:t>
            </w:r>
            <w:r>
              <w:rPr>
                <w:color w:val="000000"/>
              </w:rPr>
              <w:t xml:space="preserve">developed in conjunction with </w:t>
            </w:r>
            <w:r w:rsidRPr="00730C27">
              <w:rPr>
                <w:color w:val="000000"/>
              </w:rPr>
              <w:t>UPOV</w:t>
            </w:r>
            <w:r w:rsidRPr="003A1572">
              <w:rPr>
                <w:color w:val="000000"/>
              </w:rPr>
              <w:t>;</w:t>
            </w:r>
          </w:p>
          <w:p w:rsidR="00604822" w:rsidRPr="00DD6106" w:rsidRDefault="00604822" w:rsidP="00962988">
            <w:pPr>
              <w:spacing w:after="60"/>
              <w:ind w:left="397" w:hanging="397"/>
              <w:jc w:val="left"/>
              <w:rPr>
                <w:color w:val="000000"/>
              </w:rPr>
            </w:pPr>
            <w:r>
              <w:rPr>
                <w:color w:val="000000"/>
              </w:rPr>
              <w:t>(d</w:t>
            </w:r>
            <w:r w:rsidRPr="00DD6106">
              <w:rPr>
                <w:color w:val="000000"/>
              </w:rPr>
              <w:t>)</w:t>
            </w:r>
            <w:r w:rsidRPr="00DD6106">
              <w:rPr>
                <w:color w:val="000000"/>
              </w:rPr>
              <w:tab/>
              <w:t>participation by observer States and organizations in the CAJ, TC, TWPs and the associated preparatory workshops;</w:t>
            </w:r>
          </w:p>
          <w:bookmarkEnd w:id="3"/>
          <w:bookmarkEnd w:id="4"/>
          <w:p w:rsidR="00604822" w:rsidRPr="00DD6106" w:rsidRDefault="00604822" w:rsidP="00962988">
            <w:pPr>
              <w:spacing w:after="60"/>
              <w:ind w:left="397" w:hanging="397"/>
              <w:jc w:val="left"/>
              <w:rPr>
                <w:color w:val="000000"/>
              </w:rPr>
            </w:pPr>
            <w:r>
              <w:rPr>
                <w:color w:val="000000"/>
              </w:rPr>
              <w:t>(e</w:t>
            </w:r>
            <w:r w:rsidRPr="00DD6106">
              <w:rPr>
                <w:color w:val="000000"/>
              </w:rPr>
              <w:t>)</w:t>
            </w:r>
            <w:r w:rsidRPr="00DD6106">
              <w:rPr>
                <w:color w:val="000000"/>
              </w:rPr>
              <w:tab/>
              <w:t>participation in UPOV activities;</w:t>
            </w:r>
          </w:p>
          <w:p w:rsidR="00604822" w:rsidRDefault="00604822" w:rsidP="00962988">
            <w:pPr>
              <w:spacing w:after="60"/>
              <w:ind w:left="397" w:hanging="397"/>
              <w:jc w:val="left"/>
              <w:rPr>
                <w:color w:val="000000"/>
              </w:rPr>
            </w:pPr>
            <w:r>
              <w:rPr>
                <w:color w:val="000000"/>
              </w:rPr>
              <w:t>(f</w:t>
            </w:r>
            <w:r w:rsidRPr="00DD6106">
              <w:rPr>
                <w:color w:val="000000"/>
              </w:rPr>
              <w:t>)</w:t>
            </w:r>
            <w:r w:rsidRPr="00DD6106">
              <w:rPr>
                <w:color w:val="000000"/>
              </w:rPr>
              <w:tab/>
              <w:t>participation in activities involving UPOV staff or UPOV trainers on behalf of UPOV staff;</w:t>
            </w:r>
          </w:p>
          <w:p w:rsidR="00604822" w:rsidRPr="00DD6106" w:rsidRDefault="00604822" w:rsidP="00962988">
            <w:pPr>
              <w:spacing w:after="60"/>
              <w:ind w:left="397" w:hanging="397"/>
              <w:jc w:val="left"/>
              <w:rPr>
                <w:color w:val="000000"/>
              </w:rPr>
            </w:pPr>
            <w:r>
              <w:rPr>
                <w:color w:val="000000"/>
              </w:rPr>
              <w:t>(g)</w:t>
            </w:r>
            <w:r>
              <w:rPr>
                <w:color w:val="000000"/>
              </w:rPr>
              <w:tab/>
              <w:t xml:space="preserve">courses featuring the UPOV system of </w:t>
            </w:r>
            <w:r w:rsidRPr="00332736">
              <w:rPr>
                <w:snapToGrid w:val="0"/>
                <w:color w:val="000000"/>
              </w:rPr>
              <w:t>plant variety protection</w:t>
            </w:r>
            <w:r>
              <w:rPr>
                <w:snapToGrid w:val="0"/>
                <w:color w:val="000000"/>
              </w:rPr>
              <w:t>;</w:t>
            </w:r>
          </w:p>
          <w:p w:rsidR="00604822" w:rsidRPr="00DD6106" w:rsidRDefault="00604822" w:rsidP="00962988">
            <w:pPr>
              <w:keepNext/>
              <w:ind w:left="397" w:hanging="397"/>
              <w:jc w:val="left"/>
              <w:rPr>
                <w:color w:val="000000"/>
              </w:rPr>
            </w:pPr>
            <w:r>
              <w:rPr>
                <w:color w:val="000000"/>
              </w:rPr>
              <w:t>(h</w:t>
            </w:r>
            <w:r w:rsidRPr="00DD6106">
              <w:rPr>
                <w:color w:val="000000"/>
              </w:rPr>
              <w:t>)</w:t>
            </w:r>
            <w:r w:rsidRPr="00DD6106">
              <w:rPr>
                <w:color w:val="000000"/>
              </w:rPr>
              <w:tab/>
            </w:r>
            <w:proofErr w:type="gramStart"/>
            <w:r w:rsidRPr="00DD6106">
              <w:rPr>
                <w:color w:val="000000"/>
              </w:rPr>
              <w:t>implementation</w:t>
            </w:r>
            <w:proofErr w:type="gramEnd"/>
            <w:r w:rsidRPr="00DD6106">
              <w:rPr>
                <w:color w:val="000000"/>
              </w:rPr>
              <w:t xml:space="preserve"> of projects with partner organizations and donors</w:t>
            </w:r>
            <w:r w:rsidRPr="003A1572">
              <w:rPr>
                <w:color w:val="000000"/>
              </w:rPr>
              <w:t>.</w:t>
            </w:r>
          </w:p>
        </w:tc>
      </w:tr>
    </w:tbl>
    <w:p w:rsidR="00604822" w:rsidRPr="00DD6106" w:rsidRDefault="00604822" w:rsidP="00604822"/>
    <w:p w:rsidR="00604822" w:rsidRDefault="00604822" w:rsidP="00604822">
      <w:pPr>
        <w:jc w:val="left"/>
        <w:rPr>
          <w:b/>
        </w:rPr>
      </w:pPr>
      <w:r>
        <w:rPr>
          <w:b/>
        </w:rPr>
        <w:br w:type="page"/>
      </w:r>
    </w:p>
    <w:p w:rsidR="00604822" w:rsidRPr="00DD6106" w:rsidRDefault="00604822" w:rsidP="00604822">
      <w:pPr>
        <w:keepNext/>
        <w:tabs>
          <w:tab w:val="left" w:pos="567"/>
        </w:tabs>
        <w:ind w:left="2835" w:hanging="2835"/>
        <w:rPr>
          <w:b/>
          <w:u w:val="single"/>
        </w:rPr>
      </w:pPr>
      <w:r w:rsidRPr="00DD6106">
        <w:rPr>
          <w:b/>
        </w:rPr>
        <w:t>2.4</w:t>
      </w:r>
      <w:r w:rsidRPr="00DD6106">
        <w:rPr>
          <w:b/>
        </w:rPr>
        <w:tab/>
      </w:r>
      <w:r w:rsidRPr="00DD6106">
        <w:rPr>
          <w:b/>
          <w:u w:val="single"/>
        </w:rPr>
        <w:t>Sub-program UV.4</w:t>
      </w:r>
      <w:r w:rsidRPr="00DD6106">
        <w:rPr>
          <w:b/>
        </w:rPr>
        <w:t>:</w:t>
      </w:r>
      <w:r w:rsidRPr="00DD6106">
        <w:rPr>
          <w:b/>
        </w:rPr>
        <w:tab/>
      </w:r>
      <w:r w:rsidRPr="00DD6106">
        <w:rPr>
          <w:b/>
          <w:u w:val="single"/>
        </w:rPr>
        <w:tab/>
        <w:t>External Relations</w:t>
      </w:r>
    </w:p>
    <w:p w:rsidR="00604822" w:rsidRPr="00DD6106" w:rsidRDefault="00604822" w:rsidP="00604822">
      <w:pPr>
        <w:keepNext/>
      </w:pPr>
    </w:p>
    <w:p w:rsidR="00604822" w:rsidRPr="00DD6106" w:rsidRDefault="00604822" w:rsidP="00604822">
      <w:pPr>
        <w:keepNext/>
        <w:rPr>
          <w:b/>
          <w:color w:val="000000"/>
        </w:rPr>
      </w:pPr>
      <w:r w:rsidRPr="00DD6106">
        <w:rPr>
          <w:b/>
          <w:color w:val="000000"/>
        </w:rPr>
        <w:t>2.4.1</w:t>
      </w:r>
      <w:r w:rsidRPr="00DD6106">
        <w:rPr>
          <w:b/>
          <w:color w:val="000000"/>
        </w:rPr>
        <w:tab/>
        <w:t>Objectives</w:t>
      </w:r>
    </w:p>
    <w:p w:rsidR="00604822" w:rsidRPr="00DD6106" w:rsidRDefault="00604822" w:rsidP="00604822">
      <w:pPr>
        <w:keepNext/>
        <w:tabs>
          <w:tab w:val="num" w:pos="567"/>
        </w:tabs>
      </w:pPr>
    </w:p>
    <w:p w:rsidR="00604822" w:rsidRPr="006F24A8" w:rsidRDefault="00604822" w:rsidP="00604822">
      <w:r w:rsidRPr="00DD6106">
        <w:tab/>
        <w:t>(a)</w:t>
      </w:r>
      <w:r w:rsidRPr="00DD6106">
        <w:tab/>
      </w:r>
      <w:r w:rsidRPr="006F24A8">
        <w:t>To broaden and enhance the understanding of the UPOV sys</w:t>
      </w:r>
      <w:r>
        <w:t>tem of plant variety protection.</w:t>
      </w:r>
    </w:p>
    <w:p w:rsidR="00604822" w:rsidRPr="006F24A8" w:rsidRDefault="00604822" w:rsidP="00604822"/>
    <w:p w:rsidR="00604822" w:rsidRPr="006F24A8" w:rsidRDefault="00604822" w:rsidP="00604822">
      <w:r w:rsidRPr="006F24A8">
        <w:tab/>
        <w:t>(b)</w:t>
      </w:r>
      <w:r w:rsidRPr="006F24A8">
        <w:tab/>
        <w:t>To provide information on the UPOV Convention to other intergovernmental organizations, with the aim of achieving mutual supportiveness with other international treaties.</w:t>
      </w:r>
    </w:p>
    <w:p w:rsidR="00604822" w:rsidRDefault="00604822" w:rsidP="00604822"/>
    <w:p w:rsidR="00604822" w:rsidRPr="006F24A8" w:rsidRDefault="00604822" w:rsidP="00604822"/>
    <w:p w:rsidR="00604822" w:rsidRPr="006F24A8" w:rsidRDefault="00604822" w:rsidP="00604822">
      <w:pPr>
        <w:tabs>
          <w:tab w:val="left" w:pos="56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6F24A8">
        <w:rPr>
          <w:b/>
        </w:rPr>
        <w:t>2.4.2</w:t>
      </w:r>
      <w:r w:rsidRPr="006F24A8">
        <w:rPr>
          <w:b/>
        </w:rPr>
        <w:tab/>
        <w:t>Narrative</w:t>
      </w:r>
    </w:p>
    <w:p w:rsidR="00604822" w:rsidRDefault="00604822" w:rsidP="00604822">
      <w:pPr>
        <w:tabs>
          <w:tab w:val="left" w:pos="567"/>
        </w:tabs>
      </w:pPr>
    </w:p>
    <w:p w:rsidR="00604822" w:rsidRDefault="00604822" w:rsidP="00604822">
      <w:pPr>
        <w:pStyle w:val="Heading2"/>
      </w:pPr>
      <w:r>
        <w:t>Introduction</w:t>
      </w:r>
    </w:p>
    <w:p w:rsidR="00604822" w:rsidRPr="00FA1FDD" w:rsidRDefault="00604822" w:rsidP="00604822">
      <w:pPr>
        <w:tabs>
          <w:tab w:val="left" w:pos="567"/>
        </w:tabs>
        <w:rPr>
          <w:spacing w:val="-2"/>
        </w:rPr>
      </w:pPr>
    </w:p>
    <w:p w:rsidR="00604822" w:rsidRPr="007C33EB" w:rsidRDefault="00604822" w:rsidP="00604822">
      <w:r w:rsidRPr="009501C0">
        <w:rPr>
          <w:spacing w:val="-2"/>
        </w:rPr>
        <w:t>2.4.2.1</w:t>
      </w:r>
      <w:r w:rsidRPr="009501C0">
        <w:rPr>
          <w:spacing w:val="-2"/>
        </w:rPr>
        <w:tab/>
        <w:t xml:space="preserve">UPOV’s mission is </w:t>
      </w:r>
      <w:r w:rsidRPr="009501C0">
        <w:rPr>
          <w:spacing w:val="-2"/>
          <w:lang w:val="en"/>
        </w:rPr>
        <w:t xml:space="preserve">to provide and promote an effective system of plant variety protection, with the aim of encouraging the development of new varieties of plants, for the benefit of society.  </w:t>
      </w:r>
      <w:r w:rsidRPr="009501C0">
        <w:rPr>
          <w:spacing w:val="-2"/>
        </w:rPr>
        <w:t>The aim of this Sub</w:t>
      </w:r>
      <w:r w:rsidRPr="009501C0">
        <w:rPr>
          <w:spacing w:val="-2"/>
        </w:rPr>
        <w:noBreakHyphen/>
        <w:t>program is to explain how the UPOV system encourages the development of new varieties of plants, how new varieties benefit society and the role of the UPOV system in relation to agriculture and economic development in the rural sector.</w:t>
      </w:r>
      <w:r w:rsidRPr="00FA1FDD">
        <w:rPr>
          <w:spacing w:val="-2"/>
        </w:rPr>
        <w:t xml:space="preserve"> </w:t>
      </w:r>
    </w:p>
    <w:p w:rsidR="00604822" w:rsidRDefault="00604822" w:rsidP="00604822">
      <w:pPr>
        <w:tabs>
          <w:tab w:val="left" w:pos="851"/>
        </w:tabs>
      </w:pPr>
    </w:p>
    <w:p w:rsidR="00604822" w:rsidRPr="007C33EB" w:rsidRDefault="00604822" w:rsidP="00604822">
      <w:pPr>
        <w:tabs>
          <w:tab w:val="left" w:pos="851"/>
        </w:tabs>
      </w:pPr>
    </w:p>
    <w:p w:rsidR="00604822" w:rsidRPr="007C33EB" w:rsidRDefault="00604822" w:rsidP="00604822">
      <w:pPr>
        <w:pStyle w:val="Heading2"/>
      </w:pPr>
      <w:r w:rsidRPr="007C33EB">
        <w:t xml:space="preserve">Communications with </w:t>
      </w:r>
      <w:r>
        <w:t>s</w:t>
      </w:r>
      <w:r w:rsidRPr="007C33EB">
        <w:t>takeholders</w:t>
      </w:r>
    </w:p>
    <w:p w:rsidR="00604822" w:rsidRPr="007C33EB" w:rsidRDefault="00604822" w:rsidP="00604822">
      <w:pPr>
        <w:tabs>
          <w:tab w:val="left" w:pos="851"/>
        </w:tabs>
      </w:pPr>
    </w:p>
    <w:p w:rsidR="00604822" w:rsidRPr="007C33EB" w:rsidRDefault="00604822" w:rsidP="00604822">
      <w:pPr>
        <w:rPr>
          <w:rFonts w:cs="Arial"/>
          <w:snapToGrid w:val="0"/>
        </w:rPr>
      </w:pPr>
      <w:r w:rsidRPr="007C33EB">
        <w:t>2.4.2.2</w:t>
      </w:r>
      <w:r w:rsidRPr="007C33EB">
        <w:tab/>
        <w:t>General information, suitable for a wide range of stakeholders, will continue to be developed.  For example, work will continue on answers to frequently-asked questions about the UPOV system and the development of illustrative explanations and examples of the benefits of the UPOV system. As appropriate, UPOV will contribute to artic</w:t>
      </w:r>
      <w:r>
        <w:t>les in relevant publications.</w:t>
      </w:r>
    </w:p>
    <w:p w:rsidR="00604822" w:rsidRPr="007C33EB" w:rsidRDefault="00604822" w:rsidP="00604822">
      <w:pPr>
        <w:spacing w:line="360" w:lineRule="auto"/>
        <w:rPr>
          <w:rFonts w:cs="Arial"/>
          <w:snapToGrid w:val="0"/>
        </w:rPr>
      </w:pPr>
    </w:p>
    <w:p w:rsidR="00604822" w:rsidRPr="007C33EB" w:rsidRDefault="00604822" w:rsidP="00604822">
      <w:pPr>
        <w:rPr>
          <w:rFonts w:cs="Arial"/>
          <w:snapToGrid w:val="0"/>
        </w:rPr>
      </w:pPr>
      <w:r w:rsidRPr="007C33EB">
        <w:t>2.4.2.3</w:t>
      </w:r>
      <w:r w:rsidRPr="007C33EB">
        <w:tab/>
        <w:t xml:space="preserve">UPOV’s website is an important means of communication with all UPOV’s stakeholders and will be updated with suitable new materials in order to explain the importance of </w:t>
      </w:r>
      <w:r w:rsidRPr="007C33EB">
        <w:rPr>
          <w:snapToGrid w:val="0"/>
        </w:rPr>
        <w:t>plant variety protection</w:t>
      </w:r>
      <w:r w:rsidRPr="007C33EB">
        <w:t xml:space="preserve">. </w:t>
      </w:r>
      <w:r w:rsidRPr="007C33EB">
        <w:rPr>
          <w:snapToGrid w:val="0"/>
        </w:rPr>
        <w:t xml:space="preserve">In order to enhance the effectiveness of the website for explaining the </w:t>
      </w:r>
      <w:r>
        <w:rPr>
          <w:snapToGrid w:val="0"/>
        </w:rPr>
        <w:t>UPOV system, stakeholder features were</w:t>
      </w:r>
      <w:r w:rsidRPr="007C33EB">
        <w:rPr>
          <w:snapToGrid w:val="0"/>
        </w:rPr>
        <w:t xml:space="preserve"> introduced on the UPOV website</w:t>
      </w:r>
      <w:r>
        <w:rPr>
          <w:snapToGrid w:val="0"/>
        </w:rPr>
        <w:t xml:space="preserve"> in 2016</w:t>
      </w:r>
      <w:r w:rsidRPr="007C33EB">
        <w:rPr>
          <w:snapToGrid w:val="0"/>
        </w:rPr>
        <w:t xml:space="preserve">.  </w:t>
      </w:r>
      <w:r>
        <w:rPr>
          <w:snapToGrid w:val="0"/>
        </w:rPr>
        <w:t>In the 2018-2019 Biennium, these s</w:t>
      </w:r>
      <w:r w:rsidRPr="007C33EB">
        <w:rPr>
          <w:snapToGrid w:val="0"/>
        </w:rPr>
        <w:t>takeholder features</w:t>
      </w:r>
      <w:r>
        <w:rPr>
          <w:snapToGrid w:val="0"/>
        </w:rPr>
        <w:t xml:space="preserve"> for </w:t>
      </w:r>
      <w:r w:rsidRPr="007C33EB">
        <w:rPr>
          <w:snapToGrid w:val="0"/>
        </w:rPr>
        <w:t>b</w:t>
      </w:r>
      <w:r w:rsidRPr="007C33EB">
        <w:rPr>
          <w:rFonts w:cs="Arial"/>
          <w:snapToGrid w:val="0"/>
        </w:rPr>
        <w:t>reeders</w:t>
      </w:r>
      <w:r>
        <w:rPr>
          <w:rFonts w:cs="Arial"/>
          <w:snapToGrid w:val="0"/>
        </w:rPr>
        <w:t>,</w:t>
      </w:r>
      <w:r w:rsidRPr="007C33EB">
        <w:rPr>
          <w:rFonts w:cs="Arial"/>
          <w:snapToGrid w:val="0"/>
        </w:rPr>
        <w:t xml:space="preserve"> farmers</w:t>
      </w:r>
      <w:r>
        <w:rPr>
          <w:rFonts w:cs="Arial"/>
          <w:snapToGrid w:val="0"/>
        </w:rPr>
        <w:t xml:space="preserve">, </w:t>
      </w:r>
      <w:r w:rsidRPr="007C33EB">
        <w:rPr>
          <w:rFonts w:cs="Arial"/>
          <w:snapToGrid w:val="0"/>
        </w:rPr>
        <w:t>policy-makers and the general public</w:t>
      </w:r>
      <w:r>
        <w:rPr>
          <w:rFonts w:cs="Arial"/>
          <w:snapToGrid w:val="0"/>
        </w:rPr>
        <w:t xml:space="preserve"> will be monitored and updated</w:t>
      </w:r>
      <w:r w:rsidRPr="007C33EB">
        <w:rPr>
          <w:rFonts w:cs="Arial"/>
          <w:snapToGrid w:val="0"/>
        </w:rPr>
        <w:t xml:space="preserve">. </w:t>
      </w:r>
    </w:p>
    <w:p w:rsidR="00604822" w:rsidRPr="007C33EB" w:rsidRDefault="00604822" w:rsidP="00604822">
      <w:pPr>
        <w:rPr>
          <w:rFonts w:cs="Arial"/>
          <w:snapToGrid w:val="0"/>
        </w:rPr>
      </w:pPr>
    </w:p>
    <w:p w:rsidR="00604822" w:rsidRPr="007C33EB" w:rsidRDefault="00604822" w:rsidP="00604822">
      <w:r w:rsidRPr="007C33EB">
        <w:t>2.4.2.4</w:t>
      </w:r>
      <w:r w:rsidRPr="007C33EB">
        <w:tab/>
        <w:t xml:space="preserve">UPOV will also continue to communicate with non-governmental organizations representing stakeholders: </w:t>
      </w:r>
    </w:p>
    <w:p w:rsidR="00604822" w:rsidRPr="007C33EB" w:rsidRDefault="00604822" w:rsidP="00604822">
      <w:pPr>
        <w:tabs>
          <w:tab w:val="left" w:pos="851"/>
        </w:tabs>
      </w:pPr>
    </w:p>
    <w:p w:rsidR="00604822" w:rsidRPr="00680B62" w:rsidRDefault="00604822" w:rsidP="00604822">
      <w:pPr>
        <w:pStyle w:val="ListParagraph"/>
        <w:numPr>
          <w:ilvl w:val="0"/>
          <w:numId w:val="15"/>
        </w:numPr>
        <w:tabs>
          <w:tab w:val="left" w:pos="851"/>
        </w:tabs>
        <w:ind w:left="567"/>
        <w:rPr>
          <w:rFonts w:cs="Arial"/>
          <w:snapToGrid w:val="0"/>
        </w:rPr>
      </w:pPr>
      <w:r w:rsidRPr="007C33EB">
        <w:rPr>
          <w:snapToGrid w:val="0"/>
        </w:rPr>
        <w:t>B</w:t>
      </w:r>
      <w:r w:rsidRPr="007C33EB">
        <w:rPr>
          <w:rFonts w:cs="Arial"/>
          <w:snapToGrid w:val="0"/>
        </w:rPr>
        <w:t xml:space="preserve">reeders/ seed producers/ plant propagators: including the International Community of Breeders of Asexually Reproduced Ornamental and Fruit-Tree Varieties (CIOPORA), ISF, </w:t>
      </w:r>
      <w:proofErr w:type="spellStart"/>
      <w:r w:rsidRPr="007C33EB">
        <w:rPr>
          <w:rFonts w:cs="Arial"/>
          <w:snapToGrid w:val="0"/>
        </w:rPr>
        <w:t>CropLife</w:t>
      </w:r>
      <w:proofErr w:type="spellEnd"/>
      <w:r w:rsidRPr="007C33EB">
        <w:rPr>
          <w:rFonts w:cs="Arial"/>
          <w:snapToGrid w:val="0"/>
        </w:rPr>
        <w:t xml:space="preserve"> International, International Association of Horticultural Producers (AIPH), African Seed Trade Association (AFSTA), Asia and Pacific Seed Association (APSA), European Seed Association (ESA), </w:t>
      </w:r>
      <w:proofErr w:type="spellStart"/>
      <w:r w:rsidRPr="007C33EB">
        <w:rPr>
          <w:i/>
          <w:snapToGrid w:val="0"/>
        </w:rPr>
        <w:t>Federación</w:t>
      </w:r>
      <w:proofErr w:type="spellEnd"/>
      <w:r w:rsidRPr="007C33EB">
        <w:rPr>
          <w:i/>
          <w:snapToGrid w:val="0"/>
        </w:rPr>
        <w:t xml:space="preserve"> </w:t>
      </w:r>
      <w:proofErr w:type="spellStart"/>
      <w:r w:rsidRPr="007C33EB">
        <w:rPr>
          <w:i/>
          <w:snapToGrid w:val="0"/>
        </w:rPr>
        <w:t>Latinoamericana</w:t>
      </w:r>
      <w:proofErr w:type="spellEnd"/>
      <w:r w:rsidRPr="007C33EB">
        <w:rPr>
          <w:i/>
          <w:snapToGrid w:val="0"/>
        </w:rPr>
        <w:t xml:space="preserve"> de </w:t>
      </w:r>
      <w:proofErr w:type="spellStart"/>
      <w:r w:rsidRPr="007C33EB">
        <w:rPr>
          <w:i/>
          <w:snapToGrid w:val="0"/>
        </w:rPr>
        <w:t>Asociaciones</w:t>
      </w:r>
      <w:proofErr w:type="spellEnd"/>
      <w:r w:rsidRPr="007C33EB">
        <w:rPr>
          <w:i/>
          <w:snapToGrid w:val="0"/>
        </w:rPr>
        <w:t xml:space="preserve"> de </w:t>
      </w:r>
      <w:proofErr w:type="spellStart"/>
      <w:r w:rsidRPr="007C33EB">
        <w:rPr>
          <w:i/>
          <w:snapToGrid w:val="0"/>
        </w:rPr>
        <w:t>Semillistas</w:t>
      </w:r>
      <w:proofErr w:type="spellEnd"/>
      <w:r w:rsidRPr="007C33EB">
        <w:rPr>
          <w:snapToGrid w:val="0"/>
        </w:rPr>
        <w:t xml:space="preserve"> </w:t>
      </w:r>
      <w:r w:rsidRPr="007C33EB">
        <w:t>(FELAS),</w:t>
      </w:r>
      <w:r w:rsidRPr="007C33EB">
        <w:rPr>
          <w:rFonts w:cs="Arial"/>
          <w:snapToGrid w:val="0"/>
        </w:rPr>
        <w:t xml:space="preserve"> Seed Ass</w:t>
      </w:r>
      <w:r>
        <w:rPr>
          <w:rFonts w:cs="Arial"/>
          <w:snapToGrid w:val="0"/>
        </w:rPr>
        <w:t>ociation of the Americas (SAA).</w:t>
      </w:r>
    </w:p>
    <w:p w:rsidR="00604822" w:rsidRPr="00680B62" w:rsidRDefault="00604822" w:rsidP="00604822">
      <w:pPr>
        <w:pStyle w:val="ListParagraph"/>
        <w:tabs>
          <w:tab w:val="left" w:pos="851"/>
        </w:tabs>
        <w:ind w:left="567"/>
        <w:rPr>
          <w:rFonts w:cs="Arial"/>
          <w:snapToGrid w:val="0"/>
        </w:rPr>
      </w:pPr>
    </w:p>
    <w:p w:rsidR="00604822" w:rsidRDefault="00604822" w:rsidP="00604822">
      <w:pPr>
        <w:pStyle w:val="ListParagraph"/>
        <w:numPr>
          <w:ilvl w:val="0"/>
          <w:numId w:val="15"/>
        </w:numPr>
        <w:tabs>
          <w:tab w:val="left" w:pos="851"/>
        </w:tabs>
        <w:ind w:left="567"/>
        <w:rPr>
          <w:rFonts w:cs="Arial"/>
          <w:snapToGrid w:val="0"/>
        </w:rPr>
      </w:pPr>
      <w:r>
        <w:rPr>
          <w:rFonts w:cs="Arial"/>
          <w:snapToGrid w:val="0"/>
        </w:rPr>
        <w:t xml:space="preserve">Farmers:  </w:t>
      </w:r>
      <w:r w:rsidRPr="003A1572">
        <w:rPr>
          <w:rFonts w:cs="Arial"/>
          <w:snapToGrid w:val="0"/>
        </w:rPr>
        <w:t xml:space="preserve">World Farmers‘ </w:t>
      </w:r>
      <w:proofErr w:type="spellStart"/>
      <w:r w:rsidRPr="003A1572">
        <w:rPr>
          <w:rFonts w:cs="Arial"/>
          <w:snapToGrid w:val="0"/>
        </w:rPr>
        <w:t>Organisation</w:t>
      </w:r>
      <w:proofErr w:type="spellEnd"/>
      <w:r w:rsidRPr="003A1572">
        <w:rPr>
          <w:rFonts w:cs="Arial"/>
          <w:snapToGrid w:val="0"/>
        </w:rPr>
        <w:t xml:space="preserve"> (WFO), Committee of Agricultural Organizations in the European Union (COPA), General Committee for Agricultural Co-operation in the European Union (COGECA), European Coordination Via </w:t>
      </w:r>
      <w:proofErr w:type="spellStart"/>
      <w:r w:rsidRPr="003A1572">
        <w:rPr>
          <w:rFonts w:cs="Arial"/>
          <w:snapToGrid w:val="0"/>
        </w:rPr>
        <w:t>Campesina</w:t>
      </w:r>
      <w:proofErr w:type="spellEnd"/>
      <w:r w:rsidRPr="003A1572">
        <w:rPr>
          <w:rFonts w:cs="Arial"/>
          <w:snapToGrid w:val="0"/>
        </w:rPr>
        <w:t xml:space="preserve"> (ECVC).</w:t>
      </w:r>
    </w:p>
    <w:p w:rsidR="00604822" w:rsidRPr="00254118" w:rsidRDefault="00604822" w:rsidP="00604822">
      <w:pPr>
        <w:tabs>
          <w:tab w:val="left" w:pos="851"/>
        </w:tabs>
        <w:rPr>
          <w:rFonts w:cs="Arial"/>
          <w:snapToGrid w:val="0"/>
        </w:rPr>
      </w:pPr>
    </w:p>
    <w:p w:rsidR="00604822" w:rsidRPr="003A1572" w:rsidRDefault="00604822" w:rsidP="00604822">
      <w:pPr>
        <w:pStyle w:val="ListParagraph"/>
        <w:numPr>
          <w:ilvl w:val="0"/>
          <w:numId w:val="15"/>
        </w:numPr>
        <w:tabs>
          <w:tab w:val="left" w:pos="851"/>
        </w:tabs>
        <w:ind w:left="567"/>
        <w:rPr>
          <w:rFonts w:cs="Arial"/>
          <w:snapToGrid w:val="0"/>
        </w:rPr>
      </w:pPr>
      <w:r>
        <w:rPr>
          <w:rFonts w:cs="Arial"/>
          <w:snapToGrid w:val="0"/>
        </w:rPr>
        <w:t xml:space="preserve">Civil society: </w:t>
      </w:r>
      <w:r w:rsidRPr="003A1572">
        <w:rPr>
          <w:rFonts w:cs="Arial"/>
          <w:snapToGrid w:val="0"/>
        </w:rPr>
        <w:t>Association for Plant Breeding for th</w:t>
      </w:r>
      <w:r>
        <w:rPr>
          <w:rFonts w:cs="Arial"/>
          <w:snapToGrid w:val="0"/>
        </w:rPr>
        <w:t>e Benefit of Society (APBREBES)</w:t>
      </w:r>
    </w:p>
    <w:p w:rsidR="00604822" w:rsidRDefault="00604822" w:rsidP="00604822">
      <w:pPr>
        <w:tabs>
          <w:tab w:val="left" w:pos="851"/>
        </w:tabs>
      </w:pPr>
    </w:p>
    <w:p w:rsidR="00604822" w:rsidRPr="007C33EB" w:rsidRDefault="00604822" w:rsidP="00604822">
      <w:pPr>
        <w:tabs>
          <w:tab w:val="left" w:pos="851"/>
        </w:tabs>
      </w:pPr>
    </w:p>
    <w:p w:rsidR="00604822" w:rsidRPr="007C33EB" w:rsidRDefault="00604822" w:rsidP="00604822">
      <w:pPr>
        <w:pStyle w:val="Heading2"/>
      </w:pPr>
      <w:r w:rsidRPr="007C33EB">
        <w:t>Communications with other organizations</w:t>
      </w:r>
    </w:p>
    <w:p w:rsidR="00604822" w:rsidRPr="007C33EB" w:rsidRDefault="00604822" w:rsidP="00604822">
      <w:pPr>
        <w:tabs>
          <w:tab w:val="left" w:pos="851"/>
        </w:tabs>
      </w:pPr>
    </w:p>
    <w:p w:rsidR="00604822" w:rsidRPr="00B33FEA" w:rsidRDefault="00604822" w:rsidP="00604822">
      <w:r w:rsidRPr="007C33EB">
        <w:t>2.4.2.5</w:t>
      </w:r>
      <w:r w:rsidRPr="007C33EB">
        <w:tab/>
        <w:t>UPOV will contribute to the work of relevant international intergovernmental organizations in order to explain the UPOV system of plant variety protection, with the aim of securing mutual supportiveness.  In particular, UPOV will maintain contacts with WIPO;  WTO and, in particular, its Council for Trade-Related Aspects of Intellectual Property Rights (Council for TRIPS);  the Conference of the Parties to the Convention on Biological Diversity (CBD) including, in particular, its various committees and working groups concerning the Nagoya Protocol on Access to Genetic Resources and the Fair and Equitable Sharing of Benefits Arising from their Utilization to the Convention on Biological Diversity;  and the Food and Agriculture Organization of the United Nations (FAO) including, in particular, the Governing Body of the International Treaty on Plant Genetic Resources for Food and Agriculture (ITPGRFA).</w:t>
      </w:r>
      <w:r>
        <w:t xml:space="preserve"> </w:t>
      </w:r>
      <w:r w:rsidRPr="00B33FEA">
        <w:t xml:space="preserve"> The role of plant variety protection for public sector research institutes means that UPOV will seek to develop and maintain contacts with relevant centers of the Consultative Group on International Agricultural Research (CGIAR).</w:t>
      </w:r>
    </w:p>
    <w:p w:rsidR="00604822" w:rsidRPr="007C33EB" w:rsidRDefault="00604822" w:rsidP="00604822">
      <w:pPr>
        <w:tabs>
          <w:tab w:val="left" w:pos="851"/>
        </w:tabs>
      </w:pPr>
    </w:p>
    <w:p w:rsidR="00604982" w:rsidRDefault="00604822" w:rsidP="00604822">
      <w:r w:rsidRPr="007C33EB">
        <w:t>2.4.2.6</w:t>
      </w:r>
      <w:r w:rsidRPr="007C33EB">
        <w:tab/>
        <w:t xml:space="preserve">With regard to organizations in the seed sector, UPOV’s cooperation with OECD, in respect of the OECD’s Seed Schemes, and with ISTA, </w:t>
      </w:r>
      <w:proofErr w:type="gramStart"/>
      <w:r w:rsidRPr="007C33EB">
        <w:t>are</w:t>
      </w:r>
      <w:proofErr w:type="gramEnd"/>
      <w:r w:rsidRPr="007C33EB">
        <w:t xml:space="preserve"> of particular importance in relation to technical matters, e.g. DUS examination, variety denominations and the role of molecular markers in variety examination and identification.  </w:t>
      </w:r>
      <w:r w:rsidR="007C4C3C">
        <w:t>The World Seed Partnership (</w:t>
      </w:r>
      <w:hyperlink r:id="rId20" w:history="1">
        <w:r w:rsidR="00604982" w:rsidRPr="00833A7D">
          <w:rPr>
            <w:rStyle w:val="Hyperlink"/>
            <w:snapToGrid w:val="0"/>
          </w:rPr>
          <w:t>www.worldseedpartnership.org</w:t>
        </w:r>
      </w:hyperlink>
      <w:r w:rsidR="00604982">
        <w:t xml:space="preserve">), a joint initiative by OECD, UPOV, ISTA and ISF, was launched in 2017 as </w:t>
      </w:r>
      <w:r w:rsidR="00604982">
        <w:rPr>
          <w:snapToGrid w:val="0"/>
        </w:rPr>
        <w:t>a focal point for information on the role of internationally harmonized seed systems in supporting sustainable agriculture.</w:t>
      </w:r>
    </w:p>
    <w:p w:rsidR="00604982" w:rsidRDefault="00604982" w:rsidP="00604822"/>
    <w:p w:rsidR="007C4C3C" w:rsidRPr="00DD6106" w:rsidRDefault="007C4C3C" w:rsidP="00604822">
      <w:r>
        <w:t>2.4.2.7</w:t>
      </w:r>
      <w:r>
        <w:tab/>
      </w:r>
      <w:r w:rsidRPr="007C33EB">
        <w:t>In relation to variety denominations, cooperation with the International Commission for the Nomenclature of Cultivated Plants of the International Union for Biological Sciences (IUBS) (ICNCP) is also of relevance.</w:t>
      </w:r>
    </w:p>
    <w:p w:rsidR="00604822" w:rsidRDefault="00604822" w:rsidP="00604822"/>
    <w:p w:rsidR="00604822" w:rsidRPr="00DD6106" w:rsidRDefault="00604822" w:rsidP="00604822"/>
    <w:p w:rsidR="00604822" w:rsidRPr="00DD6106" w:rsidRDefault="00604822" w:rsidP="00604822">
      <w:pPr>
        <w:keepNext/>
        <w:rPr>
          <w:b/>
        </w:rPr>
      </w:pPr>
      <w:r w:rsidRPr="00DD6106">
        <w:rPr>
          <w:b/>
        </w:rPr>
        <w:t>2.4.3</w:t>
      </w:r>
      <w:r w:rsidRPr="00DD6106">
        <w:rPr>
          <w:b/>
        </w:rPr>
        <w:tab/>
        <w:t>Activities</w:t>
      </w:r>
    </w:p>
    <w:p w:rsidR="00604822" w:rsidRPr="00DD6106" w:rsidRDefault="00604822" w:rsidP="00604822">
      <w:pPr>
        <w:keepNext/>
      </w:pPr>
    </w:p>
    <w:p w:rsidR="00604822" w:rsidRPr="00DD6106" w:rsidRDefault="00604822" w:rsidP="00604822">
      <w:pPr>
        <w:numPr>
          <w:ilvl w:val="0"/>
          <w:numId w:val="12"/>
        </w:numPr>
        <w:tabs>
          <w:tab w:val="clear" w:pos="720"/>
        </w:tabs>
        <w:spacing w:after="120"/>
        <w:ind w:left="1134" w:hanging="504"/>
      </w:pPr>
      <w:r w:rsidRPr="00DD6106">
        <w:t>Participation in meetings with intergovernmental and</w:t>
      </w:r>
      <w:r>
        <w:t xml:space="preserve"> non-governmental organizations.</w:t>
      </w:r>
    </w:p>
    <w:p w:rsidR="00604822" w:rsidRPr="00DD6106" w:rsidRDefault="00604822" w:rsidP="00604822">
      <w:pPr>
        <w:numPr>
          <w:ilvl w:val="0"/>
          <w:numId w:val="12"/>
        </w:numPr>
        <w:tabs>
          <w:tab w:val="clear" w:pos="720"/>
        </w:tabs>
        <w:spacing w:after="120"/>
        <w:ind w:left="1134" w:hanging="504"/>
      </w:pPr>
      <w:r w:rsidRPr="00DD6106">
        <w:t xml:space="preserve">Provision of comments and information to other </w:t>
      </w:r>
      <w:r>
        <w:t>organizations.</w:t>
      </w:r>
    </w:p>
    <w:p w:rsidR="00604822" w:rsidRPr="00DD6106" w:rsidRDefault="00604822" w:rsidP="00604822">
      <w:pPr>
        <w:numPr>
          <w:ilvl w:val="0"/>
          <w:numId w:val="12"/>
        </w:numPr>
        <w:spacing w:after="120"/>
        <w:ind w:left="1134" w:hanging="505"/>
      </w:pPr>
      <w:r>
        <w:t>Maintenance and further development</w:t>
      </w:r>
      <w:r w:rsidRPr="00DD6106">
        <w:t xml:space="preserve"> of </w:t>
      </w:r>
      <w:r>
        <w:t xml:space="preserve">the </w:t>
      </w:r>
      <w:r w:rsidRPr="00DD6106">
        <w:t>UPOV website</w:t>
      </w:r>
      <w:r>
        <w:t>, including stakeholder-focused features</w:t>
      </w:r>
    </w:p>
    <w:p w:rsidR="00604822" w:rsidRPr="00513371" w:rsidRDefault="00604822" w:rsidP="00604822">
      <w:pPr>
        <w:pStyle w:val="ListParagraph"/>
        <w:numPr>
          <w:ilvl w:val="0"/>
          <w:numId w:val="12"/>
        </w:numPr>
        <w:spacing w:after="120"/>
        <w:ind w:left="1134" w:hanging="505"/>
        <w:contextualSpacing w:val="0"/>
      </w:pPr>
      <w:r w:rsidRPr="00513371">
        <w:t xml:space="preserve">Development and dissemination of information material for </w:t>
      </w:r>
      <w:r w:rsidRPr="001D3D5C">
        <w:rPr>
          <w:bCs/>
          <w:szCs w:val="24"/>
        </w:rPr>
        <w:t>stakeholders.</w:t>
      </w:r>
    </w:p>
    <w:p w:rsidR="00604822" w:rsidRPr="00DD6106" w:rsidRDefault="00604822" w:rsidP="00604822">
      <w:pPr>
        <w:pStyle w:val="ListParagraph"/>
        <w:numPr>
          <w:ilvl w:val="0"/>
          <w:numId w:val="12"/>
        </w:numPr>
        <w:spacing w:after="120"/>
        <w:ind w:left="1134" w:hanging="504"/>
      </w:pPr>
      <w:r w:rsidRPr="00DD6106">
        <w:t>Seminars or symposia on relevant topics</w:t>
      </w:r>
      <w:r>
        <w:t>.</w:t>
      </w:r>
    </w:p>
    <w:p w:rsidR="00604822" w:rsidRDefault="00604822" w:rsidP="00604822"/>
    <w:p w:rsidR="00604822" w:rsidRDefault="00604822" w:rsidP="00604822"/>
    <w:p w:rsidR="00604822" w:rsidRPr="00DD6106" w:rsidRDefault="00604822" w:rsidP="00604822">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 w:rsidRPr="00DD6106">
        <w:rPr>
          <w:b/>
        </w:rPr>
        <w:t>2.4.4</w:t>
      </w:r>
      <w:r w:rsidRPr="00DD6106">
        <w:rPr>
          <w:b/>
        </w:rPr>
        <w:tab/>
        <w:t>Expected Results and Performance Indicators</w:t>
      </w:r>
    </w:p>
    <w:p w:rsidR="00604822" w:rsidRDefault="00604822" w:rsidP="00604822">
      <w:pPr>
        <w:keepNext/>
      </w:pPr>
    </w:p>
    <w:tbl>
      <w:tblPr>
        <w:tblW w:w="9889" w:type="dxa"/>
        <w:tblInd w:w="-103" w:type="dxa"/>
        <w:tblLayout w:type="fixed"/>
        <w:tblCellMar>
          <w:top w:w="57" w:type="dxa"/>
          <w:left w:w="57" w:type="dxa"/>
          <w:bottom w:w="28" w:type="dxa"/>
          <w:right w:w="57" w:type="dxa"/>
        </w:tblCellMar>
        <w:tblLook w:val="0000" w:firstRow="0" w:lastRow="0" w:firstColumn="0" w:lastColumn="0" w:noHBand="0" w:noVBand="0"/>
      </w:tblPr>
      <w:tblGrid>
        <w:gridCol w:w="4503"/>
        <w:gridCol w:w="5386"/>
      </w:tblGrid>
      <w:tr w:rsidR="00604822" w:rsidRPr="00DD6106" w:rsidTr="00962988">
        <w:trPr>
          <w:cantSplit/>
          <w:tblHeader/>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Expected Results</w:t>
            </w:r>
          </w:p>
        </w:tc>
        <w:tc>
          <w:tcPr>
            <w:tcW w:w="5386"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center"/>
              <w:rPr>
                <w:color w:val="000000"/>
                <w:u w:val="single"/>
              </w:rPr>
            </w:pPr>
            <w:r w:rsidRPr="00DD6106">
              <w:rPr>
                <w:color w:val="000000"/>
                <w:u w:val="single"/>
              </w:rPr>
              <w:t>Performance Indicators</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sidRPr="00DD6106">
              <w:rPr>
                <w:color w:val="000000"/>
              </w:rPr>
              <w:t>1.</w:t>
            </w:r>
            <w:r w:rsidRPr="00DD6106">
              <w:rPr>
                <w:color w:val="000000"/>
              </w:rPr>
              <w:tab/>
            </w:r>
            <w:r>
              <w:rPr>
                <w:color w:val="000000"/>
              </w:rPr>
              <w:t xml:space="preserve">Broaden public </w:t>
            </w:r>
            <w:r w:rsidRPr="00DD6106">
              <w:rPr>
                <w:color w:val="000000"/>
              </w:rPr>
              <w:t>understanding of UPOV’s role and activities</w:t>
            </w:r>
          </w:p>
        </w:tc>
        <w:tc>
          <w:tcPr>
            <w:tcW w:w="5386"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of </w:t>
            </w:r>
            <w:r>
              <w:rPr>
                <w:color w:val="000000"/>
              </w:rPr>
              <w:t>suitable</w:t>
            </w:r>
            <w:r w:rsidRPr="002C0995">
              <w:rPr>
                <w:color w:val="000000"/>
              </w:rPr>
              <w:t xml:space="preserve"> information and materials</w:t>
            </w:r>
            <w:r>
              <w:rPr>
                <w:color w:val="000000"/>
              </w:rPr>
              <w:t xml:space="preserve"> for the general public,</w:t>
            </w:r>
            <w:r w:rsidRPr="002C0995">
              <w:rPr>
                <w:color w:val="000000"/>
              </w:rPr>
              <w:t xml:space="preserve"> on UPOV website and through other media</w:t>
            </w:r>
            <w:r>
              <w:rPr>
                <w:color w:val="000000"/>
              </w:rPr>
              <w:t>;</w:t>
            </w:r>
          </w:p>
          <w:p w:rsidR="00604822" w:rsidRPr="00DD6106" w:rsidRDefault="00604822" w:rsidP="00962988">
            <w:pPr>
              <w:keepNext/>
              <w:ind w:left="397" w:hanging="397"/>
              <w:jc w:val="left"/>
              <w:rPr>
                <w:color w:val="000000"/>
              </w:rPr>
            </w:pPr>
            <w:r>
              <w:rPr>
                <w:color w:val="000000"/>
              </w:rPr>
              <w:t>(b)</w:t>
            </w:r>
            <w:r>
              <w:rPr>
                <w:color w:val="000000"/>
              </w:rPr>
              <w:tab/>
            </w:r>
            <w:proofErr w:type="gramStart"/>
            <w:r>
              <w:rPr>
                <w:color w:val="000000"/>
              </w:rPr>
              <w:t>visits</w:t>
            </w:r>
            <w:proofErr w:type="gramEnd"/>
            <w:r>
              <w:rPr>
                <w:color w:val="000000"/>
              </w:rPr>
              <w:t xml:space="preserve"> to general public features on UPOV website.</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Pr="00DD6106" w:rsidRDefault="00604822" w:rsidP="00962988">
            <w:pPr>
              <w:keepNext/>
              <w:ind w:left="397" w:hanging="397"/>
              <w:jc w:val="left"/>
              <w:rPr>
                <w:color w:val="000000"/>
              </w:rPr>
            </w:pPr>
            <w:r>
              <w:rPr>
                <w:color w:val="000000"/>
              </w:rPr>
              <w:t>2</w:t>
            </w:r>
            <w:r w:rsidRPr="00DD6106">
              <w:rPr>
                <w:color w:val="000000"/>
              </w:rPr>
              <w:t>.</w:t>
            </w:r>
            <w:r w:rsidRPr="00DD6106">
              <w:rPr>
                <w:color w:val="000000"/>
              </w:rPr>
              <w:tab/>
            </w:r>
            <w:r>
              <w:rPr>
                <w:color w:val="000000"/>
              </w:rPr>
              <w:t xml:space="preserve">Enhance </w:t>
            </w:r>
            <w:r w:rsidRPr="00DD6106">
              <w:rPr>
                <w:color w:val="000000"/>
              </w:rPr>
              <w:t>understanding of UPOV’s role and activities</w:t>
            </w:r>
            <w:r>
              <w:rPr>
                <w:color w:val="000000"/>
              </w:rPr>
              <w:t xml:space="preserve"> for stakeholders </w:t>
            </w:r>
          </w:p>
        </w:tc>
        <w:tc>
          <w:tcPr>
            <w:tcW w:w="5386" w:type="dxa"/>
            <w:tcBorders>
              <w:top w:val="single" w:sz="4" w:space="0" w:color="000000"/>
              <w:left w:val="single" w:sz="4" w:space="0" w:color="000000"/>
              <w:bottom w:val="single" w:sz="4" w:space="0" w:color="000000"/>
              <w:right w:val="single" w:sz="4" w:space="0" w:color="000000"/>
            </w:tcBorders>
          </w:tcPr>
          <w:p w:rsidR="00604822" w:rsidRPr="00536237" w:rsidRDefault="00604822" w:rsidP="00962988">
            <w:pPr>
              <w:keepNext/>
              <w:spacing w:after="60"/>
              <w:ind w:left="397" w:hanging="397"/>
              <w:jc w:val="left"/>
              <w:rPr>
                <w:color w:val="000000"/>
              </w:rPr>
            </w:pPr>
            <w:r w:rsidRPr="00DD6106">
              <w:rPr>
                <w:color w:val="000000"/>
              </w:rPr>
              <w:t>(a)</w:t>
            </w:r>
            <w:r w:rsidRPr="00DD6106">
              <w:rPr>
                <w:color w:val="000000"/>
              </w:rPr>
              <w:tab/>
              <w:t>availa</w:t>
            </w:r>
            <w:r w:rsidRPr="002C0995">
              <w:rPr>
                <w:color w:val="000000"/>
              </w:rPr>
              <w:t xml:space="preserve">bility </w:t>
            </w:r>
            <w:r w:rsidRPr="00536237">
              <w:rPr>
                <w:color w:val="000000"/>
              </w:rPr>
              <w:t>on UPOV website and through other media</w:t>
            </w:r>
            <w:r w:rsidRPr="002C0995">
              <w:rPr>
                <w:color w:val="000000"/>
              </w:rPr>
              <w:t xml:space="preserve"> of </w:t>
            </w:r>
            <w:r>
              <w:rPr>
                <w:color w:val="000000"/>
              </w:rPr>
              <w:t>suitable</w:t>
            </w:r>
            <w:r w:rsidRPr="002C0995">
              <w:rPr>
                <w:color w:val="000000"/>
              </w:rPr>
              <w:t xml:space="preserve"> information and materials</w:t>
            </w:r>
            <w:r>
              <w:rPr>
                <w:color w:val="000000"/>
              </w:rPr>
              <w:t xml:space="preserve">, particularly for </w:t>
            </w:r>
            <w:r w:rsidRPr="0080364F">
              <w:rPr>
                <w:color w:val="000000"/>
              </w:rPr>
              <w:t>breeders, farmers</w:t>
            </w:r>
            <w:r>
              <w:rPr>
                <w:color w:val="000000"/>
              </w:rPr>
              <w:t xml:space="preserve"> and policy-makers</w:t>
            </w:r>
            <w:r w:rsidRPr="00536237">
              <w:rPr>
                <w:color w:val="000000"/>
              </w:rPr>
              <w:t>;</w:t>
            </w:r>
          </w:p>
          <w:p w:rsidR="00604822" w:rsidRPr="00536237" w:rsidRDefault="00604822" w:rsidP="00962988">
            <w:pPr>
              <w:keepNext/>
              <w:spacing w:after="60"/>
              <w:ind w:left="397" w:hanging="397"/>
              <w:jc w:val="left"/>
              <w:rPr>
                <w:color w:val="000000"/>
              </w:rPr>
            </w:pPr>
            <w:r>
              <w:rPr>
                <w:color w:val="000000"/>
              </w:rPr>
              <w:t>(b</w:t>
            </w:r>
            <w:r w:rsidRPr="00536237">
              <w:rPr>
                <w:color w:val="000000"/>
              </w:rPr>
              <w:t>)</w:t>
            </w:r>
            <w:r w:rsidRPr="00536237">
              <w:rPr>
                <w:color w:val="000000"/>
              </w:rPr>
              <w:tab/>
              <w:t>sta</w:t>
            </w:r>
            <w:r>
              <w:rPr>
                <w:color w:val="000000"/>
              </w:rPr>
              <w:t>keholder</w:t>
            </w:r>
            <w:r w:rsidRPr="00536237">
              <w:rPr>
                <w:color w:val="000000"/>
              </w:rPr>
              <w:t xml:space="preserve"> features on the UPOV website;</w:t>
            </w:r>
          </w:p>
          <w:p w:rsidR="00604822" w:rsidRPr="00536237" w:rsidRDefault="00604822" w:rsidP="00962988">
            <w:pPr>
              <w:keepNext/>
              <w:spacing w:after="60"/>
              <w:ind w:left="397" w:hanging="397"/>
              <w:jc w:val="left"/>
              <w:rPr>
                <w:color w:val="000000"/>
              </w:rPr>
            </w:pPr>
            <w:r>
              <w:rPr>
                <w:color w:val="000000"/>
              </w:rPr>
              <w:t>(c</w:t>
            </w:r>
            <w:r w:rsidRPr="00536237">
              <w:rPr>
                <w:color w:val="000000"/>
              </w:rPr>
              <w:t>)</w:t>
            </w:r>
            <w:r w:rsidRPr="00536237">
              <w:rPr>
                <w:color w:val="000000"/>
              </w:rPr>
              <w:tab/>
              <w:t>participation by stakeholders in seminars and symposia;</w:t>
            </w:r>
          </w:p>
          <w:p w:rsidR="00604822" w:rsidRDefault="00604822" w:rsidP="00962988">
            <w:pPr>
              <w:ind w:left="397" w:hanging="397"/>
              <w:jc w:val="left"/>
              <w:rPr>
                <w:color w:val="000000"/>
              </w:rPr>
            </w:pPr>
            <w:r>
              <w:rPr>
                <w:color w:val="000000"/>
              </w:rPr>
              <w:t>(d</w:t>
            </w:r>
            <w:r w:rsidRPr="00536237">
              <w:rPr>
                <w:color w:val="000000"/>
              </w:rPr>
              <w:t xml:space="preserve">) </w:t>
            </w:r>
            <w:r w:rsidRPr="00536237">
              <w:rPr>
                <w:color w:val="000000"/>
              </w:rPr>
              <w:tab/>
              <w:t>participation at meetings of, and with, relevant stakeholders</w:t>
            </w:r>
            <w:r>
              <w:rPr>
                <w:color w:val="000000"/>
              </w:rPr>
              <w:t>;</w:t>
            </w:r>
          </w:p>
          <w:p w:rsidR="00604822" w:rsidRPr="00DD6106" w:rsidRDefault="00604822" w:rsidP="00962988">
            <w:pPr>
              <w:keepNext/>
              <w:spacing w:after="60"/>
              <w:ind w:left="397" w:hanging="397"/>
              <w:jc w:val="left"/>
              <w:rPr>
                <w:color w:val="000000"/>
              </w:rPr>
            </w:pPr>
            <w:r>
              <w:rPr>
                <w:color w:val="000000"/>
              </w:rPr>
              <w:t>(e</w:t>
            </w:r>
            <w:r w:rsidRPr="00536237">
              <w:rPr>
                <w:color w:val="000000"/>
              </w:rPr>
              <w:t>)</w:t>
            </w:r>
            <w:r w:rsidRPr="00536237">
              <w:rPr>
                <w:color w:val="000000"/>
              </w:rPr>
              <w:tab/>
            </w:r>
            <w:proofErr w:type="gramStart"/>
            <w:r w:rsidRPr="00536237">
              <w:rPr>
                <w:color w:val="000000"/>
              </w:rPr>
              <w:t>articles</w:t>
            </w:r>
            <w:proofErr w:type="gramEnd"/>
            <w:r w:rsidRPr="00536237">
              <w:rPr>
                <w:color w:val="000000"/>
              </w:rPr>
              <w:t xml:space="preserve"> in relevant publications to which UPOV has contributed</w:t>
            </w:r>
            <w:r>
              <w:rPr>
                <w:color w:val="000000"/>
              </w:rPr>
              <w:t>.</w:t>
            </w:r>
          </w:p>
        </w:tc>
      </w:tr>
      <w:tr w:rsidR="00604822" w:rsidRPr="00DD6106" w:rsidTr="00962988">
        <w:trPr>
          <w:cantSplit/>
        </w:trPr>
        <w:tc>
          <w:tcPr>
            <w:tcW w:w="4503" w:type="dxa"/>
            <w:tcBorders>
              <w:top w:val="single" w:sz="4" w:space="0" w:color="000000"/>
              <w:left w:val="single" w:sz="4" w:space="0" w:color="000000"/>
              <w:bottom w:val="single" w:sz="4" w:space="0" w:color="000000"/>
              <w:right w:val="single" w:sz="4" w:space="0" w:color="000000"/>
            </w:tcBorders>
          </w:tcPr>
          <w:p w:rsidR="00604822" w:rsidRDefault="00604822" w:rsidP="00962988">
            <w:pPr>
              <w:keepNext/>
              <w:ind w:left="397" w:hanging="397"/>
              <w:jc w:val="left"/>
              <w:rPr>
                <w:color w:val="000000"/>
              </w:rPr>
            </w:pPr>
            <w:r>
              <w:rPr>
                <w:color w:val="000000"/>
              </w:rPr>
              <w:t>3.</w:t>
            </w:r>
            <w:r>
              <w:rPr>
                <w:color w:val="000000"/>
              </w:rPr>
              <w:tab/>
              <w:t xml:space="preserve">Enhance </w:t>
            </w:r>
            <w:r w:rsidRPr="00DD6106">
              <w:rPr>
                <w:color w:val="000000"/>
              </w:rPr>
              <w:t>understanding of UPOV’s role and activities</w:t>
            </w:r>
            <w:r>
              <w:rPr>
                <w:color w:val="000000"/>
              </w:rPr>
              <w:t xml:space="preserve"> with other organizations</w:t>
            </w:r>
          </w:p>
        </w:tc>
        <w:tc>
          <w:tcPr>
            <w:tcW w:w="5386" w:type="dxa"/>
            <w:tcBorders>
              <w:top w:val="single" w:sz="4" w:space="0" w:color="000000"/>
              <w:left w:val="single" w:sz="4" w:space="0" w:color="000000"/>
              <w:bottom w:val="single" w:sz="4" w:space="0" w:color="000000"/>
              <w:right w:val="single" w:sz="4" w:space="0" w:color="000000"/>
            </w:tcBorders>
          </w:tcPr>
          <w:p w:rsidR="00604822" w:rsidRPr="00D9330A" w:rsidRDefault="00604822" w:rsidP="00962988">
            <w:pPr>
              <w:keepNext/>
              <w:spacing w:after="60"/>
              <w:ind w:left="397" w:hanging="397"/>
              <w:jc w:val="left"/>
              <w:rPr>
                <w:color w:val="000000"/>
              </w:rPr>
            </w:pPr>
            <w:r w:rsidRPr="00D9330A">
              <w:rPr>
                <w:color w:val="000000"/>
              </w:rPr>
              <w:t>(a) participation at meetings of, and with, relevant</w:t>
            </w:r>
            <w:r>
              <w:rPr>
                <w:color w:val="000000"/>
              </w:rPr>
              <w:t xml:space="preserve"> </w:t>
            </w:r>
            <w:r w:rsidRPr="00D9330A">
              <w:rPr>
                <w:color w:val="000000"/>
              </w:rPr>
              <w:t>organizations;</w:t>
            </w:r>
          </w:p>
          <w:p w:rsidR="00604822" w:rsidRPr="00DD6106" w:rsidRDefault="00604822" w:rsidP="00962988">
            <w:pPr>
              <w:ind w:left="397" w:hanging="397"/>
              <w:jc w:val="left"/>
              <w:rPr>
                <w:color w:val="000000"/>
              </w:rPr>
            </w:pPr>
            <w:r w:rsidRPr="00D9330A">
              <w:rPr>
                <w:color w:val="000000"/>
              </w:rPr>
              <w:t xml:space="preserve">(b) </w:t>
            </w:r>
            <w:proofErr w:type="gramStart"/>
            <w:r w:rsidRPr="00D9330A">
              <w:rPr>
                <w:color w:val="000000"/>
              </w:rPr>
              <w:t>contributions</w:t>
            </w:r>
            <w:proofErr w:type="gramEnd"/>
            <w:r w:rsidRPr="00D9330A">
              <w:rPr>
                <w:color w:val="000000"/>
              </w:rPr>
              <w:t xml:space="preserve"> made to relevant organizations.</w:t>
            </w:r>
          </w:p>
        </w:tc>
      </w:tr>
    </w:tbl>
    <w:p w:rsidR="00604822" w:rsidRDefault="00604822" w:rsidP="00604822">
      <w:pPr>
        <w:keepNext/>
        <w:rPr>
          <w:b/>
        </w:rPr>
      </w:pPr>
    </w:p>
    <w:p w:rsidR="00604822" w:rsidRDefault="00604822" w:rsidP="00604822">
      <w:pPr>
        <w:jc w:val="left"/>
        <w:rPr>
          <w:b/>
        </w:rPr>
      </w:pPr>
      <w:r>
        <w:rPr>
          <w:b/>
        </w:rPr>
        <w:br w:type="page"/>
      </w:r>
    </w:p>
    <w:p w:rsidR="00604822" w:rsidRPr="006F24A8" w:rsidRDefault="00604822" w:rsidP="00604822">
      <w:pPr>
        <w:keepNext/>
        <w:rPr>
          <w:b/>
        </w:rPr>
      </w:pPr>
      <w:r w:rsidRPr="006F24A8">
        <w:rPr>
          <w:b/>
        </w:rPr>
        <w:t>3.</w:t>
      </w:r>
      <w:r w:rsidRPr="006F24A8">
        <w:rPr>
          <w:b/>
        </w:rPr>
        <w:tab/>
        <w:t>PROPOSED BUDGET</w:t>
      </w:r>
    </w:p>
    <w:p w:rsidR="00604822" w:rsidRPr="00C97817" w:rsidRDefault="00604822" w:rsidP="00604822">
      <w:pPr>
        <w:keepNext/>
      </w:pPr>
    </w:p>
    <w:p w:rsidR="00604822" w:rsidRPr="00C97817" w:rsidRDefault="00604822" w:rsidP="00604822">
      <w:pPr>
        <w:rPr>
          <w:spacing w:val="-2"/>
          <w:szCs w:val="24"/>
        </w:rPr>
      </w:pPr>
      <w:r w:rsidRPr="002D2395">
        <w:t>3.1</w:t>
      </w:r>
      <w:r w:rsidRPr="002D2395">
        <w:tab/>
      </w:r>
      <w:r w:rsidRPr="002D2395">
        <w:rPr>
          <w:spacing w:val="-2"/>
          <w:szCs w:val="24"/>
        </w:rPr>
        <w:t xml:space="preserve">The proposed budget for the </w:t>
      </w:r>
      <w:r>
        <w:rPr>
          <w:snapToGrid w:val="0"/>
          <w:spacing w:val="-2"/>
          <w:szCs w:val="24"/>
        </w:rPr>
        <w:t>2018­2019</w:t>
      </w:r>
      <w:r w:rsidRPr="002D2395">
        <w:rPr>
          <w:spacing w:val="-2"/>
          <w:szCs w:val="24"/>
        </w:rPr>
        <w:t xml:space="preserve"> Biennium anticipates an income of </w:t>
      </w:r>
      <w:r>
        <w:rPr>
          <w:spacing w:val="-2"/>
          <w:szCs w:val="24"/>
        </w:rPr>
        <w:t>6,940,000</w:t>
      </w:r>
      <w:r w:rsidRPr="002D2395">
        <w:rPr>
          <w:spacing w:val="-2"/>
          <w:szCs w:val="24"/>
        </w:rPr>
        <w:t> S</w:t>
      </w:r>
      <w:r>
        <w:rPr>
          <w:spacing w:val="-2"/>
          <w:szCs w:val="24"/>
        </w:rPr>
        <w:t>wiss francs compared to the 2016­2017</w:t>
      </w:r>
      <w:r w:rsidRPr="002D2395">
        <w:rPr>
          <w:spacing w:val="-2"/>
          <w:szCs w:val="24"/>
        </w:rPr>
        <w:t xml:space="preserve"> budget of 6,</w:t>
      </w:r>
      <w:r>
        <w:rPr>
          <w:spacing w:val="-2"/>
          <w:szCs w:val="24"/>
        </w:rPr>
        <w:t>823</w:t>
      </w:r>
      <w:r w:rsidRPr="002D2395">
        <w:rPr>
          <w:spacing w:val="-2"/>
          <w:szCs w:val="24"/>
        </w:rPr>
        <w:t xml:space="preserve">,000 Swiss francs (see </w:t>
      </w:r>
      <w:r w:rsidRPr="002D2395">
        <w:rPr>
          <w:b/>
          <w:spacing w:val="-2"/>
          <w:szCs w:val="24"/>
        </w:rPr>
        <w:t>Tables 1 and 2</w:t>
      </w:r>
      <w:r w:rsidRPr="002D2395">
        <w:rPr>
          <w:spacing w:val="-2"/>
          <w:szCs w:val="24"/>
        </w:rPr>
        <w:t>).</w:t>
      </w:r>
    </w:p>
    <w:p w:rsidR="00604822" w:rsidRPr="00C97817" w:rsidRDefault="00604822" w:rsidP="00604822">
      <w:pPr>
        <w:rPr>
          <w:spacing w:val="-2"/>
          <w:szCs w:val="24"/>
        </w:rPr>
      </w:pPr>
    </w:p>
    <w:p w:rsidR="00604822" w:rsidRPr="00C97817" w:rsidRDefault="00604822" w:rsidP="00604822">
      <w:pPr>
        <w:jc w:val="center"/>
        <w:rPr>
          <w:rFonts w:cs="Arial"/>
          <w:b/>
          <w:bCs/>
        </w:rPr>
      </w:pPr>
      <w:r w:rsidRPr="00E607F7">
        <w:rPr>
          <w:rFonts w:cs="Arial"/>
          <w:b/>
          <w:bCs/>
        </w:rPr>
        <w:t>Table 1:  Income and Expenditure 2014-2015, 2016-2017 and 2018-2019</w:t>
      </w:r>
    </w:p>
    <w:p w:rsidR="00604822" w:rsidRDefault="00604822" w:rsidP="00604822">
      <w:pPr>
        <w:jc w:val="center"/>
        <w:rPr>
          <w:rFonts w:cs="Arial"/>
          <w:i/>
          <w:iCs/>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jc w:val="center"/>
        <w:rPr>
          <w:rFonts w:cs="Arial"/>
          <w:i/>
          <w:iCs/>
        </w:rPr>
      </w:pPr>
    </w:p>
    <w:p w:rsidR="00604822" w:rsidRDefault="00604822" w:rsidP="00604822">
      <w:pPr>
        <w:jc w:val="center"/>
        <w:rPr>
          <w:spacing w:val="-2"/>
          <w:szCs w:val="24"/>
        </w:rPr>
      </w:pPr>
      <w:r w:rsidRPr="00E607F7">
        <w:rPr>
          <w:noProof/>
        </w:rPr>
        <w:drawing>
          <wp:inline distT="0" distB="0" distL="0" distR="0" wp14:anchorId="42C8105E" wp14:editId="1028BC3F">
            <wp:extent cx="54864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rPr>
          <w:spacing w:val="-2"/>
          <w:szCs w:val="24"/>
        </w:rPr>
      </w:pPr>
      <w:r w:rsidRPr="00C3197F">
        <w:rPr>
          <w:spacing w:val="-2"/>
          <w:szCs w:val="24"/>
        </w:rPr>
        <w:t>3.2</w:t>
      </w:r>
      <w:r w:rsidRPr="00C3197F">
        <w:rPr>
          <w:spacing w:val="-2"/>
          <w:szCs w:val="24"/>
        </w:rPr>
        <w:tab/>
        <w:t>Expenditure is estimated at the same amount as the expected income.</w:t>
      </w:r>
    </w:p>
    <w:p w:rsidR="00604822" w:rsidRDefault="00604822" w:rsidP="00604822">
      <w:pPr>
        <w:rPr>
          <w:spacing w:val="-2"/>
          <w:szCs w:val="24"/>
        </w:rPr>
      </w:pPr>
    </w:p>
    <w:p w:rsidR="00604822" w:rsidRPr="00D32307" w:rsidRDefault="00604822" w:rsidP="00604822">
      <w:pPr>
        <w:rPr>
          <w:spacing w:val="-2"/>
          <w:szCs w:val="24"/>
        </w:rPr>
      </w:pPr>
      <w:r w:rsidRPr="00DD6106">
        <w:rPr>
          <w:spacing w:val="-2"/>
          <w:szCs w:val="24"/>
        </w:rPr>
        <w:t>3.3</w:t>
      </w:r>
      <w:r w:rsidRPr="00DD6106">
        <w:rPr>
          <w:spacing w:val="-2"/>
          <w:szCs w:val="24"/>
        </w:rPr>
        <w:tab/>
        <w:t>With regard to the reserve fun</w:t>
      </w:r>
      <w:r>
        <w:rPr>
          <w:spacing w:val="-2"/>
          <w:szCs w:val="24"/>
        </w:rPr>
        <w:t>d, it is recalled that document</w:t>
      </w:r>
      <w:r w:rsidRPr="00DD6106">
        <w:rPr>
          <w:spacing w:val="-2"/>
          <w:szCs w:val="24"/>
        </w:rPr>
        <w:t xml:space="preserve"> UPOV/INF/</w:t>
      </w:r>
      <w:r w:rsidRPr="00271533">
        <w:rPr>
          <w:spacing w:val="-2"/>
          <w:szCs w:val="24"/>
        </w:rPr>
        <w:t>4/</w:t>
      </w:r>
      <w:r>
        <w:rPr>
          <w:spacing w:val="-2"/>
          <w:szCs w:val="24"/>
        </w:rPr>
        <w:t>4</w:t>
      </w:r>
      <w:r w:rsidRPr="00271533">
        <w:rPr>
          <w:spacing w:val="-2"/>
          <w:szCs w:val="24"/>
        </w:rPr>
        <w:t xml:space="preserve"> “</w:t>
      </w:r>
      <w:r w:rsidRPr="00DD6106">
        <w:rPr>
          <w:spacing w:val="-2"/>
          <w:szCs w:val="24"/>
        </w:rPr>
        <w:t>Financial Regulations and Rules of UPOV”, Regulation 4.6, states that “[…]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roofErr w:type="gramStart"/>
      <w:r w:rsidRPr="00DD6106">
        <w:rPr>
          <w:spacing w:val="-2"/>
          <w:szCs w:val="24"/>
        </w:rPr>
        <w:t>”.</w:t>
      </w:r>
      <w:proofErr w:type="gramEnd"/>
      <w:r w:rsidRPr="00DD6106">
        <w:rPr>
          <w:spacing w:val="-2"/>
          <w:szCs w:val="24"/>
        </w:rPr>
        <w:t xml:space="preserve">  The necessary arrangements would be made for consideration by the Consultative Committee and the Council </w:t>
      </w:r>
      <w:r w:rsidRPr="00D32307">
        <w:rPr>
          <w:spacing w:val="-2"/>
          <w:szCs w:val="24"/>
        </w:rPr>
        <w:t xml:space="preserve">if that situation is applicable at the closure of the </w:t>
      </w:r>
      <w:r w:rsidRPr="00C058E1">
        <w:rPr>
          <w:snapToGrid w:val="0"/>
          <w:spacing w:val="-2"/>
          <w:szCs w:val="24"/>
        </w:rPr>
        <w:t>201</w:t>
      </w:r>
      <w:r>
        <w:rPr>
          <w:snapToGrid w:val="0"/>
          <w:spacing w:val="-2"/>
          <w:szCs w:val="24"/>
        </w:rPr>
        <w:t>6</w:t>
      </w:r>
      <w:r w:rsidRPr="00C058E1">
        <w:rPr>
          <w:snapToGrid w:val="0"/>
          <w:spacing w:val="-2"/>
          <w:szCs w:val="24"/>
        </w:rPr>
        <w:t>­201</w:t>
      </w:r>
      <w:r>
        <w:rPr>
          <w:snapToGrid w:val="0"/>
          <w:spacing w:val="-2"/>
          <w:szCs w:val="24"/>
        </w:rPr>
        <w:t>7</w:t>
      </w:r>
      <w:r w:rsidRPr="00C058E1">
        <w:rPr>
          <w:spacing w:val="-2"/>
          <w:szCs w:val="24"/>
        </w:rPr>
        <w:t xml:space="preserve"> </w:t>
      </w:r>
      <w:r w:rsidRPr="00D32307">
        <w:rPr>
          <w:spacing w:val="-2"/>
          <w:szCs w:val="24"/>
        </w:rPr>
        <w:t xml:space="preserve">Biennium. </w:t>
      </w:r>
    </w:p>
    <w:p w:rsidR="00604822" w:rsidRPr="00D32307" w:rsidRDefault="00604822" w:rsidP="00604822">
      <w:pPr>
        <w:rPr>
          <w:spacing w:val="-2"/>
          <w:szCs w:val="24"/>
        </w:rPr>
      </w:pPr>
    </w:p>
    <w:p w:rsidR="00604822" w:rsidRDefault="00604822" w:rsidP="00604822">
      <w:pPr>
        <w:rPr>
          <w:spacing w:val="-2"/>
          <w:szCs w:val="24"/>
        </w:rPr>
      </w:pPr>
    </w:p>
    <w:p w:rsidR="00604822" w:rsidRDefault="00604822" w:rsidP="00604822">
      <w:pPr>
        <w:jc w:val="center"/>
        <w:rPr>
          <w:rFonts w:cs="Arial"/>
          <w:b/>
          <w:bCs/>
        </w:rPr>
      </w:pPr>
      <w:r w:rsidRPr="0064770E">
        <w:rPr>
          <w:rFonts w:cs="Arial"/>
          <w:b/>
          <w:bCs/>
        </w:rPr>
        <w:t xml:space="preserve">Table 2:  Structure of proposed budget </w:t>
      </w:r>
      <w:r w:rsidRPr="004B5788">
        <w:rPr>
          <w:rFonts w:cs="Arial"/>
          <w:b/>
          <w:bCs/>
        </w:rPr>
        <w:t>2018-2019 as</w:t>
      </w:r>
      <w:r>
        <w:rPr>
          <w:rFonts w:cs="Arial"/>
          <w:b/>
          <w:bCs/>
        </w:rPr>
        <w:t xml:space="preserve"> compared to 2014-2015 and 2016-2017</w:t>
      </w:r>
    </w:p>
    <w:p w:rsidR="00604822" w:rsidRDefault="00604822" w:rsidP="00604822">
      <w:pPr>
        <w:jc w:val="center"/>
        <w:rPr>
          <w:spacing w:val="-2"/>
          <w:szCs w:val="24"/>
        </w:rPr>
      </w:pPr>
      <w:r w:rsidRPr="0064770E">
        <w:rPr>
          <w:rFonts w:cs="Arial"/>
          <w:i/>
          <w:iCs/>
        </w:rPr>
        <w:t>(</w:t>
      </w:r>
      <w:proofErr w:type="gramStart"/>
      <w:r w:rsidRPr="0064770E">
        <w:rPr>
          <w:rFonts w:cs="Arial"/>
          <w:i/>
          <w:iCs/>
        </w:rPr>
        <w:t>in</w:t>
      </w:r>
      <w:proofErr w:type="gramEnd"/>
      <w:r w:rsidRPr="0064770E">
        <w:rPr>
          <w:rFonts w:cs="Arial"/>
          <w:i/>
          <w:iCs/>
        </w:rPr>
        <w:t xml:space="preserve"> thousands of Swiss francs)</w:t>
      </w:r>
    </w:p>
    <w:p w:rsidR="00604822" w:rsidRPr="007B184F" w:rsidRDefault="00604822" w:rsidP="00604822"/>
    <w:p w:rsidR="00604822" w:rsidRDefault="00FD4445" w:rsidP="00604822">
      <w:pPr>
        <w:jc w:val="center"/>
      </w:pPr>
      <w:r w:rsidRPr="00FD4445">
        <w:rPr>
          <w:noProof/>
        </w:rPr>
        <w:drawing>
          <wp:inline distT="0" distB="0" distL="0" distR="0">
            <wp:extent cx="5105400" cy="3838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05400" cy="3838575"/>
                    </a:xfrm>
                    <a:prstGeom prst="rect">
                      <a:avLst/>
                    </a:prstGeom>
                    <a:noFill/>
                    <a:ln>
                      <a:noFill/>
                    </a:ln>
                  </pic:spPr>
                </pic:pic>
              </a:graphicData>
            </a:graphic>
          </wp:inline>
        </w:drawing>
      </w:r>
    </w:p>
    <w:p w:rsidR="00604822" w:rsidRDefault="00604822" w:rsidP="00604822">
      <w:pPr>
        <w:jc w:val="center"/>
      </w:pPr>
      <w:r>
        <w:br w:type="page"/>
      </w:r>
    </w:p>
    <w:p w:rsidR="00604822" w:rsidRPr="002B1A9D" w:rsidRDefault="00604822" w:rsidP="00604822">
      <w:pPr>
        <w:tabs>
          <w:tab w:val="left" w:pos="567"/>
        </w:tabs>
      </w:pPr>
      <w:r>
        <w:t>3.4</w:t>
      </w:r>
      <w:r w:rsidRPr="00C97817">
        <w:tab/>
      </w:r>
      <w:r w:rsidRPr="002B1A9D">
        <w:rPr>
          <w:b/>
        </w:rPr>
        <w:t>Table 3</w:t>
      </w:r>
      <w:r w:rsidRPr="002B1A9D">
        <w:t xml:space="preserve"> provides a resource plan for the </w:t>
      </w:r>
      <w:r w:rsidRPr="002B1A9D">
        <w:rPr>
          <w:snapToGrid w:val="0"/>
          <w:szCs w:val="24"/>
        </w:rPr>
        <w:t>2016­2017</w:t>
      </w:r>
      <w:r w:rsidRPr="002B1A9D">
        <w:t xml:space="preserve"> and the </w:t>
      </w:r>
      <w:r w:rsidRPr="002B1A9D">
        <w:rPr>
          <w:snapToGrid w:val="0"/>
          <w:szCs w:val="24"/>
        </w:rPr>
        <w:t>2018­2019</w:t>
      </w:r>
      <w:r w:rsidRPr="002B1A9D">
        <w:t xml:space="preserve"> biennia.  The total resources for the program of activities to be conducted by UPOV in the </w:t>
      </w:r>
      <w:r w:rsidRPr="002B1A9D">
        <w:rPr>
          <w:snapToGrid w:val="0"/>
          <w:szCs w:val="24"/>
        </w:rPr>
        <w:t>2018­2019</w:t>
      </w:r>
      <w:r w:rsidRPr="002B1A9D">
        <w:t xml:space="preserve"> Biennium amounts to 7</w:t>
      </w:r>
      <w:r w:rsidRPr="002B1A9D">
        <w:rPr>
          <w:szCs w:val="24"/>
        </w:rPr>
        <w:t>,476,000 Swiss francs</w:t>
      </w:r>
      <w:r w:rsidRPr="002B1A9D">
        <w:t>.  This amount includes 6,940</w:t>
      </w:r>
      <w:r w:rsidRPr="002B1A9D">
        <w:rPr>
          <w:szCs w:val="24"/>
        </w:rPr>
        <w:t>,000 Swiss francs</w:t>
      </w:r>
      <w:r w:rsidRPr="002B1A9D">
        <w:t xml:space="preserve"> within the regular budget (see Table 1), and an estimated 536</w:t>
      </w:r>
      <w:r w:rsidRPr="002B1A9D">
        <w:rPr>
          <w:szCs w:val="24"/>
        </w:rPr>
        <w:t>,000 Swiss francs</w:t>
      </w:r>
      <w:r w:rsidRPr="002B1A9D">
        <w:t xml:space="preserve">, financed under </w:t>
      </w:r>
      <w:r>
        <w:t>Funds-in-Trust arrangements.</w:t>
      </w:r>
    </w:p>
    <w:p w:rsidR="00604822" w:rsidRPr="00C97817" w:rsidRDefault="00604822" w:rsidP="00604822">
      <w:pPr>
        <w:tabs>
          <w:tab w:val="left" w:pos="567"/>
        </w:tabs>
      </w:pPr>
    </w:p>
    <w:p w:rsidR="00604822" w:rsidRPr="00C97817" w:rsidRDefault="00604822" w:rsidP="00604822">
      <w:pPr>
        <w:keepLines/>
        <w:tabs>
          <w:tab w:val="left" w:pos="567"/>
        </w:tabs>
      </w:pPr>
      <w:r>
        <w:t>3.5</w:t>
      </w:r>
      <w:r w:rsidRPr="00C97817">
        <w:tab/>
        <w:t xml:space="preserve">For the </w:t>
      </w:r>
      <w:r>
        <w:rPr>
          <w:snapToGrid w:val="0"/>
          <w:spacing w:val="-2"/>
          <w:szCs w:val="24"/>
        </w:rPr>
        <w:t>2018</w:t>
      </w:r>
      <w:r w:rsidRPr="00C97817">
        <w:rPr>
          <w:snapToGrid w:val="0"/>
          <w:spacing w:val="-2"/>
          <w:szCs w:val="24"/>
        </w:rPr>
        <w:t>­201</w:t>
      </w:r>
      <w:r>
        <w:rPr>
          <w:snapToGrid w:val="0"/>
          <w:spacing w:val="-2"/>
          <w:szCs w:val="24"/>
        </w:rPr>
        <w:t>9</w:t>
      </w:r>
      <w:r w:rsidRPr="00C97817">
        <w:t xml:space="preserve"> Biennium, income and expenditure are expected to be balanced.</w:t>
      </w:r>
    </w:p>
    <w:p w:rsidR="00604822" w:rsidRPr="00C97817" w:rsidRDefault="00604822" w:rsidP="00604822">
      <w:pPr>
        <w:tabs>
          <w:tab w:val="left" w:pos="567"/>
        </w:tabs>
      </w:pPr>
    </w:p>
    <w:p w:rsidR="00604822" w:rsidRPr="00C97817" w:rsidRDefault="00604822" w:rsidP="00604822">
      <w:pPr>
        <w:tabs>
          <w:tab w:val="left" w:pos="567"/>
        </w:tabs>
        <w:rPr>
          <w:spacing w:val="-2"/>
          <w:szCs w:val="24"/>
        </w:rPr>
      </w:pPr>
      <w:r>
        <w:t>3.6</w:t>
      </w:r>
      <w:r w:rsidRPr="00C97817">
        <w:tab/>
        <w:t xml:space="preserve">Funds-in-Trust are voluntary financial donations provided to UPOV by a member of the Union, usually provided to finance a specific program of activities mutually agreed between the Office of the Union and the donor member.  Without prejudging sovereign decisions from donor members, it is expected that the </w:t>
      </w:r>
      <w:r w:rsidRPr="00C97817">
        <w:rPr>
          <w:spacing w:val="-2"/>
          <w:szCs w:val="24"/>
        </w:rPr>
        <w:t>overall amounts of Funds</w:t>
      </w:r>
      <w:r w:rsidRPr="00C97817">
        <w:rPr>
          <w:spacing w:val="-2"/>
          <w:szCs w:val="24"/>
        </w:rPr>
        <w:noBreakHyphen/>
        <w:t xml:space="preserve">in-Trust for the </w:t>
      </w:r>
      <w:r>
        <w:rPr>
          <w:snapToGrid w:val="0"/>
          <w:spacing w:val="-2"/>
          <w:szCs w:val="24"/>
        </w:rPr>
        <w:t>2018</w:t>
      </w:r>
      <w:r w:rsidRPr="00C97817">
        <w:rPr>
          <w:snapToGrid w:val="0"/>
          <w:spacing w:val="-2"/>
          <w:szCs w:val="24"/>
        </w:rPr>
        <w:t>­201</w:t>
      </w:r>
      <w:r>
        <w:rPr>
          <w:snapToGrid w:val="0"/>
          <w:spacing w:val="-2"/>
          <w:szCs w:val="24"/>
        </w:rPr>
        <w:t>9</w:t>
      </w:r>
      <w:r w:rsidRPr="00C97817">
        <w:t xml:space="preserve"> </w:t>
      </w:r>
      <w:r w:rsidRPr="00C97817">
        <w:rPr>
          <w:spacing w:val="-2"/>
          <w:szCs w:val="24"/>
        </w:rPr>
        <w:t>Biennium will be at a le</w:t>
      </w:r>
      <w:r w:rsidRPr="0049274F">
        <w:rPr>
          <w:spacing w:val="-2"/>
          <w:szCs w:val="24"/>
        </w:rPr>
        <w:t>vel of 536,000 S</w:t>
      </w:r>
      <w:r w:rsidRPr="00C97817">
        <w:rPr>
          <w:spacing w:val="-2"/>
          <w:szCs w:val="24"/>
        </w:rPr>
        <w:t xml:space="preserve">wiss francs. </w:t>
      </w:r>
      <w:r w:rsidRPr="00C97817">
        <w:t xml:space="preserve"> It should be noted that monetary support (e.g. Funds-in-Trust) and non</w:t>
      </w:r>
      <w:r w:rsidRPr="00C97817">
        <w:noBreakHyphen/>
        <w:t>monetary support (support in kind), particularly of technical assistance and training activities by members of the Union, are not recorded in UPOV’s budget.</w:t>
      </w:r>
    </w:p>
    <w:p w:rsidR="00604822" w:rsidRPr="00C97817" w:rsidRDefault="00604822" w:rsidP="00604822">
      <w:pPr>
        <w:rPr>
          <w:spacing w:val="-2"/>
          <w:szCs w:val="24"/>
        </w:rPr>
      </w:pPr>
    </w:p>
    <w:p w:rsidR="00604822" w:rsidRPr="00C97817" w:rsidRDefault="00604822" w:rsidP="00604822">
      <w:pPr>
        <w:jc w:val="center"/>
        <w:rPr>
          <w:spacing w:val="-2"/>
          <w:szCs w:val="24"/>
        </w:rPr>
      </w:pPr>
      <w:r w:rsidRPr="00C97817">
        <w:rPr>
          <w:rFonts w:cs="Arial"/>
          <w:b/>
          <w:bCs/>
        </w:rPr>
        <w:t xml:space="preserve">Table 3:  Resource Plan </w:t>
      </w:r>
      <w:r w:rsidRPr="003927D2">
        <w:rPr>
          <w:rFonts w:cs="Arial"/>
          <w:b/>
          <w:bCs/>
        </w:rPr>
        <w:t xml:space="preserve">2016­2017 </w:t>
      </w:r>
      <w:r w:rsidRPr="00C97817">
        <w:rPr>
          <w:rFonts w:cs="Arial"/>
          <w:b/>
          <w:bCs/>
        </w:rPr>
        <w:t xml:space="preserve">and </w:t>
      </w:r>
      <w:r w:rsidRPr="0049274F">
        <w:rPr>
          <w:rFonts w:cs="Arial"/>
          <w:b/>
          <w:bCs/>
        </w:rPr>
        <w:t>2018-2019</w:t>
      </w:r>
    </w:p>
    <w:p w:rsidR="00604822" w:rsidRPr="00C97817" w:rsidRDefault="00604822" w:rsidP="00604822">
      <w:pPr>
        <w:jc w:val="center"/>
        <w:rPr>
          <w:rFonts w:cs="Arial"/>
          <w:i/>
          <w:iCs/>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jc w:val="center"/>
        <w:rPr>
          <w:spacing w:val="-2"/>
          <w:szCs w:val="24"/>
        </w:rPr>
      </w:pPr>
    </w:p>
    <w:p w:rsidR="00604822" w:rsidRDefault="0020267A" w:rsidP="00604822">
      <w:pPr>
        <w:jc w:val="center"/>
        <w:rPr>
          <w:spacing w:val="-2"/>
          <w:szCs w:val="24"/>
        </w:rPr>
      </w:pPr>
      <w:r w:rsidRPr="0020267A">
        <w:rPr>
          <w:noProof/>
        </w:rPr>
        <w:drawing>
          <wp:inline distT="0" distB="0" distL="0" distR="0">
            <wp:extent cx="4191000" cy="30765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3076575"/>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jc w:val="left"/>
      </w:pPr>
      <w:bookmarkStart w:id="5" w:name="RANGE!A1:F18"/>
      <w:bookmarkEnd w:id="5"/>
      <w:r>
        <w:br w:type="page"/>
      </w:r>
    </w:p>
    <w:p w:rsidR="00604822" w:rsidRPr="00C97817" w:rsidRDefault="00604822" w:rsidP="00604822">
      <w:pPr>
        <w:tabs>
          <w:tab w:val="left" w:pos="567"/>
        </w:tabs>
      </w:pPr>
      <w:r>
        <w:t>3.7</w:t>
      </w:r>
      <w:r w:rsidRPr="00C97817">
        <w:tab/>
      </w:r>
      <w:r w:rsidRPr="00C97817">
        <w:rPr>
          <w:b/>
        </w:rPr>
        <w:t>Table 4</w:t>
      </w:r>
      <w:r w:rsidRPr="00C97817">
        <w:t xml:space="preserve"> </w:t>
      </w:r>
      <w:r>
        <w:t>presents</w:t>
      </w:r>
      <w:r w:rsidRPr="00C97817">
        <w:t xml:space="preserve"> the budget variations by object</w:t>
      </w:r>
      <w:r>
        <w:t xml:space="preserve"> of expenditure </w:t>
      </w:r>
      <w:proofErr w:type="gramStart"/>
      <w:r>
        <w:t>between the 2016-2017</w:t>
      </w:r>
      <w:proofErr w:type="gramEnd"/>
      <w:r w:rsidRPr="00C97817">
        <w:t xml:space="preserve"> and the </w:t>
      </w:r>
      <w:r w:rsidRPr="00515A58">
        <w:rPr>
          <w:snapToGrid w:val="0"/>
          <w:spacing w:val="-2"/>
          <w:szCs w:val="24"/>
        </w:rPr>
        <w:t xml:space="preserve">2018­2019 </w:t>
      </w:r>
      <w:r w:rsidRPr="002D2395">
        <w:t xml:space="preserve">biennia.  The proposed budget for </w:t>
      </w:r>
      <w:r w:rsidRPr="00515A58">
        <w:rPr>
          <w:snapToGrid w:val="0"/>
          <w:spacing w:val="-2"/>
          <w:szCs w:val="24"/>
        </w:rPr>
        <w:t xml:space="preserve">2018­2019 </w:t>
      </w:r>
      <w:r w:rsidRPr="002D2395">
        <w:t xml:space="preserve">is </w:t>
      </w:r>
      <w:r>
        <w:t>6,9</w:t>
      </w:r>
      <w:r w:rsidRPr="00F633CA">
        <w:t>40</w:t>
      </w:r>
      <w:r w:rsidRPr="00F633CA">
        <w:rPr>
          <w:spacing w:val="-2"/>
          <w:szCs w:val="24"/>
        </w:rPr>
        <w:t>,000</w:t>
      </w:r>
      <w:r w:rsidRPr="002D2395">
        <w:rPr>
          <w:spacing w:val="-2"/>
          <w:szCs w:val="24"/>
        </w:rPr>
        <w:t xml:space="preserve"> Swiss francs</w:t>
      </w:r>
      <w:r w:rsidRPr="002D2395">
        <w:t xml:space="preserve">, an </w:t>
      </w:r>
      <w:r w:rsidRPr="00DB66F2">
        <w:t>increase</w:t>
      </w:r>
      <w:r w:rsidRPr="002D2395">
        <w:t xml:space="preserve"> of </w:t>
      </w:r>
      <w:r w:rsidRPr="00F633CA">
        <w:t>117</w:t>
      </w:r>
      <w:r w:rsidRPr="00F633CA">
        <w:rPr>
          <w:spacing w:val="-2"/>
          <w:szCs w:val="24"/>
        </w:rPr>
        <w:t>,000</w:t>
      </w:r>
      <w:r w:rsidRPr="002D2395">
        <w:rPr>
          <w:spacing w:val="-2"/>
          <w:szCs w:val="24"/>
        </w:rPr>
        <w:t> Swiss francs</w:t>
      </w:r>
      <w:r w:rsidRPr="002D2395">
        <w:t xml:space="preserve">, or </w:t>
      </w:r>
      <w:r>
        <w:t>1.7</w:t>
      </w:r>
      <w:r w:rsidRPr="002D2395">
        <w:t xml:space="preserve">% compared to the </w:t>
      </w:r>
      <w:r w:rsidRPr="00C97817">
        <w:rPr>
          <w:snapToGrid w:val="0"/>
          <w:spacing w:val="-2"/>
          <w:szCs w:val="24"/>
        </w:rPr>
        <w:t>2016­2017</w:t>
      </w:r>
      <w:r w:rsidRPr="00C97817">
        <w:t xml:space="preserve"> </w:t>
      </w:r>
      <w:r w:rsidRPr="002D2395">
        <w:t>budget.</w:t>
      </w:r>
      <w:r w:rsidRPr="00C97817">
        <w:t xml:space="preserve">  </w:t>
      </w:r>
    </w:p>
    <w:p w:rsidR="00604822" w:rsidRPr="00C97817" w:rsidRDefault="00604822" w:rsidP="00604822">
      <w:pPr>
        <w:rPr>
          <w:spacing w:val="-2"/>
          <w:szCs w:val="24"/>
        </w:rPr>
      </w:pPr>
    </w:p>
    <w:p w:rsidR="00604822" w:rsidRPr="00C97817" w:rsidRDefault="00604822" w:rsidP="00604822">
      <w:pPr>
        <w:jc w:val="left"/>
        <w:rPr>
          <w:rFonts w:cs="Arial"/>
          <w:b/>
          <w:bCs/>
        </w:rPr>
      </w:pPr>
    </w:p>
    <w:p w:rsidR="00604822" w:rsidRPr="00C97817" w:rsidRDefault="00604822" w:rsidP="00604822">
      <w:pPr>
        <w:jc w:val="center"/>
        <w:rPr>
          <w:rFonts w:cs="Arial"/>
          <w:b/>
          <w:bCs/>
        </w:rPr>
      </w:pPr>
      <w:r w:rsidRPr="00C97817">
        <w:rPr>
          <w:rFonts w:cs="Arial"/>
          <w:b/>
          <w:bCs/>
        </w:rPr>
        <w:t>Table 4:  Proposed Budg</w:t>
      </w:r>
      <w:r w:rsidRPr="00DB66F2">
        <w:rPr>
          <w:rFonts w:cs="Arial"/>
          <w:b/>
          <w:bCs/>
        </w:rPr>
        <w:t>et 2018-2019:  B</w:t>
      </w:r>
      <w:r w:rsidRPr="00C97817">
        <w:rPr>
          <w:rFonts w:cs="Arial"/>
          <w:b/>
          <w:bCs/>
        </w:rPr>
        <w:t>udget Variation by Object of Expenditure</w:t>
      </w:r>
    </w:p>
    <w:p w:rsidR="00604822" w:rsidRPr="00335CBC" w:rsidRDefault="00604822" w:rsidP="00604822">
      <w:pPr>
        <w:jc w:val="center"/>
        <w:rPr>
          <w:spacing w:val="-2"/>
        </w:rPr>
      </w:pPr>
      <w:r w:rsidRPr="00C97817">
        <w:rPr>
          <w:rFonts w:cs="Arial"/>
          <w:i/>
          <w:iCs/>
        </w:rPr>
        <w:t>(</w:t>
      </w:r>
      <w:proofErr w:type="gramStart"/>
      <w:r w:rsidRPr="00C97817">
        <w:rPr>
          <w:rFonts w:cs="Arial"/>
          <w:i/>
          <w:iCs/>
        </w:rPr>
        <w:t>in</w:t>
      </w:r>
      <w:proofErr w:type="gramEnd"/>
      <w:r w:rsidRPr="00C97817">
        <w:rPr>
          <w:rFonts w:cs="Arial"/>
          <w:i/>
          <w:iCs/>
        </w:rPr>
        <w:t xml:space="preserve"> thousands of Swiss francs)</w:t>
      </w:r>
    </w:p>
    <w:p w:rsidR="00604822" w:rsidRDefault="00604822" w:rsidP="00604822">
      <w:pPr>
        <w:rPr>
          <w:b/>
          <w:spacing w:val="-2"/>
          <w:szCs w:val="24"/>
        </w:rPr>
      </w:pPr>
    </w:p>
    <w:p w:rsidR="00604822" w:rsidRDefault="00CC680A" w:rsidP="00604822">
      <w:pPr>
        <w:jc w:val="center"/>
        <w:rPr>
          <w:b/>
          <w:spacing w:val="-2"/>
          <w:szCs w:val="24"/>
        </w:rPr>
      </w:pPr>
      <w:r w:rsidRPr="00CC680A">
        <w:drawing>
          <wp:inline distT="0" distB="0" distL="0" distR="0">
            <wp:extent cx="5534025" cy="6086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34025" cy="6086475"/>
                    </a:xfrm>
                    <a:prstGeom prst="rect">
                      <a:avLst/>
                    </a:prstGeom>
                    <a:noFill/>
                    <a:ln>
                      <a:noFill/>
                    </a:ln>
                  </pic:spPr>
                </pic:pic>
              </a:graphicData>
            </a:graphic>
          </wp:inline>
        </w:drawing>
      </w:r>
    </w:p>
    <w:p w:rsidR="00604822" w:rsidRDefault="00604822" w:rsidP="00604822">
      <w:pPr>
        <w:jc w:val="center"/>
        <w:rPr>
          <w:b/>
          <w:spacing w:val="-2"/>
          <w:szCs w:val="24"/>
        </w:rPr>
      </w:pPr>
    </w:p>
    <w:p w:rsidR="00604822" w:rsidRDefault="00604822" w:rsidP="00604822">
      <w:pPr>
        <w:rPr>
          <w:b/>
          <w:spacing w:val="-2"/>
          <w:szCs w:val="24"/>
        </w:rPr>
      </w:pPr>
    </w:p>
    <w:p w:rsidR="00604822" w:rsidRDefault="00604822" w:rsidP="00604822">
      <w:pPr>
        <w:jc w:val="left"/>
      </w:pPr>
      <w:r>
        <w:br w:type="page"/>
      </w:r>
    </w:p>
    <w:p w:rsidR="00604822" w:rsidRDefault="00604822" w:rsidP="00604822">
      <w:pPr>
        <w:tabs>
          <w:tab w:val="left" w:pos="567"/>
        </w:tabs>
      </w:pPr>
      <w:r>
        <w:t>3.8</w:t>
      </w:r>
      <w:r w:rsidRPr="00DD6106">
        <w:tab/>
      </w:r>
      <w:r w:rsidRPr="00DD6106">
        <w:rPr>
          <w:b/>
        </w:rPr>
        <w:t>Table 5</w:t>
      </w:r>
      <w:r w:rsidRPr="00DD6106">
        <w:t xml:space="preserve"> reflects the number of posts by grade clusters.  The post of the Secretary</w:t>
      </w:r>
      <w:r w:rsidRPr="00DD6106">
        <w:noBreakHyphen/>
        <w:t>General is included within this count, but at no cost, because the current Director General of WIPO has declined any salary or allowance from his functions as Secretary-General of UPOV</w:t>
      </w:r>
      <w:r>
        <w:t xml:space="preserve">. </w:t>
      </w:r>
    </w:p>
    <w:p w:rsidR="00604822" w:rsidRDefault="00604822" w:rsidP="00604822">
      <w:pPr>
        <w:tabs>
          <w:tab w:val="left" w:pos="567"/>
        </w:tabs>
      </w:pPr>
    </w:p>
    <w:p w:rsidR="00604822" w:rsidRDefault="00604822" w:rsidP="00604822">
      <w:pPr>
        <w:tabs>
          <w:tab w:val="left" w:pos="567"/>
        </w:tabs>
        <w:rPr>
          <w:spacing w:val="-2"/>
        </w:rPr>
      </w:pPr>
      <w:r>
        <w:rPr>
          <w:spacing w:val="-2"/>
        </w:rPr>
        <w:t>3.9</w:t>
      </w:r>
      <w:r w:rsidRPr="00FA1FDD">
        <w:rPr>
          <w:spacing w:val="-2"/>
        </w:rPr>
        <w:tab/>
        <w:t xml:space="preserve">The Program and Budget for the </w:t>
      </w:r>
      <w:r w:rsidRPr="00515A58">
        <w:rPr>
          <w:snapToGrid w:val="0"/>
          <w:spacing w:val="-2"/>
          <w:szCs w:val="24"/>
        </w:rPr>
        <w:t xml:space="preserve">2018­2019 </w:t>
      </w:r>
      <w:r w:rsidRPr="00FA1FDD">
        <w:rPr>
          <w:spacing w:val="-2"/>
        </w:rPr>
        <w:t>Biennium anticipates</w:t>
      </w:r>
      <w:r>
        <w:rPr>
          <w:spacing w:val="-2"/>
        </w:rPr>
        <w:t xml:space="preserve"> an increase of one post.  The additional post will be for an IT Officer in the professional category.  In previous biennia, t</w:t>
      </w:r>
      <w:r>
        <w:t xml:space="preserve">he IT development and maintenance of UPOV’s databases and other IT tools, such as the TG Template, were undertaken or managed by IT experts from WIPO as a part of the </w:t>
      </w:r>
      <w:r w:rsidRPr="00B026E6">
        <w:t xml:space="preserve">common expenses </w:t>
      </w:r>
      <w:r>
        <w:t>under</w:t>
      </w:r>
      <w:r w:rsidRPr="00B026E6">
        <w:t xml:space="preserve"> </w:t>
      </w:r>
      <w:r>
        <w:t xml:space="preserve">the </w:t>
      </w:r>
      <w:r>
        <w:rPr>
          <w:rFonts w:cs="Arial"/>
        </w:rPr>
        <w:t>“</w:t>
      </w:r>
      <w:r w:rsidRPr="0040670D">
        <w:rPr>
          <w:rFonts w:cs="Arial"/>
        </w:rPr>
        <w:t>Agreement between the World Intellectual Property Organization and the International Union for the Protection of New Varieties of Plants</w:t>
      </w:r>
      <w:r>
        <w:rPr>
          <w:rFonts w:cs="Arial"/>
        </w:rPr>
        <w:t xml:space="preserve">” (see document </w:t>
      </w:r>
      <w:r w:rsidRPr="00C32915">
        <w:rPr>
          <w:rFonts w:cs="Arial"/>
        </w:rPr>
        <w:t>UPOV/INF/8</w:t>
      </w:r>
      <w:r>
        <w:rPr>
          <w:rFonts w:cs="Arial"/>
        </w:rPr>
        <w:t xml:space="preserve">).  Those services are no longer provided as common services.  Although that development has enabled UPOV to contain operating expenses charged by WIPO to UPOV, it means that UPOV now has to make its own arrangements for IT expertise to maintain and develop such IT tools in the future.  The </w:t>
      </w:r>
      <w:r w:rsidRPr="003C22E4">
        <w:rPr>
          <w:rFonts w:cs="Arial"/>
        </w:rPr>
        <w:t>Electronic Application Form</w:t>
      </w:r>
      <w:r>
        <w:rPr>
          <w:rFonts w:cs="Arial"/>
        </w:rPr>
        <w:t xml:space="preserve">, which was launched in </w:t>
      </w:r>
      <w:r w:rsidRPr="003C22E4">
        <w:rPr>
          <w:spacing w:val="-2"/>
        </w:rPr>
        <w:t>2017</w:t>
      </w:r>
      <w:r>
        <w:rPr>
          <w:spacing w:val="-2"/>
        </w:rPr>
        <w:t>,</w:t>
      </w:r>
      <w:r w:rsidRPr="003C22E4">
        <w:rPr>
          <w:spacing w:val="-2"/>
        </w:rPr>
        <w:t xml:space="preserve"> </w:t>
      </w:r>
      <w:r>
        <w:rPr>
          <w:rFonts w:cs="Arial"/>
        </w:rPr>
        <w:t xml:space="preserve">is an important new IT tool that </w:t>
      </w:r>
      <w:r>
        <w:rPr>
          <w:spacing w:val="-2"/>
        </w:rPr>
        <w:t>facilitates</w:t>
      </w:r>
      <w:r w:rsidRPr="003C22E4">
        <w:rPr>
          <w:spacing w:val="-2"/>
        </w:rPr>
        <w:t xml:space="preserve"> applications with members of the Union and was only possible on the basis that fees from </w:t>
      </w:r>
      <w:r>
        <w:rPr>
          <w:spacing w:val="-2"/>
        </w:rPr>
        <w:t>users</w:t>
      </w:r>
      <w:r w:rsidRPr="003C22E4">
        <w:rPr>
          <w:spacing w:val="-2"/>
        </w:rPr>
        <w:t xml:space="preserve"> would ultimately cover the costs of its development and maintenance.  The income from the EAF</w:t>
      </w:r>
      <w:r>
        <w:rPr>
          <w:spacing w:val="-2"/>
        </w:rPr>
        <w:t>,</w:t>
      </w:r>
      <w:r w:rsidRPr="003C22E4">
        <w:rPr>
          <w:spacing w:val="-2"/>
        </w:rPr>
        <w:t xml:space="preserve"> </w:t>
      </w:r>
      <w:r>
        <w:rPr>
          <w:spacing w:val="-2"/>
        </w:rPr>
        <w:t xml:space="preserve">which </w:t>
      </w:r>
      <w:r w:rsidRPr="003C22E4">
        <w:rPr>
          <w:spacing w:val="-2"/>
        </w:rPr>
        <w:t>will depend on participation in the EAF by members of the Union</w:t>
      </w:r>
      <w:r>
        <w:rPr>
          <w:spacing w:val="-2"/>
        </w:rPr>
        <w:t xml:space="preserve"> for maximum</w:t>
      </w:r>
      <w:r w:rsidRPr="003C22E4">
        <w:rPr>
          <w:spacing w:val="-2"/>
        </w:rPr>
        <w:t xml:space="preserve"> use by </w:t>
      </w:r>
      <w:proofErr w:type="gramStart"/>
      <w:r>
        <w:rPr>
          <w:spacing w:val="-2"/>
        </w:rPr>
        <w:t>breeders</w:t>
      </w:r>
      <w:proofErr w:type="gramEnd"/>
      <w:r>
        <w:rPr>
          <w:spacing w:val="-2"/>
        </w:rPr>
        <w:t xml:space="preserve"> is anticipated to make a significant financial contribution</w:t>
      </w:r>
      <w:r w:rsidRPr="003C22E4">
        <w:rPr>
          <w:spacing w:val="-2"/>
        </w:rPr>
        <w:t>.</w:t>
      </w:r>
    </w:p>
    <w:p w:rsidR="00604822" w:rsidRDefault="00604822" w:rsidP="00604822">
      <w:pPr>
        <w:tabs>
          <w:tab w:val="left" w:pos="567"/>
        </w:tabs>
        <w:rPr>
          <w:spacing w:val="-2"/>
        </w:rPr>
      </w:pPr>
    </w:p>
    <w:p w:rsidR="00604822" w:rsidRPr="00FA1FDD" w:rsidRDefault="00604822" w:rsidP="00604822">
      <w:pPr>
        <w:tabs>
          <w:tab w:val="left" w:pos="567"/>
        </w:tabs>
        <w:rPr>
          <w:spacing w:val="-2"/>
        </w:rPr>
      </w:pPr>
      <w:r>
        <w:rPr>
          <w:spacing w:val="-2"/>
        </w:rPr>
        <w:t>3.10</w:t>
      </w:r>
      <w:r>
        <w:rPr>
          <w:spacing w:val="-2"/>
        </w:rPr>
        <w:tab/>
        <w:t xml:space="preserve">One of the professional posts will be occupied by means of a temporary contract for a part of the </w:t>
      </w:r>
      <w:r w:rsidRPr="002E76CD">
        <w:rPr>
          <w:snapToGrid w:val="0"/>
          <w:spacing w:val="-2"/>
          <w:szCs w:val="24"/>
        </w:rPr>
        <w:t>2018­2019</w:t>
      </w:r>
      <w:r w:rsidRPr="002E76CD">
        <w:rPr>
          <w:spacing w:val="-2"/>
        </w:rPr>
        <w:t xml:space="preserve"> </w:t>
      </w:r>
      <w:r>
        <w:rPr>
          <w:spacing w:val="-2"/>
        </w:rPr>
        <w:t>Biennium.  In addition, i</w:t>
      </w:r>
      <w:r w:rsidRPr="00FA1FDD">
        <w:rPr>
          <w:spacing w:val="-2"/>
        </w:rPr>
        <w:t xml:space="preserve">n accordance with the approach in </w:t>
      </w:r>
      <w:r>
        <w:rPr>
          <w:spacing w:val="-2"/>
        </w:rPr>
        <w:t>previous biennia,</w:t>
      </w:r>
      <w:r w:rsidRPr="00FA1FDD">
        <w:rPr>
          <w:spacing w:val="-2"/>
        </w:rPr>
        <w:t xml:space="preserve"> short-term support in the general service category will be used as necessary and within the budget.</w:t>
      </w:r>
      <w:r>
        <w:rPr>
          <w:spacing w:val="-2"/>
        </w:rPr>
        <w:t xml:space="preserve">  For the 2018-2019 Biennium, provision has been made for one administrative person under a temporary contract, whose work will include administrative support for the EAF.  Additional administrative support will be provided by agency staff (non</w:t>
      </w:r>
      <w:r>
        <w:rPr>
          <w:spacing w:val="-2"/>
        </w:rPr>
        <w:noBreakHyphen/>
        <w:t xml:space="preserve">personnel resources), as required. </w:t>
      </w:r>
    </w:p>
    <w:p w:rsidR="00604822" w:rsidRDefault="00604822" w:rsidP="00604822">
      <w:pPr>
        <w:rPr>
          <w:spacing w:val="-2"/>
          <w:szCs w:val="24"/>
        </w:rPr>
      </w:pPr>
    </w:p>
    <w:p w:rsidR="00604822" w:rsidRDefault="00604822" w:rsidP="00604822">
      <w:pPr>
        <w:jc w:val="center"/>
        <w:rPr>
          <w:rFonts w:cs="Arial"/>
          <w:b/>
          <w:bCs/>
        </w:rPr>
      </w:pPr>
      <w:r w:rsidRPr="00EF6A4B">
        <w:rPr>
          <w:rFonts w:cs="Arial"/>
          <w:b/>
          <w:bCs/>
        </w:rPr>
        <w:t xml:space="preserve">Table 5: </w:t>
      </w:r>
      <w:r>
        <w:rPr>
          <w:rFonts w:cs="Arial"/>
          <w:b/>
          <w:bCs/>
        </w:rPr>
        <w:t xml:space="preserve"> </w:t>
      </w:r>
      <w:r w:rsidRPr="00EF6A4B">
        <w:rPr>
          <w:rFonts w:cs="Arial"/>
          <w:b/>
          <w:bCs/>
        </w:rPr>
        <w:t>Budg</w:t>
      </w:r>
      <w:r w:rsidRPr="004B5788">
        <w:rPr>
          <w:rFonts w:cs="Arial"/>
          <w:b/>
          <w:bCs/>
        </w:rPr>
        <w:t>et 2018-2019:</w:t>
      </w:r>
      <w:r w:rsidRPr="00EF6A4B">
        <w:rPr>
          <w:rFonts w:cs="Arial"/>
          <w:b/>
          <w:bCs/>
        </w:rPr>
        <w:t xml:space="preserve">  Posts by Category</w:t>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jc w:val="center"/>
        <w:rPr>
          <w:spacing w:val="-2"/>
          <w:szCs w:val="24"/>
        </w:rPr>
      </w:pPr>
      <w:r w:rsidRPr="003C0B97">
        <w:rPr>
          <w:noProof/>
        </w:rPr>
        <w:drawing>
          <wp:inline distT="0" distB="0" distL="0" distR="0" wp14:anchorId="093DA3E6" wp14:editId="1CC568DA">
            <wp:extent cx="4552950" cy="1304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52950" cy="1304925"/>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Default="00604822" w:rsidP="00604822">
      <w:pPr>
        <w:rPr>
          <w:spacing w:val="-2"/>
          <w:szCs w:val="24"/>
        </w:rPr>
      </w:pPr>
    </w:p>
    <w:p w:rsidR="00604822" w:rsidRDefault="00604822" w:rsidP="00604822">
      <w:pPr>
        <w:jc w:val="left"/>
        <w:rPr>
          <w:color w:val="000000"/>
        </w:rPr>
      </w:pPr>
      <w:bookmarkStart w:id="6" w:name="OLE_LINK9"/>
      <w:bookmarkStart w:id="7" w:name="OLE_LINK10"/>
      <w:r>
        <w:rPr>
          <w:color w:val="000000"/>
        </w:rPr>
        <w:br w:type="page"/>
      </w:r>
    </w:p>
    <w:p w:rsidR="00604822" w:rsidRPr="00DD6106" w:rsidRDefault="00604822" w:rsidP="00604822">
      <w:pPr>
        <w:tabs>
          <w:tab w:val="left" w:pos="567"/>
        </w:tabs>
      </w:pPr>
      <w:r w:rsidRPr="00FC2170">
        <w:rPr>
          <w:color w:val="000000"/>
        </w:rPr>
        <w:t>3.11</w:t>
      </w:r>
      <w:bookmarkEnd w:id="6"/>
      <w:bookmarkEnd w:id="7"/>
      <w:r w:rsidRPr="00DD6106">
        <w:tab/>
      </w:r>
      <w:r w:rsidRPr="00DD6106">
        <w:rPr>
          <w:b/>
        </w:rPr>
        <w:t>Table 6</w:t>
      </w:r>
      <w:r w:rsidRPr="00DD6106">
        <w:t xml:space="preserve"> provides the proposed budget allocation by sub-program.</w:t>
      </w:r>
    </w:p>
    <w:p w:rsidR="00604822" w:rsidRPr="00DD6106" w:rsidRDefault="00604822" w:rsidP="00604822">
      <w:pPr>
        <w:tabs>
          <w:tab w:val="left" w:pos="567"/>
        </w:tabs>
      </w:pPr>
    </w:p>
    <w:p w:rsidR="00604822" w:rsidRPr="00DD6106" w:rsidRDefault="00604822" w:rsidP="00604822">
      <w:pPr>
        <w:tabs>
          <w:tab w:val="left" w:pos="567"/>
        </w:tabs>
      </w:pPr>
      <w:r w:rsidRPr="00FC2170">
        <w:rPr>
          <w:color w:val="000000"/>
        </w:rPr>
        <w:t>3.1</w:t>
      </w:r>
      <w:r>
        <w:rPr>
          <w:color w:val="000000"/>
        </w:rPr>
        <w:t>2</w:t>
      </w:r>
      <w:r w:rsidRPr="00DD6106">
        <w:tab/>
        <w:t xml:space="preserve">The proposed Program and Budget for the </w:t>
      </w:r>
      <w:r w:rsidRPr="009339A8">
        <w:rPr>
          <w:snapToGrid w:val="0"/>
          <w:spacing w:val="-2"/>
          <w:szCs w:val="24"/>
        </w:rPr>
        <w:t xml:space="preserve">2018­2019 </w:t>
      </w:r>
      <w:r w:rsidRPr="00DD6106">
        <w:t xml:space="preserve">Biennium is split into four sub­programs:  </w:t>
      </w:r>
    </w:p>
    <w:p w:rsidR="00604822" w:rsidRPr="00DD6106" w:rsidRDefault="00604822" w:rsidP="00604822">
      <w:pPr>
        <w:tabs>
          <w:tab w:val="left" w:pos="567"/>
        </w:tabs>
      </w:pPr>
    </w:p>
    <w:p w:rsidR="00604822" w:rsidRPr="00DD6106" w:rsidRDefault="00604822" w:rsidP="00604822">
      <w:pPr>
        <w:keepNext/>
        <w:autoSpaceDE w:val="0"/>
        <w:autoSpaceDN w:val="0"/>
        <w:adjustRightInd w:val="0"/>
        <w:ind w:left="1417" w:hanging="850"/>
        <w:jc w:val="left"/>
        <w:rPr>
          <w:bCs/>
          <w:szCs w:val="24"/>
        </w:rPr>
      </w:pPr>
      <w:r w:rsidRPr="00DD6106">
        <w:rPr>
          <w:bCs/>
          <w:szCs w:val="24"/>
        </w:rPr>
        <w:t>UV.1:</w:t>
      </w:r>
      <w:r w:rsidRPr="00DD6106">
        <w:rPr>
          <w:bCs/>
          <w:szCs w:val="24"/>
        </w:rPr>
        <w:tab/>
        <w:t>Overall Policy on Plant Variety Protection</w:t>
      </w:r>
    </w:p>
    <w:p w:rsidR="00604822" w:rsidRPr="00DD6106" w:rsidRDefault="00604822" w:rsidP="00604822">
      <w:pPr>
        <w:ind w:left="1417" w:hanging="850"/>
      </w:pPr>
      <w:r w:rsidRPr="00DD6106">
        <w:t>UV.2:</w:t>
      </w:r>
      <w:r w:rsidRPr="00DD6106">
        <w:tab/>
        <w:t>Services to the Union for Enhancing the Effectiveness of the UPOV System</w:t>
      </w:r>
    </w:p>
    <w:p w:rsidR="00604822" w:rsidRPr="00DD6106" w:rsidRDefault="00604822" w:rsidP="00604822">
      <w:pPr>
        <w:ind w:left="1417" w:hanging="850"/>
      </w:pPr>
      <w:r w:rsidRPr="00DD6106">
        <w:t>UV.3:</w:t>
      </w:r>
      <w:r w:rsidRPr="00DD6106">
        <w:tab/>
        <w:t xml:space="preserve">Assistance </w:t>
      </w:r>
      <w:r>
        <w:t>in</w:t>
      </w:r>
      <w:r w:rsidRPr="00DD6106">
        <w:t xml:space="preserve"> the Introduction and Implementation of the UPOV System</w:t>
      </w:r>
    </w:p>
    <w:p w:rsidR="00604822" w:rsidRPr="00DD6106" w:rsidRDefault="00604822" w:rsidP="00604822">
      <w:pPr>
        <w:ind w:left="1417" w:hanging="850"/>
      </w:pPr>
      <w:r w:rsidRPr="00DD6106">
        <w:rPr>
          <w:bCs/>
          <w:szCs w:val="24"/>
        </w:rPr>
        <w:t>UV.4:</w:t>
      </w:r>
      <w:r w:rsidRPr="00DD6106">
        <w:rPr>
          <w:bCs/>
          <w:szCs w:val="24"/>
        </w:rPr>
        <w:tab/>
        <w:t>External Relations</w:t>
      </w:r>
    </w:p>
    <w:p w:rsidR="00604822" w:rsidRPr="00DD6106" w:rsidRDefault="00604822" w:rsidP="00604822">
      <w:pPr>
        <w:tabs>
          <w:tab w:val="left" w:pos="567"/>
        </w:tabs>
      </w:pPr>
    </w:p>
    <w:p w:rsidR="00604822" w:rsidRPr="00FA1FDD" w:rsidRDefault="00604822" w:rsidP="00604822">
      <w:pPr>
        <w:tabs>
          <w:tab w:val="left" w:pos="567"/>
        </w:tabs>
      </w:pPr>
      <w:r w:rsidRPr="00FC2170">
        <w:rPr>
          <w:color w:val="000000"/>
        </w:rPr>
        <w:t>3.1</w:t>
      </w:r>
      <w:r>
        <w:rPr>
          <w:color w:val="000000"/>
        </w:rPr>
        <w:t>3</w:t>
      </w:r>
      <w:r w:rsidRPr="00DD6106">
        <w:tab/>
        <w:t xml:space="preserve">Personnel resources have been allocated by sub-program as a proportion of the staff time that is anticipated to be spent on each sub-program.  Non-personnel expenditures have been </w:t>
      </w:r>
      <w:r>
        <w:t>distributed by sub</w:t>
      </w:r>
      <w:r>
        <w:noBreakHyphen/>
      </w:r>
      <w:r w:rsidRPr="00DD6106">
        <w:t>program in anticipation of their respective activities.  It should be noted that common expenditures with WIPO for administrative services rendered to UPOV appear under Sub-program UV.2.</w:t>
      </w:r>
    </w:p>
    <w:p w:rsidR="00604822" w:rsidRDefault="00604822" w:rsidP="00604822">
      <w:pPr>
        <w:jc w:val="left"/>
        <w:rPr>
          <w:rFonts w:cs="Arial"/>
          <w:b/>
          <w:bCs/>
        </w:rPr>
      </w:pPr>
    </w:p>
    <w:p w:rsidR="00604822" w:rsidRDefault="00604822" w:rsidP="00604822">
      <w:pPr>
        <w:keepNext/>
        <w:jc w:val="center"/>
        <w:rPr>
          <w:rFonts w:cs="Arial"/>
        </w:rPr>
      </w:pPr>
      <w:r w:rsidRPr="00EF6A4B">
        <w:rPr>
          <w:rFonts w:cs="Arial"/>
          <w:b/>
          <w:bCs/>
        </w:rPr>
        <w:t>Table 6:</w:t>
      </w:r>
      <w:r>
        <w:rPr>
          <w:rFonts w:cs="Arial"/>
          <w:b/>
          <w:bCs/>
        </w:rPr>
        <w:t xml:space="preserve"> </w:t>
      </w:r>
      <w:r w:rsidRPr="00EF6A4B">
        <w:rPr>
          <w:rFonts w:cs="Arial"/>
          <w:b/>
          <w:bCs/>
        </w:rPr>
        <w:t xml:space="preserve"> Proposed Bud</w:t>
      </w:r>
      <w:r w:rsidRPr="004B5788">
        <w:rPr>
          <w:rFonts w:cs="Arial"/>
          <w:b/>
          <w:bCs/>
        </w:rPr>
        <w:t>get 2018-2019:</w:t>
      </w:r>
      <w:r w:rsidRPr="00EF6A4B">
        <w:rPr>
          <w:rFonts w:cs="Arial"/>
          <w:b/>
          <w:bCs/>
        </w:rPr>
        <w:t xml:space="preserve"> Allocation by Object of Expenditure </w:t>
      </w:r>
      <w:r>
        <w:rPr>
          <w:rFonts w:cs="Arial"/>
          <w:b/>
          <w:bCs/>
        </w:rPr>
        <w:br/>
      </w:r>
      <w:r w:rsidRPr="00EF6A4B">
        <w:rPr>
          <w:rFonts w:cs="Arial"/>
        </w:rPr>
        <w:t>(in thousands of Swiss francs)</w:t>
      </w:r>
    </w:p>
    <w:p w:rsidR="00604822" w:rsidRDefault="00604822" w:rsidP="00604822">
      <w:pPr>
        <w:keepNext/>
        <w:jc w:val="center"/>
        <w:rPr>
          <w:spacing w:val="-2"/>
          <w:szCs w:val="24"/>
        </w:rPr>
      </w:pPr>
    </w:p>
    <w:p w:rsidR="00604822" w:rsidRDefault="009E206C" w:rsidP="00604822">
      <w:pPr>
        <w:jc w:val="center"/>
        <w:rPr>
          <w:spacing w:val="-2"/>
          <w:szCs w:val="24"/>
        </w:rPr>
      </w:pPr>
      <w:r w:rsidRPr="009E206C">
        <w:rPr>
          <w:noProof/>
        </w:rPr>
        <w:drawing>
          <wp:inline distT="0" distB="0" distL="0" distR="0">
            <wp:extent cx="5600700" cy="398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00700" cy="398145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left"/>
        <w:rPr>
          <w:color w:val="000000"/>
        </w:rPr>
      </w:pPr>
      <w:r>
        <w:rPr>
          <w:color w:val="000000"/>
        </w:rPr>
        <w:br w:type="page"/>
      </w:r>
    </w:p>
    <w:p w:rsidR="00604822" w:rsidRDefault="00604822" w:rsidP="00604822">
      <w:pPr>
        <w:keepNext/>
        <w:tabs>
          <w:tab w:val="left" w:pos="567"/>
        </w:tabs>
      </w:pPr>
      <w:r w:rsidRPr="00FC2170">
        <w:rPr>
          <w:color w:val="000000"/>
        </w:rPr>
        <w:t>3.14</w:t>
      </w:r>
      <w:r w:rsidRPr="00DD6106">
        <w:tab/>
      </w:r>
      <w:r w:rsidRPr="00DD6106">
        <w:rPr>
          <w:b/>
        </w:rPr>
        <w:t>Table 7</w:t>
      </w:r>
      <w:r w:rsidRPr="00DD6106">
        <w:t xml:space="preserve"> provides </w:t>
      </w:r>
      <w:r>
        <w:t xml:space="preserve">the </w:t>
      </w:r>
      <w:r w:rsidRPr="00DD6106">
        <w:t>budget variation</w:t>
      </w:r>
      <w:r>
        <w:t>s</w:t>
      </w:r>
      <w:r w:rsidRPr="00DD6106">
        <w:t xml:space="preserve"> by sub-program between the budget</w:t>
      </w:r>
      <w:r>
        <w:t xml:space="preserve"> </w:t>
      </w:r>
      <w:r w:rsidRPr="00DD6106">
        <w:t>201</w:t>
      </w:r>
      <w:r>
        <w:t>6</w:t>
      </w:r>
      <w:r w:rsidRPr="00DD6106">
        <w:t>-201</w:t>
      </w:r>
      <w:r>
        <w:t>7</w:t>
      </w:r>
      <w:r w:rsidRPr="00DD6106">
        <w:t xml:space="preserve"> and the proposed budget </w:t>
      </w:r>
      <w:r w:rsidRPr="0044380F">
        <w:rPr>
          <w:snapToGrid w:val="0"/>
          <w:spacing w:val="-2"/>
          <w:szCs w:val="24"/>
        </w:rPr>
        <w:t>201</w:t>
      </w:r>
      <w:r>
        <w:rPr>
          <w:snapToGrid w:val="0"/>
          <w:spacing w:val="-2"/>
          <w:szCs w:val="24"/>
        </w:rPr>
        <w:t>8­</w:t>
      </w:r>
      <w:r w:rsidRPr="0044380F">
        <w:rPr>
          <w:snapToGrid w:val="0"/>
          <w:spacing w:val="-2"/>
          <w:szCs w:val="24"/>
        </w:rPr>
        <w:t>201</w:t>
      </w:r>
      <w:r>
        <w:rPr>
          <w:snapToGrid w:val="0"/>
          <w:spacing w:val="-2"/>
          <w:szCs w:val="24"/>
        </w:rPr>
        <w:t>9</w:t>
      </w:r>
      <w:r w:rsidRPr="00DD6106">
        <w:t>.</w:t>
      </w:r>
    </w:p>
    <w:p w:rsidR="00604822" w:rsidRPr="00DD6106" w:rsidRDefault="00604822" w:rsidP="00604822">
      <w:pPr>
        <w:keepNext/>
        <w:tabs>
          <w:tab w:val="left" w:pos="567"/>
        </w:tabs>
      </w:pPr>
    </w:p>
    <w:p w:rsidR="00604822" w:rsidRDefault="00604822" w:rsidP="00604822">
      <w:pPr>
        <w:jc w:val="center"/>
      </w:pPr>
      <w:r w:rsidRPr="00D65896">
        <w:rPr>
          <w:rFonts w:cs="Arial"/>
          <w:b/>
          <w:bCs/>
          <w:color w:val="000000"/>
        </w:rPr>
        <w:t>Table 7:</w:t>
      </w:r>
      <w:r>
        <w:rPr>
          <w:rFonts w:cs="Arial"/>
          <w:b/>
          <w:bCs/>
          <w:color w:val="000000"/>
        </w:rPr>
        <w:t xml:space="preserve"> </w:t>
      </w:r>
      <w:r w:rsidRPr="00D65896">
        <w:rPr>
          <w:rFonts w:cs="Arial"/>
          <w:b/>
          <w:bCs/>
          <w:color w:val="000000"/>
        </w:rPr>
        <w:t xml:space="preserve"> Budget Variation by Sub-program </w:t>
      </w:r>
      <w:r>
        <w:rPr>
          <w:rFonts w:cs="Arial"/>
          <w:b/>
          <w:bCs/>
          <w:color w:val="000000"/>
        </w:rPr>
        <w:br/>
      </w:r>
      <w:r w:rsidRPr="00D65896">
        <w:rPr>
          <w:rFonts w:cs="Arial"/>
          <w:i/>
          <w:iCs/>
          <w:color w:val="000000"/>
        </w:rPr>
        <w:t>(in thousands of Swiss francs)</w:t>
      </w:r>
    </w:p>
    <w:p w:rsidR="00604822" w:rsidRDefault="00604822" w:rsidP="00604822">
      <w:pPr>
        <w:jc w:val="center"/>
        <w:rPr>
          <w:spacing w:val="-2"/>
          <w:szCs w:val="24"/>
        </w:rPr>
      </w:pPr>
    </w:p>
    <w:p w:rsidR="00604822" w:rsidRDefault="006E3FA1" w:rsidP="00604822">
      <w:pPr>
        <w:jc w:val="center"/>
        <w:rPr>
          <w:spacing w:val="-2"/>
          <w:szCs w:val="24"/>
        </w:rPr>
      </w:pPr>
      <w:r w:rsidRPr="006E3FA1">
        <w:rPr>
          <w:noProof/>
        </w:rPr>
        <w:drawing>
          <wp:inline distT="0" distB="0" distL="0" distR="0">
            <wp:extent cx="3448050" cy="1847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48050" cy="1847850"/>
                    </a:xfrm>
                    <a:prstGeom prst="rect">
                      <a:avLst/>
                    </a:prstGeom>
                    <a:noFill/>
                    <a:ln>
                      <a:noFill/>
                    </a:ln>
                  </pic:spPr>
                </pic:pic>
              </a:graphicData>
            </a:graphic>
          </wp:inline>
        </w:drawing>
      </w:r>
    </w:p>
    <w:p w:rsidR="00604822" w:rsidRDefault="00604822" w:rsidP="00604822">
      <w:pPr>
        <w:rPr>
          <w:spacing w:val="-2"/>
          <w:szCs w:val="24"/>
        </w:rPr>
      </w:pPr>
    </w:p>
    <w:p w:rsidR="00604822" w:rsidRDefault="00604822" w:rsidP="00604822">
      <w:pPr>
        <w:rPr>
          <w:spacing w:val="-2"/>
          <w:szCs w:val="24"/>
        </w:rPr>
      </w:pPr>
    </w:p>
    <w:p w:rsidR="00604822" w:rsidRPr="00C97817" w:rsidRDefault="00604822" w:rsidP="00604822">
      <w:r w:rsidRPr="00C97817">
        <w:rPr>
          <w:color w:val="000000"/>
        </w:rPr>
        <w:t>3.15</w:t>
      </w:r>
      <w:r w:rsidRPr="00C97817">
        <w:tab/>
      </w:r>
      <w:r w:rsidRPr="00C97817">
        <w:rPr>
          <w:b/>
        </w:rPr>
        <w:t>Table 8</w:t>
      </w:r>
      <w:r w:rsidRPr="00C97817">
        <w:t xml:space="preserve"> </w:t>
      </w:r>
      <w:r>
        <w:t>presents the income by source for the 2016</w:t>
      </w:r>
      <w:r w:rsidRPr="00C97817">
        <w:t>-201</w:t>
      </w:r>
      <w:r>
        <w:t>7</w:t>
      </w:r>
      <w:r w:rsidRPr="00C97817">
        <w:t xml:space="preserve"> and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t xml:space="preserve"> biennia.</w:t>
      </w:r>
    </w:p>
    <w:p w:rsidR="00604822" w:rsidRPr="00C97817" w:rsidRDefault="00604822" w:rsidP="00604822"/>
    <w:p w:rsidR="00604822" w:rsidRPr="00C97817" w:rsidRDefault="00604822" w:rsidP="00604822">
      <w:r w:rsidRPr="002D2395">
        <w:rPr>
          <w:color w:val="000000"/>
        </w:rPr>
        <w:t>3.16</w:t>
      </w:r>
      <w:r w:rsidRPr="002D2395">
        <w:tab/>
        <w:t xml:space="preserve">Total income under the regular budget in the </w:t>
      </w:r>
      <w:r w:rsidRPr="00C97817">
        <w:rPr>
          <w:snapToGrid w:val="0"/>
          <w:spacing w:val="-2"/>
          <w:szCs w:val="24"/>
        </w:rPr>
        <w:t>201</w:t>
      </w:r>
      <w:r>
        <w:rPr>
          <w:snapToGrid w:val="0"/>
          <w:spacing w:val="-2"/>
          <w:szCs w:val="24"/>
        </w:rPr>
        <w:t>8</w:t>
      </w:r>
      <w:r w:rsidRPr="00C97817">
        <w:rPr>
          <w:snapToGrid w:val="0"/>
          <w:spacing w:val="-2"/>
          <w:szCs w:val="24"/>
        </w:rPr>
        <w:t>­201</w:t>
      </w:r>
      <w:r>
        <w:rPr>
          <w:snapToGrid w:val="0"/>
          <w:spacing w:val="-2"/>
          <w:szCs w:val="24"/>
        </w:rPr>
        <w:t>9</w:t>
      </w:r>
      <w:r w:rsidRPr="00C97817">
        <w:t xml:space="preserve"> </w:t>
      </w:r>
      <w:r w:rsidRPr="002D2395">
        <w:t xml:space="preserve">Biennium is expected to be </w:t>
      </w:r>
      <w:r w:rsidRPr="008C149C">
        <w:t>6,940</w:t>
      </w:r>
      <w:r w:rsidRPr="008C149C">
        <w:rPr>
          <w:spacing w:val="-2"/>
          <w:szCs w:val="24"/>
        </w:rPr>
        <w:t>,000</w:t>
      </w:r>
      <w:r w:rsidRPr="002D2395">
        <w:rPr>
          <w:spacing w:val="-2"/>
          <w:szCs w:val="24"/>
        </w:rPr>
        <w:t> Swiss francs</w:t>
      </w:r>
      <w:r w:rsidRPr="002D2395">
        <w:t xml:space="preserve">.  This income figure is </w:t>
      </w:r>
      <w:r w:rsidRPr="008C149C">
        <w:rPr>
          <w:spacing w:val="-2"/>
          <w:szCs w:val="24"/>
        </w:rPr>
        <w:t>117,000 Swiss francs</w:t>
      </w:r>
      <w:r w:rsidRPr="008C149C">
        <w:t xml:space="preserve"> or 1.7% higher</w:t>
      </w:r>
      <w:r w:rsidRPr="002D2395">
        <w:t xml:space="preserve"> than the income for the </w:t>
      </w:r>
      <w:r w:rsidRPr="00380E39">
        <w:t xml:space="preserve">2016-2017 </w:t>
      </w:r>
      <w:r>
        <w:t>B</w:t>
      </w:r>
      <w:r w:rsidRPr="00380E39">
        <w:t>iennium of 6</w:t>
      </w:r>
      <w:r w:rsidRPr="00380E39">
        <w:rPr>
          <w:spacing w:val="-2"/>
          <w:szCs w:val="24"/>
        </w:rPr>
        <w:t>,823,000 Swiss francs</w:t>
      </w:r>
      <w:r w:rsidRPr="00380E39">
        <w:t>.  In particular, this projection assumes 62.95 contribution units in 2018 and 63.15 contribution units in 2019 with no change to the value of the contribution unit, which</w:t>
      </w:r>
      <w:r w:rsidRPr="002D2395">
        <w:t xml:space="preserve"> is</w:t>
      </w:r>
      <w:r w:rsidRPr="00C97817">
        <w:t xml:space="preserve"> proposed to remain at 53,641 </w:t>
      </w:r>
      <w:r w:rsidRPr="00C97817">
        <w:rPr>
          <w:spacing w:val="-2"/>
          <w:szCs w:val="24"/>
        </w:rPr>
        <w:t>Swiss francs</w:t>
      </w:r>
      <w:r w:rsidRPr="00C97817">
        <w:t xml:space="preserve"> during the </w:t>
      </w:r>
      <w:r w:rsidRPr="00BF10AA">
        <w:rPr>
          <w:snapToGrid w:val="0"/>
          <w:spacing w:val="-2"/>
          <w:szCs w:val="24"/>
        </w:rPr>
        <w:t xml:space="preserve">2018­2019 </w:t>
      </w:r>
      <w:r>
        <w:t>Biennium.</w:t>
      </w:r>
    </w:p>
    <w:p w:rsidR="00604822" w:rsidRPr="00C97817" w:rsidRDefault="00604822" w:rsidP="00604822"/>
    <w:p w:rsidR="00604822" w:rsidRPr="00C97817" w:rsidRDefault="00604822" w:rsidP="00604822">
      <w:r w:rsidRPr="00C97817">
        <w:rPr>
          <w:color w:val="000000"/>
        </w:rPr>
        <w:t>3.17</w:t>
      </w:r>
      <w:r w:rsidRPr="00C97817">
        <w:tab/>
        <w:t>The income from contributions is estimated on the assumption of one new member of the Union per year, each contributing 0.2 contribution unit to the budget (and 1,667 </w:t>
      </w:r>
      <w:r w:rsidRPr="00C97817">
        <w:rPr>
          <w:spacing w:val="-2"/>
          <w:szCs w:val="24"/>
        </w:rPr>
        <w:t>Swiss francs</w:t>
      </w:r>
      <w:r w:rsidRPr="00C97817">
        <w:t xml:space="preserve"> to the Working Capital Fund).  At its twenty-third extraordinary session, held in Geneva on April 7, 2006, the Council decided that “members of the Union should not adjust downwards their number of units of contribution without considering the implications for UPOV and considering how such a reduction would be compensated by other members of the Union.  In particular, members of the Union should not reduce their number of units of contribution during a budget period approved by the Council, except under exceptional and unavoidable circumstances” (see </w:t>
      </w:r>
      <w:proofErr w:type="spellStart"/>
      <w:r>
        <w:t>Annex</w:t>
      </w:r>
      <w:r w:rsidRPr="00C97817">
        <w:t>I</w:t>
      </w:r>
      <w:proofErr w:type="spellEnd"/>
      <w:r w:rsidRPr="00C97817">
        <w:t xml:space="preserve"> of document </w:t>
      </w:r>
      <w:proofErr w:type="gramStart"/>
      <w:r w:rsidRPr="00C97817">
        <w:t>C(</w:t>
      </w:r>
      <w:proofErr w:type="gramEnd"/>
      <w:r w:rsidRPr="00C97817">
        <w:t>Extr.)</w:t>
      </w:r>
      <w:proofErr w:type="gramStart"/>
      <w:r w:rsidRPr="00C97817">
        <w:t>/23/5).</w:t>
      </w:r>
      <w:proofErr w:type="gramEnd"/>
      <w:r w:rsidRPr="00C97817">
        <w:t xml:space="preserve">  On that basis, no reduction in the number of units of contribution by members of the Union is anticipated within the </w:t>
      </w:r>
      <w:r>
        <w:rPr>
          <w:snapToGrid w:val="0"/>
          <w:spacing w:val="-2"/>
          <w:szCs w:val="24"/>
        </w:rPr>
        <w:t>2018</w:t>
      </w:r>
      <w:r w:rsidRPr="00C97817">
        <w:rPr>
          <w:snapToGrid w:val="0"/>
          <w:spacing w:val="-2"/>
          <w:szCs w:val="24"/>
        </w:rPr>
        <w:t>­201</w:t>
      </w:r>
      <w:r>
        <w:rPr>
          <w:snapToGrid w:val="0"/>
          <w:spacing w:val="-2"/>
          <w:szCs w:val="24"/>
        </w:rPr>
        <w:t>9</w:t>
      </w:r>
      <w:r w:rsidRPr="00C97817">
        <w:t xml:space="preserve"> Biennium.</w:t>
      </w:r>
    </w:p>
    <w:p w:rsidR="00604822" w:rsidRPr="00C97817" w:rsidRDefault="00604822" w:rsidP="00604822"/>
    <w:p w:rsidR="00604822" w:rsidRDefault="00604822" w:rsidP="00604822">
      <w:pPr>
        <w:tabs>
          <w:tab w:val="left" w:pos="567"/>
        </w:tabs>
      </w:pPr>
      <w:r w:rsidRPr="00C97817">
        <w:rPr>
          <w:color w:val="000000"/>
        </w:rPr>
        <w:t>3.18</w:t>
      </w:r>
      <w:r w:rsidRPr="00C97817">
        <w:tab/>
        <w:t xml:space="preserve">In addition to contributions from members of the Union, UPOV income is anticipated from other </w:t>
      </w:r>
      <w:r w:rsidRPr="00380E39">
        <w:t>miscellaneous income (176</w:t>
      </w:r>
      <w:r w:rsidRPr="00380E39">
        <w:rPr>
          <w:spacing w:val="-2"/>
          <w:szCs w:val="24"/>
        </w:rPr>
        <w:t>,000 Swiss francs</w:t>
      </w:r>
      <w:r w:rsidRPr="00380E39">
        <w:t>), including:</w:t>
      </w:r>
    </w:p>
    <w:p w:rsidR="00604822" w:rsidRDefault="00604822" w:rsidP="00604822">
      <w:pPr>
        <w:tabs>
          <w:tab w:val="left" w:pos="567"/>
        </w:tabs>
      </w:pPr>
    </w:p>
    <w:p w:rsidR="00604822" w:rsidRPr="00BF10AA" w:rsidRDefault="00604822" w:rsidP="00604822">
      <w:pPr>
        <w:pStyle w:val="ListParagraph"/>
        <w:numPr>
          <w:ilvl w:val="0"/>
          <w:numId w:val="20"/>
        </w:numPr>
        <w:tabs>
          <w:tab w:val="left" w:pos="567"/>
        </w:tabs>
      </w:pPr>
      <w:r>
        <w:t>F</w:t>
      </w:r>
      <w:r w:rsidRPr="00C97817">
        <w:t xml:space="preserve">ees </w:t>
      </w:r>
      <w:r>
        <w:t xml:space="preserve">from </w:t>
      </w:r>
      <w:r w:rsidRPr="00C97817">
        <w:t>distance learning program</w:t>
      </w:r>
      <w:r>
        <w:t>:</w:t>
      </w:r>
      <w:r>
        <w:tab/>
      </w:r>
      <w:r>
        <w:tab/>
      </w:r>
      <w:r>
        <w:tab/>
      </w:r>
      <w:r w:rsidRPr="00BF10AA">
        <w:rPr>
          <w:spacing w:val="-2"/>
          <w:szCs w:val="24"/>
        </w:rPr>
        <w:t>1</w:t>
      </w:r>
      <w:r>
        <w:rPr>
          <w:spacing w:val="-2"/>
          <w:szCs w:val="24"/>
        </w:rPr>
        <w:t>6</w:t>
      </w:r>
      <w:r w:rsidRPr="00BF10AA">
        <w:rPr>
          <w:spacing w:val="-2"/>
          <w:szCs w:val="24"/>
        </w:rPr>
        <w:t>,000 Swiss francs</w:t>
      </w:r>
    </w:p>
    <w:p w:rsidR="00604822" w:rsidRPr="00380E39" w:rsidRDefault="00604822" w:rsidP="00604822">
      <w:pPr>
        <w:pStyle w:val="ListParagraph"/>
        <w:numPr>
          <w:ilvl w:val="0"/>
          <w:numId w:val="20"/>
        </w:numPr>
        <w:tabs>
          <w:tab w:val="left" w:pos="567"/>
        </w:tabs>
      </w:pPr>
      <w:r w:rsidRPr="00380E39">
        <w:t>Administrative support costs under Funds in Trust:</w:t>
      </w:r>
      <w:r w:rsidRPr="00380E39">
        <w:tab/>
      </w:r>
      <w:r w:rsidRPr="00380E39">
        <w:rPr>
          <w:spacing w:val="-2"/>
          <w:szCs w:val="24"/>
        </w:rPr>
        <w:t>70,000 Swiss francs</w:t>
      </w:r>
    </w:p>
    <w:p w:rsidR="00604822" w:rsidRPr="00380E39" w:rsidRDefault="00604822" w:rsidP="00604822">
      <w:pPr>
        <w:pStyle w:val="ListParagraph"/>
        <w:numPr>
          <w:ilvl w:val="0"/>
          <w:numId w:val="20"/>
        </w:numPr>
        <w:tabs>
          <w:tab w:val="left" w:pos="567"/>
        </w:tabs>
      </w:pPr>
      <w:r w:rsidRPr="00380E39">
        <w:t>Fees from EAF:</w:t>
      </w:r>
      <w:r w:rsidRPr="00380E39">
        <w:tab/>
      </w:r>
      <w:r w:rsidRPr="00380E39">
        <w:tab/>
      </w:r>
      <w:r w:rsidRPr="00380E39">
        <w:tab/>
      </w:r>
      <w:r w:rsidRPr="00380E39">
        <w:tab/>
      </w:r>
      <w:r w:rsidRPr="00380E39">
        <w:tab/>
      </w:r>
      <w:r w:rsidRPr="00380E39">
        <w:tab/>
        <w:t>90</w:t>
      </w:r>
      <w:r w:rsidRPr="00380E39">
        <w:rPr>
          <w:spacing w:val="-2"/>
          <w:szCs w:val="24"/>
        </w:rPr>
        <w:t>,000 Swiss francs</w:t>
      </w:r>
    </w:p>
    <w:p w:rsidR="00604822" w:rsidRPr="00355D38" w:rsidRDefault="00604822" w:rsidP="00604822"/>
    <w:p w:rsidR="00604822" w:rsidRPr="00C97817" w:rsidRDefault="00604822" w:rsidP="00604822">
      <w:r>
        <w:t>The</w:t>
      </w:r>
      <w:r w:rsidRPr="002D2395">
        <w:t xml:space="preserve"> sources</w:t>
      </w:r>
      <w:r>
        <w:t xml:space="preserve"> of income, other than from contributions,</w:t>
      </w:r>
      <w:r w:rsidRPr="002D2395">
        <w:t xml:space="preserve"> are anticipated to </w:t>
      </w:r>
      <w:r>
        <w:t>constitute 2</w:t>
      </w:r>
      <w:r w:rsidRPr="00E30B97">
        <w:rPr>
          <w:spacing w:val="-2"/>
          <w:szCs w:val="24"/>
        </w:rPr>
        <w:t>.</w:t>
      </w:r>
      <w:r>
        <w:rPr>
          <w:spacing w:val="-2"/>
          <w:szCs w:val="24"/>
        </w:rPr>
        <w:t>5</w:t>
      </w:r>
      <w:r w:rsidRPr="002D2395">
        <w:t xml:space="preserve">% of </w:t>
      </w:r>
      <w:r>
        <w:t>the total income in 2018-2019.</w:t>
      </w:r>
      <w:r w:rsidRPr="00C97817">
        <w:t xml:space="preserve"> </w:t>
      </w:r>
    </w:p>
    <w:p w:rsidR="00604822" w:rsidRPr="00C97817" w:rsidRDefault="00604822" w:rsidP="00604822">
      <w:pPr>
        <w:rPr>
          <w:spacing w:val="-2"/>
          <w:szCs w:val="24"/>
        </w:rPr>
      </w:pPr>
    </w:p>
    <w:p w:rsidR="00604822" w:rsidRDefault="00604822" w:rsidP="00604822">
      <w:pPr>
        <w:keepNext/>
        <w:jc w:val="center"/>
        <w:rPr>
          <w:rFonts w:cs="Arial"/>
          <w:i/>
          <w:iCs/>
        </w:rPr>
      </w:pPr>
      <w:r>
        <w:rPr>
          <w:rFonts w:cs="Arial"/>
          <w:b/>
          <w:bCs/>
        </w:rPr>
        <w:t>Table 8:  Income 2016-2017</w:t>
      </w:r>
      <w:r w:rsidRPr="00C97817">
        <w:rPr>
          <w:rFonts w:cs="Arial"/>
          <w:b/>
          <w:bCs/>
        </w:rPr>
        <w:t xml:space="preserve"> and </w:t>
      </w:r>
      <w:r w:rsidRPr="008211B2">
        <w:rPr>
          <w:rFonts w:cs="Arial"/>
          <w:b/>
          <w:bCs/>
        </w:rPr>
        <w:t>2018-2019:</w:t>
      </w:r>
      <w:r w:rsidRPr="00C97817">
        <w:rPr>
          <w:rFonts w:cs="Arial"/>
          <w:b/>
          <w:bCs/>
        </w:rPr>
        <w:t xml:space="preserve">  Variation by </w:t>
      </w:r>
      <w:proofErr w:type="gramStart"/>
      <w:r w:rsidRPr="00C97817">
        <w:rPr>
          <w:rFonts w:cs="Arial"/>
          <w:b/>
          <w:bCs/>
        </w:rPr>
        <w:t>Source</w:t>
      </w:r>
      <w:proofErr w:type="gramEnd"/>
      <w:r>
        <w:rPr>
          <w:rFonts w:cs="Arial"/>
          <w:b/>
          <w:bCs/>
        </w:rPr>
        <w:br/>
      </w:r>
      <w:r w:rsidRPr="003B6D36">
        <w:rPr>
          <w:rFonts w:cs="Arial"/>
          <w:i/>
          <w:iCs/>
        </w:rPr>
        <w:t>(in thousands of Swiss francs)</w:t>
      </w:r>
    </w:p>
    <w:p w:rsidR="00604822" w:rsidRDefault="00604822" w:rsidP="00604822">
      <w:pPr>
        <w:keepNext/>
        <w:jc w:val="center"/>
        <w:rPr>
          <w:rFonts w:cs="Arial"/>
          <w:i/>
          <w:iCs/>
        </w:rPr>
      </w:pPr>
    </w:p>
    <w:p w:rsidR="00604822" w:rsidRDefault="00604822" w:rsidP="00604822">
      <w:pPr>
        <w:jc w:val="center"/>
        <w:rPr>
          <w:spacing w:val="-2"/>
          <w:szCs w:val="24"/>
        </w:rPr>
      </w:pPr>
      <w:r w:rsidRPr="00717AA4">
        <w:rPr>
          <w:noProof/>
        </w:rPr>
        <w:drawing>
          <wp:inline distT="0" distB="0" distL="0" distR="0" wp14:anchorId="59DF5EE5" wp14:editId="69486915">
            <wp:extent cx="5438775" cy="19812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38775" cy="1981200"/>
                    </a:xfrm>
                    <a:prstGeom prst="rect">
                      <a:avLst/>
                    </a:prstGeom>
                    <a:noFill/>
                    <a:ln>
                      <a:noFill/>
                    </a:ln>
                  </pic:spPr>
                </pic:pic>
              </a:graphicData>
            </a:graphic>
          </wp:inline>
        </w:drawing>
      </w:r>
    </w:p>
    <w:p w:rsidR="00604822" w:rsidRDefault="00604822" w:rsidP="00604822">
      <w:pPr>
        <w:jc w:val="center"/>
        <w:rPr>
          <w:spacing w:val="-2"/>
          <w:szCs w:val="24"/>
        </w:rPr>
      </w:pPr>
    </w:p>
    <w:p w:rsidR="00604822" w:rsidRDefault="00604822" w:rsidP="00604822">
      <w:pPr>
        <w:jc w:val="center"/>
        <w:rPr>
          <w:spacing w:val="-2"/>
          <w:szCs w:val="24"/>
        </w:rPr>
      </w:pPr>
    </w:p>
    <w:p w:rsidR="00604822" w:rsidRPr="002D2395" w:rsidRDefault="00604822" w:rsidP="00604822">
      <w:pPr>
        <w:jc w:val="left"/>
        <w:rPr>
          <w:b/>
        </w:rPr>
      </w:pPr>
      <w:r w:rsidRPr="002D2395">
        <w:rPr>
          <w:b/>
        </w:rPr>
        <w:br w:type="page"/>
      </w:r>
    </w:p>
    <w:p w:rsidR="00604822" w:rsidRPr="00C97817" w:rsidRDefault="00604822" w:rsidP="00604822">
      <w:pPr>
        <w:keepNext/>
        <w:rPr>
          <w:b/>
        </w:rPr>
      </w:pPr>
      <w:r>
        <w:rPr>
          <w:b/>
        </w:rPr>
        <w:t>4.</w:t>
      </w:r>
      <w:r>
        <w:rPr>
          <w:b/>
        </w:rPr>
        <w:tab/>
        <w:t>FINANCIAL INDICATORS 2012</w:t>
      </w:r>
      <w:r w:rsidRPr="00C97817">
        <w:rPr>
          <w:b/>
        </w:rPr>
        <w:t>-20</w:t>
      </w:r>
      <w:r>
        <w:rPr>
          <w:b/>
        </w:rPr>
        <w:t>21</w:t>
      </w:r>
    </w:p>
    <w:p w:rsidR="00604822" w:rsidRPr="00C97817" w:rsidRDefault="00604822" w:rsidP="00604822"/>
    <w:p w:rsidR="00604822" w:rsidRDefault="00604822" w:rsidP="00604822">
      <w:pPr>
        <w:tabs>
          <w:tab w:val="left" w:pos="567"/>
        </w:tabs>
      </w:pPr>
      <w:r w:rsidRPr="00C97817">
        <w:t>4.1</w:t>
      </w:r>
      <w:r w:rsidRPr="00C97817">
        <w:tab/>
        <w:t xml:space="preserve">The Program and Budget for the </w:t>
      </w:r>
      <w:r w:rsidRPr="00E30B97">
        <w:rPr>
          <w:snapToGrid w:val="0"/>
          <w:spacing w:val="-2"/>
          <w:szCs w:val="24"/>
        </w:rPr>
        <w:t xml:space="preserve">2018­2019 </w:t>
      </w:r>
      <w:r w:rsidRPr="00C97817">
        <w:t xml:space="preserve">Biennium includes a presentation of financial indicators covering a 10-year period, including two years beyond the new biennium and information from the recent past.  The presentation of the financial indicators is intended to put the proposed budget for the </w:t>
      </w:r>
      <w:r w:rsidRPr="00E30B97">
        <w:rPr>
          <w:snapToGrid w:val="0"/>
          <w:spacing w:val="-2"/>
          <w:szCs w:val="24"/>
        </w:rPr>
        <w:t>2018­2019</w:t>
      </w:r>
      <w:r>
        <w:t> </w:t>
      </w:r>
      <w:r w:rsidRPr="00C97817">
        <w:t xml:space="preserve">Biennium into context </w:t>
      </w:r>
      <w:r>
        <w:t>by</w:t>
      </w:r>
      <w:r w:rsidRPr="00C97817">
        <w:t xml:space="preserve"> indicating trends and assessing future financial sustainability.  This information is provided to facilitate members’ review and decision on the proposed Program and Budget, and it should not be construed as constituting any specific financial co</w:t>
      </w:r>
      <w:r>
        <w:t>mmitment or approval beyond 2019</w:t>
      </w:r>
      <w:r w:rsidRPr="00C97817">
        <w:t>.</w:t>
      </w:r>
    </w:p>
    <w:p w:rsidR="00604822" w:rsidRDefault="00604822" w:rsidP="00604822">
      <w:pPr>
        <w:tabs>
          <w:tab w:val="left" w:pos="567"/>
        </w:tabs>
      </w:pPr>
    </w:p>
    <w:p w:rsidR="00604822" w:rsidRDefault="00604822" w:rsidP="00604822">
      <w:pPr>
        <w:tabs>
          <w:tab w:val="left" w:pos="567"/>
        </w:tabs>
      </w:pPr>
      <w:r w:rsidRPr="00DD6106">
        <w:t>4.2</w:t>
      </w:r>
      <w:r w:rsidRPr="00DD6106">
        <w:tab/>
      </w:r>
      <w:r w:rsidRPr="00DD6106">
        <w:rPr>
          <w:b/>
        </w:rPr>
        <w:t>Table 9</w:t>
      </w:r>
      <w:r w:rsidRPr="00DD6106">
        <w:t xml:space="preserve"> and the </w:t>
      </w:r>
      <w:r w:rsidRPr="00DD6106">
        <w:rPr>
          <w:b/>
        </w:rPr>
        <w:t>graph</w:t>
      </w:r>
      <w:r w:rsidRPr="00DD6106">
        <w:t xml:space="preserve"> below show the evolution of the regular budget as far as income, expenditures and reserve and working capital fund levels are concerned.</w:t>
      </w:r>
    </w:p>
    <w:p w:rsidR="00604822" w:rsidRDefault="00604822" w:rsidP="00604822">
      <w:pPr>
        <w:rPr>
          <w:spacing w:val="-2"/>
          <w:szCs w:val="24"/>
        </w:rPr>
      </w:pPr>
    </w:p>
    <w:p w:rsidR="00604822" w:rsidRPr="00FF35C1" w:rsidRDefault="00604822" w:rsidP="00604822">
      <w:pPr>
        <w:jc w:val="center"/>
        <w:rPr>
          <w:spacing w:val="-2"/>
          <w:szCs w:val="24"/>
        </w:rPr>
      </w:pPr>
      <w:r w:rsidRPr="00885755">
        <w:rPr>
          <w:rFonts w:cs="Arial"/>
          <w:b/>
          <w:bCs/>
        </w:rPr>
        <w:t>Table 9:  Income, Expen</w:t>
      </w:r>
      <w:r>
        <w:rPr>
          <w:rFonts w:cs="Arial"/>
          <w:b/>
          <w:bCs/>
        </w:rPr>
        <w:t>diture and Reserves for 2012</w:t>
      </w:r>
      <w:r w:rsidRPr="00885755">
        <w:rPr>
          <w:rFonts w:cs="Arial"/>
          <w:b/>
          <w:bCs/>
        </w:rPr>
        <w:t>-20</w:t>
      </w:r>
      <w:r>
        <w:rPr>
          <w:rFonts w:cs="Arial"/>
          <w:b/>
          <w:bCs/>
        </w:rPr>
        <w:t>2</w:t>
      </w:r>
      <w:r w:rsidRPr="00885755">
        <w:rPr>
          <w:rFonts w:cs="Arial"/>
          <w:b/>
          <w:bCs/>
        </w:rPr>
        <w:t>1</w:t>
      </w:r>
      <w:r>
        <w:rPr>
          <w:rFonts w:cs="Arial"/>
          <w:b/>
          <w:bCs/>
        </w:rPr>
        <w:br/>
      </w:r>
      <w:r w:rsidRPr="00885755">
        <w:rPr>
          <w:rFonts w:cs="Arial"/>
          <w:i/>
          <w:iCs/>
        </w:rPr>
        <w:t>(in thousands of Swiss francs)</w:t>
      </w:r>
    </w:p>
    <w:p w:rsidR="00604822" w:rsidRDefault="00604822" w:rsidP="00604822">
      <w:pPr>
        <w:rPr>
          <w:rFonts w:cs="Arial"/>
          <w:sz w:val="18"/>
        </w:rPr>
      </w:pPr>
    </w:p>
    <w:p w:rsidR="00604822" w:rsidRDefault="00604822" w:rsidP="00604822">
      <w:pPr>
        <w:rPr>
          <w:rFonts w:cs="Arial"/>
          <w:sz w:val="18"/>
        </w:rPr>
      </w:pPr>
    </w:p>
    <w:p w:rsidR="00604822" w:rsidRDefault="00604822" w:rsidP="00604822">
      <w:r w:rsidRPr="00194616">
        <w:rPr>
          <w:noProof/>
        </w:rPr>
        <w:drawing>
          <wp:inline distT="0" distB="0" distL="0" distR="0" wp14:anchorId="19F42811" wp14:editId="46B1DB0F">
            <wp:extent cx="6120765" cy="992768"/>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992768"/>
                    </a:xfrm>
                    <a:prstGeom prst="rect">
                      <a:avLst/>
                    </a:prstGeom>
                    <a:noFill/>
                    <a:ln>
                      <a:noFill/>
                    </a:ln>
                  </pic:spPr>
                </pic:pic>
              </a:graphicData>
            </a:graphic>
          </wp:inline>
        </w:drawing>
      </w:r>
    </w:p>
    <w:p w:rsidR="00604822" w:rsidRDefault="00604822" w:rsidP="00604822"/>
    <w:p w:rsidR="00604822" w:rsidRDefault="00604822" w:rsidP="00604822"/>
    <w:p w:rsidR="00604822" w:rsidRDefault="00604822" w:rsidP="00604822">
      <w:pPr>
        <w:keepNext/>
        <w:jc w:val="center"/>
        <w:rPr>
          <w:rFonts w:cs="Arial"/>
          <w:b/>
          <w:bCs/>
        </w:rPr>
      </w:pPr>
      <w:r w:rsidRPr="00590D37">
        <w:rPr>
          <w:rFonts w:cs="Arial"/>
          <w:b/>
          <w:bCs/>
        </w:rPr>
        <w:t>Table 9 Graph</w:t>
      </w:r>
    </w:p>
    <w:p w:rsidR="00604822" w:rsidRDefault="00604822" w:rsidP="00604822">
      <w:pPr>
        <w:keepNext/>
        <w:jc w:val="center"/>
      </w:pPr>
    </w:p>
    <w:p w:rsidR="00604822" w:rsidRDefault="00604822" w:rsidP="00604822">
      <w:r>
        <w:rPr>
          <w:noProof/>
        </w:rPr>
        <w:drawing>
          <wp:inline distT="0" distB="0" distL="0" distR="0" wp14:anchorId="302DA1D8" wp14:editId="61A6BBAD">
            <wp:extent cx="6124575" cy="32575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04822" w:rsidRDefault="00604822" w:rsidP="00604822">
      <w:pPr>
        <w:jc w:val="left"/>
      </w:pPr>
      <w:r>
        <w:br w:type="page"/>
      </w:r>
    </w:p>
    <w:p w:rsidR="00604822" w:rsidRPr="00C97817" w:rsidRDefault="00604822" w:rsidP="00604822">
      <w:pPr>
        <w:keepNext/>
      </w:pPr>
      <w:r w:rsidRPr="00C97817">
        <w:t>4.3</w:t>
      </w:r>
      <w:r w:rsidRPr="00C97817">
        <w:tab/>
        <w:t>The following assumptions are made:</w:t>
      </w:r>
    </w:p>
    <w:p w:rsidR="00604822" w:rsidRPr="00C97817" w:rsidRDefault="00604822" w:rsidP="00604822">
      <w:pPr>
        <w:keepNext/>
      </w:pPr>
    </w:p>
    <w:p w:rsidR="00604822" w:rsidRPr="00C97817" w:rsidRDefault="00604822" w:rsidP="00604822">
      <w:pPr>
        <w:ind w:left="567" w:hanging="567"/>
      </w:pPr>
      <w:r w:rsidRPr="00C97817">
        <w:rPr>
          <w:i/>
        </w:rPr>
        <w:t>–</w:t>
      </w:r>
      <w:r w:rsidRPr="00C97817">
        <w:rPr>
          <w:i/>
        </w:rPr>
        <w:tab/>
      </w:r>
      <w:r w:rsidRPr="00C97817">
        <w:rPr>
          <w:u w:val="single"/>
        </w:rPr>
        <w:t>Income and Working Capital Fund</w:t>
      </w:r>
      <w:r w:rsidRPr="00C97817">
        <w:t>:  Accession of one additional member per year contributing 0.2 contribution unit each to the budget and 1,667 </w:t>
      </w:r>
      <w:r w:rsidRPr="00C97817">
        <w:rPr>
          <w:spacing w:val="-2"/>
          <w:szCs w:val="24"/>
        </w:rPr>
        <w:t>Swiss francs</w:t>
      </w:r>
      <w:r w:rsidRPr="00C97817">
        <w:t xml:space="preserve"> to the Working Capital Fund.  </w:t>
      </w:r>
      <w:r>
        <w:br/>
      </w:r>
      <w:r w:rsidRPr="00C97817">
        <w:t xml:space="preserve">The </w:t>
      </w:r>
      <w:r w:rsidRPr="00CA013D">
        <w:t>corresponding amounts have been inserted with rounding.  Income of 250</w:t>
      </w:r>
      <w:r>
        <w:t>,000 </w:t>
      </w:r>
      <w:r w:rsidRPr="00CA013D">
        <w:rPr>
          <w:spacing w:val="-2"/>
          <w:szCs w:val="24"/>
        </w:rPr>
        <w:t>Swiss francs is</w:t>
      </w:r>
      <w:r>
        <w:rPr>
          <w:spacing w:val="-2"/>
          <w:szCs w:val="24"/>
        </w:rPr>
        <w:t xml:space="preserve"> anticipated from the EAF in 2020-2021</w:t>
      </w:r>
      <w:r w:rsidRPr="00C97817">
        <w:t>.</w:t>
      </w:r>
    </w:p>
    <w:p w:rsidR="00604822" w:rsidRPr="00C97817" w:rsidRDefault="00604822" w:rsidP="00604822">
      <w:pPr>
        <w:ind w:left="567" w:hanging="567"/>
      </w:pPr>
    </w:p>
    <w:p w:rsidR="00604822" w:rsidRPr="00C97817" w:rsidRDefault="00604822" w:rsidP="00604822">
      <w:pPr>
        <w:ind w:left="567" w:hanging="567"/>
      </w:pPr>
    </w:p>
    <w:p w:rsidR="00604822" w:rsidRPr="00C97817" w:rsidRDefault="00604822" w:rsidP="00604822">
      <w:pPr>
        <w:keepNext/>
        <w:ind w:left="567" w:hanging="567"/>
      </w:pPr>
      <w:r w:rsidRPr="00C97817">
        <w:t>–</w:t>
      </w:r>
      <w:r w:rsidRPr="00C97817">
        <w:tab/>
      </w:r>
      <w:r w:rsidRPr="00C97817">
        <w:rPr>
          <w:u w:val="single"/>
        </w:rPr>
        <w:t>Expenditure</w:t>
      </w:r>
      <w:r w:rsidRPr="00C97817">
        <w:t xml:space="preserve">:  </w:t>
      </w:r>
    </w:p>
    <w:p w:rsidR="00604822" w:rsidRPr="00C97817" w:rsidRDefault="00604822" w:rsidP="00604822">
      <w:pPr>
        <w:keepNext/>
        <w:ind w:left="567" w:hanging="567"/>
      </w:pPr>
    </w:p>
    <w:p w:rsidR="00604822" w:rsidRPr="00C97817" w:rsidRDefault="00604822" w:rsidP="00604822">
      <w:pPr>
        <w:ind w:left="567" w:hanging="567"/>
      </w:pPr>
      <w:r w:rsidRPr="00C97817">
        <w:tab/>
      </w:r>
      <w:r w:rsidRPr="00514537">
        <w:rPr>
          <w:i/>
        </w:rPr>
        <w:t xml:space="preserve">Personnel resources:  </w:t>
      </w:r>
      <w:r w:rsidRPr="00514537">
        <w:t xml:space="preserve">One additional staff is planned for the Office of the Union during the period under consideration.  Personnel resources are anticipated to account for </w:t>
      </w:r>
      <w:bookmarkStart w:id="8" w:name="OLE_LINK13"/>
      <w:bookmarkStart w:id="9" w:name="OLE_LINK14"/>
      <w:r w:rsidRPr="00514537">
        <w:t>68.8</w:t>
      </w:r>
      <w:r w:rsidRPr="00514537">
        <w:rPr>
          <w:spacing w:val="-2"/>
          <w:szCs w:val="24"/>
        </w:rPr>
        <w:t>%</w:t>
      </w:r>
      <w:bookmarkEnd w:id="8"/>
      <w:bookmarkEnd w:id="9"/>
      <w:r w:rsidRPr="00514537">
        <w:t xml:space="preserve"> of the budget in </w:t>
      </w:r>
      <w:r w:rsidRPr="00514537">
        <w:rPr>
          <w:snapToGrid w:val="0"/>
          <w:spacing w:val="-2"/>
          <w:szCs w:val="24"/>
        </w:rPr>
        <w:t>2018­2019</w:t>
      </w:r>
      <w:r w:rsidRPr="00514537">
        <w:t xml:space="preserve"> and </w:t>
      </w:r>
      <w:r w:rsidRPr="00514537">
        <w:rPr>
          <w:spacing w:val="-2"/>
          <w:szCs w:val="24"/>
        </w:rPr>
        <w:t>69.0%</w:t>
      </w:r>
      <w:r w:rsidRPr="00514537">
        <w:t xml:space="preserve"> in 2020-2021, compared to </w:t>
      </w:r>
      <w:r w:rsidRPr="00514537">
        <w:rPr>
          <w:spacing w:val="-2"/>
          <w:szCs w:val="24"/>
        </w:rPr>
        <w:t>65.1%</w:t>
      </w:r>
      <w:r w:rsidRPr="00514537">
        <w:t xml:space="preserve"> in the 2014­2015 Biennium and </w:t>
      </w:r>
      <w:r w:rsidRPr="00514537">
        <w:rPr>
          <w:spacing w:val="-2"/>
          <w:szCs w:val="24"/>
        </w:rPr>
        <w:t xml:space="preserve">63.7% </w:t>
      </w:r>
      <w:r w:rsidRPr="00514537">
        <w:t>in the 2016-2017 Budget.</w:t>
      </w:r>
      <w:r w:rsidRPr="00C97817">
        <w:t xml:space="preserve">  </w:t>
      </w:r>
    </w:p>
    <w:p w:rsidR="00604822" w:rsidRPr="00C97817" w:rsidRDefault="00604822" w:rsidP="00604822">
      <w:pPr>
        <w:ind w:left="567" w:hanging="567"/>
      </w:pPr>
    </w:p>
    <w:p w:rsidR="00604822" w:rsidRPr="00DD6106" w:rsidRDefault="00604822" w:rsidP="00604822">
      <w:pPr>
        <w:ind w:left="567" w:hanging="567"/>
      </w:pPr>
      <w:r w:rsidRPr="00C97817">
        <w:tab/>
      </w:r>
      <w:r w:rsidRPr="00EC40AD">
        <w:rPr>
          <w:i/>
        </w:rPr>
        <w:t>Non-personnel resources:</w:t>
      </w:r>
      <w:r w:rsidRPr="00EC40AD">
        <w:t xml:space="preserve">  Operating expenses, furniture and supplies costs are projected to remain stable and to account for </w:t>
      </w:r>
      <w:r w:rsidRPr="00EC40AD">
        <w:rPr>
          <w:spacing w:val="-2"/>
          <w:szCs w:val="24"/>
        </w:rPr>
        <w:t>31.3%</w:t>
      </w:r>
      <w:r w:rsidRPr="00EC40AD">
        <w:t xml:space="preserve"> of the budget in both the 2018­2019 and the 2020­2021 biennia, compared to </w:t>
      </w:r>
      <w:r w:rsidRPr="00EC40AD">
        <w:rPr>
          <w:spacing w:val="-2"/>
          <w:szCs w:val="24"/>
        </w:rPr>
        <w:t>19.2%</w:t>
      </w:r>
      <w:r w:rsidRPr="00EC40AD">
        <w:t xml:space="preserve"> in the 2014­2015 Biennium and </w:t>
      </w:r>
      <w:r w:rsidRPr="00EC40AD">
        <w:rPr>
          <w:spacing w:val="-2"/>
          <w:szCs w:val="24"/>
        </w:rPr>
        <w:t>18.6%</w:t>
      </w:r>
      <w:r w:rsidRPr="00EC40AD">
        <w:t xml:space="preserve"> in the 2016-2017 Budget.  Travel and contractual services costs are projected to account for 5</w:t>
      </w:r>
      <w:r w:rsidRPr="00EC40AD">
        <w:rPr>
          <w:spacing w:val="-2"/>
          <w:szCs w:val="24"/>
        </w:rPr>
        <w:t>.6%</w:t>
      </w:r>
      <w:r w:rsidRPr="00EC40AD">
        <w:t xml:space="preserve"> of the budget in 2018­2019 </w:t>
      </w:r>
      <w:r w:rsidRPr="00EC40AD">
        <w:br/>
        <w:t>and 5</w:t>
      </w:r>
      <w:r w:rsidRPr="00EC40AD">
        <w:rPr>
          <w:spacing w:val="-2"/>
          <w:szCs w:val="24"/>
        </w:rPr>
        <w:t>.5%</w:t>
      </w:r>
      <w:r w:rsidRPr="00EC40AD">
        <w:t xml:space="preserve"> in 2020-2021, respectively, compared to </w:t>
      </w:r>
      <w:r w:rsidRPr="00EC40AD">
        <w:rPr>
          <w:spacing w:val="-2"/>
          <w:szCs w:val="24"/>
        </w:rPr>
        <w:t>15.7</w:t>
      </w:r>
      <w:r w:rsidRPr="00EC40AD">
        <w:t xml:space="preserve">% in the 2014­2015 Biennium and </w:t>
      </w:r>
      <w:r w:rsidRPr="00EC40AD">
        <w:rPr>
          <w:spacing w:val="-2"/>
          <w:szCs w:val="24"/>
        </w:rPr>
        <w:t>16.7</w:t>
      </w:r>
      <w:r w:rsidRPr="00EC40AD">
        <w:t>% in the 2016</w:t>
      </w:r>
      <w:r w:rsidRPr="00EC40AD">
        <w:noBreakHyphen/>
        <w:t xml:space="preserve">2017 Budget. Internships are projected to account for </w:t>
      </w:r>
      <w:r w:rsidRPr="00EC40AD">
        <w:rPr>
          <w:spacing w:val="-2"/>
          <w:szCs w:val="24"/>
        </w:rPr>
        <w:t>0.6%</w:t>
      </w:r>
      <w:r w:rsidRPr="00EC40AD">
        <w:t xml:space="preserve"> of the budget in 2018­2019.</w:t>
      </w:r>
    </w:p>
    <w:p w:rsidR="00604822" w:rsidRDefault="00604822" w:rsidP="00604822">
      <w:pPr>
        <w:ind w:left="567" w:hanging="567"/>
      </w:pPr>
    </w:p>
    <w:p w:rsidR="00604822" w:rsidRDefault="00604822" w:rsidP="00604822">
      <w:pPr>
        <w:ind w:left="567" w:hanging="567"/>
      </w:pPr>
    </w:p>
    <w:p w:rsidR="00604822" w:rsidRDefault="00604822" w:rsidP="00604822">
      <w:pPr>
        <w:ind w:left="567" w:hanging="567"/>
      </w:pPr>
    </w:p>
    <w:p w:rsidR="00604822" w:rsidRDefault="00604822" w:rsidP="00604822">
      <w:pPr>
        <w:ind w:left="567" w:hanging="567"/>
        <w:jc w:val="right"/>
      </w:pPr>
      <w:r>
        <w:t xml:space="preserve">[Appendix I </w:t>
      </w:r>
      <w:proofErr w:type="gramStart"/>
      <w:r>
        <w:t>follows</w:t>
      </w:r>
      <w:proofErr w:type="gramEnd"/>
      <w:r>
        <w:t>]</w:t>
      </w:r>
    </w:p>
    <w:p w:rsidR="00604822" w:rsidRDefault="00604822" w:rsidP="00604822">
      <w:pPr>
        <w:ind w:left="567" w:hanging="567"/>
        <w:jc w:val="center"/>
      </w:pPr>
    </w:p>
    <w:p w:rsidR="00604822" w:rsidRDefault="00604822" w:rsidP="00604822">
      <w:pPr>
        <w:ind w:left="567" w:hanging="567"/>
        <w:jc w:val="right"/>
        <w:sectPr w:rsidR="00604822" w:rsidSect="00962988">
          <w:headerReference w:type="default" r:id="rId31"/>
          <w:headerReference w:type="first" r:id="rId32"/>
          <w:pgSz w:w="11907" w:h="16840" w:code="9"/>
          <w:pgMar w:top="510" w:right="1134" w:bottom="1134" w:left="1134" w:header="510" w:footer="680" w:gutter="0"/>
          <w:pgNumType w:start="1"/>
          <w:cols w:space="720"/>
          <w:titlePg/>
        </w:sectPr>
      </w:pPr>
    </w:p>
    <w:p w:rsidR="00604822" w:rsidRDefault="00604822" w:rsidP="00604822">
      <w:pPr>
        <w:ind w:left="567" w:hanging="567"/>
        <w:jc w:val="center"/>
      </w:pPr>
      <w:r>
        <w:t>ANNEX – APPENDIX I</w:t>
      </w:r>
    </w:p>
    <w:p w:rsidR="00604822" w:rsidRPr="00DD6106" w:rsidRDefault="00604822" w:rsidP="00604822">
      <w:pPr>
        <w:ind w:left="567" w:hanging="567"/>
        <w:jc w:val="center"/>
      </w:pPr>
    </w:p>
    <w:p w:rsidR="00604822" w:rsidRDefault="00604822" w:rsidP="00604822">
      <w:pPr>
        <w:jc w:val="center"/>
        <w:rPr>
          <w:rFonts w:cs="Arial"/>
          <w:i/>
          <w:sz w:val="16"/>
        </w:rPr>
      </w:pPr>
      <w:r w:rsidRPr="00931E36">
        <w:rPr>
          <w:rFonts w:cs="Arial"/>
          <w:szCs w:val="24"/>
        </w:rPr>
        <w:t>STATUS IN RELATION TO THE INTERNATIONAL UNION FOR THE PROTECTION</w:t>
      </w:r>
      <w:r w:rsidRPr="00931E36">
        <w:rPr>
          <w:rFonts w:cs="Arial"/>
          <w:szCs w:val="24"/>
        </w:rPr>
        <w:br/>
        <w:t>OF NEW VARIETIES OF PLANTS (UPOV</w:t>
      </w:r>
      <w:proofErr w:type="gramStart"/>
      <w:r w:rsidRPr="00931E36">
        <w:rPr>
          <w:rFonts w:cs="Arial"/>
          <w:szCs w:val="24"/>
        </w:rPr>
        <w:t>)</w:t>
      </w:r>
      <w:proofErr w:type="gramEnd"/>
      <w:r w:rsidRPr="00931E36">
        <w:rPr>
          <w:rFonts w:cs="Arial"/>
          <w:szCs w:val="24"/>
        </w:rPr>
        <w:br/>
      </w:r>
      <w:r w:rsidRPr="006422D5">
        <w:rPr>
          <w:rFonts w:cs="Arial"/>
          <w:i/>
          <w:sz w:val="16"/>
        </w:rPr>
        <w:t>as of December 31, 2016</w:t>
      </w:r>
    </w:p>
    <w:p w:rsidR="00604822" w:rsidRDefault="00604822" w:rsidP="00604822">
      <w:pPr>
        <w:jc w:val="center"/>
        <w:rPr>
          <w:b/>
        </w:rPr>
      </w:pPr>
    </w:p>
    <w:p w:rsidR="00604822" w:rsidRDefault="00604822" w:rsidP="00604822">
      <w:pPr>
        <w:jc w:val="center"/>
        <w:rPr>
          <w:rFonts w:eastAsia="MS Mincho"/>
          <w:lang w:eastAsia="ja-JP"/>
        </w:rPr>
      </w:pPr>
      <w:r w:rsidRPr="00DD43DC">
        <w:rPr>
          <w:rFonts w:cs="Arial"/>
          <w:b/>
          <w:sz w:val="18"/>
        </w:rPr>
        <w:t>I.  Members of UPOV</w:t>
      </w:r>
    </w:p>
    <w:p w:rsidR="00604822" w:rsidRDefault="00604822" w:rsidP="00604822">
      <w:pPr>
        <w:spacing w:line="360" w:lineRule="auto"/>
        <w:rPr>
          <w:rFonts w:cs="Arial"/>
          <w:b/>
          <w:sz w:val="18"/>
        </w:rPr>
      </w:pPr>
    </w:p>
    <w:p w:rsidR="00604822" w:rsidRDefault="00604822" w:rsidP="00604822">
      <w:pPr>
        <w:spacing w:line="360" w:lineRule="auto"/>
        <w:rPr>
          <w:rFonts w:cs="Arial"/>
          <w:b/>
          <w:sz w:val="18"/>
        </w:rPr>
        <w:sectPr w:rsidR="00604822" w:rsidSect="00962988">
          <w:pgSz w:w="11907" w:h="16840" w:code="9"/>
          <w:pgMar w:top="510" w:right="1134" w:bottom="1134" w:left="1134" w:header="510" w:footer="624" w:gutter="0"/>
          <w:pgNumType w:start="2"/>
          <w:cols w:space="720"/>
          <w:titlePg/>
        </w:sectPr>
      </w:pPr>
    </w:p>
    <w:p w:rsidR="00604822" w:rsidRPr="00DD43DC" w:rsidRDefault="00604822" w:rsidP="00604822">
      <w:pPr>
        <w:spacing w:before="40"/>
        <w:ind w:left="57" w:hanging="57"/>
        <w:jc w:val="left"/>
        <w:rPr>
          <w:rFonts w:cs="Arial"/>
          <w:sz w:val="16"/>
          <w:szCs w:val="16"/>
        </w:rPr>
      </w:pPr>
      <w:r w:rsidRPr="00DD43DC">
        <w:rPr>
          <w:rFonts w:cs="Arial"/>
          <w:sz w:val="16"/>
          <w:szCs w:val="16"/>
        </w:rPr>
        <w:t>African Intellectual Property Organization</w:t>
      </w:r>
      <w:r w:rsidRPr="00DD43DC">
        <w:rPr>
          <w:rFonts w:cs="Arial"/>
          <w:sz w:val="16"/>
          <w:szCs w:val="16"/>
          <w:vertAlign w:val="superscript"/>
        </w:rPr>
        <w:t>3,</w:t>
      </w:r>
      <w:r>
        <w:rPr>
          <w:rFonts w:cs="Arial"/>
          <w:sz w:val="16"/>
          <w:szCs w:val="16"/>
          <w:vertAlign w:val="superscript"/>
        </w:rPr>
        <w:t xml:space="preserve"> </w:t>
      </w:r>
      <w:r w:rsidRPr="00DD43DC">
        <w:rPr>
          <w:rFonts w:cs="Arial"/>
          <w:sz w:val="16"/>
          <w:szCs w:val="16"/>
          <w:vertAlign w:val="superscript"/>
        </w:rPr>
        <w:t>5</w:t>
      </w:r>
    </w:p>
    <w:p w:rsidR="00604822" w:rsidRPr="003505DC" w:rsidRDefault="00604822" w:rsidP="00604822">
      <w:pPr>
        <w:spacing w:before="40"/>
        <w:jc w:val="left"/>
        <w:rPr>
          <w:rFonts w:cs="Arial"/>
          <w:sz w:val="16"/>
          <w:szCs w:val="16"/>
        </w:rPr>
      </w:pPr>
      <w:r w:rsidRPr="003505DC">
        <w:rPr>
          <w:rFonts w:cs="Arial"/>
          <w:sz w:val="16"/>
          <w:szCs w:val="16"/>
        </w:rPr>
        <w:t>Albania</w:t>
      </w:r>
      <w:r w:rsidRPr="003505DC">
        <w:rPr>
          <w:rFonts w:cs="Arial"/>
          <w:sz w:val="16"/>
          <w:szCs w:val="16"/>
          <w:vertAlign w:val="superscript"/>
        </w:rPr>
        <w:t>3</w:t>
      </w:r>
    </w:p>
    <w:p w:rsidR="00604822" w:rsidRPr="003505DC" w:rsidRDefault="00604822" w:rsidP="00604822">
      <w:pPr>
        <w:spacing w:before="40"/>
        <w:jc w:val="left"/>
        <w:rPr>
          <w:rFonts w:cs="Arial"/>
          <w:sz w:val="16"/>
          <w:szCs w:val="16"/>
        </w:rPr>
      </w:pPr>
      <w:r w:rsidRPr="003505DC">
        <w:rPr>
          <w:rFonts w:cs="Arial"/>
          <w:sz w:val="16"/>
          <w:szCs w:val="16"/>
        </w:rPr>
        <w:t>Argentina</w:t>
      </w:r>
      <w:r w:rsidRPr="003505DC">
        <w:rPr>
          <w:rStyle w:val="FootnoteReference"/>
          <w:rFonts w:cs="Arial"/>
          <w:sz w:val="16"/>
          <w:szCs w:val="16"/>
        </w:rPr>
        <w:t>2</w:t>
      </w:r>
    </w:p>
    <w:p w:rsidR="00604822" w:rsidRPr="00B97F12" w:rsidRDefault="00604822" w:rsidP="00604822">
      <w:pPr>
        <w:spacing w:before="40"/>
        <w:jc w:val="left"/>
        <w:rPr>
          <w:rFonts w:cs="Arial"/>
          <w:sz w:val="16"/>
          <w:szCs w:val="16"/>
        </w:rPr>
      </w:pPr>
      <w:r w:rsidRPr="00B97F12">
        <w:rPr>
          <w:rFonts w:cs="Arial"/>
          <w:sz w:val="16"/>
          <w:szCs w:val="16"/>
        </w:rPr>
        <w:t>Australia</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Austria</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Azerbaijan</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Belarus</w:t>
      </w:r>
      <w:r w:rsidRPr="00B97F12">
        <w:rPr>
          <w:rFonts w:cs="Arial"/>
          <w:sz w:val="16"/>
          <w:szCs w:val="16"/>
          <w:vertAlign w:val="superscript"/>
        </w:rPr>
        <w:t>3</w:t>
      </w:r>
    </w:p>
    <w:p w:rsidR="00604822" w:rsidRPr="00B97F12" w:rsidRDefault="00604822" w:rsidP="00604822">
      <w:pPr>
        <w:spacing w:before="40"/>
        <w:jc w:val="left"/>
        <w:rPr>
          <w:rFonts w:cs="Arial"/>
          <w:sz w:val="16"/>
          <w:szCs w:val="16"/>
          <w:vertAlign w:val="superscript"/>
        </w:rPr>
      </w:pPr>
      <w:r w:rsidRPr="00B97F12">
        <w:rPr>
          <w:rFonts w:cs="Arial"/>
          <w:sz w:val="16"/>
          <w:szCs w:val="16"/>
        </w:rPr>
        <w:t>Belgium</w:t>
      </w:r>
      <w:r w:rsidRPr="00B97F12">
        <w:rPr>
          <w:rStyle w:val="FootnoteReference"/>
          <w:rFonts w:cs="Arial"/>
          <w:sz w:val="16"/>
          <w:szCs w:val="16"/>
        </w:rPr>
        <w:t>1</w:t>
      </w:r>
    </w:p>
    <w:p w:rsidR="00604822" w:rsidRPr="00B97F12" w:rsidRDefault="00604822" w:rsidP="00604822">
      <w:pPr>
        <w:spacing w:before="40"/>
        <w:ind w:left="57" w:hanging="57"/>
        <w:jc w:val="left"/>
        <w:rPr>
          <w:rFonts w:cs="Arial"/>
          <w:sz w:val="16"/>
          <w:szCs w:val="16"/>
        </w:rPr>
      </w:pPr>
      <w:r w:rsidRPr="00B97F12">
        <w:rPr>
          <w:rFonts w:cs="Arial"/>
          <w:sz w:val="16"/>
          <w:szCs w:val="16"/>
        </w:rPr>
        <w:t>Bolivia (</w:t>
      </w:r>
      <w:proofErr w:type="spellStart"/>
      <w:r w:rsidRPr="002E2FCE">
        <w:rPr>
          <w:rFonts w:cs="Arial"/>
          <w:sz w:val="16"/>
          <w:szCs w:val="16"/>
        </w:rPr>
        <w:t>Plurinational</w:t>
      </w:r>
      <w:proofErr w:type="spellEnd"/>
      <w:r w:rsidRPr="00B97F12">
        <w:rPr>
          <w:rFonts w:cs="Arial"/>
          <w:sz w:val="16"/>
          <w:szCs w:val="16"/>
        </w:rPr>
        <w:t xml:space="preserve"> State of</w:t>
      </w:r>
      <w:proofErr w:type="gramStart"/>
      <w:r w:rsidRPr="00B97F12">
        <w:rPr>
          <w:rFonts w:cs="Arial"/>
          <w:sz w:val="16"/>
          <w:szCs w:val="16"/>
        </w:rPr>
        <w:t>)</w:t>
      </w:r>
      <w:r w:rsidRPr="00B97F12">
        <w:rPr>
          <w:rFonts w:cs="Arial"/>
          <w:sz w:val="16"/>
          <w:szCs w:val="16"/>
          <w:vertAlign w:val="superscript"/>
        </w:rPr>
        <w:t>2</w:t>
      </w:r>
      <w:proofErr w:type="gramEnd"/>
    </w:p>
    <w:p w:rsidR="00604822" w:rsidRPr="00B97F12" w:rsidRDefault="00604822" w:rsidP="00604822">
      <w:pPr>
        <w:spacing w:before="40"/>
        <w:jc w:val="left"/>
        <w:rPr>
          <w:rFonts w:cs="Arial"/>
          <w:sz w:val="16"/>
          <w:szCs w:val="16"/>
        </w:rPr>
      </w:pPr>
      <w:r w:rsidRPr="00B97F12">
        <w:rPr>
          <w:rFonts w:cs="Arial"/>
          <w:sz w:val="16"/>
          <w:szCs w:val="16"/>
        </w:rPr>
        <w:t>Brazil</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Bulgaria</w:t>
      </w:r>
      <w:r w:rsidRPr="00B97F12">
        <w:rPr>
          <w:rFonts w:cs="Arial"/>
          <w:sz w:val="16"/>
          <w:szCs w:val="16"/>
          <w:vertAlign w:val="superscript"/>
        </w:rPr>
        <w:t>3</w:t>
      </w:r>
    </w:p>
    <w:p w:rsidR="00604822" w:rsidRPr="00B97F12" w:rsidRDefault="00604822" w:rsidP="00604822">
      <w:pPr>
        <w:spacing w:before="40"/>
        <w:jc w:val="left"/>
        <w:rPr>
          <w:rFonts w:cs="Arial"/>
          <w:sz w:val="16"/>
          <w:szCs w:val="16"/>
        </w:rPr>
      </w:pPr>
      <w:r w:rsidRPr="00B97F12">
        <w:rPr>
          <w:rFonts w:cs="Arial"/>
          <w:sz w:val="16"/>
          <w:szCs w:val="16"/>
        </w:rPr>
        <w:t>Canada</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Chile</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China</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Colombia</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Costa Rica</w:t>
      </w:r>
      <w:r w:rsidRPr="00B97F12">
        <w:rPr>
          <w:rFonts w:cs="Arial"/>
          <w:sz w:val="16"/>
          <w:szCs w:val="16"/>
          <w:vertAlign w:val="superscript"/>
        </w:rPr>
        <w:t>3</w:t>
      </w:r>
    </w:p>
    <w:p w:rsidR="00604822" w:rsidRPr="002E2FCE" w:rsidRDefault="00604822" w:rsidP="00604822">
      <w:pPr>
        <w:spacing w:before="40"/>
        <w:jc w:val="left"/>
        <w:rPr>
          <w:rFonts w:cs="Arial"/>
          <w:sz w:val="16"/>
          <w:szCs w:val="16"/>
          <w:vertAlign w:val="superscript"/>
        </w:rPr>
      </w:pPr>
      <w:r w:rsidRPr="002E2FCE">
        <w:rPr>
          <w:rFonts w:cs="Arial"/>
          <w:sz w:val="16"/>
          <w:szCs w:val="16"/>
        </w:rPr>
        <w:t>Croatia</w:t>
      </w:r>
      <w:r w:rsidRPr="002E2FCE">
        <w:rPr>
          <w:rFonts w:cs="Arial"/>
          <w:sz w:val="16"/>
          <w:szCs w:val="16"/>
          <w:vertAlign w:val="superscript"/>
        </w:rPr>
        <w:t>3</w:t>
      </w:r>
    </w:p>
    <w:p w:rsidR="00604822" w:rsidRPr="002E2FCE" w:rsidRDefault="00604822" w:rsidP="00604822">
      <w:pPr>
        <w:spacing w:before="40"/>
        <w:jc w:val="left"/>
        <w:rPr>
          <w:rFonts w:cs="Arial"/>
          <w:sz w:val="16"/>
          <w:szCs w:val="16"/>
        </w:rPr>
      </w:pPr>
      <w:r w:rsidRPr="002E2FCE">
        <w:rPr>
          <w:rFonts w:cs="Arial"/>
          <w:sz w:val="16"/>
          <w:szCs w:val="16"/>
        </w:rPr>
        <w:t>Czech Republic</w:t>
      </w:r>
      <w:r w:rsidRPr="002E2FCE">
        <w:rPr>
          <w:rFonts w:cs="Arial"/>
          <w:sz w:val="16"/>
          <w:szCs w:val="16"/>
          <w:vertAlign w:val="superscript"/>
        </w:rPr>
        <w:t>3</w:t>
      </w:r>
    </w:p>
    <w:p w:rsidR="00604822" w:rsidRPr="002E2FCE" w:rsidRDefault="00604822" w:rsidP="00604822">
      <w:pPr>
        <w:spacing w:before="40"/>
        <w:jc w:val="left"/>
        <w:rPr>
          <w:rFonts w:cs="Arial"/>
          <w:sz w:val="16"/>
          <w:szCs w:val="16"/>
        </w:rPr>
      </w:pPr>
      <w:r w:rsidRPr="002E2FCE">
        <w:rPr>
          <w:rFonts w:cs="Arial"/>
          <w:sz w:val="16"/>
          <w:szCs w:val="16"/>
        </w:rPr>
        <w:t>Denmark</w:t>
      </w:r>
      <w:r w:rsidRPr="002E2FCE">
        <w:rPr>
          <w:rStyle w:val="FootnoteReference"/>
          <w:rFonts w:cs="Arial"/>
          <w:sz w:val="16"/>
          <w:szCs w:val="16"/>
        </w:rPr>
        <w:t>3</w:t>
      </w:r>
    </w:p>
    <w:p w:rsidR="00604822" w:rsidRPr="00B97F12" w:rsidRDefault="00604822" w:rsidP="00604822">
      <w:pPr>
        <w:spacing w:before="40"/>
        <w:jc w:val="left"/>
        <w:rPr>
          <w:rFonts w:cs="Arial"/>
          <w:sz w:val="16"/>
          <w:szCs w:val="16"/>
          <w:lang w:val="es-ES"/>
        </w:rPr>
      </w:pPr>
      <w:proofErr w:type="spellStart"/>
      <w:r w:rsidRPr="00B97F12">
        <w:rPr>
          <w:rFonts w:cs="Arial"/>
          <w:sz w:val="16"/>
          <w:szCs w:val="16"/>
          <w:lang w:val="es-ES"/>
        </w:rPr>
        <w:t>Dominican</w:t>
      </w:r>
      <w:proofErr w:type="spellEnd"/>
      <w:r w:rsidRPr="00B97F12">
        <w:rPr>
          <w:rFonts w:cs="Arial"/>
          <w:sz w:val="16"/>
          <w:szCs w:val="16"/>
          <w:lang w:val="es-ES"/>
        </w:rPr>
        <w:t xml:space="preserve"> Republic</w:t>
      </w:r>
      <w:r w:rsidRPr="00B97F12">
        <w:rPr>
          <w:rFonts w:cs="Arial"/>
          <w:sz w:val="16"/>
          <w:szCs w:val="16"/>
          <w:vertAlign w:val="superscript"/>
          <w:lang w:val="es-ES"/>
        </w:rPr>
        <w:t>3</w:t>
      </w:r>
    </w:p>
    <w:p w:rsidR="00604822" w:rsidRPr="00DD43DC" w:rsidRDefault="00604822" w:rsidP="00604822">
      <w:pPr>
        <w:spacing w:before="40"/>
        <w:jc w:val="left"/>
        <w:rPr>
          <w:rFonts w:cs="Arial"/>
          <w:sz w:val="16"/>
          <w:szCs w:val="16"/>
          <w:lang w:val="es-ES"/>
        </w:rPr>
      </w:pPr>
      <w:r w:rsidRPr="00DD43DC">
        <w:rPr>
          <w:rFonts w:cs="Arial"/>
          <w:sz w:val="16"/>
          <w:szCs w:val="16"/>
          <w:lang w:val="es-ES"/>
        </w:rPr>
        <w:t>Ecuador</w:t>
      </w:r>
      <w:r w:rsidRPr="00DD43DC">
        <w:rPr>
          <w:rFonts w:cs="Arial"/>
          <w:sz w:val="16"/>
          <w:szCs w:val="16"/>
          <w:vertAlign w:val="superscript"/>
          <w:lang w:val="es-ES"/>
        </w:rPr>
        <w:t>2</w:t>
      </w:r>
    </w:p>
    <w:p w:rsidR="00604822" w:rsidRPr="00DD43DC" w:rsidRDefault="00604822" w:rsidP="00604822">
      <w:pPr>
        <w:spacing w:before="40"/>
        <w:jc w:val="left"/>
        <w:rPr>
          <w:rFonts w:cs="Arial"/>
          <w:sz w:val="16"/>
          <w:szCs w:val="16"/>
          <w:lang w:val="es-ES"/>
        </w:rPr>
      </w:pPr>
      <w:r w:rsidRPr="00DD43DC">
        <w:rPr>
          <w:rFonts w:cs="Arial"/>
          <w:sz w:val="16"/>
          <w:szCs w:val="16"/>
          <w:lang w:val="es-ES"/>
        </w:rPr>
        <w:t>Estonia</w:t>
      </w:r>
      <w:r w:rsidRPr="00DD43DC">
        <w:rPr>
          <w:rFonts w:cs="Arial"/>
          <w:sz w:val="16"/>
          <w:szCs w:val="16"/>
          <w:vertAlign w:val="superscript"/>
          <w:lang w:val="es-ES"/>
        </w:rPr>
        <w:t>3</w:t>
      </w:r>
    </w:p>
    <w:p w:rsidR="00604822" w:rsidRPr="002E2FCE" w:rsidRDefault="00604822" w:rsidP="00604822">
      <w:pPr>
        <w:spacing w:before="40"/>
        <w:jc w:val="left"/>
        <w:rPr>
          <w:rFonts w:cs="Arial"/>
          <w:sz w:val="16"/>
          <w:szCs w:val="16"/>
          <w:vertAlign w:val="superscript"/>
          <w:lang w:val="es-ES_tradnl"/>
        </w:rPr>
      </w:pPr>
      <w:proofErr w:type="spellStart"/>
      <w:r w:rsidRPr="002E2FCE">
        <w:rPr>
          <w:rFonts w:cs="Arial"/>
          <w:sz w:val="16"/>
          <w:szCs w:val="16"/>
          <w:lang w:val="es-ES_tradnl"/>
        </w:rPr>
        <w:t>European</w:t>
      </w:r>
      <w:proofErr w:type="spellEnd"/>
      <w:r w:rsidRPr="002E2FCE">
        <w:rPr>
          <w:rFonts w:cs="Arial"/>
          <w:sz w:val="16"/>
          <w:szCs w:val="16"/>
          <w:lang w:val="es-ES_tradnl"/>
        </w:rPr>
        <w:t xml:space="preserve"> Union</w:t>
      </w:r>
      <w:r w:rsidRPr="002E2FCE">
        <w:rPr>
          <w:rFonts w:cs="Arial"/>
          <w:sz w:val="16"/>
          <w:szCs w:val="16"/>
          <w:vertAlign w:val="superscript"/>
          <w:lang w:val="es-ES_tradnl"/>
        </w:rPr>
        <w:t>3, 4</w:t>
      </w:r>
    </w:p>
    <w:p w:rsidR="00604822" w:rsidRPr="00B97F12" w:rsidRDefault="00604822" w:rsidP="00604822">
      <w:pPr>
        <w:spacing w:before="40"/>
        <w:jc w:val="left"/>
        <w:rPr>
          <w:rFonts w:cs="Arial"/>
          <w:sz w:val="16"/>
          <w:szCs w:val="16"/>
        </w:rPr>
      </w:pPr>
      <w:r w:rsidRPr="00B97F12">
        <w:rPr>
          <w:rFonts w:cs="Arial"/>
          <w:sz w:val="16"/>
          <w:szCs w:val="16"/>
        </w:rPr>
        <w:t>Finland</w:t>
      </w:r>
      <w:r w:rsidRPr="00B97F12">
        <w:rPr>
          <w:rStyle w:val="FootnoteReference"/>
          <w:rFonts w:cs="Arial"/>
          <w:sz w:val="16"/>
          <w:szCs w:val="16"/>
        </w:rPr>
        <w:t>3</w:t>
      </w:r>
    </w:p>
    <w:p w:rsidR="00604822" w:rsidRPr="00B97F12" w:rsidRDefault="00604822" w:rsidP="00604822">
      <w:pPr>
        <w:spacing w:before="40"/>
        <w:jc w:val="left"/>
        <w:rPr>
          <w:rFonts w:cs="Arial"/>
          <w:sz w:val="16"/>
          <w:szCs w:val="16"/>
        </w:rPr>
      </w:pPr>
      <w:r w:rsidRPr="00B97F12">
        <w:rPr>
          <w:rFonts w:cs="Arial"/>
          <w:sz w:val="16"/>
          <w:szCs w:val="16"/>
        </w:rPr>
        <w:t>France</w:t>
      </w:r>
      <w:r w:rsidRPr="00B97F12">
        <w:rPr>
          <w:rStyle w:val="FootnoteReference"/>
          <w:rFonts w:cs="Arial"/>
          <w:sz w:val="16"/>
          <w:szCs w:val="16"/>
        </w:rPr>
        <w:t>3</w:t>
      </w:r>
    </w:p>
    <w:p w:rsidR="00604822" w:rsidRPr="00DD43DC" w:rsidRDefault="00604822" w:rsidP="00604822">
      <w:pPr>
        <w:spacing w:before="40"/>
        <w:jc w:val="left"/>
        <w:rPr>
          <w:rFonts w:cs="Arial"/>
          <w:sz w:val="16"/>
          <w:szCs w:val="16"/>
        </w:rPr>
      </w:pPr>
      <w:r w:rsidRPr="00DD43DC">
        <w:rPr>
          <w:rFonts w:cs="Arial"/>
          <w:sz w:val="16"/>
          <w:szCs w:val="16"/>
        </w:rPr>
        <w:t>Georgia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Germany</w:t>
      </w:r>
      <w:r w:rsidRPr="00DD43DC">
        <w:rPr>
          <w:rStyle w:val="FootnoteReference"/>
          <w:rFonts w:cs="Arial"/>
          <w:sz w:val="16"/>
          <w:szCs w:val="16"/>
        </w:rPr>
        <w:t>3</w:t>
      </w:r>
    </w:p>
    <w:p w:rsidR="00604822" w:rsidRPr="002E2FCE" w:rsidRDefault="00604822" w:rsidP="00604822">
      <w:pPr>
        <w:spacing w:before="40"/>
        <w:jc w:val="left"/>
        <w:rPr>
          <w:rFonts w:cs="Arial"/>
          <w:sz w:val="16"/>
          <w:szCs w:val="16"/>
        </w:rPr>
      </w:pPr>
      <w:r w:rsidRPr="002E2FCE">
        <w:rPr>
          <w:rFonts w:cs="Arial"/>
          <w:sz w:val="16"/>
          <w:szCs w:val="16"/>
        </w:rPr>
        <w:t>Hungary</w:t>
      </w:r>
      <w:r w:rsidRPr="002E2FCE">
        <w:rPr>
          <w:rStyle w:val="FootnoteReference"/>
          <w:rFonts w:cs="Arial"/>
          <w:sz w:val="16"/>
          <w:szCs w:val="16"/>
        </w:rPr>
        <w:t>3</w:t>
      </w:r>
    </w:p>
    <w:p w:rsidR="00604822" w:rsidRPr="002E2FCE" w:rsidRDefault="00604822" w:rsidP="00604822">
      <w:pPr>
        <w:spacing w:before="40"/>
        <w:jc w:val="left"/>
        <w:rPr>
          <w:rFonts w:cs="Arial"/>
          <w:sz w:val="16"/>
          <w:szCs w:val="16"/>
        </w:rPr>
      </w:pPr>
      <w:r w:rsidRPr="002E2FCE">
        <w:rPr>
          <w:rFonts w:cs="Arial"/>
          <w:sz w:val="16"/>
          <w:szCs w:val="16"/>
        </w:rPr>
        <w:t>Iceland</w:t>
      </w:r>
      <w:r w:rsidRPr="002E2FCE">
        <w:rPr>
          <w:rStyle w:val="FootnoteReference"/>
          <w:rFonts w:cs="Arial"/>
          <w:sz w:val="16"/>
          <w:szCs w:val="16"/>
        </w:rPr>
        <w:t>3</w:t>
      </w:r>
      <w:r w:rsidRPr="002E2FCE">
        <w:rPr>
          <w:rFonts w:cs="Arial"/>
          <w:sz w:val="16"/>
          <w:szCs w:val="16"/>
        </w:rPr>
        <w:t xml:space="preserve"> </w:t>
      </w:r>
    </w:p>
    <w:p w:rsidR="00604822" w:rsidRPr="00B97F12" w:rsidRDefault="00604822" w:rsidP="00604822">
      <w:pPr>
        <w:spacing w:before="40"/>
        <w:jc w:val="left"/>
        <w:rPr>
          <w:rFonts w:cs="Arial"/>
          <w:sz w:val="16"/>
          <w:szCs w:val="16"/>
          <w:lang w:val="es-ES"/>
        </w:rPr>
      </w:pPr>
      <w:r w:rsidRPr="00B97F12">
        <w:rPr>
          <w:rFonts w:cs="Arial"/>
          <w:sz w:val="16"/>
          <w:szCs w:val="16"/>
          <w:lang w:val="es-ES"/>
        </w:rPr>
        <w:t>Ireland</w:t>
      </w:r>
      <w:r w:rsidRPr="00B97F12">
        <w:rPr>
          <w:rStyle w:val="FootnoteReference"/>
          <w:rFonts w:cs="Arial"/>
          <w:sz w:val="16"/>
          <w:szCs w:val="16"/>
          <w:lang w:val="es-ES"/>
        </w:rPr>
        <w:t>3</w:t>
      </w:r>
      <w:r>
        <w:rPr>
          <w:rFonts w:cs="Arial"/>
          <w:sz w:val="16"/>
          <w:szCs w:val="16"/>
          <w:lang w:val="es-ES"/>
        </w:rPr>
        <w:tab/>
      </w:r>
    </w:p>
    <w:p w:rsidR="00604822" w:rsidRPr="00B97F12" w:rsidRDefault="00604822" w:rsidP="00604822">
      <w:pPr>
        <w:spacing w:before="40"/>
        <w:jc w:val="left"/>
        <w:rPr>
          <w:rFonts w:cs="Arial"/>
          <w:sz w:val="16"/>
          <w:szCs w:val="16"/>
          <w:vertAlign w:val="superscript"/>
          <w:lang w:val="es-ES"/>
        </w:rPr>
      </w:pPr>
      <w:r w:rsidRPr="00B97F12">
        <w:rPr>
          <w:rFonts w:cs="Arial"/>
          <w:sz w:val="16"/>
          <w:szCs w:val="16"/>
          <w:lang w:val="es-ES"/>
        </w:rPr>
        <w:t>Israel</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Italy</w:t>
      </w:r>
      <w:r w:rsidRPr="00B97F12">
        <w:rPr>
          <w:rStyle w:val="FootnoteReference"/>
          <w:rFonts w:cs="Arial"/>
          <w:sz w:val="16"/>
          <w:szCs w:val="16"/>
          <w:lang w:val="es-ES"/>
        </w:rPr>
        <w:t>2</w:t>
      </w:r>
    </w:p>
    <w:p w:rsidR="00604822" w:rsidRPr="00B97F12" w:rsidRDefault="00604822" w:rsidP="00604822">
      <w:pPr>
        <w:spacing w:before="40"/>
        <w:jc w:val="left"/>
        <w:rPr>
          <w:rFonts w:cs="Arial"/>
          <w:sz w:val="16"/>
          <w:szCs w:val="16"/>
          <w:lang w:val="es-ES"/>
        </w:rPr>
      </w:pPr>
      <w:r w:rsidRPr="00B97F12">
        <w:rPr>
          <w:rFonts w:cs="Arial"/>
          <w:sz w:val="16"/>
          <w:szCs w:val="16"/>
          <w:lang w:val="es-ES"/>
        </w:rPr>
        <w:t>Japan</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Jordan</w:t>
      </w:r>
      <w:r w:rsidRPr="00B97F12">
        <w:rPr>
          <w:rFonts w:cs="Arial"/>
          <w:sz w:val="16"/>
          <w:szCs w:val="16"/>
          <w:vertAlign w:val="superscript"/>
          <w:lang w:val="es-ES"/>
        </w:rPr>
        <w:t>3</w:t>
      </w:r>
    </w:p>
    <w:p w:rsidR="00604822" w:rsidRPr="00B97F12" w:rsidRDefault="00604822" w:rsidP="00604822">
      <w:pPr>
        <w:spacing w:before="40"/>
        <w:jc w:val="left"/>
        <w:rPr>
          <w:rFonts w:cs="Arial"/>
          <w:sz w:val="16"/>
          <w:szCs w:val="16"/>
          <w:lang w:val="es-ES"/>
        </w:rPr>
      </w:pPr>
      <w:r w:rsidRPr="00B97F12">
        <w:rPr>
          <w:rFonts w:cs="Arial"/>
          <w:sz w:val="16"/>
          <w:szCs w:val="16"/>
          <w:lang w:val="es-ES"/>
        </w:rPr>
        <w:t>Kenya</w:t>
      </w:r>
      <w:r w:rsidRPr="00B97F12">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Kyrgyzstan</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Latvia</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Lithuania</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Mexico</w:t>
      </w:r>
      <w:r w:rsidRPr="00EF683F">
        <w:rPr>
          <w:rFonts w:cs="Arial"/>
          <w:sz w:val="16"/>
          <w:szCs w:val="16"/>
          <w:vertAlign w:val="superscript"/>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Montenegro</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Morocco</w:t>
      </w:r>
      <w:r w:rsidRPr="00EF683F">
        <w:rPr>
          <w:rStyle w:val="FootnoteReference"/>
          <w:rFonts w:cs="Arial"/>
          <w:sz w:val="16"/>
          <w:szCs w:val="16"/>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Netherlands</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lang w:val="es-ES"/>
        </w:rPr>
      </w:pPr>
      <w:r w:rsidRPr="00EF683F">
        <w:rPr>
          <w:rFonts w:cs="Arial"/>
          <w:sz w:val="16"/>
          <w:szCs w:val="16"/>
          <w:lang w:val="es-ES"/>
        </w:rPr>
        <w:t>New Zealand</w:t>
      </w:r>
      <w:r w:rsidRPr="00EF683F">
        <w:rPr>
          <w:rStyle w:val="FootnoteReference"/>
          <w:rFonts w:cs="Arial"/>
          <w:sz w:val="16"/>
          <w:szCs w:val="16"/>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Nicaragua</w:t>
      </w:r>
      <w:r w:rsidRPr="00EF683F">
        <w:rPr>
          <w:rFonts w:cs="Arial"/>
          <w:sz w:val="16"/>
          <w:szCs w:val="16"/>
          <w:vertAlign w:val="superscript"/>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Norway</w:t>
      </w:r>
      <w:r w:rsidRPr="00EF683F">
        <w:rPr>
          <w:rStyle w:val="FootnoteReference"/>
          <w:rFonts w:cs="Arial"/>
          <w:sz w:val="16"/>
          <w:szCs w:val="16"/>
          <w:lang w:val="es-ES"/>
        </w:rPr>
        <w:t>2</w:t>
      </w:r>
    </w:p>
    <w:p w:rsidR="00604822" w:rsidRPr="00EF683F" w:rsidRDefault="00604822" w:rsidP="00604822">
      <w:pPr>
        <w:spacing w:before="40"/>
        <w:jc w:val="left"/>
        <w:rPr>
          <w:rFonts w:cs="Arial"/>
          <w:sz w:val="16"/>
          <w:szCs w:val="16"/>
          <w:lang w:val="es-ES"/>
        </w:rPr>
      </w:pPr>
      <w:r w:rsidRPr="00EF683F">
        <w:rPr>
          <w:rFonts w:cs="Arial"/>
          <w:sz w:val="16"/>
          <w:szCs w:val="16"/>
          <w:lang w:val="es-ES"/>
        </w:rPr>
        <w:t>Oman</w:t>
      </w:r>
      <w:r w:rsidRPr="00EF683F">
        <w:rPr>
          <w:rFonts w:cs="Arial"/>
          <w:sz w:val="16"/>
          <w:szCs w:val="16"/>
          <w:vertAlign w:val="superscript"/>
          <w:lang w:val="es-ES"/>
        </w:rPr>
        <w:t>3</w:t>
      </w:r>
    </w:p>
    <w:p w:rsidR="00604822" w:rsidRPr="00EF683F" w:rsidRDefault="00604822" w:rsidP="00604822">
      <w:pPr>
        <w:spacing w:before="40"/>
        <w:jc w:val="left"/>
        <w:rPr>
          <w:rFonts w:cs="Arial"/>
          <w:sz w:val="16"/>
          <w:szCs w:val="16"/>
          <w:vertAlign w:val="superscript"/>
          <w:lang w:val="es-ES"/>
        </w:rPr>
      </w:pPr>
      <w:r w:rsidRPr="00EF683F">
        <w:rPr>
          <w:rFonts w:cs="Arial"/>
          <w:sz w:val="16"/>
          <w:szCs w:val="16"/>
          <w:lang w:val="es-ES"/>
        </w:rPr>
        <w:t>Panama</w:t>
      </w:r>
      <w:r w:rsidRPr="00EF683F">
        <w:rPr>
          <w:rFonts w:cs="Arial"/>
          <w:sz w:val="16"/>
          <w:szCs w:val="16"/>
          <w:vertAlign w:val="superscript"/>
          <w:lang w:val="es-ES"/>
        </w:rPr>
        <w:t>3</w:t>
      </w:r>
    </w:p>
    <w:p w:rsidR="00604822" w:rsidRDefault="00604822" w:rsidP="00604822">
      <w:pPr>
        <w:spacing w:before="40"/>
        <w:jc w:val="left"/>
        <w:rPr>
          <w:rFonts w:cs="Arial"/>
          <w:sz w:val="16"/>
          <w:szCs w:val="16"/>
          <w:vertAlign w:val="superscript"/>
        </w:rPr>
      </w:pPr>
      <w:r w:rsidRPr="00B97F12">
        <w:rPr>
          <w:rFonts w:cs="Arial"/>
          <w:sz w:val="16"/>
          <w:szCs w:val="16"/>
        </w:rPr>
        <w:t>Paraguay</w:t>
      </w:r>
      <w:r w:rsidRPr="00B97F12">
        <w:rPr>
          <w:rFonts w:cs="Arial"/>
          <w:sz w:val="16"/>
          <w:szCs w:val="16"/>
          <w:vertAlign w:val="superscript"/>
        </w:rPr>
        <w:t>2</w:t>
      </w:r>
    </w:p>
    <w:p w:rsidR="00604822" w:rsidRPr="00B97F12" w:rsidRDefault="00604822" w:rsidP="00604822">
      <w:pPr>
        <w:spacing w:before="40"/>
        <w:jc w:val="left"/>
        <w:rPr>
          <w:rFonts w:cs="Arial"/>
          <w:sz w:val="16"/>
          <w:szCs w:val="16"/>
        </w:rPr>
      </w:pPr>
      <w:r w:rsidRPr="00B97F12">
        <w:rPr>
          <w:rFonts w:cs="Arial"/>
          <w:sz w:val="16"/>
          <w:szCs w:val="16"/>
        </w:rPr>
        <w:t>Peru</w:t>
      </w:r>
      <w:r w:rsidRPr="00B97F12">
        <w:rPr>
          <w:rFonts w:cs="Arial"/>
          <w:sz w:val="16"/>
          <w:szCs w:val="16"/>
          <w:vertAlign w:val="superscript"/>
        </w:rPr>
        <w:t>3</w:t>
      </w:r>
    </w:p>
    <w:p w:rsidR="00604822" w:rsidRPr="00B97F12" w:rsidRDefault="00604822" w:rsidP="00604822">
      <w:pPr>
        <w:pStyle w:val="BodyTextKeep"/>
        <w:keepNext w:val="0"/>
        <w:spacing w:before="40" w:after="0"/>
        <w:rPr>
          <w:rFonts w:ascii="Arial" w:hAnsi="Arial" w:cs="Arial"/>
          <w:sz w:val="16"/>
          <w:szCs w:val="16"/>
          <w:vertAlign w:val="superscript"/>
        </w:rPr>
      </w:pPr>
      <w:r w:rsidRPr="00B97F12">
        <w:rPr>
          <w:rFonts w:ascii="Arial" w:hAnsi="Arial" w:cs="Arial"/>
          <w:sz w:val="16"/>
          <w:szCs w:val="16"/>
        </w:rPr>
        <w:t>Poland</w:t>
      </w:r>
      <w:r w:rsidRPr="00B97F12">
        <w:rPr>
          <w:rStyle w:val="FootnoteReference"/>
          <w:rFonts w:ascii="Arial" w:hAnsi="Arial" w:cs="Arial"/>
          <w:sz w:val="16"/>
          <w:szCs w:val="16"/>
        </w:rPr>
        <w:t>3</w:t>
      </w:r>
    </w:p>
    <w:p w:rsidR="00604822" w:rsidRPr="002E2FCE" w:rsidRDefault="00604822" w:rsidP="00604822">
      <w:pPr>
        <w:pStyle w:val="BodyTextKeep"/>
        <w:keepNext w:val="0"/>
        <w:spacing w:before="40" w:after="0"/>
        <w:rPr>
          <w:rFonts w:ascii="Arial" w:hAnsi="Arial" w:cs="Arial"/>
          <w:sz w:val="16"/>
          <w:szCs w:val="16"/>
          <w:vertAlign w:val="superscript"/>
        </w:rPr>
      </w:pPr>
      <w:r w:rsidRPr="002E2FCE">
        <w:rPr>
          <w:rFonts w:ascii="Arial" w:hAnsi="Arial" w:cs="Arial"/>
          <w:sz w:val="16"/>
          <w:szCs w:val="16"/>
        </w:rPr>
        <w:t>Portugal</w:t>
      </w:r>
      <w:r w:rsidRPr="002E2FCE">
        <w:rPr>
          <w:rFonts w:ascii="Arial" w:hAnsi="Arial" w:cs="Arial"/>
          <w:sz w:val="16"/>
          <w:szCs w:val="16"/>
          <w:vertAlign w:val="superscript"/>
        </w:rPr>
        <w:t>2</w:t>
      </w:r>
    </w:p>
    <w:p w:rsidR="00604822" w:rsidRPr="00976D9F" w:rsidRDefault="00604822" w:rsidP="00604822">
      <w:pPr>
        <w:pStyle w:val="BodyTextKeep"/>
        <w:keepNext w:val="0"/>
        <w:spacing w:before="40" w:after="0"/>
        <w:rPr>
          <w:rFonts w:ascii="Arial" w:hAnsi="Arial" w:cs="Arial"/>
          <w:sz w:val="16"/>
          <w:szCs w:val="16"/>
          <w:vertAlign w:val="superscript"/>
        </w:rPr>
      </w:pPr>
      <w:r w:rsidRPr="00976D9F">
        <w:rPr>
          <w:rFonts w:ascii="Arial" w:hAnsi="Arial" w:cs="Arial"/>
          <w:sz w:val="16"/>
          <w:szCs w:val="16"/>
        </w:rPr>
        <w:t>Republic of Korea</w:t>
      </w:r>
      <w:r w:rsidRPr="00976D9F">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vertAlign w:val="superscript"/>
        </w:rPr>
      </w:pPr>
      <w:r w:rsidRPr="00DD43DC">
        <w:rPr>
          <w:rFonts w:ascii="Arial" w:hAnsi="Arial" w:cs="Arial"/>
          <w:sz w:val="16"/>
          <w:szCs w:val="16"/>
        </w:rPr>
        <w:t>Republic of Moldova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vertAlign w:val="superscript"/>
        </w:rPr>
      </w:pPr>
      <w:r w:rsidRPr="00DD43DC">
        <w:rPr>
          <w:rFonts w:ascii="Arial" w:hAnsi="Arial" w:cs="Arial"/>
          <w:sz w:val="16"/>
          <w:szCs w:val="16"/>
        </w:rPr>
        <w:t>Romania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Russian Federation</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Serbia</w:t>
      </w:r>
      <w:r w:rsidRPr="00DD43DC">
        <w:rPr>
          <w:rFonts w:ascii="Arial" w:hAnsi="Arial" w:cs="Arial"/>
          <w:sz w:val="16"/>
          <w:szCs w:val="16"/>
          <w:vertAlign w:val="superscript"/>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Singapore</w:t>
      </w:r>
      <w:r w:rsidRPr="00DD43DC">
        <w:rPr>
          <w:rFonts w:ascii="Arial" w:hAnsi="Arial" w:cs="Arial"/>
          <w:sz w:val="16"/>
          <w:szCs w:val="16"/>
          <w:vertAlign w:val="superscript"/>
        </w:rPr>
        <w:t>3</w:t>
      </w:r>
    </w:p>
    <w:p w:rsidR="00604822" w:rsidRPr="00DD43DC" w:rsidRDefault="00604822" w:rsidP="00604822">
      <w:pPr>
        <w:spacing w:before="40"/>
        <w:jc w:val="left"/>
        <w:rPr>
          <w:rFonts w:cs="Arial"/>
          <w:sz w:val="16"/>
          <w:szCs w:val="16"/>
          <w:vertAlign w:val="superscript"/>
        </w:rPr>
      </w:pPr>
      <w:r w:rsidRPr="00DD43DC">
        <w:rPr>
          <w:rFonts w:cs="Arial"/>
          <w:sz w:val="16"/>
          <w:szCs w:val="16"/>
        </w:rPr>
        <w:t>Slovakia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Slovenia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South Africa</w:t>
      </w:r>
      <w:r w:rsidRPr="00DD43DC">
        <w:rPr>
          <w:rStyle w:val="FootnoteReference"/>
          <w:rFonts w:cs="Arial"/>
          <w:sz w:val="16"/>
          <w:szCs w:val="16"/>
        </w:rPr>
        <w:t>2</w:t>
      </w:r>
    </w:p>
    <w:p w:rsidR="00604822" w:rsidRPr="00DD43DC" w:rsidRDefault="00604822" w:rsidP="00604822">
      <w:pPr>
        <w:spacing w:before="40"/>
        <w:jc w:val="left"/>
        <w:rPr>
          <w:rFonts w:cs="Arial"/>
          <w:sz w:val="16"/>
          <w:szCs w:val="16"/>
        </w:rPr>
      </w:pPr>
      <w:r w:rsidRPr="00DD43DC">
        <w:rPr>
          <w:rFonts w:cs="Arial"/>
          <w:sz w:val="16"/>
          <w:szCs w:val="16"/>
        </w:rPr>
        <w:t>Spain</w:t>
      </w:r>
      <w:r w:rsidRPr="00DD43DC">
        <w:rPr>
          <w:rStyle w:val="FootnoteReference"/>
          <w:rFonts w:cs="Arial"/>
          <w:sz w:val="16"/>
          <w:szCs w:val="16"/>
        </w:rPr>
        <w:t>3</w:t>
      </w:r>
    </w:p>
    <w:p w:rsidR="00604822" w:rsidRPr="00DD43DC" w:rsidRDefault="00604822" w:rsidP="00604822">
      <w:pPr>
        <w:pStyle w:val="BodyTextKeep"/>
        <w:keepNext w:val="0"/>
        <w:spacing w:before="40" w:after="0"/>
        <w:rPr>
          <w:rFonts w:ascii="Arial" w:hAnsi="Arial" w:cs="Arial"/>
          <w:sz w:val="16"/>
          <w:szCs w:val="16"/>
        </w:rPr>
      </w:pPr>
      <w:r w:rsidRPr="00DD43DC">
        <w:rPr>
          <w:rFonts w:ascii="Arial" w:hAnsi="Arial" w:cs="Arial"/>
          <w:sz w:val="16"/>
          <w:szCs w:val="16"/>
        </w:rPr>
        <w:t>Sweden</w:t>
      </w:r>
      <w:r w:rsidRPr="00DD43DC">
        <w:rPr>
          <w:rFonts w:ascii="Arial" w:hAnsi="Arial" w:cs="Arial"/>
          <w:sz w:val="16"/>
          <w:szCs w:val="16"/>
          <w:vertAlign w:val="superscript"/>
        </w:rPr>
        <w:t>3</w:t>
      </w:r>
    </w:p>
    <w:p w:rsidR="00604822" w:rsidRDefault="00604822" w:rsidP="00604822">
      <w:pPr>
        <w:spacing w:before="40"/>
        <w:jc w:val="left"/>
        <w:rPr>
          <w:rFonts w:cs="Arial"/>
          <w:sz w:val="16"/>
          <w:szCs w:val="16"/>
          <w:vertAlign w:val="superscript"/>
        </w:rPr>
      </w:pPr>
      <w:r w:rsidRPr="00DD43DC">
        <w:rPr>
          <w:rFonts w:cs="Arial"/>
          <w:sz w:val="16"/>
          <w:szCs w:val="16"/>
        </w:rPr>
        <w:t>Switzerland</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The former Yugoslav Republic of Macedonia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Trinidad and Tobago</w:t>
      </w:r>
      <w:r w:rsidRPr="00DD43DC">
        <w:rPr>
          <w:rFonts w:cs="Arial"/>
          <w:sz w:val="16"/>
          <w:szCs w:val="16"/>
          <w:vertAlign w:val="superscript"/>
        </w:rPr>
        <w:t>2</w:t>
      </w:r>
    </w:p>
    <w:p w:rsidR="00604822" w:rsidRPr="00DD43DC" w:rsidRDefault="00604822" w:rsidP="00604822">
      <w:pPr>
        <w:spacing w:before="40"/>
        <w:jc w:val="left"/>
        <w:rPr>
          <w:rFonts w:cs="Arial"/>
          <w:sz w:val="16"/>
          <w:szCs w:val="16"/>
        </w:rPr>
      </w:pPr>
      <w:r w:rsidRPr="00DD43DC">
        <w:rPr>
          <w:rFonts w:cs="Arial"/>
          <w:sz w:val="16"/>
          <w:szCs w:val="16"/>
        </w:rPr>
        <w:t>Tunisia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Turkey</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Ukraine</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United Kingdom</w:t>
      </w:r>
      <w:r w:rsidRPr="00DD43DC">
        <w:rPr>
          <w:rFonts w:cs="Arial"/>
          <w:sz w:val="16"/>
          <w:szCs w:val="16"/>
          <w:vertAlign w:val="superscript"/>
        </w:rPr>
        <w:t>3</w:t>
      </w:r>
    </w:p>
    <w:p w:rsidR="00604822" w:rsidRDefault="00604822" w:rsidP="00604822">
      <w:pPr>
        <w:spacing w:before="40"/>
        <w:ind w:left="57" w:hanging="57"/>
        <w:jc w:val="left"/>
        <w:rPr>
          <w:rFonts w:cs="Arial"/>
          <w:sz w:val="16"/>
          <w:szCs w:val="16"/>
        </w:rPr>
      </w:pPr>
      <w:r>
        <w:rPr>
          <w:rFonts w:cs="Arial"/>
          <w:sz w:val="16"/>
          <w:szCs w:val="16"/>
        </w:rPr>
        <w:t>United Republic of Tanzania</w:t>
      </w:r>
      <w:r w:rsidRPr="00976D9F">
        <w:rPr>
          <w:rFonts w:cs="Arial"/>
          <w:sz w:val="16"/>
          <w:szCs w:val="16"/>
          <w:vertAlign w:val="superscript"/>
        </w:rPr>
        <w:t>3</w:t>
      </w:r>
    </w:p>
    <w:p w:rsidR="00604822" w:rsidRPr="00DD43DC" w:rsidRDefault="00604822" w:rsidP="00604822">
      <w:pPr>
        <w:spacing w:before="40"/>
        <w:ind w:left="28" w:hanging="28"/>
        <w:jc w:val="left"/>
        <w:rPr>
          <w:rFonts w:cs="Arial"/>
          <w:sz w:val="16"/>
          <w:szCs w:val="16"/>
        </w:rPr>
      </w:pPr>
      <w:r w:rsidRPr="00DD43DC">
        <w:rPr>
          <w:rFonts w:cs="Arial"/>
          <w:sz w:val="16"/>
          <w:szCs w:val="16"/>
        </w:rPr>
        <w:t>United States of America</w:t>
      </w:r>
      <w:r w:rsidRPr="00DD43DC">
        <w:rPr>
          <w:rFonts w:cs="Arial"/>
          <w:sz w:val="16"/>
          <w:szCs w:val="16"/>
          <w:vertAlign w:val="superscript"/>
        </w:rPr>
        <w:t>3</w:t>
      </w:r>
    </w:p>
    <w:p w:rsidR="00604822" w:rsidRPr="00DD43DC" w:rsidRDefault="00604822" w:rsidP="00604822">
      <w:pPr>
        <w:spacing w:before="40"/>
        <w:jc w:val="left"/>
        <w:rPr>
          <w:rFonts w:cs="Arial"/>
          <w:sz w:val="16"/>
          <w:szCs w:val="16"/>
        </w:rPr>
      </w:pPr>
      <w:r w:rsidRPr="00DD43DC">
        <w:rPr>
          <w:rFonts w:cs="Arial"/>
          <w:sz w:val="16"/>
          <w:szCs w:val="16"/>
        </w:rPr>
        <w:t>Uruguay</w:t>
      </w:r>
      <w:r w:rsidRPr="00DD43DC">
        <w:rPr>
          <w:rFonts w:cs="Arial"/>
          <w:sz w:val="16"/>
          <w:szCs w:val="16"/>
          <w:vertAlign w:val="superscript"/>
        </w:rPr>
        <w:t>2</w:t>
      </w:r>
    </w:p>
    <w:p w:rsidR="00604822" w:rsidRPr="00DD43DC" w:rsidRDefault="00604822" w:rsidP="00604822">
      <w:pPr>
        <w:spacing w:before="40"/>
        <w:jc w:val="left"/>
        <w:rPr>
          <w:rFonts w:cs="Arial"/>
          <w:sz w:val="16"/>
          <w:szCs w:val="16"/>
        </w:rPr>
      </w:pPr>
      <w:r w:rsidRPr="00DD43DC">
        <w:rPr>
          <w:rFonts w:cs="Arial"/>
          <w:sz w:val="16"/>
          <w:szCs w:val="16"/>
        </w:rPr>
        <w:t>Uzbekistan</w:t>
      </w:r>
      <w:r w:rsidRPr="00DD43DC">
        <w:rPr>
          <w:rFonts w:cs="Arial"/>
          <w:sz w:val="16"/>
          <w:szCs w:val="16"/>
          <w:vertAlign w:val="superscript"/>
        </w:rPr>
        <w:t>3</w:t>
      </w:r>
    </w:p>
    <w:p w:rsidR="00604822" w:rsidRDefault="00604822" w:rsidP="00604822">
      <w:pPr>
        <w:spacing w:before="40"/>
        <w:jc w:val="left"/>
        <w:rPr>
          <w:rFonts w:cs="Arial"/>
          <w:sz w:val="16"/>
          <w:szCs w:val="16"/>
          <w:vertAlign w:val="superscript"/>
        </w:rPr>
      </w:pPr>
      <w:r w:rsidRPr="00DD43DC">
        <w:rPr>
          <w:rFonts w:cs="Arial"/>
          <w:sz w:val="16"/>
          <w:szCs w:val="16"/>
        </w:rPr>
        <w:t>Viet Nam</w:t>
      </w:r>
      <w:r w:rsidRPr="00DD43DC">
        <w:rPr>
          <w:rFonts w:cs="Arial"/>
          <w:sz w:val="16"/>
          <w:szCs w:val="16"/>
          <w:vertAlign w:val="superscript"/>
        </w:rPr>
        <w:t>3</w:t>
      </w:r>
    </w:p>
    <w:p w:rsidR="00604822" w:rsidRDefault="00604822" w:rsidP="00604822">
      <w:pPr>
        <w:spacing w:before="40"/>
        <w:jc w:val="left"/>
        <w:rPr>
          <w:rFonts w:cs="Arial"/>
          <w:sz w:val="16"/>
          <w:szCs w:val="16"/>
          <w:vertAlign w:val="superscript"/>
        </w:rPr>
      </w:pPr>
    </w:p>
    <w:p w:rsidR="00604822" w:rsidRDefault="00604822" w:rsidP="00604822">
      <w:pPr>
        <w:spacing w:before="40"/>
        <w:jc w:val="left"/>
        <w:rPr>
          <w:rFonts w:cs="Arial"/>
          <w:sz w:val="16"/>
          <w:szCs w:val="16"/>
          <w:vertAlign w:val="superscript"/>
        </w:rPr>
      </w:pPr>
    </w:p>
    <w:p w:rsidR="00604822" w:rsidRDefault="00604822" w:rsidP="00604822">
      <w:pPr>
        <w:spacing w:before="40"/>
        <w:jc w:val="right"/>
        <w:rPr>
          <w:rFonts w:cs="Arial"/>
          <w:sz w:val="16"/>
          <w:szCs w:val="16"/>
        </w:rPr>
      </w:pPr>
      <w:r>
        <w:rPr>
          <w:rFonts w:cs="Arial"/>
          <w:sz w:val="16"/>
          <w:szCs w:val="16"/>
        </w:rPr>
        <w:t>(Total 74</w:t>
      </w:r>
      <w:r w:rsidRPr="00DD43DC">
        <w:rPr>
          <w:rFonts w:cs="Arial"/>
          <w:sz w:val="16"/>
          <w:szCs w:val="16"/>
        </w:rPr>
        <w:t>)</w:t>
      </w:r>
    </w:p>
    <w:p w:rsidR="00604822" w:rsidRDefault="00604822" w:rsidP="00604822">
      <w:pPr>
        <w:spacing w:before="40"/>
        <w:rPr>
          <w:rFonts w:cs="Arial"/>
          <w:sz w:val="16"/>
          <w:szCs w:val="16"/>
          <w:vertAlign w:val="superscript"/>
        </w:rPr>
      </w:pPr>
    </w:p>
    <w:p w:rsidR="00604822" w:rsidRDefault="00604822" w:rsidP="00604822">
      <w:pPr>
        <w:tabs>
          <w:tab w:val="left" w:pos="1560"/>
        </w:tabs>
        <w:spacing w:after="60"/>
        <w:rPr>
          <w:sz w:val="16"/>
          <w:u w:val="single"/>
        </w:rPr>
        <w:sectPr w:rsidR="00604822" w:rsidSect="00962988">
          <w:type w:val="continuous"/>
          <w:pgSz w:w="11907" w:h="16840" w:code="9"/>
          <w:pgMar w:top="510" w:right="992" w:bottom="1134" w:left="1134" w:header="510" w:footer="624" w:gutter="0"/>
          <w:pgNumType w:start="2"/>
          <w:cols w:num="5" w:space="170" w:equalWidth="0">
            <w:col w:w="1843" w:space="284"/>
            <w:col w:w="1649" w:space="335"/>
            <w:col w:w="1418" w:space="283"/>
            <w:col w:w="1921" w:space="227"/>
            <w:col w:w="1821"/>
          </w:cols>
          <w:titlePg/>
        </w:sectPr>
      </w:pPr>
    </w:p>
    <w:p w:rsidR="00604822" w:rsidRPr="00DD43DC" w:rsidRDefault="00604822" w:rsidP="00604822">
      <w:pPr>
        <w:tabs>
          <w:tab w:val="left" w:pos="1560"/>
        </w:tabs>
        <w:spacing w:after="60"/>
        <w:ind w:left="284"/>
        <w:rPr>
          <w:sz w:val="16"/>
          <w:u w:val="single"/>
        </w:rPr>
      </w:pPr>
      <w:r w:rsidRPr="00DD43DC">
        <w:rPr>
          <w:sz w:val="16"/>
          <w:u w:val="single"/>
        </w:rPr>
        <w:tab/>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1</w:t>
      </w:r>
      <w:r w:rsidRPr="00DD43DC">
        <w:rPr>
          <w:rFonts w:cs="Arial"/>
          <w:sz w:val="14"/>
          <w:szCs w:val="16"/>
        </w:rPr>
        <w:tab/>
        <w:t>1961 Convention as amended by the Additional Act of 1972 is the latest Act by which 1 State is bound.</w:t>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2</w:t>
      </w:r>
      <w:r w:rsidRPr="00DD43DC">
        <w:rPr>
          <w:rFonts w:cs="Arial"/>
          <w:sz w:val="14"/>
          <w:szCs w:val="16"/>
        </w:rPr>
        <w:tab/>
        <w:t>1978 Act is the latest Act by which 1</w:t>
      </w:r>
      <w:r>
        <w:rPr>
          <w:rFonts w:cs="Arial"/>
          <w:sz w:val="14"/>
          <w:szCs w:val="16"/>
        </w:rPr>
        <w:t>7</w:t>
      </w:r>
      <w:r w:rsidRPr="00DD43DC">
        <w:rPr>
          <w:rFonts w:cs="Arial"/>
          <w:sz w:val="14"/>
          <w:szCs w:val="16"/>
        </w:rPr>
        <w:t xml:space="preserve"> States are bound.</w:t>
      </w:r>
    </w:p>
    <w:p w:rsidR="00604822" w:rsidRPr="00DD43DC" w:rsidRDefault="00604822" w:rsidP="00604822">
      <w:pPr>
        <w:tabs>
          <w:tab w:val="left" w:pos="284"/>
        </w:tabs>
        <w:spacing w:after="60"/>
        <w:ind w:left="284"/>
        <w:rPr>
          <w:rFonts w:cs="Arial"/>
          <w:sz w:val="14"/>
          <w:szCs w:val="16"/>
        </w:rPr>
      </w:pPr>
      <w:r w:rsidRPr="00DD43DC">
        <w:rPr>
          <w:rFonts w:cs="Arial"/>
          <w:sz w:val="14"/>
          <w:szCs w:val="16"/>
          <w:vertAlign w:val="superscript"/>
        </w:rPr>
        <w:t>3</w:t>
      </w:r>
      <w:r w:rsidRPr="00DD43DC">
        <w:rPr>
          <w:rFonts w:cs="Arial"/>
          <w:sz w:val="14"/>
          <w:szCs w:val="16"/>
        </w:rPr>
        <w:tab/>
        <w:t>1991 Act is the latest Act by which 5</w:t>
      </w:r>
      <w:r>
        <w:rPr>
          <w:rFonts w:cs="Arial"/>
          <w:sz w:val="14"/>
          <w:szCs w:val="16"/>
        </w:rPr>
        <w:t>4</w:t>
      </w:r>
      <w:r w:rsidRPr="00DD43DC">
        <w:rPr>
          <w:rFonts w:cs="Arial"/>
          <w:sz w:val="14"/>
          <w:szCs w:val="16"/>
        </w:rPr>
        <w:t xml:space="preserve"> States and 2 organizations are bound.</w:t>
      </w:r>
    </w:p>
    <w:p w:rsidR="00604822" w:rsidRPr="00DD43DC" w:rsidRDefault="00604822" w:rsidP="00604822">
      <w:pPr>
        <w:tabs>
          <w:tab w:val="left" w:pos="284"/>
        </w:tabs>
        <w:ind w:left="284"/>
        <w:rPr>
          <w:rFonts w:cs="Arial"/>
          <w:sz w:val="14"/>
          <w:szCs w:val="16"/>
        </w:rPr>
      </w:pPr>
      <w:r w:rsidRPr="00DD43DC">
        <w:rPr>
          <w:rFonts w:cs="Arial"/>
          <w:sz w:val="14"/>
          <w:szCs w:val="16"/>
          <w:vertAlign w:val="superscript"/>
        </w:rPr>
        <w:t>4</w:t>
      </w:r>
      <w:r w:rsidRPr="00DD43DC">
        <w:rPr>
          <w:rFonts w:cs="Arial"/>
          <w:sz w:val="14"/>
          <w:szCs w:val="16"/>
        </w:rPr>
        <w:tab/>
        <w:t>Operates a plant breeders’ rights system which covers the territory of its 28 member States.</w:t>
      </w:r>
    </w:p>
    <w:p w:rsidR="00604822" w:rsidRPr="00DD43DC" w:rsidRDefault="00604822" w:rsidP="00604822">
      <w:pPr>
        <w:tabs>
          <w:tab w:val="left" w:pos="284"/>
        </w:tabs>
        <w:spacing w:after="60"/>
        <w:ind w:left="567"/>
        <w:rPr>
          <w:rFonts w:cs="Arial"/>
          <w:sz w:val="14"/>
          <w:szCs w:val="14"/>
        </w:rPr>
      </w:pPr>
      <w:r w:rsidRPr="00DD43DC">
        <w:rPr>
          <w:rFonts w:cs="Arial"/>
          <w:i/>
          <w:sz w:val="14"/>
          <w:szCs w:val="14"/>
        </w:rPr>
        <w:t>(member States of the European Union:  Austria, Belgium, Bulgaria, Croatia, Cyprus, Czech Republic, Denmark, Estonia, Finland, France, Germany, Greece, Hungary, Ireland, Italy, Latvia, Lithuania, Luxembourg, Malta, Netherlands, Poland, Portugal, Romania, Slovakia, Slovenia, Spain, Sweden, United Kingdom)</w:t>
      </w:r>
    </w:p>
    <w:p w:rsidR="00604822" w:rsidRPr="00DD43DC" w:rsidRDefault="00604822" w:rsidP="00604822">
      <w:pPr>
        <w:tabs>
          <w:tab w:val="left" w:pos="284"/>
        </w:tabs>
        <w:ind w:left="284"/>
        <w:rPr>
          <w:rFonts w:cs="Arial"/>
          <w:sz w:val="14"/>
          <w:szCs w:val="16"/>
        </w:rPr>
      </w:pPr>
      <w:r w:rsidRPr="00DD43DC">
        <w:rPr>
          <w:rFonts w:cs="Arial"/>
          <w:sz w:val="14"/>
          <w:szCs w:val="16"/>
          <w:vertAlign w:val="superscript"/>
        </w:rPr>
        <w:t>5</w:t>
      </w:r>
      <w:r w:rsidRPr="00DD43DC">
        <w:rPr>
          <w:rFonts w:cs="Arial"/>
          <w:sz w:val="14"/>
          <w:szCs w:val="16"/>
        </w:rPr>
        <w:tab/>
        <w:t>Operates a plant breeders’ rights system which covers the territory of its 17 member States.</w:t>
      </w:r>
    </w:p>
    <w:p w:rsidR="00604822" w:rsidRDefault="00604822" w:rsidP="00604822">
      <w:pPr>
        <w:spacing w:after="60"/>
        <w:ind w:left="567"/>
        <w:rPr>
          <w:rFonts w:cs="Arial"/>
          <w:i/>
          <w:sz w:val="14"/>
          <w:szCs w:val="14"/>
        </w:rPr>
      </w:pPr>
      <w:r w:rsidRPr="00DD43DC">
        <w:rPr>
          <w:rFonts w:cs="Arial"/>
          <w:i/>
          <w:sz w:val="14"/>
          <w:szCs w:val="14"/>
        </w:rPr>
        <w:t>(</w:t>
      </w:r>
      <w:proofErr w:type="gramStart"/>
      <w:r w:rsidRPr="00DD43DC">
        <w:rPr>
          <w:rFonts w:cs="Arial"/>
          <w:i/>
          <w:sz w:val="14"/>
          <w:szCs w:val="14"/>
        </w:rPr>
        <w:t>member</w:t>
      </w:r>
      <w:proofErr w:type="gramEnd"/>
      <w:r w:rsidRPr="00DD43DC">
        <w:rPr>
          <w:rFonts w:cs="Arial"/>
          <w:i/>
          <w:sz w:val="14"/>
          <w:szCs w:val="14"/>
        </w:rPr>
        <w:t xml:space="preserve"> States of OAPI:  Benin, Burkina Faso, Cameroon, Central African Republic, Chad, Comoros, Congo, Côte d’Ivoire, Equatorial Guinea, Gabon, Guinea, Guinea</w:t>
      </w:r>
      <w:r w:rsidRPr="00DD43DC">
        <w:rPr>
          <w:rFonts w:cs="Arial"/>
          <w:i/>
          <w:sz w:val="14"/>
          <w:szCs w:val="14"/>
        </w:rPr>
        <w:noBreakHyphen/>
        <w:t>Bissau, Mali, Mauritania, Niger, Senegal, Togo)</w:t>
      </w:r>
    </w:p>
    <w:p w:rsidR="00604822" w:rsidRDefault="00604822" w:rsidP="00604822">
      <w:pPr>
        <w:tabs>
          <w:tab w:val="left" w:pos="1560"/>
        </w:tabs>
        <w:spacing w:after="60"/>
        <w:rPr>
          <w:sz w:val="16"/>
          <w:u w:val="single"/>
        </w:rPr>
      </w:pPr>
    </w:p>
    <w:p w:rsidR="00604822" w:rsidRPr="00DD43DC" w:rsidRDefault="00604822" w:rsidP="00604822">
      <w:pPr>
        <w:keepNext/>
        <w:jc w:val="center"/>
        <w:rPr>
          <w:rFonts w:cs="Arial"/>
          <w:b/>
          <w:sz w:val="18"/>
          <w:szCs w:val="24"/>
        </w:rPr>
      </w:pPr>
      <w:r w:rsidRPr="00DD43DC">
        <w:rPr>
          <w:rFonts w:cs="Arial"/>
          <w:b/>
          <w:sz w:val="18"/>
          <w:szCs w:val="24"/>
        </w:rPr>
        <w:t>II</w:t>
      </w:r>
      <w:proofErr w:type="gramStart"/>
      <w:r w:rsidRPr="00DD43DC">
        <w:rPr>
          <w:rFonts w:cs="Arial"/>
          <w:b/>
          <w:sz w:val="18"/>
          <w:szCs w:val="24"/>
        </w:rPr>
        <w:t>.  States</w:t>
      </w:r>
      <w:proofErr w:type="gramEnd"/>
      <w:r w:rsidRPr="00DD43DC">
        <w:rPr>
          <w:rFonts w:cs="Arial"/>
          <w:b/>
          <w:sz w:val="18"/>
          <w:szCs w:val="24"/>
        </w:rPr>
        <w:t xml:space="preserve"> and intergovernmental organizations which have initiated the procedure for acceding </w:t>
      </w:r>
      <w:r w:rsidRPr="00DD43DC">
        <w:rPr>
          <w:rFonts w:cs="Arial"/>
          <w:b/>
          <w:sz w:val="18"/>
          <w:szCs w:val="24"/>
        </w:rPr>
        <w:br/>
        <w:t>to the UPOV Convention</w:t>
      </w:r>
    </w:p>
    <w:p w:rsidR="00604822" w:rsidRPr="00DD43DC" w:rsidRDefault="00604822" w:rsidP="00604822">
      <w:pPr>
        <w:rPr>
          <w:sz w:val="16"/>
          <w:szCs w:val="16"/>
        </w:rPr>
      </w:pPr>
    </w:p>
    <w:p w:rsidR="00604822" w:rsidRPr="00DD43DC" w:rsidRDefault="00604822" w:rsidP="00604822">
      <w:pPr>
        <w:keepNext/>
        <w:rPr>
          <w:rFonts w:cs="Arial"/>
          <w:i/>
          <w:sz w:val="16"/>
          <w:szCs w:val="16"/>
        </w:rPr>
      </w:pPr>
      <w:r w:rsidRPr="00DD43DC">
        <w:rPr>
          <w:rFonts w:cs="Arial"/>
          <w:i/>
          <w:sz w:val="16"/>
          <w:szCs w:val="16"/>
        </w:rPr>
        <w:t>States (1</w:t>
      </w:r>
      <w:r>
        <w:rPr>
          <w:rFonts w:cs="Arial"/>
          <w:i/>
          <w:sz w:val="16"/>
          <w:szCs w:val="16"/>
        </w:rPr>
        <w:t>5</w:t>
      </w:r>
      <w:r w:rsidRPr="00DD43DC">
        <w:rPr>
          <w:rFonts w:cs="Arial"/>
          <w:i/>
          <w:sz w:val="16"/>
          <w:szCs w:val="16"/>
        </w:rPr>
        <w:t>):</w:t>
      </w:r>
    </w:p>
    <w:p w:rsidR="00604822" w:rsidRPr="00DD43DC" w:rsidRDefault="00604822" w:rsidP="00604822">
      <w:pPr>
        <w:keepNext/>
        <w:rPr>
          <w:rFonts w:cs="Arial"/>
          <w:sz w:val="16"/>
          <w:szCs w:val="16"/>
        </w:rPr>
      </w:pPr>
    </w:p>
    <w:p w:rsidR="00604822" w:rsidRPr="00DD43DC" w:rsidRDefault="00604822" w:rsidP="00604822">
      <w:pPr>
        <w:rPr>
          <w:rFonts w:cs="Arial"/>
          <w:spacing w:val="-2"/>
          <w:sz w:val="16"/>
          <w:szCs w:val="16"/>
        </w:rPr>
      </w:pPr>
      <w:r w:rsidRPr="00DD43DC">
        <w:rPr>
          <w:rFonts w:cs="Arial"/>
          <w:spacing w:val="-2"/>
          <w:sz w:val="16"/>
          <w:szCs w:val="16"/>
        </w:rPr>
        <w:t xml:space="preserve">Armenia, </w:t>
      </w:r>
      <w:r w:rsidRPr="00DD43DC">
        <w:rPr>
          <w:rFonts w:cs="Arial"/>
          <w:sz w:val="16"/>
          <w:szCs w:val="16"/>
        </w:rPr>
        <w:t xml:space="preserve">Bosnia and Herzegovina, </w:t>
      </w:r>
      <w:r w:rsidRPr="00DD43DC">
        <w:rPr>
          <w:rFonts w:cs="Arial"/>
          <w:spacing w:val="-2"/>
          <w:sz w:val="16"/>
          <w:szCs w:val="16"/>
        </w:rPr>
        <w:t xml:space="preserve">Egypt, Ghana, Guatemala, Honduras, India, </w:t>
      </w:r>
      <w:r w:rsidRPr="00DD43DC">
        <w:rPr>
          <w:rFonts w:cs="Arial"/>
          <w:sz w:val="16"/>
          <w:szCs w:val="24"/>
        </w:rPr>
        <w:t xml:space="preserve">Iran (Islamic Republic of), </w:t>
      </w:r>
      <w:r w:rsidRPr="00DD43DC">
        <w:rPr>
          <w:rFonts w:cs="Arial"/>
          <w:spacing w:val="-2"/>
          <w:sz w:val="16"/>
          <w:szCs w:val="16"/>
        </w:rPr>
        <w:t>Kazakhstan, Malaysia, Mauritius, Philippines, Tajikistan, Venezuela (Bolivarian Republic of) and Zimbabwe</w:t>
      </w:r>
    </w:p>
    <w:p w:rsidR="00604822" w:rsidRPr="00DD43DC" w:rsidRDefault="00604822" w:rsidP="00604822">
      <w:pPr>
        <w:rPr>
          <w:rFonts w:cs="Arial"/>
          <w:sz w:val="16"/>
          <w:szCs w:val="16"/>
        </w:rPr>
      </w:pPr>
    </w:p>
    <w:p w:rsidR="00604822" w:rsidRPr="00DD43DC" w:rsidRDefault="00604822" w:rsidP="00604822">
      <w:pPr>
        <w:rPr>
          <w:rFonts w:cs="Arial"/>
          <w:i/>
          <w:spacing w:val="-2"/>
          <w:sz w:val="16"/>
          <w:szCs w:val="16"/>
        </w:rPr>
      </w:pPr>
      <w:r w:rsidRPr="00DD43DC">
        <w:rPr>
          <w:rFonts w:cs="Arial"/>
          <w:i/>
          <w:spacing w:val="-2"/>
          <w:sz w:val="16"/>
          <w:szCs w:val="16"/>
        </w:rPr>
        <w:t>Organization (1):</w:t>
      </w:r>
    </w:p>
    <w:p w:rsidR="00604822" w:rsidRPr="00DD43DC" w:rsidRDefault="00604822" w:rsidP="00604822">
      <w:pPr>
        <w:rPr>
          <w:rFonts w:cs="Arial"/>
          <w:spacing w:val="-2"/>
          <w:sz w:val="16"/>
          <w:szCs w:val="16"/>
        </w:rPr>
      </w:pPr>
    </w:p>
    <w:p w:rsidR="00604822" w:rsidRPr="00DD43DC" w:rsidRDefault="00604822" w:rsidP="00604822">
      <w:pPr>
        <w:rPr>
          <w:rFonts w:cs="Arial"/>
          <w:sz w:val="16"/>
          <w:szCs w:val="24"/>
        </w:rPr>
      </w:pPr>
      <w:r w:rsidRPr="00DD43DC">
        <w:rPr>
          <w:rFonts w:cs="Arial"/>
          <w:sz w:val="16"/>
          <w:szCs w:val="24"/>
        </w:rPr>
        <w:t xml:space="preserve">African Regional Intellectual Property Organization (ARIPO) </w:t>
      </w:r>
    </w:p>
    <w:p w:rsidR="00604822" w:rsidRPr="00DD43DC" w:rsidRDefault="00604822" w:rsidP="00604822">
      <w:pPr>
        <w:rPr>
          <w:rFonts w:cs="Arial"/>
          <w:sz w:val="16"/>
          <w:szCs w:val="16"/>
        </w:rPr>
      </w:pPr>
      <w:r w:rsidRPr="00DD43DC">
        <w:rPr>
          <w:rFonts w:cs="Arial"/>
          <w:i/>
          <w:sz w:val="16"/>
          <w:szCs w:val="24"/>
        </w:rPr>
        <w:t>(member States of ARIPO (19):  Botswana, Gambia, Ghana, Kenya, Lesotho, Liberia, Malawi, Mozambique, Namibia, Rwanda, Sao Tome and Principe, Sierra Leone, Somalia, Sudan, Swaziland,  Uganda, United Republic of Tanzania, Zambia, Zimbabwe)</w:t>
      </w:r>
    </w:p>
    <w:p w:rsidR="00604822" w:rsidRPr="00DD43DC" w:rsidRDefault="00604822" w:rsidP="00604822">
      <w:pPr>
        <w:rPr>
          <w:rFonts w:cs="Arial"/>
          <w:sz w:val="16"/>
          <w:szCs w:val="16"/>
        </w:rPr>
      </w:pPr>
    </w:p>
    <w:p w:rsidR="00604822" w:rsidRDefault="00604822" w:rsidP="00604822">
      <w:pPr>
        <w:tabs>
          <w:tab w:val="left" w:pos="1560"/>
        </w:tabs>
        <w:spacing w:after="60"/>
        <w:rPr>
          <w:sz w:val="16"/>
          <w:u w:val="single"/>
        </w:rPr>
      </w:pPr>
    </w:p>
    <w:p w:rsidR="00604822" w:rsidRPr="00DD43DC" w:rsidRDefault="00604822" w:rsidP="00604822">
      <w:pPr>
        <w:jc w:val="center"/>
        <w:rPr>
          <w:rFonts w:cs="Arial"/>
          <w:b/>
          <w:sz w:val="18"/>
          <w:szCs w:val="24"/>
        </w:rPr>
      </w:pPr>
      <w:r w:rsidRPr="00DD43DC">
        <w:rPr>
          <w:rFonts w:cs="Arial"/>
          <w:b/>
          <w:sz w:val="18"/>
          <w:szCs w:val="24"/>
        </w:rPr>
        <w:t>III</w:t>
      </w:r>
      <w:proofErr w:type="gramStart"/>
      <w:r w:rsidRPr="00DD43DC">
        <w:rPr>
          <w:rFonts w:cs="Arial"/>
          <w:b/>
          <w:sz w:val="18"/>
          <w:szCs w:val="24"/>
        </w:rPr>
        <w:t>.  States</w:t>
      </w:r>
      <w:proofErr w:type="gramEnd"/>
      <w:r w:rsidRPr="00DD43DC">
        <w:rPr>
          <w:rFonts w:cs="Arial"/>
          <w:b/>
          <w:sz w:val="18"/>
          <w:szCs w:val="24"/>
        </w:rPr>
        <w:t xml:space="preserve"> and intergovernmental organizations which have been in contact with the Office of the </w:t>
      </w:r>
      <w:smartTag w:uri="urn:schemas-microsoft-com:office:smarttags" w:element="place">
        <w:r w:rsidRPr="00DD43DC">
          <w:rPr>
            <w:rFonts w:cs="Arial"/>
            <w:b/>
            <w:sz w:val="18"/>
            <w:szCs w:val="24"/>
          </w:rPr>
          <w:t>Union</w:t>
        </w:r>
      </w:smartTag>
      <w:r w:rsidRPr="00DD43DC">
        <w:rPr>
          <w:rFonts w:cs="Arial"/>
          <w:b/>
          <w:sz w:val="18"/>
          <w:szCs w:val="24"/>
        </w:rPr>
        <w:t xml:space="preserve"> </w:t>
      </w:r>
      <w:r w:rsidRPr="00DD43DC">
        <w:rPr>
          <w:rFonts w:cs="Arial"/>
          <w:b/>
          <w:sz w:val="18"/>
          <w:szCs w:val="24"/>
        </w:rPr>
        <w:br/>
        <w:t>for assistance in the development of laws based on the UPOV Convention</w:t>
      </w:r>
    </w:p>
    <w:p w:rsidR="00604822" w:rsidRPr="00DD43DC" w:rsidRDefault="00604822" w:rsidP="00604822">
      <w:pPr>
        <w:jc w:val="center"/>
        <w:rPr>
          <w:rFonts w:cs="Arial"/>
          <w:b/>
          <w:sz w:val="18"/>
          <w:szCs w:val="24"/>
        </w:rPr>
      </w:pPr>
    </w:p>
    <w:p w:rsidR="00604822" w:rsidRPr="00DD43DC" w:rsidRDefault="00604822" w:rsidP="00604822">
      <w:pPr>
        <w:keepNext/>
        <w:rPr>
          <w:rFonts w:cs="Arial"/>
          <w:i/>
          <w:sz w:val="16"/>
          <w:szCs w:val="24"/>
        </w:rPr>
      </w:pPr>
      <w:r w:rsidRPr="00DD43DC">
        <w:rPr>
          <w:rFonts w:cs="Arial"/>
          <w:i/>
          <w:sz w:val="16"/>
          <w:szCs w:val="24"/>
        </w:rPr>
        <w:t>States (2</w:t>
      </w:r>
      <w:r>
        <w:rPr>
          <w:rFonts w:cs="Arial"/>
          <w:i/>
          <w:sz w:val="16"/>
          <w:szCs w:val="24"/>
        </w:rPr>
        <w:t>5</w:t>
      </w:r>
      <w:r w:rsidRPr="00DD43DC">
        <w:rPr>
          <w:rFonts w:cs="Arial"/>
          <w:i/>
          <w:sz w:val="16"/>
          <w:szCs w:val="24"/>
        </w:rPr>
        <w:t>):</w:t>
      </w:r>
    </w:p>
    <w:p w:rsidR="00604822" w:rsidRPr="00DD43DC" w:rsidRDefault="00604822" w:rsidP="00604822">
      <w:pPr>
        <w:keepNext/>
        <w:rPr>
          <w:rFonts w:cs="Arial"/>
          <w:sz w:val="10"/>
          <w:szCs w:val="24"/>
        </w:rPr>
      </w:pPr>
    </w:p>
    <w:p w:rsidR="00604822" w:rsidRPr="00DD43DC" w:rsidRDefault="00604822" w:rsidP="00604822">
      <w:pPr>
        <w:suppressAutoHyphens/>
        <w:rPr>
          <w:rFonts w:cs="Arial"/>
          <w:sz w:val="16"/>
          <w:szCs w:val="24"/>
        </w:rPr>
      </w:pPr>
      <w:r w:rsidRPr="00DD43DC">
        <w:rPr>
          <w:rFonts w:cs="Arial"/>
          <w:sz w:val="16"/>
          <w:szCs w:val="24"/>
        </w:rPr>
        <w:t xml:space="preserve">Algeria, Bahrain, Barbados, Brunei Darussalam, Cambodia, Cuba, Cyprus, El Salvador, Indonesia, Iraq, </w:t>
      </w:r>
      <w:r>
        <w:rPr>
          <w:rFonts w:cs="Arial"/>
          <w:sz w:val="16"/>
          <w:szCs w:val="24"/>
        </w:rPr>
        <w:t xml:space="preserve">Jamaica, </w:t>
      </w:r>
      <w:r w:rsidRPr="00DD43DC">
        <w:rPr>
          <w:rFonts w:cs="Arial"/>
          <w:sz w:val="16"/>
          <w:szCs w:val="24"/>
        </w:rPr>
        <w:t xml:space="preserve">Lao People’s Democratic Republic, Libya, </w:t>
      </w:r>
      <w:r>
        <w:rPr>
          <w:rFonts w:cs="Arial"/>
          <w:sz w:val="16"/>
          <w:szCs w:val="24"/>
        </w:rPr>
        <w:t xml:space="preserve">Liechtenstein, </w:t>
      </w:r>
      <w:r w:rsidRPr="00DD43DC">
        <w:rPr>
          <w:rFonts w:cs="Arial"/>
          <w:sz w:val="16"/>
          <w:szCs w:val="24"/>
        </w:rPr>
        <w:t>Mozambique, Myanmar, Namibia, Pakistan, Saudi Arabia, Sudan, Thailand, Tonga, Turkmenistan, United Arab Emirates and Zambia</w:t>
      </w:r>
    </w:p>
    <w:p w:rsidR="00604822" w:rsidRPr="00DD43DC" w:rsidRDefault="00604822" w:rsidP="00604822">
      <w:pPr>
        <w:rPr>
          <w:rFonts w:cs="Arial"/>
          <w:sz w:val="16"/>
          <w:szCs w:val="24"/>
        </w:rPr>
      </w:pPr>
    </w:p>
    <w:p w:rsidR="00604822" w:rsidRPr="00DD43DC" w:rsidRDefault="00604822" w:rsidP="00604822">
      <w:pPr>
        <w:keepNext/>
        <w:rPr>
          <w:rFonts w:cs="Arial"/>
          <w:i/>
          <w:sz w:val="16"/>
          <w:szCs w:val="24"/>
        </w:rPr>
      </w:pPr>
      <w:r w:rsidRPr="00DD43DC">
        <w:rPr>
          <w:rFonts w:cs="Arial"/>
          <w:i/>
          <w:sz w:val="16"/>
          <w:szCs w:val="24"/>
        </w:rPr>
        <w:t>Organization (1):</w:t>
      </w:r>
    </w:p>
    <w:p w:rsidR="00604822" w:rsidRPr="00DD43DC" w:rsidRDefault="00604822" w:rsidP="00604822">
      <w:pPr>
        <w:keepNext/>
        <w:rPr>
          <w:rFonts w:cs="Arial"/>
          <w:sz w:val="10"/>
          <w:szCs w:val="24"/>
        </w:rPr>
      </w:pPr>
    </w:p>
    <w:p w:rsidR="00604822" w:rsidRPr="00DD43DC" w:rsidRDefault="00604822" w:rsidP="00604822">
      <w:pPr>
        <w:rPr>
          <w:rFonts w:cs="Arial"/>
          <w:sz w:val="16"/>
          <w:szCs w:val="24"/>
        </w:rPr>
      </w:pPr>
      <w:r w:rsidRPr="00DD43DC">
        <w:rPr>
          <w:rFonts w:cs="Arial"/>
          <w:sz w:val="16"/>
          <w:szCs w:val="24"/>
        </w:rPr>
        <w:t xml:space="preserve">Southern African Development Community (SADC) </w:t>
      </w:r>
    </w:p>
    <w:p w:rsidR="00604822" w:rsidRDefault="00604822" w:rsidP="00604822">
      <w:pPr>
        <w:rPr>
          <w:rFonts w:cs="Arial"/>
          <w:i/>
          <w:sz w:val="16"/>
          <w:szCs w:val="24"/>
          <w:lang w:val="en"/>
        </w:rPr>
      </w:pPr>
      <w:r w:rsidRPr="00DD43DC">
        <w:rPr>
          <w:rFonts w:cs="Arial"/>
          <w:i/>
          <w:sz w:val="16"/>
          <w:szCs w:val="24"/>
        </w:rPr>
        <w:t>(</w:t>
      </w:r>
      <w:proofErr w:type="gramStart"/>
      <w:r w:rsidRPr="00DD43DC">
        <w:rPr>
          <w:rFonts w:cs="Arial"/>
          <w:i/>
          <w:sz w:val="16"/>
          <w:szCs w:val="24"/>
        </w:rPr>
        <w:t>member</w:t>
      </w:r>
      <w:proofErr w:type="gramEnd"/>
      <w:r w:rsidRPr="00DD43DC">
        <w:rPr>
          <w:rFonts w:cs="Arial"/>
          <w:i/>
          <w:sz w:val="16"/>
          <w:szCs w:val="24"/>
        </w:rPr>
        <w:t xml:space="preserve"> States of SADC (15):  </w:t>
      </w:r>
      <w:r w:rsidRPr="00DD43DC">
        <w:rPr>
          <w:rFonts w:cs="Arial"/>
          <w:i/>
          <w:sz w:val="16"/>
          <w:szCs w:val="24"/>
          <w:lang w:val="en"/>
        </w:rPr>
        <w:t xml:space="preserve">Angola, Botswana, Democratic Republic of the Congo, Lesotho, Madagascar, Malawi, </w:t>
      </w:r>
      <w:r w:rsidRPr="00DD43DC">
        <w:rPr>
          <w:rFonts w:cs="Arial"/>
          <w:i/>
          <w:sz w:val="16"/>
          <w:szCs w:val="24"/>
        </w:rPr>
        <w:t xml:space="preserve">Mauritius, Mozambique, Namibia, Seychelles, South Africa, </w:t>
      </w:r>
      <w:r w:rsidRPr="00DD43DC">
        <w:rPr>
          <w:rFonts w:cs="Arial"/>
          <w:i/>
          <w:sz w:val="16"/>
          <w:szCs w:val="24"/>
          <w:lang w:val="en"/>
        </w:rPr>
        <w:t>Swaziland, United Republic of Tanzania, Zambia, Zimbabwe)</w:t>
      </w:r>
    </w:p>
    <w:p w:rsidR="00604822" w:rsidRDefault="00604822" w:rsidP="00604822">
      <w:pPr>
        <w:rPr>
          <w:rFonts w:cs="Arial"/>
          <w:i/>
          <w:sz w:val="16"/>
          <w:szCs w:val="24"/>
          <w:lang w:val="en"/>
        </w:rPr>
      </w:pPr>
    </w:p>
    <w:p w:rsidR="00604822" w:rsidRDefault="00604822" w:rsidP="00604822">
      <w:pPr>
        <w:rPr>
          <w:rFonts w:cs="Arial"/>
          <w:snapToGrid w:val="0"/>
          <w:color w:val="000000"/>
        </w:rPr>
      </w:pPr>
    </w:p>
    <w:p w:rsidR="00604822" w:rsidRDefault="00604822" w:rsidP="00604822">
      <w:pPr>
        <w:rPr>
          <w:rFonts w:cs="Arial"/>
          <w:snapToGrid w:val="0"/>
          <w:color w:val="000000"/>
        </w:rPr>
      </w:pPr>
    </w:p>
    <w:p w:rsidR="00604822" w:rsidRDefault="00604822" w:rsidP="00604822">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 follows]</w:t>
      </w:r>
    </w:p>
    <w:p w:rsidR="00604822" w:rsidRDefault="00604822" w:rsidP="00604822">
      <w:pPr>
        <w:pStyle w:val="Endofdocument"/>
        <w:jc w:val="both"/>
        <w:rPr>
          <w:rFonts w:ascii="Arial" w:hAnsi="Arial" w:cs="Arial"/>
          <w:snapToGrid w:val="0"/>
          <w:color w:val="000000"/>
          <w:sz w:val="20"/>
        </w:rPr>
        <w:sectPr w:rsidR="00604822" w:rsidSect="00962988">
          <w:type w:val="continuous"/>
          <w:pgSz w:w="11907" w:h="16840" w:code="9"/>
          <w:pgMar w:top="510" w:right="1134" w:bottom="1134" w:left="1134" w:header="510" w:footer="624" w:gutter="0"/>
          <w:pgNumType w:start="2"/>
          <w:cols w:space="720"/>
          <w:titlePg/>
        </w:sectPr>
      </w:pPr>
    </w:p>
    <w:p w:rsidR="00604822" w:rsidRPr="00EF683F" w:rsidRDefault="00604822" w:rsidP="00604822">
      <w:pPr>
        <w:jc w:val="center"/>
      </w:pPr>
      <w:r>
        <w:t>ANNEX</w:t>
      </w:r>
      <w:r w:rsidRPr="00EF683F">
        <w:t xml:space="preserve"> – APPENDIX II </w:t>
      </w:r>
    </w:p>
    <w:p w:rsidR="00604822" w:rsidRPr="00EF683F" w:rsidRDefault="00604822" w:rsidP="00604822">
      <w:pPr>
        <w:pStyle w:val="Endofdocument"/>
        <w:jc w:val="both"/>
        <w:rPr>
          <w:rFonts w:ascii="Arial" w:hAnsi="Arial" w:cs="Arial"/>
          <w:snapToGrid w:val="0"/>
          <w:color w:val="000000"/>
          <w:sz w:val="20"/>
        </w:rPr>
      </w:pPr>
    </w:p>
    <w:p w:rsidR="00604822" w:rsidRPr="00EA1426" w:rsidRDefault="00604822" w:rsidP="00604822">
      <w:pPr>
        <w:jc w:val="center"/>
      </w:pPr>
      <w:r w:rsidRPr="00EA1426">
        <w:t>BUDGET METHODOLOGY</w:t>
      </w:r>
    </w:p>
    <w:p w:rsidR="00604822" w:rsidRPr="00EA1426" w:rsidRDefault="00604822" w:rsidP="00604822">
      <w:pPr>
        <w:jc w:val="center"/>
      </w:pPr>
    </w:p>
    <w:p w:rsidR="00604822" w:rsidRPr="00EA1426" w:rsidRDefault="00604822" w:rsidP="00604822">
      <w:pPr>
        <w:jc w:val="center"/>
      </w:pPr>
    </w:p>
    <w:p w:rsidR="00604822" w:rsidRPr="00D6575A" w:rsidRDefault="00604822" w:rsidP="00604822">
      <w:pPr>
        <w:tabs>
          <w:tab w:val="left" w:pos="567"/>
        </w:tabs>
      </w:pPr>
      <w:r w:rsidRPr="00D6575A">
        <w:t>1.</w:t>
      </w:r>
      <w:r w:rsidRPr="00D6575A">
        <w:tab/>
        <w:t>The description of the regular budget methodology provides for the codification and clarification of budget practice as well as the role of the different sections within this pr</w:t>
      </w:r>
      <w:r>
        <w:t>oposed program and budget.  The </w:t>
      </w:r>
      <w:r w:rsidRPr="00D6575A">
        <w:t xml:space="preserve">budget formulation process starts with the adopted budget for 2016-2017, and concludes with the proposed budget for the </w:t>
      </w:r>
      <w:r w:rsidRPr="00D6575A">
        <w:rPr>
          <w:snapToGrid w:val="0"/>
          <w:spacing w:val="-2"/>
          <w:szCs w:val="24"/>
        </w:rPr>
        <w:t>2018­2019</w:t>
      </w:r>
      <w:r w:rsidRPr="00D6575A">
        <w:t xml:space="preserve"> Biennium by incorporating the resource v</w:t>
      </w:r>
      <w:r>
        <w:t>ariation between the budget for </w:t>
      </w:r>
      <w:r w:rsidRPr="00D6575A">
        <w:t>2016</w:t>
      </w:r>
      <w:r w:rsidRPr="00D6575A">
        <w:noBreakHyphen/>
        <w:t xml:space="preserve">2017 and the proposed budget for the </w:t>
      </w:r>
      <w:r w:rsidRPr="00D6575A">
        <w:rPr>
          <w:snapToGrid w:val="0"/>
          <w:spacing w:val="-2"/>
          <w:szCs w:val="24"/>
        </w:rPr>
        <w:t>2018­2019</w:t>
      </w:r>
      <w:r w:rsidRPr="00D6575A">
        <w:t xml:space="preserve"> Biennium.  Table 4 summarizes the main indicators discussed in this Appendix II.</w:t>
      </w:r>
    </w:p>
    <w:p w:rsidR="00604822" w:rsidRPr="00D6575A" w:rsidRDefault="00604822" w:rsidP="00604822"/>
    <w:p w:rsidR="00604822" w:rsidRPr="00D6575A" w:rsidRDefault="00604822" w:rsidP="00604822">
      <w:pPr>
        <w:tabs>
          <w:tab w:val="left" w:pos="567"/>
        </w:tabs>
      </w:pPr>
      <w:r w:rsidRPr="00D6575A">
        <w:t>2.</w:t>
      </w:r>
      <w:r w:rsidRPr="00D6575A">
        <w:tab/>
        <w:t>Budget 2016-2017:  The starting point for the budget is presented in document C/4</w:t>
      </w:r>
      <w:r>
        <w:t>9</w:t>
      </w:r>
      <w:r w:rsidRPr="00D6575A">
        <w:t>/4 Rev.</w:t>
      </w:r>
    </w:p>
    <w:p w:rsidR="00604822" w:rsidRPr="00D6575A" w:rsidRDefault="00604822" w:rsidP="00604822"/>
    <w:p w:rsidR="00604822" w:rsidRPr="00D6575A" w:rsidRDefault="00604822" w:rsidP="00604822">
      <w:pPr>
        <w:tabs>
          <w:tab w:val="left" w:pos="567"/>
        </w:tabs>
      </w:pPr>
      <w:r w:rsidRPr="00D6575A">
        <w:t>3.</w:t>
      </w:r>
      <w:r w:rsidRPr="00D6575A">
        <w:tab/>
        <w:t xml:space="preserve">Proposed budget </w:t>
      </w:r>
      <w:r w:rsidRPr="00D6575A">
        <w:rPr>
          <w:snapToGrid w:val="0"/>
          <w:spacing w:val="-2"/>
          <w:szCs w:val="24"/>
        </w:rPr>
        <w:t>2018­2019</w:t>
      </w:r>
      <w:r w:rsidRPr="00D6575A">
        <w:t>:  The proposed budget is the result of adding the resource variation to the 2016-2017 budget and subsequent adjustments of items of expenditure according to UPOV’s priorities.</w:t>
      </w:r>
    </w:p>
    <w:p w:rsidR="00604822" w:rsidRPr="00D6575A" w:rsidRDefault="00604822" w:rsidP="00604822"/>
    <w:p w:rsidR="00604822" w:rsidRPr="00EA1426" w:rsidRDefault="00604822" w:rsidP="00604822">
      <w:pPr>
        <w:tabs>
          <w:tab w:val="left" w:pos="567"/>
        </w:tabs>
      </w:pPr>
      <w:r w:rsidRPr="00D6575A">
        <w:t>4.</w:t>
      </w:r>
      <w:r w:rsidRPr="00D6575A">
        <w:tab/>
        <w:t>A 10-year resource plan is presented in Table 9 of this document in order to provide an integrated financial overview, including budget estimates, resource availability and reserve movements.  This resource plan is seen to help assessing the financial sustainability of the Union over the medium term.</w:t>
      </w:r>
    </w:p>
    <w:p w:rsidR="00604822" w:rsidRPr="00EA1426" w:rsidRDefault="00604822" w:rsidP="00604822"/>
    <w:p w:rsidR="00604822" w:rsidRPr="00EA1426" w:rsidRDefault="00604822" w:rsidP="00604822"/>
    <w:p w:rsidR="00604822" w:rsidRPr="00EA1426" w:rsidRDefault="00604822" w:rsidP="00604822"/>
    <w:p w:rsidR="00604822" w:rsidRPr="00EA1426" w:rsidRDefault="00604822" w:rsidP="00604822">
      <w:pPr>
        <w:pStyle w:val="Endofdocument"/>
        <w:jc w:val="right"/>
        <w:rPr>
          <w:rFonts w:ascii="Arial" w:hAnsi="Arial" w:cs="Arial"/>
          <w:snapToGrid w:val="0"/>
          <w:color w:val="000000"/>
          <w:sz w:val="20"/>
        </w:rPr>
      </w:pPr>
      <w:r w:rsidRPr="00EA1426">
        <w:rPr>
          <w:rFonts w:ascii="Arial" w:hAnsi="Arial" w:cs="Arial"/>
          <w:snapToGrid w:val="0"/>
          <w:color w:val="000000"/>
          <w:sz w:val="20"/>
        </w:rPr>
        <w:t xml:space="preserve">[Appendix </w:t>
      </w:r>
      <w:r>
        <w:rPr>
          <w:rFonts w:ascii="Arial" w:hAnsi="Arial" w:cs="Arial"/>
          <w:snapToGrid w:val="0"/>
          <w:color w:val="000000"/>
          <w:sz w:val="20"/>
        </w:rPr>
        <w:t>I</w:t>
      </w:r>
      <w:r w:rsidRPr="00EA1426">
        <w:rPr>
          <w:rFonts w:ascii="Arial" w:hAnsi="Arial" w:cs="Arial"/>
          <w:snapToGrid w:val="0"/>
          <w:color w:val="000000"/>
          <w:sz w:val="20"/>
        </w:rPr>
        <w:t>II follows]</w:t>
      </w:r>
    </w:p>
    <w:p w:rsidR="00604822" w:rsidRPr="00EA1426" w:rsidRDefault="00604822" w:rsidP="00604822"/>
    <w:p w:rsidR="00604822" w:rsidRPr="00EA1426" w:rsidRDefault="00604822" w:rsidP="00604822"/>
    <w:p w:rsidR="00604822" w:rsidRPr="00EA1426" w:rsidRDefault="00604822" w:rsidP="00604822"/>
    <w:p w:rsidR="00604822" w:rsidRPr="00EA1426" w:rsidRDefault="00604822" w:rsidP="00604822"/>
    <w:p w:rsidR="00604822" w:rsidRPr="0050046B" w:rsidRDefault="00604822" w:rsidP="00604822">
      <w:pPr>
        <w:sectPr w:rsidR="00604822" w:rsidRPr="0050046B" w:rsidSect="00962988">
          <w:headerReference w:type="first" r:id="rId33"/>
          <w:pgSz w:w="11907" w:h="16840" w:code="9"/>
          <w:pgMar w:top="510" w:right="1134" w:bottom="1134" w:left="1134" w:header="510" w:footer="624" w:gutter="0"/>
          <w:pgNumType w:start="2"/>
          <w:cols w:space="720"/>
          <w:titlePg/>
        </w:sectPr>
      </w:pPr>
    </w:p>
    <w:p w:rsidR="00604822" w:rsidRPr="00EF683F" w:rsidRDefault="00604822" w:rsidP="00604822">
      <w:pPr>
        <w:jc w:val="center"/>
      </w:pPr>
      <w:r>
        <w:t>ANNEX</w:t>
      </w:r>
      <w:r w:rsidRPr="00EF683F">
        <w:t xml:space="preserve"> – APPENDIX III</w:t>
      </w:r>
    </w:p>
    <w:p w:rsidR="00604822" w:rsidRPr="00DD6106" w:rsidRDefault="00604822" w:rsidP="00604822">
      <w:pPr>
        <w:jc w:val="center"/>
      </w:pPr>
    </w:p>
    <w:p w:rsidR="00604822" w:rsidRPr="00971F41" w:rsidRDefault="00604822" w:rsidP="00604822">
      <w:pPr>
        <w:jc w:val="center"/>
      </w:pPr>
      <w:r w:rsidRPr="00971F41">
        <w:t>CONTRIBUTIONS OF MEMBERS</w:t>
      </w:r>
    </w:p>
    <w:p w:rsidR="00604822" w:rsidRDefault="00604822" w:rsidP="00604822">
      <w:pPr>
        <w:jc w:val="center"/>
      </w:pPr>
      <w:r w:rsidRPr="00971F41">
        <w:t xml:space="preserve">AS OF </w:t>
      </w:r>
      <w:r w:rsidR="00D372DC">
        <w:t xml:space="preserve">JULY </w:t>
      </w:r>
      <w:r>
        <w:t>31, 2017</w:t>
      </w:r>
    </w:p>
    <w:p w:rsidR="00604822" w:rsidRPr="00971F41" w:rsidRDefault="00604822" w:rsidP="00604822">
      <w:pPr>
        <w:jc w:val="center"/>
        <w:rPr>
          <w:caps/>
        </w:rPr>
      </w:pPr>
      <w:r w:rsidRPr="00971F41">
        <w:t>(</w:t>
      </w:r>
      <w:proofErr w:type="gramStart"/>
      <w:r w:rsidRPr="00971F41">
        <w:t>in</w:t>
      </w:r>
      <w:proofErr w:type="gramEnd"/>
      <w:r w:rsidRPr="00971F41">
        <w:t xml:space="preserve"> Swiss Francs)</w:t>
      </w:r>
    </w:p>
    <w:p w:rsidR="00604822" w:rsidRPr="00971F41" w:rsidRDefault="00604822" w:rsidP="00604822">
      <w:pPr>
        <w:jc w:val="center"/>
      </w:pPr>
    </w:p>
    <w:tbl>
      <w:tblPr>
        <w:tblW w:w="9680" w:type="dxa"/>
        <w:tblInd w:w="30" w:type="dxa"/>
        <w:tblLayout w:type="fixed"/>
        <w:tblCellMar>
          <w:top w:w="57" w:type="dxa"/>
          <w:left w:w="113" w:type="dxa"/>
          <w:bottom w:w="28" w:type="dxa"/>
          <w:right w:w="57" w:type="dxa"/>
        </w:tblCellMar>
        <w:tblLook w:val="0000" w:firstRow="0" w:lastRow="0" w:firstColumn="0" w:lastColumn="0" w:noHBand="0" w:noVBand="0"/>
      </w:tblPr>
      <w:tblGrid>
        <w:gridCol w:w="1218"/>
        <w:gridCol w:w="1134"/>
        <w:gridCol w:w="3177"/>
        <w:gridCol w:w="1032"/>
        <w:gridCol w:w="1560"/>
        <w:gridCol w:w="1559"/>
      </w:tblGrid>
      <w:tr w:rsidR="005304DA" w:rsidRPr="00937756" w:rsidTr="00962988">
        <w:trPr>
          <w:cantSplit/>
          <w:tblHeader/>
        </w:trPr>
        <w:tc>
          <w:tcPr>
            <w:tcW w:w="1218"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2016</w:t>
            </w:r>
            <w:r w:rsidRPr="00937756">
              <w:rPr>
                <w:rFonts w:cs="Arial"/>
                <w:sz w:val="18"/>
                <w:szCs w:val="18"/>
              </w:rPr>
              <w:br/>
            </w:r>
            <w:r w:rsidRPr="00937756">
              <w:rPr>
                <w:rFonts w:cs="Arial"/>
                <w:snapToGrid w:val="0"/>
                <w:sz w:val="18"/>
                <w:szCs w:val="18"/>
              </w:rPr>
              <w:t>Actual</w:t>
            </w:r>
          </w:p>
        </w:tc>
        <w:tc>
          <w:tcPr>
            <w:tcW w:w="1134"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2017</w:t>
            </w:r>
            <w:r w:rsidRPr="00937756">
              <w:rPr>
                <w:rFonts w:cs="Arial"/>
                <w:sz w:val="18"/>
                <w:szCs w:val="18"/>
              </w:rPr>
              <w:br/>
            </w:r>
            <w:r w:rsidRPr="00937756">
              <w:rPr>
                <w:rFonts w:cs="Arial"/>
                <w:snapToGrid w:val="0"/>
                <w:sz w:val="18"/>
                <w:szCs w:val="18"/>
              </w:rPr>
              <w:t xml:space="preserve">Actual </w:t>
            </w:r>
          </w:p>
        </w:tc>
        <w:tc>
          <w:tcPr>
            <w:tcW w:w="3177" w:type="dxa"/>
            <w:tcBorders>
              <w:top w:val="single" w:sz="8" w:space="0" w:color="auto"/>
              <w:bottom w:val="single" w:sz="8" w:space="0" w:color="auto"/>
            </w:tcBorders>
            <w:vAlign w:val="bottom"/>
          </w:tcPr>
          <w:p w:rsidR="005304DA" w:rsidRPr="00937756" w:rsidRDefault="005304DA" w:rsidP="003168C2">
            <w:pPr>
              <w:jc w:val="center"/>
              <w:rPr>
                <w:rFonts w:cs="Arial"/>
                <w:snapToGrid w:val="0"/>
                <w:sz w:val="18"/>
                <w:szCs w:val="18"/>
              </w:rPr>
            </w:pPr>
            <w:r w:rsidRPr="00937756">
              <w:rPr>
                <w:rFonts w:cs="Arial"/>
                <w:snapToGrid w:val="0"/>
                <w:sz w:val="18"/>
                <w:szCs w:val="18"/>
              </w:rPr>
              <w:t>Members</w:t>
            </w:r>
          </w:p>
        </w:tc>
        <w:tc>
          <w:tcPr>
            <w:tcW w:w="1032" w:type="dxa"/>
            <w:tcBorders>
              <w:top w:val="single" w:sz="8" w:space="0" w:color="auto"/>
              <w:bottom w:val="single" w:sz="8" w:space="0" w:color="auto"/>
            </w:tcBorders>
            <w:vAlign w:val="bottom"/>
          </w:tcPr>
          <w:p w:rsidR="005304DA" w:rsidRPr="00937756" w:rsidRDefault="005304DA" w:rsidP="003168C2">
            <w:pPr>
              <w:jc w:val="center"/>
              <w:rPr>
                <w:rFonts w:cs="Arial"/>
                <w:snapToGrid w:val="0"/>
                <w:sz w:val="18"/>
                <w:szCs w:val="18"/>
              </w:rPr>
            </w:pPr>
            <w:r w:rsidRPr="00937756">
              <w:rPr>
                <w:rFonts w:cs="Arial"/>
                <w:snapToGrid w:val="0"/>
                <w:sz w:val="18"/>
                <w:szCs w:val="18"/>
              </w:rPr>
              <w:t>Number</w:t>
            </w:r>
            <w:r w:rsidRPr="00937756">
              <w:rPr>
                <w:rFonts w:cs="Arial"/>
                <w:snapToGrid w:val="0"/>
                <w:sz w:val="18"/>
                <w:szCs w:val="18"/>
              </w:rPr>
              <w:br/>
            </w:r>
            <w:r w:rsidRPr="00937756">
              <w:rPr>
                <w:rFonts w:cs="Arial"/>
                <w:sz w:val="18"/>
                <w:szCs w:val="18"/>
              </w:rPr>
              <w:t>of Units</w:t>
            </w:r>
          </w:p>
        </w:tc>
        <w:tc>
          <w:tcPr>
            <w:tcW w:w="1560"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Payable in</w:t>
            </w:r>
          </w:p>
          <w:p w:rsidR="005304DA" w:rsidRPr="00937756" w:rsidRDefault="005304DA" w:rsidP="003168C2">
            <w:pPr>
              <w:jc w:val="center"/>
              <w:rPr>
                <w:rFonts w:cs="Arial"/>
                <w:sz w:val="18"/>
                <w:szCs w:val="18"/>
              </w:rPr>
            </w:pPr>
            <w:r w:rsidRPr="00937756">
              <w:rPr>
                <w:rFonts w:cs="Arial"/>
                <w:sz w:val="18"/>
                <w:szCs w:val="18"/>
              </w:rPr>
              <w:t>January 2018</w:t>
            </w:r>
          </w:p>
        </w:tc>
        <w:tc>
          <w:tcPr>
            <w:tcW w:w="1559" w:type="dxa"/>
            <w:tcBorders>
              <w:top w:val="single" w:sz="8" w:space="0" w:color="auto"/>
              <w:bottom w:val="single" w:sz="8" w:space="0" w:color="auto"/>
            </w:tcBorders>
            <w:vAlign w:val="bottom"/>
          </w:tcPr>
          <w:p w:rsidR="005304DA" w:rsidRPr="00937756" w:rsidRDefault="005304DA" w:rsidP="003168C2">
            <w:pPr>
              <w:jc w:val="center"/>
              <w:rPr>
                <w:rFonts w:cs="Arial"/>
                <w:sz w:val="18"/>
                <w:szCs w:val="18"/>
              </w:rPr>
            </w:pPr>
            <w:r w:rsidRPr="00937756">
              <w:rPr>
                <w:rFonts w:cs="Arial"/>
                <w:sz w:val="18"/>
                <w:szCs w:val="18"/>
              </w:rPr>
              <w:t>Payable in</w:t>
            </w:r>
          </w:p>
          <w:p w:rsidR="005304DA" w:rsidRPr="00937756" w:rsidRDefault="005304DA" w:rsidP="003168C2">
            <w:pPr>
              <w:jc w:val="center"/>
              <w:rPr>
                <w:rFonts w:cs="Arial"/>
                <w:sz w:val="18"/>
                <w:szCs w:val="18"/>
              </w:rPr>
            </w:pPr>
            <w:r w:rsidRPr="00937756">
              <w:rPr>
                <w:rFonts w:cs="Arial"/>
                <w:sz w:val="18"/>
                <w:szCs w:val="18"/>
              </w:rPr>
              <w:t>January 2019</w:t>
            </w:r>
          </w:p>
        </w:tc>
      </w:tr>
      <w:tr w:rsidR="00604822" w:rsidRPr="00937756" w:rsidTr="00962988">
        <w:trPr>
          <w:cantSplit/>
          <w:tblHeader/>
        </w:trPr>
        <w:tc>
          <w:tcPr>
            <w:tcW w:w="1218"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1134"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3177" w:type="dxa"/>
            <w:tcBorders>
              <w:top w:val="single" w:sz="8" w:space="0" w:color="auto"/>
            </w:tcBorders>
          </w:tcPr>
          <w:p w:rsidR="00604822" w:rsidRPr="00937756" w:rsidRDefault="00604822" w:rsidP="00962988">
            <w:pPr>
              <w:rPr>
                <w:rFonts w:cs="Arial"/>
                <w:snapToGrid w:val="0"/>
                <w:color w:val="000000"/>
                <w:sz w:val="18"/>
                <w:szCs w:val="18"/>
              </w:rPr>
            </w:pPr>
          </w:p>
        </w:tc>
        <w:tc>
          <w:tcPr>
            <w:tcW w:w="1032" w:type="dxa"/>
            <w:tcBorders>
              <w:top w:val="single" w:sz="8" w:space="0" w:color="auto"/>
            </w:tcBorders>
          </w:tcPr>
          <w:p w:rsidR="00604822" w:rsidRPr="00937756" w:rsidRDefault="00604822" w:rsidP="00962988">
            <w:pPr>
              <w:tabs>
                <w:tab w:val="decimal" w:pos="482"/>
              </w:tabs>
              <w:jc w:val="left"/>
              <w:rPr>
                <w:rFonts w:cs="Arial"/>
                <w:snapToGrid w:val="0"/>
                <w:color w:val="000000"/>
                <w:sz w:val="18"/>
                <w:szCs w:val="18"/>
              </w:rPr>
            </w:pPr>
          </w:p>
        </w:tc>
        <w:tc>
          <w:tcPr>
            <w:tcW w:w="1560" w:type="dxa"/>
            <w:tcBorders>
              <w:top w:val="single" w:sz="8" w:space="0" w:color="auto"/>
            </w:tcBorders>
          </w:tcPr>
          <w:p w:rsidR="00604822" w:rsidRPr="00937756" w:rsidRDefault="00604822" w:rsidP="00962988">
            <w:pPr>
              <w:jc w:val="right"/>
              <w:rPr>
                <w:rFonts w:cs="Arial"/>
                <w:snapToGrid w:val="0"/>
                <w:color w:val="000000"/>
                <w:sz w:val="18"/>
                <w:szCs w:val="18"/>
              </w:rPr>
            </w:pPr>
          </w:p>
        </w:tc>
        <w:tc>
          <w:tcPr>
            <w:tcW w:w="1559" w:type="dxa"/>
            <w:tcBorders>
              <w:top w:val="single" w:sz="8" w:space="0" w:color="auto"/>
            </w:tcBorders>
          </w:tcPr>
          <w:p w:rsidR="00604822" w:rsidRPr="00937756" w:rsidRDefault="00604822" w:rsidP="00962988">
            <w:pPr>
              <w:jc w:val="right"/>
              <w:rPr>
                <w:rFonts w:cs="Arial"/>
                <w:snapToGrid w:val="0"/>
                <w:color w:val="000000"/>
                <w:sz w:val="18"/>
                <w:szCs w:val="18"/>
              </w:rPr>
            </w:pP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bookmarkStart w:id="10" w:name="_Hlk173836680"/>
            <w:r w:rsidRPr="00937756">
              <w:rPr>
                <w:rFonts w:cs="Arial"/>
                <w:snapToGrid w:val="0"/>
                <w:color w:val="000000"/>
                <w:sz w:val="18"/>
                <w:szCs w:val="18"/>
              </w:rPr>
              <w:t>10,728</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10,543</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African Intellectual Property Organization (OAPI)</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bookmarkEnd w:id="10"/>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Albania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Argentina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Australia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Austria</w:t>
            </w:r>
            <w:r w:rsidRPr="00937756">
              <w:rPr>
                <w:rFonts w:cs="Arial"/>
                <w:snapToGrid w:val="0"/>
                <w:color w:val="000000"/>
                <w:sz w:val="18"/>
                <w:szCs w:val="18"/>
                <w:vertAlign w:val="superscript"/>
              </w:rPr>
              <w:t xml:space="preserve">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0.75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Azerbaijan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Belarus</w:t>
            </w:r>
          </w:p>
        </w:tc>
        <w:tc>
          <w:tcPr>
            <w:tcW w:w="1032" w:type="dxa"/>
          </w:tcPr>
          <w:p w:rsidR="00604822" w:rsidRPr="00937756" w:rsidRDefault="00604822" w:rsidP="00962988">
            <w:pPr>
              <w:ind w:right="170"/>
              <w:jc w:val="right"/>
              <w:rPr>
                <w:rFonts w:cs="Arial"/>
                <w:snapToGrid w:val="0"/>
                <w:color w:val="000000"/>
                <w:sz w:val="18"/>
                <w:szCs w:val="18"/>
                <w:vertAlign w:val="superscript"/>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Belgium</w:t>
            </w:r>
            <w:r w:rsidRPr="00937756">
              <w:rPr>
                <w:rFonts w:cs="Arial"/>
                <w:snapToGrid w:val="0"/>
                <w:color w:val="000000"/>
                <w:sz w:val="18"/>
                <w:szCs w:val="18"/>
                <w:vertAlign w:val="superscript"/>
              </w:rPr>
              <w:t xml:space="preserve">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5304DA"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Bolivia (</w:t>
            </w:r>
            <w:proofErr w:type="spellStart"/>
            <w:r w:rsidRPr="00937756">
              <w:rPr>
                <w:rFonts w:cs="Arial"/>
                <w:snapToGrid w:val="0"/>
                <w:color w:val="000000"/>
                <w:sz w:val="18"/>
                <w:szCs w:val="18"/>
              </w:rPr>
              <w:t>Plurinational</w:t>
            </w:r>
            <w:proofErr w:type="spellEnd"/>
            <w:r w:rsidRPr="00937756">
              <w:rPr>
                <w:rFonts w:cs="Arial"/>
                <w:snapToGrid w:val="0"/>
                <w:color w:val="000000"/>
                <w:sz w:val="18"/>
                <w:szCs w:val="18"/>
              </w:rPr>
              <w:t xml:space="preserve"> State of)</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13,410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Brazil</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13,410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13,410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Bulgaria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Canada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Chile</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shd w:val="clear" w:color="auto" w:fill="auto"/>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China</w:t>
            </w:r>
          </w:p>
        </w:tc>
        <w:tc>
          <w:tcPr>
            <w:tcW w:w="1032" w:type="dxa"/>
            <w:shd w:val="clear" w:color="auto" w:fill="auto"/>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shd w:val="clear" w:color="auto" w:fill="auto"/>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shd w:val="clear" w:color="auto" w:fill="auto"/>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Colombia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Costa Rica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Croatia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Czech Republic </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Denmark</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EA7EDE" w:rsidP="00962988">
            <w:pPr>
              <w:ind w:right="170"/>
              <w:jc w:val="right"/>
              <w:rPr>
                <w:rFonts w:cs="Arial"/>
                <w:snapToGrid w:val="0"/>
                <w:color w:val="000000"/>
                <w:sz w:val="18"/>
                <w:szCs w:val="18"/>
              </w:rPr>
            </w:pPr>
            <w:r w:rsidRPr="00937756">
              <w:rPr>
                <w:rFonts w:cs="Arial"/>
                <w:snapToGrid w:val="0"/>
                <w:color w:val="000000"/>
                <w:sz w:val="18"/>
                <w:szCs w:val="18"/>
              </w:rPr>
              <w:t>10,566</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Dominican Republic</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Ecuador</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Estonia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European Union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Finland</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France</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Georgia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Germany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Hungary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Iceland</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Ireland</w:t>
            </w:r>
          </w:p>
        </w:tc>
        <w:tc>
          <w:tcPr>
            <w:tcW w:w="1032" w:type="dxa"/>
          </w:tcPr>
          <w:p w:rsidR="00604822" w:rsidRPr="00937756" w:rsidRDefault="00604822" w:rsidP="00962988">
            <w:pPr>
              <w:ind w:right="170"/>
              <w:jc w:val="right"/>
              <w:rPr>
                <w:rFonts w:cs="Arial"/>
                <w:snapToGrid w:val="0"/>
                <w:color w:val="000000"/>
                <w:sz w:val="18"/>
                <w:szCs w:val="18"/>
                <w:vertAlign w:val="superscript"/>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Israel</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vertAlign w:val="superscript"/>
              </w:rPr>
            </w:pPr>
            <w:r w:rsidRPr="00937756">
              <w:rPr>
                <w:rFonts w:cs="Arial"/>
                <w:snapToGrid w:val="0"/>
                <w:color w:val="000000"/>
                <w:sz w:val="18"/>
                <w:szCs w:val="18"/>
              </w:rPr>
              <w:t>Italy</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Japan</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Jordan</w:t>
            </w:r>
          </w:p>
        </w:tc>
        <w:tc>
          <w:tcPr>
            <w:tcW w:w="1032" w:type="dxa"/>
          </w:tcPr>
          <w:p w:rsidR="00604822" w:rsidRPr="00937756" w:rsidRDefault="00604822" w:rsidP="00962988">
            <w:pPr>
              <w:ind w:right="170"/>
              <w:jc w:val="right"/>
              <w:rPr>
                <w:rFonts w:cs="Arial"/>
                <w:sz w:val="18"/>
                <w:szCs w:val="18"/>
              </w:rPr>
            </w:pPr>
            <w:r w:rsidRPr="00937756">
              <w:rPr>
                <w:rFonts w:cs="Arial"/>
                <w:snapToGrid w:val="0"/>
                <w:color w:val="000000"/>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Kenya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Kyrgyzstan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Latvia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Lithuania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40,231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Mexico</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0.75</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40,231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Montenegro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Morocco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160,923</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160,923</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Netherlands </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3.00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160,923</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160,923</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New Zealand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Nicaragua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Norway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4468F0">
            <w:pPr>
              <w:ind w:right="170"/>
              <w:jc w:val="right"/>
              <w:rPr>
                <w:rFonts w:cs="Arial"/>
                <w:snapToGrid w:val="0"/>
                <w:color w:val="000000"/>
                <w:sz w:val="18"/>
                <w:szCs w:val="18"/>
              </w:rPr>
            </w:pPr>
            <w:r w:rsidRPr="00937756">
              <w:rPr>
                <w:rFonts w:cs="Arial"/>
                <w:snapToGrid w:val="0"/>
                <w:color w:val="000000"/>
                <w:sz w:val="18"/>
                <w:szCs w:val="18"/>
              </w:rPr>
              <w:t>53,4</w:t>
            </w:r>
            <w:r w:rsidR="004468F0" w:rsidRPr="00937756">
              <w:rPr>
                <w:rFonts w:cs="Arial"/>
                <w:snapToGrid w:val="0"/>
                <w:color w:val="000000"/>
                <w:sz w:val="18"/>
                <w:szCs w:val="18"/>
              </w:rPr>
              <w:t>6</w:t>
            </w:r>
            <w:r w:rsidRPr="00937756">
              <w:rPr>
                <w:rFonts w:cs="Arial"/>
                <w:snapToGrid w:val="0"/>
                <w:color w:val="000000"/>
                <w:sz w:val="18"/>
                <w:szCs w:val="18"/>
              </w:rPr>
              <w:t>1</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Oman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9,277</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Panama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Paraguay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Peru</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Poland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Portugal</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Republic of Korea</w:t>
            </w:r>
          </w:p>
        </w:tc>
        <w:tc>
          <w:tcPr>
            <w:tcW w:w="1032"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Republic of Moldova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Romania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 xml:space="preserve">Russian Federation </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Serbia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Singapore</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Slovakia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Slovenia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53,641</w:t>
            </w:r>
          </w:p>
        </w:tc>
        <w:tc>
          <w:tcPr>
            <w:tcW w:w="3177" w:type="dxa"/>
          </w:tcPr>
          <w:p w:rsidR="00604822" w:rsidRPr="00937756" w:rsidRDefault="00604822" w:rsidP="00962988">
            <w:pPr>
              <w:tabs>
                <w:tab w:val="left" w:pos="212"/>
              </w:tabs>
              <w:jc w:val="left"/>
              <w:rPr>
                <w:rFonts w:cs="Arial"/>
                <w:snapToGrid w:val="0"/>
                <w:color w:val="000000"/>
                <w:sz w:val="18"/>
                <w:szCs w:val="18"/>
              </w:rPr>
            </w:pPr>
            <w:r w:rsidRPr="00937756">
              <w:rPr>
                <w:rFonts w:cs="Arial"/>
                <w:snapToGrid w:val="0"/>
                <w:color w:val="000000"/>
                <w:sz w:val="18"/>
                <w:szCs w:val="18"/>
              </w:rPr>
              <w:t>South Africa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53,641</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Spain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Sweden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80,462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Switzerland</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1.50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80,462</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The former Yugoslav Republic of Macedonia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Trinidad and Tobago</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Tunisia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Turkey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0.50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w:t>
            </w:r>
          </w:p>
        </w:tc>
      </w:tr>
      <w:tr w:rsidR="00604822" w:rsidRPr="00937756" w:rsidTr="00962988">
        <w:trPr>
          <w:cantSplit/>
        </w:trPr>
        <w:tc>
          <w:tcPr>
            <w:tcW w:w="1218"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Ukraine</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107,282</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Kingdom</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2.00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107,282</w:t>
            </w:r>
          </w:p>
        </w:tc>
      </w:tr>
      <w:tr w:rsidR="00604822" w:rsidRPr="00937756" w:rsidTr="00962988">
        <w:trPr>
          <w:cantSplit/>
        </w:trPr>
        <w:tc>
          <w:tcPr>
            <w:tcW w:w="1218"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Republic of Tanzania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268,205</w:t>
            </w:r>
          </w:p>
        </w:tc>
        <w:tc>
          <w:tcPr>
            <w:tcW w:w="1134" w:type="dxa"/>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United States of America</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5.00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268,205</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Uruguay</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3177" w:type="dxa"/>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Uzbekistan</w:t>
            </w:r>
          </w:p>
        </w:tc>
        <w:tc>
          <w:tcPr>
            <w:tcW w:w="1032" w:type="dxa"/>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blHeader/>
        </w:trPr>
        <w:tc>
          <w:tcPr>
            <w:tcW w:w="1218" w:type="dxa"/>
            <w:tcBorders>
              <w:bottom w:val="single" w:sz="8" w:space="0" w:color="auto"/>
            </w:tcBorders>
          </w:tcPr>
          <w:p w:rsidR="00604822" w:rsidRPr="00937756" w:rsidRDefault="00604822" w:rsidP="00962988">
            <w:pPr>
              <w:ind w:right="170"/>
              <w:jc w:val="right"/>
              <w:rPr>
                <w:rFonts w:cs="Arial"/>
                <w:snapToGrid w:val="0"/>
                <w:color w:val="000000"/>
                <w:sz w:val="18"/>
                <w:szCs w:val="18"/>
              </w:rPr>
            </w:pPr>
            <w:r w:rsidRPr="00937756">
              <w:rPr>
                <w:rFonts w:cs="Arial"/>
                <w:snapToGrid w:val="0"/>
                <w:color w:val="000000"/>
                <w:sz w:val="18"/>
                <w:szCs w:val="18"/>
              </w:rPr>
              <w:t>10,728</w:t>
            </w:r>
          </w:p>
        </w:tc>
        <w:tc>
          <w:tcPr>
            <w:tcW w:w="1134" w:type="dxa"/>
            <w:tcBorders>
              <w:bottom w:val="single" w:sz="8" w:space="0" w:color="auto"/>
            </w:tcBorders>
          </w:tcPr>
          <w:p w:rsidR="00604822" w:rsidRPr="00937756" w:rsidRDefault="00DD2BF7" w:rsidP="00962988">
            <w:pPr>
              <w:ind w:right="170"/>
              <w:jc w:val="right"/>
              <w:rPr>
                <w:rFonts w:cs="Arial"/>
                <w:snapToGrid w:val="0"/>
                <w:color w:val="000000"/>
                <w:sz w:val="18"/>
                <w:szCs w:val="18"/>
              </w:rPr>
            </w:pPr>
            <w:r w:rsidRPr="00937756">
              <w:rPr>
                <w:rFonts w:cs="Arial"/>
                <w:snapToGrid w:val="0"/>
                <w:color w:val="000000"/>
                <w:sz w:val="18"/>
                <w:szCs w:val="18"/>
              </w:rPr>
              <w:t>0</w:t>
            </w:r>
          </w:p>
        </w:tc>
        <w:tc>
          <w:tcPr>
            <w:tcW w:w="3177" w:type="dxa"/>
            <w:tcBorders>
              <w:bottom w:val="single" w:sz="8" w:space="0" w:color="auto"/>
            </w:tcBorders>
          </w:tcPr>
          <w:p w:rsidR="00604822" w:rsidRPr="00937756" w:rsidRDefault="00604822" w:rsidP="00962988">
            <w:pPr>
              <w:jc w:val="left"/>
              <w:rPr>
                <w:rFonts w:cs="Arial"/>
                <w:snapToGrid w:val="0"/>
                <w:color w:val="000000"/>
                <w:sz w:val="18"/>
                <w:szCs w:val="18"/>
              </w:rPr>
            </w:pPr>
            <w:r w:rsidRPr="00937756">
              <w:rPr>
                <w:rFonts w:cs="Arial"/>
                <w:snapToGrid w:val="0"/>
                <w:color w:val="000000"/>
                <w:sz w:val="18"/>
                <w:szCs w:val="18"/>
              </w:rPr>
              <w:t>Viet Nam</w:t>
            </w:r>
          </w:p>
        </w:tc>
        <w:tc>
          <w:tcPr>
            <w:tcW w:w="1032" w:type="dxa"/>
            <w:tcBorders>
              <w:bottom w:val="single" w:sz="8" w:space="0" w:color="auto"/>
            </w:tcBorders>
          </w:tcPr>
          <w:p w:rsidR="00604822" w:rsidRPr="00937756" w:rsidRDefault="00604822" w:rsidP="00962988">
            <w:pPr>
              <w:ind w:right="170"/>
              <w:jc w:val="right"/>
              <w:rPr>
                <w:rFonts w:cs="Arial"/>
                <w:sz w:val="18"/>
                <w:szCs w:val="18"/>
              </w:rPr>
            </w:pPr>
            <w:r w:rsidRPr="00937756">
              <w:rPr>
                <w:rFonts w:cs="Arial"/>
                <w:sz w:val="18"/>
                <w:szCs w:val="18"/>
              </w:rPr>
              <w:t>0.20</w:t>
            </w:r>
          </w:p>
        </w:tc>
        <w:tc>
          <w:tcPr>
            <w:tcW w:w="1560" w:type="dxa"/>
            <w:tcBorders>
              <w:bottom w:val="single" w:sz="8" w:space="0" w:color="auto"/>
            </w:tcBorders>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c>
          <w:tcPr>
            <w:tcW w:w="1559" w:type="dxa"/>
            <w:tcBorders>
              <w:bottom w:val="single" w:sz="8" w:space="0" w:color="auto"/>
            </w:tcBorders>
          </w:tcPr>
          <w:p w:rsidR="00604822" w:rsidRPr="00937756" w:rsidRDefault="00604822" w:rsidP="00962988">
            <w:pPr>
              <w:ind w:right="284"/>
              <w:jc w:val="right"/>
              <w:rPr>
                <w:rFonts w:cs="Arial"/>
                <w:snapToGrid w:val="0"/>
                <w:color w:val="000000"/>
                <w:sz w:val="18"/>
                <w:szCs w:val="18"/>
              </w:rPr>
            </w:pPr>
            <w:r w:rsidRPr="00937756">
              <w:rPr>
                <w:rFonts w:cs="Arial"/>
                <w:snapToGrid w:val="0"/>
                <w:color w:val="000000"/>
                <w:sz w:val="18"/>
                <w:szCs w:val="18"/>
              </w:rPr>
              <w:t>10,728</w:t>
            </w:r>
          </w:p>
        </w:tc>
      </w:tr>
      <w:tr w:rsidR="00604822" w:rsidRPr="00937756" w:rsidTr="00962988">
        <w:trPr>
          <w:cantSplit/>
        </w:trPr>
        <w:tc>
          <w:tcPr>
            <w:tcW w:w="1218" w:type="dxa"/>
            <w:tcBorders>
              <w:top w:val="single" w:sz="8" w:space="0" w:color="auto"/>
              <w:bottom w:val="single" w:sz="8" w:space="0" w:color="auto"/>
            </w:tcBorders>
          </w:tcPr>
          <w:p w:rsidR="00604822" w:rsidRPr="00937756" w:rsidRDefault="00604822" w:rsidP="00962988">
            <w:pPr>
              <w:jc w:val="right"/>
              <w:rPr>
                <w:rFonts w:cs="Arial"/>
                <w:snapToGrid w:val="0"/>
                <w:color w:val="000000"/>
                <w:sz w:val="18"/>
                <w:szCs w:val="18"/>
              </w:rPr>
            </w:pPr>
          </w:p>
        </w:tc>
        <w:tc>
          <w:tcPr>
            <w:tcW w:w="1134" w:type="dxa"/>
            <w:tcBorders>
              <w:top w:val="single" w:sz="8" w:space="0" w:color="auto"/>
              <w:bottom w:val="single" w:sz="8" w:space="0" w:color="auto"/>
            </w:tcBorders>
          </w:tcPr>
          <w:p w:rsidR="00604822" w:rsidRPr="00937756" w:rsidRDefault="00604822" w:rsidP="00962988">
            <w:pPr>
              <w:jc w:val="right"/>
              <w:rPr>
                <w:rFonts w:cs="Arial"/>
                <w:snapToGrid w:val="0"/>
                <w:color w:val="000000"/>
                <w:sz w:val="18"/>
                <w:szCs w:val="18"/>
              </w:rPr>
            </w:pPr>
          </w:p>
        </w:tc>
        <w:tc>
          <w:tcPr>
            <w:tcW w:w="3177" w:type="dxa"/>
            <w:tcBorders>
              <w:top w:val="single" w:sz="8" w:space="0" w:color="auto"/>
              <w:bottom w:val="single" w:sz="8" w:space="0" w:color="auto"/>
            </w:tcBorders>
          </w:tcPr>
          <w:p w:rsidR="00604822" w:rsidRPr="00937756" w:rsidRDefault="00604822" w:rsidP="00962988">
            <w:pPr>
              <w:rPr>
                <w:rFonts w:cs="Arial"/>
                <w:snapToGrid w:val="0"/>
                <w:color w:val="000000"/>
                <w:sz w:val="18"/>
                <w:szCs w:val="18"/>
              </w:rPr>
            </w:pPr>
          </w:p>
        </w:tc>
        <w:tc>
          <w:tcPr>
            <w:tcW w:w="1032" w:type="dxa"/>
            <w:tcBorders>
              <w:top w:val="single" w:sz="8" w:space="0" w:color="auto"/>
              <w:bottom w:val="single" w:sz="8" w:space="0" w:color="auto"/>
            </w:tcBorders>
          </w:tcPr>
          <w:p w:rsidR="00604822" w:rsidRPr="00937756" w:rsidRDefault="00604822" w:rsidP="00962988">
            <w:pPr>
              <w:tabs>
                <w:tab w:val="decimal" w:pos="284"/>
                <w:tab w:val="decimal" w:pos="482"/>
              </w:tabs>
              <w:jc w:val="left"/>
              <w:rPr>
                <w:rFonts w:cs="Arial"/>
                <w:snapToGrid w:val="0"/>
                <w:color w:val="000000"/>
                <w:sz w:val="18"/>
                <w:szCs w:val="18"/>
              </w:rPr>
            </w:pPr>
          </w:p>
        </w:tc>
        <w:tc>
          <w:tcPr>
            <w:tcW w:w="1560" w:type="dxa"/>
            <w:tcBorders>
              <w:top w:val="single" w:sz="8" w:space="0" w:color="auto"/>
              <w:bottom w:val="single" w:sz="8" w:space="0" w:color="auto"/>
            </w:tcBorders>
          </w:tcPr>
          <w:p w:rsidR="00604822" w:rsidRPr="00937756" w:rsidRDefault="00604822" w:rsidP="00962988">
            <w:pPr>
              <w:ind w:right="284"/>
              <w:jc w:val="right"/>
              <w:rPr>
                <w:rFonts w:cs="Arial"/>
                <w:snapToGrid w:val="0"/>
                <w:color w:val="000000"/>
                <w:sz w:val="18"/>
                <w:szCs w:val="18"/>
              </w:rPr>
            </w:pPr>
          </w:p>
        </w:tc>
        <w:tc>
          <w:tcPr>
            <w:tcW w:w="1559" w:type="dxa"/>
            <w:tcBorders>
              <w:top w:val="single" w:sz="8" w:space="0" w:color="auto"/>
              <w:bottom w:val="single" w:sz="8" w:space="0" w:color="auto"/>
            </w:tcBorders>
          </w:tcPr>
          <w:p w:rsidR="00604822" w:rsidRPr="00937756" w:rsidRDefault="00604822" w:rsidP="00962988">
            <w:pPr>
              <w:ind w:right="284"/>
              <w:jc w:val="right"/>
              <w:rPr>
                <w:rFonts w:cs="Arial"/>
                <w:snapToGrid w:val="0"/>
                <w:color w:val="000000"/>
                <w:sz w:val="18"/>
                <w:szCs w:val="18"/>
              </w:rPr>
            </w:pPr>
          </w:p>
        </w:tc>
      </w:tr>
      <w:tr w:rsidR="00DD2BF7" w:rsidRPr="005304DA" w:rsidTr="00962988">
        <w:trPr>
          <w:cantSplit/>
        </w:trPr>
        <w:tc>
          <w:tcPr>
            <w:tcW w:w="1218" w:type="dxa"/>
            <w:tcBorders>
              <w:top w:val="single" w:sz="8" w:space="0" w:color="auto"/>
              <w:bottom w:val="single" w:sz="8" w:space="0" w:color="auto"/>
            </w:tcBorders>
          </w:tcPr>
          <w:p w:rsidR="00DD2BF7" w:rsidRPr="00937756" w:rsidRDefault="00DD2BF7" w:rsidP="003168C2">
            <w:pPr>
              <w:jc w:val="center"/>
              <w:rPr>
                <w:rFonts w:cs="Arial"/>
                <w:b/>
                <w:snapToGrid w:val="0"/>
                <w:sz w:val="18"/>
                <w:szCs w:val="18"/>
              </w:rPr>
            </w:pPr>
            <w:r w:rsidRPr="00937756">
              <w:rPr>
                <w:rFonts w:cs="Arial"/>
                <w:b/>
                <w:snapToGrid w:val="0"/>
                <w:sz w:val="18"/>
                <w:szCs w:val="18"/>
              </w:rPr>
              <w:t>3,333,778</w:t>
            </w:r>
          </w:p>
        </w:tc>
        <w:tc>
          <w:tcPr>
            <w:tcW w:w="1134" w:type="dxa"/>
            <w:tcBorders>
              <w:top w:val="single" w:sz="8" w:space="0" w:color="auto"/>
              <w:bottom w:val="single" w:sz="8" w:space="0" w:color="auto"/>
            </w:tcBorders>
          </w:tcPr>
          <w:p w:rsidR="00DD2BF7" w:rsidRPr="00937756" w:rsidRDefault="00DD2BF7" w:rsidP="003168C2">
            <w:pPr>
              <w:jc w:val="center"/>
              <w:rPr>
                <w:rFonts w:cs="Arial"/>
                <w:b/>
                <w:snapToGrid w:val="0"/>
                <w:sz w:val="18"/>
                <w:szCs w:val="18"/>
              </w:rPr>
            </w:pPr>
            <w:r w:rsidRPr="00937756">
              <w:rPr>
                <w:rFonts w:cs="Arial"/>
                <w:b/>
                <w:snapToGrid w:val="0"/>
                <w:sz w:val="18"/>
                <w:szCs w:val="18"/>
              </w:rPr>
              <w:t>2,942,905</w:t>
            </w:r>
          </w:p>
        </w:tc>
        <w:tc>
          <w:tcPr>
            <w:tcW w:w="3177" w:type="dxa"/>
            <w:tcBorders>
              <w:top w:val="single" w:sz="8" w:space="0" w:color="auto"/>
              <w:bottom w:val="single" w:sz="8" w:space="0" w:color="auto"/>
            </w:tcBorders>
          </w:tcPr>
          <w:p w:rsidR="00DD2BF7" w:rsidRPr="00937756" w:rsidRDefault="00DD2BF7" w:rsidP="00962988">
            <w:pPr>
              <w:rPr>
                <w:rFonts w:cs="Arial"/>
                <w:b/>
                <w:snapToGrid w:val="0"/>
                <w:sz w:val="18"/>
                <w:szCs w:val="18"/>
                <w:vertAlign w:val="superscript"/>
              </w:rPr>
            </w:pPr>
          </w:p>
        </w:tc>
        <w:tc>
          <w:tcPr>
            <w:tcW w:w="1032" w:type="dxa"/>
            <w:tcBorders>
              <w:top w:val="single" w:sz="8" w:space="0" w:color="auto"/>
              <w:bottom w:val="single" w:sz="8" w:space="0" w:color="auto"/>
            </w:tcBorders>
          </w:tcPr>
          <w:p w:rsidR="00DD2BF7" w:rsidRPr="00937756" w:rsidRDefault="00DD2BF7" w:rsidP="00962988">
            <w:pPr>
              <w:ind w:right="170"/>
              <w:jc w:val="right"/>
              <w:rPr>
                <w:rFonts w:cs="Arial"/>
                <w:b/>
                <w:snapToGrid w:val="0"/>
                <w:sz w:val="18"/>
                <w:szCs w:val="18"/>
              </w:rPr>
            </w:pPr>
            <w:r w:rsidRPr="00937756">
              <w:rPr>
                <w:rFonts w:cs="Arial"/>
                <w:b/>
                <w:snapToGrid w:val="0"/>
                <w:sz w:val="18"/>
                <w:szCs w:val="18"/>
              </w:rPr>
              <w:t>62.80</w:t>
            </w:r>
          </w:p>
        </w:tc>
        <w:tc>
          <w:tcPr>
            <w:tcW w:w="1560" w:type="dxa"/>
            <w:tcBorders>
              <w:top w:val="single" w:sz="8" w:space="0" w:color="auto"/>
              <w:bottom w:val="single" w:sz="8" w:space="0" w:color="auto"/>
            </w:tcBorders>
          </w:tcPr>
          <w:p w:rsidR="00DD2BF7" w:rsidRPr="00937756" w:rsidRDefault="00DD2BF7" w:rsidP="00962988">
            <w:pPr>
              <w:ind w:right="284"/>
              <w:jc w:val="right"/>
              <w:rPr>
                <w:rFonts w:cs="Arial"/>
                <w:b/>
                <w:snapToGrid w:val="0"/>
                <w:sz w:val="18"/>
                <w:szCs w:val="18"/>
              </w:rPr>
            </w:pPr>
            <w:r w:rsidRPr="00937756">
              <w:rPr>
                <w:rFonts w:cs="Arial"/>
                <w:b/>
                <w:snapToGrid w:val="0"/>
                <w:sz w:val="18"/>
                <w:szCs w:val="18"/>
              </w:rPr>
              <w:t>3,365,962</w:t>
            </w:r>
          </w:p>
        </w:tc>
        <w:tc>
          <w:tcPr>
            <w:tcW w:w="1559" w:type="dxa"/>
            <w:tcBorders>
              <w:top w:val="single" w:sz="8" w:space="0" w:color="auto"/>
              <w:bottom w:val="single" w:sz="8" w:space="0" w:color="auto"/>
            </w:tcBorders>
          </w:tcPr>
          <w:p w:rsidR="00DD2BF7" w:rsidRPr="005304DA" w:rsidRDefault="00DD2BF7" w:rsidP="00962988">
            <w:pPr>
              <w:ind w:right="284"/>
              <w:jc w:val="right"/>
              <w:rPr>
                <w:rFonts w:cs="Arial"/>
                <w:b/>
                <w:snapToGrid w:val="0"/>
                <w:sz w:val="18"/>
                <w:szCs w:val="18"/>
              </w:rPr>
            </w:pPr>
            <w:r w:rsidRPr="00937756">
              <w:rPr>
                <w:rFonts w:cs="Arial"/>
                <w:b/>
                <w:snapToGrid w:val="0"/>
                <w:sz w:val="18"/>
                <w:szCs w:val="18"/>
              </w:rPr>
              <w:t>3,365,962</w:t>
            </w:r>
          </w:p>
        </w:tc>
      </w:tr>
    </w:tbl>
    <w:p w:rsidR="00604822" w:rsidRPr="005304DA" w:rsidRDefault="00604822" w:rsidP="00604822"/>
    <w:p w:rsidR="00604822" w:rsidRPr="005304DA" w:rsidRDefault="00604822" w:rsidP="00604822"/>
    <w:p w:rsidR="00604822" w:rsidRPr="005304DA" w:rsidRDefault="00604822" w:rsidP="00604822"/>
    <w:p w:rsidR="00604822" w:rsidRPr="00F03C67" w:rsidRDefault="00604822" w:rsidP="00604822">
      <w:pPr>
        <w:pStyle w:val="Endofdocument"/>
        <w:tabs>
          <w:tab w:val="decimal" w:pos="9071"/>
        </w:tabs>
        <w:ind w:right="-1"/>
        <w:jc w:val="right"/>
        <w:rPr>
          <w:rFonts w:ascii="Arial" w:hAnsi="Arial" w:cs="Arial"/>
          <w:sz w:val="20"/>
        </w:rPr>
      </w:pPr>
      <w:r w:rsidRPr="00F03C67">
        <w:rPr>
          <w:rFonts w:ascii="Arial" w:hAnsi="Arial" w:cs="Arial"/>
          <w:snapToGrid w:val="0"/>
          <w:sz w:val="20"/>
        </w:rPr>
        <w:t>[Appendix IV follows]</w:t>
      </w:r>
    </w:p>
    <w:p w:rsidR="00604822" w:rsidRPr="00FE2AD9" w:rsidRDefault="00604822" w:rsidP="00604822">
      <w:pPr>
        <w:rPr>
          <w:highlight w:val="cyan"/>
        </w:rPr>
      </w:pPr>
    </w:p>
    <w:p w:rsidR="00604822" w:rsidRPr="00FE2AD9" w:rsidRDefault="00604822" w:rsidP="00604822">
      <w:pPr>
        <w:rPr>
          <w:rFonts w:cs="Arial"/>
          <w:b/>
          <w:color w:val="0000FF"/>
          <w:highlight w:val="cyan"/>
        </w:rPr>
        <w:sectPr w:rsidR="00604822" w:rsidRPr="00FE2AD9" w:rsidSect="00962988">
          <w:headerReference w:type="default" r:id="rId34"/>
          <w:headerReference w:type="first" r:id="rId35"/>
          <w:footerReference w:type="first" r:id="rId36"/>
          <w:pgSz w:w="11907" w:h="16840" w:code="9"/>
          <w:pgMar w:top="510" w:right="1134" w:bottom="1134" w:left="1134" w:header="510" w:footer="624" w:gutter="0"/>
          <w:pgNumType w:start="1"/>
          <w:cols w:space="720"/>
          <w:titlePg/>
        </w:sectPr>
      </w:pPr>
    </w:p>
    <w:p w:rsidR="00604822" w:rsidRPr="004A5000" w:rsidRDefault="00604822" w:rsidP="00604822">
      <w:pPr>
        <w:jc w:val="center"/>
      </w:pPr>
      <w:r>
        <w:t>ANNEX</w:t>
      </w:r>
      <w:r w:rsidRPr="004A5000">
        <w:t xml:space="preserve"> – APPENDIX IV</w:t>
      </w:r>
    </w:p>
    <w:p w:rsidR="00604822" w:rsidRPr="004A5000" w:rsidRDefault="00604822" w:rsidP="00604822">
      <w:pPr>
        <w:jc w:val="center"/>
      </w:pPr>
    </w:p>
    <w:p w:rsidR="00604822" w:rsidRPr="004A5000" w:rsidRDefault="00604822" w:rsidP="00604822">
      <w:pPr>
        <w:jc w:val="center"/>
      </w:pPr>
    </w:p>
    <w:p w:rsidR="00604822" w:rsidRPr="004A5000" w:rsidRDefault="00604822" w:rsidP="00604822">
      <w:pPr>
        <w:jc w:val="center"/>
      </w:pPr>
      <w:r w:rsidRPr="004A5000">
        <w:t>DEFINITIONS OF BUDGET HEADINGS</w:t>
      </w:r>
    </w:p>
    <w:p w:rsidR="00604822" w:rsidRPr="004A5000" w:rsidRDefault="00604822" w:rsidP="00604822"/>
    <w:p w:rsidR="00604822" w:rsidRPr="004A5000" w:rsidRDefault="00604822" w:rsidP="00604822"/>
    <w:p w:rsidR="00604822" w:rsidRPr="004A5000" w:rsidRDefault="00604822" w:rsidP="00604822">
      <w:pPr>
        <w:jc w:val="center"/>
        <w:rPr>
          <w:b/>
          <w:szCs w:val="24"/>
        </w:rPr>
      </w:pPr>
      <w:r w:rsidRPr="004A5000">
        <w:rPr>
          <w:rStyle w:val="underline"/>
          <w:b/>
          <w:szCs w:val="24"/>
        </w:rPr>
        <w:t>Sources of Income</w:t>
      </w:r>
    </w:p>
    <w:p w:rsidR="00604822" w:rsidRPr="004A5000" w:rsidRDefault="00604822" w:rsidP="00604822"/>
    <w:p w:rsidR="00604822" w:rsidRPr="004A5000" w:rsidRDefault="00604822" w:rsidP="00604822">
      <w:pPr>
        <w:rPr>
          <w:rStyle w:val="underline"/>
          <w:b/>
          <w:i/>
        </w:rPr>
      </w:pPr>
      <w:r w:rsidRPr="004A5000">
        <w:rPr>
          <w:b/>
          <w:u w:val="single"/>
        </w:rPr>
        <w:t>Contributions</w:t>
      </w:r>
    </w:p>
    <w:p w:rsidR="00604822" w:rsidRPr="004A5000" w:rsidRDefault="00604822" w:rsidP="00604822"/>
    <w:p w:rsidR="00604822" w:rsidRPr="004A5000" w:rsidRDefault="00604822" w:rsidP="00604822">
      <w:proofErr w:type="gramStart"/>
      <w:r w:rsidRPr="004A5000">
        <w:t>Contributions of members of the Union under the UPOV Convention (Article 29 of the 1991 Act and Article 26 of the 1978 Act).</w:t>
      </w:r>
      <w:proofErr w:type="gramEnd"/>
    </w:p>
    <w:p w:rsidR="00604822" w:rsidRPr="004A5000" w:rsidRDefault="00604822" w:rsidP="00604822"/>
    <w:p w:rsidR="00604822" w:rsidRPr="004A5000" w:rsidRDefault="00604822" w:rsidP="00604822">
      <w:pPr>
        <w:keepNext/>
        <w:spacing w:after="40"/>
        <w:rPr>
          <w:b/>
        </w:rPr>
      </w:pPr>
      <w:r w:rsidRPr="004A5000">
        <w:rPr>
          <w:b/>
        </w:rPr>
        <w:t>Publications Income</w:t>
      </w:r>
    </w:p>
    <w:p w:rsidR="00604822" w:rsidRPr="004A5000" w:rsidRDefault="00604822" w:rsidP="00604822">
      <w:proofErr w:type="gramStart"/>
      <w:r w:rsidRPr="004A5000">
        <w:t>Revenue from the sale of publications and products by the Office of the Union.</w:t>
      </w:r>
      <w:proofErr w:type="gramEnd"/>
    </w:p>
    <w:p w:rsidR="00604822" w:rsidRPr="004A5000" w:rsidRDefault="00604822" w:rsidP="00604822"/>
    <w:p w:rsidR="00604822" w:rsidRPr="004A5000" w:rsidRDefault="00604822" w:rsidP="00604822">
      <w:pPr>
        <w:keepNext/>
        <w:spacing w:after="40"/>
        <w:rPr>
          <w:b/>
        </w:rPr>
      </w:pPr>
      <w:r w:rsidRPr="004A5000">
        <w:rPr>
          <w:b/>
        </w:rPr>
        <w:t>Interest Income</w:t>
      </w:r>
    </w:p>
    <w:p w:rsidR="00604822" w:rsidRPr="004A5000" w:rsidRDefault="00604822" w:rsidP="00604822">
      <w:proofErr w:type="gramStart"/>
      <w:r w:rsidRPr="004A5000">
        <w:t>Revenues from interest on capital deposits.</w:t>
      </w:r>
      <w:proofErr w:type="gramEnd"/>
    </w:p>
    <w:p w:rsidR="00604822" w:rsidRPr="004A5000" w:rsidRDefault="00604822" w:rsidP="00604822"/>
    <w:p w:rsidR="00604822" w:rsidRPr="004A5000" w:rsidRDefault="00604822" w:rsidP="00604822">
      <w:pPr>
        <w:keepNext/>
        <w:spacing w:after="40"/>
        <w:rPr>
          <w:b/>
        </w:rPr>
      </w:pPr>
      <w:r w:rsidRPr="004A5000">
        <w:rPr>
          <w:b/>
        </w:rPr>
        <w:t>Other Income</w:t>
      </w:r>
    </w:p>
    <w:p w:rsidR="00604822" w:rsidRPr="004A5000" w:rsidRDefault="00604822" w:rsidP="00604822">
      <w:r w:rsidRPr="004A5000">
        <w:t>All other income not described above, including accounting adjustments (credits) in respect of prior years, currency adjustments (credits) and income to cover “support costs” in respect of extra</w:t>
      </w:r>
      <w:r w:rsidRPr="004A5000">
        <w:noBreakHyphen/>
        <w:t xml:space="preserve">budgetary activities executed by UPOV and financed by Funds-in-Trust;  UPOV’s share in WIPO’s common income; </w:t>
      </w:r>
      <w:r w:rsidRPr="004A5000">
        <w:rPr>
          <w:rFonts w:cs="Arial"/>
          <w:snapToGrid w:val="0"/>
          <w:color w:val="000000"/>
        </w:rPr>
        <w:t xml:space="preserve"> nominal income from the Electronic Application Form (EAF).</w:t>
      </w:r>
    </w:p>
    <w:p w:rsidR="00604822" w:rsidRPr="004A5000" w:rsidRDefault="00604822" w:rsidP="00604822"/>
    <w:p w:rsidR="00604822" w:rsidRPr="004A5000" w:rsidRDefault="00604822" w:rsidP="00604822"/>
    <w:p w:rsidR="00604822" w:rsidRPr="004A5000" w:rsidRDefault="00604822" w:rsidP="00604822">
      <w:pPr>
        <w:jc w:val="center"/>
        <w:rPr>
          <w:rStyle w:val="underline"/>
          <w:b/>
          <w:szCs w:val="24"/>
        </w:rPr>
      </w:pPr>
      <w:r w:rsidRPr="004A5000">
        <w:rPr>
          <w:rStyle w:val="underline"/>
          <w:b/>
          <w:szCs w:val="24"/>
        </w:rPr>
        <w:t>Objects of Expenditure</w:t>
      </w:r>
    </w:p>
    <w:p w:rsidR="00604822" w:rsidRPr="004A5000" w:rsidRDefault="00604822" w:rsidP="00604822">
      <w:pPr>
        <w:jc w:val="center"/>
      </w:pPr>
    </w:p>
    <w:p w:rsidR="00604822" w:rsidRPr="004A5000" w:rsidRDefault="00604822" w:rsidP="00604822">
      <w:pPr>
        <w:rPr>
          <w:b/>
          <w:u w:val="single"/>
        </w:rPr>
      </w:pPr>
      <w:r w:rsidRPr="004A5000">
        <w:rPr>
          <w:b/>
          <w:u w:val="single"/>
        </w:rPr>
        <w:t>Personnel Resources</w:t>
      </w:r>
    </w:p>
    <w:p w:rsidR="00604822" w:rsidRPr="004A5000" w:rsidRDefault="00604822" w:rsidP="00604822"/>
    <w:p w:rsidR="00604822" w:rsidRPr="004A5000" w:rsidRDefault="00604822" w:rsidP="00604822">
      <w:pPr>
        <w:keepNext/>
        <w:spacing w:after="40"/>
        <w:rPr>
          <w:b/>
        </w:rPr>
      </w:pPr>
      <w:r w:rsidRPr="004A5000">
        <w:rPr>
          <w:b/>
        </w:rPr>
        <w:t>Posts</w:t>
      </w:r>
    </w:p>
    <w:p w:rsidR="00604822" w:rsidRPr="004A5000" w:rsidRDefault="00604822" w:rsidP="00604822">
      <w:r w:rsidRPr="004A5000">
        <w:t xml:space="preserve">Remuneration received by staff members, in particular salaries, post adjustment, dependency allowances, language allowances and overtime, non-resident allowances, assignment grant and representation allowances and allowances received by staff members not included in their salaries.  The latter includes employer’s contribution towards pension fund, participation in sickness insurance scheme, contribution towards the separation provision used for covering payments due upon separation from service, education grants, removal expenses, travel expenses of dependent children attending educational institutions, home leave, grants to cover costs of installation in the duty station, professional accident insurance </w:t>
      </w:r>
      <w:proofErr w:type="spellStart"/>
      <w:r w:rsidRPr="004A5000">
        <w:t>premia</w:t>
      </w:r>
      <w:proofErr w:type="spellEnd"/>
      <w:r w:rsidRPr="004A5000">
        <w:t>, refund of national income taxes on salaries and other allowances, indemnities or grants paid by the Office of the Union.</w:t>
      </w:r>
    </w:p>
    <w:p w:rsidR="00604822" w:rsidRPr="004A5000" w:rsidRDefault="00604822" w:rsidP="00604822"/>
    <w:p w:rsidR="00604822" w:rsidRPr="004A5000" w:rsidRDefault="00604822" w:rsidP="00604822">
      <w:pPr>
        <w:keepNext/>
        <w:spacing w:after="40"/>
        <w:rPr>
          <w:b/>
        </w:rPr>
      </w:pPr>
      <w:r w:rsidRPr="004A5000">
        <w:rPr>
          <w:b/>
        </w:rPr>
        <w:t>Temporary Staff</w:t>
      </w:r>
    </w:p>
    <w:p w:rsidR="00604822" w:rsidRPr="004A5000" w:rsidRDefault="00604822" w:rsidP="00604822">
      <w:r w:rsidRPr="004A5000">
        <w:t>Remuneration and allowances paid to staff on short term appointments.</w:t>
      </w:r>
    </w:p>
    <w:p w:rsidR="00604822" w:rsidRPr="004A5000" w:rsidRDefault="00604822" w:rsidP="00604822"/>
    <w:p w:rsidR="00604822" w:rsidRPr="004A5000" w:rsidRDefault="00604822" w:rsidP="00604822"/>
    <w:p w:rsidR="00604822" w:rsidRPr="004A5000" w:rsidRDefault="00604822" w:rsidP="00604822">
      <w:pPr>
        <w:rPr>
          <w:b/>
          <w:u w:val="single"/>
        </w:rPr>
      </w:pPr>
      <w:r w:rsidRPr="004A5000">
        <w:rPr>
          <w:b/>
          <w:u w:val="single"/>
        </w:rPr>
        <w:t>Non-Personnel Resources</w:t>
      </w:r>
    </w:p>
    <w:p w:rsidR="00604822" w:rsidRPr="004A5000" w:rsidRDefault="00604822" w:rsidP="00604822">
      <w:pPr>
        <w:rPr>
          <w:b/>
          <w:u w:val="single"/>
        </w:rPr>
      </w:pPr>
    </w:p>
    <w:p w:rsidR="00604822" w:rsidRPr="004A5000" w:rsidRDefault="00604822" w:rsidP="00604822">
      <w:pPr>
        <w:rPr>
          <w:rFonts w:cs="Arial"/>
          <w:b/>
          <w:bCs/>
        </w:rPr>
      </w:pPr>
      <w:r w:rsidRPr="004A5000">
        <w:rPr>
          <w:rFonts w:cs="Arial"/>
          <w:b/>
          <w:bCs/>
        </w:rPr>
        <w:t>Internships and Fellowships</w:t>
      </w:r>
    </w:p>
    <w:p w:rsidR="00604822" w:rsidRPr="004A5000" w:rsidRDefault="00604822" w:rsidP="00604822">
      <w:pPr>
        <w:rPr>
          <w:rFonts w:cs="Arial"/>
        </w:rPr>
      </w:pPr>
    </w:p>
    <w:p w:rsidR="00604822" w:rsidRPr="004A5000" w:rsidRDefault="00604822" w:rsidP="00604822">
      <w:pPr>
        <w:rPr>
          <w:rFonts w:cs="Arial"/>
        </w:rPr>
      </w:pPr>
      <w:r w:rsidRPr="004A5000">
        <w:rPr>
          <w:rFonts w:cs="Arial"/>
          <w:b/>
          <w:bCs/>
          <w:i/>
          <w:iCs/>
          <w:color w:val="000000"/>
        </w:rPr>
        <w:t>Internships</w:t>
      </w:r>
      <w:r w:rsidRPr="004A5000">
        <w:rPr>
          <w:rFonts w:cs="Arial"/>
        </w:rPr>
        <w:t xml:space="preserve">: remuneration and allowances paid to interns. </w:t>
      </w:r>
    </w:p>
    <w:p w:rsidR="00604822" w:rsidRPr="004A5000" w:rsidRDefault="00604822" w:rsidP="00604822"/>
    <w:p w:rsidR="00604822" w:rsidRPr="004A5000" w:rsidRDefault="00604822" w:rsidP="00604822">
      <w:pPr>
        <w:rPr>
          <w:rFonts w:cs="Arial"/>
        </w:rPr>
      </w:pPr>
      <w:r w:rsidRPr="004A5000">
        <w:rPr>
          <w:rFonts w:cs="Arial"/>
          <w:b/>
          <w:bCs/>
          <w:i/>
          <w:iCs/>
          <w:color w:val="000000"/>
        </w:rPr>
        <w:t>Fellowships:</w:t>
      </w:r>
      <w:r w:rsidRPr="004A5000">
        <w:rPr>
          <w:rFonts w:cs="Arial"/>
          <w:b/>
          <w:bCs/>
          <w:i/>
          <w:iCs/>
        </w:rPr>
        <w:t xml:space="preserve"> </w:t>
      </w:r>
      <w:r w:rsidRPr="004A5000">
        <w:rPr>
          <w:rFonts w:cs="Arial"/>
          <w:bCs/>
          <w:iCs/>
        </w:rPr>
        <w:t xml:space="preserve">expenses related to a </w:t>
      </w:r>
      <w:r w:rsidRPr="004A5000">
        <w:rPr>
          <w:rFonts w:cs="Arial"/>
        </w:rPr>
        <w:t xml:space="preserve">training activity that provides a monetary grant to qualified individuals for the purpose of fulfilling special learning objectives. </w:t>
      </w:r>
    </w:p>
    <w:p w:rsidR="00604822" w:rsidRPr="004A5000" w:rsidRDefault="00604822" w:rsidP="00604822">
      <w:pPr>
        <w:rPr>
          <w:b/>
          <w:u w:val="single"/>
        </w:rPr>
      </w:pPr>
    </w:p>
    <w:p w:rsidR="00604822" w:rsidRPr="004A5000" w:rsidRDefault="00604822" w:rsidP="00604822">
      <w:pPr>
        <w:keepNext/>
        <w:rPr>
          <w:b/>
        </w:rPr>
      </w:pPr>
      <w:r w:rsidRPr="004A5000">
        <w:rPr>
          <w:b/>
        </w:rPr>
        <w:t xml:space="preserve">Travel, Training and Grants </w:t>
      </w:r>
    </w:p>
    <w:p w:rsidR="00604822" w:rsidRPr="004A5000" w:rsidRDefault="00604822" w:rsidP="00604822">
      <w:pPr>
        <w:keepNext/>
        <w:rPr>
          <w:b/>
          <w:u w:val="single"/>
        </w:rPr>
      </w:pPr>
    </w:p>
    <w:p w:rsidR="00604822" w:rsidRPr="004A5000" w:rsidRDefault="00604822" w:rsidP="00604822">
      <w:pPr>
        <w:jc w:val="left"/>
        <w:rPr>
          <w:rFonts w:cs="Arial"/>
          <w:color w:val="000000"/>
        </w:rPr>
      </w:pPr>
      <w:r w:rsidRPr="004A5000">
        <w:rPr>
          <w:rFonts w:cs="Arial"/>
          <w:b/>
          <w:bCs/>
          <w:i/>
          <w:iCs/>
          <w:color w:val="000000"/>
        </w:rPr>
        <w:t>Staff missions</w:t>
      </w:r>
      <w:r w:rsidRPr="004A5000">
        <w:rPr>
          <w:rFonts w:cs="Arial"/>
          <w:color w:val="000000"/>
        </w:rPr>
        <w:t>:  travel expenses and daily subsistence allowances for all staff on official travel.</w:t>
      </w:r>
    </w:p>
    <w:p w:rsidR="00604822" w:rsidRPr="004A5000" w:rsidRDefault="00604822" w:rsidP="00604822"/>
    <w:p w:rsidR="00604822" w:rsidRPr="004A5000" w:rsidRDefault="00604822" w:rsidP="00604822">
      <w:pPr>
        <w:jc w:val="left"/>
        <w:rPr>
          <w:rFonts w:cs="Arial"/>
          <w:color w:val="000000"/>
        </w:rPr>
      </w:pPr>
      <w:r w:rsidRPr="004A5000">
        <w:rPr>
          <w:rFonts w:cs="Arial"/>
          <w:b/>
          <w:bCs/>
          <w:i/>
          <w:iCs/>
          <w:color w:val="000000"/>
        </w:rPr>
        <w:t>Third party travel</w:t>
      </w:r>
      <w:r w:rsidRPr="004A5000">
        <w:rPr>
          <w:rFonts w:cs="Arial"/>
          <w:color w:val="000000"/>
        </w:rPr>
        <w:t>:  travel expenses and daily subsistence allowances for all third parties – i.e. non-staff.  This will include the travel costs of Government officials, participants and lecturers attending UPOV-sponsored meetings.</w:t>
      </w:r>
    </w:p>
    <w:p w:rsidR="00604822" w:rsidRPr="004A5000" w:rsidRDefault="00604822" w:rsidP="00604822"/>
    <w:p w:rsidR="00604822" w:rsidRPr="004A5000" w:rsidRDefault="00604822" w:rsidP="00604822">
      <w:pPr>
        <w:jc w:val="left"/>
        <w:rPr>
          <w:rFonts w:cs="Arial"/>
        </w:rPr>
      </w:pPr>
      <w:r w:rsidRPr="004A5000">
        <w:rPr>
          <w:rFonts w:cs="Arial"/>
          <w:b/>
          <w:bCs/>
          <w:i/>
          <w:iCs/>
          <w:color w:val="000000"/>
        </w:rPr>
        <w:t>Training and related travel grants</w:t>
      </w:r>
      <w:r w:rsidRPr="004A5000">
        <w:rPr>
          <w:rFonts w:cs="Arial"/>
          <w:color w:val="000000"/>
        </w:rPr>
        <w:t xml:space="preserve">: travel expenses, daily subsistence allowances and training and other fees in connection with trainees attending courses, seminars, fellowships.  </w:t>
      </w:r>
    </w:p>
    <w:p w:rsidR="00604822" w:rsidRPr="004A5000" w:rsidRDefault="00604822" w:rsidP="00604822"/>
    <w:p w:rsidR="00604822" w:rsidRPr="004A5000" w:rsidRDefault="00604822" w:rsidP="00604822">
      <w:pPr>
        <w:keepNext/>
        <w:rPr>
          <w:b/>
        </w:rPr>
      </w:pPr>
      <w:r w:rsidRPr="004A5000">
        <w:rPr>
          <w:b/>
        </w:rPr>
        <w:t>Contractual Services</w:t>
      </w:r>
    </w:p>
    <w:p w:rsidR="00604822" w:rsidRPr="004A5000" w:rsidRDefault="00604822" w:rsidP="00604822">
      <w:pPr>
        <w:keepNext/>
        <w:rPr>
          <w:b/>
          <w:u w:val="single"/>
        </w:rPr>
      </w:pPr>
    </w:p>
    <w:p w:rsidR="00604822" w:rsidRPr="004A5000" w:rsidRDefault="00604822" w:rsidP="00604822">
      <w:pPr>
        <w:keepNext/>
        <w:keepLines/>
        <w:jc w:val="left"/>
        <w:rPr>
          <w:color w:val="000000"/>
          <w:szCs w:val="22"/>
        </w:rPr>
      </w:pPr>
      <w:r w:rsidRPr="004A5000">
        <w:rPr>
          <w:b/>
          <w:bCs/>
          <w:i/>
          <w:iCs/>
          <w:color w:val="000000"/>
          <w:szCs w:val="22"/>
        </w:rPr>
        <w:t>Conferences</w:t>
      </w:r>
      <w:r w:rsidRPr="004A5000">
        <w:rPr>
          <w:color w:val="000000"/>
          <w:szCs w:val="22"/>
        </w:rPr>
        <w:t xml:space="preserve">: remuneration, travel expenses and daily subsistence allowances for interpreters; renting of conference facilities, and interpretation equipment; refreshments and receptions; and the cost of any other service directly linked to the organization of a conference. </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Publishing</w:t>
      </w:r>
      <w:r w:rsidRPr="004A5000">
        <w:rPr>
          <w:color w:val="000000"/>
          <w:szCs w:val="22"/>
        </w:rPr>
        <w:t>: outside printing and binding; reviews; paper and printing; other printing:  reprints of articles published in reviews;  brochures;  treaties;  collections of texts;  manuals;  working forms and other miscellaneous printed material;  production of CD-ROMs, videos, magnetic tapes and other forms of electronic publishing.</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Individual Contractual Services</w:t>
      </w:r>
      <w:r w:rsidRPr="004A5000">
        <w:rPr>
          <w:color w:val="000000"/>
          <w:szCs w:val="22"/>
        </w:rPr>
        <w:t>:  remuneration paid in respect of individual contractual services.  This category will also include the budget for Experts’ Honoraria.</w:t>
      </w:r>
    </w:p>
    <w:p w:rsidR="00604822" w:rsidRPr="004A5000" w:rsidRDefault="00604822" w:rsidP="00604822"/>
    <w:p w:rsidR="00604822" w:rsidRPr="004A5000" w:rsidRDefault="00604822" w:rsidP="00604822">
      <w:pPr>
        <w:rPr>
          <w:color w:val="000000"/>
          <w:szCs w:val="22"/>
        </w:rPr>
      </w:pPr>
      <w:r w:rsidRPr="004A5000">
        <w:rPr>
          <w:b/>
          <w:bCs/>
          <w:i/>
          <w:iCs/>
          <w:color w:val="000000"/>
          <w:szCs w:val="22"/>
        </w:rPr>
        <w:t xml:space="preserve">Other Contractual Services: </w:t>
      </w:r>
      <w:r w:rsidRPr="004A5000">
        <w:rPr>
          <w:color w:val="000000"/>
          <w:szCs w:val="22"/>
        </w:rPr>
        <w:t>includes all other contractual services with both commercial and non-commercial service providers.</w:t>
      </w:r>
    </w:p>
    <w:p w:rsidR="00604822" w:rsidRPr="004A5000" w:rsidRDefault="00604822" w:rsidP="00604822"/>
    <w:p w:rsidR="00604822" w:rsidRPr="004A5000" w:rsidRDefault="00604822" w:rsidP="00604822">
      <w:pPr>
        <w:keepNext/>
        <w:rPr>
          <w:b/>
        </w:rPr>
      </w:pPr>
      <w:r w:rsidRPr="004A5000">
        <w:rPr>
          <w:b/>
        </w:rPr>
        <w:t>Operating Expenses</w:t>
      </w:r>
    </w:p>
    <w:p w:rsidR="00604822" w:rsidRPr="004A5000" w:rsidRDefault="00604822" w:rsidP="00604822">
      <w:pPr>
        <w:keepNext/>
        <w:rPr>
          <w:b/>
          <w:u w:val="single"/>
        </w:rPr>
      </w:pPr>
    </w:p>
    <w:p w:rsidR="00604822" w:rsidRPr="004A5000" w:rsidRDefault="00604822" w:rsidP="00604822">
      <w:pPr>
        <w:rPr>
          <w:color w:val="000000"/>
        </w:rPr>
      </w:pPr>
      <w:r w:rsidRPr="004A5000">
        <w:t xml:space="preserve">All expenses arising from the acquisition, rental, improvement and maintenance of office space and rental or maintenance of equipment and furniture.  </w:t>
      </w:r>
      <w:r w:rsidRPr="004A5000">
        <w:rPr>
          <w:color w:val="000000"/>
        </w:rPr>
        <w:t>Communication expenses such as telephone, telegrams, telexes, facsimile and mail, postage and carriage of documents;  other expenses such as medical assistance, housing service, Administrative Tribunal, Staff Association, hospitality;  bank charges;  interest on bank and other loans (except building loans);  currency adjustments (debits);  audit expenses;  unforeseen expenses and accounting adjustments (debits) in respect of prior years;  contributions to joint administrative activities within the United Nations system.  Additionally, all common expenses related to either joint activities with WIPO or services actually rendered by WIPO.</w:t>
      </w:r>
    </w:p>
    <w:p w:rsidR="00604822" w:rsidRPr="004A5000" w:rsidRDefault="00604822" w:rsidP="00604822">
      <w:pPr>
        <w:rPr>
          <w:rStyle w:val="underline"/>
          <w:b/>
        </w:rPr>
      </w:pPr>
    </w:p>
    <w:p w:rsidR="00604822" w:rsidRPr="004A5000" w:rsidRDefault="00604822" w:rsidP="00604822">
      <w:pPr>
        <w:jc w:val="left"/>
        <w:rPr>
          <w:rFonts w:cs="Arial"/>
          <w:b/>
          <w:bCs/>
        </w:rPr>
      </w:pPr>
      <w:r w:rsidRPr="004A5000">
        <w:rPr>
          <w:rFonts w:cs="Arial"/>
          <w:b/>
          <w:bCs/>
        </w:rPr>
        <w:t>Equipment and Supplies</w:t>
      </w:r>
    </w:p>
    <w:p w:rsidR="00604822" w:rsidRPr="004A5000" w:rsidRDefault="00604822" w:rsidP="00604822">
      <w:pPr>
        <w:rPr>
          <w:rFonts w:cs="Arial"/>
        </w:rPr>
      </w:pPr>
    </w:p>
    <w:p w:rsidR="00604822" w:rsidRPr="004A5000" w:rsidRDefault="00604822" w:rsidP="00604822">
      <w:pPr>
        <w:rPr>
          <w:rFonts w:cs="Arial"/>
          <w:color w:val="000000"/>
        </w:rPr>
      </w:pPr>
      <w:r w:rsidRPr="004A5000">
        <w:rPr>
          <w:rFonts w:cs="Arial"/>
          <w:b/>
          <w:bCs/>
          <w:i/>
          <w:iCs/>
          <w:color w:val="000000"/>
        </w:rPr>
        <w:t>Furniture and equipment</w:t>
      </w:r>
      <w:r w:rsidRPr="004A5000">
        <w:rPr>
          <w:rFonts w:cs="Arial"/>
          <w:color w:val="000000"/>
        </w:rPr>
        <w:t>: purchase of office furniture, office machines, computer equipment (desktop, laptops, printers, servers, etc.), conference servicing equipment, reproduction equipment and transportation equipment.</w:t>
      </w:r>
    </w:p>
    <w:p w:rsidR="00604822" w:rsidRPr="004A5000" w:rsidRDefault="00604822" w:rsidP="00604822"/>
    <w:p w:rsidR="00604822" w:rsidRPr="004A5000" w:rsidRDefault="00604822" w:rsidP="00604822">
      <w:pPr>
        <w:rPr>
          <w:rFonts w:cs="Arial"/>
          <w:color w:val="000000"/>
        </w:rPr>
      </w:pPr>
      <w:r w:rsidRPr="004A5000">
        <w:rPr>
          <w:rFonts w:cs="Arial"/>
          <w:b/>
          <w:bCs/>
          <w:i/>
          <w:iCs/>
          <w:color w:val="000000"/>
        </w:rPr>
        <w:t>Supplies and materials</w:t>
      </w:r>
      <w:r w:rsidRPr="004A5000">
        <w:rPr>
          <w:rFonts w:cs="Arial"/>
          <w:color w:val="000000"/>
        </w:rPr>
        <w:t>: stationery and office supplies; internal reproduction supplies (offset, microfilms, etc.); library books and subscriptions to reviews and periodicals; uniforms; computer supplies, software and licenses.</w:t>
      </w:r>
    </w:p>
    <w:p w:rsidR="00604822" w:rsidRPr="004A5000" w:rsidRDefault="00604822" w:rsidP="00604822"/>
    <w:p w:rsidR="00604822" w:rsidRPr="004A5000" w:rsidRDefault="00604822" w:rsidP="00604822"/>
    <w:p w:rsidR="00604822" w:rsidRPr="004A5000" w:rsidRDefault="00604822" w:rsidP="00604822">
      <w:pPr>
        <w:jc w:val="center"/>
        <w:rPr>
          <w:rStyle w:val="underline"/>
          <w:b/>
          <w:szCs w:val="24"/>
        </w:rPr>
      </w:pPr>
      <w:r w:rsidRPr="004A5000">
        <w:rPr>
          <w:rStyle w:val="underline"/>
          <w:b/>
          <w:szCs w:val="24"/>
        </w:rPr>
        <w:t>Program</w:t>
      </w:r>
    </w:p>
    <w:p w:rsidR="00604822" w:rsidRPr="004A5000" w:rsidRDefault="00604822" w:rsidP="00604822">
      <w:pPr>
        <w:jc w:val="center"/>
      </w:pPr>
    </w:p>
    <w:p w:rsidR="00604822" w:rsidRPr="004A5000" w:rsidRDefault="00604822" w:rsidP="00604822">
      <w:r w:rsidRPr="004A5000">
        <w:rPr>
          <w:b/>
        </w:rPr>
        <w:t>Main Program:</w:t>
      </w:r>
      <w:r w:rsidRPr="004A5000">
        <w:t xml:space="preserve">  UPOV consists of a single Main Program which has been designed according to the need to realize priorities as defined by its membership.  Its over-reaching goals are grouped by type at the sub</w:t>
      </w:r>
      <w:r w:rsidRPr="004A5000">
        <w:noBreakHyphen/>
        <w:t>program level.</w:t>
      </w:r>
    </w:p>
    <w:p w:rsidR="00604822" w:rsidRPr="004A5000" w:rsidRDefault="00604822" w:rsidP="00604822"/>
    <w:p w:rsidR="00604822" w:rsidRPr="004A5000" w:rsidRDefault="00604822" w:rsidP="00604822">
      <w:r w:rsidRPr="004A5000">
        <w:rPr>
          <w:b/>
        </w:rPr>
        <w:t>Sub-programs:</w:t>
      </w:r>
      <w:r w:rsidRPr="004A5000">
        <w:t xml:space="preserve">  The UPOV Main Program is divided </w:t>
      </w:r>
      <w:proofErr w:type="gramStart"/>
      <w:r w:rsidRPr="004A5000">
        <w:t>into four Sub-programs (UV.1</w:t>
      </w:r>
      <w:r w:rsidRPr="004A5000">
        <w:noBreakHyphen/>
        <w:t>UV.4)</w:t>
      </w:r>
      <w:proofErr w:type="gramEnd"/>
      <w:r w:rsidRPr="004A5000">
        <w:t>.  Progress in each sub</w:t>
      </w:r>
      <w:r w:rsidRPr="004A5000">
        <w:noBreakHyphen/>
        <w:t>program is monitored against pre-determined objectives.  This process supports the efficient and cost</w:t>
      </w:r>
      <w:r w:rsidRPr="004A5000">
        <w:noBreakHyphen/>
        <w:t>effective utilization of resources and the maintenance of a system of accountability for program implementation.</w:t>
      </w:r>
    </w:p>
    <w:p w:rsidR="00903264" w:rsidRPr="00604822" w:rsidRDefault="00604822" w:rsidP="00604822">
      <w:pPr>
        <w:pStyle w:val="endofdoc"/>
        <w:rPr>
          <w:rFonts w:cs="Arial"/>
        </w:rPr>
      </w:pPr>
      <w:r w:rsidRPr="004A5000">
        <w:t xml:space="preserve">[End of </w:t>
      </w:r>
      <w:r>
        <w:t>Annex</w:t>
      </w:r>
      <w:r w:rsidRPr="004A5000">
        <w:t xml:space="preserve"> and of document]</w:t>
      </w:r>
    </w:p>
    <w:p w:rsidR="00050E16" w:rsidRPr="00C5280D" w:rsidRDefault="00050E16" w:rsidP="009B440E">
      <w:pPr>
        <w:jc w:val="left"/>
      </w:pPr>
    </w:p>
    <w:sectPr w:rsidR="00050E16" w:rsidRPr="00C5280D" w:rsidSect="006E70E3">
      <w:headerReference w:type="defaul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88" w:rsidRDefault="00962988" w:rsidP="006655D3">
      <w:r>
        <w:separator/>
      </w:r>
    </w:p>
    <w:p w:rsidR="00962988" w:rsidRDefault="00962988" w:rsidP="006655D3"/>
    <w:p w:rsidR="00962988" w:rsidRDefault="00962988" w:rsidP="006655D3"/>
  </w:endnote>
  <w:endnote w:type="continuationSeparator" w:id="0">
    <w:p w:rsidR="00962988" w:rsidRDefault="00962988" w:rsidP="006655D3">
      <w:r>
        <w:separator/>
      </w:r>
    </w:p>
    <w:p w:rsidR="00962988" w:rsidRPr="00294751" w:rsidRDefault="00962988">
      <w:pPr>
        <w:pStyle w:val="Footer"/>
        <w:spacing w:after="60"/>
        <w:rPr>
          <w:sz w:val="18"/>
          <w:lang w:val="fr-FR"/>
        </w:rPr>
      </w:pPr>
      <w:r w:rsidRPr="00294751">
        <w:rPr>
          <w:sz w:val="18"/>
          <w:lang w:val="fr-FR"/>
        </w:rPr>
        <w:t>[Suite de la note de la page précédente]</w:t>
      </w:r>
    </w:p>
    <w:p w:rsidR="00962988" w:rsidRPr="00294751" w:rsidRDefault="00962988" w:rsidP="006655D3">
      <w:pPr>
        <w:rPr>
          <w:lang w:val="fr-FR"/>
        </w:rPr>
      </w:pPr>
    </w:p>
    <w:p w:rsidR="00962988" w:rsidRPr="00294751" w:rsidRDefault="00962988" w:rsidP="006655D3">
      <w:pPr>
        <w:rPr>
          <w:lang w:val="fr-FR"/>
        </w:rPr>
      </w:pPr>
    </w:p>
  </w:endnote>
  <w:endnote w:type="continuationNotice" w:id="1">
    <w:p w:rsidR="00962988" w:rsidRPr="00294751" w:rsidRDefault="00962988" w:rsidP="006655D3">
      <w:pPr>
        <w:rPr>
          <w:lang w:val="fr-FR"/>
        </w:rPr>
      </w:pPr>
      <w:r w:rsidRPr="00294751">
        <w:rPr>
          <w:lang w:val="fr-FR"/>
        </w:rPr>
        <w:t>[Suite de la note page suivante]</w:t>
      </w:r>
    </w:p>
    <w:p w:rsidR="00962988" w:rsidRPr="00294751" w:rsidRDefault="00962988" w:rsidP="006655D3">
      <w:pPr>
        <w:rPr>
          <w:lang w:val="fr-FR"/>
        </w:rPr>
      </w:pPr>
    </w:p>
    <w:p w:rsidR="00962988" w:rsidRPr="00294751" w:rsidRDefault="0096298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Default="00962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88" w:rsidRDefault="00962988" w:rsidP="006655D3">
      <w:r>
        <w:separator/>
      </w:r>
    </w:p>
  </w:footnote>
  <w:footnote w:type="continuationSeparator" w:id="0">
    <w:p w:rsidR="00962988" w:rsidRDefault="00962988" w:rsidP="006655D3">
      <w:r>
        <w:separator/>
      </w:r>
    </w:p>
  </w:footnote>
  <w:footnote w:type="continuationNotice" w:id="1">
    <w:p w:rsidR="00962988" w:rsidRPr="00AB530F" w:rsidRDefault="00962988" w:rsidP="00AB530F">
      <w:pPr>
        <w:pStyle w:val="Footer"/>
      </w:pPr>
    </w:p>
  </w:footnote>
  <w:footnote w:id="2">
    <w:p w:rsidR="00962988" w:rsidRDefault="00962988" w:rsidP="00713AD7">
      <w:pPr>
        <w:pStyle w:val="FootnoteText"/>
      </w:pPr>
      <w:r>
        <w:rPr>
          <w:rStyle w:val="FootnoteReference"/>
        </w:rPr>
        <w:footnoteRef/>
      </w:r>
      <w:r>
        <w:t xml:space="preserve"> </w:t>
      </w:r>
      <w:hyperlink r:id="rId1" w:history="1">
        <w:r w:rsidRPr="00624AD4">
          <w:rPr>
            <w:rStyle w:val="Hyperlink"/>
          </w:rPr>
          <w:t>http://www.upov.int/edocs/pubdocs/en/upov_pub_353.pdf</w:t>
        </w:r>
      </w:hyperlink>
      <w:r>
        <w:t xml:space="preserve"> </w:t>
      </w:r>
    </w:p>
  </w:footnote>
  <w:footnote w:id="3">
    <w:p w:rsidR="00962988" w:rsidRDefault="00962988" w:rsidP="00713AD7">
      <w:pPr>
        <w:pStyle w:val="FootnoteText"/>
      </w:pPr>
      <w:r>
        <w:rPr>
          <w:rStyle w:val="FootnoteReference"/>
        </w:rPr>
        <w:footnoteRef/>
      </w:r>
      <w:r>
        <w:t xml:space="preserve"> </w:t>
      </w:r>
      <w:r>
        <w:tab/>
        <w:t>(i.e. the territories of the relevant States (</w:t>
      </w:r>
      <w:r w:rsidRPr="003B02DB">
        <w:rPr>
          <w:spacing w:val="-2"/>
          <w:szCs w:val="24"/>
        </w:rPr>
        <w:t>the former Yugoslav Republic of Macedonia</w:t>
      </w:r>
      <w:r>
        <w:t>, Peru, Serbia, Montenegro and the United Republic of Tanzania) and the territory in which the constituting treaty of OAPI applies)</w:t>
      </w:r>
    </w:p>
  </w:footnote>
  <w:footnote w:id="4">
    <w:p w:rsidR="00962988" w:rsidRDefault="00962988" w:rsidP="00713AD7">
      <w:pPr>
        <w:pStyle w:val="FootnoteText"/>
      </w:pPr>
      <w:r>
        <w:rPr>
          <w:rStyle w:val="FootnoteReference"/>
        </w:rPr>
        <w:footnoteRef/>
      </w:r>
      <w:r>
        <w:t xml:space="preserve"> </w:t>
      </w:r>
      <w:r>
        <w:tab/>
        <w:t xml:space="preserve">See document </w:t>
      </w:r>
      <w:r w:rsidRPr="001F6A5E">
        <w:t>C/50/17</w:t>
      </w:r>
      <w:r>
        <w:t xml:space="preserve"> “Report by the Vice-President on the work of the ninety-second session of the Consultative Committee; adoption of recommendations, if any, prepared by that committee”, paragraph 48.</w:t>
      </w:r>
    </w:p>
  </w:footnote>
  <w:footnote w:id="5">
    <w:p w:rsidR="00962988" w:rsidRDefault="00962988" w:rsidP="00713AD7">
      <w:pPr>
        <w:pStyle w:val="FootnoteText"/>
      </w:pPr>
      <w:r>
        <w:rPr>
          <w:rStyle w:val="FootnoteReference"/>
        </w:rPr>
        <w:footnoteRef/>
      </w:r>
      <w:r>
        <w:tab/>
        <w:t>These examples of the situation in 2016 should not be construed as constituting any specific financial commitment or approval beyond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C5280D" w:rsidRDefault="00962988" w:rsidP="00EB048E">
    <w:pPr>
      <w:pStyle w:val="Header"/>
      <w:rPr>
        <w:rStyle w:val="PageNumber"/>
        <w:lang w:val="en-US"/>
      </w:rPr>
    </w:pPr>
    <w:r>
      <w:rPr>
        <w:rStyle w:val="PageNumber"/>
        <w:lang w:val="en-US"/>
      </w:rPr>
      <w:t>C/51/</w:t>
    </w:r>
  </w:p>
  <w:p w:rsidR="00962988" w:rsidRPr="00C5280D" w:rsidRDefault="0096298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26BBA">
      <w:rPr>
        <w:rStyle w:val="PageNumber"/>
        <w:noProof/>
        <w:lang w:val="en-US"/>
      </w:rPr>
      <w:t>1</w:t>
    </w:r>
    <w:r w:rsidRPr="00C5280D">
      <w:rPr>
        <w:rStyle w:val="PageNumber"/>
        <w:lang w:val="en-US"/>
      </w:rPr>
      <w:fldChar w:fldCharType="end"/>
    </w:r>
  </w:p>
  <w:p w:rsidR="00962988" w:rsidRPr="00C5280D" w:rsidRDefault="0096298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FE0119" w:rsidRDefault="00962988">
    <w:pPr>
      <w:pStyle w:val="Header"/>
      <w:rPr>
        <w:lang w:val="en-US"/>
      </w:rPr>
    </w:pPr>
    <w:r>
      <w:t>C/51/4</w:t>
    </w:r>
  </w:p>
  <w:p w:rsidR="00962988" w:rsidRPr="00FE0119" w:rsidRDefault="00962988">
    <w:pPr>
      <w:pStyle w:val="Header"/>
      <w:rPr>
        <w:lang w:val="en-US"/>
      </w:rPr>
    </w:pPr>
    <w:r>
      <w:rPr>
        <w:lang w:val="en-US"/>
      </w:rPr>
      <w:t>Annex</w:t>
    </w:r>
    <w:r w:rsidRPr="00FE0119">
      <w:rPr>
        <w:lang w:val="en-US"/>
      </w:rPr>
      <w:t xml:space="preserve">, page </w:t>
    </w:r>
    <w:sdt>
      <w:sdtPr>
        <w:rPr>
          <w:lang w:val="en-US"/>
        </w:rPr>
        <w:id w:val="1355917200"/>
        <w:docPartObj>
          <w:docPartGallery w:val="Page Numbers (Top of Page)"/>
          <w:docPartUnique/>
        </w:docPartObj>
      </w:sdtPr>
      <w:sdtEndPr>
        <w:rPr>
          <w:noProof/>
        </w:rPr>
      </w:sdtEndPr>
      <w:sdtContent>
        <w:r w:rsidRPr="00FE0119">
          <w:rPr>
            <w:lang w:val="en-US"/>
          </w:rPr>
          <w:fldChar w:fldCharType="begin"/>
        </w:r>
        <w:r w:rsidRPr="00FE0119">
          <w:rPr>
            <w:lang w:val="en-US"/>
          </w:rPr>
          <w:instrText xml:space="preserve"> PAGE   \* MERGEFORMAT </w:instrText>
        </w:r>
        <w:r w:rsidRPr="00FE0119">
          <w:rPr>
            <w:lang w:val="en-US"/>
          </w:rPr>
          <w:fldChar w:fldCharType="separate"/>
        </w:r>
        <w:r w:rsidR="00726BBA">
          <w:rPr>
            <w:noProof/>
            <w:lang w:val="en-US"/>
          </w:rPr>
          <w:t>32</w:t>
        </w:r>
        <w:r w:rsidRPr="00FE0119">
          <w:rPr>
            <w:noProof/>
            <w:lang w:val="en-US"/>
          </w:rPr>
          <w:fldChar w:fldCharType="end"/>
        </w:r>
      </w:sdtContent>
    </w:sdt>
  </w:p>
  <w:p w:rsidR="00962988" w:rsidRPr="00FE0119" w:rsidRDefault="00962988" w:rsidP="00962988">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Default="00962988" w:rsidP="00962988">
    <w:pPr>
      <w:jc w:val="center"/>
    </w:pPr>
    <w:r>
      <w:t>C/51/4</w:t>
    </w:r>
  </w:p>
  <w:p w:rsidR="00962988" w:rsidRDefault="00962988" w:rsidP="00962988">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C25CD4" w:rsidRDefault="00962988" w:rsidP="00962988">
    <w:pPr>
      <w:jc w:val="center"/>
      <w:rPr>
        <w:lang w:val="fr-FR"/>
      </w:rPr>
    </w:pPr>
    <w:r>
      <w:rPr>
        <w:lang w:val="fr-FR"/>
      </w:rPr>
      <w:t>C/51/4</w:t>
    </w:r>
  </w:p>
  <w:p w:rsidR="00962988" w:rsidRPr="00C25CD4" w:rsidRDefault="00962988" w:rsidP="00962988">
    <w:pPr>
      <w:jc w:val="center"/>
      <w:rPr>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0D2E14" w:rsidRDefault="00962988" w:rsidP="00962988">
    <w:pPr>
      <w:jc w:val="center"/>
      <w:rPr>
        <w:lang w:val="fr-FR"/>
      </w:rPr>
    </w:pPr>
    <w:r>
      <w:rPr>
        <w:lang w:val="fr-FR"/>
      </w:rPr>
      <w:t>C/51/4</w:t>
    </w:r>
  </w:p>
  <w:p w:rsidR="00962988" w:rsidRPr="000D2E14" w:rsidRDefault="00962988" w:rsidP="00962988">
    <w:pPr>
      <w:jc w:val="center"/>
      <w:rPr>
        <w:lang w:val="fr-FR"/>
      </w:rPr>
    </w:pPr>
  </w:p>
  <w:p w:rsidR="00962988" w:rsidRPr="000D2E14" w:rsidRDefault="00962988" w:rsidP="00962988">
    <w:pPr>
      <w:jc w:val="center"/>
      <w:rPr>
        <w:lang w:val="fr-FR"/>
      </w:rPr>
    </w:pPr>
    <w:proofErr w:type="spellStart"/>
    <w:r>
      <w:rPr>
        <w:lang w:val="fr-FR"/>
      </w:rPr>
      <w:t>Annex</w:t>
    </w:r>
    <w:proofErr w:type="spellEnd"/>
    <w:r w:rsidRPr="000D2E14">
      <w:rPr>
        <w:lang w:val="fr-FR"/>
      </w:rPr>
      <w:t xml:space="preserve"> – </w:t>
    </w:r>
    <w:proofErr w:type="spellStart"/>
    <w:r w:rsidRPr="000D2E14">
      <w:rPr>
        <w:lang w:val="fr-FR"/>
      </w:rPr>
      <w:t>Appendix</w:t>
    </w:r>
    <w:proofErr w:type="spellEnd"/>
    <w:r w:rsidRPr="000D2E14">
      <w:rPr>
        <w:lang w:val="fr-FR"/>
      </w:rPr>
      <w:t xml:space="preserve"> III – page </w:t>
    </w:r>
    <w:r w:rsidRPr="000D2E14">
      <w:rPr>
        <w:lang w:val="fr-FR"/>
      </w:rPr>
      <w:fldChar w:fldCharType="begin"/>
    </w:r>
    <w:r w:rsidRPr="000D2E14">
      <w:rPr>
        <w:lang w:val="fr-FR"/>
      </w:rPr>
      <w:instrText xml:space="preserve"> PAGE   \* MERGEFORMAT </w:instrText>
    </w:r>
    <w:r w:rsidRPr="000D2E14">
      <w:rPr>
        <w:lang w:val="fr-FR"/>
      </w:rPr>
      <w:fldChar w:fldCharType="separate"/>
    </w:r>
    <w:r w:rsidR="00726BBA">
      <w:rPr>
        <w:noProof/>
        <w:lang w:val="fr-FR"/>
      </w:rPr>
      <w:t>2</w:t>
    </w:r>
    <w:r w:rsidRPr="000D2E14">
      <w:rPr>
        <w:noProof/>
        <w:lang w:val="fr-FR"/>
      </w:rPr>
      <w:fldChar w:fldCharType="end"/>
    </w:r>
  </w:p>
  <w:p w:rsidR="00962988" w:rsidRPr="000D2E14" w:rsidRDefault="00962988" w:rsidP="006655D3">
    <w:pPr>
      <w:rPr>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988" w:rsidRPr="006E6F82" w:rsidRDefault="00962988" w:rsidP="00962988">
    <w:pPr>
      <w:jc w:val="center"/>
      <w:rPr>
        <w:lang w:val="fr-FR"/>
      </w:rPr>
    </w:pPr>
    <w:r>
      <w:rPr>
        <w:lang w:val="fr-FR"/>
      </w:rPr>
      <w:t>C/51/4</w:t>
    </w:r>
  </w:p>
  <w:p w:rsidR="00962988" w:rsidRPr="006E6F82" w:rsidRDefault="00962988" w:rsidP="00962988">
    <w:pPr>
      <w:jc w:val="center"/>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70E3" w:rsidRPr="000D2E14" w:rsidRDefault="006E70E3" w:rsidP="00962988">
    <w:pPr>
      <w:jc w:val="center"/>
      <w:rPr>
        <w:lang w:val="fr-FR"/>
      </w:rPr>
    </w:pPr>
    <w:r>
      <w:rPr>
        <w:lang w:val="fr-FR"/>
      </w:rPr>
      <w:t>C/51/4</w:t>
    </w:r>
  </w:p>
  <w:p w:rsidR="006E70E3" w:rsidRPr="000D2E14" w:rsidRDefault="006E70E3" w:rsidP="00962988">
    <w:pPr>
      <w:jc w:val="center"/>
      <w:rPr>
        <w:lang w:val="fr-FR"/>
      </w:rPr>
    </w:pPr>
  </w:p>
  <w:p w:rsidR="006E70E3" w:rsidRPr="000D2E14" w:rsidRDefault="006E70E3" w:rsidP="00962988">
    <w:pPr>
      <w:jc w:val="center"/>
      <w:rPr>
        <w:lang w:val="fr-FR"/>
      </w:rPr>
    </w:pPr>
    <w:proofErr w:type="spellStart"/>
    <w:r>
      <w:rPr>
        <w:lang w:val="fr-FR"/>
      </w:rPr>
      <w:t>Annex</w:t>
    </w:r>
    <w:proofErr w:type="spellEnd"/>
    <w:r w:rsidRPr="000D2E14">
      <w:rPr>
        <w:lang w:val="fr-FR"/>
      </w:rPr>
      <w:t xml:space="preserve"> – </w:t>
    </w:r>
    <w:proofErr w:type="spellStart"/>
    <w:r w:rsidRPr="000D2E14">
      <w:rPr>
        <w:lang w:val="fr-FR"/>
      </w:rPr>
      <w:t>Appendix</w:t>
    </w:r>
    <w:proofErr w:type="spellEnd"/>
    <w:r w:rsidRPr="000D2E14">
      <w:rPr>
        <w:lang w:val="fr-FR"/>
      </w:rPr>
      <w:t xml:space="preserve"> I</w:t>
    </w:r>
    <w:r>
      <w:rPr>
        <w:lang w:val="fr-FR"/>
      </w:rPr>
      <w:t>V</w:t>
    </w:r>
    <w:r w:rsidRPr="000D2E14">
      <w:rPr>
        <w:lang w:val="fr-FR"/>
      </w:rPr>
      <w:t xml:space="preserve"> – page </w:t>
    </w:r>
    <w:r w:rsidRPr="000D2E14">
      <w:rPr>
        <w:lang w:val="fr-FR"/>
      </w:rPr>
      <w:fldChar w:fldCharType="begin"/>
    </w:r>
    <w:r w:rsidRPr="000D2E14">
      <w:rPr>
        <w:lang w:val="fr-FR"/>
      </w:rPr>
      <w:instrText xml:space="preserve"> PAGE   \* MERGEFORMAT </w:instrText>
    </w:r>
    <w:r w:rsidRPr="000D2E14">
      <w:rPr>
        <w:lang w:val="fr-FR"/>
      </w:rPr>
      <w:fldChar w:fldCharType="separate"/>
    </w:r>
    <w:r w:rsidR="00726BBA">
      <w:rPr>
        <w:noProof/>
        <w:lang w:val="fr-FR"/>
      </w:rPr>
      <w:t>2</w:t>
    </w:r>
    <w:r w:rsidRPr="000D2E14">
      <w:rPr>
        <w:noProof/>
        <w:lang w:val="fr-FR"/>
      </w:rPr>
      <w:fldChar w:fldCharType="end"/>
    </w:r>
  </w:p>
  <w:p w:rsidR="006E70E3" w:rsidRPr="000D2E14" w:rsidRDefault="006E70E3" w:rsidP="006655D3">
    <w:pP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83AC8"/>
    <w:multiLevelType w:val="hybridMultilevel"/>
    <w:tmpl w:val="2AD0C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2D170B"/>
    <w:multiLevelType w:val="hybridMultilevel"/>
    <w:tmpl w:val="4BC8BF5A"/>
    <w:lvl w:ilvl="0" w:tplc="1890D324">
      <w:start w:val="1"/>
      <w:numFmt w:val="lowerRoman"/>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0B05"/>
    <w:multiLevelType w:val="hybridMultilevel"/>
    <w:tmpl w:val="952667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1A7FFC"/>
    <w:multiLevelType w:val="hybridMultilevel"/>
    <w:tmpl w:val="11A65C02"/>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E1587A"/>
    <w:multiLevelType w:val="hybridMultilevel"/>
    <w:tmpl w:val="53A08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2F12331"/>
    <w:multiLevelType w:val="hybridMultilevel"/>
    <w:tmpl w:val="1F686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9108DB"/>
    <w:multiLevelType w:val="hybridMultilevel"/>
    <w:tmpl w:val="EFDEB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DB7DD2"/>
    <w:multiLevelType w:val="hybridMultilevel"/>
    <w:tmpl w:val="8CF8AF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D043D6C"/>
    <w:multiLevelType w:val="hybridMultilevel"/>
    <w:tmpl w:val="3A0A1A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19B534E"/>
    <w:multiLevelType w:val="hybridMultilevel"/>
    <w:tmpl w:val="FD5C801E"/>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1583"/>
        </w:tabs>
        <w:ind w:left="1583" w:hanging="360"/>
      </w:pPr>
      <w:rPr>
        <w:rFonts w:ascii="Courier New" w:hAnsi="Courier New" w:cs="Courier New" w:hint="default"/>
      </w:rPr>
    </w:lvl>
    <w:lvl w:ilvl="2" w:tplc="04090005">
      <w:start w:val="1"/>
      <w:numFmt w:val="bullet"/>
      <w:lvlText w:val=""/>
      <w:lvlJc w:val="left"/>
      <w:pPr>
        <w:tabs>
          <w:tab w:val="num" w:pos="2303"/>
        </w:tabs>
        <w:ind w:left="2303" w:hanging="360"/>
      </w:pPr>
      <w:rPr>
        <w:rFonts w:ascii="Wingdings" w:hAnsi="Wingdings" w:hint="default"/>
      </w:rPr>
    </w:lvl>
    <w:lvl w:ilvl="3" w:tplc="04090001" w:tentative="1">
      <w:start w:val="1"/>
      <w:numFmt w:val="bullet"/>
      <w:lvlText w:val=""/>
      <w:lvlJc w:val="left"/>
      <w:pPr>
        <w:tabs>
          <w:tab w:val="num" w:pos="3023"/>
        </w:tabs>
        <w:ind w:left="3023" w:hanging="360"/>
      </w:pPr>
      <w:rPr>
        <w:rFonts w:ascii="Symbol" w:hAnsi="Symbol" w:hint="default"/>
      </w:rPr>
    </w:lvl>
    <w:lvl w:ilvl="4" w:tplc="04090003" w:tentative="1">
      <w:start w:val="1"/>
      <w:numFmt w:val="bullet"/>
      <w:lvlText w:val="o"/>
      <w:lvlJc w:val="left"/>
      <w:pPr>
        <w:tabs>
          <w:tab w:val="num" w:pos="3743"/>
        </w:tabs>
        <w:ind w:left="3743" w:hanging="360"/>
      </w:pPr>
      <w:rPr>
        <w:rFonts w:ascii="Courier New" w:hAnsi="Courier New" w:cs="Courier New" w:hint="default"/>
      </w:rPr>
    </w:lvl>
    <w:lvl w:ilvl="5" w:tplc="04090005" w:tentative="1">
      <w:start w:val="1"/>
      <w:numFmt w:val="bullet"/>
      <w:lvlText w:val=""/>
      <w:lvlJc w:val="left"/>
      <w:pPr>
        <w:tabs>
          <w:tab w:val="num" w:pos="4463"/>
        </w:tabs>
        <w:ind w:left="4463" w:hanging="360"/>
      </w:pPr>
      <w:rPr>
        <w:rFonts w:ascii="Wingdings" w:hAnsi="Wingdings" w:hint="default"/>
      </w:rPr>
    </w:lvl>
    <w:lvl w:ilvl="6" w:tplc="04090001" w:tentative="1">
      <w:start w:val="1"/>
      <w:numFmt w:val="bullet"/>
      <w:lvlText w:val=""/>
      <w:lvlJc w:val="left"/>
      <w:pPr>
        <w:tabs>
          <w:tab w:val="num" w:pos="5183"/>
        </w:tabs>
        <w:ind w:left="5183" w:hanging="360"/>
      </w:pPr>
      <w:rPr>
        <w:rFonts w:ascii="Symbol" w:hAnsi="Symbol" w:hint="default"/>
      </w:rPr>
    </w:lvl>
    <w:lvl w:ilvl="7" w:tplc="04090003" w:tentative="1">
      <w:start w:val="1"/>
      <w:numFmt w:val="bullet"/>
      <w:lvlText w:val="o"/>
      <w:lvlJc w:val="left"/>
      <w:pPr>
        <w:tabs>
          <w:tab w:val="num" w:pos="5903"/>
        </w:tabs>
        <w:ind w:left="5903" w:hanging="360"/>
      </w:pPr>
      <w:rPr>
        <w:rFonts w:ascii="Courier New" w:hAnsi="Courier New" w:cs="Courier New" w:hint="default"/>
      </w:rPr>
    </w:lvl>
    <w:lvl w:ilvl="8" w:tplc="04090005" w:tentative="1">
      <w:start w:val="1"/>
      <w:numFmt w:val="bullet"/>
      <w:lvlText w:val=""/>
      <w:lvlJc w:val="left"/>
      <w:pPr>
        <w:tabs>
          <w:tab w:val="num" w:pos="6623"/>
        </w:tabs>
        <w:ind w:left="6623" w:hanging="360"/>
      </w:pPr>
      <w:rPr>
        <w:rFonts w:ascii="Wingdings" w:hAnsi="Wingdings" w:hint="default"/>
      </w:rPr>
    </w:lvl>
  </w:abstractNum>
  <w:abstractNum w:abstractNumId="10">
    <w:nsid w:val="351B1D8A"/>
    <w:multiLevelType w:val="hybridMultilevel"/>
    <w:tmpl w:val="B548F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F67A6F"/>
    <w:multiLevelType w:val="hybridMultilevel"/>
    <w:tmpl w:val="78C46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9386AE8"/>
    <w:multiLevelType w:val="hybridMultilevel"/>
    <w:tmpl w:val="57E20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A110A6"/>
    <w:multiLevelType w:val="hybridMultilevel"/>
    <w:tmpl w:val="B12C5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9313078"/>
    <w:multiLevelType w:val="hybridMultilevel"/>
    <w:tmpl w:val="56381B74"/>
    <w:lvl w:ilvl="0" w:tplc="1890D324">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D463A90"/>
    <w:multiLevelType w:val="hybridMultilevel"/>
    <w:tmpl w:val="F208B7FA"/>
    <w:lvl w:ilvl="0" w:tplc="84D68948">
      <w:start w:val="1"/>
      <w:numFmt w:val="bullet"/>
      <w:lvlText w:val="•"/>
      <w:lvlJc w:val="left"/>
      <w:pPr>
        <w:tabs>
          <w:tab w:val="num" w:pos="720"/>
        </w:tabs>
        <w:ind w:left="720" w:hanging="360"/>
      </w:pPr>
      <w:rPr>
        <w:rFonts w:ascii="Arial" w:hAnsi="Arial" w:hint="default"/>
      </w:rPr>
    </w:lvl>
    <w:lvl w:ilvl="1" w:tplc="2D7A03C0">
      <w:start w:val="1831"/>
      <w:numFmt w:val="bullet"/>
      <w:lvlText w:val="•"/>
      <w:lvlJc w:val="left"/>
      <w:pPr>
        <w:tabs>
          <w:tab w:val="num" w:pos="1440"/>
        </w:tabs>
        <w:ind w:left="1440" w:hanging="360"/>
      </w:pPr>
      <w:rPr>
        <w:rFonts w:ascii="Arial" w:hAnsi="Arial" w:hint="default"/>
      </w:rPr>
    </w:lvl>
    <w:lvl w:ilvl="2" w:tplc="2CCAB938" w:tentative="1">
      <w:start w:val="1"/>
      <w:numFmt w:val="bullet"/>
      <w:lvlText w:val="•"/>
      <w:lvlJc w:val="left"/>
      <w:pPr>
        <w:tabs>
          <w:tab w:val="num" w:pos="2160"/>
        </w:tabs>
        <w:ind w:left="2160" w:hanging="360"/>
      </w:pPr>
      <w:rPr>
        <w:rFonts w:ascii="Arial" w:hAnsi="Arial" w:hint="default"/>
      </w:rPr>
    </w:lvl>
    <w:lvl w:ilvl="3" w:tplc="22461C18" w:tentative="1">
      <w:start w:val="1"/>
      <w:numFmt w:val="bullet"/>
      <w:lvlText w:val="•"/>
      <w:lvlJc w:val="left"/>
      <w:pPr>
        <w:tabs>
          <w:tab w:val="num" w:pos="2880"/>
        </w:tabs>
        <w:ind w:left="2880" w:hanging="360"/>
      </w:pPr>
      <w:rPr>
        <w:rFonts w:ascii="Arial" w:hAnsi="Arial" w:hint="default"/>
      </w:rPr>
    </w:lvl>
    <w:lvl w:ilvl="4" w:tplc="40789B2E" w:tentative="1">
      <w:start w:val="1"/>
      <w:numFmt w:val="bullet"/>
      <w:lvlText w:val="•"/>
      <w:lvlJc w:val="left"/>
      <w:pPr>
        <w:tabs>
          <w:tab w:val="num" w:pos="3600"/>
        </w:tabs>
        <w:ind w:left="3600" w:hanging="360"/>
      </w:pPr>
      <w:rPr>
        <w:rFonts w:ascii="Arial" w:hAnsi="Arial" w:hint="default"/>
      </w:rPr>
    </w:lvl>
    <w:lvl w:ilvl="5" w:tplc="A7ACDC38" w:tentative="1">
      <w:start w:val="1"/>
      <w:numFmt w:val="bullet"/>
      <w:lvlText w:val="•"/>
      <w:lvlJc w:val="left"/>
      <w:pPr>
        <w:tabs>
          <w:tab w:val="num" w:pos="4320"/>
        </w:tabs>
        <w:ind w:left="4320" w:hanging="360"/>
      </w:pPr>
      <w:rPr>
        <w:rFonts w:ascii="Arial" w:hAnsi="Arial" w:hint="default"/>
      </w:rPr>
    </w:lvl>
    <w:lvl w:ilvl="6" w:tplc="DC96E138" w:tentative="1">
      <w:start w:val="1"/>
      <w:numFmt w:val="bullet"/>
      <w:lvlText w:val="•"/>
      <w:lvlJc w:val="left"/>
      <w:pPr>
        <w:tabs>
          <w:tab w:val="num" w:pos="5040"/>
        </w:tabs>
        <w:ind w:left="5040" w:hanging="360"/>
      </w:pPr>
      <w:rPr>
        <w:rFonts w:ascii="Arial" w:hAnsi="Arial" w:hint="default"/>
      </w:rPr>
    </w:lvl>
    <w:lvl w:ilvl="7" w:tplc="AD566856" w:tentative="1">
      <w:start w:val="1"/>
      <w:numFmt w:val="bullet"/>
      <w:lvlText w:val="•"/>
      <w:lvlJc w:val="left"/>
      <w:pPr>
        <w:tabs>
          <w:tab w:val="num" w:pos="5760"/>
        </w:tabs>
        <w:ind w:left="5760" w:hanging="360"/>
      </w:pPr>
      <w:rPr>
        <w:rFonts w:ascii="Arial" w:hAnsi="Arial" w:hint="default"/>
      </w:rPr>
    </w:lvl>
    <w:lvl w:ilvl="8" w:tplc="23CEEB6C" w:tentative="1">
      <w:start w:val="1"/>
      <w:numFmt w:val="bullet"/>
      <w:lvlText w:val="•"/>
      <w:lvlJc w:val="left"/>
      <w:pPr>
        <w:tabs>
          <w:tab w:val="num" w:pos="6480"/>
        </w:tabs>
        <w:ind w:left="6480" w:hanging="360"/>
      </w:pPr>
      <w:rPr>
        <w:rFonts w:ascii="Arial" w:hAnsi="Arial" w:hint="default"/>
      </w:rPr>
    </w:lvl>
  </w:abstractNum>
  <w:abstractNum w:abstractNumId="17">
    <w:nsid w:val="59530B29"/>
    <w:multiLevelType w:val="hybridMultilevel"/>
    <w:tmpl w:val="E3606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6D11C2F"/>
    <w:multiLevelType w:val="hybridMultilevel"/>
    <w:tmpl w:val="8508FE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7B507067"/>
    <w:multiLevelType w:val="hybridMultilevel"/>
    <w:tmpl w:val="EB581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E9330FA"/>
    <w:multiLevelType w:val="hybridMultilevel"/>
    <w:tmpl w:val="48B49E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0"/>
  </w:num>
  <w:num w:numId="2">
    <w:abstractNumId w:val="11"/>
  </w:num>
  <w:num w:numId="3">
    <w:abstractNumId w:val="2"/>
  </w:num>
  <w:num w:numId="4">
    <w:abstractNumId w:val="0"/>
  </w:num>
  <w:num w:numId="5">
    <w:abstractNumId w:val="4"/>
  </w:num>
  <w:num w:numId="6">
    <w:abstractNumId w:val="12"/>
  </w:num>
  <w:num w:numId="7">
    <w:abstractNumId w:val="7"/>
  </w:num>
  <w:num w:numId="8">
    <w:abstractNumId w:val="17"/>
  </w:num>
  <w:num w:numId="9">
    <w:abstractNumId w:val="19"/>
  </w:num>
  <w:num w:numId="10">
    <w:abstractNumId w:val="3"/>
  </w:num>
  <w:num w:numId="11">
    <w:abstractNumId w:val="1"/>
  </w:num>
  <w:num w:numId="12">
    <w:abstractNumId w:val="15"/>
  </w:num>
  <w:num w:numId="13">
    <w:abstractNumId w:val="14"/>
  </w:num>
  <w:num w:numId="14">
    <w:abstractNumId w:val="6"/>
  </w:num>
  <w:num w:numId="15">
    <w:abstractNumId w:val="18"/>
  </w:num>
  <w:num w:numId="16">
    <w:abstractNumId w:val="9"/>
  </w:num>
  <w:num w:numId="17">
    <w:abstractNumId w:val="16"/>
  </w:num>
  <w:num w:numId="18">
    <w:abstractNumId w:val="8"/>
  </w:num>
  <w:num w:numId="19">
    <w:abstractNumId w:val="5"/>
  </w:num>
  <w:num w:numId="20">
    <w:abstractNumId w:val="2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732"/>
    <w:rsid w:val="0000704B"/>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1937"/>
    <w:rsid w:val="000E636A"/>
    <w:rsid w:val="000F2F11"/>
    <w:rsid w:val="00105929"/>
    <w:rsid w:val="00110C36"/>
    <w:rsid w:val="001131D5"/>
    <w:rsid w:val="00116A94"/>
    <w:rsid w:val="00141DB8"/>
    <w:rsid w:val="00146159"/>
    <w:rsid w:val="00160CDD"/>
    <w:rsid w:val="00172084"/>
    <w:rsid w:val="0017474A"/>
    <w:rsid w:val="001758C6"/>
    <w:rsid w:val="00182B99"/>
    <w:rsid w:val="001C1525"/>
    <w:rsid w:val="0020267A"/>
    <w:rsid w:val="0021332C"/>
    <w:rsid w:val="00213982"/>
    <w:rsid w:val="00214C72"/>
    <w:rsid w:val="00217732"/>
    <w:rsid w:val="0024416D"/>
    <w:rsid w:val="00271911"/>
    <w:rsid w:val="002800A0"/>
    <w:rsid w:val="002801B3"/>
    <w:rsid w:val="00281060"/>
    <w:rsid w:val="002940E8"/>
    <w:rsid w:val="00294751"/>
    <w:rsid w:val="002A36F2"/>
    <w:rsid w:val="002A6E50"/>
    <w:rsid w:val="002B4298"/>
    <w:rsid w:val="002C256A"/>
    <w:rsid w:val="00305A7F"/>
    <w:rsid w:val="003152FE"/>
    <w:rsid w:val="00327436"/>
    <w:rsid w:val="00344BD6"/>
    <w:rsid w:val="0035528D"/>
    <w:rsid w:val="00361821"/>
    <w:rsid w:val="00361E9E"/>
    <w:rsid w:val="003810C2"/>
    <w:rsid w:val="0039633A"/>
    <w:rsid w:val="003C7FBE"/>
    <w:rsid w:val="003D227C"/>
    <w:rsid w:val="003D2B4D"/>
    <w:rsid w:val="003E7B0A"/>
    <w:rsid w:val="003F5F2B"/>
    <w:rsid w:val="00437227"/>
    <w:rsid w:val="00444A88"/>
    <w:rsid w:val="004468F0"/>
    <w:rsid w:val="004548D5"/>
    <w:rsid w:val="00474DA4"/>
    <w:rsid w:val="00476B4D"/>
    <w:rsid w:val="004805FA"/>
    <w:rsid w:val="004935D2"/>
    <w:rsid w:val="004B1215"/>
    <w:rsid w:val="004D047D"/>
    <w:rsid w:val="004D5DF5"/>
    <w:rsid w:val="004F1E9E"/>
    <w:rsid w:val="004F305A"/>
    <w:rsid w:val="00512164"/>
    <w:rsid w:val="00520297"/>
    <w:rsid w:val="005304DA"/>
    <w:rsid w:val="005338F9"/>
    <w:rsid w:val="0054281C"/>
    <w:rsid w:val="00544581"/>
    <w:rsid w:val="0055268D"/>
    <w:rsid w:val="00576BE4"/>
    <w:rsid w:val="005A400A"/>
    <w:rsid w:val="005B1E88"/>
    <w:rsid w:val="005F4B99"/>
    <w:rsid w:val="005F7B92"/>
    <w:rsid w:val="00604822"/>
    <w:rsid w:val="00604982"/>
    <w:rsid w:val="00612379"/>
    <w:rsid w:val="006153B6"/>
    <w:rsid w:val="0061555F"/>
    <w:rsid w:val="00636CA6"/>
    <w:rsid w:val="00641200"/>
    <w:rsid w:val="00645A91"/>
    <w:rsid w:val="00645CA8"/>
    <w:rsid w:val="006629D8"/>
    <w:rsid w:val="006655D3"/>
    <w:rsid w:val="00667404"/>
    <w:rsid w:val="00687EB4"/>
    <w:rsid w:val="00695C56"/>
    <w:rsid w:val="006A5CDE"/>
    <w:rsid w:val="006A644A"/>
    <w:rsid w:val="006A6536"/>
    <w:rsid w:val="006B17D2"/>
    <w:rsid w:val="006C224E"/>
    <w:rsid w:val="006D780A"/>
    <w:rsid w:val="006E3FA1"/>
    <w:rsid w:val="006E70E3"/>
    <w:rsid w:val="0071271E"/>
    <w:rsid w:val="00713AD7"/>
    <w:rsid w:val="00726BBA"/>
    <w:rsid w:val="00732DEC"/>
    <w:rsid w:val="00735BD5"/>
    <w:rsid w:val="00740260"/>
    <w:rsid w:val="007451EC"/>
    <w:rsid w:val="00751613"/>
    <w:rsid w:val="007556F6"/>
    <w:rsid w:val="00760EEF"/>
    <w:rsid w:val="00777EE5"/>
    <w:rsid w:val="00784836"/>
    <w:rsid w:val="0079023E"/>
    <w:rsid w:val="007A2854"/>
    <w:rsid w:val="007C1D92"/>
    <w:rsid w:val="007C4C3C"/>
    <w:rsid w:val="007C4CB9"/>
    <w:rsid w:val="007D0B9D"/>
    <w:rsid w:val="007D19B0"/>
    <w:rsid w:val="007D4635"/>
    <w:rsid w:val="007F498F"/>
    <w:rsid w:val="0080679D"/>
    <w:rsid w:val="008108B0"/>
    <w:rsid w:val="00811B20"/>
    <w:rsid w:val="008201CA"/>
    <w:rsid w:val="008211B5"/>
    <w:rsid w:val="0082296E"/>
    <w:rsid w:val="00824099"/>
    <w:rsid w:val="00846D7C"/>
    <w:rsid w:val="00867AC1"/>
    <w:rsid w:val="00890DF8"/>
    <w:rsid w:val="008973A6"/>
    <w:rsid w:val="008A25EE"/>
    <w:rsid w:val="008A743F"/>
    <w:rsid w:val="008C0970"/>
    <w:rsid w:val="008D0BC5"/>
    <w:rsid w:val="008D2CF7"/>
    <w:rsid w:val="008D4F8A"/>
    <w:rsid w:val="00900C26"/>
    <w:rsid w:val="0090197F"/>
    <w:rsid w:val="00903264"/>
    <w:rsid w:val="00906DDC"/>
    <w:rsid w:val="00934E09"/>
    <w:rsid w:val="00936253"/>
    <w:rsid w:val="00937756"/>
    <w:rsid w:val="00940D46"/>
    <w:rsid w:val="00952DD4"/>
    <w:rsid w:val="00962988"/>
    <w:rsid w:val="00965AE7"/>
    <w:rsid w:val="00970FED"/>
    <w:rsid w:val="00981761"/>
    <w:rsid w:val="00992D82"/>
    <w:rsid w:val="00997029"/>
    <w:rsid w:val="009A7339"/>
    <w:rsid w:val="009B440E"/>
    <w:rsid w:val="009D690D"/>
    <w:rsid w:val="009E206C"/>
    <w:rsid w:val="009E65B6"/>
    <w:rsid w:val="009F77CF"/>
    <w:rsid w:val="00A24C10"/>
    <w:rsid w:val="00A3365A"/>
    <w:rsid w:val="00A42AC3"/>
    <w:rsid w:val="00A430CF"/>
    <w:rsid w:val="00A54309"/>
    <w:rsid w:val="00AB2B93"/>
    <w:rsid w:val="00AB530F"/>
    <w:rsid w:val="00AB7E5B"/>
    <w:rsid w:val="00AC2883"/>
    <w:rsid w:val="00AD03E8"/>
    <w:rsid w:val="00AE0EF1"/>
    <w:rsid w:val="00AE2937"/>
    <w:rsid w:val="00B03A1C"/>
    <w:rsid w:val="00B07301"/>
    <w:rsid w:val="00B11F3E"/>
    <w:rsid w:val="00B224DE"/>
    <w:rsid w:val="00B26C1A"/>
    <w:rsid w:val="00B324D4"/>
    <w:rsid w:val="00B46575"/>
    <w:rsid w:val="00B61777"/>
    <w:rsid w:val="00B84BBD"/>
    <w:rsid w:val="00BA43FB"/>
    <w:rsid w:val="00BB2858"/>
    <w:rsid w:val="00BC127D"/>
    <w:rsid w:val="00BC1FE6"/>
    <w:rsid w:val="00BC74BB"/>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C680A"/>
    <w:rsid w:val="00CF1330"/>
    <w:rsid w:val="00CF7E36"/>
    <w:rsid w:val="00D3708D"/>
    <w:rsid w:val="00D372DC"/>
    <w:rsid w:val="00D40426"/>
    <w:rsid w:val="00D57C96"/>
    <w:rsid w:val="00D57D18"/>
    <w:rsid w:val="00D91203"/>
    <w:rsid w:val="00D95174"/>
    <w:rsid w:val="00DA4973"/>
    <w:rsid w:val="00DA6F36"/>
    <w:rsid w:val="00DB596E"/>
    <w:rsid w:val="00DB7773"/>
    <w:rsid w:val="00DC00EA"/>
    <w:rsid w:val="00DC3802"/>
    <w:rsid w:val="00DD2BF7"/>
    <w:rsid w:val="00E07D87"/>
    <w:rsid w:val="00E32F7E"/>
    <w:rsid w:val="00E5267B"/>
    <w:rsid w:val="00E63C0E"/>
    <w:rsid w:val="00E72D49"/>
    <w:rsid w:val="00E7593C"/>
    <w:rsid w:val="00E7678A"/>
    <w:rsid w:val="00E935F1"/>
    <w:rsid w:val="00E94A81"/>
    <w:rsid w:val="00EA1FFB"/>
    <w:rsid w:val="00EA7EDE"/>
    <w:rsid w:val="00EB048E"/>
    <w:rsid w:val="00EB4E9C"/>
    <w:rsid w:val="00EE34DF"/>
    <w:rsid w:val="00EF2F89"/>
    <w:rsid w:val="00F03E98"/>
    <w:rsid w:val="00F1237A"/>
    <w:rsid w:val="00F22CBD"/>
    <w:rsid w:val="00F272F1"/>
    <w:rsid w:val="00F27786"/>
    <w:rsid w:val="00F45372"/>
    <w:rsid w:val="00F55829"/>
    <w:rsid w:val="00F560F7"/>
    <w:rsid w:val="00F6334D"/>
    <w:rsid w:val="00F63599"/>
    <w:rsid w:val="00FA49AB"/>
    <w:rsid w:val="00FD4445"/>
    <w:rsid w:val="00FE39C7"/>
    <w:rsid w:val="00FE449B"/>
    <w:rsid w:val="00FE76D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713AD7"/>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ind w:left="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bCs/>
      <w:i w:val="0"/>
    </w:rPr>
  </w:style>
  <w:style w:type="character" w:customStyle="1" w:styleId="Heading3Char">
    <w:name w:val="Heading 3 Char"/>
    <w:basedOn w:val="DefaultParagraphFont"/>
    <w:link w:val="Heading3"/>
    <w:rsid w:val="00604822"/>
    <w:rPr>
      <w:rFonts w:ascii="Arial" w:hAnsi="Arial"/>
      <w:i/>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713AD7"/>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048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4Normal">
    <w:name w:val="Inf_4_Normal"/>
    <w:basedOn w:val="Normal"/>
    <w:rsid w:val="00604822"/>
    <w:pPr>
      <w:spacing w:before="108"/>
    </w:pPr>
    <w:rPr>
      <w:rFonts w:ascii="Times New Roman" w:hAnsi="Times New Roman"/>
      <w:sz w:val="24"/>
    </w:rPr>
  </w:style>
  <w:style w:type="paragraph" w:customStyle="1" w:styleId="Inf4Heading4">
    <w:name w:val="Inf_4_Heading_4"/>
    <w:basedOn w:val="Heading4"/>
    <w:next w:val="Normal"/>
    <w:rsid w:val="00604822"/>
    <w:pPr>
      <w:spacing w:before="120"/>
      <w:ind w:left="0"/>
    </w:pPr>
    <w:rPr>
      <w:rFonts w:ascii="Times New Roman" w:hAnsi="Times New Roman"/>
      <w:b/>
      <w:bCs/>
      <w:sz w:val="22"/>
      <w:u w:val="none"/>
      <w:lang w:val="en-US"/>
    </w:rPr>
  </w:style>
  <w:style w:type="paragraph" w:customStyle="1" w:styleId="Inf4Heading6">
    <w:name w:val="Inf_4_Heading_6"/>
    <w:basedOn w:val="Normal"/>
    <w:rsid w:val="00604822"/>
    <w:pPr>
      <w:keepNext/>
      <w:spacing w:before="108"/>
      <w:ind w:left="567"/>
      <w:outlineLvl w:val="5"/>
    </w:pPr>
    <w:rPr>
      <w:rFonts w:ascii="Times New Roman Bold" w:hAnsi="Times New Roman Bold"/>
      <w:b/>
      <w:bCs/>
      <w:sz w:val="22"/>
      <w:szCs w:val="24"/>
    </w:rPr>
  </w:style>
  <w:style w:type="paragraph" w:customStyle="1" w:styleId="Inf4Heading3">
    <w:name w:val="Inf_4_Heading_3"/>
    <w:basedOn w:val="Heading3"/>
    <w:rsid w:val="00604822"/>
    <w:pPr>
      <w:keepNext w:val="0"/>
      <w:spacing w:before="240"/>
      <w:jc w:val="center"/>
    </w:pPr>
    <w:rPr>
      <w:rFonts w:cs="Arial"/>
      <w:b/>
      <w:bCs/>
      <w:i w:val="0"/>
    </w:rPr>
  </w:style>
  <w:style w:type="character" w:customStyle="1" w:styleId="Heading3Char">
    <w:name w:val="Heading 3 Char"/>
    <w:basedOn w:val="DefaultParagraphFont"/>
    <w:link w:val="Heading3"/>
    <w:rsid w:val="00604822"/>
    <w:rPr>
      <w:rFonts w:ascii="Arial" w:hAnsi="Arial"/>
      <w:i/>
    </w:rPr>
  </w:style>
  <w:style w:type="paragraph" w:customStyle="1" w:styleId="StyleDocoriginalNotBold">
    <w:name w:val="Style Doc_original + Not Bold"/>
    <w:basedOn w:val="Docoriginal"/>
    <w:link w:val="StyleDocoriginalNotBoldChar"/>
    <w:autoRedefine/>
    <w:rsid w:val="0060482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604822"/>
    <w:rPr>
      <w:rFonts w:ascii="Arial" w:hAnsi="Arial"/>
      <w:b/>
      <w:bCs/>
      <w:spacing w:val="10"/>
      <w:sz w:val="18"/>
      <w:lang w:val="fr-FR" w:eastAsia="en-US" w:bidi="ar-SA"/>
    </w:rPr>
  </w:style>
  <w:style w:type="paragraph" w:customStyle="1" w:styleId="StyleDocnumber">
    <w:name w:val="Style Doc_number"/>
    <w:basedOn w:val="Docoriginal"/>
    <w:rsid w:val="0060482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60482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60482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60482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60482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604822"/>
    <w:rPr>
      <w:rFonts w:ascii="Arial" w:hAnsi="Arial"/>
      <w:b/>
      <w:bCs/>
      <w:spacing w:val="10"/>
      <w:lang w:val="en-US" w:eastAsia="en-US" w:bidi="ar-SA"/>
    </w:rPr>
  </w:style>
  <w:style w:type="character" w:customStyle="1" w:styleId="StyleDoclangBold">
    <w:name w:val="Style Doc_lang + Bold"/>
    <w:basedOn w:val="Doclang"/>
    <w:rsid w:val="00604822"/>
    <w:rPr>
      <w:rFonts w:ascii="Arial" w:hAnsi="Arial"/>
      <w:b/>
      <w:bCs/>
      <w:sz w:val="20"/>
      <w:lang w:val="en-US"/>
    </w:rPr>
  </w:style>
  <w:style w:type="paragraph" w:styleId="ListParagraph">
    <w:name w:val="List Paragraph"/>
    <w:basedOn w:val="Normal"/>
    <w:uiPriority w:val="34"/>
    <w:qFormat/>
    <w:rsid w:val="00604822"/>
    <w:pPr>
      <w:ind w:left="720"/>
      <w:contextualSpacing/>
    </w:pPr>
  </w:style>
  <w:style w:type="paragraph" w:customStyle="1" w:styleId="ZchnZchn1">
    <w:name w:val="Zchn Zchn1"/>
    <w:basedOn w:val="Normal"/>
    <w:rsid w:val="00604822"/>
    <w:pPr>
      <w:spacing w:after="160" w:line="240" w:lineRule="exact"/>
      <w:jc w:val="left"/>
    </w:pPr>
    <w:rPr>
      <w:rFonts w:ascii="Verdana" w:eastAsia="PMingLiU" w:hAnsi="Verdana"/>
    </w:rPr>
  </w:style>
  <w:style w:type="paragraph" w:styleId="Subtitle">
    <w:name w:val="Subtitle"/>
    <w:basedOn w:val="Normal"/>
    <w:link w:val="SubtitleChar"/>
    <w:qFormat/>
    <w:rsid w:val="00604822"/>
    <w:pPr>
      <w:jc w:val="center"/>
    </w:pPr>
    <w:rPr>
      <w:rFonts w:ascii="Times New Roman" w:hAnsi="Times New Roman"/>
      <w:b/>
      <w:caps/>
      <w:color w:val="0000FF"/>
      <w:sz w:val="28"/>
    </w:rPr>
  </w:style>
  <w:style w:type="character" w:customStyle="1" w:styleId="SubtitleChar">
    <w:name w:val="Subtitle Char"/>
    <w:basedOn w:val="DefaultParagraphFont"/>
    <w:link w:val="Subtitle"/>
    <w:rsid w:val="00604822"/>
    <w:rPr>
      <w:b/>
      <w:caps/>
      <w:color w:val="0000FF"/>
      <w:sz w:val="28"/>
    </w:rPr>
  </w:style>
  <w:style w:type="paragraph" w:customStyle="1" w:styleId="Endofdocument">
    <w:name w:val="End of document"/>
    <w:basedOn w:val="Normal"/>
    <w:rsid w:val="00604822"/>
    <w:pPr>
      <w:ind w:left="4536"/>
      <w:jc w:val="center"/>
    </w:pPr>
    <w:rPr>
      <w:rFonts w:ascii="Times New Roman" w:hAnsi="Times New Roman"/>
      <w:sz w:val="24"/>
    </w:rPr>
  </w:style>
  <w:style w:type="character" w:customStyle="1" w:styleId="underline">
    <w:name w:val="underline"/>
    <w:basedOn w:val="DefaultParagraphFont"/>
    <w:rsid w:val="00604822"/>
    <w:rPr>
      <w:u w:val="single"/>
    </w:rPr>
  </w:style>
  <w:style w:type="paragraph" w:customStyle="1" w:styleId="BodyTextKeep">
    <w:name w:val="Body Text Keep"/>
    <w:basedOn w:val="BodyText"/>
    <w:rsid w:val="00604822"/>
    <w:pPr>
      <w:keepNext/>
      <w:spacing w:after="160"/>
      <w:jc w:val="left"/>
    </w:pPr>
    <w:rPr>
      <w:rFonts w:ascii="Times New Roman" w:hAnsi="Times New Roman"/>
    </w:rPr>
  </w:style>
  <w:style w:type="character" w:styleId="Emphasis">
    <w:name w:val="Emphasis"/>
    <w:basedOn w:val="DefaultParagraphFont"/>
    <w:qFormat/>
    <w:rsid w:val="00604822"/>
    <w:rPr>
      <w:i/>
      <w:iCs/>
    </w:rPr>
  </w:style>
  <w:style w:type="character" w:customStyle="1" w:styleId="HeaderChar">
    <w:name w:val="Header Char"/>
    <w:basedOn w:val="DefaultParagraphFont"/>
    <w:link w:val="Header"/>
    <w:uiPriority w:val="99"/>
    <w:rsid w:val="00604822"/>
    <w:rPr>
      <w:rFonts w:ascii="Arial" w:hAnsi="Arial"/>
      <w:lang w:val="fr-FR"/>
    </w:rPr>
  </w:style>
  <w:style w:type="character" w:styleId="CommentReference">
    <w:name w:val="annotation reference"/>
    <w:basedOn w:val="DefaultParagraphFont"/>
    <w:rsid w:val="00604822"/>
    <w:rPr>
      <w:sz w:val="16"/>
      <w:szCs w:val="16"/>
    </w:rPr>
  </w:style>
  <w:style w:type="paragraph" w:styleId="CommentText">
    <w:name w:val="annotation text"/>
    <w:basedOn w:val="Normal"/>
    <w:link w:val="CommentTextChar"/>
    <w:rsid w:val="00604822"/>
  </w:style>
  <w:style w:type="character" w:customStyle="1" w:styleId="CommentTextChar">
    <w:name w:val="Comment Text Char"/>
    <w:basedOn w:val="DefaultParagraphFont"/>
    <w:link w:val="CommentText"/>
    <w:rsid w:val="00604822"/>
    <w:rPr>
      <w:rFonts w:ascii="Arial" w:hAnsi="Arial"/>
    </w:rPr>
  </w:style>
  <w:style w:type="paragraph" w:styleId="CommentSubject">
    <w:name w:val="annotation subject"/>
    <w:basedOn w:val="CommentText"/>
    <w:next w:val="CommentText"/>
    <w:link w:val="CommentSubjectChar"/>
    <w:rsid w:val="00604822"/>
    <w:rPr>
      <w:b/>
      <w:bCs/>
    </w:rPr>
  </w:style>
  <w:style w:type="character" w:customStyle="1" w:styleId="CommentSubjectChar">
    <w:name w:val="Comment Subject Char"/>
    <w:basedOn w:val="CommentTextChar"/>
    <w:link w:val="CommentSubject"/>
    <w:rsid w:val="00604822"/>
    <w:rPr>
      <w:rFonts w:ascii="Arial" w:hAnsi="Arial"/>
      <w:b/>
      <w:bCs/>
    </w:rPr>
  </w:style>
  <w:style w:type="paragraph" w:styleId="NormalWeb">
    <w:name w:val="Normal (Web)"/>
    <w:basedOn w:val="Normal"/>
    <w:uiPriority w:val="99"/>
    <w:unhideWhenUsed/>
    <w:rsid w:val="00604822"/>
    <w:pPr>
      <w:spacing w:before="100" w:beforeAutospacing="1" w:after="100" w:afterAutospacing="1"/>
      <w:jc w:val="left"/>
    </w:pPr>
    <w:rPr>
      <w:rFonts w:ascii="Times New Roman" w:eastAsiaTheme="minorEastAsia" w:hAnsi="Times New Roman"/>
      <w:sz w:val="24"/>
      <w:szCs w:val="24"/>
    </w:rPr>
  </w:style>
  <w:style w:type="paragraph" w:styleId="TOCHeading">
    <w:name w:val="TOC Heading"/>
    <w:basedOn w:val="Heading1"/>
    <w:next w:val="Normal"/>
    <w:uiPriority w:val="39"/>
    <w:semiHidden/>
    <w:unhideWhenUsed/>
    <w:qFormat/>
    <w:rsid w:val="00604822"/>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figures">
    <w:name w:val="figures"/>
    <w:basedOn w:val="Normal"/>
    <w:next w:val="Normal"/>
    <w:qFormat/>
    <w:rsid w:val="00604822"/>
    <w:pPr>
      <w:keepNext/>
      <w:spacing w:after="60"/>
      <w:jc w:val="center"/>
    </w:pPr>
    <w:rPr>
      <w:rFonts w:eastAsia="MS Mincho"/>
      <w:i/>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emf"/><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emf"/><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6.emf"/><Relationship Id="rId33" Type="http://schemas.openxmlformats.org/officeDocument/2006/relationships/header" Target="header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hyperlink" Target="http://www.worldseedpartnership.org" TargetMode="External"/><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header" Target="header3.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emf"/><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chart" Target="charts/chart1.xml"/><Relationship Id="rId35"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edocs/pubdocs/en/upov_pub_35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CC\CC93(April_2017)\cc_93_02_P&amp;B\1.cc_93_02%20Tables%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2993630573248401E-2"/>
          <c:y val="5.9241706161137442E-2"/>
          <c:w val="0.88917197452229302"/>
          <c:h val="0.78199052132701419"/>
        </c:manualLayout>
      </c:layout>
      <c:barChart>
        <c:barDir val="col"/>
        <c:grouping val="clustered"/>
        <c:varyColors val="0"/>
        <c:ser>
          <c:idx val="1"/>
          <c:order val="0"/>
          <c:tx>
            <c:strRef>
              <c:f>'Chart on table 9 (2)'!$B$7</c:f>
              <c:strCache>
                <c:ptCount val="1"/>
                <c:pt idx="0">
                  <c:v>Income</c:v>
                </c:pt>
              </c:strCache>
            </c:strRef>
          </c:tx>
          <c:spPr>
            <a:gradFill rotWithShape="0">
              <a:gsLst>
                <a:gs pos="0">
                  <a:srgbClr val="339966"/>
                </a:gs>
                <a:gs pos="100000">
                  <a:srgbClr val="333333"/>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(2)'!$C$7:$L$7</c:f>
              <c:numCache>
                <c:formatCode>#,##0</c:formatCode>
                <c:ptCount val="10"/>
                <c:pt idx="0">
                  <c:v>3388</c:v>
                </c:pt>
                <c:pt idx="1">
                  <c:v>3403</c:v>
                </c:pt>
                <c:pt idx="2">
                  <c:v>3384.2971499999999</c:v>
                </c:pt>
                <c:pt idx="3">
                  <c:v>3408.74613</c:v>
                </c:pt>
                <c:pt idx="4">
                  <c:v>3406.4950619469028</c:v>
                </c:pt>
                <c:pt idx="5">
                  <c:v>3416.4950619469028</c:v>
                </c:pt>
                <c:pt idx="6">
                  <c:v>3444.548607079646</c:v>
                </c:pt>
                <c:pt idx="7">
                  <c:v>3495.2768070796465</c:v>
                </c:pt>
                <c:pt idx="8">
                  <c:v>3541.0048070796465</c:v>
                </c:pt>
                <c:pt idx="9">
                  <c:v>3601.7328070796466</c:v>
                </c:pt>
              </c:numCache>
            </c:numRef>
          </c:val>
        </c:ser>
        <c:ser>
          <c:idx val="0"/>
          <c:order val="1"/>
          <c:tx>
            <c:strRef>
              <c:f>'Chart on table 9 (2)'!$B$8</c:f>
              <c:strCache>
                <c:ptCount val="1"/>
                <c:pt idx="0">
                  <c:v>Expenditure</c:v>
                </c:pt>
              </c:strCache>
            </c:strRef>
          </c:tx>
          <c:spPr>
            <a:gradFill rotWithShape="0">
              <a:gsLst>
                <a:gs pos="0">
                  <a:srgbClr val="33CCCC"/>
                </a:gs>
                <a:gs pos="100000">
                  <a:srgbClr val="CCFFCC"/>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(2)'!$C$8:$L$8</c:f>
              <c:numCache>
                <c:formatCode>#,##0</c:formatCode>
                <c:ptCount val="10"/>
                <c:pt idx="0">
                  <c:v>2954</c:v>
                </c:pt>
                <c:pt idx="1">
                  <c:v>3331</c:v>
                </c:pt>
                <c:pt idx="2">
                  <c:v>3275.0866199999996</c:v>
                </c:pt>
                <c:pt idx="3">
                  <c:v>3517.3941800000007</c:v>
                </c:pt>
                <c:pt idx="4">
                  <c:v>3406.4950619469028</c:v>
                </c:pt>
                <c:pt idx="5">
                  <c:v>3416.4950619469028</c:v>
                </c:pt>
                <c:pt idx="6">
                  <c:v>3444.548607079646</c:v>
                </c:pt>
                <c:pt idx="7">
                  <c:v>3495.2768070796465</c:v>
                </c:pt>
                <c:pt idx="8">
                  <c:v>3541.0048070796465</c:v>
                </c:pt>
                <c:pt idx="9">
                  <c:v>3601.7048070796463</c:v>
                </c:pt>
              </c:numCache>
            </c:numRef>
          </c:val>
        </c:ser>
        <c:ser>
          <c:idx val="4"/>
          <c:order val="2"/>
          <c:tx>
            <c:strRef>
              <c:f>'Chart on table 9 (2)'!$B$9</c:f>
              <c:strCache>
                <c:ptCount val="1"/>
                <c:pt idx="0">
                  <c:v>WCF</c:v>
                </c:pt>
              </c:strCache>
            </c:strRef>
          </c:tx>
          <c:spPr>
            <a:gradFill rotWithShape="0">
              <a:gsLst>
                <a:gs pos="0">
                  <a:srgbClr val="FF99CC"/>
                </a:gs>
                <a:gs pos="50000">
                  <a:srgbClr val="993366"/>
                </a:gs>
                <a:gs pos="100000">
                  <a:srgbClr val="FF99CC"/>
                </a:gs>
              </a:gsLst>
              <a:lin ang="0" scaled="1"/>
            </a:gradFill>
            <a:ln w="12700">
              <a:solidFill>
                <a:srgbClr val="000000"/>
              </a:solidFill>
              <a:prstDash val="solid"/>
            </a:ln>
          </c:spPr>
          <c:invertIfNegative val="0"/>
          <c:cat>
            <c:numRef>
              <c:f>'Chart on table 9 (2)'!$C$6:$L$6</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'Chart on table 9 (2)'!$C$9:$L$9</c:f>
              <c:numCache>
                <c:formatCode>#,##0</c:formatCode>
                <c:ptCount val="10"/>
                <c:pt idx="0" formatCode="General">
                  <c:v>#N/A</c:v>
                </c:pt>
                <c:pt idx="1">
                  <c:v>537</c:v>
                </c:pt>
                <c:pt idx="2" formatCode="General">
                  <c:v>#N/A</c:v>
                </c:pt>
                <c:pt idx="3">
                  <c:v>540.01099999999997</c:v>
                </c:pt>
                <c:pt idx="4" formatCode="General">
                  <c:v>#N/A</c:v>
                </c:pt>
                <c:pt idx="5">
                  <c:v>546.33400000000006</c:v>
                </c:pt>
                <c:pt idx="6" formatCode="General">
                  <c:v>#N/A</c:v>
                </c:pt>
                <c:pt idx="7">
                  <c:v>549.66800000000012</c:v>
                </c:pt>
                <c:pt idx="9" formatCode="0">
                  <c:v>553.01200000000017</c:v>
                </c:pt>
              </c:numCache>
            </c:numRef>
          </c:val>
        </c:ser>
        <c:dLbls>
          <c:showLegendKey val="0"/>
          <c:showVal val="0"/>
          <c:showCatName val="0"/>
          <c:showSerName val="0"/>
          <c:showPercent val="0"/>
          <c:showBubbleSize val="0"/>
        </c:dLbls>
        <c:gapWidth val="150"/>
        <c:axId val="105591552"/>
        <c:axId val="105593088"/>
      </c:barChart>
      <c:catAx>
        <c:axId val="105591552"/>
        <c:scaling>
          <c:orientation val="minMax"/>
        </c:scaling>
        <c:delete val="0"/>
        <c:axPos val="b"/>
        <c:numFmt formatCode="General"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5593088"/>
        <c:crosses val="autoZero"/>
        <c:auto val="0"/>
        <c:lblAlgn val="ctr"/>
        <c:lblOffset val="100"/>
        <c:tickLblSkip val="1"/>
        <c:tickMarkSkip val="1"/>
        <c:noMultiLvlLbl val="0"/>
      </c:catAx>
      <c:valAx>
        <c:axId val="105593088"/>
        <c:scaling>
          <c:orientation val="minMax"/>
          <c:max val="3500"/>
        </c:scaling>
        <c:delete val="0"/>
        <c:axPos val="l"/>
        <c:title>
          <c:tx>
            <c:rich>
              <a:bodyPr/>
              <a:lstStyle/>
              <a:p>
                <a:pPr>
                  <a:defRPr sz="800" b="1" i="0" u="none" strike="noStrike" baseline="0">
                    <a:solidFill>
                      <a:srgbClr val="000000"/>
                    </a:solidFill>
                    <a:latin typeface="Arial"/>
                    <a:ea typeface="Arial"/>
                    <a:cs typeface="Arial"/>
                  </a:defRPr>
                </a:pPr>
                <a:r>
                  <a:rPr lang="en-US"/>
                  <a:t>CHF ('000)</a:t>
                </a:r>
              </a:p>
            </c:rich>
          </c:tx>
          <c:layout>
            <c:manualLayout>
              <c:xMode val="edge"/>
              <c:yMode val="edge"/>
              <c:x val="7.7510684414836932E-3"/>
              <c:y val="0.3819002010713573"/>
            </c:manualLayout>
          </c:layout>
          <c:overlay val="0"/>
          <c:spPr>
            <a:noFill/>
            <a:ln w="25400">
              <a:noFill/>
            </a:ln>
          </c:spPr>
        </c:title>
        <c:numFmt formatCode="#,##0" sourceLinked="1"/>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05591552"/>
        <c:crosses val="autoZero"/>
        <c:crossBetween val="between"/>
        <c:majorUnit val="250"/>
      </c:valAx>
      <c:spPr>
        <a:noFill/>
        <a:ln w="12700">
          <a:solidFill>
            <a:srgbClr val="808080"/>
          </a:solidFill>
          <a:prstDash val="solid"/>
        </a:ln>
      </c:spPr>
    </c:plotArea>
    <c:legend>
      <c:legendPos val="b"/>
      <c:layout>
        <c:manualLayout>
          <c:xMode val="edge"/>
          <c:yMode val="edge"/>
          <c:x val="0.17834394904458598"/>
          <c:y val="0.93127962085308058"/>
          <c:w val="0.7184713375796179"/>
          <c:h val="5.2132701421800931E-2"/>
        </c:manualLayout>
      </c:layout>
      <c:overlay val="0"/>
      <c:spPr>
        <a:solidFill>
          <a:srgbClr val="FFFFFF"/>
        </a:solidFill>
        <a:ln w="3175">
          <a:solidFill>
            <a:srgbClr val="000000"/>
          </a:solidFill>
          <a:prstDash val="solid"/>
        </a:ln>
      </c:spPr>
      <c:txPr>
        <a:bodyPr/>
        <a:lstStyle/>
        <a:p>
          <a:pPr>
            <a:defRPr sz="675" b="1" i="0" u="none" strike="noStrike" baseline="0">
              <a:solidFill>
                <a:srgbClr val="000000"/>
              </a:solidFill>
              <a:latin typeface="Arial"/>
              <a:ea typeface="Arial"/>
              <a:cs typeface="Arial"/>
            </a:defRPr>
          </a:pPr>
          <a:endParaRPr lang="en-US"/>
        </a:p>
      </c:txPr>
    </c:legend>
    <c:plotVisOnly val="1"/>
    <c:dispBlanksAs val="gap"/>
    <c:showDLblsOverMax val="0"/>
  </c:chart>
  <c:spPr>
    <a:noFill/>
    <a:ln w="3175">
      <a:noFill/>
      <a:prstDash val="solid"/>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307</TotalTime>
  <Pages>39</Pages>
  <Words>11504</Words>
  <Characters>66718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78066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lastModifiedBy>SANCHEZ-VIZCAINO GOMEZ Rosa Maria</cp:lastModifiedBy>
  <cp:revision>47</cp:revision>
  <cp:lastPrinted>2017-08-21T12:13:00Z</cp:lastPrinted>
  <dcterms:created xsi:type="dcterms:W3CDTF">2017-06-26T13:37:00Z</dcterms:created>
  <dcterms:modified xsi:type="dcterms:W3CDTF">2017-08-21T12:15:00Z</dcterms:modified>
</cp:coreProperties>
</file>