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0E35E7" w:rsidRDefault="004E5CD5" w:rsidP="004E5CD5">
            <w:pPr>
              <w:pStyle w:val="Lettrine"/>
            </w:pPr>
            <w:r w:rsidRPr="000E35E7">
              <w:t>E</w:t>
            </w:r>
          </w:p>
          <w:p w:rsidR="004E5CD5" w:rsidRPr="000E35E7" w:rsidRDefault="002629D9" w:rsidP="004E5CD5">
            <w:pPr>
              <w:spacing w:line="280" w:lineRule="exact"/>
              <w:ind w:left="1447"/>
              <w:jc w:val="left"/>
              <w:rPr>
                <w:rFonts w:cs="Arial"/>
              </w:rPr>
            </w:pPr>
            <w:r>
              <w:rPr>
                <w:rFonts w:cs="Arial"/>
                <w:b/>
                <w:spacing w:val="10"/>
              </w:rPr>
              <w:t>UPOV/EXN/PRP/2 Draft 4</w:t>
            </w:r>
            <w:r w:rsidR="004E5CD5" w:rsidRPr="000E35E7">
              <w:rPr>
                <w:rFonts w:cs="Arial"/>
                <w:b/>
                <w:spacing w:val="10"/>
              </w:rPr>
              <w:br/>
            </w:r>
            <w:r w:rsidR="004E5CD5" w:rsidRPr="000E35E7">
              <w:rPr>
                <w:rFonts w:cs="Arial"/>
                <w:b/>
              </w:rPr>
              <w:t>ORIGINAL:</w:t>
            </w:r>
            <w:r w:rsidR="004E5CD5" w:rsidRPr="000E35E7">
              <w:rPr>
                <w:rFonts w:cs="Arial"/>
              </w:rPr>
              <w:t xml:space="preserve">  English</w:t>
            </w:r>
          </w:p>
          <w:p w:rsidR="004E5CD5" w:rsidRPr="000E35E7" w:rsidRDefault="004E5CD5" w:rsidP="00A02165">
            <w:pPr>
              <w:pStyle w:val="Docoriginal"/>
              <w:ind w:left="1447"/>
              <w:jc w:val="left"/>
              <w:rPr>
                <w:b w:val="0"/>
                <w:spacing w:val="0"/>
              </w:rPr>
            </w:pPr>
            <w:r w:rsidRPr="000E35E7">
              <w:rPr>
                <w:rFonts w:cs="Arial"/>
                <w:spacing w:val="0"/>
              </w:rPr>
              <w:t>DATE:</w:t>
            </w:r>
            <w:r w:rsidR="007C42EA">
              <w:rPr>
                <w:rFonts w:cs="Arial"/>
                <w:spacing w:val="0"/>
              </w:rPr>
              <w:t xml:space="preserve"> </w:t>
            </w:r>
            <w:r w:rsidRPr="000E35E7">
              <w:rPr>
                <w:rFonts w:cs="Arial"/>
                <w:spacing w:val="0"/>
              </w:rPr>
              <w:t xml:space="preserve"> </w:t>
            </w:r>
            <w:r w:rsidR="00A02165">
              <w:rPr>
                <w:rFonts w:cs="Arial"/>
                <w:b w:val="0"/>
                <w:spacing w:val="0"/>
              </w:rPr>
              <w:t>September 14</w:t>
            </w:r>
            <w:r w:rsidR="002629D9">
              <w:rPr>
                <w:rFonts w:cs="Arial"/>
                <w:b w:val="0"/>
                <w:spacing w:val="0"/>
              </w:rPr>
              <w:t>, 2015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r w:rsidR="00CE62C2">
        <w:rPr>
          <w:rFonts w:cs="Arial"/>
        </w:rPr>
        <w:br/>
        <w:t>(REVISION)</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CE62C2" w:rsidRPr="00CE62C2">
        <w:rPr>
          <w:rFonts w:cs="Arial"/>
          <w:caps/>
        </w:rPr>
        <w:t>Provisional Protection</w:t>
      </w:r>
      <w:r w:rsidR="00CE62C2">
        <w:rPr>
          <w:rFonts w:cs="Arial"/>
          <w:caps/>
        </w:rPr>
        <w:t xml:space="preserve"> </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373663" w:rsidRPr="0019030C">
        <w:rPr>
          <w:rFonts w:cs="Arial"/>
        </w:rPr>
        <w:t>Document prepared by the Office of the Union</w:t>
      </w:r>
      <w:r w:rsidR="00373663" w:rsidRPr="0019030C">
        <w:rPr>
          <w:rFonts w:cs="Arial"/>
        </w:rPr>
        <w:br/>
      </w:r>
      <w:r w:rsidR="00373663" w:rsidRPr="0019030C">
        <w:rPr>
          <w:rFonts w:cs="Arial"/>
        </w:rPr>
        <w:br/>
        <w:t xml:space="preserve">to be considered by </w:t>
      </w:r>
      <w:r w:rsidR="00373663">
        <w:rPr>
          <w:rFonts w:cs="Arial"/>
        </w:rPr>
        <w:t xml:space="preserve">the </w:t>
      </w:r>
      <w:r w:rsidR="002629D9">
        <w:rPr>
          <w:rFonts w:cs="Arial"/>
          <w:color w:val="000000"/>
        </w:rPr>
        <w:t>Council</w:t>
      </w:r>
      <w:r w:rsidR="00373663" w:rsidRPr="0019030C">
        <w:rPr>
          <w:rFonts w:cs="Arial"/>
        </w:rPr>
        <w:br/>
        <w:t xml:space="preserve">at its </w:t>
      </w:r>
      <w:r w:rsidR="002629D9">
        <w:rPr>
          <w:rFonts w:cs="Arial"/>
        </w:rPr>
        <w:t xml:space="preserve">forty-ninth ordinary </w:t>
      </w:r>
      <w:r w:rsidR="00373663" w:rsidRPr="0019030C">
        <w:rPr>
          <w:rFonts w:cs="Arial"/>
        </w:rPr>
        <w:t xml:space="preserve">session, to be held in </w:t>
      </w:r>
      <w:smartTag w:uri="urn:schemas-microsoft-com:office:smarttags" w:element="place">
        <w:smartTag w:uri="urn:schemas-microsoft-com:office:smarttags" w:element="City">
          <w:r w:rsidR="00373663" w:rsidRPr="0019030C">
            <w:rPr>
              <w:rFonts w:cs="Arial"/>
            </w:rPr>
            <w:t>Geneva</w:t>
          </w:r>
        </w:smartTag>
      </w:smartTag>
      <w:r w:rsidR="00373663" w:rsidRPr="0019030C">
        <w:rPr>
          <w:rFonts w:cs="Arial"/>
        </w:rPr>
        <w:t xml:space="preserve"> on </w:t>
      </w:r>
      <w:r w:rsidR="002629D9">
        <w:rPr>
          <w:rFonts w:cs="Arial"/>
        </w:rPr>
        <w:t>October 29</w:t>
      </w:r>
      <w:r w:rsidR="00373663">
        <w:rPr>
          <w:rFonts w:cs="Arial"/>
        </w:rPr>
        <w:t>, 2015</w:t>
      </w:r>
      <w:r w:rsidR="00373663">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8C30ED" w:rsidRDefault="008C30ED" w:rsidP="008C30ED">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C30ED" w:rsidRPr="009E3A65" w:rsidTr="003E0B35">
        <w:trPr>
          <w:cantSplit/>
          <w:jc w:val="center"/>
        </w:trPr>
        <w:tc>
          <w:tcPr>
            <w:tcW w:w="6664" w:type="dxa"/>
            <w:shd w:val="clear" w:color="auto" w:fill="E6E6E6"/>
          </w:tcPr>
          <w:p w:rsidR="008C30ED" w:rsidRPr="009E3A65" w:rsidRDefault="008C30ED" w:rsidP="003E0B35">
            <w:pPr>
              <w:jc w:val="center"/>
              <w:rPr>
                <w:sz w:val="18"/>
                <w:szCs w:val="18"/>
              </w:rPr>
            </w:pPr>
            <w:r w:rsidRPr="009E3A65">
              <w:rPr>
                <w:sz w:val="18"/>
                <w:szCs w:val="18"/>
              </w:rPr>
              <w:t>Note for Draft version</w:t>
            </w:r>
          </w:p>
          <w:p w:rsidR="008C30ED" w:rsidRPr="009E3A65" w:rsidRDefault="008C30ED" w:rsidP="003E0B35">
            <w:pPr>
              <w:jc w:val="center"/>
              <w:rPr>
                <w:sz w:val="18"/>
                <w:szCs w:val="18"/>
              </w:rPr>
            </w:pPr>
          </w:p>
          <w:p w:rsidR="008C30ED" w:rsidRPr="009E3A65" w:rsidRDefault="008C30ED" w:rsidP="003E0B35">
            <w:pPr>
              <w:rPr>
                <w:rFonts w:cs="Arial"/>
                <w:sz w:val="18"/>
                <w:szCs w:val="18"/>
              </w:rPr>
            </w:pPr>
            <w:r w:rsidRPr="009E3A65">
              <w:rPr>
                <w:rFonts w:cs="Arial"/>
                <w:b/>
                <w:strike/>
                <w:sz w:val="18"/>
                <w:szCs w:val="18"/>
              </w:rPr>
              <w:t>Strikethrough</w:t>
            </w:r>
            <w:r w:rsidRPr="009E3A65">
              <w:rPr>
                <w:rFonts w:cs="Arial"/>
                <w:b/>
                <w:sz w:val="18"/>
                <w:szCs w:val="18"/>
              </w:rPr>
              <w:t xml:space="preserve"> (highlighted)</w:t>
            </w:r>
            <w:r w:rsidRPr="009E3A65">
              <w:rPr>
                <w:rFonts w:cs="Arial"/>
                <w:sz w:val="18"/>
                <w:szCs w:val="18"/>
              </w:rPr>
              <w:t xml:space="preserve"> indicates deletion from the</w:t>
            </w:r>
            <w:r w:rsidR="002475B2">
              <w:rPr>
                <w:rFonts w:cs="Arial"/>
                <w:sz w:val="18"/>
                <w:szCs w:val="18"/>
              </w:rPr>
              <w:t xml:space="preserve"> text of document UPOV/EXN/PRP/1</w:t>
            </w:r>
            <w:r w:rsidR="002D5242">
              <w:rPr>
                <w:rFonts w:cs="Arial"/>
                <w:sz w:val="18"/>
                <w:szCs w:val="18"/>
              </w:rPr>
              <w:t xml:space="preserve"> that has been </w:t>
            </w:r>
            <w:r w:rsidR="00A02165">
              <w:rPr>
                <w:rFonts w:cs="Arial"/>
                <w:sz w:val="18"/>
                <w:szCs w:val="18"/>
              </w:rPr>
              <w:t>approved</w:t>
            </w:r>
            <w:r w:rsidR="002D5242">
              <w:rPr>
                <w:rFonts w:cs="Arial"/>
                <w:sz w:val="18"/>
                <w:szCs w:val="18"/>
              </w:rPr>
              <w:t xml:space="preserve"> by the </w:t>
            </w:r>
            <w:r w:rsidR="002D5242" w:rsidRPr="002D5242">
              <w:rPr>
                <w:rFonts w:cs="Arial"/>
                <w:sz w:val="18"/>
                <w:szCs w:val="18"/>
              </w:rPr>
              <w:t>Administrative and Legal Committee (CAJ)</w:t>
            </w:r>
            <w:r w:rsidRPr="009E3A65">
              <w:rPr>
                <w:rFonts w:cs="Arial"/>
                <w:sz w:val="18"/>
                <w:szCs w:val="18"/>
              </w:rPr>
              <w:t>.</w:t>
            </w:r>
          </w:p>
          <w:p w:rsidR="008C30ED" w:rsidRPr="009E3A65" w:rsidRDefault="008C30ED" w:rsidP="003E0B35">
            <w:pPr>
              <w:rPr>
                <w:rFonts w:cs="Arial"/>
                <w:sz w:val="18"/>
                <w:szCs w:val="18"/>
              </w:rPr>
            </w:pPr>
          </w:p>
          <w:p w:rsidR="008C30ED" w:rsidRPr="009E3A65" w:rsidRDefault="008C30ED" w:rsidP="003E0B35">
            <w:pPr>
              <w:rPr>
                <w:rFonts w:cs="Arial"/>
                <w:sz w:val="18"/>
                <w:szCs w:val="18"/>
              </w:rPr>
            </w:pPr>
            <w:r w:rsidRPr="009E3A65">
              <w:rPr>
                <w:rFonts w:cs="Arial"/>
                <w:b/>
                <w:sz w:val="18"/>
                <w:szCs w:val="18"/>
                <w:u w:val="single"/>
              </w:rPr>
              <w:t>Underlining</w:t>
            </w:r>
            <w:r w:rsidRPr="009E3A65">
              <w:rPr>
                <w:rFonts w:cs="Arial"/>
                <w:b/>
                <w:sz w:val="18"/>
                <w:szCs w:val="18"/>
              </w:rPr>
              <w:t xml:space="preserve"> (highlighted)</w:t>
            </w:r>
            <w:r w:rsidRPr="009E3A65">
              <w:rPr>
                <w:rFonts w:cs="Arial"/>
                <w:sz w:val="18"/>
                <w:szCs w:val="18"/>
              </w:rPr>
              <w:t xml:space="preserve"> indicates insertion to the</w:t>
            </w:r>
            <w:r w:rsidR="002475B2">
              <w:rPr>
                <w:rFonts w:cs="Arial"/>
                <w:sz w:val="18"/>
                <w:szCs w:val="18"/>
              </w:rPr>
              <w:t xml:space="preserve"> text of document UPOV/EXN/PRP/1</w:t>
            </w:r>
            <w:r w:rsidR="002D5242">
              <w:rPr>
                <w:rFonts w:cs="Arial"/>
                <w:sz w:val="18"/>
                <w:szCs w:val="18"/>
              </w:rPr>
              <w:t xml:space="preserve"> that has been </w:t>
            </w:r>
            <w:r w:rsidR="00A02165">
              <w:rPr>
                <w:rFonts w:cs="Arial"/>
                <w:sz w:val="18"/>
                <w:szCs w:val="18"/>
              </w:rPr>
              <w:t>approved</w:t>
            </w:r>
            <w:bookmarkStart w:id="0" w:name="_GoBack"/>
            <w:bookmarkEnd w:id="0"/>
            <w:r w:rsidR="002D5242">
              <w:rPr>
                <w:rFonts w:cs="Arial"/>
                <w:sz w:val="18"/>
                <w:szCs w:val="18"/>
              </w:rPr>
              <w:t xml:space="preserve"> by the </w:t>
            </w:r>
            <w:r w:rsidR="002D5242" w:rsidRPr="002D5242">
              <w:rPr>
                <w:rFonts w:cs="Arial"/>
                <w:sz w:val="18"/>
                <w:szCs w:val="18"/>
              </w:rPr>
              <w:t>CAJ</w:t>
            </w:r>
            <w:r w:rsidRPr="009E3A65">
              <w:rPr>
                <w:rFonts w:cs="Arial"/>
                <w:sz w:val="18"/>
                <w:szCs w:val="18"/>
              </w:rPr>
              <w:t>.</w:t>
            </w:r>
          </w:p>
          <w:p w:rsidR="008C30ED" w:rsidRPr="009E3A65" w:rsidRDefault="008C30ED" w:rsidP="003E0B35">
            <w:pPr>
              <w:rPr>
                <w:sz w:val="18"/>
                <w:szCs w:val="18"/>
              </w:rPr>
            </w:pPr>
          </w:p>
          <w:p w:rsidR="008C30ED" w:rsidRPr="009E3A65" w:rsidRDefault="008C30ED" w:rsidP="003E0B35">
            <w:pPr>
              <w:rPr>
                <w:sz w:val="18"/>
                <w:szCs w:val="18"/>
              </w:rPr>
            </w:pPr>
            <w:r w:rsidRPr="009E3A65">
              <w:rPr>
                <w:b/>
                <w:sz w:val="18"/>
                <w:szCs w:val="18"/>
              </w:rPr>
              <w:t>Footnotes</w:t>
            </w:r>
            <w:r w:rsidRPr="009E3A65">
              <w:rPr>
                <w:sz w:val="18"/>
                <w:szCs w:val="18"/>
              </w:rPr>
              <w:t xml:space="preserve"> to be retained in the published version of the document.</w:t>
            </w:r>
          </w:p>
        </w:tc>
      </w:tr>
    </w:tbl>
    <w:p w:rsidR="008C30ED" w:rsidRPr="0019030C" w:rsidRDefault="008C30ED" w:rsidP="008C30ED">
      <w:pPr>
        <w:rPr>
          <w:rFonts w:cs="Arial"/>
          <w:b/>
        </w:rPr>
      </w:pPr>
    </w:p>
    <w:p w:rsidR="008C30ED" w:rsidRPr="0019030C" w:rsidRDefault="008C30ED" w:rsidP="008C30ED">
      <w:pPr>
        <w:jc w:val="left"/>
        <w:rPr>
          <w:rFonts w:cs="Arial"/>
        </w:rPr>
      </w:pPr>
    </w:p>
    <w:p w:rsidR="008C30ED" w:rsidRDefault="008C30ED" w:rsidP="008C30ED">
      <w:pPr>
        <w:jc w:val="left"/>
        <w:rPr>
          <w:rFonts w:cs="Arial"/>
        </w:rPr>
      </w:pPr>
      <w:r>
        <w:rPr>
          <w:rFonts w:cs="Arial"/>
        </w:rPr>
        <w:br w:type="page"/>
      </w:r>
    </w:p>
    <w:p w:rsidR="008C30ED" w:rsidRDefault="008C30ED" w:rsidP="008C30ED">
      <w:pPr>
        <w:jc w:val="center"/>
      </w:pPr>
    </w:p>
    <w:p w:rsidR="00366C85" w:rsidRPr="00366C85" w:rsidRDefault="00366C85" w:rsidP="008C30ED">
      <w:pPr>
        <w:jc w:val="center"/>
        <w:rPr>
          <w:u w:val="single"/>
        </w:rPr>
      </w:pPr>
      <w:r w:rsidRPr="00366C85">
        <w:rPr>
          <w:u w:val="single"/>
        </w:rPr>
        <w:t>TABLE OF CONTENT</w:t>
      </w:r>
    </w:p>
    <w:p w:rsidR="008C30ED" w:rsidRPr="007934B1" w:rsidRDefault="008C30ED" w:rsidP="008C30ED">
      <w:pPr>
        <w:jc w:val="center"/>
      </w:pPr>
    </w:p>
    <w:p w:rsidR="008C30ED" w:rsidRPr="00366C85" w:rsidRDefault="008C30ED" w:rsidP="008C30ED">
      <w:pPr>
        <w:rPr>
          <w:i/>
          <w:sz w:val="18"/>
          <w:szCs w:val="18"/>
        </w:rPr>
      </w:pPr>
    </w:p>
    <w:p w:rsidR="000E33CF" w:rsidRDefault="008C30ED">
      <w:pPr>
        <w:pStyle w:val="TOC2"/>
        <w:rPr>
          <w:rFonts w:asciiTheme="minorHAnsi" w:eastAsiaTheme="minorEastAsia" w:hAnsiTheme="minorHAnsi" w:cstheme="minorBidi"/>
          <w:sz w:val="22"/>
          <w:szCs w:val="22"/>
        </w:rPr>
      </w:pPr>
      <w:r w:rsidRPr="00366C85">
        <w:rPr>
          <w:bCs/>
        </w:rPr>
        <w:fldChar w:fldCharType="begin"/>
      </w:r>
      <w:r w:rsidRPr="00366C85">
        <w:instrText xml:space="preserve"> TOC \o "1-3" \u </w:instrText>
      </w:r>
      <w:r w:rsidRPr="00366C85">
        <w:rPr>
          <w:bCs/>
        </w:rPr>
        <w:fldChar w:fldCharType="separate"/>
      </w:r>
      <w:r w:rsidR="000E33CF">
        <w:t>PREAMBLE</w:t>
      </w:r>
      <w:r w:rsidR="000E33CF">
        <w:tab/>
      </w:r>
      <w:r w:rsidR="000E33CF">
        <w:fldChar w:fldCharType="begin"/>
      </w:r>
      <w:r w:rsidR="000E33CF">
        <w:instrText xml:space="preserve"> PAGEREF _Toc417917915 \h </w:instrText>
      </w:r>
      <w:r w:rsidR="000E33CF">
        <w:fldChar w:fldCharType="separate"/>
      </w:r>
      <w:r w:rsidR="00505E43">
        <w:t>3</w:t>
      </w:r>
      <w:r w:rsidR="000E33CF">
        <w:fldChar w:fldCharType="end"/>
      </w:r>
    </w:p>
    <w:p w:rsidR="000E33CF" w:rsidRDefault="000E33CF">
      <w:pPr>
        <w:pStyle w:val="TOC2"/>
        <w:rPr>
          <w:rFonts w:asciiTheme="minorHAnsi" w:eastAsiaTheme="minorEastAsia" w:hAnsiTheme="minorHAnsi" w:cstheme="minorBidi"/>
          <w:sz w:val="22"/>
          <w:szCs w:val="22"/>
        </w:rPr>
      </w:pPr>
      <w:r>
        <w:t>SECTION I:  PROVISIONS ON PROVISIONAL PROTECTION</w:t>
      </w:r>
      <w:r>
        <w:tab/>
      </w:r>
      <w:r>
        <w:fldChar w:fldCharType="begin"/>
      </w:r>
      <w:r>
        <w:instrText xml:space="preserve"> PAGEREF _Toc417917916 \h </w:instrText>
      </w:r>
      <w:r>
        <w:fldChar w:fldCharType="separate"/>
      </w:r>
      <w:r w:rsidR="00505E43">
        <w:t>4</w:t>
      </w:r>
      <w:r>
        <w:fldChar w:fldCharType="end"/>
      </w:r>
    </w:p>
    <w:p w:rsidR="000E33CF" w:rsidRDefault="000E33CF">
      <w:pPr>
        <w:pStyle w:val="TOC2"/>
        <w:rPr>
          <w:rFonts w:asciiTheme="minorHAnsi" w:eastAsiaTheme="minorEastAsia" w:hAnsiTheme="minorHAnsi" w:cstheme="minorBidi"/>
          <w:sz w:val="22"/>
          <w:szCs w:val="22"/>
        </w:rPr>
      </w:pPr>
      <w:r>
        <w:t>SECTION II:  CERTAIN ASPECTS OF THE PROVISIONS ON PROVISIONAL PROTECTION</w:t>
      </w:r>
      <w:r>
        <w:tab/>
      </w:r>
      <w:r>
        <w:fldChar w:fldCharType="begin"/>
      </w:r>
      <w:r>
        <w:instrText xml:space="preserve"> PAGEREF _Toc417917917 \h </w:instrText>
      </w:r>
      <w:r>
        <w:fldChar w:fldCharType="separate"/>
      </w:r>
      <w:r w:rsidR="00505E43">
        <w:t>5</w:t>
      </w:r>
      <w:r>
        <w:fldChar w:fldCharType="end"/>
      </w:r>
    </w:p>
    <w:p w:rsidR="008C30ED" w:rsidRPr="00CF2435" w:rsidRDefault="008C30ED" w:rsidP="00005D41">
      <w:pPr>
        <w:jc w:val="center"/>
      </w:pPr>
      <w:r w:rsidRPr="00366C85">
        <w:rPr>
          <w:caps/>
          <w:sz w:val="18"/>
          <w:szCs w:val="18"/>
        </w:rPr>
        <w:fldChar w:fldCharType="end"/>
      </w:r>
      <w:r>
        <w:br w:type="page"/>
      </w:r>
      <w:r w:rsidRPr="00CF2435">
        <w:lastRenderedPageBreak/>
        <w:t>EXPLANATORY NOTES ON PROVISIONAL PROTECTION</w:t>
      </w:r>
      <w:r w:rsidRPr="00CF2435">
        <w:br/>
        <w:t>UNDER THE UPOV CONVENTION</w:t>
      </w:r>
    </w:p>
    <w:p w:rsidR="008C30ED" w:rsidRPr="007934B1" w:rsidRDefault="008C30ED" w:rsidP="008C30ED"/>
    <w:p w:rsidR="008C30ED" w:rsidRPr="007F2014" w:rsidRDefault="008C30ED" w:rsidP="00005D41">
      <w:pPr>
        <w:pStyle w:val="Heading2"/>
      </w:pPr>
      <w:bookmarkStart w:id="1" w:name="_Toc417917915"/>
      <w:r w:rsidRPr="007F2014">
        <w:t>PREAMBLE</w:t>
      </w:r>
      <w:bookmarkEnd w:id="1"/>
    </w:p>
    <w:p w:rsidR="008C30ED" w:rsidRPr="007934B1" w:rsidRDefault="008C30ED" w:rsidP="008C30ED">
      <w:pPr>
        <w:rPr>
          <w:b/>
        </w:rPr>
      </w:pPr>
    </w:p>
    <w:p w:rsidR="008C30ED" w:rsidRPr="00012466" w:rsidRDefault="008C30ED" w:rsidP="008C30ED">
      <w:r w:rsidRPr="007934B1">
        <w:fldChar w:fldCharType="begin"/>
      </w:r>
      <w:r w:rsidRPr="007934B1">
        <w:instrText xml:space="preserve"> AUTONUM  </w:instrText>
      </w:r>
      <w:r w:rsidRPr="007934B1">
        <w:fldChar w:fldCharType="end"/>
      </w:r>
      <w:r w:rsidRPr="007934B1">
        <w:tab/>
        <w:t>The purpose of these Explanatory Notes is to provide guidance on “</w:t>
      </w:r>
      <w:r>
        <w:t>Provisional Protection</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8C30ED" w:rsidRPr="00012466" w:rsidRDefault="008C30ED" w:rsidP="008C30ED"/>
    <w:p w:rsidR="008C30ED" w:rsidRDefault="008C30ED" w:rsidP="008C30ED">
      <w:pPr>
        <w:rPr>
          <w:lang w:val="en-GB"/>
        </w:rPr>
      </w:pPr>
      <w:r w:rsidRPr="00012466">
        <w:fldChar w:fldCharType="begin"/>
      </w:r>
      <w:r w:rsidRPr="00012466">
        <w:instrText xml:space="preserve"> AUTONUM  </w:instrText>
      </w:r>
      <w:r w:rsidRPr="00012466">
        <w:fldChar w:fldCharType="end"/>
      </w:r>
      <w:r w:rsidRPr="00012466">
        <w:tab/>
      </w:r>
      <w:r>
        <w:t>T</w:t>
      </w:r>
      <w:r w:rsidRPr="00012466">
        <w:t xml:space="preserve">hese </w:t>
      </w:r>
      <w:r>
        <w:t xml:space="preserve">Explanatory Notes provide </w:t>
      </w:r>
      <w:r w:rsidRPr="00012466">
        <w:t xml:space="preserve">guidance </w:t>
      </w:r>
      <w:r>
        <w:rPr>
          <w:lang w:val="en-GB"/>
        </w:rPr>
        <w:t xml:space="preserve">on certain aspects of the provisions </w:t>
      </w:r>
      <w:r>
        <w:t xml:space="preserve">on provisional protection contained </w:t>
      </w:r>
      <w:r w:rsidRPr="007934B1">
        <w:t xml:space="preserve">in Article </w:t>
      </w:r>
      <w:r>
        <w:t>13</w:t>
      </w:r>
      <w:r w:rsidRPr="007934B1">
        <w:t xml:space="preserve"> of the 1991 Act of</w:t>
      </w:r>
      <w:r>
        <w:t xml:space="preserve"> the UPOV Convention and in </w:t>
      </w:r>
      <w:r>
        <w:rPr>
          <w:lang w:val="en-GB"/>
        </w:rPr>
        <w:t xml:space="preserve">Article 7(3) </w:t>
      </w:r>
      <w:r w:rsidRPr="007934B1">
        <w:rPr>
          <w:lang w:val="en-GB"/>
        </w:rPr>
        <w:t xml:space="preserve">of the 1978 Act </w:t>
      </w:r>
      <w:r>
        <w:rPr>
          <w:lang w:val="en-GB"/>
        </w:rPr>
        <w:t xml:space="preserve">of the UPOV Convention.  </w:t>
      </w:r>
    </w:p>
    <w:p w:rsidR="008C30ED" w:rsidRDefault="008C30ED" w:rsidP="008C30ED">
      <w:pPr>
        <w:rPr>
          <w:lang w:val="en-GB"/>
        </w:rPr>
      </w:pPr>
    </w:p>
    <w:p w:rsidR="008C30ED" w:rsidRPr="00366754" w:rsidRDefault="008C30ED" w:rsidP="00CC30A7">
      <w:pPr>
        <w:pStyle w:val="Heading2"/>
      </w:pPr>
      <w:r>
        <w:br w:type="page"/>
      </w:r>
      <w:bookmarkStart w:id="2" w:name="_Toc417917916"/>
      <w:r>
        <w:t>SECTION</w:t>
      </w:r>
      <w:r w:rsidRPr="00366754">
        <w:t xml:space="preserve"> </w:t>
      </w:r>
      <w:r>
        <w:t xml:space="preserve">I:  </w:t>
      </w:r>
      <w:r w:rsidRPr="00366754">
        <w:t>PROVISIONS</w:t>
      </w:r>
      <w:r>
        <w:t xml:space="preserve"> ON PROVISIONAL PROTECTION</w:t>
      </w:r>
      <w:bookmarkEnd w:id="2"/>
    </w:p>
    <w:p w:rsidR="008C30ED" w:rsidRDefault="008C30ED" w:rsidP="008C30ED">
      <w:pPr>
        <w:rPr>
          <w:lang w:val="en-GB"/>
        </w:rPr>
      </w:pPr>
    </w:p>
    <w:p w:rsidR="008C30ED" w:rsidRDefault="008C30ED" w:rsidP="008C30ED">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w:t>
      </w:r>
      <w:r>
        <w:t xml:space="preserve">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 are reproduced below:</w:t>
      </w:r>
    </w:p>
    <w:p w:rsidR="008C30ED" w:rsidRDefault="008C30ED" w:rsidP="008C30ED">
      <w:pPr>
        <w:rPr>
          <w:lang w:val="en-GB"/>
        </w:rPr>
      </w:pPr>
    </w:p>
    <w:p w:rsidR="008C30ED" w:rsidRDefault="008C30ED" w:rsidP="008C30ED">
      <w:pPr>
        <w:rPr>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8C30ED" w:rsidRPr="006518E5"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lang w:val="en-GB"/>
        </w:rPr>
      </w:pPr>
    </w:p>
    <w:p w:rsidR="008C30ED" w:rsidRDefault="008C30ED" w:rsidP="008C30ED">
      <w:pPr>
        <w:pStyle w:val="Style1"/>
        <w:tabs>
          <w:tab w:val="clear" w:pos="907"/>
          <w:tab w:val="clear" w:pos="1077"/>
        </w:tabs>
        <w:suppressAutoHyphens/>
        <w:jc w:val="left"/>
        <w:outlineLvl w:val="1"/>
        <w:rPr>
          <w:lang w:val="en-GB"/>
        </w:rPr>
      </w:pPr>
      <w:r>
        <w:rPr>
          <w:lang w:val="en-GB"/>
        </w:rPr>
        <w:br w:type="page"/>
      </w:r>
    </w:p>
    <w:p w:rsidR="008C30ED" w:rsidRPr="00366754" w:rsidRDefault="008C30ED" w:rsidP="00CC30A7">
      <w:pPr>
        <w:pStyle w:val="Heading2"/>
      </w:pPr>
      <w:bookmarkStart w:id="3" w:name="_Toc202089146"/>
      <w:bookmarkStart w:id="4" w:name="_Toc417917917"/>
      <w:r>
        <w:t>SECTION</w:t>
      </w:r>
      <w:r w:rsidRPr="00366754">
        <w:t xml:space="preserve"> </w:t>
      </w:r>
      <w:r>
        <w:t>II</w:t>
      </w:r>
      <w:r w:rsidRPr="00366754">
        <w:t xml:space="preserve">: </w:t>
      </w:r>
      <w:r>
        <w:t xml:space="preserve"> CERTAIN ASPECTS OF THE </w:t>
      </w:r>
      <w:r w:rsidRPr="00366754">
        <w:t>PROVISIONS</w:t>
      </w:r>
      <w:r w:rsidR="00CC30A7">
        <w:t xml:space="preserve"> </w:t>
      </w:r>
      <w:r>
        <w:t xml:space="preserve">ON </w:t>
      </w:r>
      <w:bookmarkEnd w:id="3"/>
      <w:r>
        <w:t>PROVISIONAL PROTECTION</w:t>
      </w:r>
      <w:bookmarkEnd w:id="4"/>
    </w:p>
    <w:p w:rsidR="008C30ED" w:rsidRPr="00855680" w:rsidRDefault="008C30ED" w:rsidP="008C30ED">
      <w:pPr>
        <w:pStyle w:val="Style1"/>
      </w:pPr>
    </w:p>
    <w:p w:rsidR="008C30ED" w:rsidRDefault="008C30ED" w:rsidP="008C30ED">
      <w:pPr>
        <w:pStyle w:val="Style1"/>
        <w:tabs>
          <w:tab w:val="clear" w:pos="907"/>
          <w:tab w:val="clear" w:pos="1077"/>
          <w:tab w:val="left" w:pos="567"/>
        </w:tabs>
        <w:rPr>
          <w:lang w:val="en-GB"/>
        </w:rPr>
      </w:pPr>
      <w:r>
        <w:rPr>
          <w:lang w:val="en-GB"/>
        </w:rPr>
        <w:fldChar w:fldCharType="begin"/>
      </w:r>
      <w:r>
        <w:rPr>
          <w:lang w:val="en-GB"/>
        </w:rPr>
        <w:instrText xml:space="preserve"> AUTONUM  </w:instrText>
      </w:r>
      <w:r>
        <w:rPr>
          <w:lang w:val="en-GB"/>
        </w:rPr>
        <w:fldChar w:fldCharType="end"/>
      </w:r>
      <w:r>
        <w:rPr>
          <w:lang w:val="en-GB"/>
        </w:rPr>
        <w:tab/>
        <w:t xml:space="preserve">This section provides guidance on certain aspects of the </w:t>
      </w:r>
      <w:r>
        <w:t>provisions</w:t>
      </w:r>
      <w:r w:rsidRPr="007934B1">
        <w:t xml:space="preserve"> </w:t>
      </w:r>
      <w:r>
        <w:t xml:space="preserve">on 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w:t>
      </w:r>
    </w:p>
    <w:p w:rsidR="008C30ED" w:rsidRDefault="008C30ED" w:rsidP="008C30ED">
      <w:pPr>
        <w:pStyle w:val="Style1"/>
        <w:rPr>
          <w:lang w:val="en-GB"/>
        </w:rPr>
      </w:pPr>
    </w:p>
    <w:p w:rsidR="008C30ED" w:rsidRDefault="008C30ED" w:rsidP="008C30ED">
      <w:pPr>
        <w:pStyle w:val="Style1"/>
        <w:rPr>
          <w:lang w:val="en-GB"/>
        </w:rPr>
      </w:pPr>
    </w:p>
    <w:p w:rsidR="008C30ED" w:rsidRPr="00395AAC" w:rsidRDefault="008C30ED" w:rsidP="008C30ED">
      <w:pPr>
        <w:pStyle w:val="Style1"/>
        <w:rPr>
          <w:i/>
          <w:u w:val="single"/>
          <w:lang w:val="en-GB"/>
        </w:rPr>
      </w:pPr>
      <w:r w:rsidRPr="00395AAC">
        <w:rPr>
          <w:i/>
          <w:strike/>
          <w:highlight w:val="lightGray"/>
          <w:lang w:val="en-GB"/>
        </w:rPr>
        <w:t>The p</w:t>
      </w:r>
      <w:r>
        <w:rPr>
          <w:i/>
          <w:lang w:val="en-GB"/>
        </w:rPr>
        <w:t xml:space="preserve"> </w:t>
      </w:r>
      <w:r w:rsidRPr="00395AAC">
        <w:rPr>
          <w:i/>
          <w:highlight w:val="lightGray"/>
          <w:u w:val="single"/>
          <w:lang w:val="en-GB"/>
        </w:rPr>
        <w:t>P</w:t>
      </w:r>
      <w:r w:rsidRPr="00395AAC">
        <w:rPr>
          <w:i/>
          <w:lang w:val="en-GB"/>
        </w:rPr>
        <w:t>eriod</w:t>
      </w:r>
      <w:r>
        <w:rPr>
          <w:i/>
          <w:lang w:val="en-GB"/>
        </w:rPr>
        <w:t xml:space="preserve"> </w:t>
      </w:r>
      <w:r w:rsidRPr="00395AAC">
        <w:rPr>
          <w:i/>
          <w:highlight w:val="lightGray"/>
          <w:u w:val="single"/>
          <w:lang w:val="en-GB"/>
        </w:rPr>
        <w:t>and notification</w:t>
      </w:r>
    </w:p>
    <w:p w:rsidR="008C30ED" w:rsidRDefault="008C30ED" w:rsidP="008C30ED">
      <w:pPr>
        <w:pStyle w:val="Style1"/>
        <w:rPr>
          <w:lang w:val="en-GB"/>
        </w:rPr>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8C30ED" w:rsidRDefault="008C30ED" w:rsidP="008C30ED"/>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T</w:t>
      </w:r>
      <w:r>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t>protection is provided to the breeder during the period between the filing</w:t>
      </w:r>
      <w:r>
        <w:rPr>
          <w:rStyle w:val="FootnoteReference"/>
        </w:rPr>
        <w:footnoteReference w:id="1"/>
      </w:r>
      <w:r>
        <w:t xml:space="preserve"> or publication of the application for the grant of the breeder’s right and the grant of that right.</w:t>
      </w:r>
      <w:r>
        <w:rPr>
          <w:rStyle w:val="FootnoteReference"/>
        </w:rPr>
        <w:footnoteReference w:id="2"/>
      </w:r>
      <w:r>
        <w:t xml:space="preserve">  </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r>
      <w:r w:rsidRPr="00E75C13">
        <w:t xml:space="preserve">A member of the Union may provide in its legislation that the measures </w:t>
      </w:r>
      <w:r>
        <w:t>of provisional protection (see below notes on “</w:t>
      </w:r>
      <w:r w:rsidRPr="00395AAC">
        <w:rPr>
          <w:strike/>
          <w:highlight w:val="lightGray"/>
          <w:lang w:val="en-GB"/>
        </w:rPr>
        <w:t xml:space="preserve">The m </w:t>
      </w:r>
      <w:proofErr w:type="spellStart"/>
      <w:r w:rsidRPr="00395AAC">
        <w:rPr>
          <w:highlight w:val="lightGray"/>
          <w:u w:val="single"/>
          <w:lang w:val="en-GB"/>
        </w:rPr>
        <w:t>M</w:t>
      </w:r>
      <w:r w:rsidRPr="00395AAC">
        <w:t>easures</w:t>
      </w:r>
      <w:proofErr w:type="spellEnd"/>
      <w:r>
        <w:t xml:space="preserve">”) </w:t>
      </w:r>
      <w:r w:rsidRPr="00E75C13">
        <w:t>shall only take effect in relation to persons whom the breeder has notified of the filing of the application.</w:t>
      </w:r>
      <w:r>
        <w:t xml:space="preserve">  Such a notification may be considered to be fulfilled in relation to all persons when the law has retained the date of the publication as the initial date for provisional protection, because p</w:t>
      </w:r>
      <w:r w:rsidRPr="00EA1BED">
        <w:t xml:space="preserve">ublication </w:t>
      </w:r>
      <w:r>
        <w:t>is generally recognized as a notification mechanism</w:t>
      </w:r>
      <w:r w:rsidRPr="00EA1BED">
        <w:t xml:space="preserve"> of third parties.</w:t>
      </w:r>
    </w:p>
    <w:p w:rsidR="008C30ED" w:rsidRDefault="008C30ED" w:rsidP="008C30ED">
      <w:pPr>
        <w:pStyle w:val="Style1"/>
        <w:tabs>
          <w:tab w:val="clear" w:pos="907"/>
          <w:tab w:val="clear" w:pos="1077"/>
          <w:tab w:val="decimal" w:pos="0"/>
        </w:tabs>
      </w:pPr>
    </w:p>
    <w:p w:rsidR="008C30ED" w:rsidRDefault="008C30ED" w:rsidP="008C30ED">
      <w:pPr>
        <w:pStyle w:val="Style1"/>
        <w:tabs>
          <w:tab w:val="clear" w:pos="907"/>
          <w:tab w:val="clear" w:pos="1077"/>
          <w:tab w:val="decimal" w:pos="0"/>
        </w:tabs>
      </w:pPr>
    </w:p>
    <w:p w:rsidR="008C30ED" w:rsidRDefault="008C30ED" w:rsidP="008C30ED">
      <w:pPr>
        <w:pStyle w:val="Style1"/>
        <w:rPr>
          <w:i/>
          <w:lang w:val="en-GB"/>
        </w:rPr>
      </w:pPr>
      <w:r w:rsidRPr="00395AAC">
        <w:rPr>
          <w:i/>
          <w:strike/>
          <w:highlight w:val="lightGray"/>
          <w:lang w:val="en-GB"/>
        </w:rPr>
        <w:t xml:space="preserve">The </w:t>
      </w:r>
      <w:r>
        <w:rPr>
          <w:i/>
          <w:strike/>
          <w:highlight w:val="lightGray"/>
          <w:lang w:val="en-GB"/>
        </w:rPr>
        <w:t xml:space="preserve">m </w:t>
      </w:r>
      <w:r w:rsidRPr="00395AAC">
        <w:rPr>
          <w:i/>
          <w:highlight w:val="lightGray"/>
          <w:u w:val="single"/>
          <w:lang w:val="en-GB"/>
        </w:rPr>
        <w:t>M</w:t>
      </w:r>
      <w:r>
        <w:rPr>
          <w:i/>
          <w:lang w:val="en-GB"/>
        </w:rPr>
        <w:t>easures</w:t>
      </w:r>
    </w:p>
    <w:p w:rsidR="008C30ED" w:rsidRPr="00324494" w:rsidRDefault="008C30ED" w:rsidP="008C30ED">
      <w:pPr>
        <w:pStyle w:val="Style1"/>
        <w:rPr>
          <w:i/>
          <w:lang w:val="en-GB"/>
        </w:rPr>
      </w:pPr>
    </w:p>
    <w:p w:rsidR="008C30ED" w:rsidRPr="00324494" w:rsidRDefault="008C30ED" w:rsidP="008C30ED">
      <w:pPr>
        <w:pStyle w:val="Style1"/>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8C30ED" w:rsidRDefault="008C30ED" w:rsidP="008C30ED">
      <w:pPr>
        <w:pStyle w:val="Style1"/>
        <w:rPr>
          <w:lang w:val="en-GB"/>
        </w:rPr>
      </w:pPr>
    </w:p>
    <w:p w:rsidR="008C30ED" w:rsidRDefault="008C30ED" w:rsidP="008C30ED">
      <w:pPr>
        <w:tabs>
          <w:tab w:val="decimal" w:pos="0"/>
        </w:tabs>
      </w:pPr>
      <w:r>
        <w:fldChar w:fldCharType="begin"/>
      </w:r>
      <w:r>
        <w:instrText xml:space="preserve"> AUTONUM  </w:instrText>
      </w:r>
      <w:r>
        <w:fldChar w:fldCharType="end"/>
      </w:r>
      <w:r>
        <w:tab/>
      </w:r>
      <w:r w:rsidRPr="00BB6A4D">
        <w:t>Article 13 of the 1991 Act of the UPOV Convention provides that member</w:t>
      </w:r>
      <w:r>
        <w:t>s</w:t>
      </w:r>
      <w:r w:rsidRPr="00BB6A4D">
        <w:t xml:space="preserve"> of </w:t>
      </w:r>
      <w:r w:rsidRPr="00D97B84">
        <w:rPr>
          <w:strike/>
          <w:highlight w:val="lightGray"/>
        </w:rPr>
        <w:t>UPOV</w:t>
      </w:r>
      <w:r w:rsidRPr="00BB6A4D">
        <w:t xml:space="preserve"> </w:t>
      </w:r>
      <w:r w:rsidRPr="001475CC">
        <w:rPr>
          <w:highlight w:val="lightGray"/>
          <w:u w:val="single"/>
        </w:rPr>
        <w:t>of the Union</w:t>
      </w:r>
      <w:r w:rsidRPr="00E75C13">
        <w:t xml:space="preserve"> </w:t>
      </w:r>
      <w:r>
        <w:t xml:space="preserve">bound by the 1991 Act </w:t>
      </w:r>
      <w:r w:rsidRPr="00BB6A4D">
        <w:t>shall provide measures designed to safeguard the interests of the breeder</w:t>
      </w:r>
      <w:r w:rsidRPr="00BB6A4D">
        <w:rPr>
          <w:lang w:val="en-GB"/>
        </w:rPr>
        <w:t xml:space="preserve"> during the period </w:t>
      </w:r>
      <w:r w:rsidRPr="00BB6A4D">
        <w:t>between</w:t>
      </w:r>
      <w:r>
        <w:t xml:space="preserve"> the filing or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8C30ED" w:rsidRDefault="008C30ED" w:rsidP="008C30ED"/>
    <w:p w:rsidR="008C30ED" w:rsidRDefault="008C30ED" w:rsidP="008C30ED">
      <w:pPr>
        <w:tabs>
          <w:tab w:val="left" w:pos="0"/>
        </w:tabs>
      </w:pPr>
      <w:r>
        <w:fldChar w:fldCharType="begin"/>
      </w:r>
      <w:r>
        <w:instrText xml:space="preserve"> AUTONUM  </w:instrText>
      </w:r>
      <w:r>
        <w:fldChar w:fldCharType="end"/>
      </w:r>
      <w:r>
        <w:tab/>
        <w:t>The use of the text “at least” clarifies that it is possible, for example, that the provisions on provisional protection in the law governing breeders’ rights provide the holder of the breeder’s right with the full scope of the breeder’s right.</w:t>
      </w:r>
    </w:p>
    <w:p w:rsidR="008C30ED" w:rsidRPr="00546BFE" w:rsidRDefault="008C30ED" w:rsidP="008C30ED">
      <w:pPr>
        <w:rPr>
          <w:lang w:val="en-GB"/>
        </w:rPr>
      </w:pPr>
    </w:p>
    <w:p w:rsidR="008C30ED" w:rsidRPr="007D0B53" w:rsidRDefault="008C30ED" w:rsidP="008C30ED">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rPr>
          <w:spacing w:val="-3"/>
        </w:rPr>
        <w:tab/>
        <w:t>Provisional protection is valid only in relation to acts that would require the breeder’s authorization “once the right is granted”</w:t>
      </w:r>
      <w:r w:rsidRPr="00B638FD">
        <w:rPr>
          <w:spacing w:val="-3"/>
          <w:highlight w:val="lightGray"/>
          <w:u w:val="single"/>
        </w:rPr>
        <w:t>.</w:t>
      </w:r>
      <w:r>
        <w:rPr>
          <w:spacing w:val="-3"/>
        </w:rPr>
        <w:t xml:space="preserve"> </w:t>
      </w:r>
      <w:r w:rsidRPr="00395AAC">
        <w:rPr>
          <w:strike/>
          <w:spacing w:val="-3"/>
          <w:highlight w:val="lightGray"/>
        </w:rPr>
        <w:t>,</w:t>
      </w:r>
      <w:r w:rsidRPr="00696BB7">
        <w:rPr>
          <w:strike/>
          <w:spacing w:val="-3"/>
        </w:rPr>
        <w:t xml:space="preserve"> </w:t>
      </w:r>
      <w:r w:rsidRPr="00EE7D52">
        <w:rPr>
          <w:strike/>
          <w:spacing w:val="-3"/>
          <w:highlight w:val="lightGray"/>
        </w:rPr>
        <w:t>i.e.</w:t>
      </w:r>
      <w:proofErr w:type="gramStart"/>
      <w:r w:rsidRPr="00E323AF">
        <w:rPr>
          <w:strike/>
          <w:spacing w:val="-3"/>
          <w:highlight w:val="lightGray"/>
        </w:rPr>
        <w:t>,</w:t>
      </w:r>
      <w:r w:rsidRPr="00E323AF">
        <w:rPr>
          <w:spacing w:val="-3"/>
        </w:rPr>
        <w:t xml:space="preserve">  </w:t>
      </w:r>
      <w:r w:rsidR="00E323AF">
        <w:rPr>
          <w:strike/>
          <w:spacing w:val="-3"/>
          <w:highlight w:val="lightGray"/>
        </w:rPr>
        <w:t>Therefore</w:t>
      </w:r>
      <w:proofErr w:type="gramEnd"/>
      <w:r w:rsidR="00E323AF">
        <w:rPr>
          <w:strike/>
          <w:spacing w:val="-3"/>
          <w:highlight w:val="lightGray"/>
        </w:rPr>
        <w:t xml:space="preserve"> </w:t>
      </w:r>
      <w:r w:rsidRPr="000E33CF">
        <w:rPr>
          <w:strike/>
          <w:spacing w:val="-3"/>
          <w:highlight w:val="lightGray"/>
        </w:rPr>
        <w:t>if the right is not granted, provisional protection is not applicable.</w:t>
      </w:r>
      <w:r>
        <w:rPr>
          <w:spacing w:val="-3"/>
        </w:rPr>
        <w:t xml:space="preserve"> </w:t>
      </w:r>
      <w:r w:rsidR="000E33CF">
        <w:rPr>
          <w:spacing w:val="-3"/>
        </w:rPr>
        <w:t xml:space="preserve"> </w:t>
      </w:r>
      <w:r w:rsidRPr="007D0B53">
        <w:rPr>
          <w:highlight w:val="lightGray"/>
          <w:u w:val="single"/>
        </w:rPr>
        <w:t>The UPOV Convention requires (see Article 30(1)(iii) of the 1991 Act and Article 30(1)(c) of the 1978 Act) that the public is informed through the regular publication of information concerning applications for and grants of breeders’ rights</w:t>
      </w:r>
      <w:r>
        <w:rPr>
          <w:highlight w:val="lightGray"/>
          <w:u w:val="single"/>
        </w:rPr>
        <w:t>, which includes</w:t>
      </w:r>
      <w:r w:rsidRPr="007D0B53">
        <w:rPr>
          <w:highlight w:val="lightGray"/>
          <w:u w:val="single"/>
        </w:rPr>
        <w:t xml:space="preserve"> withdrawals and rejections of applications</w:t>
      </w:r>
      <w:r>
        <w:t>.</w:t>
      </w:r>
    </w:p>
    <w:p w:rsidR="008C30ED" w:rsidRDefault="008C30ED" w:rsidP="008C30ED">
      <w:pPr>
        <w:rPr>
          <w:spacing w:val="-3"/>
        </w:rPr>
      </w:pPr>
    </w:p>
    <w:p w:rsidR="008C30ED" w:rsidRDefault="008C30ED" w:rsidP="008C30ED">
      <w:pPr>
        <w:spacing w:after="240"/>
        <w:rPr>
          <w:spacing w:val="-3"/>
        </w:rPr>
      </w:pPr>
      <w:r w:rsidRPr="00EE7D52">
        <w:rPr>
          <w:spacing w:val="-3"/>
          <w:highlight w:val="lightGray"/>
          <w:u w:val="single"/>
        </w:rPr>
        <w:t>10.</w:t>
      </w:r>
      <w:r>
        <w:rPr>
          <w:spacing w:val="-3"/>
        </w:rPr>
        <w:t xml:space="preserve"> </w:t>
      </w:r>
      <w:r>
        <w:rPr>
          <w:spacing w:val="-3"/>
        </w:rPr>
        <w:tab/>
      </w:r>
      <w:r w:rsidRPr="00330328">
        <w:rPr>
          <w:rFonts w:cs="Arial"/>
          <w:highlight w:val="lightGray"/>
          <w:u w:val="single"/>
        </w:rPr>
        <w:t xml:space="preserve">The possibility to enter into license agreements </w:t>
      </w:r>
      <w:r>
        <w:rPr>
          <w:rFonts w:cs="Arial"/>
          <w:highlight w:val="lightGray"/>
          <w:u w:val="single"/>
        </w:rPr>
        <w:t>on the basis of applications for breeder</w:t>
      </w:r>
      <w:r w:rsidRPr="00330328">
        <w:rPr>
          <w:rFonts w:cs="Arial"/>
          <w:highlight w:val="lightGray"/>
          <w:u w:val="single"/>
        </w:rPr>
        <w:t>s</w:t>
      </w:r>
      <w:r>
        <w:rPr>
          <w:rFonts w:cs="Arial"/>
          <w:highlight w:val="lightGray"/>
          <w:u w:val="single"/>
        </w:rPr>
        <w:t>’</w:t>
      </w:r>
      <w:r w:rsidRPr="00330328">
        <w:rPr>
          <w:rFonts w:cs="Arial"/>
          <w:highlight w:val="lightGray"/>
          <w:u w:val="single"/>
        </w:rPr>
        <w:t xml:space="preserve"> right</w:t>
      </w:r>
      <w:r>
        <w:rPr>
          <w:rFonts w:cs="Arial"/>
          <w:highlight w:val="lightGray"/>
          <w:u w:val="single"/>
        </w:rPr>
        <w:t>s</w:t>
      </w:r>
      <w:r w:rsidRPr="00330328">
        <w:rPr>
          <w:rFonts w:cs="Arial"/>
          <w:highlight w:val="lightGray"/>
          <w:u w:val="single"/>
        </w:rPr>
        <w:t xml:space="preserve"> and</w:t>
      </w:r>
      <w:r>
        <w:rPr>
          <w:rFonts w:cs="Arial"/>
          <w:highlight w:val="lightGray"/>
          <w:u w:val="single"/>
        </w:rPr>
        <w:t>/or</w:t>
      </w:r>
      <w:r w:rsidRPr="00330328">
        <w:rPr>
          <w:rFonts w:cs="Arial"/>
          <w:highlight w:val="lightGray"/>
          <w:u w:val="single"/>
        </w:rPr>
        <w:t xml:space="preserve"> to initiate legal proceedings before the grant</w:t>
      </w:r>
      <w:r>
        <w:rPr>
          <w:rFonts w:cs="Arial"/>
          <w:highlight w:val="lightGray"/>
          <w:u w:val="single"/>
        </w:rPr>
        <w:t>s of breeder</w:t>
      </w:r>
      <w:r w:rsidRPr="00330328">
        <w:rPr>
          <w:rFonts w:cs="Arial"/>
          <w:highlight w:val="lightGray"/>
          <w:u w:val="single"/>
        </w:rPr>
        <w:t>s</w:t>
      </w:r>
      <w:r>
        <w:rPr>
          <w:rFonts w:cs="Arial"/>
          <w:highlight w:val="lightGray"/>
          <w:u w:val="single"/>
        </w:rPr>
        <w:t>’</w:t>
      </w:r>
      <w:r w:rsidRPr="00330328">
        <w:rPr>
          <w:rFonts w:cs="Arial"/>
          <w:highlight w:val="lightGray"/>
          <w:u w:val="single"/>
        </w:rPr>
        <w:t xml:space="preserve"> right</w:t>
      </w:r>
      <w:r>
        <w:rPr>
          <w:rFonts w:cs="Arial"/>
          <w:highlight w:val="lightGray"/>
          <w:u w:val="single"/>
        </w:rPr>
        <w:t>s</w:t>
      </w:r>
      <w:r w:rsidRPr="00330328">
        <w:rPr>
          <w:rFonts w:cs="Arial"/>
          <w:highlight w:val="lightGray"/>
          <w:u w:val="single"/>
        </w:rPr>
        <w:t xml:space="preserve"> </w:t>
      </w:r>
      <w:r w:rsidRPr="00330328">
        <w:rPr>
          <w:highlight w:val="lightGray"/>
          <w:u w:val="single"/>
        </w:rPr>
        <w:t xml:space="preserve">will be determined by the relevant legislation of the member of the Union concerned. </w:t>
      </w:r>
      <w:r>
        <w:rPr>
          <w:highlight w:val="lightGray"/>
          <w:u w:val="single"/>
        </w:rPr>
        <w:t xml:space="preserve"> The relevant</w:t>
      </w:r>
      <w:r w:rsidRPr="00251BE8">
        <w:rPr>
          <w:highlight w:val="lightGray"/>
          <w:u w:val="single"/>
        </w:rPr>
        <w:t xml:space="preserve"> legislation </w:t>
      </w:r>
      <w:r>
        <w:rPr>
          <w:highlight w:val="lightGray"/>
          <w:u w:val="single"/>
        </w:rPr>
        <w:t>might,</w:t>
      </w:r>
      <w:r w:rsidRPr="00251BE8">
        <w:rPr>
          <w:highlight w:val="lightGray"/>
          <w:u w:val="single"/>
        </w:rPr>
        <w:t xml:space="preserve"> in addition to the legislation governing breeders’ rights, </w:t>
      </w:r>
      <w:r>
        <w:rPr>
          <w:highlight w:val="lightGray"/>
          <w:u w:val="single"/>
        </w:rPr>
        <w:t xml:space="preserve">include other </w:t>
      </w:r>
      <w:r w:rsidRPr="00251BE8">
        <w:rPr>
          <w:highlight w:val="lightGray"/>
          <w:u w:val="single"/>
        </w:rPr>
        <w:t>legislation on substantive and procedural matters</w:t>
      </w:r>
      <w:r>
        <w:rPr>
          <w:highlight w:val="lightGray"/>
          <w:u w:val="single"/>
        </w:rPr>
        <w:t xml:space="preserve"> (e.g. civil legislation, criminal legislation</w:t>
      </w:r>
      <w:r w:rsidRPr="00251BE8">
        <w:rPr>
          <w:highlight w:val="lightGray"/>
          <w:u w:val="single"/>
        </w:rPr>
        <w:t>).</w:t>
      </w:r>
      <w:r>
        <w:rPr>
          <w:u w:val="single"/>
        </w:rPr>
        <w:t xml:space="preserve"> </w:t>
      </w:r>
    </w:p>
    <w:p w:rsidR="008C30ED" w:rsidRPr="00846159" w:rsidRDefault="008C30ED" w:rsidP="008C30ED">
      <w:pPr>
        <w:rPr>
          <w:b/>
          <w:spacing w:val="-3"/>
        </w:rPr>
      </w:pPr>
      <w:r>
        <w:rPr>
          <w:rFonts w:cs="Arial"/>
          <w:highlight w:val="lightGray"/>
          <w:u w:val="single"/>
        </w:rPr>
        <w:t>11</w:t>
      </w:r>
      <w:r w:rsidRPr="00846159">
        <w:rPr>
          <w:rFonts w:cs="Arial"/>
          <w:highlight w:val="lightGray"/>
          <w:u w:val="single"/>
        </w:rPr>
        <w:t>.</w:t>
      </w:r>
      <w:r w:rsidRPr="00846159">
        <w:rPr>
          <w:rFonts w:cs="Arial"/>
          <w:highlight w:val="lightGray"/>
          <w:u w:val="single"/>
        </w:rPr>
        <w:tab/>
      </w:r>
      <w:r>
        <w:rPr>
          <w:rFonts w:cs="Arial"/>
          <w:highlight w:val="lightGray"/>
          <w:u w:val="single"/>
        </w:rPr>
        <w:t xml:space="preserve">In cases where </w:t>
      </w:r>
      <w:r w:rsidRPr="00A21CC2">
        <w:rPr>
          <w:rFonts w:cs="Arial"/>
          <w:highlight w:val="lightGray"/>
          <w:u w:val="single"/>
        </w:rPr>
        <w:t xml:space="preserve">it is possible to enter into </w:t>
      </w:r>
      <w:r>
        <w:rPr>
          <w:rFonts w:cs="Arial"/>
          <w:highlight w:val="lightGray"/>
          <w:u w:val="single"/>
        </w:rPr>
        <w:t>a license agreement</w:t>
      </w:r>
      <w:r w:rsidRPr="00A21CC2">
        <w:rPr>
          <w:rFonts w:cs="Arial"/>
          <w:highlight w:val="lightGray"/>
          <w:u w:val="single"/>
        </w:rPr>
        <w:t xml:space="preserve"> before the grant</w:t>
      </w:r>
      <w:r>
        <w:rPr>
          <w:rFonts w:cs="Arial"/>
          <w:highlight w:val="lightGray"/>
          <w:u w:val="single"/>
        </w:rPr>
        <w:t xml:space="preserve"> </w:t>
      </w:r>
      <w:r w:rsidRPr="00B17895">
        <w:rPr>
          <w:rFonts w:cs="Arial"/>
          <w:highlight w:val="lightGray"/>
          <w:u w:val="single"/>
        </w:rPr>
        <w:t>of a breeder’s right</w:t>
      </w:r>
      <w:r w:rsidRPr="00A21CC2">
        <w:rPr>
          <w:rFonts w:cs="Arial"/>
          <w:highlight w:val="lightGray"/>
          <w:u w:val="single"/>
        </w:rPr>
        <w:t xml:space="preserve">, the </w:t>
      </w:r>
      <w:r>
        <w:rPr>
          <w:rFonts w:cs="Arial"/>
          <w:highlight w:val="lightGray"/>
          <w:u w:val="single"/>
        </w:rPr>
        <w:t xml:space="preserve">effects on </w:t>
      </w:r>
      <w:r w:rsidRPr="00CB2637">
        <w:rPr>
          <w:szCs w:val="22"/>
          <w:highlight w:val="lightGray"/>
          <w:u w:val="single"/>
        </w:rPr>
        <w:t>royalties paid</w:t>
      </w:r>
      <w:r>
        <w:rPr>
          <w:rFonts w:cs="Arial"/>
          <w:highlight w:val="lightGray"/>
          <w:u w:val="single"/>
        </w:rPr>
        <w:t xml:space="preserve"> </w:t>
      </w:r>
      <w:r w:rsidRPr="00A21CC2">
        <w:rPr>
          <w:highlight w:val="lightGray"/>
          <w:u w:val="single"/>
        </w:rPr>
        <w:t xml:space="preserve">if the </w:t>
      </w:r>
      <w:r>
        <w:rPr>
          <w:highlight w:val="lightGray"/>
          <w:u w:val="single"/>
        </w:rPr>
        <w:t>right is not granted (</w:t>
      </w:r>
      <w:r w:rsidRPr="00690AB6">
        <w:rPr>
          <w:rFonts w:cs="Arial"/>
          <w:highlight w:val="lightGray"/>
          <w:u w:val="single"/>
        </w:rPr>
        <w:t xml:space="preserve">e.g. </w:t>
      </w:r>
      <w:r>
        <w:rPr>
          <w:szCs w:val="22"/>
          <w:highlight w:val="lightGray"/>
          <w:u w:val="single"/>
        </w:rPr>
        <w:t xml:space="preserve">whether or not </w:t>
      </w:r>
      <w:r w:rsidRPr="00690AB6">
        <w:rPr>
          <w:szCs w:val="22"/>
          <w:highlight w:val="lightGray"/>
          <w:u w:val="single"/>
        </w:rPr>
        <w:t>the licensor has to reimburse past royalties)</w:t>
      </w:r>
      <w:r>
        <w:rPr>
          <w:szCs w:val="22"/>
          <w:highlight w:val="lightGray"/>
          <w:u w:val="single"/>
        </w:rPr>
        <w:t xml:space="preserve"> </w:t>
      </w:r>
      <w:r>
        <w:rPr>
          <w:rFonts w:cs="Arial"/>
          <w:highlight w:val="lightGray"/>
          <w:u w:val="single"/>
        </w:rPr>
        <w:t xml:space="preserve">may be </w:t>
      </w:r>
      <w:r w:rsidRPr="00A21CC2">
        <w:rPr>
          <w:rFonts w:cs="Arial"/>
          <w:highlight w:val="lightGray"/>
          <w:u w:val="single"/>
        </w:rPr>
        <w:t>provided in the relevant</w:t>
      </w:r>
      <w:r w:rsidRPr="00A21CC2">
        <w:rPr>
          <w:highlight w:val="lightGray"/>
          <w:u w:val="single"/>
        </w:rPr>
        <w:t xml:space="preserve"> legislation</w:t>
      </w:r>
      <w:r w:rsidRPr="00A21CC2">
        <w:rPr>
          <w:rFonts w:cs="Arial"/>
          <w:highlight w:val="lightGray"/>
          <w:u w:val="single"/>
        </w:rPr>
        <w:t xml:space="preserve"> </w:t>
      </w:r>
      <w:r>
        <w:rPr>
          <w:rFonts w:cs="Arial"/>
          <w:highlight w:val="lightGray"/>
          <w:u w:val="single"/>
        </w:rPr>
        <w:t xml:space="preserve">and/or </w:t>
      </w:r>
      <w:r w:rsidRPr="00A21CC2">
        <w:rPr>
          <w:rFonts w:cs="Arial"/>
          <w:highlight w:val="lightGray"/>
          <w:u w:val="single"/>
        </w:rPr>
        <w:t>may be agreed by the parties</w:t>
      </w:r>
      <w:r>
        <w:rPr>
          <w:rFonts w:cs="Arial"/>
          <w:highlight w:val="lightGray"/>
          <w:u w:val="single"/>
        </w:rPr>
        <w:t xml:space="preserve"> in accordance with the legislative system</w:t>
      </w:r>
      <w:r w:rsidRPr="0087369F">
        <w:rPr>
          <w:szCs w:val="22"/>
        </w:rPr>
        <w:t>.</w:t>
      </w:r>
    </w:p>
    <w:p w:rsidR="008C30ED" w:rsidRDefault="008C30ED" w:rsidP="008C30ED">
      <w:pPr>
        <w:rPr>
          <w:spacing w:val="-3"/>
        </w:rPr>
      </w:pPr>
    </w:p>
    <w:p w:rsidR="008C30ED" w:rsidRDefault="008C30ED" w:rsidP="008C30ED">
      <w:pPr>
        <w:rPr>
          <w:rFonts w:cs="Arial"/>
        </w:rPr>
      </w:pPr>
      <w:r>
        <w:rPr>
          <w:rFonts w:cs="Arial"/>
          <w:highlight w:val="lightGray"/>
          <w:u w:val="single"/>
        </w:rPr>
        <w:t>12.</w:t>
      </w:r>
      <w:r>
        <w:rPr>
          <w:rFonts w:cs="Arial"/>
          <w:highlight w:val="lightGray"/>
          <w:u w:val="single"/>
        </w:rPr>
        <w:tab/>
      </w:r>
      <w:r w:rsidR="000E33CF" w:rsidRPr="000E33CF">
        <w:rPr>
          <w:highlight w:val="lightGray"/>
          <w:u w:val="single"/>
        </w:rPr>
        <w:t>In some members of the Union, legal action in respect of provisional protection can only be initiated after the right is granted. In some other members of the Union, it is possible to initiate legal proceedings before the grant of a breeder’s right. In those cases, the competent judicial authority may decide that any damages during the period of provisional protection would only be enforceable once the right has been granted.  In such cases, the judicial authority could, for example, request the third party to transfer the amount of the damages to a depository account for payment to the breeder if and when the right is granted.</w:t>
      </w:r>
    </w:p>
    <w:p w:rsidR="008C30ED" w:rsidRDefault="008C30ED" w:rsidP="000E33CF">
      <w:pPr>
        <w:spacing w:line="360" w:lineRule="auto"/>
        <w:rPr>
          <w:rFonts w:cs="Arial"/>
        </w:rPr>
      </w:pPr>
    </w:p>
    <w:p w:rsidR="008C30ED" w:rsidRPr="00287266" w:rsidRDefault="008C30ED" w:rsidP="008C30ED">
      <w:pPr>
        <w:rPr>
          <w:rFonts w:cs="Arial"/>
          <w:i/>
          <w:u w:val="single"/>
        </w:rPr>
      </w:pPr>
      <w:r w:rsidRPr="00287266">
        <w:rPr>
          <w:rFonts w:cs="Arial"/>
          <w:i/>
          <w:highlight w:val="lightGray"/>
          <w:u w:val="single"/>
        </w:rPr>
        <w:t>Example provision</w:t>
      </w:r>
    </w:p>
    <w:p w:rsidR="008C30ED" w:rsidRPr="00330328" w:rsidRDefault="008C30ED" w:rsidP="008C30ED">
      <w:pPr>
        <w:rPr>
          <w:rFonts w:cs="Arial"/>
          <w:u w:val="single"/>
        </w:rPr>
      </w:pPr>
    </w:p>
    <w:p w:rsidR="008C30ED" w:rsidRDefault="008C30ED" w:rsidP="008C30ED">
      <w:pPr>
        <w:pStyle w:val="Style1"/>
        <w:tabs>
          <w:tab w:val="clear" w:pos="907"/>
          <w:tab w:val="clear" w:pos="1077"/>
          <w:tab w:val="left" w:pos="0"/>
        </w:tabs>
      </w:pPr>
      <w:r w:rsidRPr="00A21CC2">
        <w:rPr>
          <w:snapToGrid w:val="0"/>
          <w:highlight w:val="lightGray"/>
          <w:u w:val="single"/>
        </w:rPr>
        <w:t>13.</w:t>
      </w:r>
      <w:r>
        <w:rPr>
          <w:snapToGrid w:val="0"/>
        </w:rPr>
        <w:t xml:space="preserve"> </w:t>
      </w:r>
      <w:r w:rsidRPr="00A21CC2">
        <w:rPr>
          <w:strike/>
          <w:snapToGrid w:val="0"/>
          <w:highlight w:val="lightGray"/>
        </w:rPr>
        <w:t>10.</w:t>
      </w:r>
      <w:r>
        <w:rPr>
          <w:snapToGrid w:val="0"/>
        </w:rPr>
        <w:t xml:space="preserve"> </w:t>
      </w:r>
      <w:r w:rsidRPr="00DC014D">
        <w:rPr>
          <w:snapToGrid w:val="0"/>
        </w:rPr>
        <w:t>The following example provision</w:t>
      </w:r>
      <w:r w:rsidRPr="00DC014D">
        <w:t xml:space="preserve"> is intended to provide assistance to States/ intergovernmental organizations wishing to draft a provision on provisional protection in their laws in accordance with the </w:t>
      </w:r>
      <w:r>
        <w:t>1991 Act of the UPOV Convention:</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left" w:pos="0"/>
        </w:tabs>
      </w:pPr>
    </w:p>
    <w:p w:rsidR="008C30ED" w:rsidRPr="006518E5" w:rsidRDefault="008C30ED" w:rsidP="008C30ED">
      <w:pPr>
        <w:pStyle w:val="Inf61normalBold"/>
        <w:keepNext/>
        <w:jc w:val="center"/>
        <w:rPr>
          <w:rFonts w:ascii="Arial" w:hAnsi="Arial" w:cs="Arial"/>
          <w:sz w:val="18"/>
          <w:szCs w:val="18"/>
        </w:rPr>
      </w:pPr>
      <w:bookmarkStart w:id="5" w:name="_Toc225138767"/>
      <w:r w:rsidRPr="006518E5">
        <w:rPr>
          <w:rFonts w:ascii="Arial" w:hAnsi="Arial" w:cs="Arial"/>
          <w:sz w:val="18"/>
          <w:szCs w:val="18"/>
        </w:rPr>
        <w:t xml:space="preserve">Article </w:t>
      </w:r>
      <w:r w:rsidRPr="006518E5">
        <w:rPr>
          <w:rFonts w:ascii="Arial" w:hAnsi="Arial" w:cs="Arial"/>
          <w:sz w:val="18"/>
          <w:szCs w:val="18"/>
          <w:highlight w:val="yellow"/>
        </w:rPr>
        <w:t>[13]</w:t>
      </w:r>
      <w:r w:rsidRPr="006518E5">
        <w:rPr>
          <w:rStyle w:val="FootnoteReference"/>
          <w:rFonts w:ascii="Arial" w:hAnsi="Arial" w:cs="Arial"/>
          <w:b w:val="0"/>
          <w:sz w:val="18"/>
          <w:szCs w:val="18"/>
          <w:highlight w:val="yellow"/>
        </w:rPr>
        <w:footnoteReference w:id="3"/>
      </w:r>
    </w:p>
    <w:p w:rsidR="008C30ED" w:rsidRPr="006518E5" w:rsidRDefault="008C30ED" w:rsidP="008C30ED">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5"/>
    </w:p>
    <w:p w:rsidR="008C30ED" w:rsidRPr="006518E5" w:rsidRDefault="008C30ED" w:rsidP="008C30ED">
      <w:pPr>
        <w:pStyle w:val="Inf61normalBold"/>
        <w:keepNext/>
        <w:jc w:val="center"/>
        <w:rPr>
          <w:rFonts w:ascii="Arial" w:hAnsi="Arial" w:cs="Arial"/>
          <w:sz w:val="18"/>
          <w:szCs w:val="18"/>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8C30ED" w:rsidRPr="006518E5" w:rsidRDefault="008C30ED" w:rsidP="008C30ED">
      <w:pPr>
        <w:pStyle w:val="inf61normal"/>
        <w:tabs>
          <w:tab w:val="clear" w:pos="426"/>
          <w:tab w:val="clear" w:pos="992"/>
        </w:tabs>
        <w:ind w:left="567" w:right="566"/>
        <w:rPr>
          <w:rFonts w:ascii="Arial" w:hAnsi="Arial" w:cs="Arial"/>
          <w:i/>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8C30ED" w:rsidRPr="006518E5" w:rsidRDefault="008C30ED" w:rsidP="008C30ED">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8C30ED" w:rsidRPr="006518E5"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8C30ED" w:rsidRPr="006518E5" w:rsidRDefault="008C30ED" w:rsidP="008C30ED">
      <w:pPr>
        <w:autoSpaceDE w:val="0"/>
        <w:autoSpaceDN w:val="0"/>
        <w:adjustRightInd w:val="0"/>
        <w:ind w:left="567" w:right="566"/>
        <w:jc w:val="left"/>
        <w:rPr>
          <w:rFonts w:cs="Arial"/>
          <w:sz w:val="18"/>
          <w:szCs w:val="18"/>
        </w:rPr>
      </w:pPr>
    </w:p>
    <w:p w:rsidR="008C30ED" w:rsidRPr="006518E5" w:rsidRDefault="008C30ED" w:rsidP="008C30ED">
      <w:pPr>
        <w:autoSpaceDE w:val="0"/>
        <w:autoSpaceDN w:val="0"/>
        <w:adjustRightInd w:val="0"/>
        <w:ind w:left="567" w:right="566"/>
        <w:jc w:val="left"/>
        <w:rPr>
          <w:rFonts w:cs="Arial"/>
          <w:i/>
          <w:sz w:val="18"/>
          <w:szCs w:val="18"/>
        </w:rPr>
      </w:pPr>
      <w:r w:rsidRPr="006518E5">
        <w:rPr>
          <w:rFonts w:cs="Arial"/>
          <w:i/>
          <w:sz w:val="18"/>
          <w:szCs w:val="18"/>
        </w:rPr>
        <w:t>Example B</w:t>
      </w:r>
    </w:p>
    <w:p w:rsidR="008C30ED" w:rsidRPr="006518E5" w:rsidRDefault="008C30ED" w:rsidP="008C30ED">
      <w:pPr>
        <w:autoSpaceDE w:val="0"/>
        <w:autoSpaceDN w:val="0"/>
        <w:adjustRightInd w:val="0"/>
        <w:ind w:left="567" w:right="566"/>
        <w:jc w:val="left"/>
        <w:rPr>
          <w:rFonts w:cs="Arial"/>
          <w:sz w:val="18"/>
          <w:szCs w:val="18"/>
        </w:rPr>
      </w:pPr>
    </w:p>
    <w:p w:rsidR="008C30ED" w:rsidRPr="0087369F" w:rsidRDefault="008C30ED" w:rsidP="008C30ED">
      <w:pPr>
        <w:autoSpaceDE w:val="0"/>
        <w:autoSpaceDN w:val="0"/>
        <w:adjustRightInd w:val="0"/>
        <w:ind w:left="567" w:right="566"/>
        <w:rPr>
          <w:rFonts w:cs="Arial"/>
          <w:sz w:val="18"/>
          <w:szCs w:val="18"/>
          <w:highlight w:val="lightGray"/>
          <w:u w:val="single"/>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2762CE">
        <w:rPr>
          <w:rFonts w:cs="Arial"/>
          <w:strike/>
          <w:sz w:val="18"/>
          <w:szCs w:val="18"/>
          <w:highlight w:val="lightGray"/>
        </w:rPr>
        <w:t>Legal action in respect of provisional protection can only be initiated after the right is granted.</w:t>
      </w:r>
      <w:r w:rsidRPr="003F1B7F">
        <w:rPr>
          <w:rFonts w:cs="Arial"/>
          <w:sz w:val="18"/>
          <w:szCs w:val="18"/>
        </w:rPr>
        <w:t xml:space="preserve">  </w:t>
      </w:r>
      <w:r w:rsidRPr="002762CE">
        <w:rPr>
          <w:rFonts w:cs="Arial"/>
          <w:sz w:val="18"/>
          <w:szCs w:val="18"/>
          <w:highlight w:val="lightGray"/>
          <w:u w:val="single"/>
        </w:rPr>
        <w:t xml:space="preserve">The applicant shall have the same rights to </w:t>
      </w:r>
      <w:r>
        <w:rPr>
          <w:rFonts w:cs="Arial"/>
          <w:sz w:val="18"/>
          <w:szCs w:val="18"/>
          <w:highlight w:val="lightGray"/>
          <w:u w:val="single"/>
        </w:rPr>
        <w:t xml:space="preserve">enter into license agreements and to initiate legal </w:t>
      </w:r>
      <w:r w:rsidRPr="002762CE">
        <w:rPr>
          <w:rFonts w:cs="Arial"/>
          <w:sz w:val="18"/>
          <w:szCs w:val="18"/>
          <w:highlight w:val="lightGray"/>
          <w:u w:val="single"/>
        </w:rPr>
        <w:t>proceedings as if on the</w:t>
      </w:r>
      <w:r w:rsidRPr="002762CE">
        <w:rPr>
          <w:rFonts w:cs="Arial"/>
          <w:sz w:val="18"/>
          <w:szCs w:val="18"/>
          <w:u w:val="single"/>
        </w:rPr>
        <w:t xml:space="preserve"> </w:t>
      </w:r>
      <w:r>
        <w:rPr>
          <w:rFonts w:cs="Arial"/>
          <w:sz w:val="18"/>
          <w:szCs w:val="18"/>
          <w:highlight w:val="yellow"/>
          <w:u w:val="single"/>
        </w:rPr>
        <w:t>[</w:t>
      </w:r>
      <w:r w:rsidRPr="002762CE">
        <w:rPr>
          <w:rFonts w:cs="Arial"/>
          <w:sz w:val="18"/>
          <w:szCs w:val="18"/>
          <w:highlight w:val="yellow"/>
          <w:u w:val="single"/>
        </w:rPr>
        <w:t>filing]</w:t>
      </w:r>
      <w:r w:rsidRPr="002762CE">
        <w:rPr>
          <w:rFonts w:cs="Arial"/>
          <w:sz w:val="18"/>
          <w:szCs w:val="18"/>
          <w:u w:val="single"/>
        </w:rPr>
        <w:t xml:space="preserve"> / </w:t>
      </w:r>
      <w:r>
        <w:rPr>
          <w:rFonts w:cs="Arial"/>
          <w:sz w:val="18"/>
          <w:szCs w:val="18"/>
          <w:highlight w:val="yellow"/>
          <w:u w:val="single"/>
        </w:rPr>
        <w:t>[</w:t>
      </w:r>
      <w:r w:rsidRPr="002762CE">
        <w:rPr>
          <w:rFonts w:cs="Arial"/>
          <w:sz w:val="18"/>
          <w:szCs w:val="18"/>
          <w:highlight w:val="yellow"/>
          <w:u w:val="single"/>
        </w:rPr>
        <w:t>publication]</w:t>
      </w:r>
      <w:r w:rsidRPr="002762CE">
        <w:rPr>
          <w:rFonts w:cs="Arial"/>
          <w:sz w:val="18"/>
          <w:szCs w:val="18"/>
          <w:u w:val="single"/>
        </w:rPr>
        <w:t xml:space="preserve"> </w:t>
      </w:r>
      <w:r w:rsidRPr="002762CE">
        <w:rPr>
          <w:rFonts w:cs="Arial"/>
          <w:sz w:val="18"/>
          <w:szCs w:val="18"/>
          <w:highlight w:val="lightGray"/>
          <w:u w:val="single"/>
        </w:rPr>
        <w:t xml:space="preserve">date the breeder’s right had been granted to the applicant in respect </w:t>
      </w:r>
      <w:r>
        <w:rPr>
          <w:rFonts w:cs="Arial"/>
          <w:sz w:val="18"/>
          <w:szCs w:val="18"/>
          <w:highlight w:val="lightGray"/>
          <w:u w:val="single"/>
        </w:rPr>
        <w:t xml:space="preserve">of </w:t>
      </w:r>
      <w:r w:rsidRPr="002762CE">
        <w:rPr>
          <w:rFonts w:cs="Arial"/>
          <w:sz w:val="18"/>
          <w:szCs w:val="18"/>
          <w:highlight w:val="lightGray"/>
          <w:u w:val="single"/>
        </w:rPr>
        <w:t>the variety concerned.</w:t>
      </w:r>
      <w:r>
        <w:rPr>
          <w:rFonts w:cs="Arial"/>
          <w:sz w:val="18"/>
          <w:szCs w:val="18"/>
          <w:u w:val="single"/>
        </w:rPr>
        <w:t xml:space="preserve">  </w:t>
      </w:r>
      <w:r w:rsidRPr="00A64A45">
        <w:rPr>
          <w:rFonts w:cs="Arial"/>
          <w:sz w:val="18"/>
          <w:szCs w:val="18"/>
          <w:highlight w:val="lightGray"/>
          <w:u w:val="single"/>
        </w:rPr>
        <w:t>The</w:t>
      </w:r>
      <w:r>
        <w:rPr>
          <w:rFonts w:cs="Arial"/>
          <w:sz w:val="18"/>
          <w:szCs w:val="18"/>
          <w:highlight w:val="lightGray"/>
          <w:u w:val="single"/>
        </w:rPr>
        <w:t xml:space="preserve"> </w:t>
      </w:r>
      <w:r w:rsidRPr="00A64A45">
        <w:rPr>
          <w:rFonts w:cs="Arial"/>
          <w:sz w:val="18"/>
          <w:szCs w:val="18"/>
          <w:highlight w:val="lightGray"/>
          <w:u w:val="single"/>
        </w:rPr>
        <w:t>rights conferred under this paragraph shall be deemed never to have been conferred if</w:t>
      </w:r>
      <w:r>
        <w:rPr>
          <w:rFonts w:cs="Arial"/>
          <w:sz w:val="18"/>
          <w:szCs w:val="18"/>
          <w:highlight w:val="lightGray"/>
          <w:u w:val="single"/>
        </w:rPr>
        <w:t xml:space="preserve"> the right is not granted.</w:t>
      </w:r>
      <w:r w:rsidRPr="0087369F">
        <w:rPr>
          <w:rFonts w:cs="Arial"/>
          <w:sz w:val="18"/>
          <w:szCs w:val="18"/>
        </w:rPr>
        <w:t xml:space="preserve"> </w:t>
      </w:r>
    </w:p>
    <w:p w:rsidR="008C30ED" w:rsidRPr="00A64A45" w:rsidRDefault="008C30ED" w:rsidP="008C30ED">
      <w:pPr>
        <w:autoSpaceDE w:val="0"/>
        <w:autoSpaceDN w:val="0"/>
        <w:adjustRightInd w:val="0"/>
        <w:ind w:left="567" w:right="566"/>
        <w:rPr>
          <w:rFonts w:cs="Arial"/>
          <w:sz w:val="18"/>
          <w:szCs w:val="18"/>
          <w:u w:val="single"/>
        </w:rPr>
      </w:pPr>
    </w:p>
    <w:p w:rsidR="008C30ED" w:rsidRPr="002762CE" w:rsidRDefault="008C30ED" w:rsidP="008C30ED">
      <w:pPr>
        <w:autoSpaceDE w:val="0"/>
        <w:autoSpaceDN w:val="0"/>
        <w:adjustRightInd w:val="0"/>
        <w:ind w:left="567" w:right="566"/>
        <w:rPr>
          <w:rFonts w:cs="Arial"/>
          <w:sz w:val="18"/>
          <w:szCs w:val="18"/>
          <w:u w:val="single"/>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8C30ED" w:rsidRPr="006518E5" w:rsidRDefault="008C30ED" w:rsidP="008C30ED">
      <w:pPr>
        <w:autoSpaceDE w:val="0"/>
        <w:autoSpaceDN w:val="0"/>
        <w:adjustRightInd w:val="0"/>
        <w:ind w:left="567" w:right="566"/>
        <w:rPr>
          <w:rFonts w:cs="Arial"/>
          <w:sz w:val="18"/>
          <w:szCs w:val="18"/>
          <w:highlight w:val="yellow"/>
        </w:rPr>
      </w:pPr>
    </w:p>
    <w:p w:rsidR="008C30ED" w:rsidRPr="006518E5" w:rsidRDefault="008C30ED" w:rsidP="008C30ED">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8C30ED" w:rsidRDefault="008C30ED" w:rsidP="008C30ED">
      <w:pPr>
        <w:rPr>
          <w:rFonts w:cs="Arial"/>
        </w:rPr>
      </w:pPr>
    </w:p>
    <w:p w:rsidR="00BE4EC4" w:rsidRPr="0019030C" w:rsidRDefault="00BE4EC4" w:rsidP="008C30ED">
      <w:pPr>
        <w:rPr>
          <w:rFonts w:cs="Arial"/>
        </w:rPr>
      </w:pPr>
    </w:p>
    <w:p w:rsidR="006A4623" w:rsidRDefault="006A4623">
      <w:pPr>
        <w:jc w:val="left"/>
        <w:rPr>
          <w:rFonts w:cs="Arial"/>
        </w:rPr>
      </w:pPr>
    </w:p>
    <w:p w:rsidR="00BE4EC4" w:rsidRPr="0019030C" w:rsidRDefault="00550DA0" w:rsidP="00550DA0">
      <w:pPr>
        <w:jc w:val="right"/>
        <w:rPr>
          <w:rFonts w:cs="Arial"/>
        </w:rPr>
      </w:pPr>
      <w:r>
        <w:rPr>
          <w:rFonts w:cs="Arial"/>
        </w:rPr>
        <w:t>[End of document]</w:t>
      </w:r>
    </w:p>
    <w:sectPr w:rsidR="00BE4EC4" w:rsidRPr="0019030C" w:rsidSect="00BE4EC4">
      <w:headerReference w:type="even" r:id="rId9"/>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C2" w:rsidRDefault="00CE62C2">
      <w:r>
        <w:separator/>
      </w:r>
    </w:p>
  </w:endnote>
  <w:endnote w:type="continuationSeparator" w:id="0">
    <w:p w:rsidR="00CE62C2" w:rsidRDefault="00C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C2" w:rsidRDefault="00CE62C2">
      <w:r>
        <w:separator/>
      </w:r>
    </w:p>
  </w:footnote>
  <w:footnote w:type="continuationSeparator" w:id="0">
    <w:p w:rsidR="00CE62C2" w:rsidRDefault="00CE62C2">
      <w:r>
        <w:continuationSeparator/>
      </w:r>
    </w:p>
  </w:footnote>
  <w:footnote w:id="1">
    <w:p w:rsidR="008C30ED" w:rsidRPr="00101360" w:rsidRDefault="008C30ED" w:rsidP="008C30ED">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8C30ED" w:rsidRPr="00101360" w:rsidRDefault="008C30ED" w:rsidP="008C30ED">
      <w:pPr>
        <w:pStyle w:val="FootnoteText"/>
      </w:pPr>
      <w:r w:rsidRPr="00101360">
        <w:rPr>
          <w:rStyle w:val="FootnoteReference"/>
        </w:rPr>
        <w:footnoteRef/>
      </w:r>
      <w:r>
        <w:tab/>
      </w:r>
      <w:r w:rsidRPr="00101360">
        <w:t>Under Article 7(3) of the 1978 Act, provisional protection is an optional provision.</w:t>
      </w:r>
    </w:p>
  </w:footnote>
  <w:footnote w:id="3">
    <w:p w:rsidR="008C30ED" w:rsidRPr="00101360" w:rsidRDefault="008C30ED" w:rsidP="008C30ED">
      <w:pPr>
        <w:pStyle w:val="FootnoteText"/>
        <w:ind w:left="284" w:hanging="284"/>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2629D9" w:rsidP="00BE4EC4">
    <w:pPr>
      <w:pStyle w:val="Header"/>
      <w:rPr>
        <w:rFonts w:cs="Arial"/>
      </w:rPr>
    </w:pPr>
    <w:r>
      <w:rPr>
        <w:rFonts w:cs="Arial"/>
      </w:rPr>
      <w:t xml:space="preserve">UPOV/EXN/PRP/2 </w:t>
    </w:r>
    <w:proofErr w:type="spellStart"/>
    <w:r>
      <w:rPr>
        <w:rFonts w:cs="Arial"/>
      </w:rPr>
      <w:t>Draft</w:t>
    </w:r>
    <w:proofErr w:type="spellEnd"/>
    <w:r>
      <w:rPr>
        <w:rFonts w:cs="Arial"/>
      </w:rPr>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505E43">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5D41"/>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3CF"/>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85D"/>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9D9"/>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6C85"/>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5E43"/>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65E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1ED7"/>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65"/>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0A7"/>
    <w:rsid w:val="00CC3C0E"/>
    <w:rsid w:val="00CC3E64"/>
    <w:rsid w:val="00CC6D28"/>
    <w:rsid w:val="00CD4C21"/>
    <w:rsid w:val="00CD5C79"/>
    <w:rsid w:val="00CD6470"/>
    <w:rsid w:val="00CD7696"/>
    <w:rsid w:val="00CE0E08"/>
    <w:rsid w:val="00CE48FA"/>
    <w:rsid w:val="00CE5818"/>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23AF"/>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452"/>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template_EXN.dotx</Template>
  <TotalTime>7</TotalTime>
  <Pages>6</Pages>
  <Words>1583</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10091</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10</cp:revision>
  <cp:lastPrinted>2015-09-28T16:29:00Z</cp:lastPrinted>
  <dcterms:created xsi:type="dcterms:W3CDTF">2015-04-27T15:05:00Z</dcterms:created>
  <dcterms:modified xsi:type="dcterms:W3CDTF">2015-09-28T16:29:00Z</dcterms:modified>
</cp:coreProperties>
</file>